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7A47">
      <w:pPr>
        <w:spacing w:line="360" w:lineRule="auto"/>
        <w:jc w:val="center"/>
        <w:rPr>
          <w:rFonts w:hint="eastAsia" w:ascii="宋体" w:hAnsi="宋体" w:cs="Times New Roman"/>
          <w:b/>
          <w:color w:val="auto"/>
          <w:sz w:val="44"/>
          <w:szCs w:val="44"/>
          <w:highlight w:val="none"/>
          <w:lang w:val="en-US" w:eastAsia="zh-CN"/>
        </w:rPr>
      </w:pPr>
    </w:p>
    <w:p w14:paraId="62C0792C">
      <w:pPr>
        <w:spacing w:line="360" w:lineRule="auto"/>
        <w:jc w:val="center"/>
        <w:rPr>
          <w:rFonts w:hint="eastAsia" w:ascii="宋体" w:hAnsi="宋体" w:cs="Times New Roman"/>
          <w:b/>
          <w:color w:val="auto"/>
          <w:sz w:val="44"/>
          <w:szCs w:val="44"/>
          <w:highlight w:val="none"/>
          <w:lang w:val="en-US" w:eastAsia="zh-CN"/>
        </w:rPr>
      </w:pPr>
      <w:r>
        <w:rPr>
          <w:rFonts w:hint="eastAsia" w:ascii="宋体" w:hAnsi="宋体" w:cs="Times New Roman"/>
          <w:b/>
          <w:color w:val="auto"/>
          <w:sz w:val="44"/>
          <w:szCs w:val="44"/>
          <w:highlight w:val="none"/>
          <w:lang w:val="en-US" w:eastAsia="zh-CN"/>
        </w:rPr>
        <w:t>淳安县铜山二级电站生产设备（含安装）技改增效采购项目</w:t>
      </w:r>
    </w:p>
    <w:p w14:paraId="74D6C4EF">
      <w:pPr>
        <w:spacing w:line="360" w:lineRule="auto"/>
        <w:jc w:val="center"/>
        <w:rPr>
          <w:rFonts w:hint="eastAsia" w:ascii="宋体" w:hAnsi="宋体" w:eastAsia="宋体" w:cs="Times New Roman"/>
          <w:b/>
          <w:color w:val="auto"/>
          <w:sz w:val="44"/>
          <w:szCs w:val="44"/>
          <w:highlight w:val="none"/>
          <w:lang w:val="en-US" w:eastAsia="zh-CN"/>
        </w:rPr>
      </w:pPr>
      <w:r>
        <w:rPr>
          <w:rFonts w:hint="eastAsia" w:ascii="宋体" w:hAnsi="宋体" w:eastAsia="宋体" w:cs="Times New Roman"/>
          <w:b/>
          <w:color w:val="auto"/>
          <w:sz w:val="44"/>
          <w:szCs w:val="44"/>
          <w:highlight w:val="none"/>
          <w:lang w:val="en-US" w:eastAsia="zh-CN"/>
        </w:rPr>
        <w:t>公开招标</w:t>
      </w:r>
    </w:p>
    <w:p w14:paraId="0FB5EB2A">
      <w:pPr>
        <w:spacing w:line="360" w:lineRule="auto"/>
        <w:jc w:val="center"/>
        <w:rPr>
          <w:rFonts w:ascii="仿宋" w:eastAsia="仿宋" w:cs="仿宋"/>
          <w:b/>
          <w:color w:val="auto"/>
          <w:sz w:val="44"/>
          <w:szCs w:val="44"/>
          <w:highlight w:val="none"/>
        </w:rPr>
      </w:pPr>
      <w:r>
        <w:rPr>
          <w:rFonts w:hint="eastAsia" w:ascii="宋体" w:hAnsi="宋体" w:cs="Times New Roman"/>
          <w:b/>
          <w:color w:val="auto"/>
          <w:sz w:val="44"/>
          <w:szCs w:val="44"/>
          <w:highlight w:val="none"/>
          <w:lang w:val="en-US" w:eastAsia="zh-CN"/>
        </w:rPr>
        <w:t>（非政府采购）</w:t>
      </w:r>
      <w:r>
        <w:rPr>
          <w:rFonts w:hint="eastAsia" w:ascii="宋体" w:hAnsi="宋体" w:eastAsia="宋体" w:cs="Times New Roman"/>
          <w:b/>
          <w:color w:val="auto"/>
          <w:sz w:val="44"/>
          <w:szCs w:val="44"/>
          <w:highlight w:val="none"/>
          <w:lang w:val="en-US" w:eastAsia="zh-CN"/>
        </w:rPr>
        <w:t>（电子招投标）</w:t>
      </w:r>
    </w:p>
    <w:p w14:paraId="125EF021">
      <w:pPr>
        <w:spacing w:line="360" w:lineRule="auto"/>
        <w:rPr>
          <w:rFonts w:ascii="宋体" w:hAnsi="宋体" w:cs="宋体"/>
          <w:b/>
          <w:color w:val="auto"/>
          <w:sz w:val="44"/>
          <w:szCs w:val="44"/>
          <w:highlight w:val="none"/>
        </w:rPr>
      </w:pPr>
    </w:p>
    <w:p w14:paraId="325F0DC8">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招</w:t>
      </w:r>
    </w:p>
    <w:p w14:paraId="5020F885">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标</w:t>
      </w:r>
    </w:p>
    <w:p w14:paraId="27BCDDCA">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文</w:t>
      </w:r>
    </w:p>
    <w:p w14:paraId="6A3309BD">
      <w:pPr>
        <w:keepNext w:val="0"/>
        <w:keepLines w:val="0"/>
        <w:pageBreakBefore w:val="0"/>
        <w:widowControl/>
        <w:kinsoku/>
        <w:wordWrap/>
        <w:overflowPunct/>
        <w:topLinePunct w:val="0"/>
        <w:autoSpaceDE/>
        <w:autoSpaceDN/>
        <w:bidi w:val="0"/>
        <w:adjustRightInd w:val="0"/>
        <w:snapToGrid/>
        <w:spacing w:line="360" w:lineRule="auto"/>
        <w:ind w:left="527" w:right="527"/>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件</w:t>
      </w:r>
    </w:p>
    <w:p w14:paraId="3DEF5A0E">
      <w:pPr>
        <w:widowControl/>
        <w:spacing w:line="520" w:lineRule="exact"/>
        <w:ind w:left="527" w:right="527"/>
        <w:jc w:val="center"/>
        <w:rPr>
          <w:rFonts w:ascii="仿宋" w:eastAsia="仿宋" w:cs="仿宋"/>
          <w:b/>
          <w:color w:val="auto"/>
          <w:sz w:val="32"/>
          <w:szCs w:val="32"/>
          <w:highlight w:val="none"/>
        </w:rPr>
      </w:pPr>
      <w:r>
        <w:rPr>
          <w:rFonts w:hint="eastAsia" w:ascii="仿宋" w:hAnsi="Times New Roman" w:eastAsia="仿宋" w:cs="仿宋"/>
          <w:b/>
          <w:color w:val="auto"/>
          <w:sz w:val="32"/>
          <w:szCs w:val="32"/>
          <w:highlight w:val="none"/>
        </w:rPr>
        <w:t>（项目编号：</w:t>
      </w:r>
      <w:r>
        <w:rPr>
          <w:rFonts w:hint="eastAsia" w:ascii="仿宋" w:eastAsia="仿宋" w:cs="仿宋"/>
          <w:b/>
          <w:color w:val="auto"/>
          <w:sz w:val="32"/>
          <w:szCs w:val="32"/>
          <w:highlight w:val="none"/>
          <w:lang w:val="zh-CN"/>
        </w:rPr>
        <w:t>ZJJA2025-06号</w:t>
      </w:r>
      <w:r>
        <w:rPr>
          <w:rFonts w:hint="eastAsia" w:ascii="仿宋" w:eastAsia="仿宋" w:cs="仿宋"/>
          <w:b/>
          <w:color w:val="auto"/>
          <w:sz w:val="32"/>
          <w:szCs w:val="32"/>
          <w:highlight w:val="none"/>
        </w:rPr>
        <w:t>）</w:t>
      </w:r>
    </w:p>
    <w:p w14:paraId="0877FF00">
      <w:pPr>
        <w:pStyle w:val="3"/>
        <w:jc w:val="center"/>
        <w:rPr>
          <w:rFonts w:hint="eastAsia" w:ascii="宋体" w:hAnsi="Times New Roman" w:eastAsia="宋体" w:cs="宋体"/>
          <w:b w:val="0"/>
          <w:bCs w:val="0"/>
          <w:color w:val="auto"/>
          <w:highlight w:val="none"/>
          <w:lang w:val="en-US" w:eastAsia="zh-CN"/>
        </w:rPr>
      </w:pPr>
      <w:r>
        <w:rPr>
          <w:rFonts w:hint="eastAsia" w:ascii="宋体" w:hAnsi="Times New Roman" w:eastAsia="宋体" w:cs="宋体"/>
          <w:b w:val="0"/>
          <w:bCs w:val="0"/>
          <w:color w:val="auto"/>
          <w:highlight w:val="none"/>
          <w:lang w:val="en-US" w:eastAsia="zh-CN"/>
        </w:rPr>
        <w:t>采购单位：淳安枫树岭水力发电有限责任公司</w:t>
      </w:r>
    </w:p>
    <w:p w14:paraId="7F66B380">
      <w:pPr>
        <w:pStyle w:val="3"/>
        <w:jc w:val="center"/>
        <w:rPr>
          <w:rFonts w:hint="eastAsia" w:ascii="宋体" w:hAnsi="Times New Roman" w:eastAsia="宋体" w:cs="宋体"/>
          <w:b w:val="0"/>
          <w:bCs w:val="0"/>
          <w:color w:val="auto"/>
          <w:highlight w:val="none"/>
          <w:lang w:val="en-US" w:eastAsia="zh-CN"/>
        </w:rPr>
      </w:pPr>
      <w:r>
        <w:rPr>
          <w:rFonts w:hint="eastAsia" w:ascii="宋体" w:hAnsi="Times New Roman" w:eastAsia="宋体" w:cs="宋体"/>
          <w:b w:val="0"/>
          <w:bCs w:val="0"/>
          <w:color w:val="auto"/>
          <w:highlight w:val="none"/>
          <w:lang w:val="en-US" w:eastAsia="zh-CN"/>
        </w:rPr>
        <w:t>代理机构：浙江建安工程管理有限公司</w:t>
      </w:r>
    </w:p>
    <w:tbl>
      <w:tblPr>
        <w:tblStyle w:val="65"/>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6C49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20ECC146">
            <w:pPr>
              <w:widowControl w:val="0"/>
              <w:kinsoku/>
              <w:autoSpaceDN/>
              <w:snapToGrid/>
              <w:spacing w:after="100" w:afterAutospacing="1"/>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采购单位确认（公章）：该采购文件已经我单位审核确认。</w:t>
            </w:r>
          </w:p>
          <w:p w14:paraId="458AA111">
            <w:pPr>
              <w:widowControl w:val="0"/>
              <w:kinsoku/>
              <w:autoSpaceDN/>
              <w:snapToGrid/>
              <w:spacing w:after="100" w:afterAutospacing="1"/>
              <w:jc w:val="both"/>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法定代表人或其代理人（签字或盖章）：</w:t>
            </w:r>
          </w:p>
          <w:p w14:paraId="7A48795F">
            <w:pPr>
              <w:kinsoku/>
              <w:autoSpaceDE/>
              <w:autoSpaceDN/>
              <w:snapToGrid/>
              <w:textAlignment w:val="auto"/>
              <w:rPr>
                <w:rFonts w:hint="eastAsia" w:ascii="宋体" w:hAnsi="宋体" w:eastAsia="宋体" w:cs="宋体"/>
                <w:snapToGrid/>
                <w:color w:val="auto"/>
                <w:sz w:val="24"/>
                <w:szCs w:val="24"/>
                <w:highlight w:val="none"/>
                <w:lang w:eastAsia="zh-CN"/>
              </w:rPr>
            </w:pPr>
          </w:p>
          <w:p w14:paraId="77D079E4">
            <w:pPr>
              <w:widowControl w:val="0"/>
              <w:kinsoku/>
              <w:autoSpaceDN/>
              <w:snapToGrid/>
              <w:spacing w:after="100" w:afterAutospacing="1"/>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日期：</w:t>
            </w:r>
            <w:r>
              <w:rPr>
                <w:rFonts w:hint="eastAsia" w:ascii="宋体" w:hAnsi="宋体" w:cs="宋体"/>
                <w:b/>
                <w:bCs/>
                <w:snapToGrid/>
                <w:color w:val="auto"/>
                <w:sz w:val="36"/>
                <w:szCs w:val="36"/>
                <w:highlight w:val="none"/>
                <w:lang w:eastAsia="zh-CN"/>
              </w:rPr>
              <w:t>2025年</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月</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日</w:t>
            </w:r>
          </w:p>
        </w:tc>
        <w:tc>
          <w:tcPr>
            <w:tcW w:w="5047" w:type="dxa"/>
          </w:tcPr>
          <w:p w14:paraId="44A91EDC">
            <w:pPr>
              <w:widowControl w:val="0"/>
              <w:kinsoku/>
              <w:autoSpaceDN/>
              <w:snapToGrid/>
              <w:spacing w:after="100" w:afterAutospacing="1" w:line="240" w:lineRule="atLeast"/>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代理机构审核（公章）：同意发布</w:t>
            </w:r>
          </w:p>
          <w:p w14:paraId="2B824EEB">
            <w:pPr>
              <w:widowControl w:val="0"/>
              <w:kinsoku/>
              <w:autoSpaceDN/>
              <w:snapToGrid/>
              <w:spacing w:after="100" w:afterAutospacing="1"/>
              <w:jc w:val="both"/>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法定代表人或其代理人（签字或盖章）：</w:t>
            </w:r>
          </w:p>
          <w:p w14:paraId="4DD744C0">
            <w:pPr>
              <w:kinsoku/>
              <w:autoSpaceDE/>
              <w:autoSpaceDN/>
              <w:snapToGrid/>
              <w:textAlignment w:val="auto"/>
              <w:rPr>
                <w:rFonts w:hint="eastAsia" w:ascii="宋体" w:hAnsi="宋体" w:eastAsia="宋体" w:cs="宋体"/>
                <w:snapToGrid/>
                <w:color w:val="auto"/>
                <w:sz w:val="24"/>
                <w:szCs w:val="24"/>
                <w:highlight w:val="none"/>
                <w:lang w:eastAsia="zh-CN"/>
              </w:rPr>
            </w:pPr>
          </w:p>
          <w:p w14:paraId="16A3F0D0">
            <w:pPr>
              <w:widowControl w:val="0"/>
              <w:kinsoku/>
              <w:autoSpaceDN/>
              <w:snapToGrid/>
              <w:spacing w:after="100" w:afterAutospacing="1" w:line="240" w:lineRule="atLeast"/>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日期：</w:t>
            </w:r>
            <w:r>
              <w:rPr>
                <w:rFonts w:hint="eastAsia" w:ascii="宋体" w:hAnsi="宋体" w:cs="宋体"/>
                <w:b/>
                <w:bCs/>
                <w:snapToGrid/>
                <w:color w:val="auto"/>
                <w:sz w:val="36"/>
                <w:szCs w:val="36"/>
                <w:highlight w:val="none"/>
                <w:lang w:eastAsia="zh-CN"/>
              </w:rPr>
              <w:t>2025年</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月</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日</w:t>
            </w:r>
          </w:p>
        </w:tc>
      </w:tr>
    </w:tbl>
    <w:p w14:paraId="1E5D9D99">
      <w:pPr>
        <w:jc w:val="center"/>
        <w:rPr>
          <w:rFonts w:ascii="仿宋" w:eastAsia="仿宋" w:cs="仿宋"/>
          <w:color w:val="auto"/>
          <w:sz w:val="24"/>
          <w:highlight w:val="none"/>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577A4815">
      <w:pPr>
        <w:spacing w:line="360" w:lineRule="auto"/>
        <w:jc w:val="center"/>
        <w:rPr>
          <w:rFonts w:ascii="宋体" w:hAnsi="宋体" w:cs="宋体"/>
          <w:color w:val="auto"/>
          <w:sz w:val="24"/>
          <w:highlight w:val="none"/>
        </w:rPr>
      </w:pPr>
    </w:p>
    <w:p w14:paraId="7874E37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02E60F2">
      <w:pPr>
        <w:spacing w:line="360" w:lineRule="auto"/>
        <w:rPr>
          <w:rFonts w:ascii="宋体" w:hAnsi="宋体" w:cs="宋体"/>
          <w:color w:val="auto"/>
          <w:sz w:val="32"/>
          <w:szCs w:val="32"/>
          <w:highlight w:val="none"/>
        </w:rPr>
      </w:pPr>
    </w:p>
    <w:p w14:paraId="4CB19568">
      <w:pPr>
        <w:spacing w:line="360" w:lineRule="auto"/>
        <w:rPr>
          <w:rFonts w:ascii="宋体" w:hAnsi="宋体" w:cs="宋体"/>
          <w:color w:val="auto"/>
          <w:sz w:val="32"/>
          <w:szCs w:val="32"/>
          <w:highlight w:val="none"/>
        </w:rPr>
      </w:pPr>
    </w:p>
    <w:p w14:paraId="6ED1DD5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57050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D7439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499A7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2852C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792A1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C906997">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255D9C82">
      <w:pPr>
        <w:spacing w:line="360" w:lineRule="auto"/>
        <w:ind w:firstLine="549" w:firstLineChars="229"/>
        <w:rPr>
          <w:rFonts w:ascii="宋体" w:hAnsi="宋体" w:cs="宋体"/>
          <w:color w:val="auto"/>
          <w:sz w:val="24"/>
          <w:highlight w:val="none"/>
        </w:rPr>
      </w:pPr>
    </w:p>
    <w:p w14:paraId="1442E2BA">
      <w:pPr>
        <w:spacing w:line="360" w:lineRule="auto"/>
        <w:ind w:firstLine="549" w:firstLineChars="229"/>
        <w:rPr>
          <w:rFonts w:ascii="宋体" w:hAnsi="宋体" w:cs="宋体"/>
          <w:color w:val="auto"/>
          <w:sz w:val="24"/>
          <w:highlight w:val="none"/>
        </w:rPr>
      </w:pPr>
    </w:p>
    <w:p w14:paraId="4A329761">
      <w:pPr>
        <w:spacing w:line="360" w:lineRule="auto"/>
        <w:ind w:firstLine="549" w:firstLineChars="229"/>
        <w:rPr>
          <w:rFonts w:ascii="宋体" w:hAnsi="宋体" w:cs="宋体"/>
          <w:color w:val="auto"/>
          <w:sz w:val="24"/>
          <w:highlight w:val="none"/>
        </w:rPr>
      </w:pPr>
    </w:p>
    <w:p w14:paraId="2F04712E">
      <w:pPr>
        <w:spacing w:line="360" w:lineRule="auto"/>
        <w:ind w:firstLine="549" w:firstLineChars="229"/>
        <w:rPr>
          <w:rFonts w:ascii="宋体" w:hAnsi="宋体" w:cs="宋体"/>
          <w:color w:val="auto"/>
          <w:sz w:val="24"/>
          <w:highlight w:val="none"/>
        </w:rPr>
      </w:pPr>
    </w:p>
    <w:p w14:paraId="68A6A54F">
      <w:pPr>
        <w:spacing w:line="360" w:lineRule="auto"/>
        <w:ind w:firstLine="549" w:firstLineChars="229"/>
        <w:rPr>
          <w:rFonts w:ascii="宋体" w:hAnsi="宋体" w:cs="宋体"/>
          <w:color w:val="auto"/>
          <w:sz w:val="24"/>
          <w:highlight w:val="none"/>
        </w:rPr>
      </w:pPr>
    </w:p>
    <w:p w14:paraId="75245A7A">
      <w:pPr>
        <w:spacing w:line="360" w:lineRule="auto"/>
        <w:ind w:firstLine="549" w:firstLineChars="229"/>
        <w:rPr>
          <w:rFonts w:ascii="宋体" w:hAnsi="宋体" w:cs="宋体"/>
          <w:color w:val="auto"/>
          <w:sz w:val="24"/>
          <w:highlight w:val="none"/>
        </w:rPr>
      </w:pPr>
    </w:p>
    <w:p w14:paraId="0A80681A">
      <w:pPr>
        <w:spacing w:line="360" w:lineRule="auto"/>
        <w:ind w:firstLine="549" w:firstLineChars="229"/>
        <w:rPr>
          <w:rFonts w:ascii="宋体" w:hAnsi="宋体" w:cs="宋体"/>
          <w:color w:val="auto"/>
          <w:sz w:val="24"/>
          <w:highlight w:val="none"/>
        </w:rPr>
      </w:pPr>
    </w:p>
    <w:p w14:paraId="7BC5A845">
      <w:pPr>
        <w:spacing w:line="360" w:lineRule="auto"/>
        <w:ind w:firstLine="549" w:firstLineChars="229"/>
        <w:rPr>
          <w:rFonts w:ascii="宋体" w:hAnsi="宋体" w:cs="宋体"/>
          <w:color w:val="auto"/>
          <w:sz w:val="24"/>
          <w:highlight w:val="none"/>
        </w:rPr>
      </w:pPr>
    </w:p>
    <w:p w14:paraId="6AC49B95">
      <w:pPr>
        <w:spacing w:line="360" w:lineRule="auto"/>
        <w:ind w:firstLine="549" w:firstLineChars="229"/>
        <w:rPr>
          <w:rFonts w:ascii="宋体" w:hAnsi="宋体" w:cs="宋体"/>
          <w:color w:val="auto"/>
          <w:sz w:val="24"/>
          <w:highlight w:val="none"/>
        </w:rPr>
      </w:pPr>
    </w:p>
    <w:p w14:paraId="6054AFFF">
      <w:pPr>
        <w:spacing w:line="360" w:lineRule="auto"/>
        <w:ind w:firstLine="549" w:firstLineChars="229"/>
        <w:rPr>
          <w:rFonts w:ascii="宋体" w:hAnsi="宋体" w:cs="宋体"/>
          <w:color w:val="auto"/>
          <w:sz w:val="24"/>
          <w:highlight w:val="none"/>
        </w:rPr>
      </w:pPr>
    </w:p>
    <w:p w14:paraId="44964CFA">
      <w:pPr>
        <w:spacing w:line="360" w:lineRule="auto"/>
        <w:ind w:firstLine="549" w:firstLineChars="229"/>
        <w:rPr>
          <w:rFonts w:ascii="宋体" w:hAnsi="宋体" w:cs="宋体"/>
          <w:color w:val="auto"/>
          <w:sz w:val="24"/>
          <w:highlight w:val="none"/>
        </w:rPr>
      </w:pPr>
    </w:p>
    <w:p w14:paraId="39D6CF77">
      <w:pPr>
        <w:spacing w:line="360" w:lineRule="auto"/>
        <w:ind w:firstLine="549" w:firstLineChars="229"/>
        <w:rPr>
          <w:rFonts w:ascii="宋体" w:hAnsi="宋体" w:cs="宋体"/>
          <w:color w:val="auto"/>
          <w:sz w:val="24"/>
          <w:highlight w:val="none"/>
        </w:rPr>
      </w:pPr>
    </w:p>
    <w:p w14:paraId="465BC422">
      <w:pPr>
        <w:spacing w:line="360" w:lineRule="auto"/>
        <w:rPr>
          <w:rFonts w:ascii="宋体" w:hAnsi="宋体" w:cs="宋体"/>
          <w:color w:val="auto"/>
          <w:sz w:val="24"/>
          <w:highlight w:val="none"/>
        </w:rPr>
      </w:pPr>
    </w:p>
    <w:p w14:paraId="6D9FC7EF">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3B88E04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7F99A6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s="宋体"/>
          <w:color w:val="auto"/>
          <w:kern w:val="0"/>
          <w:sz w:val="24"/>
          <w:highlight w:val="none"/>
          <w:u w:val="single"/>
          <w:lang w:val="en-US" w:eastAsia="zh-CN"/>
        </w:rPr>
        <w:t>淳安县铜山二级电站生产设备（含安装）技改增效采购项目</w:t>
      </w:r>
      <w:r>
        <w:rPr>
          <w:rFonts w:hint="eastAsia" w:asciiTheme="minorEastAsia" w:hAnsiTheme="minorEastAsia" w:eastAsiaTheme="minorEastAsia"/>
          <w:color w:val="auto"/>
          <w:sz w:val="24"/>
          <w:highlight w:val="none"/>
        </w:rPr>
        <w:t>招标项目</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非政府采购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lang w:eastAsia="zh-CN"/>
        </w:rPr>
        <w:t>乐</w:t>
      </w:r>
      <w:r>
        <w:rPr>
          <w:rFonts w:hint="eastAsia" w:asciiTheme="minorEastAsia" w:hAnsiTheme="minorEastAsia" w:eastAsiaTheme="minorEastAsia"/>
          <w:color w:val="auto"/>
          <w:sz w:val="24"/>
          <w:highlight w:val="none"/>
        </w:rPr>
        <w:t>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cs="Times New Roman" w:asciiTheme="minorEastAsia" w:hAnsiTheme="minorEastAsia" w:eastAsiaTheme="minorEastAsia"/>
          <w:snapToGrid/>
          <w:color w:val="auto"/>
          <w:kern w:val="2"/>
          <w:sz w:val="24"/>
          <w:szCs w:val="24"/>
          <w:highlight w:val="none"/>
        </w:rPr>
        <w:t>https://</w:t>
      </w:r>
      <w:r>
        <w:rPr>
          <w:rStyle w:val="79"/>
          <w:rFonts w:hint="eastAsia" w:cs="Times New Roman" w:asciiTheme="minorEastAsia" w:hAnsiTheme="minorEastAsia" w:eastAsiaTheme="minorEastAsia"/>
          <w:snapToGrid/>
          <w:color w:val="auto"/>
          <w:kern w:val="2"/>
          <w:sz w:val="24"/>
          <w:szCs w:val="24"/>
          <w:highlight w:val="none"/>
          <w:lang w:val="en-US" w:eastAsia="zh-CN"/>
        </w:rPr>
        <w:t>www.lecaiyun.com</w:t>
      </w:r>
      <w:r>
        <w:rPr>
          <w:rStyle w:val="79"/>
          <w:rFonts w:cs="Times New Roman" w:asciiTheme="minorEastAsia" w:hAnsiTheme="minorEastAsia" w:eastAsiaTheme="minorEastAsia"/>
          <w:snapToGrid/>
          <w:color w:val="auto"/>
          <w:kern w:val="2"/>
          <w:sz w:val="24"/>
          <w:szCs w:val="24"/>
          <w:highlight w:val="none"/>
        </w:rPr>
        <w:t>）获取（下载）招标文件，并于</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2025年3</w:t>
      </w:r>
      <w:r>
        <w:rPr>
          <w:rStyle w:val="79"/>
          <w:rFonts w:hint="eastAsia" w:cs="Times New Roman" w:asciiTheme="minorEastAsia" w:hAnsiTheme="minorEastAsia" w:eastAsiaTheme="minorEastAsia"/>
          <w:snapToGrid/>
          <w:color w:val="auto"/>
          <w:kern w:val="2"/>
          <w:sz w:val="24"/>
          <w:szCs w:val="24"/>
          <w:highlight w:val="none"/>
          <w:u w:val="single"/>
        </w:rPr>
        <w:t>月</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31</w:t>
      </w:r>
      <w:r>
        <w:rPr>
          <w:rStyle w:val="79"/>
          <w:rFonts w:hint="eastAsia" w:cs="Times New Roman" w:asciiTheme="minorEastAsia" w:hAnsiTheme="minorEastAsia" w:eastAsiaTheme="minorEastAsia"/>
          <w:snapToGrid/>
          <w:color w:val="auto"/>
          <w:kern w:val="2"/>
          <w:sz w:val="24"/>
          <w:szCs w:val="24"/>
          <w:highlight w:val="none"/>
          <w:u w:val="single"/>
        </w:rPr>
        <w:t>日</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9"/>
          <w:rFonts w:hint="eastAsia" w:cs="Times New Roman" w:asciiTheme="minorEastAsia" w:hAnsiTheme="minorEastAsia" w:eastAsiaTheme="minorEastAsia"/>
          <w:snapToGrid/>
          <w:color w:val="auto"/>
          <w:kern w:val="2"/>
          <w:sz w:val="24"/>
          <w:szCs w:val="24"/>
          <w:highlight w:val="none"/>
          <w:u w:val="single"/>
        </w:rPr>
        <w:t>点</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9"/>
          <w:rFonts w:hint="eastAsia" w:cs="Times New Roman" w:asciiTheme="minorEastAsia" w:hAnsiTheme="minorEastAsia" w:eastAsiaTheme="minorEastAsia"/>
          <w:snapToGrid/>
          <w:color w:val="auto"/>
          <w:kern w:val="2"/>
          <w:sz w:val="24"/>
          <w:szCs w:val="24"/>
          <w:highlight w:val="none"/>
          <w:u w:val="single"/>
        </w:rPr>
        <w:t>分</w:t>
      </w:r>
      <w:r>
        <w:rPr>
          <w:rStyle w:val="79"/>
          <w:rFonts w:hint="eastAsia" w:cs="Times New Roman" w:asciiTheme="minorEastAsia" w:hAnsiTheme="minorEastAsia" w:eastAsiaTheme="minorEastAsia"/>
          <w:bCs/>
          <w:snapToGrid/>
          <w:color w:val="auto"/>
          <w:kern w:val="2"/>
          <w:sz w:val="24"/>
          <w:szCs w:val="24"/>
          <w:highlight w:val="none"/>
          <w:u w:val="single"/>
        </w:rPr>
        <w:t>00秒</w:t>
      </w:r>
      <w:r>
        <w:rPr>
          <w:rStyle w:val="7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DA3BC5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2B19E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zh-CN"/>
        </w:rPr>
        <w:t>ZJJA2025-06号</w:t>
      </w:r>
    </w:p>
    <w:p w14:paraId="26D47A5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kern w:val="0"/>
          <w:sz w:val="24"/>
          <w:highlight w:val="none"/>
          <w:lang w:val="en-US" w:eastAsia="zh-CN"/>
        </w:rPr>
        <w:t>淳安县铜山二级电站生产设备（含安装）技改增效采购项目</w:t>
      </w:r>
    </w:p>
    <w:p w14:paraId="1EDD6D5B">
      <w:pPr>
        <w:spacing w:line="360" w:lineRule="auto"/>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rPr>
        <w:t xml:space="preserve">    预算金额（元）：</w:t>
      </w:r>
      <w:r>
        <w:rPr>
          <w:rFonts w:hint="eastAsia" w:ascii="宋体" w:hAnsi="宋体" w:cs="宋体"/>
          <w:b/>
          <w:color w:val="auto"/>
          <w:sz w:val="24"/>
          <w:highlight w:val="none"/>
          <w:lang w:val="en-US" w:eastAsia="zh-CN"/>
        </w:rPr>
        <w:t>4693773</w:t>
      </w:r>
      <w:r>
        <w:rPr>
          <w:rFonts w:hint="eastAsia" w:ascii="宋体" w:hAnsi="宋体" w:eastAsia="宋体" w:cs="宋体"/>
          <w:b/>
          <w:color w:val="auto"/>
          <w:sz w:val="24"/>
          <w:highlight w:val="none"/>
          <w:lang w:val="en-US" w:eastAsia="zh-CN"/>
        </w:rPr>
        <w:t>.00</w:t>
      </w:r>
    </w:p>
    <w:p w14:paraId="383D310A">
      <w:pPr>
        <w:spacing w:line="360" w:lineRule="auto"/>
        <w:ind w:firstLine="482" w:firstLineChars="200"/>
        <w:rPr>
          <w:rFonts w:hint="default" w:ascii="宋体" w:hAnsi="宋体" w:eastAsia="宋体" w:cs="宋体"/>
          <w:b/>
          <w:bCs w:val="0"/>
          <w:color w:val="auto"/>
          <w:sz w:val="24"/>
          <w:highlight w:val="none"/>
          <w:lang w:val="en-US" w:eastAsia="zh-CN"/>
        </w:rPr>
      </w:pPr>
      <w:r>
        <w:rPr>
          <w:rFonts w:hint="eastAsia" w:asciiTheme="minorEastAsia" w:hAnsiTheme="minorEastAsia" w:eastAsiaTheme="minorEastAsia"/>
          <w:b/>
          <w:bCs w:val="0"/>
          <w:color w:val="auto"/>
          <w:sz w:val="24"/>
          <w:highlight w:val="none"/>
        </w:rPr>
        <w:t>最高限价（元）</w:t>
      </w:r>
      <w:r>
        <w:rPr>
          <w:rFonts w:hint="eastAsia" w:asciiTheme="minorEastAsia" w:hAnsiTheme="minorEastAsia" w:eastAsiaTheme="minorEastAsia"/>
          <w:b/>
          <w:bCs w:val="0"/>
          <w:color w:val="auto"/>
          <w:sz w:val="24"/>
          <w:highlight w:val="none"/>
          <w:lang w:eastAsia="zh-CN"/>
        </w:rPr>
        <w:t>：</w:t>
      </w:r>
      <w:r>
        <w:rPr>
          <w:rFonts w:hint="eastAsia" w:ascii="宋体" w:hAnsi="宋体" w:cs="宋体"/>
          <w:b/>
          <w:color w:val="auto"/>
          <w:sz w:val="24"/>
          <w:highlight w:val="none"/>
          <w:lang w:val="en-US" w:eastAsia="zh-CN"/>
        </w:rPr>
        <w:t>4693773</w:t>
      </w:r>
      <w:r>
        <w:rPr>
          <w:rFonts w:hint="eastAsia" w:ascii="宋体" w:hAnsi="宋体" w:eastAsia="宋体" w:cs="宋体"/>
          <w:b/>
          <w:color w:val="auto"/>
          <w:sz w:val="24"/>
          <w:highlight w:val="none"/>
          <w:lang w:val="en-US" w:eastAsia="zh-CN"/>
        </w:rPr>
        <w:t>.00</w:t>
      </w:r>
    </w:p>
    <w:p w14:paraId="5A4CA5BF">
      <w:pPr>
        <w:pStyle w:val="17"/>
        <w:spacing w:line="360" w:lineRule="auto"/>
        <w:ind w:firstLine="480"/>
        <w:rPr>
          <w:rFonts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b/>
          <w:bCs/>
          <w:snapToGrid/>
          <w:color w:val="auto"/>
          <w:kern w:val="2"/>
          <w:sz w:val="24"/>
          <w:szCs w:val="24"/>
          <w:highlight w:val="none"/>
        </w:rPr>
        <w:t>采购需求：</w:t>
      </w:r>
      <w:r>
        <w:rPr>
          <w:rFonts w:hint="eastAsia" w:ascii="宋体" w:hAnsi="宋体" w:cs="宋体"/>
          <w:color w:val="auto"/>
          <w:kern w:val="0"/>
          <w:sz w:val="24"/>
          <w:highlight w:val="none"/>
          <w:lang w:val="en-US" w:eastAsia="zh-CN"/>
        </w:rPr>
        <w:t>淳安县铜山二级电站生产设备（含安装）技改增效采购项目</w:t>
      </w:r>
      <w:r>
        <w:rPr>
          <w:rFonts w:hint="eastAsia" w:ascii="宋体" w:hAnsi="宋体" w:eastAsia="宋体" w:cs="宋体"/>
          <w:color w:val="auto"/>
          <w:kern w:val="0"/>
          <w:sz w:val="24"/>
          <w:highlight w:val="none"/>
          <w:lang w:val="en-US" w:eastAsia="zh-CN"/>
        </w:rPr>
        <w:t>，</w:t>
      </w:r>
      <w:r>
        <w:rPr>
          <w:rFonts w:hint="eastAsia" w:ascii="宋体" w:hAnsi="宋体" w:eastAsia="宋体" w:cs="宋体"/>
          <w:snapToGrid/>
          <w:color w:val="auto"/>
          <w:kern w:val="2"/>
          <w:sz w:val="24"/>
          <w:szCs w:val="24"/>
          <w:highlight w:val="none"/>
        </w:rPr>
        <w:t>主要内容具体以招标文件第三部分采购需求为准，供应商可点击本公告下方“浏览采购文件”查看采购需求。</w:t>
      </w:r>
    </w:p>
    <w:p w14:paraId="19B4DEF2">
      <w:pPr>
        <w:pStyle w:val="17"/>
        <w:spacing w:line="360" w:lineRule="auto"/>
        <w:ind w:firstLine="48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合同履约期限：</w:t>
      </w:r>
      <w:r>
        <w:rPr>
          <w:rFonts w:hint="eastAsia" w:ascii="宋体" w:hAnsi="宋体" w:eastAsia="宋体" w:cs="宋体"/>
          <w:b w:val="0"/>
          <w:bCs w:val="0"/>
          <w:color w:val="auto"/>
          <w:sz w:val="24"/>
          <w:highlight w:val="none"/>
          <w:lang w:val="zh-CN"/>
        </w:rPr>
        <w:t>自签订合同之日起</w:t>
      </w:r>
      <w:r>
        <w:rPr>
          <w:rFonts w:hint="eastAsia" w:ascii="宋体" w:hAnsi="宋体" w:eastAsia="宋体" w:cs="宋体"/>
          <w:b w:val="0"/>
          <w:bCs w:val="0"/>
          <w:color w:val="auto"/>
          <w:sz w:val="24"/>
          <w:highlight w:val="none"/>
          <w:lang w:val="en-US" w:eastAsia="zh-CN"/>
        </w:rPr>
        <w:t>180</w:t>
      </w:r>
      <w:r>
        <w:rPr>
          <w:rFonts w:hint="eastAsia" w:ascii="宋体" w:hAnsi="宋体" w:eastAsia="宋体" w:cs="宋体"/>
          <w:b w:val="0"/>
          <w:bCs w:val="0"/>
          <w:color w:val="auto"/>
          <w:sz w:val="24"/>
          <w:highlight w:val="none"/>
          <w:lang w:val="zh-CN"/>
        </w:rPr>
        <w:t>天内完成项目产品供货、安装调试等所有服务。</w:t>
      </w:r>
    </w:p>
    <w:p w14:paraId="69305360">
      <w:pPr>
        <w:pStyle w:val="17"/>
        <w:spacing w:line="360" w:lineRule="auto"/>
        <w:ind w:firstLine="480"/>
        <w:rPr>
          <w:rFonts w:hint="eastAsia" w:hAnsi="宋体" w:eastAsia="宋体" w:cs="宋体"/>
          <w:color w:val="auto"/>
          <w:kern w:val="0"/>
          <w:sz w:val="24"/>
          <w:highlight w:val="none"/>
          <w:lang w:eastAsia="zh-CN"/>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4745552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DE979B3">
      <w:pPr>
        <w:numPr>
          <w:ilvl w:val="0"/>
          <w:numId w:val="1"/>
        </w:numPr>
        <w:spacing w:line="360" w:lineRule="auto"/>
        <w:rPr>
          <w:rFonts w:hint="eastAsia" w:ascii="宋体" w:hAnsi="宋体" w:cs="宋体"/>
          <w:b/>
          <w:color w:val="auto"/>
          <w:sz w:val="24"/>
          <w:highlight w:val="none"/>
        </w:rPr>
      </w:pP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76615A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具有独立承担民事责任的能力；</w:t>
      </w:r>
    </w:p>
    <w:p w14:paraId="5476DAC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40A8D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F230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8E60A0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1AECD0D3">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6、未被“信用中国”（www.creditchina.gov.cn)、中国政府采购网（www.ccgp.gov.cn）列入失信被执行人、重大税收违法案件当事人名单、政府采购严重违法失信行为记录名单；</w:t>
      </w:r>
    </w:p>
    <w:p w14:paraId="60E189E2">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7、法律、行政法规规定的其他条件；</w:t>
      </w:r>
    </w:p>
    <w:p w14:paraId="50F64C59">
      <w:pPr>
        <w:snapToGrid w:val="0"/>
        <w:spacing w:line="360" w:lineRule="auto"/>
        <w:ind w:firstLine="482" w:firstLineChars="200"/>
        <w:rPr>
          <w:rFonts w:hint="eastAsia" w:ascii="宋体" w:hAnsi="宋体" w:cs="宋体"/>
          <w:color w:val="auto"/>
          <w:sz w:val="24"/>
          <w:highlight w:val="none"/>
          <w:u w:val="single"/>
          <w:lang w:val="en-US" w:eastAsia="zh-CN"/>
        </w:rPr>
      </w:pPr>
      <w:r>
        <w:rPr>
          <w:rFonts w:hint="eastAsia" w:ascii="宋体" w:hAnsi="宋体" w:cs="宋体"/>
          <w:b/>
          <w:bCs/>
          <w:color w:val="auto"/>
          <w:sz w:val="24"/>
          <w:highlight w:val="none"/>
          <w:lang w:val="en-US" w:eastAsia="zh-CN"/>
        </w:rPr>
        <w:t>8、本项目的特定资</w:t>
      </w:r>
      <w:r>
        <w:rPr>
          <w:rFonts w:hint="eastAsia" w:ascii="宋体" w:hAnsi="宋体" w:eastAsia="宋体" w:cs="宋体"/>
          <w:b/>
          <w:bCs/>
          <w:color w:val="auto"/>
          <w:sz w:val="24"/>
          <w:highlight w:val="none"/>
          <w:lang w:val="en-US" w:eastAsia="zh-CN"/>
        </w:rPr>
        <w:t>格要求：</w:t>
      </w:r>
      <w:r>
        <w:rPr>
          <w:rFonts w:hint="eastAsia" w:ascii="宋体" w:hAnsi="宋体" w:cs="宋体"/>
          <w:b/>
          <w:bCs/>
          <w:color w:val="auto"/>
          <w:sz w:val="24"/>
          <w:highlight w:val="none"/>
          <w:lang w:val="en-US" w:eastAsia="zh-CN"/>
        </w:rPr>
        <w:sym w:font="Wingdings" w:char="00FE"/>
      </w:r>
      <w:r>
        <w:rPr>
          <w:rFonts w:hint="eastAsia" w:ascii="宋体" w:hAnsi="宋体" w:cs="宋体"/>
          <w:b/>
          <w:bCs/>
          <w:color w:val="auto"/>
          <w:sz w:val="24"/>
          <w:highlight w:val="none"/>
          <w:lang w:val="en-US" w:eastAsia="zh-CN"/>
        </w:rPr>
        <w:t>无；</w:t>
      </w:r>
      <w:r>
        <w:rPr>
          <w:rFonts w:hint="eastAsia" w:ascii="宋体" w:hAnsi="宋体" w:cs="宋体"/>
          <w:b/>
          <w:bCs/>
          <w:color w:val="auto"/>
          <w:sz w:val="24"/>
          <w:highlight w:val="none"/>
          <w:lang w:val="en-US" w:eastAsia="zh-CN"/>
        </w:rPr>
        <w:sym w:font="Wingdings" w:char="00A8"/>
      </w:r>
      <w:r>
        <w:rPr>
          <w:rFonts w:hint="eastAsia" w:ascii="宋体" w:hAnsi="宋体" w:cs="宋体"/>
          <w:b/>
          <w:bCs/>
          <w:color w:val="auto"/>
          <w:sz w:val="24"/>
          <w:highlight w:val="none"/>
          <w:lang w:val="en-US" w:eastAsia="zh-CN"/>
        </w:rPr>
        <w:t>有</w:t>
      </w:r>
    </w:p>
    <w:p w14:paraId="4B69FFCB">
      <w:pPr>
        <w:snapToGrid w:val="0"/>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40D22F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C27DD1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FB2BE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630D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9"/>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14:paraId="53D8373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9"/>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color w:val="auto"/>
          <w:sz w:val="24"/>
          <w:highlight w:val="none"/>
        </w:rPr>
        <w:fldChar w:fldCharType="begin"/>
      </w:r>
      <w:r>
        <w:rPr>
          <w:rFonts w:hint="eastAsia"/>
          <w:color w:val="auto"/>
          <w:sz w:val="24"/>
          <w:highlight w:val="none"/>
        </w:rPr>
        <w:instrText xml:space="preserve"> HYPERLINK "http://www.qdh.gov.cn/ggzyjyw/index.html_x0005_在线申请获取采购文件（进入\“项目采购\”应用，在获取采购文件菜单中选择项目，申请获取采购文件）。" </w:instrText>
      </w:r>
      <w:r>
        <w:rPr>
          <w:rFonts w:hint="eastAsia"/>
          <w:color w:val="auto"/>
          <w:sz w:val="24"/>
          <w:highlight w:val="none"/>
        </w:rPr>
        <w:fldChar w:fldCharType="separate"/>
      </w:r>
      <w:r>
        <w:rPr>
          <w:rFonts w:hint="eastAsia" w:ascii="宋体" w:hAnsi="宋体" w:cs="宋体"/>
          <w:b/>
          <w:bCs/>
          <w:color w:val="auto"/>
          <w:sz w:val="24"/>
          <w:highlight w:val="none"/>
        </w:rPr>
        <w:t>在线申请获取采购文件（进入“项目采购”应用，在获取采购文件菜单中选择项目，申请获取采购文件）</w:t>
      </w:r>
      <w:r>
        <w:rPr>
          <w:rStyle w:val="79"/>
          <w:rFonts w:hint="eastAsia" w:ascii="宋体" w:hAnsi="宋体" w:cs="宋体"/>
          <w:color w:val="auto"/>
          <w:sz w:val="24"/>
          <w:highlight w:val="none"/>
        </w:rPr>
        <w:t>。</w:t>
      </w:r>
      <w:r>
        <w:rPr>
          <w:rFonts w:hint="eastAsia"/>
          <w:color w:val="auto"/>
          <w:sz w:val="24"/>
          <w:highlight w:val="none"/>
        </w:rPr>
        <w:fldChar w:fldCharType="end"/>
      </w:r>
    </w:p>
    <w:p w14:paraId="0A3E65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5F4E4A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bookmarkStart w:id="815" w:name="_GoBack"/>
      <w:bookmarkEnd w:id="815"/>
    </w:p>
    <w:p w14:paraId="79B633E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2025年3</w:t>
      </w:r>
      <w:r>
        <w:rPr>
          <w:rStyle w:val="79"/>
          <w:rFonts w:hint="eastAsia" w:cs="Times New Roman" w:asciiTheme="minorEastAsia" w:hAnsiTheme="minorEastAsia" w:eastAsiaTheme="minorEastAsia"/>
          <w:snapToGrid/>
          <w:color w:val="auto"/>
          <w:kern w:val="2"/>
          <w:sz w:val="24"/>
          <w:szCs w:val="24"/>
          <w:highlight w:val="none"/>
          <w:u w:val="single"/>
        </w:rPr>
        <w:t>月</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31</w:t>
      </w:r>
      <w:r>
        <w:rPr>
          <w:rStyle w:val="79"/>
          <w:rFonts w:hint="eastAsia" w:cs="Times New Roman" w:asciiTheme="minorEastAsia" w:hAnsiTheme="minorEastAsia" w:eastAsiaTheme="minorEastAsia"/>
          <w:snapToGrid/>
          <w:color w:val="auto"/>
          <w:kern w:val="2"/>
          <w:sz w:val="24"/>
          <w:szCs w:val="24"/>
          <w:highlight w:val="none"/>
          <w:u w:val="single"/>
        </w:rPr>
        <w:t>日</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9"/>
          <w:rFonts w:hint="eastAsia" w:cs="Times New Roman" w:asciiTheme="minorEastAsia" w:hAnsiTheme="minorEastAsia" w:eastAsiaTheme="minorEastAsia"/>
          <w:snapToGrid/>
          <w:color w:val="auto"/>
          <w:kern w:val="2"/>
          <w:sz w:val="24"/>
          <w:szCs w:val="24"/>
          <w:highlight w:val="none"/>
          <w:u w:val="single"/>
        </w:rPr>
        <w:t>点</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9"/>
          <w:rFonts w:hint="eastAsia" w:cs="Times New Roman" w:asciiTheme="minorEastAsia" w:hAnsiTheme="minorEastAsia" w:eastAsiaTheme="minorEastAsia"/>
          <w:snapToGrid/>
          <w:color w:val="auto"/>
          <w:kern w:val="2"/>
          <w:sz w:val="24"/>
          <w:szCs w:val="24"/>
          <w:highlight w:val="none"/>
          <w:u w:val="single"/>
        </w:rPr>
        <w:t>分</w:t>
      </w:r>
      <w:r>
        <w:rPr>
          <w:rStyle w:val="79"/>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23D0412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9"/>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14:paraId="6DCCA96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2025年3</w:t>
      </w:r>
      <w:r>
        <w:rPr>
          <w:rStyle w:val="79"/>
          <w:rFonts w:hint="eastAsia" w:cs="Times New Roman" w:asciiTheme="minorEastAsia" w:hAnsiTheme="minorEastAsia" w:eastAsiaTheme="minorEastAsia"/>
          <w:snapToGrid/>
          <w:color w:val="auto"/>
          <w:kern w:val="2"/>
          <w:sz w:val="24"/>
          <w:szCs w:val="24"/>
          <w:highlight w:val="none"/>
          <w:u w:val="single"/>
        </w:rPr>
        <w:t>月</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31</w:t>
      </w:r>
      <w:r>
        <w:rPr>
          <w:rStyle w:val="79"/>
          <w:rFonts w:hint="eastAsia" w:cs="Times New Roman" w:asciiTheme="minorEastAsia" w:hAnsiTheme="minorEastAsia" w:eastAsiaTheme="minorEastAsia"/>
          <w:snapToGrid/>
          <w:color w:val="auto"/>
          <w:kern w:val="2"/>
          <w:sz w:val="24"/>
          <w:szCs w:val="24"/>
          <w:highlight w:val="none"/>
          <w:u w:val="single"/>
        </w:rPr>
        <w:t>日</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9"/>
          <w:rFonts w:hint="eastAsia" w:cs="Times New Roman" w:asciiTheme="minorEastAsia" w:hAnsiTheme="minorEastAsia" w:eastAsiaTheme="minorEastAsia"/>
          <w:snapToGrid/>
          <w:color w:val="auto"/>
          <w:kern w:val="2"/>
          <w:sz w:val="24"/>
          <w:szCs w:val="24"/>
          <w:highlight w:val="none"/>
          <w:u w:val="single"/>
        </w:rPr>
        <w:t>点</w:t>
      </w:r>
      <w:r>
        <w:rPr>
          <w:rStyle w:val="79"/>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9"/>
          <w:rFonts w:hint="eastAsia" w:cs="Times New Roman" w:asciiTheme="minorEastAsia" w:hAnsiTheme="minorEastAsia" w:eastAsiaTheme="minorEastAsia"/>
          <w:snapToGrid/>
          <w:color w:val="auto"/>
          <w:kern w:val="2"/>
          <w:sz w:val="24"/>
          <w:szCs w:val="24"/>
          <w:highlight w:val="none"/>
          <w:u w:val="single"/>
        </w:rPr>
        <w:t>分</w:t>
      </w:r>
      <w:r>
        <w:rPr>
          <w:rStyle w:val="79"/>
          <w:rFonts w:hint="eastAsia" w:cs="Times New Roman" w:asciiTheme="minorEastAsia" w:hAnsiTheme="minorEastAsia" w:eastAsiaTheme="minorEastAsia"/>
          <w:bCs/>
          <w:snapToGrid/>
          <w:color w:val="auto"/>
          <w:kern w:val="2"/>
          <w:sz w:val="24"/>
          <w:szCs w:val="24"/>
          <w:highlight w:val="none"/>
          <w:u w:val="single"/>
        </w:rPr>
        <w:t>00秒</w:t>
      </w:r>
    </w:p>
    <w:p w14:paraId="07F120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val="zh-CN"/>
        </w:rPr>
        <w:t>“乐采云平台（</w:t>
      </w:r>
      <w:r>
        <w:rPr>
          <w:rStyle w:val="79"/>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lang w:val="zh-CN"/>
        </w:rPr>
        <w:t>）”实行在线开标响应。</w:t>
      </w:r>
    </w:p>
    <w:p w14:paraId="475984D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FF8AA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0DD82A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DA06F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lang w:eastAsia="zh-CN"/>
        </w:rPr>
        <w:t>业主单位的纪检监察</w:t>
      </w:r>
      <w:r>
        <w:rPr>
          <w:rFonts w:hint="eastAsia" w:ascii="宋体" w:hAnsi="宋体" w:cs="宋体"/>
          <w:color w:val="auto"/>
          <w:sz w:val="24"/>
          <w:highlight w:val="none"/>
        </w:rPr>
        <w:t>部门投诉。质疑函范本、投诉书范本请到浙江政府采购网下载专区下载。</w:t>
      </w:r>
    </w:p>
    <w:p w14:paraId="11A628A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）电子招投标的说明：①电子招投标：本项目以数据电文形式，依托“</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采云平台（www.</w:t>
      </w:r>
      <w:r>
        <w:rPr>
          <w:rFonts w:hint="eastAsia" w:ascii="宋体" w:hAnsi="宋体" w:eastAsia="宋体" w:cs="宋体"/>
          <w:color w:val="auto"/>
          <w:sz w:val="24"/>
          <w:highlight w:val="none"/>
          <w:lang w:val="en-US" w:eastAsia="zh-CN"/>
        </w:rPr>
        <w:t>lecaiyun.com</w:t>
      </w:r>
      <w:r>
        <w:rPr>
          <w:rFonts w:hint="eastAsia" w:ascii="宋体" w:hAnsi="宋体" w:eastAsia="宋体" w:cs="宋体"/>
          <w:color w:val="auto"/>
          <w:sz w:val="24"/>
          <w:highlight w:val="none"/>
        </w:rPr>
        <w:t>）”进行招投标活动，不接受纸质投标文件；②投标准备：注册账号--点击“</w:t>
      </w:r>
      <w:r>
        <w:rPr>
          <w:rFonts w:hint="eastAsia" w:ascii="宋体" w:hAnsi="宋体" w:eastAsia="宋体" w:cs="宋体"/>
          <w:color w:val="auto"/>
          <w:sz w:val="24"/>
          <w:highlight w:val="none"/>
          <w:lang w:val="en-US" w:eastAsia="zh-CN"/>
        </w:rPr>
        <w:t>商家注册（https://middle.lecaiyun.com/v-settle-front/enter/accountNew?settleCategory=1&amp;entranceType=150&amp;utm=luban.luban-PC-3677.ct001.10.cfc25940300e11eea83497f4ab63b17d</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，进行供应商资料填写；申领CA数字证书---申领流程详见“浙江政府采购网-下载专区-电子交易客户端-CA驱动和申领流程”</w:t>
      </w:r>
      <w:r>
        <w:rPr>
          <w:rFonts w:hint="eastAsia" w:ascii="宋体" w:hAnsi="宋体" w:eastAsia="宋体" w:cs="宋体"/>
          <w:color w:val="auto"/>
          <w:sz w:val="24"/>
          <w:highlight w:val="none"/>
          <w:lang w:eastAsia="zh-CN"/>
        </w:rPr>
        <w:t>（https://zfcg.czt.zj.gov.cn/luban/detail?parentId=600030&amp;articleId=8usMobfHBXp2GJnjOIZ0EA%3D%3D&amp;utm=luban.luban-PC-37000.979-pc-websitegroup-zhejiang-secondPage-front.3.01412d50301111eea4a9272df37c6142）</w:t>
      </w:r>
      <w:r>
        <w:rPr>
          <w:rFonts w:hint="eastAsia" w:ascii="宋体" w:hAnsi="宋体" w:eastAsia="宋体" w:cs="宋体"/>
          <w:color w:val="auto"/>
          <w:sz w:val="24"/>
          <w:highlight w:val="none"/>
        </w:rPr>
        <w:t>；安装“</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电子交易客户端”----前往“浙江企业采购信息服务网-</w:t>
      </w:r>
      <w:r>
        <w:rPr>
          <w:rFonts w:hint="eastAsia" w:ascii="宋体" w:hAnsi="宋体" w:eastAsia="宋体" w:cs="宋体"/>
          <w:color w:val="auto"/>
          <w:sz w:val="24"/>
          <w:highlight w:val="none"/>
          <w:lang w:val="en-US" w:eastAsia="zh-CN"/>
        </w:rPr>
        <w:t>在线下载</w:t>
      </w:r>
      <w:r>
        <w:rPr>
          <w:rFonts w:hint="eastAsia" w:ascii="宋体" w:hAnsi="宋体" w:eastAsia="宋体" w:cs="宋体"/>
          <w:color w:val="auto"/>
          <w:sz w:val="24"/>
          <w:highlight w:val="none"/>
        </w:rPr>
        <w:t>-电子交易客户端”进行下载安装</w:t>
      </w:r>
      <w:r>
        <w:rPr>
          <w:rFonts w:hint="eastAsia" w:ascii="宋体" w:hAnsi="宋体" w:eastAsia="宋体" w:cs="宋体"/>
          <w:color w:val="auto"/>
          <w:sz w:val="24"/>
          <w:highlight w:val="none"/>
          <w:lang w:eastAsia="zh-CN"/>
        </w:rPr>
        <w:t>（https://b.zhengcaiyun.cn/luban/category?parentId=550045&amp;childrenCode=qicaiCategory17&amp;utm=luban.luban-PC-39026.959-pc-websitegroup-navBar-front.8.233654f0300f11ee9e63571a3f42cf10，</w:t>
      </w:r>
      <w:r>
        <w:rPr>
          <w:rFonts w:hint="eastAsia" w:ascii="宋体" w:hAnsi="宋体" w:eastAsia="宋体" w:cs="宋体"/>
          <w:color w:val="auto"/>
          <w:sz w:val="24"/>
          <w:highlight w:val="none"/>
          <w:lang w:val="en-US" w:eastAsia="zh-CN"/>
        </w:rPr>
        <w:t>若已安装政采云电子交易客户端，无需重新安装乐采云电子交易客户端，乐采云和政采云电子交易客户端可通用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；③招标文件的获取：使用账号登录或者使用CA登录</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平台；进入“项目采购”应用，在获取采购文件菜单中选择项目，获取招标文件；④投标文件的制作：在“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电子交易客户端”中完成“填写基本信息”、“导入投标文件”、“标书关联”、“标书检查”、“电子签名”、“生成电子标书”等操作；⑤采购人、采购代理机构将依托</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采云平台，还可以在投标截止时间前以邮</w:t>
      </w:r>
      <w:r>
        <w:rPr>
          <w:rFonts w:hint="eastAsia" w:ascii="宋体" w:hAnsi="宋体" w:eastAsia="宋体" w:cs="宋体"/>
          <w:color w:val="auto"/>
          <w:sz w:val="24"/>
          <w:highlight w:val="none"/>
          <w:lang w:val="en-US" w:eastAsia="zh-CN"/>
        </w:rPr>
        <w:t>件</w:t>
      </w:r>
      <w:r>
        <w:rPr>
          <w:rFonts w:hint="eastAsia" w:ascii="宋体" w:hAnsi="宋体" w:eastAsia="宋体" w:cs="宋体"/>
          <w:color w:val="auto"/>
          <w:sz w:val="24"/>
          <w:highlight w:val="none"/>
        </w:rPr>
        <w:t>方式递交备份投标文件1份。备份投标文件的制作、存储、密封详见招标文件第二部分第</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点—“备份投标文件”；⑨投标文件的解密：投标人按照平台提示和招标文件的规定在半小时内完成在线解密。通过“</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采云平台”上传递交的投标文件无法按时解密，投标供应商递交了备份投标文件的，以备份投标文件为依据，否则视为投标文件撤回。通过“</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采云平台”上传递交的投标文件已按时解密的，备份投标文件自动失效。投标人仅提交备份投标文件，未在电子交易平台传输递交投标文件的，投标无效；⑩具体操作指南：详见</w:t>
      </w:r>
      <w:r>
        <w:rPr>
          <w:rFonts w:hint="eastAsia" w:ascii="宋体" w:hAnsi="宋体" w:eastAsia="宋体" w:cs="宋体"/>
          <w:color w:val="auto"/>
          <w:sz w:val="24"/>
          <w:highlight w:val="none"/>
          <w:lang w:val="en-US" w:eastAsia="zh-CN"/>
        </w:rPr>
        <w:t>:乐采</w:t>
      </w:r>
      <w:r>
        <w:rPr>
          <w:rFonts w:hint="eastAsia" w:ascii="宋体" w:hAnsi="宋体" w:eastAsia="宋体" w:cs="宋体"/>
          <w:color w:val="auto"/>
          <w:sz w:val="24"/>
          <w:highlight w:val="none"/>
        </w:rPr>
        <w:t>云平台“服务中心-帮助文档-项目采购-电子招投标</w:t>
      </w:r>
      <w:r>
        <w:rPr>
          <w:rFonts w:hint="eastAsia" w:ascii="宋体" w:hAnsi="宋体" w:eastAsia="宋体" w:cs="宋体"/>
          <w:color w:val="auto"/>
          <w:sz w:val="24"/>
          <w:highlight w:val="none"/>
          <w:lang w:val="en-US" w:eastAsia="zh-CN"/>
        </w:rPr>
        <w:t>操作指南-</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）招标文件公告期限与招标公告的公告期限一致。</w:t>
      </w:r>
      <w:r>
        <w:rPr>
          <w:rFonts w:hint="eastAsia" w:ascii="宋体" w:hAnsi="宋体" w:eastAsia="宋体" w:cs="宋体"/>
          <w:color w:val="auto"/>
          <w:sz w:val="24"/>
          <w:highlight w:val="none"/>
          <w:lang w:val="en-US" w:eastAsia="zh-CN"/>
        </w:rPr>
        <w:tab/>
      </w:r>
    </w:p>
    <w:p w14:paraId="04C9980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52846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28EA3CA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 xml:space="preserve">淳安枫树岭水力发电有限责任公司  </w:t>
      </w:r>
    </w:p>
    <w:p w14:paraId="048A073C">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地    址：浙江省杭州市淳安县枫树岭镇所在地</w:t>
      </w:r>
    </w:p>
    <w:p w14:paraId="073B9824">
      <w:pPr>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项目经办人：</w:t>
      </w:r>
      <w:r>
        <w:rPr>
          <w:rFonts w:hint="eastAsia" w:ascii="宋体" w:hAnsi="宋体" w:cs="宋体"/>
          <w:color w:val="000000"/>
          <w:sz w:val="24"/>
          <w:highlight w:val="none"/>
          <w:lang w:val="en-US" w:eastAsia="zh-CN"/>
        </w:rPr>
        <w:t>郑如成</w:t>
      </w:r>
    </w:p>
    <w:p w14:paraId="040F4317">
      <w:pPr>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联系电话：0571-64832956</w:t>
      </w:r>
    </w:p>
    <w:p w14:paraId="4FD7E8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.采购代理机构信息            </w:t>
      </w:r>
    </w:p>
    <w:p w14:paraId="2A38B241">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名称：浙江建安工程管理有限公司</w:t>
      </w:r>
    </w:p>
    <w:p w14:paraId="7C1354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zh-CN"/>
        </w:rPr>
        <w:t>淳安县千岛湖镇青春路2号3楼</w:t>
      </w:r>
      <w:r>
        <w:rPr>
          <w:rFonts w:hint="eastAsia" w:ascii="宋体" w:hAnsi="宋体" w:eastAsia="宋体" w:cs="宋体"/>
          <w:color w:val="auto"/>
          <w:sz w:val="24"/>
          <w:highlight w:val="none"/>
        </w:rPr>
        <w:t xml:space="preserve">          </w:t>
      </w:r>
    </w:p>
    <w:p w14:paraId="734F8E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吴宝财</w:t>
      </w:r>
      <w:r>
        <w:rPr>
          <w:rFonts w:hint="eastAsia" w:ascii="宋体" w:hAnsi="宋体" w:eastAsia="宋体" w:cs="宋体"/>
          <w:color w:val="auto"/>
          <w:sz w:val="24"/>
          <w:highlight w:val="none"/>
        </w:rPr>
        <w:t xml:space="preserve">        </w:t>
      </w:r>
    </w:p>
    <w:p w14:paraId="6EC0B7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项目联系方式（询问）：0571-65066887 </w:t>
      </w:r>
    </w:p>
    <w:p w14:paraId="4FB03E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采购单位纪检监察</w:t>
      </w:r>
      <w:r>
        <w:rPr>
          <w:rFonts w:hint="eastAsia" w:ascii="宋体" w:hAnsi="宋体" w:eastAsia="宋体" w:cs="宋体"/>
          <w:color w:val="auto"/>
          <w:sz w:val="24"/>
          <w:highlight w:val="none"/>
        </w:rPr>
        <w:t xml:space="preserve">部门            </w:t>
      </w:r>
    </w:p>
    <w:p w14:paraId="087517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i w:val="0"/>
          <w:iCs w:val="0"/>
          <w:caps w:val="0"/>
          <w:color w:val="auto"/>
          <w:spacing w:val="0"/>
          <w:sz w:val="24"/>
          <w:szCs w:val="24"/>
          <w:highlight w:val="none"/>
        </w:rPr>
        <w:t>淳安千岛湖农业发展集团有限公司监管部门</w:t>
      </w:r>
    </w:p>
    <w:p w14:paraId="4B6989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aps w:val="0"/>
          <w:color w:val="auto"/>
          <w:spacing w:val="0"/>
          <w:sz w:val="24"/>
          <w:szCs w:val="24"/>
          <w:highlight w:val="none"/>
        </w:rPr>
        <w:t>地址</w:t>
      </w:r>
      <w:r>
        <w:rPr>
          <w:rFonts w:hint="eastAsia" w:ascii="宋体" w:hAnsi="宋体" w:eastAsia="宋体" w:cs="宋体"/>
          <w:color w:val="auto"/>
          <w:sz w:val="24"/>
          <w:highlight w:val="none"/>
        </w:rPr>
        <w:t>：</w:t>
      </w:r>
      <w:r>
        <w:rPr>
          <w:rFonts w:hint="eastAsia" w:ascii="宋体" w:hAnsi="宋体" w:eastAsia="宋体" w:cs="宋体"/>
          <w:sz w:val="24"/>
          <w:lang w:eastAsia="zh-CN"/>
        </w:rPr>
        <w:t>浙江省杭州市淳安县千岛湖镇新安东路</w:t>
      </w:r>
      <w:r>
        <w:rPr>
          <w:rFonts w:hint="eastAsia" w:ascii="宋体" w:hAnsi="宋体" w:eastAsia="宋体" w:cs="宋体"/>
          <w:sz w:val="24"/>
          <w:lang w:val="en-US" w:eastAsia="zh-CN"/>
        </w:rPr>
        <w:t>467号</w:t>
      </w:r>
    </w:p>
    <w:p w14:paraId="2BE2F2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联系人：曹南丰 </w:t>
      </w:r>
    </w:p>
    <w:p w14:paraId="281CE325">
      <w:pPr>
        <w:spacing w:line="360" w:lineRule="auto"/>
        <w:ind w:firstLine="480" w:firstLineChars="200"/>
        <w:rPr>
          <w:rFonts w:ascii="宋体" w:hAnsi="宋体" w:cs="宋体"/>
          <w:color w:val="auto"/>
          <w:sz w:val="24"/>
          <w:highlight w:val="yellow"/>
        </w:rPr>
      </w:pPr>
      <w:r>
        <w:rPr>
          <w:rFonts w:hint="eastAsia" w:ascii="宋体" w:hAnsi="宋体" w:eastAsia="宋体" w:cs="宋体"/>
          <w:color w:val="auto"/>
          <w:sz w:val="24"/>
          <w:highlight w:val="none"/>
        </w:rPr>
        <w:t>监督投诉电话：13989869323</w:t>
      </w:r>
    </w:p>
    <w:p w14:paraId="21644C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采云（https://www.</w:t>
      </w:r>
      <w:r>
        <w:rPr>
          <w:rFonts w:hint="eastAsia" w:ascii="宋体" w:hAnsi="宋体" w:cs="宋体"/>
          <w:color w:val="auto"/>
          <w:sz w:val="24"/>
          <w:highlight w:val="none"/>
          <w:lang w:val="en-US" w:eastAsia="zh-CN"/>
        </w:rPr>
        <w:t>lecaiyun</w:t>
      </w:r>
      <w:r>
        <w:rPr>
          <w:rFonts w:hint="eastAsia" w:ascii="宋体" w:hAnsi="宋体" w:cs="宋体"/>
          <w:color w:val="auto"/>
          <w:sz w:val="24"/>
          <w:highlight w:val="none"/>
        </w:rPr>
        <w:t>.c</w:t>
      </w:r>
      <w:r>
        <w:rPr>
          <w:rFonts w:hint="eastAsia" w:ascii="宋体" w:hAnsi="宋体" w:cs="宋体"/>
          <w:color w:val="auto"/>
          <w:sz w:val="24"/>
          <w:highlight w:val="none"/>
          <w:lang w:val="en-US" w:eastAsia="zh-CN"/>
        </w:rPr>
        <w:t>om</w:t>
      </w:r>
      <w:r>
        <w:rPr>
          <w:rFonts w:hint="eastAsia" w:ascii="宋体" w:hAnsi="宋体" w:cs="宋体"/>
          <w:color w:val="auto"/>
          <w:sz w:val="24"/>
          <w:highlight w:val="none"/>
        </w:rPr>
        <w:t>/），点击右侧咨询小采，获取采小蜜智能服务管家帮助，或拨打政采云</w:t>
      </w:r>
      <w:r>
        <w:rPr>
          <w:rFonts w:hint="eastAsia" w:ascii="宋体" w:hAnsi="宋体" w:cs="宋体"/>
          <w:color w:val="auto"/>
          <w:sz w:val="24"/>
          <w:highlight w:val="none"/>
          <w:lang w:val="en-US" w:eastAsia="zh-CN"/>
        </w:rPr>
        <w:t>有限公司</w:t>
      </w:r>
      <w:r>
        <w:rPr>
          <w:rFonts w:hint="eastAsia" w:ascii="宋体" w:hAnsi="宋体" w:cs="宋体"/>
          <w:color w:val="auto"/>
          <w:sz w:val="24"/>
          <w:highlight w:val="none"/>
        </w:rPr>
        <w:t>服务热线95763获取热线服务帮助。</w:t>
      </w:r>
    </w:p>
    <w:p w14:paraId="1EB1A0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CA064C2">
      <w:pPr>
        <w:pStyle w:val="34"/>
        <w:spacing w:line="360" w:lineRule="auto"/>
        <w:rPr>
          <w:rFonts w:hAnsi="宋体" w:cs="宋体"/>
          <w:snapToGrid/>
          <w:color w:val="auto"/>
          <w:sz w:val="24"/>
          <w:szCs w:val="24"/>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rFonts w:hint="eastAsia" w:hAnsi="宋体" w:cs="宋体"/>
          <w:b/>
          <w:color w:val="auto"/>
          <w:sz w:val="36"/>
          <w:szCs w:val="20"/>
          <w:highlight w:val="none"/>
        </w:rPr>
        <w:t xml:space="preserve">       </w:t>
      </w:r>
    </w:p>
    <w:p w14:paraId="05E16C82">
      <w:pPr>
        <w:pStyle w:val="3"/>
        <w:rPr>
          <w:rFonts w:ascii="宋体"/>
          <w:snapToGrid w:val="0"/>
          <w:color w:val="auto"/>
          <w:highlight w:val="none"/>
        </w:rPr>
      </w:pPr>
      <w:r>
        <w:rPr>
          <w:color w:val="auto"/>
          <w:highlight w:val="none"/>
        </w:rPr>
        <w:br w:type="page"/>
      </w:r>
    </w:p>
    <w:p w14:paraId="7ADFD4B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750CC17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14:paraId="24164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59C95037">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24A22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14:paraId="49A4F74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9230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7B8A30F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9A015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813" w:type="dxa"/>
            <w:tcBorders>
              <w:top w:val="single" w:color="000000" w:sz="8" w:space="0"/>
              <w:left w:val="single" w:color="000000" w:sz="2" w:space="0"/>
              <w:bottom w:val="single" w:color="000000" w:sz="8" w:space="0"/>
              <w:right w:val="single" w:color="000000" w:sz="8" w:space="0"/>
            </w:tcBorders>
            <w:vAlign w:val="center"/>
          </w:tcPr>
          <w:p w14:paraId="2C6F6756">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类。</w:t>
            </w:r>
          </w:p>
        </w:tc>
      </w:tr>
      <w:tr w14:paraId="33A0D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3819E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C54A03">
            <w:pPr>
              <w:snapToGrid w:val="0"/>
              <w:spacing w:line="360"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rPr>
              <w:t>是否允许采购进口产品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653F055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本项目不允许采购进口产品。</w:t>
            </w:r>
          </w:p>
          <w:p w14:paraId="36685EA9">
            <w:pPr>
              <w:spacing w:line="360" w:lineRule="auto"/>
              <w:rPr>
                <w:rFonts w:ascii="Wingdings" w:hAnsi="Wingdings" w:cs="宋体"/>
                <w:color w:val="auto"/>
                <w:kern w:val="0"/>
                <w:sz w:val="24"/>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08E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3008119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017550F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DC28A5C">
            <w:pPr>
              <w:keepNext w:val="0"/>
              <w:keepLines w:val="0"/>
              <w:pageBreakBefore w:val="0"/>
              <w:widowControl w:val="0"/>
              <w:kinsoku/>
              <w:wordWrap/>
              <w:overflowPunct/>
              <w:topLinePunct w:val="0"/>
              <w:bidi w:val="0"/>
              <w:adjustRightInd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14:paraId="60788C5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25230E17">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4690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794A056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60ED75A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919A18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14:paraId="0319E25E">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FFDB5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2A21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A32B1D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84153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14:paraId="6DD613D3">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03F4113">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47475501"/>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p w14:paraId="48B818AC">
            <w:pPr>
              <w:keepNext w:val="0"/>
              <w:keepLines w:val="0"/>
              <w:pageBreakBefore w:val="0"/>
              <w:widowControl w:val="0"/>
              <w:numPr>
                <w:ilvl w:val="0"/>
                <w:numId w:val="2"/>
              </w:numPr>
              <w:kinsoku/>
              <w:wordWrap/>
              <w:overflowPunct/>
              <w:topLinePunct w:val="0"/>
              <w:bidi w:val="0"/>
              <w:adjustRightInd w:val="0"/>
              <w:snapToGrid w:val="0"/>
              <w:spacing w:line="240" w:lineRule="auto"/>
              <w:textAlignment w:val="auto"/>
              <w:rPr>
                <w:rFonts w:ascii="宋体" w:hAnsi="宋体" w:cs="宋体"/>
                <w:b w:val="0"/>
                <w:bCs w:val="0"/>
                <w:color w:val="auto"/>
                <w:kern w:val="0"/>
                <w:sz w:val="24"/>
                <w:highlight w:val="none"/>
                <w:u w:val="single"/>
              </w:rPr>
            </w:pPr>
            <w:r>
              <w:rPr>
                <w:rFonts w:hint="eastAsia" w:ascii="宋体" w:hAnsi="宋体" w:cs="宋体"/>
                <w:b w:val="0"/>
                <w:bCs w:val="0"/>
                <w:snapToGrid w:val="0"/>
                <w:color w:val="auto"/>
                <w:kern w:val="28"/>
                <w:sz w:val="24"/>
                <w:highlight w:val="none"/>
              </w:rPr>
              <w:t>样品：</w:t>
            </w:r>
            <w:r>
              <w:rPr>
                <w:rFonts w:hint="eastAsia" w:ascii="宋体" w:hAnsi="宋体" w:cs="宋体"/>
                <w:b w:val="0"/>
                <w:bCs w:val="0"/>
                <w:snapToGrid w:val="0"/>
                <w:color w:val="auto"/>
                <w:kern w:val="28"/>
                <w:sz w:val="24"/>
                <w:highlight w:val="none"/>
                <w:u w:val="single"/>
                <w:lang w:val="en-US" w:eastAsia="zh-CN"/>
              </w:rPr>
              <w:t xml:space="preserve">      </w:t>
            </w:r>
          </w:p>
          <w:p w14:paraId="0CEB0CBE">
            <w:pPr>
              <w:keepNext w:val="0"/>
              <w:keepLines w:val="0"/>
              <w:pageBreakBefore w:val="0"/>
              <w:widowControl w:val="0"/>
              <w:numPr>
                <w:ilvl w:val="0"/>
                <w:numId w:val="2"/>
              </w:numPr>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u w:val="single"/>
              </w:rPr>
              <w:t xml:space="preserve"> </w:t>
            </w:r>
            <w:r>
              <w:rPr>
                <w:rFonts w:hint="eastAsia" w:ascii="宋体" w:hAnsi="宋体" w:cs="宋体"/>
                <w:color w:val="auto"/>
                <w:kern w:val="0"/>
                <w:sz w:val="24"/>
                <w:highlight w:val="none"/>
              </w:rPr>
              <w:t>；</w:t>
            </w:r>
          </w:p>
          <w:p w14:paraId="060966C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8050A8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C93C55D">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b w:val="0"/>
                <w:bCs w:val="0"/>
                <w:color w:val="auto"/>
                <w:sz w:val="24"/>
                <w:highlight w:val="none"/>
              </w:rPr>
              <w:t>（5）</w:t>
            </w:r>
            <w:r>
              <w:rPr>
                <w:rFonts w:hint="eastAsia" w:ascii="宋体" w:hAnsi="宋体" w:cs="宋体"/>
                <w:color w:val="auto"/>
                <w:sz w:val="24"/>
                <w:highlight w:val="none"/>
              </w:rPr>
              <w:t>提供样品的时间：</w:t>
            </w:r>
            <w:r>
              <w:rPr>
                <w:rFonts w:hint="eastAsia" w:ascii="仿宋_GB2312" w:hAnsi="仿宋" w:eastAsia="仿宋_GB2312"/>
                <w:b/>
                <w:bCs/>
                <w:color w:val="auto"/>
                <w:sz w:val="24"/>
                <w:highlight w:val="none"/>
                <w:u w:val="single"/>
                <w:lang w:val="en-US" w:eastAsia="zh-CN"/>
              </w:rPr>
              <w:t xml:space="preserve">                    </w:t>
            </w:r>
            <w:r>
              <w:rPr>
                <w:rFonts w:hint="eastAsia" w:ascii="仿宋_GB2312" w:hAnsi="仿宋" w:eastAsia="仿宋_GB2312"/>
                <w:b/>
                <w:bCs/>
                <w:color w:val="auto"/>
                <w:sz w:val="24"/>
                <w:highlight w:val="none"/>
                <w:u w:val="single"/>
              </w:rPr>
              <w:t>。</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AB4CAA5">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DEED1A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E6E5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37B6133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ED8B7B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6A96AE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14:paraId="2485E84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2218636">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7B020F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371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restart"/>
            <w:tcBorders>
              <w:top w:val="single" w:color="auto" w:sz="4" w:space="0"/>
              <w:left w:val="single" w:color="auto" w:sz="4" w:space="0"/>
              <w:right w:val="single" w:color="auto" w:sz="4" w:space="0"/>
            </w:tcBorders>
          </w:tcPr>
          <w:p w14:paraId="3760115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F9B533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22E136B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14:paraId="1306CAC8">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p>
          <w:p w14:paraId="76E77D5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CCE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bottom w:val="single" w:color="auto" w:sz="4" w:space="0"/>
              <w:right w:val="single" w:color="auto" w:sz="4" w:space="0"/>
            </w:tcBorders>
            <w:shd w:val="clear" w:color="auto" w:fill="auto"/>
            <w:vAlign w:val="top"/>
          </w:tcPr>
          <w:p w14:paraId="03BA90E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843" w:type="dxa"/>
            <w:vMerge w:val="continue"/>
            <w:tcBorders>
              <w:left w:val="single" w:color="auto" w:sz="4" w:space="0"/>
              <w:bottom w:val="single" w:color="000000" w:sz="8" w:space="0"/>
              <w:right w:val="single" w:color="000000" w:sz="8" w:space="0"/>
            </w:tcBorders>
            <w:vAlign w:val="center"/>
          </w:tcPr>
          <w:p w14:paraId="41C3FD6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000000" w:sz="2" w:space="0"/>
              <w:bottom w:val="single" w:color="000000" w:sz="8" w:space="0"/>
              <w:right w:val="single" w:color="000000" w:sz="8" w:space="0"/>
            </w:tcBorders>
            <w:vAlign w:val="center"/>
          </w:tcPr>
          <w:p w14:paraId="4E9E046C">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B3A4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4C1148E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25CA6DF">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14:paraId="424337A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w:t>
            </w:r>
            <w:r>
              <w:rPr>
                <w:rFonts w:hint="eastAsia" w:ascii="宋体" w:hAnsi="宋体" w:cs="宋体"/>
                <w:b/>
                <w:bCs/>
                <w:color w:val="auto"/>
                <w:sz w:val="24"/>
                <w:highlight w:val="none"/>
                <w:lang w:eastAsia="zh-CN"/>
              </w:rPr>
              <w:t>乐</w:t>
            </w:r>
            <w:r>
              <w:rPr>
                <w:rFonts w:hint="eastAsia" w:ascii="宋体" w:hAnsi="宋体" w:cs="宋体"/>
                <w:b/>
                <w:bCs/>
                <w:color w:val="auto"/>
                <w:sz w:val="24"/>
                <w:highlight w:val="none"/>
              </w:rPr>
              <w:t>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3DDAA9EE">
            <w:pPr>
              <w:keepNext w:val="0"/>
              <w:keepLines w:val="0"/>
              <w:pageBreakBefore w:val="0"/>
              <w:widowControl w:val="0"/>
              <w:kinsoku/>
              <w:wordWrap/>
              <w:overflowPunct/>
              <w:topLinePunct w:val="0"/>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57D0E7">
            <w:pPr>
              <w:keepNext w:val="0"/>
              <w:keepLines w:val="0"/>
              <w:pageBreakBefore w:val="0"/>
              <w:widowControl w:val="0"/>
              <w:kinsoku/>
              <w:wordWrap/>
              <w:overflowPunct/>
              <w:topLinePunct w:val="0"/>
              <w:bidi w:val="0"/>
              <w:adjustRightInd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50902CD">
            <w:pPr>
              <w:keepNext w:val="0"/>
              <w:keepLines w:val="0"/>
              <w:pageBreakBefore w:val="0"/>
              <w:widowControl w:val="0"/>
              <w:kinsoku/>
              <w:wordWrap/>
              <w:overflowPunct/>
              <w:topLinePunct w:val="0"/>
              <w:bidi w:val="0"/>
              <w:adjustRightInd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B94A9F6">
            <w:pPr>
              <w:keepNext w:val="0"/>
              <w:keepLines w:val="0"/>
              <w:pageBreakBefore w:val="0"/>
              <w:widowControl w:val="0"/>
              <w:kinsoku/>
              <w:wordWrap/>
              <w:overflowPunct/>
              <w:topLinePunct w:val="0"/>
              <w:bidi w:val="0"/>
              <w:adjustRightInd w:val="0"/>
              <w:snapToGrid w:val="0"/>
              <w:spacing w:line="240" w:lineRule="auto"/>
              <w:ind w:firstLine="241" w:firstLineChars="1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35F80174">
            <w:pPr>
              <w:keepNext w:val="0"/>
              <w:keepLines w:val="0"/>
              <w:pageBreakBefore w:val="0"/>
              <w:widowControl w:val="0"/>
              <w:kinsoku/>
              <w:wordWrap/>
              <w:overflowPunct/>
              <w:topLinePunct w:val="0"/>
              <w:bidi w:val="0"/>
              <w:adjustRightInd w:val="0"/>
              <w:snapToGrid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3D1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58547B2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4D476D1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14:paraId="086EE480">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本项目实行电子投标。</w:t>
            </w:r>
          </w:p>
          <w:p w14:paraId="5E73138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1.供应商应准备电子投标文件、以介质存储的数据电文形式的备份投标文件两类：</w:t>
            </w:r>
          </w:p>
          <w:p w14:paraId="4F4865D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（1）电子投标文件，按</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采云平台项目采购-电子招投标操作指南及本招标文件要求递交。</w:t>
            </w:r>
          </w:p>
          <w:p w14:paraId="6685EB7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（2）以介质存储的数据电文形式的备份投标文件：按</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采云平台项目采购-电子招投标操作指南制作备份投标文件（后缀名为.bfbs），在投标截止时间前以电子邮件形式递交至(</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"mailto:2990430955@qq.com"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1057680823</w:t>
            </w:r>
            <w:r>
              <w:rPr>
                <w:rFonts w:hint="eastAsia" w:ascii="宋体" w:hAnsi="宋体" w:cs="宋体"/>
                <w:color w:val="auto"/>
                <w:sz w:val="24"/>
                <w:highlight w:val="none"/>
              </w:rPr>
              <w:t>@qq.com</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7747464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2B76FF1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▲未传输递交电子投标文件的，投标无效。</w:t>
            </w:r>
          </w:p>
          <w:p w14:paraId="4C7BC80A">
            <w:pPr>
              <w:keepNext w:val="0"/>
              <w:keepLines w:val="0"/>
              <w:pageBreakBefore w:val="0"/>
              <w:widowControl w:val="0"/>
              <w:kinsoku/>
              <w:wordWrap/>
              <w:overflowPunct/>
              <w:topLinePunct w:val="0"/>
              <w:bidi w:val="0"/>
              <w:adjustRightInd w:val="0"/>
              <w:snapToGrid w:val="0"/>
              <w:spacing w:line="240" w:lineRule="auto"/>
              <w:textAlignment w:val="auto"/>
              <w:rPr>
                <w:rFonts w:hAnsi="宋体" w:cs="宋体"/>
                <w:color w:val="auto"/>
                <w:kern w:val="28"/>
                <w:sz w:val="24"/>
                <w:highlight w:val="none"/>
              </w:rPr>
            </w:pPr>
            <w:r>
              <w:rPr>
                <w:rFonts w:hint="eastAsia" w:ascii="宋体" w:hAnsi="宋体" w:cs="宋体"/>
                <w:color w:val="auto"/>
                <w:sz w:val="24"/>
                <w:highlight w:val="none"/>
              </w:rPr>
              <w:t>▲未按规定提供相应的备份投标文件，造成项目开评标活动无法进行下去的，投标无效。</w:t>
            </w:r>
          </w:p>
        </w:tc>
      </w:tr>
      <w:tr w14:paraId="2C50D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restart"/>
            <w:tcBorders>
              <w:top w:val="single" w:color="auto" w:sz="4" w:space="0"/>
              <w:left w:val="single" w:color="auto" w:sz="4" w:space="0"/>
              <w:right w:val="single" w:color="auto" w:sz="4" w:space="0"/>
            </w:tcBorders>
            <w:vAlign w:val="center"/>
          </w:tcPr>
          <w:p w14:paraId="2203023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5E81A4C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14:paraId="112EF4B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92D7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right w:val="single" w:color="auto" w:sz="4" w:space="0"/>
            </w:tcBorders>
          </w:tcPr>
          <w:p w14:paraId="7AA41E4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25B0F48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4F0B5705">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b w:val="0"/>
                  <w:bCs w:val="0"/>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b w:val="0"/>
                      <w:bCs w:val="0"/>
                      <w:color w:val="auto"/>
                      <w:kern w:val="0"/>
                      <w:sz w:val="24"/>
                      <w:highlight w:val="none"/>
                    </w:rPr>
                  </w:sdtEndPr>
                  <w:sdtContent>
                    <w:r>
                      <w:rPr>
                        <w:rFonts w:hint="eastAsia" w:cs="Arial" w:asciiTheme="minorEastAsia" w:hAnsiTheme="minorEastAsia" w:eastAsiaTheme="minorEastAsia"/>
                        <w:b w:val="0"/>
                        <w:bCs w:val="0"/>
                        <w:color w:val="auto"/>
                        <w:kern w:val="0"/>
                        <w:sz w:val="24"/>
                        <w:highlight w:val="none"/>
                      </w:rPr>
                      <w:sym w:font="Wingdings" w:char="00A8"/>
                    </w:r>
                  </w:sdtContent>
                </w:sdt>
              </w:sdtContent>
            </w:sdt>
            <w:r>
              <w:rPr>
                <w:rFonts w:hint="eastAsia" w:ascii="宋体" w:hAnsi="宋体" w:cs="宋体"/>
                <w:b w:val="0"/>
                <w:bCs w:val="0"/>
                <w:snapToGrid w:val="0"/>
                <w:color w:val="auto"/>
                <w:kern w:val="28"/>
                <w:sz w:val="24"/>
                <w:highlight w:val="none"/>
              </w:rPr>
              <w:t>联合体投标的，联合体各方均需按招标文件第四部分评标标准要求提供资信证明文件，否则视为不符合相关要求。</w:t>
            </w:r>
          </w:p>
          <w:p w14:paraId="171BF85B">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3660"/>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0AD8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right w:val="single" w:color="auto" w:sz="4" w:space="0"/>
            </w:tcBorders>
          </w:tcPr>
          <w:p w14:paraId="736D528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181120D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6CDACAA4">
            <w:pPr>
              <w:keepNext w:val="0"/>
              <w:keepLines w:val="0"/>
              <w:pageBreakBefore w:val="0"/>
              <w:widowControl w:val="0"/>
              <w:kinsoku/>
              <w:wordWrap/>
              <w:overflowPunct/>
              <w:topLinePunct w:val="0"/>
              <w:bidi w:val="0"/>
              <w:adjustRightInd w:val="0"/>
              <w:snapToGrid w:val="0"/>
              <w:spacing w:line="240" w:lineRule="auto"/>
              <w:textAlignment w:val="auto"/>
              <w:rPr>
                <w:rFonts w:hint="eastAsia" w:cs="Arial" w:asciiTheme="minorEastAsia" w:hAnsiTheme="minorEastAsia" w:eastAsiaTheme="minorEastAsia"/>
                <w:b w:val="0"/>
                <w:bCs w:val="0"/>
                <w:color w:val="auto"/>
                <w:kern w:val="0"/>
                <w:sz w:val="24"/>
                <w:highlight w:val="none"/>
              </w:rPr>
            </w:pPr>
            <w:r>
              <w:rPr>
                <w:rFonts w:hint="eastAsia" w:ascii="宋体" w:hAnsi="宋体"/>
                <w:b w:val="0"/>
                <w:bCs w:val="0"/>
                <w:color w:val="auto"/>
                <w:sz w:val="24"/>
                <w:highlight w:val="none"/>
              </w:rPr>
              <w:t>本招标文件的解释权属于采购单位和委托代理机构。</w:t>
            </w:r>
          </w:p>
        </w:tc>
      </w:tr>
      <w:tr w14:paraId="210AD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bottom w:val="single" w:color="auto" w:sz="4" w:space="0"/>
              <w:right w:val="single" w:color="auto" w:sz="4" w:space="0"/>
            </w:tcBorders>
            <w:shd w:val="clear" w:color="auto" w:fill="auto"/>
            <w:vAlign w:val="center"/>
          </w:tcPr>
          <w:p w14:paraId="72F75F8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p>
        </w:tc>
        <w:tc>
          <w:tcPr>
            <w:tcW w:w="1843" w:type="dxa"/>
            <w:vMerge w:val="continue"/>
            <w:tcBorders>
              <w:left w:val="single" w:color="auto" w:sz="4" w:space="0"/>
              <w:bottom w:val="single" w:color="auto" w:sz="4" w:space="0"/>
              <w:right w:val="single" w:color="auto" w:sz="4" w:space="0"/>
            </w:tcBorders>
            <w:vAlign w:val="center"/>
          </w:tcPr>
          <w:p w14:paraId="04CDCC3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1771F4FD">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b w:val="0"/>
                <w:bCs w:val="0"/>
                <w:color w:val="auto"/>
                <w:sz w:val="24"/>
                <w:highlight w:val="none"/>
              </w:rPr>
            </w:pPr>
            <w:r>
              <w:rPr>
                <w:rFonts w:hint="eastAsia" w:ascii="宋体" w:hAnsi="宋体"/>
                <w:b/>
                <w:bCs/>
                <w:color w:val="auto"/>
                <w:sz w:val="24"/>
                <w:highlight w:val="none"/>
              </w:rPr>
              <w:t>如发现投标单位提供虚假材料、围标串标等违法违规行为参与我县国有企业采购投标活动的，无论中标与否，将取消该投标单位在本平台三年的投标资格。</w:t>
            </w:r>
          </w:p>
        </w:tc>
      </w:tr>
      <w:tr w14:paraId="039E6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3F83C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1F2F13D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14:paraId="207F9E8F">
            <w:pPr>
              <w:pStyle w:val="25"/>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olor w:val="auto"/>
                <w:sz w:val="24"/>
                <w:highlight w:val="none"/>
              </w:rPr>
            </w:pPr>
            <w:r>
              <w:rPr>
                <w:rFonts w:hint="eastAsia" w:ascii="宋体" w:hAnsi="宋体"/>
                <w:color w:val="auto"/>
                <w:sz w:val="24"/>
                <w:highlight w:val="none"/>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hAnsi="宋体"/>
                <w:color w:val="auto"/>
                <w:sz w:val="24"/>
                <w:highlight w:val="none"/>
                <w:lang w:val="en-US" w:eastAsia="zh-CN"/>
              </w:rPr>
              <w:t>6</w:t>
            </w:r>
            <w:r>
              <w:rPr>
                <w:rFonts w:hint="eastAsia" w:ascii="宋体" w:hAnsi="宋体"/>
                <w:color w:val="auto"/>
                <w:sz w:val="24"/>
                <w:highlight w:val="none"/>
              </w:rPr>
              <w:t>），其余按实收取,本项目采购评审费由采购单位支付。</w:t>
            </w:r>
          </w:p>
          <w:p w14:paraId="7CBC2881">
            <w:pPr>
              <w:pStyle w:val="25"/>
              <w:keepNext w:val="0"/>
              <w:keepLines w:val="0"/>
              <w:pageBreakBefore w:val="0"/>
              <w:widowControl w:val="0"/>
              <w:kinsoku/>
              <w:wordWrap/>
              <w:overflowPunct/>
              <w:topLinePunct w:val="0"/>
              <w:bidi w:val="0"/>
              <w:adjustRightInd w:val="0"/>
              <w:snapToGrid w:val="0"/>
              <w:spacing w:line="240" w:lineRule="auto"/>
              <w:textAlignment w:val="auto"/>
              <w:rPr>
                <w:rFonts w:hint="default" w:hAnsi="宋体" w:cs="宋体"/>
                <w:color w:val="auto"/>
                <w:kern w:val="28"/>
                <w:szCs w:val="24"/>
                <w:highlight w:val="none"/>
                <w:lang w:val="en-US" w:eastAsia="zh-CN"/>
              </w:rPr>
            </w:pPr>
            <w:r>
              <w:rPr>
                <w:rFonts w:ascii="宋体" w:hAnsi="宋体" w:eastAsia="宋体" w:cs="宋体"/>
                <w:color w:val="auto"/>
                <w:sz w:val="24"/>
                <w:szCs w:val="24"/>
                <w:highlight w:val="none"/>
              </w:rPr>
              <w:t>名称：淳安县产权经纪有限公司</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账号：7991 8100 0497 25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开户行：杭州银行股份有限公司淳安支行</w:t>
            </w:r>
          </w:p>
          <w:p w14:paraId="1AFE8E67">
            <w:pPr>
              <w:pStyle w:val="25"/>
              <w:keepNext w:val="0"/>
              <w:keepLines w:val="0"/>
              <w:pageBreakBefore w:val="0"/>
              <w:widowControl w:val="0"/>
              <w:kinsoku/>
              <w:wordWrap/>
              <w:overflowPunct/>
              <w:topLinePunct w:val="0"/>
              <w:bidi w:val="0"/>
              <w:adjustRightInd w:val="0"/>
              <w:snapToGrid w:val="0"/>
              <w:spacing w:line="240" w:lineRule="auto"/>
              <w:textAlignment w:val="auto"/>
              <w:rPr>
                <w:rFonts w:cs="Arial" w:asciiTheme="minorEastAsia" w:hAnsiTheme="minorEastAsia" w:eastAsiaTheme="minorEastAsia"/>
                <w:color w:val="auto"/>
                <w:kern w:val="0"/>
                <w:sz w:val="24"/>
                <w:highlight w:val="none"/>
              </w:rPr>
            </w:pPr>
            <w:r>
              <w:rPr>
                <w:rFonts w:hint="eastAsia" w:hAnsi="宋体" w:cs="宋体"/>
                <w:color w:val="auto"/>
                <w:kern w:val="28"/>
                <w:szCs w:val="24"/>
                <w:highlight w:val="none"/>
                <w:lang w:val="en-US" w:eastAsia="zh-CN"/>
              </w:rPr>
              <w:t>联系人：江旭琴          联系电话：0571-64880506</w:t>
            </w:r>
          </w:p>
        </w:tc>
      </w:tr>
      <w:tr w14:paraId="7CC74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6AF137A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9F55224">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备注</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203404D9">
            <w:pPr>
              <w:spacing w:line="360" w:lineRule="auto"/>
              <w:rPr>
                <w:rFonts w:hint="eastAsia" w:ascii="宋体" w:hAnsi="宋体" w:eastAsia="宋体" w:cs="宋体"/>
                <w:color w:val="auto"/>
                <w:kern w:val="28"/>
                <w:sz w:val="21"/>
                <w:szCs w:val="24"/>
                <w:highlight w:val="none"/>
                <w:lang w:val="en-US" w:eastAsia="zh-CN" w:bidi="ar-SA"/>
              </w:rPr>
            </w:pPr>
            <w:r>
              <w:rPr>
                <w:rFonts w:hint="eastAsia" w:ascii="宋体" w:hAnsi="宋体" w:eastAsia="宋体" w:cs="宋体"/>
                <w:snapToGrid w:val="0"/>
                <w:color w:val="auto"/>
                <w:kern w:val="28"/>
                <w:sz w:val="24"/>
                <w:highlight w:val="none"/>
              </w:rPr>
              <w:t>中标人中标后须提供给采购代理机构两份加盖公章的纸质投标文件(一正一副，副本是正本的复印件，与电子投标文件一致，如不一致，以电子投标文件为准)。</w:t>
            </w:r>
          </w:p>
        </w:tc>
      </w:tr>
    </w:tbl>
    <w:p w14:paraId="31BAF5D2">
      <w:pPr>
        <w:snapToGrid w:val="0"/>
        <w:spacing w:line="360" w:lineRule="auto"/>
        <w:jc w:val="center"/>
        <w:rPr>
          <w:rFonts w:ascii="宋体" w:hAnsi="宋体" w:cs="宋体"/>
          <w:b/>
          <w:color w:val="auto"/>
          <w:sz w:val="32"/>
          <w:szCs w:val="20"/>
          <w:highlight w:val="none"/>
        </w:rPr>
      </w:pPr>
    </w:p>
    <w:bookmarkEnd w:id="9"/>
    <w:p w14:paraId="1CF6D62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p>
    <w:p w14:paraId="30A79805">
      <w:pPr>
        <w:adjustRightInd/>
        <w:spacing w:line="360" w:lineRule="auto"/>
        <w:ind w:firstLine="3845" w:firstLineChars="1197"/>
        <w:outlineLvl w:val="0"/>
        <w:rPr>
          <w:rFonts w:hint="eastAsia" w:ascii="宋体" w:hAnsi="宋体" w:cs="宋体"/>
          <w:b/>
          <w:color w:val="auto"/>
          <w:sz w:val="32"/>
          <w:szCs w:val="20"/>
          <w:highlight w:val="none"/>
        </w:rPr>
      </w:pPr>
    </w:p>
    <w:p w14:paraId="3A3055AA">
      <w:pPr>
        <w:adjustRightInd/>
        <w:spacing w:line="360" w:lineRule="auto"/>
        <w:ind w:firstLine="3845" w:firstLineChars="1197"/>
        <w:outlineLvl w:val="0"/>
        <w:rPr>
          <w:rFonts w:hint="eastAsia" w:ascii="宋体" w:hAnsi="宋体" w:cs="宋体"/>
          <w:b/>
          <w:color w:val="auto"/>
          <w:sz w:val="32"/>
          <w:szCs w:val="20"/>
          <w:highlight w:val="none"/>
        </w:rPr>
      </w:pPr>
    </w:p>
    <w:p w14:paraId="62608EEB">
      <w:pPr>
        <w:adjustRightInd/>
        <w:spacing w:line="360" w:lineRule="auto"/>
        <w:ind w:firstLine="3845" w:firstLineChars="1197"/>
        <w:outlineLvl w:val="0"/>
        <w:rPr>
          <w:rFonts w:hint="eastAsia" w:ascii="宋体" w:hAnsi="宋体" w:cs="宋体"/>
          <w:b/>
          <w:color w:val="auto"/>
          <w:sz w:val="32"/>
          <w:szCs w:val="20"/>
          <w:highlight w:val="none"/>
        </w:rPr>
      </w:pPr>
    </w:p>
    <w:p w14:paraId="185D5438">
      <w:pPr>
        <w:adjustRightInd/>
        <w:spacing w:line="360" w:lineRule="auto"/>
        <w:ind w:firstLine="3845" w:firstLineChars="1197"/>
        <w:outlineLvl w:val="0"/>
        <w:rPr>
          <w:rFonts w:hint="eastAsia" w:ascii="宋体" w:hAnsi="宋体" w:cs="宋体"/>
          <w:b/>
          <w:color w:val="auto"/>
          <w:sz w:val="32"/>
          <w:szCs w:val="20"/>
          <w:highlight w:val="none"/>
        </w:rPr>
      </w:pPr>
    </w:p>
    <w:p w14:paraId="39D149D6">
      <w:pPr>
        <w:pStyle w:val="25"/>
        <w:rPr>
          <w:rFonts w:hint="eastAsia" w:ascii="宋体" w:hAnsi="宋体" w:cs="宋体"/>
          <w:b/>
          <w:color w:val="auto"/>
          <w:sz w:val="32"/>
          <w:szCs w:val="20"/>
          <w:highlight w:val="none"/>
        </w:rPr>
      </w:pPr>
    </w:p>
    <w:p w14:paraId="747454DB">
      <w:pPr>
        <w:pStyle w:val="62"/>
        <w:rPr>
          <w:rFonts w:hint="eastAsia" w:ascii="宋体" w:hAnsi="宋体" w:cs="宋体"/>
          <w:b/>
          <w:color w:val="auto"/>
          <w:sz w:val="32"/>
          <w:szCs w:val="20"/>
          <w:highlight w:val="none"/>
        </w:rPr>
      </w:pPr>
    </w:p>
    <w:p w14:paraId="490A66D0">
      <w:pPr>
        <w:rPr>
          <w:rFonts w:hint="eastAsia" w:ascii="宋体" w:hAnsi="宋体" w:cs="宋体"/>
          <w:b/>
          <w:color w:val="auto"/>
          <w:sz w:val="32"/>
          <w:szCs w:val="20"/>
          <w:highlight w:val="none"/>
        </w:rPr>
      </w:pPr>
    </w:p>
    <w:p w14:paraId="010E21FE">
      <w:pPr>
        <w:pStyle w:val="3"/>
        <w:rPr>
          <w:rFonts w:hint="eastAsia" w:ascii="宋体" w:hAnsi="宋体" w:cs="宋体"/>
          <w:b/>
          <w:color w:val="auto"/>
          <w:sz w:val="32"/>
          <w:szCs w:val="20"/>
          <w:highlight w:val="none"/>
        </w:rPr>
      </w:pPr>
    </w:p>
    <w:p w14:paraId="475F84D4">
      <w:pPr>
        <w:pStyle w:val="17"/>
        <w:rPr>
          <w:rFonts w:hint="eastAsia" w:ascii="宋体" w:hAnsi="宋体" w:cs="宋体"/>
          <w:b/>
          <w:color w:val="auto"/>
          <w:sz w:val="32"/>
          <w:szCs w:val="20"/>
          <w:highlight w:val="none"/>
        </w:rPr>
      </w:pPr>
    </w:p>
    <w:p w14:paraId="43E3A241">
      <w:pPr>
        <w:pStyle w:val="26"/>
        <w:rPr>
          <w:rFonts w:hint="eastAsia" w:ascii="宋体" w:hAnsi="宋体" w:cs="宋体"/>
          <w:b/>
          <w:color w:val="auto"/>
          <w:sz w:val="32"/>
          <w:szCs w:val="20"/>
          <w:highlight w:val="none"/>
        </w:rPr>
      </w:pPr>
    </w:p>
    <w:p w14:paraId="65EE4B4E">
      <w:pPr>
        <w:pStyle w:val="27"/>
        <w:rPr>
          <w:rFonts w:hint="eastAsia" w:ascii="宋体" w:hAnsi="宋体" w:cs="宋体"/>
          <w:b/>
          <w:color w:val="auto"/>
          <w:sz w:val="32"/>
          <w:szCs w:val="20"/>
          <w:highlight w:val="none"/>
        </w:rPr>
      </w:pPr>
    </w:p>
    <w:p w14:paraId="32C041E0">
      <w:pPr>
        <w:pStyle w:val="27"/>
        <w:rPr>
          <w:rFonts w:hint="eastAsia" w:ascii="宋体" w:hAnsi="宋体" w:cs="宋体"/>
          <w:b/>
          <w:color w:val="auto"/>
          <w:sz w:val="32"/>
          <w:szCs w:val="20"/>
          <w:highlight w:val="none"/>
        </w:rPr>
      </w:pPr>
    </w:p>
    <w:p w14:paraId="7AABEDE3">
      <w:pPr>
        <w:pStyle w:val="27"/>
        <w:rPr>
          <w:rFonts w:hint="eastAsia" w:ascii="宋体" w:hAnsi="宋体" w:cs="宋体"/>
          <w:b/>
          <w:color w:val="auto"/>
          <w:sz w:val="32"/>
          <w:szCs w:val="20"/>
          <w:highlight w:val="none"/>
        </w:rPr>
      </w:pPr>
    </w:p>
    <w:p w14:paraId="2DF21957">
      <w:pPr>
        <w:pStyle w:val="27"/>
        <w:rPr>
          <w:rFonts w:hint="eastAsia" w:ascii="宋体" w:hAnsi="宋体" w:cs="宋体"/>
          <w:b/>
          <w:color w:val="auto"/>
          <w:sz w:val="32"/>
          <w:szCs w:val="20"/>
          <w:highlight w:val="none"/>
        </w:rPr>
      </w:pPr>
    </w:p>
    <w:p w14:paraId="703BD51A">
      <w:pPr>
        <w:pStyle w:val="27"/>
        <w:rPr>
          <w:rFonts w:hint="eastAsia" w:ascii="宋体" w:hAnsi="宋体" w:cs="宋体"/>
          <w:b/>
          <w:color w:val="auto"/>
          <w:sz w:val="32"/>
          <w:szCs w:val="20"/>
          <w:highlight w:val="none"/>
        </w:rPr>
      </w:pPr>
    </w:p>
    <w:p w14:paraId="014877DD">
      <w:pPr>
        <w:pStyle w:val="27"/>
        <w:rPr>
          <w:rFonts w:hint="eastAsia" w:ascii="宋体" w:hAnsi="宋体" w:cs="宋体"/>
          <w:b/>
          <w:color w:val="auto"/>
          <w:sz w:val="32"/>
          <w:szCs w:val="20"/>
          <w:highlight w:val="none"/>
        </w:rPr>
      </w:pPr>
    </w:p>
    <w:p w14:paraId="72232F3A">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2EAA924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DCC97D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4BEF21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D7C82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5E05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26F06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CF54C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B516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3C462D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采云平台（https://www.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w:t>
      </w:r>
    </w:p>
    <w:p w14:paraId="32EAAF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E06958">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询问、质疑、投诉</w:t>
      </w:r>
    </w:p>
    <w:p w14:paraId="2CC3F13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14:paraId="156A54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D163F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14:paraId="7BC9FF46">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DF2A7DF">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E53E4F9">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3</w:t>
      </w:r>
      <w:r>
        <w:rPr>
          <w:rFonts w:hint="eastAsia" w:hAnsi="宋体" w:cs="宋体"/>
          <w:snapToGrid/>
          <w:color w:val="auto"/>
          <w:kern w:val="2"/>
          <w:sz w:val="24"/>
          <w:highlight w:val="none"/>
        </w:rPr>
        <w:t>.</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.2.1对招标文件提出质疑的，质疑期限为供应商获得招标文件之日或者招标文件公告期限届满之日起计算。</w:t>
      </w:r>
    </w:p>
    <w:p w14:paraId="5B0B9F00">
      <w:pPr>
        <w:pStyle w:val="34"/>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.2.2对采购过程提出质疑的，质疑期限为各采购程序环节结束之日起计算。</w:t>
      </w: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.2.3对采购结果提出质疑的，质疑期限自采购结果公告期限届满之日起计算。</w:t>
      </w:r>
    </w:p>
    <w:p w14:paraId="0D26712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6A02584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.3.1供应商的姓名或者名称、地址、邮编、联系人及联系电话；</w:t>
      </w:r>
    </w:p>
    <w:p w14:paraId="1B47F22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.3.2质疑项目的名称、编号；</w:t>
      </w:r>
    </w:p>
    <w:p w14:paraId="2430A21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.3.3具体、明确的质疑事项和与质疑事项相关的请求；</w:t>
      </w:r>
    </w:p>
    <w:p w14:paraId="49477EC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.3.4事实依据；</w:t>
      </w:r>
    </w:p>
    <w:p w14:paraId="196B964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.3.5必要的法律依据；</w:t>
      </w:r>
    </w:p>
    <w:p w14:paraId="2B0CD719">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.3.6提出质疑的日期。</w:t>
      </w:r>
    </w:p>
    <w:p w14:paraId="6C3DF270">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3A7369E">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6077964C">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2</w:t>
      </w:r>
      <w:r>
        <w:rPr>
          <w:rFonts w:hint="eastAsia"/>
          <w:color w:val="auto"/>
          <w:highlight w:val="none"/>
        </w:rPr>
        <w:t>.4对同一采购程序环节的质疑，供应商须在法定质疑期内一次性提出。</w:t>
      </w:r>
    </w:p>
    <w:p w14:paraId="5D696A5B">
      <w:pPr>
        <w:pStyle w:val="89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5098202">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.6询问或者质疑事项可能影响采购结果的，采购人应当暂停签订合同，已经签订合同的，应当中止履行合同。</w:t>
      </w:r>
    </w:p>
    <w:p w14:paraId="3A8F839E">
      <w:pPr>
        <w:pStyle w:val="89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3</w:t>
      </w:r>
      <w:r>
        <w:rPr>
          <w:rFonts w:hint="eastAsia"/>
          <w:color w:val="auto"/>
          <w:highlight w:val="none"/>
          <w:lang w:val="zh-CN"/>
        </w:rPr>
        <w:t>供应商投诉</w:t>
      </w:r>
    </w:p>
    <w:p w14:paraId="4FC6D93F">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.1质疑供应商对采购人、采购代理机构的答复不满意或者采购人、采购代理机构未在规定的时间内作出答复的，可以在答复期满后十五个工作日内向</w:t>
      </w:r>
      <w:r>
        <w:rPr>
          <w:rFonts w:hint="eastAsia"/>
          <w:color w:val="auto"/>
          <w:highlight w:val="none"/>
          <w:lang w:eastAsia="zh-CN"/>
        </w:rPr>
        <w:t>采购单位纪检监察</w:t>
      </w:r>
      <w:r>
        <w:rPr>
          <w:rFonts w:hint="eastAsia"/>
          <w:color w:val="auto"/>
          <w:highlight w:val="none"/>
        </w:rPr>
        <w:t>部门提出投诉。</w:t>
      </w:r>
    </w:p>
    <w:p w14:paraId="3B586991">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DFD7E2A">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.3供应商投诉应当有明确的请求和必要的证明材料。</w:t>
      </w:r>
    </w:p>
    <w:p w14:paraId="76B5286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.4 以联合体形式参加采购活动的，其投诉应当由组成联合体的所有供应商共同提出。</w:t>
      </w:r>
    </w:p>
    <w:p w14:paraId="46DA5684">
      <w:pPr>
        <w:pStyle w:val="893"/>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.5投诉书范本及制作说明详见附件</w:t>
      </w:r>
      <w:r>
        <w:rPr>
          <w:rFonts w:hint="eastAsia"/>
          <w:color w:val="auto"/>
          <w:highlight w:val="none"/>
          <w:lang w:val="en-US" w:eastAsia="zh-CN"/>
        </w:rPr>
        <w:t>2</w:t>
      </w:r>
      <w:r>
        <w:rPr>
          <w:rFonts w:hint="eastAsia"/>
          <w:color w:val="auto"/>
          <w:highlight w:val="none"/>
        </w:rPr>
        <w:t>。</w:t>
      </w:r>
    </w:p>
    <w:p w14:paraId="761CC079">
      <w:pPr>
        <w:pStyle w:val="139"/>
        <w:snapToGrid w:val="0"/>
        <w:spacing w:before="0"/>
        <w:ind w:firstLine="360"/>
        <w:rPr>
          <w:rFonts w:ascii="宋体" w:hAnsi="宋体" w:cs="宋体"/>
          <w:color w:val="auto"/>
          <w:sz w:val="18"/>
          <w:szCs w:val="18"/>
          <w:highlight w:val="none"/>
        </w:rPr>
      </w:pPr>
    </w:p>
    <w:p w14:paraId="7E94821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A2615F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．招标文件的构成</w:t>
      </w:r>
    </w:p>
    <w:p w14:paraId="3675D03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 招标文件包括下列文件及附件：</w:t>
      </w:r>
    </w:p>
    <w:p w14:paraId="75AA8D1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.1.1招标公告；</w:t>
      </w:r>
    </w:p>
    <w:p w14:paraId="0DAF2EE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.1.2投标人须知；</w:t>
      </w:r>
    </w:p>
    <w:p w14:paraId="5DF9153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.1.3采购需求；</w:t>
      </w:r>
    </w:p>
    <w:p w14:paraId="337731E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.1.4评标办法；</w:t>
      </w:r>
    </w:p>
    <w:p w14:paraId="6089FD7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.1.5拟签订的合同文本；</w:t>
      </w:r>
    </w:p>
    <w:p w14:paraId="1F17C36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718A6D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52CDD2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招标文件的澄清、修改</w:t>
      </w:r>
    </w:p>
    <w:p w14:paraId="19F0C494">
      <w:pPr>
        <w:pStyle w:val="139"/>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.1已获取招标文件的潜在投标人，若有问题需要澄清，应于投标截止时间前，以书面形式向采购代理机构提出。</w:t>
      </w:r>
    </w:p>
    <w:p w14:paraId="32BAD640">
      <w:pPr>
        <w:pStyle w:val="139"/>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7D7823">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7E7B9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69A497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 招标文件的获取</w:t>
      </w:r>
    </w:p>
    <w:p w14:paraId="06E7560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0D696B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.开标前答疑会或现场考察</w:t>
      </w:r>
    </w:p>
    <w:p w14:paraId="3140345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CE2B15">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8</w:t>
      </w:r>
      <w:r>
        <w:rPr>
          <w:rFonts w:hint="eastAsia" w:hAnsi="宋体" w:cs="宋体"/>
          <w:b/>
          <w:color w:val="auto"/>
          <w:kern w:val="28"/>
          <w:sz w:val="24"/>
          <w:szCs w:val="24"/>
          <w:highlight w:val="none"/>
        </w:rPr>
        <w:t>.投标保证金</w:t>
      </w:r>
    </w:p>
    <w:p w14:paraId="1948F4A7">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553574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投标文件的语言</w:t>
      </w:r>
    </w:p>
    <w:p w14:paraId="4B89C5E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BCF3F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0</w:t>
      </w:r>
      <w:r>
        <w:rPr>
          <w:rFonts w:hint="eastAsia" w:hAnsi="宋体" w:cs="宋体"/>
          <w:b/>
          <w:color w:val="auto"/>
          <w:sz w:val="24"/>
          <w:szCs w:val="24"/>
          <w:highlight w:val="none"/>
        </w:rPr>
        <w:t>. 投标文件的组成</w:t>
      </w:r>
    </w:p>
    <w:p w14:paraId="49B034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BC063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.1.1符合参加采购活动应当具备的一般条件的承诺函；</w:t>
      </w:r>
    </w:p>
    <w:p w14:paraId="523E0A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ascii="宋体" w:hAnsi="宋体" w:cs="宋体"/>
          <w:color w:val="auto"/>
          <w:sz w:val="24"/>
          <w:highlight w:val="none"/>
        </w:rPr>
        <w:t>.1.2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769EB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2495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61146E">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52E578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.2.1投标函；</w:t>
      </w:r>
      <w:r>
        <w:rPr>
          <w:rFonts w:hint="eastAsia" w:ascii="宋体" w:hAnsi="宋体" w:cs="宋体"/>
          <w:color w:val="auto"/>
          <w:sz w:val="24"/>
          <w:highlight w:val="none"/>
          <w:lang w:val="zh-CN"/>
        </w:rPr>
        <w:t xml:space="preserve"> </w:t>
      </w:r>
    </w:p>
    <w:p w14:paraId="3AF9A8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.2.2授权委托书或法定代表人（单位负责人、自然人本人）身份证明；</w:t>
      </w:r>
    </w:p>
    <w:p w14:paraId="132CA0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A39DA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.2.4符合性审查资料；</w:t>
      </w:r>
    </w:p>
    <w:p w14:paraId="44B9400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.2.5评标标准相应的商务技术资料；</w:t>
      </w:r>
    </w:p>
    <w:p w14:paraId="24C3B20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.2.6投标标的清单；</w:t>
      </w:r>
    </w:p>
    <w:p w14:paraId="182E1DA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.2.7商务技术偏离表；</w:t>
      </w:r>
    </w:p>
    <w:p w14:paraId="5E4A32BD">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577F1DB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D26C52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.3.1开标一览表（报价表）；</w:t>
      </w:r>
    </w:p>
    <w:p w14:paraId="7C28C64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E998AF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7FA4AC4">
      <w:pPr>
        <w:pStyle w:val="13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89981A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BBDDE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.2投标人进行电子投标应安装客户端软件—“</w:t>
      </w:r>
      <w:r>
        <w:rPr>
          <w:rFonts w:hint="eastAsia" w:ascii="宋体" w:hAnsi="宋体" w:cs="宋体"/>
          <w:color w:val="auto"/>
          <w:kern w:val="0"/>
          <w:sz w:val="24"/>
          <w:highlight w:val="none"/>
          <w:lang w:val="en-US" w:eastAsia="zh-CN"/>
        </w:rPr>
        <w:t>乐采云</w:t>
      </w:r>
      <w:r>
        <w:rPr>
          <w:rFonts w:hint="eastAsia" w:ascii="宋体" w:hAnsi="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7924C21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2EC47D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.投标文件的签署、盖章</w:t>
      </w:r>
    </w:p>
    <w:p w14:paraId="18B0118F">
      <w:pPr>
        <w:pStyle w:val="139"/>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969DD32">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.2为确保网上操作合法、有效和安全，投标人应当在投标截止时间前完成在“</w:t>
      </w:r>
      <w:r>
        <w:rPr>
          <w:rFonts w:hint="eastAsia" w:ascii="宋体" w:hAnsi="宋体" w:cs="宋体"/>
          <w:color w:val="auto"/>
          <w:highlight w:val="none"/>
          <w:lang w:eastAsia="zh-CN"/>
        </w:rPr>
        <w:t>乐</w:t>
      </w:r>
      <w:r>
        <w:rPr>
          <w:rFonts w:hint="eastAsia" w:ascii="宋体" w:hAnsi="宋体" w:cs="宋体"/>
          <w:color w:val="auto"/>
          <w:highlight w:val="none"/>
        </w:rPr>
        <w:t>采云平台”的身份认证，确保在电子投标过程中能够对相关数据电文进行加密和使用电子签名。</w:t>
      </w:r>
    </w:p>
    <w:p w14:paraId="3CFDF8AA">
      <w:pPr>
        <w:pStyle w:val="139"/>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.3招标文件对投标文件签署、盖章的要求适用于电子签名。</w:t>
      </w:r>
    </w:p>
    <w:p w14:paraId="69A137A2">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cs="宋体"/>
          <w:b/>
          <w:color w:val="auto"/>
          <w:szCs w:val="24"/>
          <w:highlight w:val="none"/>
        </w:rPr>
        <w:t>. 投标文件的提交、补充、修改、撤回</w:t>
      </w:r>
    </w:p>
    <w:p w14:paraId="20E0065C">
      <w:pPr>
        <w:pStyle w:val="139"/>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2C628C">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0C143890">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88A3D7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.备份投标文件</w:t>
      </w:r>
    </w:p>
    <w:p w14:paraId="0302EF36">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.1投标人在电子交易平台传输递交投标文件后，还可以在投标截止时间前直接提交或者以</w:t>
      </w:r>
      <w:r>
        <w:rPr>
          <w:rFonts w:hint="eastAsia" w:hAnsi="宋体" w:cs="宋体"/>
          <w:color w:val="auto"/>
          <w:sz w:val="24"/>
          <w:szCs w:val="24"/>
          <w:highlight w:val="none"/>
          <w:lang w:eastAsia="zh-CN"/>
        </w:rPr>
        <w:t>电子邮件</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但采购人、采购代理机构不强制或变相强制投标人提交备份投标文件。</w:t>
      </w:r>
    </w:p>
    <w:p w14:paraId="10A4D052">
      <w:pPr>
        <w:pStyle w:val="34"/>
        <w:spacing w:line="360" w:lineRule="auto"/>
        <w:ind w:firstLine="480" w:firstLineChars="200"/>
        <w:rPr>
          <w:rFonts w:hAnsi="宋体" w:cs="宋体"/>
          <w:b/>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.2以介质存储的数据电文形式的备份投标文件：按</w:t>
      </w:r>
      <w:r>
        <w:rPr>
          <w:rFonts w:hint="eastAsia" w:ascii="宋体" w:hAnsi="宋体" w:eastAsia="宋体" w:cs="宋体"/>
          <w:color w:val="auto"/>
          <w:sz w:val="24"/>
          <w:szCs w:val="24"/>
          <w:highlight w:val="none"/>
          <w:lang w:eastAsia="zh-CN"/>
        </w:rPr>
        <w:t>乐</w:t>
      </w:r>
      <w:r>
        <w:rPr>
          <w:rFonts w:hint="eastAsia" w:ascii="宋体" w:hAnsi="宋体" w:eastAsia="宋体" w:cs="宋体"/>
          <w:color w:val="auto"/>
          <w:sz w:val="24"/>
          <w:szCs w:val="24"/>
          <w:highlight w:val="none"/>
        </w:rPr>
        <w:t>采云平台项目采购-电子招投标操作指南制作备份投标文件（后缀名为.bfbs），在投标截止时间前以电子邮件形式递交至(</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"mailto:2990430955@qq.com" </w:instrText>
      </w:r>
      <w:r>
        <w:rPr>
          <w:rFonts w:hint="eastAsia" w:ascii="宋体" w:hAnsi="宋体" w:eastAsia="宋体" w:cs="宋体"/>
          <w:color w:val="auto"/>
          <w:sz w:val="24"/>
          <w:szCs w:val="24"/>
          <w:highlight w:val="none"/>
        </w:rPr>
        <w:fldChar w:fldCharType="separate"/>
      </w:r>
      <w:r>
        <w:rPr>
          <w:rFonts w:hint="eastAsia" w:hAnsi="宋体" w:cs="宋体"/>
          <w:color w:val="auto"/>
          <w:sz w:val="24"/>
          <w:szCs w:val="24"/>
          <w:highlight w:val="none"/>
          <w:lang w:val="en-US" w:eastAsia="zh-CN"/>
        </w:rPr>
        <w:t>1057680823</w:t>
      </w:r>
      <w:r>
        <w:rPr>
          <w:rFonts w:hint="eastAsia" w:ascii="宋体" w:hAnsi="宋体" w:eastAsia="宋体" w:cs="宋体"/>
          <w:color w:val="auto"/>
          <w:sz w:val="24"/>
          <w:szCs w:val="24"/>
          <w:highlight w:val="none"/>
        </w:rPr>
        <w:t>@qq.com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5E1302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.3直接提交备份投标文件的，投标人应于投标截止时间前在招标公告中载明的开标地点将备份投标文件提交给采购代理机构，采购代理机构将拒绝接受逾期送达的备份投标文件。</w:t>
      </w:r>
    </w:p>
    <w:p w14:paraId="1ABDF2D5">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投标人仅提交备份投标文件，未在电子交易平台传输递交投标文件的，投标无效。</w:t>
      </w:r>
    </w:p>
    <w:p w14:paraId="70E09E30">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.投标文件的无效处理</w:t>
      </w:r>
    </w:p>
    <w:p w14:paraId="3CCA8AAF">
      <w:pPr>
        <w:pStyle w:val="26"/>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1053C9DE">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cs="宋体"/>
          <w:b/>
          <w:color w:val="auto"/>
          <w:szCs w:val="24"/>
          <w:highlight w:val="none"/>
        </w:rPr>
        <w:t>.投标有效期</w:t>
      </w:r>
    </w:p>
    <w:p w14:paraId="66DEE57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6</w:t>
      </w:r>
      <w:r>
        <w:rPr>
          <w:rFonts w:hint="eastAsia" w:ascii="宋体" w:hAnsi="宋体" w:cs="宋体"/>
          <w:color w:val="auto"/>
          <w:sz w:val="24"/>
          <w:szCs w:val="20"/>
          <w:highlight w:val="none"/>
        </w:rPr>
        <w:t>.1投标有效期为从提交投标文件的截止之日起90天。▲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C9C701F">
      <w:pPr>
        <w:pStyle w:val="139"/>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.2投标文件合格投递后，自投标截止日期起，在投标有效期内有效。</w:t>
      </w:r>
    </w:p>
    <w:p w14:paraId="2E6553FA">
      <w:pPr>
        <w:pStyle w:val="139"/>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3104EC96">
      <w:pPr>
        <w:pStyle w:val="139"/>
        <w:spacing w:before="0"/>
        <w:ind w:firstLine="643"/>
        <w:rPr>
          <w:rFonts w:ascii="宋体" w:hAnsi="宋体" w:cs="宋体"/>
          <w:b/>
          <w:color w:val="auto"/>
          <w:sz w:val="32"/>
          <w:highlight w:val="none"/>
        </w:rPr>
      </w:pPr>
    </w:p>
    <w:p w14:paraId="46CE3BF6">
      <w:pPr>
        <w:pStyle w:val="13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3A36367">
      <w:pPr>
        <w:pStyle w:val="56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60C4E6DF">
      <w:pPr>
        <w:pStyle w:val="56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.1采购代理机构按照招标文件规定的时间通过电子交易平台组织开标，所有投标人均应当准时在线参加。投标人不足3家的，不得开标。</w:t>
      </w:r>
    </w:p>
    <w:p w14:paraId="3715D898">
      <w:pPr>
        <w:pStyle w:val="56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.2开标时，电子交易平台按开标时间自动提取所有投标文件。采购代理机构依托电子交易平台发起开始解密指令，投标人按照平台提示和招标文件的规定在半小时内完成在线解密。</w:t>
      </w:r>
    </w:p>
    <w:p w14:paraId="78117A3A">
      <w:pPr>
        <w:pStyle w:val="56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572C13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w:t>
      </w:r>
      <w:r>
        <w:rPr>
          <w:rFonts w:hint="eastAsia" w:ascii="宋体" w:hAnsi="宋体" w:cs="宋体"/>
          <w:b/>
          <w:color w:val="auto"/>
          <w:sz w:val="24"/>
          <w:szCs w:val="20"/>
          <w:highlight w:val="none"/>
          <w:lang w:val="en-US" w:eastAsia="zh-CN"/>
        </w:rPr>
        <w:t>8</w:t>
      </w:r>
      <w:r>
        <w:rPr>
          <w:rFonts w:hint="eastAsia" w:ascii="宋体" w:hAnsi="宋体" w:cs="宋体"/>
          <w:b/>
          <w:color w:val="auto"/>
          <w:sz w:val="24"/>
          <w:szCs w:val="20"/>
          <w:highlight w:val="none"/>
        </w:rPr>
        <w:t>、资格审查</w:t>
      </w:r>
    </w:p>
    <w:p w14:paraId="4FCAAA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.1</w:t>
      </w:r>
      <w:r>
        <w:rPr>
          <w:rFonts w:hint="eastAsia" w:ascii="宋体" w:hAnsi="宋体" w:cs="宋体"/>
          <w:color w:val="auto"/>
          <w:sz w:val="24"/>
          <w:highlight w:val="none"/>
        </w:rPr>
        <w:t>采购人或采购代理机构依据法律法规和招标文件的规定，对投标人的资格进行审查。</w:t>
      </w:r>
    </w:p>
    <w:p w14:paraId="5222B7C7">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2A61327">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3对未通过资格审查的投标人，采购人或采购代理机构告知其未通过的原因。</w:t>
      </w:r>
    </w:p>
    <w:p w14:paraId="5861DE42">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4合格投标人不足3家的，不再评标。</w:t>
      </w:r>
    </w:p>
    <w:p w14:paraId="476AF5D7">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19</w:t>
      </w:r>
      <w:r>
        <w:rPr>
          <w:rFonts w:hint="eastAsia" w:ascii="宋体" w:hAnsi="宋体" w:cs="宋体"/>
          <w:b/>
          <w:color w:val="auto"/>
          <w:szCs w:val="24"/>
          <w:highlight w:val="none"/>
        </w:rPr>
        <w:t>、信用信息查询</w:t>
      </w:r>
    </w:p>
    <w:p w14:paraId="1EE32FE3">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.1信用信息查询渠道及截止时间：采购代理机构将在资格审查时通过“信用中国”网站(www.creditchina.gov.cn)、中国政府采购网(www.ccgp.gov.cn)渠道查询投标人接受资格审查时的信用记录。</w:t>
      </w:r>
    </w:p>
    <w:p w14:paraId="32DF0675">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.2信用信息查询记录和证据留存的具体方式：现场查询的投标人的信用记录、查询结果经确认后将与采购文件一起存档。</w:t>
      </w:r>
    </w:p>
    <w:p w14:paraId="2FF9C888">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.3信用信息的使用规则：经查询列入失信被执行人名单、重大税收违法案件当事人名单、政府采购严重违法失信行为记录名单的投标人将被拒绝参与采购活动。</w:t>
      </w:r>
    </w:p>
    <w:p w14:paraId="109BC7F9">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D205FA">
      <w:pPr>
        <w:pStyle w:val="139"/>
        <w:spacing w:before="0"/>
        <w:ind w:firstLine="0" w:firstLineChars="0"/>
        <w:rPr>
          <w:rFonts w:ascii="宋体" w:hAnsi="宋体" w:cs="宋体"/>
          <w:color w:val="auto"/>
          <w:kern w:val="0"/>
          <w:szCs w:val="24"/>
          <w:highlight w:val="none"/>
        </w:rPr>
      </w:pPr>
    </w:p>
    <w:p w14:paraId="09B4A87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8CD2B71">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EB09AC">
      <w:pPr>
        <w:spacing w:line="360" w:lineRule="auto"/>
        <w:rPr>
          <w:rFonts w:ascii="宋体" w:hAnsi="宋体" w:cs="宋体"/>
          <w:b/>
          <w:color w:val="auto"/>
          <w:sz w:val="24"/>
          <w:highlight w:val="none"/>
        </w:rPr>
      </w:pPr>
    </w:p>
    <w:p w14:paraId="70265B0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DC501A9">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1</w:t>
      </w:r>
      <w:r>
        <w:rPr>
          <w:rFonts w:hint="eastAsia" w:cs="宋体"/>
          <w:b/>
          <w:color w:val="auto"/>
          <w:highlight w:val="none"/>
        </w:rPr>
        <w:t>. 确定中标供应商</w:t>
      </w:r>
    </w:p>
    <w:p w14:paraId="50AD5BFC">
      <w:pPr>
        <w:pStyle w:val="13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1A6A06">
      <w:pPr>
        <w:pStyle w:val="13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中标通知与中标结果公告</w:t>
      </w:r>
    </w:p>
    <w:p w14:paraId="3CD8847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.1自中标人确定之日起2个工作日内，采购代理机构通过电子交易平台向中标人发出中标通知书，同时编制发布采购结果公告。采购代理机构也可以以纸质形式进行中标通知。</w:t>
      </w:r>
    </w:p>
    <w:p w14:paraId="2E70CF1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2C5806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.3公告期限为1个工作日。</w:t>
      </w:r>
    </w:p>
    <w:p w14:paraId="346656D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A2844AE">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5E4AF79E">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合同的签订</w:t>
      </w:r>
    </w:p>
    <w:p w14:paraId="2B7F02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23992A0">
      <w:pPr>
        <w:pStyle w:val="13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F5AE985">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.3如签订合同并生效后，供应商无故拒绝或延期，除按照合同条款处理外，列入不良行为记录一次，并给予通报。</w:t>
      </w:r>
    </w:p>
    <w:p w14:paraId="265BFD89">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.4中标供应商拒绝与采购人签订合同的，采购人可以按照评审报告推荐的中标或者成交候选人名单排序，确定下一候选人为中标供应商，也可以重新开展采购活动。</w:t>
      </w:r>
    </w:p>
    <w:p w14:paraId="2FC203C6">
      <w:pPr>
        <w:snapToGrid w:val="0"/>
        <w:spacing w:line="360" w:lineRule="auto"/>
        <w:ind w:firstLine="3357" w:firstLineChars="1045"/>
        <w:rPr>
          <w:rFonts w:ascii="宋体" w:hAnsi="宋体" w:cs="宋体"/>
          <w:b/>
          <w:color w:val="auto"/>
          <w:sz w:val="32"/>
          <w:highlight w:val="none"/>
        </w:rPr>
      </w:pPr>
    </w:p>
    <w:p w14:paraId="444257F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9EDDE8F">
      <w:pPr>
        <w:pStyle w:val="13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83E833F">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48ED0621">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1E976878">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36C6D8B1">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1CB57B6E">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778A2C08">
      <w:pPr>
        <w:pStyle w:val="13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bookmarkEnd w:id="14"/>
    <w:p w14:paraId="0DBC0B7C">
      <w:pPr>
        <w:tabs>
          <w:tab w:val="left" w:pos="0"/>
        </w:tabs>
        <w:spacing w:line="360" w:lineRule="auto"/>
        <w:ind w:firstLine="480"/>
        <w:rPr>
          <w:rFonts w:ascii="宋体" w:hAnsi="宋体" w:cs="宋体"/>
          <w:color w:val="auto"/>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5" w:name="_Hlt75236290"/>
      <w:bookmarkEnd w:id="15"/>
      <w:bookmarkStart w:id="16" w:name="_Hlt75236011"/>
      <w:bookmarkEnd w:id="16"/>
      <w:bookmarkStart w:id="17" w:name="_Hlt68057669"/>
      <w:bookmarkEnd w:id="17"/>
      <w:bookmarkStart w:id="18" w:name="_Hlt68403820"/>
      <w:bookmarkEnd w:id="18"/>
      <w:bookmarkStart w:id="19" w:name="_Hlt74730295"/>
      <w:bookmarkEnd w:id="19"/>
      <w:bookmarkStart w:id="20" w:name="_Hlt75236101"/>
      <w:bookmarkEnd w:id="20"/>
      <w:bookmarkStart w:id="21" w:name="_Hlt74707468"/>
      <w:bookmarkEnd w:id="21"/>
      <w:bookmarkStart w:id="22" w:name="_Hlt74729768"/>
      <w:bookmarkEnd w:id="22"/>
      <w:bookmarkStart w:id="23" w:name="_Hlt68073093"/>
      <w:bookmarkEnd w:id="23"/>
      <w:bookmarkStart w:id="24" w:name="_Hlt68072998"/>
      <w:bookmarkEnd w:id="24"/>
      <w:bookmarkStart w:id="25" w:name="_Hlt68072990"/>
      <w:bookmarkEnd w:id="25"/>
      <w:bookmarkStart w:id="26" w:name="_Hlt74714665"/>
      <w:bookmarkEnd w:id="26"/>
    </w:p>
    <w:bookmarkEnd w:id="11"/>
    <w:bookmarkEnd w:id="12"/>
    <w:p w14:paraId="5ACE7FD5">
      <w:pPr>
        <w:keepNext w:val="0"/>
        <w:keepLines w:val="0"/>
        <w:pageBreakBefore w:val="0"/>
        <w:widowControl/>
        <w:kinsoku/>
        <w:wordWrap/>
        <w:overflowPunct/>
        <w:topLinePunct w:val="0"/>
        <w:autoSpaceDE/>
        <w:autoSpaceDN/>
        <w:bidi w:val="0"/>
        <w:adjustRightInd w:val="0"/>
        <w:snapToGrid w:val="0"/>
        <w:spacing w:line="336" w:lineRule="auto"/>
        <w:ind w:right="-154"/>
        <w:jc w:val="center"/>
        <w:textAlignment w:val="auto"/>
        <w:rPr>
          <w:rFonts w:hint="eastAsia" w:ascii="宋体" w:hAnsi="宋体" w:cs="宋体"/>
          <w:b/>
          <w:color w:val="auto"/>
          <w:kern w:val="0"/>
          <w:sz w:val="32"/>
          <w:szCs w:val="32"/>
          <w:highlight w:val="none"/>
          <w:lang w:val="en-US" w:eastAsia="zh-CN"/>
        </w:rPr>
      </w:pPr>
      <w:bookmarkStart w:id="27" w:name="第四部分"/>
      <w:r>
        <w:rPr>
          <w:rFonts w:hint="eastAsia" w:ascii="宋体" w:hAnsi="宋体" w:cs="宋体"/>
          <w:b/>
          <w:color w:val="auto"/>
          <w:kern w:val="0"/>
          <w:sz w:val="32"/>
          <w:szCs w:val="32"/>
          <w:highlight w:val="none"/>
          <w:lang w:val="en-US" w:eastAsia="zh-CN"/>
        </w:rPr>
        <w:t>第三部分 采购需求</w:t>
      </w:r>
    </w:p>
    <w:p w14:paraId="0C94FADB">
      <w:pPr>
        <w:pStyle w:val="2"/>
        <w:bidi w:val="0"/>
        <w:spacing w:line="240" w:lineRule="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一、采购项目清单</w:t>
      </w:r>
    </w:p>
    <w:tbl>
      <w:tblPr>
        <w:tblStyle w:val="65"/>
        <w:tblW w:w="525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4085"/>
        <w:gridCol w:w="895"/>
        <w:gridCol w:w="827"/>
        <w:gridCol w:w="1259"/>
        <w:gridCol w:w="1142"/>
      </w:tblGrid>
      <w:tr w14:paraId="19BCC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vMerge w:val="restart"/>
            <w:tcBorders>
              <w:bottom w:val="single" w:color="000000" w:sz="4" w:space="0"/>
              <w:right w:val="single" w:color="000000" w:sz="4" w:space="0"/>
            </w:tcBorders>
            <w:shd w:val="clear" w:color="auto" w:fill="D9E1F2"/>
            <w:noWrap w:val="0"/>
            <w:vAlign w:val="center"/>
          </w:tcPr>
          <w:p w14:paraId="476E4C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编号</w:t>
            </w:r>
          </w:p>
        </w:tc>
        <w:tc>
          <w:tcPr>
            <w:tcW w:w="4085" w:type="dxa"/>
            <w:vMerge w:val="restart"/>
            <w:tcBorders>
              <w:left w:val="single" w:color="000000" w:sz="4" w:space="0"/>
              <w:bottom w:val="single" w:color="000000" w:sz="4" w:space="0"/>
              <w:right w:val="single" w:color="000000" w:sz="4" w:space="0"/>
            </w:tcBorders>
            <w:shd w:val="clear" w:color="auto" w:fill="D9E1F2"/>
            <w:noWrap w:val="0"/>
            <w:vAlign w:val="center"/>
          </w:tcPr>
          <w:p w14:paraId="703AD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名称及规格</w:t>
            </w:r>
          </w:p>
        </w:tc>
        <w:tc>
          <w:tcPr>
            <w:tcW w:w="895" w:type="dxa"/>
            <w:vMerge w:val="restart"/>
            <w:tcBorders>
              <w:left w:val="single" w:color="000000" w:sz="4" w:space="0"/>
              <w:bottom w:val="single" w:color="000000" w:sz="4" w:space="0"/>
              <w:right w:val="single" w:color="000000" w:sz="4" w:space="0"/>
            </w:tcBorders>
            <w:shd w:val="clear" w:color="auto" w:fill="D9E1F2"/>
            <w:noWrap w:val="0"/>
            <w:vAlign w:val="center"/>
          </w:tcPr>
          <w:p w14:paraId="695B07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27" w:type="dxa"/>
            <w:vMerge w:val="restart"/>
            <w:tcBorders>
              <w:left w:val="single" w:color="000000" w:sz="4" w:space="0"/>
              <w:bottom w:val="single" w:color="000000" w:sz="4" w:space="0"/>
              <w:right w:val="single" w:color="000000" w:sz="4" w:space="0"/>
            </w:tcBorders>
            <w:shd w:val="clear" w:color="auto" w:fill="D9E1F2"/>
            <w:noWrap w:val="0"/>
            <w:vAlign w:val="center"/>
          </w:tcPr>
          <w:p w14:paraId="06361E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259" w:type="dxa"/>
            <w:vMerge w:val="restart"/>
            <w:tcBorders>
              <w:left w:val="single" w:color="000000" w:sz="4" w:space="0"/>
              <w:bottom w:val="single" w:color="000000" w:sz="4" w:space="0"/>
              <w:right w:val="single" w:color="000000" w:sz="4" w:space="0"/>
            </w:tcBorders>
            <w:shd w:val="clear" w:color="auto" w:fill="D9E1F2"/>
            <w:noWrap w:val="0"/>
            <w:vAlign w:val="center"/>
          </w:tcPr>
          <w:p w14:paraId="4724F7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全费用单价(</w:t>
            </w:r>
            <w:r>
              <w:rPr>
                <w:rStyle w:val="977"/>
                <w:rFonts w:hint="eastAsia" w:ascii="宋体" w:hAnsi="宋体" w:eastAsia="宋体" w:cs="宋体"/>
                <w:color w:val="auto"/>
                <w:sz w:val="21"/>
                <w:szCs w:val="21"/>
                <w:highlight w:val="none"/>
                <w:lang w:val="en-US" w:eastAsia="zh-CN" w:bidi="ar"/>
              </w:rPr>
              <w:t>元</w:t>
            </w:r>
            <w:r>
              <w:rPr>
                <w:rFonts w:hint="eastAsia" w:ascii="宋体" w:hAnsi="宋体" w:eastAsia="宋体" w:cs="宋体"/>
                <w:b/>
                <w:bCs/>
                <w:i w:val="0"/>
                <w:iCs w:val="0"/>
                <w:color w:val="auto"/>
                <w:kern w:val="0"/>
                <w:sz w:val="21"/>
                <w:szCs w:val="21"/>
                <w:highlight w:val="none"/>
                <w:u w:val="none"/>
                <w:lang w:val="en-US" w:eastAsia="zh-CN" w:bidi="ar"/>
              </w:rPr>
              <w:t>)</w:t>
            </w:r>
          </w:p>
        </w:tc>
        <w:tc>
          <w:tcPr>
            <w:tcW w:w="1142" w:type="dxa"/>
            <w:vMerge w:val="restart"/>
            <w:tcBorders>
              <w:left w:val="single" w:color="000000" w:sz="4" w:space="0"/>
              <w:bottom w:val="single" w:color="000000" w:sz="4" w:space="0"/>
            </w:tcBorders>
            <w:shd w:val="clear" w:color="auto" w:fill="D9E1F2"/>
            <w:noWrap w:val="0"/>
            <w:vAlign w:val="center"/>
          </w:tcPr>
          <w:p w14:paraId="5FDA75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合价(元)</w:t>
            </w:r>
          </w:p>
        </w:tc>
      </w:tr>
      <w:tr w14:paraId="202C1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vMerge w:val="continue"/>
            <w:tcBorders>
              <w:top w:val="double" w:color="000000" w:sz="4" w:space="0"/>
              <w:bottom w:val="single" w:color="000000" w:sz="4" w:space="0"/>
              <w:right w:val="single" w:color="000000" w:sz="4" w:space="0"/>
            </w:tcBorders>
            <w:shd w:val="clear" w:color="auto" w:fill="D9E1F2"/>
            <w:noWrap w:val="0"/>
            <w:vAlign w:val="center"/>
          </w:tcPr>
          <w:p w14:paraId="1D6E9F2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4085" w:type="dxa"/>
            <w:vMerge w:val="continue"/>
            <w:tcBorders>
              <w:top w:val="double" w:color="000000" w:sz="4" w:space="0"/>
              <w:left w:val="single" w:color="000000" w:sz="4" w:space="0"/>
              <w:bottom w:val="single" w:color="000000" w:sz="4" w:space="0"/>
              <w:right w:val="single" w:color="000000" w:sz="4" w:space="0"/>
            </w:tcBorders>
            <w:shd w:val="clear" w:color="auto" w:fill="D9E1F2"/>
            <w:noWrap w:val="0"/>
            <w:vAlign w:val="center"/>
          </w:tcPr>
          <w:p w14:paraId="138C1EF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95" w:type="dxa"/>
            <w:vMerge w:val="continue"/>
            <w:tcBorders>
              <w:top w:val="double" w:color="000000" w:sz="4" w:space="0"/>
              <w:left w:val="single" w:color="000000" w:sz="4" w:space="0"/>
              <w:bottom w:val="single" w:color="000000" w:sz="4" w:space="0"/>
              <w:right w:val="single" w:color="000000" w:sz="4" w:space="0"/>
            </w:tcBorders>
            <w:shd w:val="clear" w:color="auto" w:fill="D9E1F2"/>
            <w:noWrap w:val="0"/>
            <w:vAlign w:val="center"/>
          </w:tcPr>
          <w:p w14:paraId="475F16C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27" w:type="dxa"/>
            <w:vMerge w:val="continue"/>
            <w:tcBorders>
              <w:top w:val="double" w:color="000000" w:sz="4" w:space="0"/>
              <w:left w:val="single" w:color="000000" w:sz="4" w:space="0"/>
              <w:bottom w:val="single" w:color="000000" w:sz="4" w:space="0"/>
              <w:right w:val="single" w:color="000000" w:sz="4" w:space="0"/>
            </w:tcBorders>
            <w:shd w:val="clear" w:color="auto" w:fill="D9E1F2"/>
            <w:noWrap w:val="0"/>
            <w:vAlign w:val="center"/>
          </w:tcPr>
          <w:p w14:paraId="5C00863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vMerge w:val="continue"/>
            <w:tcBorders>
              <w:top w:val="double" w:color="000000" w:sz="4" w:space="0"/>
              <w:left w:val="single" w:color="000000" w:sz="4" w:space="0"/>
              <w:bottom w:val="single" w:color="000000" w:sz="4" w:space="0"/>
              <w:right w:val="single" w:color="000000" w:sz="4" w:space="0"/>
            </w:tcBorders>
            <w:shd w:val="clear" w:color="auto" w:fill="D9E1F2"/>
            <w:noWrap w:val="0"/>
            <w:vAlign w:val="center"/>
          </w:tcPr>
          <w:p w14:paraId="6260372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142" w:type="dxa"/>
            <w:vMerge w:val="continue"/>
            <w:tcBorders>
              <w:top w:val="double" w:color="000000" w:sz="4" w:space="0"/>
              <w:left w:val="single" w:color="000000" w:sz="4" w:space="0"/>
              <w:bottom w:val="single" w:color="000000" w:sz="4" w:space="0"/>
            </w:tcBorders>
            <w:shd w:val="clear" w:color="auto" w:fill="D9E1F2"/>
            <w:noWrap w:val="0"/>
            <w:vAlign w:val="center"/>
          </w:tcPr>
          <w:p w14:paraId="2DFD592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r>
      <w:tr w14:paraId="0C84A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shd w:val="clear" w:color="auto" w:fill="FFE699"/>
            <w:noWrap w:val="0"/>
            <w:vAlign w:val="center"/>
          </w:tcPr>
          <w:p w14:paraId="4FE0EA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4085" w:type="dxa"/>
            <w:tcBorders>
              <w:top w:val="single" w:color="000000" w:sz="4" w:space="0"/>
              <w:left w:val="single" w:color="000000" w:sz="4" w:space="0"/>
              <w:bottom w:val="single" w:color="000000" w:sz="4" w:space="0"/>
              <w:right w:val="single" w:color="000000" w:sz="4" w:space="0"/>
            </w:tcBorders>
            <w:shd w:val="clear" w:color="auto" w:fill="FFE699"/>
            <w:noWrap w:val="0"/>
            <w:vAlign w:val="center"/>
          </w:tcPr>
          <w:p w14:paraId="206815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发电设备及安装工程</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EBAEF47">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85ADF15">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7B1D0213">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ign w:val="center"/>
          </w:tcPr>
          <w:p w14:paraId="6BD65C20">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i w:val="0"/>
                <w:iCs w:val="0"/>
                <w:color w:val="auto"/>
                <w:sz w:val="21"/>
                <w:szCs w:val="21"/>
                <w:highlight w:val="none"/>
                <w:u w:val="none"/>
              </w:rPr>
            </w:pPr>
          </w:p>
        </w:tc>
      </w:tr>
      <w:tr w14:paraId="4E550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798402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4980" w:type="dxa"/>
            <w:gridSpan w:val="2"/>
            <w:tcBorders>
              <w:top w:val="single" w:color="000000" w:sz="4" w:space="0"/>
              <w:left w:val="single" w:color="000000" w:sz="4" w:space="0"/>
              <w:bottom w:val="single" w:color="000000" w:sz="4" w:space="0"/>
              <w:right w:val="single" w:color="000000" w:sz="4" w:space="0"/>
            </w:tcBorders>
            <w:noWrap w:val="0"/>
            <w:vAlign w:val="center"/>
          </w:tcPr>
          <w:p w14:paraId="6D16DF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水轮机设备及安装</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77AED4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27E3D7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42BC03D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4E347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8172B9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56EEB9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1）水轮机改造</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2D2F6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9285B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EACDB2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1395917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4ED3D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041AA3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6984A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转轮更新</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5104C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9DD43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9D671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3FB4EB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1A16D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4EA720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600F0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导水机构改造</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DC419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DFBF3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A8D85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785D6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3DA07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07363A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3381C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水导轴承改造</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34190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4FECB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126C75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60A6AD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56454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02D045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24EF7C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主轴密封更新</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E8559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FE387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0A4DB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341511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54DF4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11ABC1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3846CC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主轴返厂处理</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AF7BB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EC095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4236A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4A0329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44845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18AEE7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667E8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辅助部分</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BD464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2BC1D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6C68D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5264BA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0E11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08FEDA8">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1.7</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259E63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2）调速器及配套</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50622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21342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14919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AD493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11A6B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726FD6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01CCC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发电机设备及安装工程</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71BB830">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BD9499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6F9ADD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02BB553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59F32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0E08AC4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4F35E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发电机改造</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E5303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80FF8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22D8C2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0B78D7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157E8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F2473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34235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定子保留机座和铁芯，更换线圈</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0471D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6F33E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07775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69FCF7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2C0D9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4F81AE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A6A28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转子更换磁极线圈</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E3694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D6139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3C4CD0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4B83AC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32C67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5FEA2F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B2C03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保留上机架本体、推力头、镜板，更换上导轴承、上导油冷却器，密封盖改造成无间隙接触密封，上机架加固</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1A126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B4861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DE319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35F3B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6909A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1A42CA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2CAF23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更换下机架本体、下导轴承、下导油冷却器，密封盖改造成无间隙接触密封。</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2D0AF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95E33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02321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564D8A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0D4C5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A3262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D5034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制动系统的制动器及制动器管路更新</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6245A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7159D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F3548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60EE44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340F2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3298FE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98C62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集电环及刷架更新</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68E71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92CD0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3A31A9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5A0D0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76421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C5FC2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D9C12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辅助系统视情况更新部分</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D6A53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5EAD8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95431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4DB442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629A5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08A7A7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68C5858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水系统改造</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01D818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02029F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F8971B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A43D0E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27A6C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5817F6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E20D8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手动滤水器</w:t>
            </w:r>
            <w:r>
              <w:rPr>
                <w:rStyle w:val="978"/>
                <w:rFonts w:hint="eastAsia" w:ascii="宋体" w:hAnsi="宋体" w:eastAsia="宋体" w:cs="宋体"/>
                <w:color w:val="auto"/>
                <w:sz w:val="21"/>
                <w:szCs w:val="21"/>
                <w:highlight w:val="none"/>
                <w:lang w:val="en-US" w:eastAsia="zh-CN" w:bidi="ar"/>
              </w:rPr>
              <w:t>DN1</w:t>
            </w:r>
            <w:r>
              <w:rPr>
                <w:rStyle w:val="978"/>
                <w:rFonts w:hint="eastAsia" w:ascii="宋体" w:hAnsi="宋体" w:cs="宋体"/>
                <w:color w:val="auto"/>
                <w:sz w:val="21"/>
                <w:szCs w:val="21"/>
                <w:highlight w:val="none"/>
                <w:lang w:val="en-US" w:eastAsia="zh-CN" w:bidi="ar"/>
              </w:rPr>
              <w:t>0</w:t>
            </w:r>
            <w:r>
              <w:rPr>
                <w:rStyle w:val="978"/>
                <w:rFonts w:hint="eastAsia" w:ascii="宋体" w:hAnsi="宋体" w:eastAsia="宋体" w:cs="宋体"/>
                <w:color w:val="auto"/>
                <w:sz w:val="21"/>
                <w:szCs w:val="21"/>
                <w:highlight w:val="none"/>
                <w:lang w:val="en-US" w:eastAsia="zh-CN" w:bidi="ar"/>
              </w:rPr>
              <w:t>0</w:t>
            </w:r>
            <w:r>
              <w:rPr>
                <w:rStyle w:val="979"/>
                <w:rFonts w:hint="eastAsia" w:ascii="宋体" w:hAnsi="宋体" w:eastAsia="宋体" w:cs="宋体"/>
                <w:color w:val="auto"/>
                <w:sz w:val="21"/>
                <w:szCs w:val="21"/>
                <w:highlight w:val="none"/>
                <w:lang w:val="en-US" w:eastAsia="zh-CN" w:bidi="ar"/>
              </w:rPr>
              <w:t>、</w:t>
            </w:r>
            <w:r>
              <w:rPr>
                <w:rStyle w:val="978"/>
                <w:rFonts w:hint="eastAsia" w:ascii="宋体" w:hAnsi="宋体" w:eastAsia="宋体" w:cs="宋体"/>
                <w:color w:val="auto"/>
                <w:sz w:val="21"/>
                <w:szCs w:val="21"/>
                <w:highlight w:val="none"/>
                <w:lang w:val="en-US" w:eastAsia="zh-CN" w:bidi="ar"/>
              </w:rPr>
              <w:t>PN1.0MPa</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68D87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19F29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1DF600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2DB69A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15DED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241954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63C55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铸钢闸阀</w:t>
            </w:r>
            <w:r>
              <w:rPr>
                <w:rStyle w:val="978"/>
                <w:rFonts w:hint="eastAsia" w:ascii="宋体" w:hAnsi="宋体" w:eastAsia="宋体" w:cs="宋体"/>
                <w:color w:val="auto"/>
                <w:sz w:val="21"/>
                <w:szCs w:val="21"/>
                <w:highlight w:val="none"/>
                <w:lang w:val="en-US" w:eastAsia="zh-CN" w:bidi="ar"/>
              </w:rPr>
              <w:t>DN1</w:t>
            </w:r>
            <w:r>
              <w:rPr>
                <w:rStyle w:val="978"/>
                <w:rFonts w:hint="eastAsia" w:ascii="宋体" w:hAnsi="宋体" w:cs="宋体"/>
                <w:color w:val="auto"/>
                <w:sz w:val="21"/>
                <w:szCs w:val="21"/>
                <w:highlight w:val="none"/>
                <w:lang w:val="en-US" w:eastAsia="zh-CN" w:bidi="ar"/>
              </w:rPr>
              <w:t>0</w:t>
            </w:r>
            <w:r>
              <w:rPr>
                <w:rStyle w:val="978"/>
                <w:rFonts w:hint="eastAsia" w:ascii="宋体" w:hAnsi="宋体" w:eastAsia="宋体" w:cs="宋体"/>
                <w:color w:val="auto"/>
                <w:sz w:val="21"/>
                <w:szCs w:val="21"/>
                <w:highlight w:val="none"/>
                <w:lang w:val="en-US" w:eastAsia="zh-CN" w:bidi="ar"/>
              </w:rPr>
              <w:t>0</w:t>
            </w:r>
            <w:r>
              <w:rPr>
                <w:rStyle w:val="979"/>
                <w:rFonts w:hint="eastAsia" w:ascii="宋体" w:hAnsi="宋体" w:eastAsia="宋体" w:cs="宋体"/>
                <w:color w:val="auto"/>
                <w:sz w:val="21"/>
                <w:szCs w:val="21"/>
                <w:highlight w:val="none"/>
                <w:lang w:val="en-US" w:eastAsia="zh-CN" w:bidi="ar"/>
              </w:rPr>
              <w:t>、</w:t>
            </w:r>
            <w:r>
              <w:rPr>
                <w:rStyle w:val="978"/>
                <w:rFonts w:hint="eastAsia" w:ascii="宋体" w:hAnsi="宋体" w:eastAsia="宋体" w:cs="宋体"/>
                <w:color w:val="auto"/>
                <w:sz w:val="21"/>
                <w:szCs w:val="21"/>
                <w:highlight w:val="none"/>
                <w:lang w:val="en-US" w:eastAsia="zh-CN" w:bidi="ar"/>
              </w:rPr>
              <w:t>PN1.0MPa</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BE7BB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1B23A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E6A5A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18BF33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6E610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53677A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207B9C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压力表、压力信号器、压力变送器和示流信号器</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BB180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18358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564F5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61F886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3C085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1EEE83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567C1E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所有供水管路及附件</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4C119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CF039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20DAF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046CC7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526E8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0E6F7C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71012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气系统改造</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0F8573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1BE16E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2ED4AD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3885EA5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41420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1204D7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BF2F3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空压机SF-0.8/7，排气量0.8m3/min、排气压力0.7MPa</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6E7A6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4E194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5FE38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3A60DE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718BF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7101EB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0D598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气水分离器DN25、PN1.0MPa</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DFCB8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814BB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4C4F9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186646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0DFDE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1BECC2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E5E36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压力表</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63CA9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A322C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9D5FE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1AFE80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6BD58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082845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CF19C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压力信号器0~1.0MPa</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71F35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7640D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72CE4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DAF99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03C5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45D85E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57E323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发电</w:t>
            </w:r>
            <w:r>
              <w:rPr>
                <w:rFonts w:hint="eastAsia" w:ascii="宋体" w:hAnsi="宋体" w:eastAsia="宋体" w:cs="宋体"/>
                <w:b/>
                <w:bCs/>
                <w:i w:val="0"/>
                <w:iCs w:val="0"/>
                <w:color w:val="auto"/>
                <w:kern w:val="0"/>
                <w:sz w:val="21"/>
                <w:szCs w:val="21"/>
                <w:highlight w:val="none"/>
                <w:u w:val="none"/>
                <w:lang w:val="en-US" w:eastAsia="zh-CN" w:bidi="ar"/>
              </w:rPr>
              <w:t>设备及安装工程旧设备拆除</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C965C1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86D714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AA2AB6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3FAE45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64373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24D6D21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221145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旧设备拆除</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E3210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85616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CCACE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5C80E3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29C4B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573E01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5BE608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发电</w:t>
            </w:r>
            <w:r>
              <w:rPr>
                <w:rFonts w:hint="eastAsia" w:ascii="宋体" w:hAnsi="宋体" w:eastAsia="宋体" w:cs="宋体"/>
                <w:b/>
                <w:bCs/>
                <w:i w:val="0"/>
                <w:iCs w:val="0"/>
                <w:color w:val="auto"/>
                <w:kern w:val="0"/>
                <w:sz w:val="21"/>
                <w:szCs w:val="21"/>
                <w:highlight w:val="none"/>
                <w:u w:val="none"/>
                <w:lang w:val="en-US" w:eastAsia="zh-CN" w:bidi="ar"/>
              </w:rPr>
              <w:t>设备及安装工程运杂费</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339561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2A27C6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657331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487439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36A0E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512293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4085" w:type="dxa"/>
            <w:tcBorders>
              <w:top w:val="single" w:color="000000" w:sz="4" w:space="0"/>
              <w:left w:val="single" w:color="000000" w:sz="4" w:space="0"/>
              <w:bottom w:val="double" w:color="000000" w:sz="4" w:space="0"/>
              <w:right w:val="single" w:color="000000" w:sz="4" w:space="0"/>
            </w:tcBorders>
            <w:noWrap w:val="0"/>
            <w:vAlign w:val="center"/>
          </w:tcPr>
          <w:p w14:paraId="6AB91D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0367E8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8298B0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nil"/>
              <w:right w:val="nil"/>
            </w:tcBorders>
            <w:noWrap w:val="0"/>
            <w:vAlign w:val="center"/>
          </w:tcPr>
          <w:p w14:paraId="133E0E0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24AA94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3EA8B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shd w:val="clear" w:color="auto" w:fill="FFE699"/>
            <w:noWrap w:val="0"/>
            <w:vAlign w:val="center"/>
          </w:tcPr>
          <w:p w14:paraId="68D942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5807" w:type="dxa"/>
            <w:gridSpan w:val="3"/>
            <w:tcBorders>
              <w:top w:val="single" w:color="000000" w:sz="4" w:space="0"/>
              <w:left w:val="single" w:color="000000" w:sz="4" w:space="0"/>
              <w:bottom w:val="single" w:color="000000" w:sz="4" w:space="0"/>
              <w:right w:val="single" w:color="000000" w:sz="4" w:space="0"/>
            </w:tcBorders>
            <w:shd w:val="clear" w:color="auto" w:fill="FFE699"/>
            <w:noWrap w:val="0"/>
            <w:vAlign w:val="center"/>
          </w:tcPr>
          <w:p w14:paraId="56588E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电气设备及安装工程</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716E03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9310BF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2EC8B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29250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7EBD8B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35kV升压设备</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ACB49E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E0BDBF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185D56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6106D2A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23F44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4D30C8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B3914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35kV电流互感器LZZBW1-35,150/5A，0.2S/0.5/5P20</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7C404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85718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79D7A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5EA81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0A3A3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7096D9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4A3C1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35kV电压互感器JDZXW-35W，35/√3 /0.1/√3 /0.1/3kV</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09FA9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B90F1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95555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63E2AE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3E4E5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7393C5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624F69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35kV氧化锌避雷器HY5WZ-51/134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9DC77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D2C57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2F092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6189F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2804B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06CCF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F2EEE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35kV限流熔断器RW10-35/0.5A</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040C0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5F788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4B95A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37F3AD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5C3B9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757371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24E105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钢芯铝线LGJ-150及附件</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D0EA1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A85A1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C445B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48BD43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452D9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9222A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63FF3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6.3kV设备</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BD0316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894C24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F9F6F6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6992389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75E03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0F42B7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7E208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#1发电机6.3kV断路器柜XGN2-1</w:t>
            </w:r>
            <w:r>
              <w:rPr>
                <w:rFonts w:hint="eastAsia" w:ascii="宋体" w:hAnsi="宋体" w:cs="宋体"/>
                <w:i w:val="0"/>
                <w:iCs w:val="0"/>
                <w:color w:val="auto"/>
                <w:kern w:val="0"/>
                <w:sz w:val="21"/>
                <w:szCs w:val="21"/>
                <w:highlight w:val="none"/>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9D872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789AB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1DF0E8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54F64C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31161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22019A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20221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#1发电机6.3kV电压互感器柜XGN2-1</w:t>
            </w:r>
            <w:r>
              <w:rPr>
                <w:rFonts w:hint="eastAsia" w:ascii="宋体" w:hAnsi="宋体" w:cs="宋体"/>
                <w:i w:val="0"/>
                <w:iCs w:val="0"/>
                <w:color w:val="auto"/>
                <w:kern w:val="0"/>
                <w:sz w:val="21"/>
                <w:szCs w:val="21"/>
                <w:highlight w:val="none"/>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1EF89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96553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A7F3A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6FAC92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076A0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2E3AD3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CC9DA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#2发电机6.3kV断路器柜XGN2-1</w:t>
            </w:r>
            <w:r>
              <w:rPr>
                <w:rFonts w:hint="eastAsia" w:ascii="宋体" w:hAnsi="宋体" w:cs="宋体"/>
                <w:i w:val="0"/>
                <w:iCs w:val="0"/>
                <w:color w:val="auto"/>
                <w:kern w:val="0"/>
                <w:sz w:val="21"/>
                <w:szCs w:val="21"/>
                <w:highlight w:val="none"/>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D473B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98BE1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1A503E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0F8429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38C86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5CBCA8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C8D02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#2发电机6.3kV电压互感器柜XGN2-1</w:t>
            </w:r>
            <w:r>
              <w:rPr>
                <w:rFonts w:hint="eastAsia" w:ascii="宋体" w:hAnsi="宋体" w:cs="宋体"/>
                <w:i w:val="0"/>
                <w:iCs w:val="0"/>
                <w:color w:val="auto"/>
                <w:kern w:val="0"/>
                <w:sz w:val="21"/>
                <w:szCs w:val="21"/>
                <w:highlight w:val="none"/>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5D100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A9037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7C417A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688593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1942D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0FC0E2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2CA847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厂变6.3kV断路器柜XGN2-1</w:t>
            </w:r>
            <w:r>
              <w:rPr>
                <w:rFonts w:hint="eastAsia" w:ascii="宋体" w:hAnsi="宋体" w:cs="宋体"/>
                <w:i w:val="0"/>
                <w:iCs w:val="0"/>
                <w:color w:val="auto"/>
                <w:kern w:val="0"/>
                <w:sz w:val="21"/>
                <w:szCs w:val="21"/>
                <w:highlight w:val="none"/>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F6983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5581F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7C73A9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E1D8D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3F85F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7AF853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6AF77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6.3kV母线互感器柜XGN2-1</w:t>
            </w:r>
            <w:r>
              <w:rPr>
                <w:rFonts w:hint="eastAsia" w:ascii="宋体" w:hAnsi="宋体" w:cs="宋体"/>
                <w:i w:val="0"/>
                <w:iCs w:val="0"/>
                <w:color w:val="auto"/>
                <w:kern w:val="0"/>
                <w:sz w:val="21"/>
                <w:szCs w:val="21"/>
                <w:highlight w:val="none"/>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80C0D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DA44D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7EC966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3A53AD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20E10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323052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4B408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主变低压侧6.3kV断路器柜XGN2-1</w:t>
            </w:r>
            <w:r>
              <w:rPr>
                <w:rFonts w:hint="eastAsia" w:ascii="宋体" w:hAnsi="宋体" w:cs="宋体"/>
                <w:i w:val="0"/>
                <w:iCs w:val="0"/>
                <w:color w:val="auto"/>
                <w:kern w:val="0"/>
                <w:sz w:val="21"/>
                <w:szCs w:val="21"/>
                <w:highlight w:val="none"/>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F632C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66F6E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6C484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7DC704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2186D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3293CB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9B5D6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铜</w:t>
            </w:r>
            <w:r>
              <w:rPr>
                <w:rFonts w:hint="eastAsia" w:ascii="宋体" w:hAnsi="宋体" w:eastAsia="宋体" w:cs="宋体"/>
                <w:i w:val="0"/>
                <w:iCs w:val="0"/>
                <w:color w:val="auto"/>
                <w:kern w:val="0"/>
                <w:sz w:val="21"/>
                <w:szCs w:val="21"/>
                <w:highlight w:val="none"/>
                <w:u w:val="none"/>
                <w:lang w:val="en-US" w:eastAsia="zh-CN" w:bidi="ar"/>
              </w:rPr>
              <w:t>母线</w:t>
            </w:r>
            <w:r>
              <w:rPr>
                <w:rFonts w:hint="eastAsia" w:ascii="宋体" w:hAnsi="宋体" w:cs="宋体"/>
                <w:i w:val="0"/>
                <w:iCs w:val="0"/>
                <w:color w:val="auto"/>
                <w:kern w:val="0"/>
                <w:sz w:val="21"/>
                <w:szCs w:val="21"/>
                <w:highlight w:val="none"/>
                <w:u w:val="none"/>
                <w:lang w:val="en-US" w:eastAsia="zh-CN" w:bidi="ar"/>
              </w:rPr>
              <w:t>T</w:t>
            </w:r>
            <w:r>
              <w:rPr>
                <w:rFonts w:hint="eastAsia" w:ascii="宋体" w:hAnsi="宋体" w:eastAsia="宋体" w:cs="宋体"/>
                <w:i w:val="0"/>
                <w:iCs w:val="0"/>
                <w:color w:val="auto"/>
                <w:kern w:val="0"/>
                <w:sz w:val="21"/>
                <w:szCs w:val="21"/>
                <w:highlight w:val="none"/>
                <w:u w:val="none"/>
                <w:lang w:val="en-US" w:eastAsia="zh-CN" w:bidi="ar"/>
              </w:rPr>
              <w:t>MY-80×8及附件</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6C061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E3974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3AA7F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5EE18A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0ACBB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5CE30B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6F2961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6.3kV电力电缆YJV22-6-3×95</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4248B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AED56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AEA69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33C73B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53981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ED4C3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2.10</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255EE7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6.3kV电流互感器12kV </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00/5</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CA38D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87D24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12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340E81E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2" w:type="dxa"/>
            <w:tcBorders>
              <w:top w:val="single" w:color="000000" w:sz="4" w:space="0"/>
              <w:left w:val="single" w:color="000000" w:sz="4" w:space="0"/>
              <w:bottom w:val="single" w:color="000000" w:sz="4" w:space="0"/>
            </w:tcBorders>
            <w:noWrap w:val="0"/>
            <w:vAlign w:val="center"/>
          </w:tcPr>
          <w:p w14:paraId="20AD6D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5D8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4AFCDC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622C2D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厂用电系统</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8FBB0C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4C6693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7F24472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00DBCC7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02E26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5FF037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55954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0.4kV低压进线切换柜MNS</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CA263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B449C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7537AB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2190B8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019B7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6D551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74825A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0.4kV低压馈电柜MNS</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ACBC5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A9EF6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D9113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0C98BA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2EB5F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5A5BFD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CEFA2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自动稳压器柜SBW-50</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3BC51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E5DDF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83BFB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13DBA9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13FAD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31C8BA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200AB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1kV电力电缆</w:t>
            </w:r>
            <w:r>
              <w:rPr>
                <w:rFonts w:hint="eastAsia" w:ascii="宋体" w:hAnsi="宋体" w:cs="宋体"/>
                <w:i w:val="0"/>
                <w:iCs w:val="0"/>
                <w:color w:val="auto"/>
                <w:kern w:val="0"/>
                <w:sz w:val="21"/>
                <w:szCs w:val="21"/>
                <w:highlight w:val="none"/>
                <w:u w:val="none"/>
                <w:lang w:val="en-US" w:eastAsia="zh-CN" w:bidi="ar"/>
              </w:rPr>
              <w:t>YJV</w:t>
            </w:r>
            <w:r>
              <w:rPr>
                <w:rFonts w:hint="eastAsia" w:ascii="宋体" w:hAnsi="宋体" w:eastAsia="宋体" w:cs="宋体"/>
                <w:i w:val="0"/>
                <w:iCs w:val="0"/>
                <w:color w:val="auto"/>
                <w:kern w:val="0"/>
                <w:sz w:val="21"/>
                <w:szCs w:val="21"/>
                <w:highlight w:val="none"/>
                <w:u w:val="none"/>
                <w:lang w:val="en-US" w:eastAsia="zh-CN" w:bidi="ar"/>
              </w:rPr>
              <w:t>-1-3×25+1×16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184EB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AC517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7B87B4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25313B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2A7C6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28CB4A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7CF7F0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励磁系统</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9AA871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DCF716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E6F3E8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24A05E0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2AE14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592EB6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138743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励磁变压器，环氧树脂干式，63kVA</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57428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17FD4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75F5DE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238F4D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205DE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067008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DC41A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励磁压变JDZJ-6 6</w:t>
            </w:r>
            <w:r>
              <w:rPr>
                <w:rFonts w:hint="eastAsia" w:ascii="宋体" w:hAnsi="宋体" w:eastAsia="宋体" w:cs="宋体"/>
                <w:i w:val="0"/>
                <w:iCs w:val="0"/>
                <w:color w:val="auto"/>
                <w:kern w:val="0"/>
                <w:sz w:val="21"/>
                <w:szCs w:val="21"/>
                <w:highlight w:val="none"/>
                <w:u w:val="none"/>
                <w:lang w:val="en-US" w:eastAsia="zh-CN" w:bidi="ar"/>
              </w:rPr>
              <w:t>/√3 /0.1/√3 /0.1/3kV</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BD0DB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28E9D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E776B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6B7E0F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1F711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7F2AA3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6A39E4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6.3kV电力电缆YJV22-6-3×25</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8BAFC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729DF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34DCF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1D7EF9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1ADAE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59762C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4.4</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43D0A5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1kV电力电缆</w:t>
            </w:r>
            <w:r>
              <w:rPr>
                <w:rFonts w:hint="eastAsia" w:ascii="宋体" w:hAnsi="宋体" w:cs="宋体"/>
                <w:i w:val="0"/>
                <w:iCs w:val="0"/>
                <w:color w:val="auto"/>
                <w:kern w:val="0"/>
                <w:sz w:val="21"/>
                <w:szCs w:val="21"/>
                <w:highlight w:val="none"/>
                <w:u w:val="none"/>
                <w:lang w:val="en-US" w:eastAsia="zh-CN" w:bidi="ar"/>
              </w:rPr>
              <w:t>YJV</w:t>
            </w:r>
            <w:r>
              <w:rPr>
                <w:rFonts w:hint="eastAsia" w:ascii="宋体" w:hAnsi="宋体" w:eastAsia="宋体" w:cs="宋体"/>
                <w:i w:val="0"/>
                <w:iCs w:val="0"/>
                <w:color w:val="auto"/>
                <w:kern w:val="0"/>
                <w:sz w:val="21"/>
                <w:szCs w:val="21"/>
                <w:highlight w:val="none"/>
                <w:u w:val="none"/>
                <w:lang w:val="en-US" w:eastAsia="zh-CN" w:bidi="ar"/>
              </w:rPr>
              <w:t>-1-3×120</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982A5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99712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130949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2C99EC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6BBC3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6C9E0A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5E55D4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二次回路屏蔽线</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CB36B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A23BD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815E0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48D700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19080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7AD9EF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6FA3C2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接地系统改造</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93763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F7388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7486FB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2D437F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55B4D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49338D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20130A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电气设备及安装工程旧设备拆除</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08388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7B846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37B217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32E2E0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50189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23F7C1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052E30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电气设备及安装工程运杂费</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E56DE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6EE6E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C3A801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302900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756EB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2030D40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53B17B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FBDF64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19668B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BB60BB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264ABE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30A99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shd w:val="clear" w:color="auto" w:fill="FFE699"/>
            <w:noWrap w:val="0"/>
            <w:vAlign w:val="center"/>
          </w:tcPr>
          <w:p w14:paraId="08117C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4085" w:type="dxa"/>
            <w:tcBorders>
              <w:top w:val="single" w:color="000000" w:sz="4" w:space="0"/>
              <w:left w:val="single" w:color="000000" w:sz="4" w:space="0"/>
              <w:bottom w:val="single" w:color="000000" w:sz="4" w:space="0"/>
              <w:right w:val="single" w:color="000000" w:sz="4" w:space="0"/>
            </w:tcBorders>
            <w:shd w:val="clear" w:color="auto" w:fill="FFE699"/>
            <w:noWrap w:val="0"/>
            <w:vAlign w:val="center"/>
          </w:tcPr>
          <w:p w14:paraId="6D06D0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设备基础、配套建筑部分</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420D1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7DCFB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F971B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431F96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4B4DC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bottom w:val="single" w:color="000000" w:sz="4" w:space="0"/>
              <w:right w:val="single" w:color="000000" w:sz="4" w:space="0"/>
            </w:tcBorders>
            <w:noWrap w:val="0"/>
            <w:vAlign w:val="center"/>
          </w:tcPr>
          <w:p w14:paraId="45FF8CC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14:paraId="6A0F76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B6C189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08E3C4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690845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tcBorders>
            <w:noWrap w:val="0"/>
            <w:vAlign w:val="center"/>
          </w:tcPr>
          <w:p w14:paraId="372DEA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r w14:paraId="63A2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2" w:type="dxa"/>
            <w:tcBorders>
              <w:top w:val="single" w:color="000000" w:sz="4" w:space="0"/>
              <w:right w:val="single" w:color="000000" w:sz="4" w:space="0"/>
            </w:tcBorders>
            <w:noWrap w:val="0"/>
            <w:vAlign w:val="center"/>
          </w:tcPr>
          <w:p w14:paraId="09CDECB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4085" w:type="dxa"/>
            <w:tcBorders>
              <w:top w:val="single" w:color="000000" w:sz="4" w:space="0"/>
              <w:left w:val="single" w:color="000000" w:sz="4" w:space="0"/>
              <w:right w:val="single" w:color="000000" w:sz="4" w:space="0"/>
            </w:tcBorders>
            <w:noWrap w:val="0"/>
            <w:vAlign w:val="center"/>
          </w:tcPr>
          <w:p w14:paraId="2ACFB9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总报价（一至三项）合计</w:t>
            </w:r>
          </w:p>
        </w:tc>
        <w:tc>
          <w:tcPr>
            <w:tcW w:w="895" w:type="dxa"/>
            <w:tcBorders>
              <w:top w:val="single" w:color="000000" w:sz="4" w:space="0"/>
              <w:left w:val="single" w:color="000000" w:sz="4" w:space="0"/>
              <w:right w:val="single" w:color="000000" w:sz="4" w:space="0"/>
            </w:tcBorders>
            <w:noWrap w:val="0"/>
            <w:vAlign w:val="center"/>
          </w:tcPr>
          <w:p w14:paraId="55DC88D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827" w:type="dxa"/>
            <w:tcBorders>
              <w:top w:val="single" w:color="000000" w:sz="4" w:space="0"/>
              <w:left w:val="single" w:color="000000" w:sz="4" w:space="0"/>
              <w:right w:val="single" w:color="000000" w:sz="4" w:space="0"/>
            </w:tcBorders>
            <w:noWrap w:val="0"/>
            <w:vAlign w:val="center"/>
          </w:tcPr>
          <w:p w14:paraId="1DD95E4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259" w:type="dxa"/>
            <w:tcBorders>
              <w:top w:val="single" w:color="000000" w:sz="4" w:space="0"/>
              <w:left w:val="single" w:color="000000" w:sz="4" w:space="0"/>
              <w:right w:val="single" w:color="000000" w:sz="4" w:space="0"/>
            </w:tcBorders>
            <w:noWrap w:val="0"/>
            <w:vAlign w:val="center"/>
          </w:tcPr>
          <w:p w14:paraId="65F1644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142" w:type="dxa"/>
            <w:tcBorders>
              <w:top w:val="single" w:color="000000" w:sz="4" w:space="0"/>
              <w:left w:val="single" w:color="000000" w:sz="4" w:space="0"/>
            </w:tcBorders>
            <w:noWrap w:val="0"/>
            <w:vAlign w:val="center"/>
          </w:tcPr>
          <w:p w14:paraId="67AC79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p>
        </w:tc>
      </w:tr>
    </w:tbl>
    <w:p w14:paraId="6C35ECD8">
      <w:pPr>
        <w:pStyle w:val="3"/>
        <w:bidi w:val="0"/>
        <w:spacing w:line="360" w:lineRule="auto"/>
        <w:rPr>
          <w:rFonts w:hint="eastAsia" w:ascii="宋体" w:hAnsi="宋体" w:eastAsia="宋体" w:cs="宋体"/>
          <w:sz w:val="28"/>
          <w:szCs w:val="28"/>
        </w:rPr>
      </w:pPr>
    </w:p>
    <w:p w14:paraId="600F4C01">
      <w:pPr>
        <w:pStyle w:val="3"/>
        <w:bidi w:val="0"/>
        <w:spacing w:line="360" w:lineRule="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报价要求</w:t>
      </w:r>
    </w:p>
    <w:p w14:paraId="1B19D3ED">
      <w:pPr>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1）投标报价表按本招标文件规定的格式填写。</w:t>
      </w:r>
    </w:p>
    <w:p w14:paraId="58F4A3BC">
      <w:pPr>
        <w:spacing w:line="360" w:lineRule="auto"/>
        <w:ind w:firstLine="48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2）本报价表中的设备项目与专项合同条款供货范围中的项目内容一致，相互矛盾时，以报价表为准。</w:t>
      </w:r>
    </w:p>
    <w:p w14:paraId="438BCC4E">
      <w:pPr>
        <w:spacing w:line="360" w:lineRule="auto"/>
        <w:ind w:firstLine="48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3）报价币种为人民币（进口部分也以人民币报价），报价表中的价格为交货固定不变价格。</w:t>
      </w:r>
    </w:p>
    <w:p w14:paraId="6B088673">
      <w:pPr>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4）报价表每一页下端应有法定代表人或委托代理人签字并加盖公章、日期。</w:t>
      </w:r>
    </w:p>
    <w:p w14:paraId="06CFB6A8">
      <w:pPr>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5）投标报价包括制造和组装货物过程中所有部件或材料已付和应付的各种税费。</w:t>
      </w:r>
    </w:p>
    <w:p w14:paraId="087AD0D3">
      <w:pPr>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6）报价表中的运杂费规定为货物从工厂运至规定的交货地点的运输费、装卸费（交货地点的卸车费除外）和保险费等所有费用。</w:t>
      </w:r>
    </w:p>
    <w:p w14:paraId="1D64ADFE">
      <w:pPr>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7） 除规定单独报价的技术服务项目外，其他所有技术服务费用已包含在设备报价中。</w:t>
      </w:r>
    </w:p>
    <w:p w14:paraId="431971A9">
      <w:pPr>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8）</w:t>
      </w:r>
      <w:r>
        <w:rPr>
          <w:rFonts w:hint="eastAsia" w:ascii="宋体" w:hAnsi="宋体" w:eastAsia="宋体" w:cs="宋体"/>
          <w:b/>
          <w:snapToGrid w:val="0"/>
          <w:sz w:val="24"/>
          <w:szCs w:val="24"/>
        </w:rPr>
        <w:t>机电设备采购报价采用固定总价不变。投标人在报价时应考虑合同执行期内各种可能的价格风险。</w:t>
      </w:r>
    </w:p>
    <w:p w14:paraId="0434E1D4">
      <w:pPr>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9）除合同另有规定外，工程量清单中的总价包括由承包人承担的直接工程费、间接费、其它费用、税金等全部费用和要求获得的利润以及应由承包人承担的义务、责任和风险所发生的一切费用。</w:t>
      </w:r>
    </w:p>
    <w:p w14:paraId="23C9C58B">
      <w:pPr>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10）符合合同规定的全部费用和利润都应包括在工程量清单所列的各项目中，合同规定应由承包人承担而在工程量清单中未详细列出的项目，其费用和利润应认为已包括在其它有关项目的单价和合价中。投标人不应在工程量清单中自行增加新的项目或修改项目名称。</w:t>
      </w:r>
    </w:p>
    <w:p w14:paraId="137F833E">
      <w:pPr>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11）工程量清单中的“单价”和“合价”栏均应由投标人填报。若投标人对某些项目未填报单价和合价，则应认为已包括在其它项目的单价和合价以及投标总报价内。</w:t>
      </w:r>
    </w:p>
    <w:p w14:paraId="699E34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rPr>
        <w:t>12）除合同另有规定外，在投标截止日前28天当时所依据的国家法律、行政法规、国务院有关部门的规章以及工程所在地的省、自治区、直辖市的地方法规和规章中规定应由承包人缴纳的税金和其它规费均应计入单价、合价和总报价中。</w:t>
      </w:r>
    </w:p>
    <w:p w14:paraId="0D5F0CAB">
      <w:pPr>
        <w:pStyle w:val="3"/>
        <w:bidi w:val="0"/>
        <w:spacing w:line="360" w:lineRule="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技术方案</w:t>
      </w:r>
    </w:p>
    <w:p w14:paraId="18478F1B">
      <w:pPr>
        <w:keepNext/>
        <w:outlineLvl w:val="1"/>
        <w:rPr>
          <w:rFonts w:hint="eastAsia" w:ascii="宋体" w:hAnsi="宋体" w:eastAsia="宋体" w:cs="宋体"/>
          <w:sz w:val="28"/>
          <w:szCs w:val="28"/>
        </w:rPr>
      </w:pPr>
      <w:bookmarkStart w:id="28" w:name="_Toc460367387"/>
      <w:bookmarkStart w:id="29" w:name="_Toc468122256"/>
      <w:bookmarkStart w:id="30" w:name="_Toc402163477"/>
      <w:r>
        <w:rPr>
          <w:rFonts w:hint="eastAsia" w:ascii="宋体" w:hAnsi="宋体" w:eastAsia="宋体" w:cs="宋体"/>
          <w:sz w:val="28"/>
          <w:szCs w:val="28"/>
        </w:rPr>
        <w:t>2.1 水轮机性能保证</w:t>
      </w:r>
      <w:bookmarkEnd w:id="28"/>
      <w:bookmarkEnd w:id="29"/>
    </w:p>
    <w:tbl>
      <w:tblPr>
        <w:tblStyle w:val="6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101"/>
        <w:gridCol w:w="4407"/>
        <w:gridCol w:w="2180"/>
      </w:tblGrid>
      <w:tr w14:paraId="1770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0E2080E">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序号</w:t>
            </w:r>
          </w:p>
        </w:tc>
        <w:tc>
          <w:tcPr>
            <w:tcW w:w="1101" w:type="dxa"/>
            <w:noWrap w:val="0"/>
            <w:vAlign w:val="center"/>
          </w:tcPr>
          <w:p w14:paraId="0C44B437">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性能</w:t>
            </w:r>
          </w:p>
        </w:tc>
        <w:tc>
          <w:tcPr>
            <w:tcW w:w="4407" w:type="dxa"/>
            <w:noWrap w:val="0"/>
            <w:vAlign w:val="center"/>
          </w:tcPr>
          <w:p w14:paraId="118AD3C4">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性能指标</w:t>
            </w:r>
          </w:p>
        </w:tc>
        <w:tc>
          <w:tcPr>
            <w:tcW w:w="2180" w:type="dxa"/>
            <w:noWrap w:val="0"/>
            <w:vAlign w:val="center"/>
          </w:tcPr>
          <w:p w14:paraId="31970C8D">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保证值</w:t>
            </w:r>
          </w:p>
        </w:tc>
      </w:tr>
      <w:tr w14:paraId="52C5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restart"/>
            <w:noWrap w:val="0"/>
            <w:vAlign w:val="center"/>
          </w:tcPr>
          <w:p w14:paraId="4765A35A">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w:t>
            </w:r>
          </w:p>
        </w:tc>
        <w:tc>
          <w:tcPr>
            <w:tcW w:w="1101" w:type="dxa"/>
            <w:vMerge w:val="restart"/>
            <w:noWrap w:val="0"/>
            <w:vAlign w:val="center"/>
          </w:tcPr>
          <w:p w14:paraId="3F0742CB">
            <w:pPr>
              <w:spacing w:line="400" w:lineRule="exact"/>
              <w:jc w:val="left"/>
              <w:rPr>
                <w:rFonts w:hint="eastAsia" w:ascii="宋体" w:hAnsi="宋体" w:eastAsia="宋体" w:cs="宋体"/>
                <w:snapToGrid w:val="0"/>
                <w:szCs w:val="21"/>
              </w:rPr>
            </w:pPr>
            <w:r>
              <w:rPr>
                <w:rFonts w:hint="eastAsia" w:ascii="宋体" w:hAnsi="宋体" w:eastAsia="宋体" w:cs="宋体"/>
                <w:snapToGrid w:val="0"/>
                <w:szCs w:val="21"/>
              </w:rPr>
              <w:t>出力（额定转速运行，在允许的吸出高度条件下）</w:t>
            </w:r>
          </w:p>
        </w:tc>
        <w:tc>
          <w:tcPr>
            <w:tcW w:w="4407" w:type="dxa"/>
            <w:noWrap w:val="0"/>
            <w:vAlign w:val="top"/>
          </w:tcPr>
          <w:p w14:paraId="19531D46">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最大水头对应的出力（kW）</w:t>
            </w:r>
          </w:p>
        </w:tc>
        <w:tc>
          <w:tcPr>
            <w:tcW w:w="2180" w:type="dxa"/>
            <w:noWrap w:val="0"/>
            <w:vAlign w:val="center"/>
          </w:tcPr>
          <w:p w14:paraId="630C8AA9">
            <w:pPr>
              <w:spacing w:line="400" w:lineRule="exact"/>
              <w:rPr>
                <w:rFonts w:hint="eastAsia" w:ascii="宋体" w:hAnsi="宋体" w:eastAsia="宋体" w:cs="宋体"/>
                <w:snapToGrid w:val="0"/>
                <w:szCs w:val="21"/>
              </w:rPr>
            </w:pPr>
          </w:p>
        </w:tc>
      </w:tr>
      <w:tr w14:paraId="627A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center"/>
          </w:tcPr>
          <w:p w14:paraId="7193336A">
            <w:pPr>
              <w:spacing w:line="400" w:lineRule="exact"/>
              <w:rPr>
                <w:rFonts w:hint="eastAsia" w:ascii="宋体" w:hAnsi="宋体" w:eastAsia="宋体" w:cs="宋体"/>
                <w:snapToGrid w:val="0"/>
                <w:szCs w:val="21"/>
              </w:rPr>
            </w:pPr>
          </w:p>
        </w:tc>
        <w:tc>
          <w:tcPr>
            <w:tcW w:w="1101" w:type="dxa"/>
            <w:vMerge w:val="continue"/>
            <w:noWrap w:val="0"/>
            <w:vAlign w:val="top"/>
          </w:tcPr>
          <w:p w14:paraId="15D5E94A">
            <w:pPr>
              <w:spacing w:line="400" w:lineRule="exact"/>
              <w:rPr>
                <w:rFonts w:hint="eastAsia" w:ascii="宋体" w:hAnsi="宋体" w:eastAsia="宋体" w:cs="宋体"/>
                <w:snapToGrid w:val="0"/>
                <w:szCs w:val="21"/>
              </w:rPr>
            </w:pPr>
          </w:p>
        </w:tc>
        <w:tc>
          <w:tcPr>
            <w:tcW w:w="4407" w:type="dxa"/>
            <w:noWrap w:val="0"/>
            <w:vAlign w:val="top"/>
          </w:tcPr>
          <w:p w14:paraId="6526856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加权平均水头对应的出力（kW）</w:t>
            </w:r>
          </w:p>
        </w:tc>
        <w:tc>
          <w:tcPr>
            <w:tcW w:w="2180" w:type="dxa"/>
            <w:noWrap w:val="0"/>
            <w:vAlign w:val="top"/>
          </w:tcPr>
          <w:p w14:paraId="40046A63">
            <w:pPr>
              <w:spacing w:line="400" w:lineRule="exact"/>
              <w:rPr>
                <w:rFonts w:hint="eastAsia" w:ascii="宋体" w:hAnsi="宋体" w:eastAsia="宋体" w:cs="宋体"/>
                <w:snapToGrid w:val="0"/>
                <w:szCs w:val="21"/>
              </w:rPr>
            </w:pPr>
          </w:p>
        </w:tc>
      </w:tr>
      <w:tr w14:paraId="5E5B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top"/>
          </w:tcPr>
          <w:p w14:paraId="789146CA">
            <w:pPr>
              <w:spacing w:line="400" w:lineRule="exact"/>
              <w:rPr>
                <w:rFonts w:hint="eastAsia" w:ascii="宋体" w:hAnsi="宋体" w:eastAsia="宋体" w:cs="宋体"/>
                <w:snapToGrid w:val="0"/>
                <w:szCs w:val="21"/>
              </w:rPr>
            </w:pPr>
          </w:p>
        </w:tc>
        <w:tc>
          <w:tcPr>
            <w:tcW w:w="1101" w:type="dxa"/>
            <w:vMerge w:val="continue"/>
            <w:noWrap w:val="0"/>
            <w:vAlign w:val="top"/>
          </w:tcPr>
          <w:p w14:paraId="14CA901E">
            <w:pPr>
              <w:spacing w:line="400" w:lineRule="exact"/>
              <w:rPr>
                <w:rFonts w:hint="eastAsia" w:ascii="宋体" w:hAnsi="宋体" w:eastAsia="宋体" w:cs="宋体"/>
                <w:snapToGrid w:val="0"/>
                <w:szCs w:val="21"/>
              </w:rPr>
            </w:pPr>
          </w:p>
        </w:tc>
        <w:tc>
          <w:tcPr>
            <w:tcW w:w="4407" w:type="dxa"/>
            <w:noWrap w:val="0"/>
            <w:vAlign w:val="top"/>
          </w:tcPr>
          <w:p w14:paraId="3B5EC49F">
            <w:pPr>
              <w:spacing w:line="400" w:lineRule="exact"/>
              <w:rPr>
                <w:rFonts w:hint="eastAsia" w:ascii="宋体" w:hAnsi="宋体" w:eastAsia="宋体" w:cs="宋体"/>
                <w:snapToGrid w:val="0"/>
                <w:szCs w:val="21"/>
              </w:rPr>
            </w:pPr>
            <w:r>
              <w:rPr>
                <w:rFonts w:hint="eastAsia" w:ascii="宋体" w:hAnsi="宋体" w:eastAsia="宋体" w:cs="宋体"/>
                <w:snapToGrid w:val="0"/>
                <w:szCs w:val="21"/>
              </w:rPr>
              <w:t>额定水头对应的出力（kW）</w:t>
            </w:r>
          </w:p>
        </w:tc>
        <w:tc>
          <w:tcPr>
            <w:tcW w:w="2180" w:type="dxa"/>
            <w:noWrap w:val="0"/>
            <w:vAlign w:val="center"/>
          </w:tcPr>
          <w:p w14:paraId="08A5B7A5">
            <w:pPr>
              <w:spacing w:line="400" w:lineRule="exact"/>
              <w:rPr>
                <w:rFonts w:hint="eastAsia" w:ascii="宋体" w:hAnsi="宋体" w:eastAsia="宋体" w:cs="宋体"/>
                <w:snapToGrid w:val="0"/>
                <w:szCs w:val="21"/>
              </w:rPr>
            </w:pPr>
          </w:p>
        </w:tc>
      </w:tr>
      <w:tr w14:paraId="42E5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Merge w:val="continue"/>
            <w:noWrap w:val="0"/>
            <w:vAlign w:val="top"/>
          </w:tcPr>
          <w:p w14:paraId="39AF530A">
            <w:pPr>
              <w:spacing w:line="400" w:lineRule="exact"/>
              <w:rPr>
                <w:rFonts w:hint="eastAsia" w:ascii="宋体" w:hAnsi="宋体" w:eastAsia="宋体" w:cs="宋体"/>
                <w:snapToGrid w:val="0"/>
                <w:szCs w:val="21"/>
              </w:rPr>
            </w:pPr>
          </w:p>
        </w:tc>
        <w:tc>
          <w:tcPr>
            <w:tcW w:w="1101" w:type="dxa"/>
            <w:vMerge w:val="continue"/>
            <w:noWrap w:val="0"/>
            <w:vAlign w:val="top"/>
          </w:tcPr>
          <w:p w14:paraId="71A75AD0">
            <w:pPr>
              <w:spacing w:line="400" w:lineRule="exact"/>
              <w:rPr>
                <w:rFonts w:hint="eastAsia" w:ascii="宋体" w:hAnsi="宋体" w:eastAsia="宋体" w:cs="宋体"/>
                <w:snapToGrid w:val="0"/>
                <w:szCs w:val="21"/>
              </w:rPr>
            </w:pPr>
          </w:p>
        </w:tc>
        <w:tc>
          <w:tcPr>
            <w:tcW w:w="4407" w:type="dxa"/>
            <w:noWrap w:val="0"/>
            <w:vAlign w:val="top"/>
          </w:tcPr>
          <w:p w14:paraId="7AA6050F">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最小水头对应的出力（kW）</w:t>
            </w:r>
          </w:p>
        </w:tc>
        <w:tc>
          <w:tcPr>
            <w:tcW w:w="2180" w:type="dxa"/>
            <w:noWrap w:val="0"/>
            <w:vAlign w:val="center"/>
          </w:tcPr>
          <w:p w14:paraId="437B3A1F">
            <w:pPr>
              <w:spacing w:line="400" w:lineRule="exact"/>
              <w:rPr>
                <w:rFonts w:hint="eastAsia" w:ascii="宋体" w:hAnsi="宋体" w:eastAsia="宋体" w:cs="宋体"/>
                <w:snapToGrid w:val="0"/>
                <w:szCs w:val="21"/>
              </w:rPr>
            </w:pPr>
          </w:p>
        </w:tc>
      </w:tr>
      <w:tr w14:paraId="0764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restart"/>
            <w:noWrap w:val="0"/>
            <w:vAlign w:val="center"/>
          </w:tcPr>
          <w:p w14:paraId="57894C9A">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2</w:t>
            </w:r>
          </w:p>
        </w:tc>
        <w:tc>
          <w:tcPr>
            <w:tcW w:w="1101" w:type="dxa"/>
            <w:vMerge w:val="restart"/>
            <w:noWrap w:val="0"/>
            <w:vAlign w:val="center"/>
          </w:tcPr>
          <w:p w14:paraId="5C32A6F5">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效率</w:t>
            </w:r>
          </w:p>
        </w:tc>
        <w:tc>
          <w:tcPr>
            <w:tcW w:w="4407" w:type="dxa"/>
            <w:noWrap w:val="0"/>
            <w:vAlign w:val="top"/>
          </w:tcPr>
          <w:p w14:paraId="41606DEF">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在额定水头____m，发额定出力</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MW时，保证原型水轮机的效率不低于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 xml:space="preserve"> %，相应工况的模型水轮机效率保证值不低于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w:t>
            </w:r>
          </w:p>
        </w:tc>
        <w:tc>
          <w:tcPr>
            <w:tcW w:w="2180" w:type="dxa"/>
            <w:noWrap w:val="0"/>
            <w:vAlign w:val="top"/>
          </w:tcPr>
          <w:p w14:paraId="086AFCF4">
            <w:pPr>
              <w:spacing w:line="400" w:lineRule="exact"/>
              <w:rPr>
                <w:rFonts w:hint="eastAsia" w:ascii="宋体" w:hAnsi="宋体" w:eastAsia="宋体" w:cs="宋体"/>
                <w:snapToGrid w:val="0"/>
                <w:szCs w:val="21"/>
              </w:rPr>
            </w:pPr>
          </w:p>
        </w:tc>
      </w:tr>
      <w:tr w14:paraId="0FF8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center"/>
          </w:tcPr>
          <w:p w14:paraId="6B632DCD">
            <w:pPr>
              <w:spacing w:line="400" w:lineRule="exact"/>
              <w:jc w:val="center"/>
              <w:rPr>
                <w:rFonts w:hint="eastAsia" w:ascii="宋体" w:hAnsi="宋体" w:eastAsia="宋体" w:cs="宋体"/>
                <w:snapToGrid w:val="0"/>
                <w:szCs w:val="21"/>
              </w:rPr>
            </w:pPr>
          </w:p>
        </w:tc>
        <w:tc>
          <w:tcPr>
            <w:tcW w:w="1101" w:type="dxa"/>
            <w:vMerge w:val="continue"/>
            <w:noWrap w:val="0"/>
            <w:vAlign w:val="top"/>
          </w:tcPr>
          <w:p w14:paraId="4FE4F9F6">
            <w:pPr>
              <w:spacing w:line="400" w:lineRule="exact"/>
              <w:rPr>
                <w:rFonts w:hint="eastAsia" w:ascii="宋体" w:hAnsi="宋体" w:eastAsia="宋体" w:cs="宋体"/>
                <w:snapToGrid w:val="0"/>
                <w:szCs w:val="21"/>
              </w:rPr>
            </w:pPr>
          </w:p>
        </w:tc>
        <w:tc>
          <w:tcPr>
            <w:tcW w:w="4407" w:type="dxa"/>
            <w:noWrap w:val="0"/>
            <w:vAlign w:val="top"/>
          </w:tcPr>
          <w:p w14:paraId="67403E6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在全部运行范围内，原型水轮机最高效率保证值不低于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%，模型水轮机最高效率保证值不低于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w:t>
            </w:r>
          </w:p>
        </w:tc>
        <w:tc>
          <w:tcPr>
            <w:tcW w:w="2180" w:type="dxa"/>
            <w:noWrap w:val="0"/>
            <w:vAlign w:val="center"/>
          </w:tcPr>
          <w:p w14:paraId="57EB0517">
            <w:pPr>
              <w:spacing w:line="400" w:lineRule="exact"/>
              <w:rPr>
                <w:rFonts w:hint="eastAsia" w:ascii="宋体" w:hAnsi="宋体" w:eastAsia="宋体" w:cs="宋体"/>
                <w:snapToGrid w:val="0"/>
                <w:szCs w:val="21"/>
              </w:rPr>
            </w:pPr>
          </w:p>
        </w:tc>
      </w:tr>
      <w:tr w14:paraId="23EF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center"/>
          </w:tcPr>
          <w:p w14:paraId="1CA33177">
            <w:pPr>
              <w:spacing w:line="400" w:lineRule="exact"/>
              <w:jc w:val="center"/>
              <w:rPr>
                <w:rFonts w:hint="eastAsia" w:ascii="宋体" w:hAnsi="宋体" w:eastAsia="宋体" w:cs="宋体"/>
                <w:snapToGrid w:val="0"/>
                <w:szCs w:val="21"/>
              </w:rPr>
            </w:pPr>
          </w:p>
        </w:tc>
        <w:tc>
          <w:tcPr>
            <w:tcW w:w="1101" w:type="dxa"/>
            <w:vMerge w:val="continue"/>
            <w:noWrap w:val="0"/>
            <w:vAlign w:val="top"/>
          </w:tcPr>
          <w:p w14:paraId="5E187FCC">
            <w:pPr>
              <w:spacing w:line="400" w:lineRule="exact"/>
              <w:rPr>
                <w:rFonts w:hint="eastAsia" w:ascii="宋体" w:hAnsi="宋体" w:eastAsia="宋体" w:cs="宋体"/>
                <w:snapToGrid w:val="0"/>
                <w:szCs w:val="21"/>
              </w:rPr>
            </w:pPr>
          </w:p>
        </w:tc>
        <w:tc>
          <w:tcPr>
            <w:tcW w:w="4407" w:type="dxa"/>
            <w:noWrap w:val="0"/>
            <w:vAlign w:val="top"/>
          </w:tcPr>
          <w:p w14:paraId="3CA78EB9">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水轮机在表14.1-2所列水头和条件下，按额定转速运行时，模型加权平均效率保证值不低于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%，原型加权平均效率保证值不低于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w:t>
            </w:r>
          </w:p>
        </w:tc>
        <w:tc>
          <w:tcPr>
            <w:tcW w:w="2180" w:type="dxa"/>
            <w:noWrap w:val="0"/>
            <w:vAlign w:val="center"/>
          </w:tcPr>
          <w:p w14:paraId="3A22294C">
            <w:pPr>
              <w:spacing w:line="400" w:lineRule="exact"/>
              <w:rPr>
                <w:rFonts w:hint="eastAsia" w:ascii="宋体" w:hAnsi="宋体" w:eastAsia="宋体" w:cs="宋体"/>
                <w:snapToGrid w:val="0"/>
                <w:szCs w:val="21"/>
              </w:rPr>
            </w:pPr>
          </w:p>
        </w:tc>
      </w:tr>
      <w:tr w14:paraId="0C0E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restart"/>
            <w:noWrap w:val="0"/>
            <w:vAlign w:val="center"/>
          </w:tcPr>
          <w:p w14:paraId="34D1BB17">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w:t>
            </w:r>
          </w:p>
        </w:tc>
        <w:tc>
          <w:tcPr>
            <w:tcW w:w="1101" w:type="dxa"/>
            <w:vMerge w:val="restart"/>
            <w:noWrap w:val="0"/>
            <w:vAlign w:val="center"/>
          </w:tcPr>
          <w:p w14:paraId="4174640A">
            <w:pPr>
              <w:spacing w:line="400" w:lineRule="exact"/>
              <w:rPr>
                <w:rFonts w:hint="eastAsia" w:ascii="宋体" w:hAnsi="宋体" w:eastAsia="宋体" w:cs="宋体"/>
                <w:snapToGrid w:val="0"/>
                <w:szCs w:val="21"/>
              </w:rPr>
            </w:pPr>
            <w:r>
              <w:rPr>
                <w:rFonts w:hint="eastAsia" w:ascii="宋体" w:hAnsi="宋体" w:eastAsia="宋体" w:cs="宋体"/>
                <w:snapToGrid w:val="0"/>
                <w:szCs w:val="21"/>
              </w:rPr>
              <w:t>空蚀损坏保证</w:t>
            </w:r>
          </w:p>
        </w:tc>
        <w:tc>
          <w:tcPr>
            <w:tcW w:w="4407" w:type="dxa"/>
            <w:noWrap w:val="0"/>
            <w:vAlign w:val="top"/>
          </w:tcPr>
          <w:p w14:paraId="4E4C6E14">
            <w:pPr>
              <w:spacing w:line="400" w:lineRule="exact"/>
              <w:rPr>
                <w:rFonts w:hint="eastAsia" w:ascii="宋体" w:hAnsi="宋体" w:eastAsia="宋体" w:cs="宋体"/>
                <w:snapToGrid w:val="0"/>
                <w:szCs w:val="21"/>
              </w:rPr>
            </w:pPr>
            <w:r>
              <w:rPr>
                <w:rFonts w:hint="eastAsia" w:ascii="宋体" w:hAnsi="宋体" w:eastAsia="宋体" w:cs="宋体"/>
                <w:snapToGrid w:val="0"/>
                <w:szCs w:val="21"/>
              </w:rPr>
              <w:t>转轮的金属失重量不超过（kg）</w:t>
            </w:r>
          </w:p>
        </w:tc>
        <w:tc>
          <w:tcPr>
            <w:tcW w:w="2180" w:type="dxa"/>
            <w:noWrap w:val="0"/>
            <w:vAlign w:val="center"/>
          </w:tcPr>
          <w:p w14:paraId="6252232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5F8C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center"/>
          </w:tcPr>
          <w:p w14:paraId="5441449A">
            <w:pPr>
              <w:spacing w:line="400" w:lineRule="exact"/>
              <w:jc w:val="center"/>
              <w:rPr>
                <w:rFonts w:hint="eastAsia" w:ascii="宋体" w:hAnsi="宋体" w:eastAsia="宋体" w:cs="宋体"/>
                <w:snapToGrid w:val="0"/>
                <w:szCs w:val="21"/>
              </w:rPr>
            </w:pPr>
          </w:p>
        </w:tc>
        <w:tc>
          <w:tcPr>
            <w:tcW w:w="1101" w:type="dxa"/>
            <w:vMerge w:val="continue"/>
            <w:noWrap w:val="0"/>
            <w:vAlign w:val="top"/>
          </w:tcPr>
          <w:p w14:paraId="2DB0E25E">
            <w:pPr>
              <w:spacing w:line="400" w:lineRule="exact"/>
              <w:rPr>
                <w:rFonts w:hint="eastAsia" w:ascii="宋体" w:hAnsi="宋体" w:eastAsia="宋体" w:cs="宋体"/>
                <w:snapToGrid w:val="0"/>
                <w:szCs w:val="21"/>
              </w:rPr>
            </w:pPr>
          </w:p>
        </w:tc>
        <w:tc>
          <w:tcPr>
            <w:tcW w:w="4407" w:type="dxa"/>
            <w:noWrap w:val="0"/>
            <w:vAlign w:val="top"/>
          </w:tcPr>
          <w:p w14:paraId="16F8CE41">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叶片任何点剥落深度不超过（mm）</w:t>
            </w:r>
          </w:p>
        </w:tc>
        <w:tc>
          <w:tcPr>
            <w:tcW w:w="2180" w:type="dxa"/>
            <w:noWrap w:val="0"/>
            <w:vAlign w:val="center"/>
          </w:tcPr>
          <w:p w14:paraId="26C6B2F7">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516E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center"/>
          </w:tcPr>
          <w:p w14:paraId="61375A1E">
            <w:pPr>
              <w:spacing w:line="400" w:lineRule="exact"/>
              <w:jc w:val="center"/>
              <w:rPr>
                <w:rFonts w:hint="eastAsia" w:ascii="宋体" w:hAnsi="宋体" w:eastAsia="宋体" w:cs="宋体"/>
                <w:snapToGrid w:val="0"/>
                <w:szCs w:val="21"/>
              </w:rPr>
            </w:pPr>
          </w:p>
        </w:tc>
        <w:tc>
          <w:tcPr>
            <w:tcW w:w="1101" w:type="dxa"/>
            <w:vMerge w:val="continue"/>
            <w:noWrap w:val="0"/>
            <w:vAlign w:val="top"/>
          </w:tcPr>
          <w:p w14:paraId="7030DC38">
            <w:pPr>
              <w:spacing w:line="400" w:lineRule="exact"/>
              <w:rPr>
                <w:rFonts w:hint="eastAsia" w:ascii="宋体" w:hAnsi="宋体" w:eastAsia="宋体" w:cs="宋体"/>
                <w:snapToGrid w:val="0"/>
                <w:szCs w:val="21"/>
              </w:rPr>
            </w:pPr>
          </w:p>
        </w:tc>
        <w:tc>
          <w:tcPr>
            <w:tcW w:w="4407" w:type="dxa"/>
            <w:noWrap w:val="0"/>
            <w:vAlign w:val="top"/>
          </w:tcPr>
          <w:p w14:paraId="4CA90BB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导水机构与尾水管里衬的失重量不超过（kg）</w:t>
            </w:r>
          </w:p>
        </w:tc>
        <w:tc>
          <w:tcPr>
            <w:tcW w:w="2180" w:type="dxa"/>
            <w:noWrap w:val="0"/>
            <w:vAlign w:val="center"/>
          </w:tcPr>
          <w:p w14:paraId="108021C6">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2598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center"/>
          </w:tcPr>
          <w:p w14:paraId="6D4B40D5">
            <w:pPr>
              <w:spacing w:line="400" w:lineRule="exact"/>
              <w:jc w:val="center"/>
              <w:rPr>
                <w:rFonts w:hint="eastAsia" w:ascii="宋体" w:hAnsi="宋体" w:eastAsia="宋体" w:cs="宋体"/>
                <w:snapToGrid w:val="0"/>
                <w:szCs w:val="21"/>
              </w:rPr>
            </w:pPr>
          </w:p>
        </w:tc>
        <w:tc>
          <w:tcPr>
            <w:tcW w:w="5508" w:type="dxa"/>
            <w:gridSpan w:val="2"/>
            <w:noWrap w:val="0"/>
            <w:vAlign w:val="top"/>
          </w:tcPr>
          <w:p w14:paraId="182430E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注：水轮机在本合同文件规定的水质、泥沙条件下运行，从投入商业运行之日起运行8000h后，其中，在表14.1-3限定的最小出力以下运行时间不超过800h，在表14.1-3限定的最大出力以上运行时间不超过100h的情况下。</w:t>
            </w:r>
          </w:p>
        </w:tc>
        <w:tc>
          <w:tcPr>
            <w:tcW w:w="2180" w:type="dxa"/>
            <w:noWrap w:val="0"/>
            <w:vAlign w:val="center"/>
          </w:tcPr>
          <w:p w14:paraId="438054E3">
            <w:pPr>
              <w:spacing w:line="400" w:lineRule="exact"/>
              <w:rPr>
                <w:rFonts w:hint="eastAsia" w:ascii="宋体" w:hAnsi="宋体" w:eastAsia="宋体" w:cs="宋体"/>
                <w:snapToGrid w:val="0"/>
                <w:szCs w:val="21"/>
              </w:rPr>
            </w:pPr>
          </w:p>
        </w:tc>
      </w:tr>
      <w:tr w14:paraId="2DFB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restart"/>
            <w:noWrap w:val="0"/>
            <w:vAlign w:val="center"/>
          </w:tcPr>
          <w:p w14:paraId="696C6F90">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4</w:t>
            </w:r>
          </w:p>
        </w:tc>
        <w:tc>
          <w:tcPr>
            <w:tcW w:w="1101" w:type="dxa"/>
            <w:vMerge w:val="restart"/>
            <w:noWrap w:val="0"/>
            <w:vAlign w:val="center"/>
          </w:tcPr>
          <w:p w14:paraId="5364803D">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调节保证</w:t>
            </w:r>
          </w:p>
        </w:tc>
        <w:tc>
          <w:tcPr>
            <w:tcW w:w="4407" w:type="dxa"/>
            <w:noWrap w:val="0"/>
            <w:vAlign w:val="top"/>
          </w:tcPr>
          <w:p w14:paraId="78043C65">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机组在</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水头、</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出力运行时，突甩满负荷的最大转速上升率不大于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%；蜗壳末端最大压力上升值不大于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m，尾水管真空值不大于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m；</w:t>
            </w:r>
          </w:p>
        </w:tc>
        <w:tc>
          <w:tcPr>
            <w:tcW w:w="2180" w:type="dxa"/>
            <w:noWrap w:val="0"/>
            <w:vAlign w:val="center"/>
          </w:tcPr>
          <w:p w14:paraId="4178A397">
            <w:pPr>
              <w:spacing w:line="400" w:lineRule="exact"/>
              <w:rPr>
                <w:rFonts w:hint="eastAsia" w:ascii="宋体" w:hAnsi="宋体" w:eastAsia="宋体" w:cs="宋体"/>
                <w:snapToGrid w:val="0"/>
                <w:szCs w:val="21"/>
              </w:rPr>
            </w:pPr>
          </w:p>
        </w:tc>
      </w:tr>
      <w:tr w14:paraId="6C22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center"/>
          </w:tcPr>
          <w:p w14:paraId="55461036">
            <w:pPr>
              <w:spacing w:line="400" w:lineRule="exact"/>
              <w:jc w:val="center"/>
              <w:rPr>
                <w:rFonts w:hint="eastAsia" w:ascii="宋体" w:hAnsi="宋体" w:eastAsia="宋体" w:cs="宋体"/>
                <w:snapToGrid w:val="0"/>
                <w:szCs w:val="21"/>
              </w:rPr>
            </w:pPr>
          </w:p>
        </w:tc>
        <w:tc>
          <w:tcPr>
            <w:tcW w:w="1101" w:type="dxa"/>
            <w:vMerge w:val="continue"/>
            <w:noWrap w:val="0"/>
            <w:vAlign w:val="top"/>
          </w:tcPr>
          <w:p w14:paraId="3542F45E">
            <w:pPr>
              <w:spacing w:line="400" w:lineRule="exact"/>
              <w:rPr>
                <w:rFonts w:hint="eastAsia" w:ascii="宋体" w:hAnsi="宋体" w:eastAsia="宋体" w:cs="宋体"/>
                <w:snapToGrid w:val="0"/>
                <w:szCs w:val="21"/>
              </w:rPr>
            </w:pPr>
          </w:p>
        </w:tc>
        <w:tc>
          <w:tcPr>
            <w:tcW w:w="4407" w:type="dxa"/>
            <w:noWrap w:val="0"/>
            <w:vAlign w:val="top"/>
          </w:tcPr>
          <w:p w14:paraId="5B3942E9">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机组在</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水头、</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出力运行时，突甩满负荷的最大转速上升率不大于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%；蜗壳最大压力上升值不大于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m，尾水管真空值不大于</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m</w:t>
            </w:r>
          </w:p>
        </w:tc>
        <w:tc>
          <w:tcPr>
            <w:tcW w:w="2180" w:type="dxa"/>
            <w:noWrap w:val="0"/>
            <w:vAlign w:val="center"/>
          </w:tcPr>
          <w:p w14:paraId="37C70D1B">
            <w:pPr>
              <w:spacing w:line="400" w:lineRule="exact"/>
              <w:rPr>
                <w:rFonts w:hint="eastAsia" w:ascii="宋体" w:hAnsi="宋体" w:eastAsia="宋体" w:cs="宋体"/>
                <w:snapToGrid w:val="0"/>
                <w:szCs w:val="21"/>
              </w:rPr>
            </w:pPr>
          </w:p>
        </w:tc>
      </w:tr>
      <w:tr w14:paraId="3CFD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center"/>
          </w:tcPr>
          <w:p w14:paraId="1CA17C56">
            <w:pPr>
              <w:spacing w:line="400" w:lineRule="exact"/>
              <w:jc w:val="center"/>
              <w:rPr>
                <w:rFonts w:hint="eastAsia" w:ascii="宋体" w:hAnsi="宋体" w:eastAsia="宋体" w:cs="宋体"/>
                <w:snapToGrid w:val="0"/>
                <w:szCs w:val="21"/>
              </w:rPr>
            </w:pPr>
          </w:p>
        </w:tc>
        <w:tc>
          <w:tcPr>
            <w:tcW w:w="1101" w:type="dxa"/>
            <w:vMerge w:val="continue"/>
            <w:noWrap w:val="0"/>
            <w:vAlign w:val="top"/>
          </w:tcPr>
          <w:p w14:paraId="1157A7D7">
            <w:pPr>
              <w:spacing w:line="400" w:lineRule="exact"/>
              <w:rPr>
                <w:rFonts w:hint="eastAsia" w:ascii="宋体" w:hAnsi="宋体" w:eastAsia="宋体" w:cs="宋体"/>
                <w:snapToGrid w:val="0"/>
                <w:szCs w:val="21"/>
              </w:rPr>
            </w:pPr>
          </w:p>
        </w:tc>
        <w:tc>
          <w:tcPr>
            <w:tcW w:w="4407" w:type="dxa"/>
            <w:noWrap w:val="0"/>
            <w:vAlign w:val="top"/>
          </w:tcPr>
          <w:p w14:paraId="4A1E1BEE">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机组GD</w:t>
            </w:r>
            <w:r>
              <w:rPr>
                <w:rFonts w:hint="eastAsia" w:ascii="宋体" w:hAnsi="宋体" w:eastAsia="宋体" w:cs="宋体"/>
                <w:snapToGrid w:val="0"/>
                <w:szCs w:val="21"/>
                <w:vertAlign w:val="superscript"/>
              </w:rPr>
              <w:t>2</w:t>
            </w:r>
            <w:r>
              <w:rPr>
                <w:rFonts w:hint="eastAsia" w:ascii="宋体" w:hAnsi="宋体" w:eastAsia="宋体" w:cs="宋体"/>
                <w:snapToGrid w:val="0"/>
                <w:szCs w:val="21"/>
              </w:rPr>
              <w:t>值不小于（t-m</w:t>
            </w:r>
            <w:r>
              <w:rPr>
                <w:rFonts w:hint="eastAsia" w:ascii="宋体" w:hAnsi="宋体" w:eastAsia="宋体" w:cs="宋体"/>
                <w:snapToGrid w:val="0"/>
                <w:szCs w:val="21"/>
                <w:vertAlign w:val="superscript"/>
              </w:rPr>
              <w:t>2</w:t>
            </w:r>
            <w:r>
              <w:rPr>
                <w:rFonts w:hint="eastAsia" w:ascii="宋体" w:hAnsi="宋体" w:eastAsia="宋体" w:cs="宋体"/>
                <w:snapToGrid w:val="0"/>
                <w:szCs w:val="21"/>
              </w:rPr>
              <w:t>）</w:t>
            </w:r>
          </w:p>
        </w:tc>
        <w:tc>
          <w:tcPr>
            <w:tcW w:w="2180" w:type="dxa"/>
            <w:noWrap w:val="0"/>
            <w:vAlign w:val="center"/>
          </w:tcPr>
          <w:p w14:paraId="4DD1CF9B">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0E68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center"/>
          </w:tcPr>
          <w:p w14:paraId="67B82B46">
            <w:pPr>
              <w:spacing w:line="400" w:lineRule="exact"/>
              <w:jc w:val="center"/>
              <w:rPr>
                <w:rFonts w:hint="eastAsia" w:ascii="宋体" w:hAnsi="宋体" w:eastAsia="宋体" w:cs="宋体"/>
                <w:snapToGrid w:val="0"/>
                <w:szCs w:val="21"/>
              </w:rPr>
            </w:pPr>
          </w:p>
        </w:tc>
        <w:tc>
          <w:tcPr>
            <w:tcW w:w="1101" w:type="dxa"/>
            <w:vMerge w:val="continue"/>
            <w:noWrap w:val="0"/>
            <w:vAlign w:val="top"/>
          </w:tcPr>
          <w:p w14:paraId="66AEC3C9">
            <w:pPr>
              <w:spacing w:line="400" w:lineRule="exact"/>
              <w:rPr>
                <w:rFonts w:hint="eastAsia" w:ascii="宋体" w:hAnsi="宋体" w:eastAsia="宋体" w:cs="宋体"/>
                <w:snapToGrid w:val="0"/>
                <w:szCs w:val="21"/>
              </w:rPr>
            </w:pPr>
          </w:p>
        </w:tc>
        <w:tc>
          <w:tcPr>
            <w:tcW w:w="4407" w:type="dxa"/>
            <w:noWrap w:val="0"/>
            <w:vAlign w:val="top"/>
          </w:tcPr>
          <w:p w14:paraId="244A2EE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导叶直线关闭时间（s）</w:t>
            </w:r>
          </w:p>
        </w:tc>
        <w:tc>
          <w:tcPr>
            <w:tcW w:w="2180" w:type="dxa"/>
            <w:noWrap w:val="0"/>
            <w:vAlign w:val="center"/>
          </w:tcPr>
          <w:p w14:paraId="1FF3274D">
            <w:pPr>
              <w:spacing w:line="400" w:lineRule="exact"/>
              <w:rPr>
                <w:rFonts w:hint="eastAsia" w:ascii="宋体" w:hAnsi="宋体" w:eastAsia="宋体" w:cs="宋体"/>
                <w:snapToGrid w:val="0"/>
                <w:szCs w:val="21"/>
              </w:rPr>
            </w:pPr>
          </w:p>
        </w:tc>
      </w:tr>
      <w:tr w14:paraId="654B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center"/>
          </w:tcPr>
          <w:p w14:paraId="1E4FBE32">
            <w:pPr>
              <w:spacing w:line="400" w:lineRule="exact"/>
              <w:jc w:val="center"/>
              <w:rPr>
                <w:rFonts w:hint="eastAsia" w:ascii="宋体" w:hAnsi="宋体" w:eastAsia="宋体" w:cs="宋体"/>
                <w:snapToGrid w:val="0"/>
                <w:szCs w:val="21"/>
              </w:rPr>
            </w:pPr>
          </w:p>
        </w:tc>
        <w:tc>
          <w:tcPr>
            <w:tcW w:w="5508" w:type="dxa"/>
            <w:gridSpan w:val="2"/>
            <w:noWrap w:val="0"/>
            <w:vAlign w:val="top"/>
          </w:tcPr>
          <w:p w14:paraId="537D9A83">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注：按一段关闭规律计算，并以曲线表示。引水系统ΣL=____m 、引水系统ΣLV= ____Qm</w:t>
            </w:r>
            <w:r>
              <w:rPr>
                <w:rFonts w:hint="eastAsia" w:ascii="宋体" w:hAnsi="宋体" w:eastAsia="宋体" w:cs="宋体"/>
                <w:snapToGrid w:val="0"/>
                <w:szCs w:val="21"/>
                <w:vertAlign w:val="superscript"/>
              </w:rPr>
              <w:t>2</w:t>
            </w:r>
            <w:r>
              <w:rPr>
                <w:rFonts w:hint="eastAsia" w:ascii="宋体" w:hAnsi="宋体" w:eastAsia="宋体" w:cs="宋体"/>
                <w:snapToGrid w:val="0"/>
                <w:szCs w:val="21"/>
              </w:rPr>
              <w:t>/s（Q为单机流量），以上ΣL和ΣLV值从调压井中心计算至尾水管出口。</w:t>
            </w:r>
          </w:p>
        </w:tc>
        <w:tc>
          <w:tcPr>
            <w:tcW w:w="2180" w:type="dxa"/>
            <w:noWrap w:val="0"/>
            <w:vAlign w:val="center"/>
          </w:tcPr>
          <w:p w14:paraId="241E4D31">
            <w:pPr>
              <w:spacing w:line="400" w:lineRule="exact"/>
              <w:rPr>
                <w:rFonts w:hint="eastAsia" w:ascii="宋体" w:hAnsi="宋体" w:eastAsia="宋体" w:cs="宋体"/>
                <w:snapToGrid w:val="0"/>
                <w:szCs w:val="21"/>
              </w:rPr>
            </w:pPr>
          </w:p>
        </w:tc>
      </w:tr>
    </w:tbl>
    <w:p w14:paraId="566EAAA3">
      <w:pPr>
        <w:spacing w:line="400" w:lineRule="exact"/>
        <w:ind w:firstLine="420" w:firstLineChars="200"/>
        <w:rPr>
          <w:rFonts w:hint="eastAsia" w:ascii="宋体" w:hAnsi="宋体" w:eastAsia="宋体" w:cs="宋体"/>
          <w:snapToGrid w:val="0"/>
          <w:szCs w:val="21"/>
        </w:rPr>
      </w:pPr>
    </w:p>
    <w:p w14:paraId="669F06E0">
      <w:pPr>
        <w:spacing w:line="400" w:lineRule="exact"/>
        <w:ind w:firstLine="734" w:firstLineChars="348"/>
        <w:rPr>
          <w:rFonts w:hint="eastAsia" w:ascii="宋体" w:hAnsi="宋体" w:eastAsia="宋体" w:cs="宋体"/>
          <w:b/>
          <w:snapToGrid w:val="0"/>
          <w:szCs w:val="21"/>
        </w:rPr>
      </w:pPr>
      <w:r>
        <w:rPr>
          <w:rFonts w:hint="eastAsia" w:ascii="宋体" w:hAnsi="宋体" w:eastAsia="宋体" w:cs="宋体"/>
          <w:b/>
          <w:snapToGrid w:val="0"/>
          <w:szCs w:val="21"/>
        </w:rPr>
        <w:t>表14.1-2         不同水头、不同出力时的效率保证值</w:t>
      </w:r>
    </w:p>
    <w:tbl>
      <w:tblPr>
        <w:tblStyle w:val="6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1148"/>
        <w:gridCol w:w="810"/>
        <w:gridCol w:w="947"/>
        <w:gridCol w:w="782"/>
        <w:gridCol w:w="787"/>
        <w:gridCol w:w="901"/>
        <w:gridCol w:w="1191"/>
      </w:tblGrid>
      <w:tr w14:paraId="69B1D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29" w:type="dxa"/>
            <w:vMerge w:val="restart"/>
            <w:noWrap w:val="0"/>
            <w:vAlign w:val="center"/>
          </w:tcPr>
          <w:p w14:paraId="46E8DF49">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水轮机水头</w:t>
            </w:r>
          </w:p>
          <w:p w14:paraId="01E348B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(m)</w:t>
            </w:r>
          </w:p>
        </w:tc>
        <w:tc>
          <w:tcPr>
            <w:tcW w:w="1148" w:type="dxa"/>
            <w:vMerge w:val="restart"/>
            <w:noWrap w:val="0"/>
            <w:vAlign w:val="center"/>
          </w:tcPr>
          <w:p w14:paraId="18F7DC89">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效率</w:t>
            </w:r>
          </w:p>
          <w:p w14:paraId="34145796">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w:t>
            </w:r>
          </w:p>
        </w:tc>
        <w:tc>
          <w:tcPr>
            <w:tcW w:w="5418" w:type="dxa"/>
            <w:gridSpan w:val="6"/>
            <w:noWrap w:val="0"/>
            <w:vAlign w:val="center"/>
          </w:tcPr>
          <w:p w14:paraId="020087E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额 定 出 力 的 百 分 数</w:t>
            </w:r>
          </w:p>
        </w:tc>
      </w:tr>
      <w:tr w14:paraId="36E77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29" w:type="dxa"/>
            <w:vMerge w:val="continue"/>
            <w:noWrap w:val="0"/>
            <w:vAlign w:val="center"/>
          </w:tcPr>
          <w:p w14:paraId="49400AD6">
            <w:pPr>
              <w:spacing w:line="400" w:lineRule="exact"/>
              <w:jc w:val="center"/>
              <w:rPr>
                <w:rFonts w:hint="eastAsia" w:ascii="宋体" w:hAnsi="宋体" w:eastAsia="宋体" w:cs="宋体"/>
                <w:snapToGrid w:val="0"/>
                <w:szCs w:val="21"/>
              </w:rPr>
            </w:pPr>
          </w:p>
        </w:tc>
        <w:tc>
          <w:tcPr>
            <w:tcW w:w="1148" w:type="dxa"/>
            <w:vMerge w:val="continue"/>
            <w:noWrap w:val="0"/>
            <w:vAlign w:val="center"/>
          </w:tcPr>
          <w:p w14:paraId="34CCC3AD">
            <w:pPr>
              <w:spacing w:line="400" w:lineRule="exact"/>
              <w:jc w:val="center"/>
              <w:rPr>
                <w:rFonts w:hint="eastAsia" w:ascii="宋体" w:hAnsi="宋体" w:eastAsia="宋体" w:cs="宋体"/>
                <w:snapToGrid w:val="0"/>
                <w:szCs w:val="21"/>
              </w:rPr>
            </w:pPr>
          </w:p>
        </w:tc>
        <w:tc>
          <w:tcPr>
            <w:tcW w:w="810" w:type="dxa"/>
            <w:noWrap w:val="0"/>
            <w:vAlign w:val="center"/>
          </w:tcPr>
          <w:p w14:paraId="065D78CC">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45%</w:t>
            </w:r>
          </w:p>
        </w:tc>
        <w:tc>
          <w:tcPr>
            <w:tcW w:w="947" w:type="dxa"/>
            <w:noWrap w:val="0"/>
            <w:vAlign w:val="center"/>
          </w:tcPr>
          <w:p w14:paraId="3760D9B3">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60%</w:t>
            </w:r>
          </w:p>
        </w:tc>
        <w:tc>
          <w:tcPr>
            <w:tcW w:w="782" w:type="dxa"/>
            <w:noWrap w:val="0"/>
            <w:vAlign w:val="center"/>
          </w:tcPr>
          <w:p w14:paraId="3FB139C8">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75%</w:t>
            </w:r>
          </w:p>
        </w:tc>
        <w:tc>
          <w:tcPr>
            <w:tcW w:w="787" w:type="dxa"/>
            <w:noWrap w:val="0"/>
            <w:vAlign w:val="center"/>
          </w:tcPr>
          <w:p w14:paraId="0C0FDC73">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90%</w:t>
            </w:r>
          </w:p>
        </w:tc>
        <w:tc>
          <w:tcPr>
            <w:tcW w:w="901" w:type="dxa"/>
            <w:noWrap w:val="0"/>
            <w:vAlign w:val="center"/>
          </w:tcPr>
          <w:p w14:paraId="098C930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100%</w:t>
            </w:r>
          </w:p>
        </w:tc>
        <w:tc>
          <w:tcPr>
            <w:tcW w:w="1191" w:type="dxa"/>
            <w:noWrap w:val="0"/>
            <w:vAlign w:val="center"/>
          </w:tcPr>
          <w:p w14:paraId="6546A748">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110%</w:t>
            </w:r>
          </w:p>
        </w:tc>
      </w:tr>
      <w:tr w14:paraId="04FB7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29" w:type="dxa"/>
            <w:vMerge w:val="restart"/>
            <w:noWrap w:val="0"/>
            <w:vAlign w:val="center"/>
          </w:tcPr>
          <w:p w14:paraId="6F39C13E">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最大水头_____</w:t>
            </w:r>
          </w:p>
        </w:tc>
        <w:tc>
          <w:tcPr>
            <w:tcW w:w="1148" w:type="dxa"/>
            <w:noWrap w:val="0"/>
            <w:vAlign w:val="center"/>
          </w:tcPr>
          <w:p w14:paraId="53060161">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模 型</w:t>
            </w:r>
          </w:p>
        </w:tc>
        <w:tc>
          <w:tcPr>
            <w:tcW w:w="810" w:type="dxa"/>
            <w:noWrap w:val="0"/>
            <w:vAlign w:val="center"/>
          </w:tcPr>
          <w:p w14:paraId="46175A6C">
            <w:pPr>
              <w:spacing w:line="400" w:lineRule="exact"/>
              <w:jc w:val="center"/>
              <w:rPr>
                <w:rFonts w:hint="eastAsia" w:ascii="宋体" w:hAnsi="宋体" w:eastAsia="宋体" w:cs="宋体"/>
                <w:snapToGrid w:val="0"/>
                <w:szCs w:val="21"/>
              </w:rPr>
            </w:pPr>
          </w:p>
        </w:tc>
        <w:tc>
          <w:tcPr>
            <w:tcW w:w="947" w:type="dxa"/>
            <w:noWrap w:val="0"/>
            <w:vAlign w:val="center"/>
          </w:tcPr>
          <w:p w14:paraId="4D30D2BA">
            <w:pPr>
              <w:spacing w:line="400" w:lineRule="exact"/>
              <w:jc w:val="center"/>
              <w:rPr>
                <w:rFonts w:hint="eastAsia" w:ascii="宋体" w:hAnsi="宋体" w:eastAsia="宋体" w:cs="宋体"/>
                <w:snapToGrid w:val="0"/>
                <w:szCs w:val="21"/>
              </w:rPr>
            </w:pPr>
          </w:p>
        </w:tc>
        <w:tc>
          <w:tcPr>
            <w:tcW w:w="782" w:type="dxa"/>
            <w:noWrap w:val="0"/>
            <w:vAlign w:val="center"/>
          </w:tcPr>
          <w:p w14:paraId="1A868F1A">
            <w:pPr>
              <w:spacing w:line="400" w:lineRule="exact"/>
              <w:jc w:val="center"/>
              <w:rPr>
                <w:rFonts w:hint="eastAsia" w:ascii="宋体" w:hAnsi="宋体" w:eastAsia="宋体" w:cs="宋体"/>
                <w:snapToGrid w:val="0"/>
                <w:szCs w:val="21"/>
              </w:rPr>
            </w:pPr>
          </w:p>
        </w:tc>
        <w:tc>
          <w:tcPr>
            <w:tcW w:w="787" w:type="dxa"/>
            <w:noWrap w:val="0"/>
            <w:vAlign w:val="center"/>
          </w:tcPr>
          <w:p w14:paraId="15E1A3AC">
            <w:pPr>
              <w:spacing w:line="400" w:lineRule="exact"/>
              <w:jc w:val="center"/>
              <w:rPr>
                <w:rFonts w:hint="eastAsia" w:ascii="宋体" w:hAnsi="宋体" w:eastAsia="宋体" w:cs="宋体"/>
                <w:snapToGrid w:val="0"/>
                <w:szCs w:val="21"/>
              </w:rPr>
            </w:pPr>
          </w:p>
        </w:tc>
        <w:tc>
          <w:tcPr>
            <w:tcW w:w="901" w:type="dxa"/>
            <w:noWrap w:val="0"/>
            <w:vAlign w:val="center"/>
          </w:tcPr>
          <w:p w14:paraId="63189F62">
            <w:pPr>
              <w:spacing w:line="400" w:lineRule="exact"/>
              <w:jc w:val="center"/>
              <w:rPr>
                <w:rFonts w:hint="eastAsia" w:ascii="宋体" w:hAnsi="宋体" w:eastAsia="宋体" w:cs="宋体"/>
                <w:snapToGrid w:val="0"/>
                <w:szCs w:val="21"/>
              </w:rPr>
            </w:pPr>
          </w:p>
        </w:tc>
        <w:tc>
          <w:tcPr>
            <w:tcW w:w="1191" w:type="dxa"/>
            <w:noWrap w:val="0"/>
            <w:vAlign w:val="center"/>
          </w:tcPr>
          <w:p w14:paraId="2F1535C3">
            <w:pPr>
              <w:spacing w:line="400" w:lineRule="exact"/>
              <w:jc w:val="center"/>
              <w:rPr>
                <w:rFonts w:hint="eastAsia" w:ascii="宋体" w:hAnsi="宋体" w:eastAsia="宋体" w:cs="宋体"/>
                <w:snapToGrid w:val="0"/>
                <w:szCs w:val="21"/>
              </w:rPr>
            </w:pPr>
          </w:p>
        </w:tc>
      </w:tr>
      <w:tr w14:paraId="629E4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29" w:type="dxa"/>
            <w:vMerge w:val="continue"/>
            <w:noWrap w:val="0"/>
            <w:vAlign w:val="center"/>
          </w:tcPr>
          <w:p w14:paraId="731F4E2A">
            <w:pPr>
              <w:spacing w:line="400" w:lineRule="exact"/>
              <w:jc w:val="center"/>
              <w:rPr>
                <w:rFonts w:hint="eastAsia" w:ascii="宋体" w:hAnsi="宋体" w:eastAsia="宋体" w:cs="宋体"/>
                <w:snapToGrid w:val="0"/>
                <w:szCs w:val="21"/>
              </w:rPr>
            </w:pPr>
          </w:p>
        </w:tc>
        <w:tc>
          <w:tcPr>
            <w:tcW w:w="1148" w:type="dxa"/>
            <w:noWrap w:val="0"/>
            <w:vAlign w:val="center"/>
          </w:tcPr>
          <w:p w14:paraId="26461FC3">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原 型</w:t>
            </w:r>
          </w:p>
        </w:tc>
        <w:tc>
          <w:tcPr>
            <w:tcW w:w="810" w:type="dxa"/>
            <w:noWrap w:val="0"/>
            <w:vAlign w:val="center"/>
          </w:tcPr>
          <w:p w14:paraId="57F6971A">
            <w:pPr>
              <w:spacing w:line="400" w:lineRule="exact"/>
              <w:jc w:val="center"/>
              <w:rPr>
                <w:rFonts w:hint="eastAsia" w:ascii="宋体" w:hAnsi="宋体" w:eastAsia="宋体" w:cs="宋体"/>
                <w:snapToGrid w:val="0"/>
                <w:szCs w:val="21"/>
              </w:rPr>
            </w:pPr>
          </w:p>
        </w:tc>
        <w:tc>
          <w:tcPr>
            <w:tcW w:w="947" w:type="dxa"/>
            <w:noWrap w:val="0"/>
            <w:vAlign w:val="center"/>
          </w:tcPr>
          <w:p w14:paraId="6CD4842B">
            <w:pPr>
              <w:spacing w:line="400" w:lineRule="exact"/>
              <w:jc w:val="center"/>
              <w:rPr>
                <w:rFonts w:hint="eastAsia" w:ascii="宋体" w:hAnsi="宋体" w:eastAsia="宋体" w:cs="宋体"/>
                <w:snapToGrid w:val="0"/>
                <w:szCs w:val="21"/>
              </w:rPr>
            </w:pPr>
          </w:p>
        </w:tc>
        <w:tc>
          <w:tcPr>
            <w:tcW w:w="782" w:type="dxa"/>
            <w:noWrap w:val="0"/>
            <w:vAlign w:val="center"/>
          </w:tcPr>
          <w:p w14:paraId="1120772F">
            <w:pPr>
              <w:spacing w:line="400" w:lineRule="exact"/>
              <w:jc w:val="center"/>
              <w:rPr>
                <w:rFonts w:hint="eastAsia" w:ascii="宋体" w:hAnsi="宋体" w:eastAsia="宋体" w:cs="宋体"/>
                <w:snapToGrid w:val="0"/>
                <w:szCs w:val="21"/>
              </w:rPr>
            </w:pPr>
          </w:p>
        </w:tc>
        <w:tc>
          <w:tcPr>
            <w:tcW w:w="787" w:type="dxa"/>
            <w:noWrap w:val="0"/>
            <w:vAlign w:val="center"/>
          </w:tcPr>
          <w:p w14:paraId="517C0CEB">
            <w:pPr>
              <w:spacing w:line="400" w:lineRule="exact"/>
              <w:jc w:val="center"/>
              <w:rPr>
                <w:rFonts w:hint="eastAsia" w:ascii="宋体" w:hAnsi="宋体" w:eastAsia="宋体" w:cs="宋体"/>
                <w:snapToGrid w:val="0"/>
                <w:szCs w:val="21"/>
              </w:rPr>
            </w:pPr>
          </w:p>
        </w:tc>
        <w:tc>
          <w:tcPr>
            <w:tcW w:w="901" w:type="dxa"/>
            <w:noWrap w:val="0"/>
            <w:vAlign w:val="center"/>
          </w:tcPr>
          <w:p w14:paraId="2A6F6F95">
            <w:pPr>
              <w:spacing w:line="400" w:lineRule="exact"/>
              <w:jc w:val="center"/>
              <w:rPr>
                <w:rFonts w:hint="eastAsia" w:ascii="宋体" w:hAnsi="宋体" w:eastAsia="宋体" w:cs="宋体"/>
                <w:snapToGrid w:val="0"/>
                <w:szCs w:val="21"/>
              </w:rPr>
            </w:pPr>
          </w:p>
        </w:tc>
        <w:tc>
          <w:tcPr>
            <w:tcW w:w="1191" w:type="dxa"/>
            <w:noWrap w:val="0"/>
            <w:vAlign w:val="center"/>
          </w:tcPr>
          <w:p w14:paraId="37CF9B2E">
            <w:pPr>
              <w:spacing w:line="400" w:lineRule="exact"/>
              <w:jc w:val="center"/>
              <w:rPr>
                <w:rFonts w:hint="eastAsia" w:ascii="宋体" w:hAnsi="宋体" w:eastAsia="宋体" w:cs="宋体"/>
                <w:snapToGrid w:val="0"/>
                <w:szCs w:val="21"/>
              </w:rPr>
            </w:pPr>
          </w:p>
        </w:tc>
      </w:tr>
      <w:tr w14:paraId="4F649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29" w:type="dxa"/>
            <w:vMerge w:val="restart"/>
            <w:noWrap w:val="0"/>
            <w:vAlign w:val="center"/>
          </w:tcPr>
          <w:p w14:paraId="1BF8D344">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加权平均水头_____</w:t>
            </w:r>
          </w:p>
        </w:tc>
        <w:tc>
          <w:tcPr>
            <w:tcW w:w="1148" w:type="dxa"/>
            <w:noWrap w:val="0"/>
            <w:vAlign w:val="center"/>
          </w:tcPr>
          <w:p w14:paraId="51C9E767">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模 型</w:t>
            </w:r>
          </w:p>
        </w:tc>
        <w:tc>
          <w:tcPr>
            <w:tcW w:w="810" w:type="dxa"/>
            <w:noWrap w:val="0"/>
            <w:vAlign w:val="center"/>
          </w:tcPr>
          <w:p w14:paraId="3D50F28B">
            <w:pPr>
              <w:spacing w:line="400" w:lineRule="exact"/>
              <w:jc w:val="center"/>
              <w:rPr>
                <w:rFonts w:hint="eastAsia" w:ascii="宋体" w:hAnsi="宋体" w:eastAsia="宋体" w:cs="宋体"/>
                <w:snapToGrid w:val="0"/>
                <w:szCs w:val="21"/>
              </w:rPr>
            </w:pPr>
          </w:p>
        </w:tc>
        <w:tc>
          <w:tcPr>
            <w:tcW w:w="947" w:type="dxa"/>
            <w:noWrap w:val="0"/>
            <w:vAlign w:val="center"/>
          </w:tcPr>
          <w:p w14:paraId="0594986D">
            <w:pPr>
              <w:spacing w:line="400" w:lineRule="exact"/>
              <w:jc w:val="center"/>
              <w:rPr>
                <w:rFonts w:hint="eastAsia" w:ascii="宋体" w:hAnsi="宋体" w:eastAsia="宋体" w:cs="宋体"/>
                <w:snapToGrid w:val="0"/>
                <w:szCs w:val="21"/>
              </w:rPr>
            </w:pPr>
          </w:p>
        </w:tc>
        <w:tc>
          <w:tcPr>
            <w:tcW w:w="782" w:type="dxa"/>
            <w:noWrap w:val="0"/>
            <w:vAlign w:val="center"/>
          </w:tcPr>
          <w:p w14:paraId="6DD1906C">
            <w:pPr>
              <w:spacing w:line="400" w:lineRule="exact"/>
              <w:jc w:val="center"/>
              <w:rPr>
                <w:rFonts w:hint="eastAsia" w:ascii="宋体" w:hAnsi="宋体" w:eastAsia="宋体" w:cs="宋体"/>
                <w:snapToGrid w:val="0"/>
                <w:szCs w:val="21"/>
              </w:rPr>
            </w:pPr>
          </w:p>
        </w:tc>
        <w:tc>
          <w:tcPr>
            <w:tcW w:w="787" w:type="dxa"/>
            <w:noWrap w:val="0"/>
            <w:vAlign w:val="center"/>
          </w:tcPr>
          <w:p w14:paraId="19CD06CB">
            <w:pPr>
              <w:spacing w:line="400" w:lineRule="exact"/>
              <w:jc w:val="center"/>
              <w:rPr>
                <w:rFonts w:hint="eastAsia" w:ascii="宋体" w:hAnsi="宋体" w:eastAsia="宋体" w:cs="宋体"/>
                <w:snapToGrid w:val="0"/>
                <w:szCs w:val="21"/>
              </w:rPr>
            </w:pPr>
          </w:p>
        </w:tc>
        <w:tc>
          <w:tcPr>
            <w:tcW w:w="901" w:type="dxa"/>
            <w:noWrap w:val="0"/>
            <w:vAlign w:val="center"/>
          </w:tcPr>
          <w:p w14:paraId="1113975B">
            <w:pPr>
              <w:spacing w:line="400" w:lineRule="exact"/>
              <w:jc w:val="center"/>
              <w:rPr>
                <w:rFonts w:hint="eastAsia" w:ascii="宋体" w:hAnsi="宋体" w:eastAsia="宋体" w:cs="宋体"/>
                <w:snapToGrid w:val="0"/>
                <w:szCs w:val="21"/>
              </w:rPr>
            </w:pPr>
          </w:p>
        </w:tc>
        <w:tc>
          <w:tcPr>
            <w:tcW w:w="1191" w:type="dxa"/>
            <w:noWrap w:val="0"/>
            <w:vAlign w:val="center"/>
          </w:tcPr>
          <w:p w14:paraId="05EF2B09">
            <w:pPr>
              <w:spacing w:line="400" w:lineRule="exact"/>
              <w:jc w:val="center"/>
              <w:rPr>
                <w:rFonts w:hint="eastAsia" w:ascii="宋体" w:hAnsi="宋体" w:eastAsia="宋体" w:cs="宋体"/>
                <w:snapToGrid w:val="0"/>
                <w:szCs w:val="21"/>
              </w:rPr>
            </w:pPr>
          </w:p>
        </w:tc>
      </w:tr>
      <w:tr w14:paraId="40173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29" w:type="dxa"/>
            <w:vMerge w:val="continue"/>
            <w:noWrap w:val="0"/>
            <w:vAlign w:val="center"/>
          </w:tcPr>
          <w:p w14:paraId="5A2BCFE2">
            <w:pPr>
              <w:spacing w:line="400" w:lineRule="exact"/>
              <w:jc w:val="center"/>
              <w:rPr>
                <w:rFonts w:hint="eastAsia" w:ascii="宋体" w:hAnsi="宋体" w:eastAsia="宋体" w:cs="宋体"/>
                <w:snapToGrid w:val="0"/>
                <w:szCs w:val="21"/>
              </w:rPr>
            </w:pPr>
          </w:p>
        </w:tc>
        <w:tc>
          <w:tcPr>
            <w:tcW w:w="1148" w:type="dxa"/>
            <w:noWrap w:val="0"/>
            <w:vAlign w:val="center"/>
          </w:tcPr>
          <w:p w14:paraId="59D13971">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原 型</w:t>
            </w:r>
          </w:p>
        </w:tc>
        <w:tc>
          <w:tcPr>
            <w:tcW w:w="810" w:type="dxa"/>
            <w:noWrap w:val="0"/>
            <w:vAlign w:val="center"/>
          </w:tcPr>
          <w:p w14:paraId="18C15376">
            <w:pPr>
              <w:spacing w:line="400" w:lineRule="exact"/>
              <w:jc w:val="center"/>
              <w:rPr>
                <w:rFonts w:hint="eastAsia" w:ascii="宋体" w:hAnsi="宋体" w:eastAsia="宋体" w:cs="宋体"/>
                <w:snapToGrid w:val="0"/>
                <w:szCs w:val="21"/>
              </w:rPr>
            </w:pPr>
          </w:p>
        </w:tc>
        <w:tc>
          <w:tcPr>
            <w:tcW w:w="947" w:type="dxa"/>
            <w:noWrap w:val="0"/>
            <w:vAlign w:val="center"/>
          </w:tcPr>
          <w:p w14:paraId="10345CEA">
            <w:pPr>
              <w:spacing w:line="400" w:lineRule="exact"/>
              <w:jc w:val="center"/>
              <w:rPr>
                <w:rFonts w:hint="eastAsia" w:ascii="宋体" w:hAnsi="宋体" w:eastAsia="宋体" w:cs="宋体"/>
                <w:snapToGrid w:val="0"/>
                <w:szCs w:val="21"/>
              </w:rPr>
            </w:pPr>
          </w:p>
        </w:tc>
        <w:tc>
          <w:tcPr>
            <w:tcW w:w="782" w:type="dxa"/>
            <w:noWrap w:val="0"/>
            <w:vAlign w:val="center"/>
          </w:tcPr>
          <w:p w14:paraId="391AD251">
            <w:pPr>
              <w:spacing w:line="400" w:lineRule="exact"/>
              <w:jc w:val="center"/>
              <w:rPr>
                <w:rFonts w:hint="eastAsia" w:ascii="宋体" w:hAnsi="宋体" w:eastAsia="宋体" w:cs="宋体"/>
                <w:snapToGrid w:val="0"/>
                <w:szCs w:val="21"/>
              </w:rPr>
            </w:pPr>
          </w:p>
        </w:tc>
        <w:tc>
          <w:tcPr>
            <w:tcW w:w="787" w:type="dxa"/>
            <w:noWrap w:val="0"/>
            <w:vAlign w:val="center"/>
          </w:tcPr>
          <w:p w14:paraId="738887B2">
            <w:pPr>
              <w:spacing w:line="400" w:lineRule="exact"/>
              <w:jc w:val="center"/>
              <w:rPr>
                <w:rFonts w:hint="eastAsia" w:ascii="宋体" w:hAnsi="宋体" w:eastAsia="宋体" w:cs="宋体"/>
                <w:snapToGrid w:val="0"/>
                <w:szCs w:val="21"/>
              </w:rPr>
            </w:pPr>
          </w:p>
        </w:tc>
        <w:tc>
          <w:tcPr>
            <w:tcW w:w="901" w:type="dxa"/>
            <w:noWrap w:val="0"/>
            <w:vAlign w:val="center"/>
          </w:tcPr>
          <w:p w14:paraId="141D5E84">
            <w:pPr>
              <w:spacing w:line="400" w:lineRule="exact"/>
              <w:jc w:val="center"/>
              <w:rPr>
                <w:rFonts w:hint="eastAsia" w:ascii="宋体" w:hAnsi="宋体" w:eastAsia="宋体" w:cs="宋体"/>
                <w:snapToGrid w:val="0"/>
                <w:szCs w:val="21"/>
              </w:rPr>
            </w:pPr>
          </w:p>
        </w:tc>
        <w:tc>
          <w:tcPr>
            <w:tcW w:w="1191" w:type="dxa"/>
            <w:noWrap w:val="0"/>
            <w:vAlign w:val="center"/>
          </w:tcPr>
          <w:p w14:paraId="6BC48ED3">
            <w:pPr>
              <w:spacing w:line="400" w:lineRule="exact"/>
              <w:jc w:val="center"/>
              <w:rPr>
                <w:rFonts w:hint="eastAsia" w:ascii="宋体" w:hAnsi="宋体" w:eastAsia="宋体" w:cs="宋体"/>
                <w:snapToGrid w:val="0"/>
                <w:szCs w:val="21"/>
              </w:rPr>
            </w:pPr>
          </w:p>
        </w:tc>
      </w:tr>
      <w:tr w14:paraId="3B9F4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29" w:type="dxa"/>
            <w:vMerge w:val="restart"/>
            <w:noWrap w:val="0"/>
            <w:vAlign w:val="center"/>
          </w:tcPr>
          <w:p w14:paraId="657688A1">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额定水头______</w:t>
            </w:r>
          </w:p>
        </w:tc>
        <w:tc>
          <w:tcPr>
            <w:tcW w:w="1148" w:type="dxa"/>
            <w:noWrap w:val="0"/>
            <w:vAlign w:val="center"/>
          </w:tcPr>
          <w:p w14:paraId="13D49C85">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模 型</w:t>
            </w:r>
          </w:p>
        </w:tc>
        <w:tc>
          <w:tcPr>
            <w:tcW w:w="810" w:type="dxa"/>
            <w:noWrap w:val="0"/>
            <w:vAlign w:val="center"/>
          </w:tcPr>
          <w:p w14:paraId="240D279D">
            <w:pPr>
              <w:spacing w:line="400" w:lineRule="exact"/>
              <w:jc w:val="center"/>
              <w:rPr>
                <w:rFonts w:hint="eastAsia" w:ascii="宋体" w:hAnsi="宋体" w:eastAsia="宋体" w:cs="宋体"/>
                <w:snapToGrid w:val="0"/>
                <w:szCs w:val="21"/>
              </w:rPr>
            </w:pPr>
          </w:p>
        </w:tc>
        <w:tc>
          <w:tcPr>
            <w:tcW w:w="947" w:type="dxa"/>
            <w:noWrap w:val="0"/>
            <w:vAlign w:val="center"/>
          </w:tcPr>
          <w:p w14:paraId="42228D89">
            <w:pPr>
              <w:spacing w:line="400" w:lineRule="exact"/>
              <w:jc w:val="center"/>
              <w:rPr>
                <w:rFonts w:hint="eastAsia" w:ascii="宋体" w:hAnsi="宋体" w:eastAsia="宋体" w:cs="宋体"/>
                <w:snapToGrid w:val="0"/>
                <w:szCs w:val="21"/>
              </w:rPr>
            </w:pPr>
          </w:p>
        </w:tc>
        <w:tc>
          <w:tcPr>
            <w:tcW w:w="782" w:type="dxa"/>
            <w:noWrap w:val="0"/>
            <w:vAlign w:val="center"/>
          </w:tcPr>
          <w:p w14:paraId="3F54BFC6">
            <w:pPr>
              <w:spacing w:line="400" w:lineRule="exact"/>
              <w:jc w:val="center"/>
              <w:rPr>
                <w:rFonts w:hint="eastAsia" w:ascii="宋体" w:hAnsi="宋体" w:eastAsia="宋体" w:cs="宋体"/>
                <w:snapToGrid w:val="0"/>
                <w:szCs w:val="21"/>
              </w:rPr>
            </w:pPr>
          </w:p>
        </w:tc>
        <w:tc>
          <w:tcPr>
            <w:tcW w:w="787" w:type="dxa"/>
            <w:noWrap w:val="0"/>
            <w:vAlign w:val="center"/>
          </w:tcPr>
          <w:p w14:paraId="63FB927A">
            <w:pPr>
              <w:spacing w:line="400" w:lineRule="exact"/>
              <w:jc w:val="center"/>
              <w:rPr>
                <w:rFonts w:hint="eastAsia" w:ascii="宋体" w:hAnsi="宋体" w:eastAsia="宋体" w:cs="宋体"/>
                <w:snapToGrid w:val="0"/>
                <w:szCs w:val="21"/>
              </w:rPr>
            </w:pPr>
          </w:p>
        </w:tc>
        <w:tc>
          <w:tcPr>
            <w:tcW w:w="901" w:type="dxa"/>
            <w:noWrap w:val="0"/>
            <w:vAlign w:val="center"/>
          </w:tcPr>
          <w:p w14:paraId="4C90970B">
            <w:pPr>
              <w:spacing w:line="400" w:lineRule="exact"/>
              <w:jc w:val="center"/>
              <w:rPr>
                <w:rFonts w:hint="eastAsia" w:ascii="宋体" w:hAnsi="宋体" w:eastAsia="宋体" w:cs="宋体"/>
                <w:snapToGrid w:val="0"/>
                <w:szCs w:val="21"/>
              </w:rPr>
            </w:pPr>
          </w:p>
        </w:tc>
        <w:tc>
          <w:tcPr>
            <w:tcW w:w="1191" w:type="dxa"/>
            <w:noWrap w:val="0"/>
            <w:vAlign w:val="center"/>
          </w:tcPr>
          <w:p w14:paraId="15481D4F">
            <w:pPr>
              <w:spacing w:line="400" w:lineRule="exact"/>
              <w:jc w:val="center"/>
              <w:rPr>
                <w:rFonts w:hint="eastAsia" w:ascii="宋体" w:hAnsi="宋体" w:eastAsia="宋体" w:cs="宋体"/>
                <w:snapToGrid w:val="0"/>
                <w:szCs w:val="21"/>
              </w:rPr>
            </w:pPr>
          </w:p>
        </w:tc>
      </w:tr>
      <w:tr w14:paraId="0D343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29" w:type="dxa"/>
            <w:vMerge w:val="continue"/>
            <w:noWrap w:val="0"/>
            <w:vAlign w:val="center"/>
          </w:tcPr>
          <w:p w14:paraId="4C26BDF8">
            <w:pPr>
              <w:spacing w:line="400" w:lineRule="exact"/>
              <w:jc w:val="center"/>
              <w:rPr>
                <w:rFonts w:hint="eastAsia" w:ascii="宋体" w:hAnsi="宋体" w:eastAsia="宋体" w:cs="宋体"/>
                <w:snapToGrid w:val="0"/>
                <w:szCs w:val="21"/>
              </w:rPr>
            </w:pPr>
          </w:p>
        </w:tc>
        <w:tc>
          <w:tcPr>
            <w:tcW w:w="1148" w:type="dxa"/>
            <w:noWrap w:val="0"/>
            <w:vAlign w:val="center"/>
          </w:tcPr>
          <w:p w14:paraId="5F362D04">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原 型</w:t>
            </w:r>
          </w:p>
        </w:tc>
        <w:tc>
          <w:tcPr>
            <w:tcW w:w="810" w:type="dxa"/>
            <w:noWrap w:val="0"/>
            <w:vAlign w:val="center"/>
          </w:tcPr>
          <w:p w14:paraId="5BDC94AB">
            <w:pPr>
              <w:spacing w:line="400" w:lineRule="exact"/>
              <w:jc w:val="center"/>
              <w:rPr>
                <w:rFonts w:hint="eastAsia" w:ascii="宋体" w:hAnsi="宋体" w:eastAsia="宋体" w:cs="宋体"/>
                <w:snapToGrid w:val="0"/>
                <w:szCs w:val="21"/>
              </w:rPr>
            </w:pPr>
          </w:p>
        </w:tc>
        <w:tc>
          <w:tcPr>
            <w:tcW w:w="947" w:type="dxa"/>
            <w:noWrap w:val="0"/>
            <w:vAlign w:val="center"/>
          </w:tcPr>
          <w:p w14:paraId="18F56950">
            <w:pPr>
              <w:spacing w:line="400" w:lineRule="exact"/>
              <w:jc w:val="center"/>
              <w:rPr>
                <w:rFonts w:hint="eastAsia" w:ascii="宋体" w:hAnsi="宋体" w:eastAsia="宋体" w:cs="宋体"/>
                <w:snapToGrid w:val="0"/>
                <w:szCs w:val="21"/>
              </w:rPr>
            </w:pPr>
          </w:p>
        </w:tc>
        <w:tc>
          <w:tcPr>
            <w:tcW w:w="782" w:type="dxa"/>
            <w:noWrap w:val="0"/>
            <w:vAlign w:val="center"/>
          </w:tcPr>
          <w:p w14:paraId="27DEB778">
            <w:pPr>
              <w:spacing w:line="400" w:lineRule="exact"/>
              <w:jc w:val="center"/>
              <w:rPr>
                <w:rFonts w:hint="eastAsia" w:ascii="宋体" w:hAnsi="宋体" w:eastAsia="宋体" w:cs="宋体"/>
                <w:snapToGrid w:val="0"/>
                <w:szCs w:val="21"/>
              </w:rPr>
            </w:pPr>
          </w:p>
        </w:tc>
        <w:tc>
          <w:tcPr>
            <w:tcW w:w="787" w:type="dxa"/>
            <w:noWrap w:val="0"/>
            <w:vAlign w:val="center"/>
          </w:tcPr>
          <w:p w14:paraId="459CA982">
            <w:pPr>
              <w:spacing w:line="400" w:lineRule="exact"/>
              <w:jc w:val="center"/>
              <w:rPr>
                <w:rFonts w:hint="eastAsia" w:ascii="宋体" w:hAnsi="宋体" w:eastAsia="宋体" w:cs="宋体"/>
                <w:snapToGrid w:val="0"/>
                <w:szCs w:val="21"/>
              </w:rPr>
            </w:pPr>
          </w:p>
        </w:tc>
        <w:tc>
          <w:tcPr>
            <w:tcW w:w="901" w:type="dxa"/>
            <w:noWrap w:val="0"/>
            <w:vAlign w:val="center"/>
          </w:tcPr>
          <w:p w14:paraId="590CAB91">
            <w:pPr>
              <w:spacing w:line="400" w:lineRule="exact"/>
              <w:jc w:val="center"/>
              <w:rPr>
                <w:rFonts w:hint="eastAsia" w:ascii="宋体" w:hAnsi="宋体" w:eastAsia="宋体" w:cs="宋体"/>
                <w:snapToGrid w:val="0"/>
                <w:szCs w:val="21"/>
              </w:rPr>
            </w:pPr>
          </w:p>
        </w:tc>
        <w:tc>
          <w:tcPr>
            <w:tcW w:w="1191" w:type="dxa"/>
            <w:noWrap w:val="0"/>
            <w:vAlign w:val="center"/>
          </w:tcPr>
          <w:p w14:paraId="13C36FAF">
            <w:pPr>
              <w:spacing w:line="400" w:lineRule="exact"/>
              <w:jc w:val="center"/>
              <w:rPr>
                <w:rFonts w:hint="eastAsia" w:ascii="宋体" w:hAnsi="宋体" w:eastAsia="宋体" w:cs="宋体"/>
                <w:snapToGrid w:val="0"/>
                <w:szCs w:val="21"/>
              </w:rPr>
            </w:pPr>
          </w:p>
        </w:tc>
      </w:tr>
      <w:tr w14:paraId="3F00E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29" w:type="dxa"/>
            <w:vMerge w:val="restart"/>
            <w:noWrap w:val="0"/>
            <w:vAlign w:val="center"/>
          </w:tcPr>
          <w:p w14:paraId="73C68844">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最小水头_____</w:t>
            </w:r>
          </w:p>
        </w:tc>
        <w:tc>
          <w:tcPr>
            <w:tcW w:w="1148" w:type="dxa"/>
            <w:noWrap w:val="0"/>
            <w:vAlign w:val="center"/>
          </w:tcPr>
          <w:p w14:paraId="57B7F12A">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模 型</w:t>
            </w:r>
          </w:p>
        </w:tc>
        <w:tc>
          <w:tcPr>
            <w:tcW w:w="810" w:type="dxa"/>
            <w:noWrap w:val="0"/>
            <w:vAlign w:val="center"/>
          </w:tcPr>
          <w:p w14:paraId="4B1BFF3C">
            <w:pPr>
              <w:spacing w:line="400" w:lineRule="exact"/>
              <w:jc w:val="center"/>
              <w:rPr>
                <w:rFonts w:hint="eastAsia" w:ascii="宋体" w:hAnsi="宋体" w:eastAsia="宋体" w:cs="宋体"/>
                <w:snapToGrid w:val="0"/>
                <w:szCs w:val="21"/>
              </w:rPr>
            </w:pPr>
          </w:p>
        </w:tc>
        <w:tc>
          <w:tcPr>
            <w:tcW w:w="947" w:type="dxa"/>
            <w:noWrap w:val="0"/>
            <w:vAlign w:val="center"/>
          </w:tcPr>
          <w:p w14:paraId="1892E2E2">
            <w:pPr>
              <w:spacing w:line="400" w:lineRule="exact"/>
              <w:jc w:val="center"/>
              <w:rPr>
                <w:rFonts w:hint="eastAsia" w:ascii="宋体" w:hAnsi="宋体" w:eastAsia="宋体" w:cs="宋体"/>
                <w:snapToGrid w:val="0"/>
                <w:szCs w:val="21"/>
              </w:rPr>
            </w:pPr>
          </w:p>
        </w:tc>
        <w:tc>
          <w:tcPr>
            <w:tcW w:w="782" w:type="dxa"/>
            <w:noWrap w:val="0"/>
            <w:vAlign w:val="center"/>
          </w:tcPr>
          <w:p w14:paraId="1005D35C">
            <w:pPr>
              <w:spacing w:line="400" w:lineRule="exact"/>
              <w:jc w:val="center"/>
              <w:rPr>
                <w:rFonts w:hint="eastAsia" w:ascii="宋体" w:hAnsi="宋体" w:eastAsia="宋体" w:cs="宋体"/>
                <w:snapToGrid w:val="0"/>
                <w:szCs w:val="21"/>
              </w:rPr>
            </w:pPr>
          </w:p>
        </w:tc>
        <w:tc>
          <w:tcPr>
            <w:tcW w:w="787" w:type="dxa"/>
            <w:noWrap w:val="0"/>
            <w:vAlign w:val="center"/>
          </w:tcPr>
          <w:p w14:paraId="4F0B7C4C">
            <w:pPr>
              <w:spacing w:line="400" w:lineRule="exact"/>
              <w:jc w:val="center"/>
              <w:rPr>
                <w:rFonts w:hint="eastAsia" w:ascii="宋体" w:hAnsi="宋体" w:eastAsia="宋体" w:cs="宋体"/>
                <w:snapToGrid w:val="0"/>
                <w:szCs w:val="21"/>
              </w:rPr>
            </w:pPr>
          </w:p>
        </w:tc>
        <w:tc>
          <w:tcPr>
            <w:tcW w:w="901" w:type="dxa"/>
            <w:noWrap w:val="0"/>
            <w:vAlign w:val="center"/>
          </w:tcPr>
          <w:p w14:paraId="5355BEBB">
            <w:pPr>
              <w:spacing w:line="400" w:lineRule="exact"/>
              <w:jc w:val="center"/>
              <w:rPr>
                <w:rFonts w:hint="eastAsia" w:ascii="宋体" w:hAnsi="宋体" w:eastAsia="宋体" w:cs="宋体"/>
                <w:snapToGrid w:val="0"/>
                <w:szCs w:val="21"/>
              </w:rPr>
            </w:pPr>
          </w:p>
        </w:tc>
        <w:tc>
          <w:tcPr>
            <w:tcW w:w="1191" w:type="dxa"/>
            <w:noWrap w:val="0"/>
            <w:vAlign w:val="center"/>
          </w:tcPr>
          <w:p w14:paraId="5ADA2936">
            <w:pPr>
              <w:spacing w:line="400" w:lineRule="exact"/>
              <w:jc w:val="center"/>
              <w:rPr>
                <w:rFonts w:hint="eastAsia" w:ascii="宋体" w:hAnsi="宋体" w:eastAsia="宋体" w:cs="宋体"/>
                <w:snapToGrid w:val="0"/>
                <w:szCs w:val="21"/>
              </w:rPr>
            </w:pPr>
          </w:p>
        </w:tc>
      </w:tr>
      <w:tr w14:paraId="4688A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29" w:type="dxa"/>
            <w:vMerge w:val="continue"/>
            <w:noWrap w:val="0"/>
            <w:vAlign w:val="center"/>
          </w:tcPr>
          <w:p w14:paraId="66DFD506">
            <w:pPr>
              <w:spacing w:line="400" w:lineRule="exact"/>
              <w:jc w:val="center"/>
              <w:rPr>
                <w:rFonts w:hint="eastAsia" w:ascii="宋体" w:hAnsi="宋体" w:eastAsia="宋体" w:cs="宋体"/>
                <w:snapToGrid w:val="0"/>
                <w:szCs w:val="21"/>
              </w:rPr>
            </w:pPr>
          </w:p>
        </w:tc>
        <w:tc>
          <w:tcPr>
            <w:tcW w:w="1148" w:type="dxa"/>
            <w:noWrap w:val="0"/>
            <w:vAlign w:val="center"/>
          </w:tcPr>
          <w:p w14:paraId="45144969">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原 型</w:t>
            </w:r>
          </w:p>
        </w:tc>
        <w:tc>
          <w:tcPr>
            <w:tcW w:w="810" w:type="dxa"/>
            <w:noWrap w:val="0"/>
            <w:vAlign w:val="center"/>
          </w:tcPr>
          <w:p w14:paraId="5628799E">
            <w:pPr>
              <w:spacing w:line="400" w:lineRule="exact"/>
              <w:jc w:val="center"/>
              <w:rPr>
                <w:rFonts w:hint="eastAsia" w:ascii="宋体" w:hAnsi="宋体" w:eastAsia="宋体" w:cs="宋体"/>
                <w:snapToGrid w:val="0"/>
                <w:szCs w:val="21"/>
              </w:rPr>
            </w:pPr>
          </w:p>
        </w:tc>
        <w:tc>
          <w:tcPr>
            <w:tcW w:w="947" w:type="dxa"/>
            <w:noWrap w:val="0"/>
            <w:vAlign w:val="center"/>
          </w:tcPr>
          <w:p w14:paraId="7F0076FF">
            <w:pPr>
              <w:spacing w:line="400" w:lineRule="exact"/>
              <w:jc w:val="center"/>
              <w:rPr>
                <w:rFonts w:hint="eastAsia" w:ascii="宋体" w:hAnsi="宋体" w:eastAsia="宋体" w:cs="宋体"/>
                <w:snapToGrid w:val="0"/>
                <w:szCs w:val="21"/>
              </w:rPr>
            </w:pPr>
          </w:p>
        </w:tc>
        <w:tc>
          <w:tcPr>
            <w:tcW w:w="782" w:type="dxa"/>
            <w:noWrap w:val="0"/>
            <w:vAlign w:val="center"/>
          </w:tcPr>
          <w:p w14:paraId="7F2D5565">
            <w:pPr>
              <w:spacing w:line="400" w:lineRule="exact"/>
              <w:jc w:val="center"/>
              <w:rPr>
                <w:rFonts w:hint="eastAsia" w:ascii="宋体" w:hAnsi="宋体" w:eastAsia="宋体" w:cs="宋体"/>
                <w:snapToGrid w:val="0"/>
                <w:szCs w:val="21"/>
              </w:rPr>
            </w:pPr>
          </w:p>
        </w:tc>
        <w:tc>
          <w:tcPr>
            <w:tcW w:w="787" w:type="dxa"/>
            <w:noWrap w:val="0"/>
            <w:vAlign w:val="center"/>
          </w:tcPr>
          <w:p w14:paraId="0BE74E1E">
            <w:pPr>
              <w:spacing w:line="400" w:lineRule="exact"/>
              <w:jc w:val="center"/>
              <w:rPr>
                <w:rFonts w:hint="eastAsia" w:ascii="宋体" w:hAnsi="宋体" w:eastAsia="宋体" w:cs="宋体"/>
                <w:snapToGrid w:val="0"/>
                <w:szCs w:val="21"/>
              </w:rPr>
            </w:pPr>
          </w:p>
        </w:tc>
        <w:tc>
          <w:tcPr>
            <w:tcW w:w="901" w:type="dxa"/>
            <w:noWrap w:val="0"/>
            <w:vAlign w:val="center"/>
          </w:tcPr>
          <w:p w14:paraId="5EC94248">
            <w:pPr>
              <w:spacing w:line="400" w:lineRule="exact"/>
              <w:jc w:val="center"/>
              <w:rPr>
                <w:rFonts w:hint="eastAsia" w:ascii="宋体" w:hAnsi="宋体" w:eastAsia="宋体" w:cs="宋体"/>
                <w:snapToGrid w:val="0"/>
                <w:szCs w:val="21"/>
              </w:rPr>
            </w:pPr>
          </w:p>
        </w:tc>
        <w:tc>
          <w:tcPr>
            <w:tcW w:w="1191" w:type="dxa"/>
            <w:noWrap w:val="0"/>
            <w:vAlign w:val="center"/>
          </w:tcPr>
          <w:p w14:paraId="71326951">
            <w:pPr>
              <w:spacing w:line="400" w:lineRule="exact"/>
              <w:jc w:val="center"/>
              <w:rPr>
                <w:rFonts w:hint="eastAsia" w:ascii="宋体" w:hAnsi="宋体" w:eastAsia="宋体" w:cs="宋体"/>
                <w:snapToGrid w:val="0"/>
                <w:szCs w:val="21"/>
              </w:rPr>
            </w:pPr>
          </w:p>
        </w:tc>
      </w:tr>
    </w:tbl>
    <w:p w14:paraId="6E9F0219">
      <w:pPr>
        <w:spacing w:line="400" w:lineRule="exact"/>
        <w:ind w:firstLine="519" w:firstLineChars="246"/>
        <w:rPr>
          <w:rFonts w:hint="eastAsia" w:ascii="宋体" w:hAnsi="宋体" w:eastAsia="宋体" w:cs="宋体"/>
          <w:b/>
          <w:bCs/>
          <w:snapToGrid w:val="0"/>
          <w:szCs w:val="21"/>
        </w:rPr>
      </w:pPr>
      <w:r>
        <w:rPr>
          <w:rFonts w:hint="eastAsia" w:ascii="宋体" w:hAnsi="宋体" w:eastAsia="宋体" w:cs="宋体"/>
          <w:b/>
          <w:bCs/>
          <w:snapToGrid w:val="0"/>
          <w:szCs w:val="21"/>
        </w:rPr>
        <w:t xml:space="preserve">表14.1-3  </w:t>
      </w:r>
      <w:r>
        <w:rPr>
          <w:rFonts w:hint="eastAsia" w:ascii="宋体" w:hAnsi="宋体" w:eastAsia="宋体" w:cs="宋体"/>
          <w:bCs/>
          <w:snapToGrid w:val="0"/>
        </w:rPr>
        <w:t>水轮机空蚀运行限制条件表</w:t>
      </w:r>
    </w:p>
    <w:tbl>
      <w:tblPr>
        <w:tblStyle w:val="65"/>
        <w:tblW w:w="5023" w:type="pct"/>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2066"/>
        <w:gridCol w:w="2234"/>
        <w:gridCol w:w="2403"/>
      </w:tblGrid>
      <w:tr w14:paraId="27A1B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2" w:type="dxa"/>
            <w:noWrap w:val="0"/>
            <w:vAlign w:val="center"/>
          </w:tcPr>
          <w:p w14:paraId="7619155B">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水轮机水头</w:t>
            </w:r>
          </w:p>
          <w:p w14:paraId="3B9D382B">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（m）</w:t>
            </w:r>
          </w:p>
        </w:tc>
        <w:tc>
          <w:tcPr>
            <w:tcW w:w="2066" w:type="dxa"/>
            <w:noWrap w:val="0"/>
            <w:vAlign w:val="center"/>
          </w:tcPr>
          <w:p w14:paraId="76A47200">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最大出力</w:t>
            </w:r>
          </w:p>
          <w:p w14:paraId="51CB26C1">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(MW)</w:t>
            </w:r>
          </w:p>
        </w:tc>
        <w:tc>
          <w:tcPr>
            <w:tcW w:w="2234" w:type="dxa"/>
            <w:noWrap w:val="0"/>
            <w:vAlign w:val="center"/>
          </w:tcPr>
          <w:p w14:paraId="32034808">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最小出力</w:t>
            </w:r>
          </w:p>
          <w:p w14:paraId="7A6F91E4">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（MW）</w:t>
            </w:r>
          </w:p>
        </w:tc>
        <w:tc>
          <w:tcPr>
            <w:tcW w:w="2403" w:type="dxa"/>
            <w:noWrap w:val="0"/>
            <w:vAlign w:val="center"/>
          </w:tcPr>
          <w:p w14:paraId="6D8390B2">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允许的吸出高度</w:t>
            </w:r>
          </w:p>
          <w:p w14:paraId="49E66292">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Hs(m)</w:t>
            </w:r>
          </w:p>
        </w:tc>
      </w:tr>
      <w:tr w14:paraId="158E4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2" w:type="dxa"/>
            <w:noWrap w:val="0"/>
            <w:vAlign w:val="center"/>
          </w:tcPr>
          <w:p w14:paraId="0DFFD78A">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最大水头____</w:t>
            </w:r>
          </w:p>
        </w:tc>
        <w:tc>
          <w:tcPr>
            <w:tcW w:w="2066" w:type="dxa"/>
            <w:noWrap w:val="0"/>
            <w:vAlign w:val="center"/>
          </w:tcPr>
          <w:p w14:paraId="63FC53E4">
            <w:pPr>
              <w:spacing w:line="400" w:lineRule="exact"/>
              <w:jc w:val="center"/>
              <w:rPr>
                <w:rFonts w:hint="eastAsia" w:ascii="宋体" w:hAnsi="宋体" w:eastAsia="宋体" w:cs="宋体"/>
                <w:snapToGrid w:val="0"/>
                <w:szCs w:val="21"/>
              </w:rPr>
            </w:pPr>
          </w:p>
        </w:tc>
        <w:tc>
          <w:tcPr>
            <w:tcW w:w="2234" w:type="dxa"/>
            <w:noWrap w:val="0"/>
            <w:vAlign w:val="center"/>
          </w:tcPr>
          <w:p w14:paraId="5ACF9917">
            <w:pPr>
              <w:spacing w:line="400" w:lineRule="exact"/>
              <w:jc w:val="center"/>
              <w:rPr>
                <w:rFonts w:hint="eastAsia" w:ascii="宋体" w:hAnsi="宋体" w:eastAsia="宋体" w:cs="宋体"/>
                <w:snapToGrid w:val="0"/>
                <w:szCs w:val="21"/>
              </w:rPr>
            </w:pPr>
          </w:p>
        </w:tc>
        <w:tc>
          <w:tcPr>
            <w:tcW w:w="2403" w:type="dxa"/>
            <w:noWrap w:val="0"/>
            <w:vAlign w:val="center"/>
          </w:tcPr>
          <w:p w14:paraId="562CA414">
            <w:pPr>
              <w:spacing w:line="400" w:lineRule="exact"/>
              <w:jc w:val="center"/>
              <w:rPr>
                <w:rFonts w:hint="eastAsia" w:ascii="宋体" w:hAnsi="宋体" w:eastAsia="宋体" w:cs="宋体"/>
                <w:snapToGrid w:val="0"/>
                <w:szCs w:val="21"/>
              </w:rPr>
            </w:pPr>
          </w:p>
        </w:tc>
      </w:tr>
      <w:tr w14:paraId="1E17F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2" w:type="dxa"/>
            <w:noWrap w:val="0"/>
            <w:vAlign w:val="center"/>
          </w:tcPr>
          <w:p w14:paraId="16AB60C0">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加权平均水头___</w:t>
            </w:r>
          </w:p>
        </w:tc>
        <w:tc>
          <w:tcPr>
            <w:tcW w:w="2066" w:type="dxa"/>
            <w:noWrap w:val="0"/>
            <w:vAlign w:val="center"/>
          </w:tcPr>
          <w:p w14:paraId="7EC17E6A">
            <w:pPr>
              <w:spacing w:line="400" w:lineRule="exact"/>
              <w:jc w:val="center"/>
              <w:rPr>
                <w:rFonts w:hint="eastAsia" w:ascii="宋体" w:hAnsi="宋体" w:eastAsia="宋体" w:cs="宋体"/>
                <w:snapToGrid w:val="0"/>
                <w:szCs w:val="21"/>
              </w:rPr>
            </w:pPr>
          </w:p>
        </w:tc>
        <w:tc>
          <w:tcPr>
            <w:tcW w:w="2234" w:type="dxa"/>
            <w:noWrap w:val="0"/>
            <w:vAlign w:val="center"/>
          </w:tcPr>
          <w:p w14:paraId="400FA838">
            <w:pPr>
              <w:spacing w:line="400" w:lineRule="exact"/>
              <w:jc w:val="center"/>
              <w:rPr>
                <w:rFonts w:hint="eastAsia" w:ascii="宋体" w:hAnsi="宋体" w:eastAsia="宋体" w:cs="宋体"/>
                <w:snapToGrid w:val="0"/>
                <w:szCs w:val="21"/>
              </w:rPr>
            </w:pPr>
          </w:p>
        </w:tc>
        <w:tc>
          <w:tcPr>
            <w:tcW w:w="2403" w:type="dxa"/>
            <w:noWrap w:val="0"/>
            <w:vAlign w:val="center"/>
          </w:tcPr>
          <w:p w14:paraId="5FF4CB8E">
            <w:pPr>
              <w:spacing w:line="400" w:lineRule="exact"/>
              <w:jc w:val="center"/>
              <w:rPr>
                <w:rFonts w:hint="eastAsia" w:ascii="宋体" w:hAnsi="宋体" w:eastAsia="宋体" w:cs="宋体"/>
                <w:snapToGrid w:val="0"/>
                <w:szCs w:val="21"/>
              </w:rPr>
            </w:pPr>
          </w:p>
        </w:tc>
      </w:tr>
      <w:tr w14:paraId="06496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2" w:type="dxa"/>
            <w:noWrap w:val="0"/>
            <w:vAlign w:val="center"/>
          </w:tcPr>
          <w:p w14:paraId="239F6CBE">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额定水头_____</w:t>
            </w:r>
          </w:p>
        </w:tc>
        <w:tc>
          <w:tcPr>
            <w:tcW w:w="2066" w:type="dxa"/>
            <w:noWrap w:val="0"/>
            <w:vAlign w:val="center"/>
          </w:tcPr>
          <w:p w14:paraId="70F8A8EB">
            <w:pPr>
              <w:spacing w:line="400" w:lineRule="exact"/>
              <w:jc w:val="center"/>
              <w:rPr>
                <w:rFonts w:hint="eastAsia" w:ascii="宋体" w:hAnsi="宋体" w:eastAsia="宋体" w:cs="宋体"/>
                <w:snapToGrid w:val="0"/>
                <w:szCs w:val="21"/>
              </w:rPr>
            </w:pPr>
          </w:p>
        </w:tc>
        <w:tc>
          <w:tcPr>
            <w:tcW w:w="2234" w:type="dxa"/>
            <w:noWrap w:val="0"/>
            <w:vAlign w:val="center"/>
          </w:tcPr>
          <w:p w14:paraId="70589BAA">
            <w:pPr>
              <w:spacing w:line="400" w:lineRule="exact"/>
              <w:jc w:val="center"/>
              <w:rPr>
                <w:rFonts w:hint="eastAsia" w:ascii="宋体" w:hAnsi="宋体" w:eastAsia="宋体" w:cs="宋体"/>
                <w:snapToGrid w:val="0"/>
                <w:szCs w:val="21"/>
              </w:rPr>
            </w:pPr>
          </w:p>
        </w:tc>
        <w:tc>
          <w:tcPr>
            <w:tcW w:w="2403" w:type="dxa"/>
            <w:noWrap w:val="0"/>
            <w:vAlign w:val="center"/>
          </w:tcPr>
          <w:p w14:paraId="40138C2C">
            <w:pPr>
              <w:spacing w:line="400" w:lineRule="exact"/>
              <w:jc w:val="center"/>
              <w:rPr>
                <w:rFonts w:hint="eastAsia" w:ascii="宋体" w:hAnsi="宋体" w:eastAsia="宋体" w:cs="宋体"/>
                <w:snapToGrid w:val="0"/>
                <w:szCs w:val="21"/>
              </w:rPr>
            </w:pPr>
          </w:p>
        </w:tc>
      </w:tr>
      <w:tr w14:paraId="7B5C3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2" w:type="dxa"/>
            <w:noWrap w:val="0"/>
            <w:vAlign w:val="center"/>
          </w:tcPr>
          <w:p w14:paraId="4A710CB5">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最小水头____</w:t>
            </w:r>
          </w:p>
        </w:tc>
        <w:tc>
          <w:tcPr>
            <w:tcW w:w="2066" w:type="dxa"/>
            <w:noWrap w:val="0"/>
            <w:vAlign w:val="center"/>
          </w:tcPr>
          <w:p w14:paraId="7ED21000">
            <w:pPr>
              <w:spacing w:line="400" w:lineRule="exact"/>
              <w:jc w:val="center"/>
              <w:rPr>
                <w:rFonts w:hint="eastAsia" w:ascii="宋体" w:hAnsi="宋体" w:eastAsia="宋体" w:cs="宋体"/>
                <w:snapToGrid w:val="0"/>
                <w:szCs w:val="21"/>
              </w:rPr>
            </w:pPr>
          </w:p>
        </w:tc>
        <w:tc>
          <w:tcPr>
            <w:tcW w:w="2234" w:type="dxa"/>
            <w:noWrap w:val="0"/>
            <w:vAlign w:val="center"/>
          </w:tcPr>
          <w:p w14:paraId="475F5A06">
            <w:pPr>
              <w:spacing w:line="400" w:lineRule="exact"/>
              <w:jc w:val="center"/>
              <w:rPr>
                <w:rFonts w:hint="eastAsia" w:ascii="宋体" w:hAnsi="宋体" w:eastAsia="宋体" w:cs="宋体"/>
                <w:snapToGrid w:val="0"/>
                <w:szCs w:val="21"/>
              </w:rPr>
            </w:pPr>
          </w:p>
        </w:tc>
        <w:tc>
          <w:tcPr>
            <w:tcW w:w="2403" w:type="dxa"/>
            <w:noWrap w:val="0"/>
            <w:vAlign w:val="center"/>
          </w:tcPr>
          <w:p w14:paraId="2F0B34D9">
            <w:pPr>
              <w:spacing w:line="400" w:lineRule="exact"/>
              <w:jc w:val="center"/>
              <w:rPr>
                <w:rFonts w:hint="eastAsia" w:ascii="宋体" w:hAnsi="宋体" w:eastAsia="宋体" w:cs="宋体"/>
                <w:snapToGrid w:val="0"/>
                <w:szCs w:val="21"/>
              </w:rPr>
            </w:pPr>
          </w:p>
        </w:tc>
      </w:tr>
    </w:tbl>
    <w:p w14:paraId="7ECB8D7B">
      <w:pPr>
        <w:spacing w:line="400" w:lineRule="exact"/>
        <w:ind w:left="210" w:hanging="210" w:hangingChars="100"/>
        <w:rPr>
          <w:rFonts w:hint="eastAsia" w:ascii="宋体" w:hAnsi="宋体" w:eastAsia="宋体" w:cs="宋体"/>
          <w:snapToGrid w:val="0"/>
          <w:szCs w:val="21"/>
        </w:rPr>
      </w:pPr>
      <w:r>
        <w:rPr>
          <w:rFonts w:hint="eastAsia" w:ascii="宋体" w:hAnsi="宋体" w:eastAsia="宋体" w:cs="宋体"/>
          <w:snapToGrid w:val="0"/>
          <w:szCs w:val="21"/>
        </w:rPr>
        <w:t xml:space="preserve">    </w:t>
      </w:r>
    </w:p>
    <w:p w14:paraId="737EC50B">
      <w:pPr>
        <w:keepNext/>
        <w:outlineLvl w:val="1"/>
        <w:rPr>
          <w:rFonts w:hint="eastAsia" w:ascii="宋体" w:hAnsi="宋体" w:eastAsia="宋体" w:cs="宋体"/>
          <w:sz w:val="28"/>
          <w:szCs w:val="28"/>
        </w:rPr>
      </w:pPr>
      <w:r>
        <w:rPr>
          <w:rFonts w:hint="eastAsia" w:ascii="宋体" w:hAnsi="宋体" w:eastAsia="宋体" w:cs="宋体"/>
          <w:sz w:val="28"/>
          <w:szCs w:val="28"/>
        </w:rPr>
        <w:t>2.2 发电机性能保证和设备特性表</w:t>
      </w:r>
      <w:bookmarkEnd w:id="30"/>
    </w:p>
    <w:p w14:paraId="350D1F4B">
      <w:pPr>
        <w:widowControl/>
        <w:snapToGrid w:val="0"/>
        <w:spacing w:line="360" w:lineRule="auto"/>
        <w:ind w:firstLine="480" w:firstLineChars="200"/>
        <w:jc w:val="left"/>
        <w:rPr>
          <w:rFonts w:hint="eastAsia" w:ascii="宋体" w:hAnsi="宋体" w:eastAsia="宋体" w:cs="宋体"/>
          <w:snapToGrid w:val="0"/>
        </w:rPr>
      </w:pPr>
      <w:r>
        <w:rPr>
          <w:rFonts w:hint="eastAsia" w:ascii="宋体" w:hAnsi="宋体" w:eastAsia="宋体" w:cs="宋体"/>
          <w:snapToGrid w:val="0"/>
          <w:kern w:val="0"/>
          <w:sz w:val="24"/>
          <w:szCs w:val="24"/>
        </w:rPr>
        <w:t>承包人应保证所提供的水轮发电机及其附属设备的特性和性能不低于下列所填写的指标。</w:t>
      </w:r>
    </w:p>
    <w:tbl>
      <w:tblPr>
        <w:tblStyle w:val="6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4660"/>
        <w:gridCol w:w="3130"/>
      </w:tblGrid>
      <w:tr w14:paraId="3B00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0B011D17">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序号</w:t>
            </w:r>
          </w:p>
        </w:tc>
        <w:tc>
          <w:tcPr>
            <w:tcW w:w="4660" w:type="dxa"/>
            <w:noWrap w:val="0"/>
            <w:vAlign w:val="top"/>
          </w:tcPr>
          <w:p w14:paraId="538CB1D3">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性能指标</w:t>
            </w:r>
          </w:p>
        </w:tc>
        <w:tc>
          <w:tcPr>
            <w:tcW w:w="3130" w:type="dxa"/>
            <w:noWrap w:val="0"/>
            <w:vAlign w:val="top"/>
          </w:tcPr>
          <w:p w14:paraId="25189B14">
            <w:pPr>
              <w:spacing w:line="400" w:lineRule="exact"/>
              <w:rPr>
                <w:rFonts w:hint="eastAsia" w:ascii="宋体" w:hAnsi="宋体" w:eastAsia="宋体" w:cs="宋体"/>
                <w:snapToGrid w:val="0"/>
                <w:szCs w:val="21"/>
              </w:rPr>
            </w:pPr>
            <w:r>
              <w:rPr>
                <w:rFonts w:hint="eastAsia" w:ascii="宋体" w:hAnsi="宋体" w:eastAsia="宋体" w:cs="宋体"/>
                <w:snapToGrid w:val="0"/>
                <w:szCs w:val="21"/>
              </w:rPr>
              <w:t>保证值</w:t>
            </w:r>
          </w:p>
        </w:tc>
      </w:tr>
      <w:tr w14:paraId="0BC4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noWrap w:val="0"/>
            <w:vAlign w:val="center"/>
          </w:tcPr>
          <w:p w14:paraId="7032AA20">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w:t>
            </w:r>
          </w:p>
        </w:tc>
        <w:tc>
          <w:tcPr>
            <w:tcW w:w="4660" w:type="dxa"/>
            <w:noWrap w:val="0"/>
            <w:vAlign w:val="top"/>
          </w:tcPr>
          <w:p w14:paraId="71C86FFC">
            <w:pPr>
              <w:tabs>
                <w:tab w:val="left" w:pos="3660"/>
              </w:tabs>
              <w:spacing w:line="400" w:lineRule="exact"/>
              <w:rPr>
                <w:rFonts w:hint="eastAsia" w:ascii="宋体" w:hAnsi="宋体" w:eastAsia="宋体" w:cs="宋体"/>
                <w:snapToGrid w:val="0"/>
                <w:szCs w:val="21"/>
              </w:rPr>
            </w:pPr>
            <w:r>
              <w:rPr>
                <w:rFonts w:hint="eastAsia" w:ascii="宋体" w:hAnsi="宋体" w:eastAsia="宋体" w:cs="宋体"/>
                <w:snapToGrid w:val="0"/>
                <w:szCs w:val="21"/>
              </w:rPr>
              <w:t>额定容量（kVA）/（kW）</w:t>
            </w:r>
            <w:r>
              <w:rPr>
                <w:rFonts w:hint="eastAsia" w:ascii="宋体" w:hAnsi="宋体" w:eastAsia="宋体" w:cs="宋体"/>
                <w:snapToGrid w:val="0"/>
                <w:szCs w:val="21"/>
              </w:rPr>
              <w:tab/>
            </w:r>
          </w:p>
        </w:tc>
        <w:tc>
          <w:tcPr>
            <w:tcW w:w="3130" w:type="dxa"/>
            <w:noWrap w:val="0"/>
            <w:vAlign w:val="top"/>
          </w:tcPr>
          <w:p w14:paraId="6329C8BF">
            <w:pPr>
              <w:spacing w:line="400" w:lineRule="exact"/>
              <w:rPr>
                <w:rFonts w:hint="eastAsia" w:ascii="宋体" w:hAnsi="宋体" w:eastAsia="宋体" w:cs="宋体"/>
                <w:snapToGrid w:val="0"/>
                <w:szCs w:val="21"/>
              </w:rPr>
            </w:pPr>
          </w:p>
        </w:tc>
      </w:tr>
      <w:tr w14:paraId="50D4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5F105B54">
            <w:pPr>
              <w:spacing w:line="400" w:lineRule="exact"/>
              <w:jc w:val="center"/>
              <w:rPr>
                <w:rFonts w:hint="eastAsia" w:ascii="宋体" w:hAnsi="宋体" w:eastAsia="宋体" w:cs="宋体"/>
                <w:snapToGrid w:val="0"/>
                <w:szCs w:val="21"/>
              </w:rPr>
            </w:pPr>
          </w:p>
        </w:tc>
        <w:tc>
          <w:tcPr>
            <w:tcW w:w="4660" w:type="dxa"/>
            <w:noWrap w:val="0"/>
            <w:vAlign w:val="top"/>
          </w:tcPr>
          <w:p w14:paraId="2EA8E11B">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在cosφ=1时出力（kW）</w:t>
            </w:r>
          </w:p>
        </w:tc>
        <w:tc>
          <w:tcPr>
            <w:tcW w:w="3130" w:type="dxa"/>
            <w:noWrap w:val="0"/>
            <w:vAlign w:val="top"/>
          </w:tcPr>
          <w:p w14:paraId="19DB32D8">
            <w:pPr>
              <w:spacing w:line="400" w:lineRule="exact"/>
              <w:rPr>
                <w:rFonts w:hint="eastAsia" w:ascii="宋体" w:hAnsi="宋体" w:eastAsia="宋体" w:cs="宋体"/>
                <w:snapToGrid w:val="0"/>
                <w:szCs w:val="21"/>
              </w:rPr>
            </w:pPr>
          </w:p>
        </w:tc>
      </w:tr>
      <w:tr w14:paraId="6DCF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306E5A79">
            <w:pPr>
              <w:spacing w:line="400" w:lineRule="exact"/>
              <w:jc w:val="center"/>
              <w:rPr>
                <w:rFonts w:hint="eastAsia" w:ascii="宋体" w:hAnsi="宋体" w:eastAsia="宋体" w:cs="宋体"/>
                <w:snapToGrid w:val="0"/>
                <w:szCs w:val="21"/>
              </w:rPr>
            </w:pPr>
          </w:p>
        </w:tc>
        <w:tc>
          <w:tcPr>
            <w:tcW w:w="4660" w:type="dxa"/>
            <w:noWrap w:val="0"/>
            <w:vAlign w:val="top"/>
          </w:tcPr>
          <w:p w14:paraId="565EE60B">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在进相运行时功率因数为</w:t>
            </w:r>
          </w:p>
        </w:tc>
        <w:tc>
          <w:tcPr>
            <w:tcW w:w="3130" w:type="dxa"/>
            <w:noWrap w:val="0"/>
            <w:vAlign w:val="top"/>
          </w:tcPr>
          <w:p w14:paraId="2E71F939">
            <w:pPr>
              <w:spacing w:line="400" w:lineRule="exact"/>
              <w:rPr>
                <w:rFonts w:hint="eastAsia" w:ascii="宋体" w:hAnsi="宋体" w:eastAsia="宋体" w:cs="宋体"/>
                <w:snapToGrid w:val="0"/>
                <w:szCs w:val="21"/>
              </w:rPr>
            </w:pPr>
          </w:p>
        </w:tc>
      </w:tr>
      <w:tr w14:paraId="55DA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02AC2AAE">
            <w:pPr>
              <w:spacing w:line="400" w:lineRule="exact"/>
              <w:jc w:val="center"/>
              <w:rPr>
                <w:rFonts w:hint="eastAsia" w:ascii="宋体" w:hAnsi="宋体" w:eastAsia="宋体" w:cs="宋体"/>
                <w:snapToGrid w:val="0"/>
                <w:szCs w:val="21"/>
              </w:rPr>
            </w:pPr>
          </w:p>
        </w:tc>
        <w:tc>
          <w:tcPr>
            <w:tcW w:w="4660" w:type="dxa"/>
            <w:noWrap w:val="0"/>
            <w:vAlign w:val="top"/>
          </w:tcPr>
          <w:p w14:paraId="40BC445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发电机充电容量不小于（kVAR）</w:t>
            </w:r>
          </w:p>
        </w:tc>
        <w:tc>
          <w:tcPr>
            <w:tcW w:w="3130" w:type="dxa"/>
            <w:noWrap w:val="0"/>
            <w:vAlign w:val="top"/>
          </w:tcPr>
          <w:p w14:paraId="2587A540">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6AFE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073377B1">
            <w:pPr>
              <w:spacing w:line="400" w:lineRule="exact"/>
              <w:jc w:val="center"/>
              <w:rPr>
                <w:rFonts w:hint="eastAsia" w:ascii="宋体" w:hAnsi="宋体" w:eastAsia="宋体" w:cs="宋体"/>
                <w:snapToGrid w:val="0"/>
                <w:szCs w:val="21"/>
              </w:rPr>
            </w:pPr>
          </w:p>
        </w:tc>
        <w:tc>
          <w:tcPr>
            <w:tcW w:w="4660" w:type="dxa"/>
            <w:noWrap w:val="0"/>
            <w:vAlign w:val="top"/>
          </w:tcPr>
          <w:p w14:paraId="48BED05B">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最大容量为(kW)</w:t>
            </w:r>
          </w:p>
        </w:tc>
        <w:tc>
          <w:tcPr>
            <w:tcW w:w="3130" w:type="dxa"/>
            <w:noWrap w:val="0"/>
            <w:vAlign w:val="top"/>
          </w:tcPr>
          <w:p w14:paraId="7E44AE46">
            <w:pPr>
              <w:spacing w:line="400" w:lineRule="exact"/>
              <w:rPr>
                <w:rFonts w:hint="eastAsia" w:ascii="宋体" w:hAnsi="宋体" w:eastAsia="宋体" w:cs="宋体"/>
                <w:snapToGrid w:val="0"/>
                <w:szCs w:val="21"/>
              </w:rPr>
            </w:pPr>
          </w:p>
        </w:tc>
      </w:tr>
      <w:tr w14:paraId="5386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0EC512B2">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2</w:t>
            </w:r>
          </w:p>
        </w:tc>
        <w:tc>
          <w:tcPr>
            <w:tcW w:w="4660" w:type="dxa"/>
            <w:noWrap w:val="0"/>
            <w:vAlign w:val="top"/>
          </w:tcPr>
          <w:p w14:paraId="6A6340A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效率（发电机效率保证值见表14.2-1）</w:t>
            </w:r>
          </w:p>
        </w:tc>
        <w:tc>
          <w:tcPr>
            <w:tcW w:w="3130" w:type="dxa"/>
            <w:noWrap w:val="0"/>
            <w:vAlign w:val="top"/>
          </w:tcPr>
          <w:p w14:paraId="3711E2A8">
            <w:pPr>
              <w:spacing w:line="400" w:lineRule="exact"/>
              <w:rPr>
                <w:rFonts w:hint="eastAsia" w:ascii="宋体" w:hAnsi="宋体" w:eastAsia="宋体" w:cs="宋体"/>
                <w:snapToGrid w:val="0"/>
                <w:szCs w:val="21"/>
              </w:rPr>
            </w:pPr>
          </w:p>
        </w:tc>
      </w:tr>
      <w:tr w14:paraId="4EF5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0FC9BE6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w:t>
            </w:r>
          </w:p>
        </w:tc>
        <w:tc>
          <w:tcPr>
            <w:tcW w:w="7790" w:type="dxa"/>
            <w:gridSpan w:val="2"/>
            <w:noWrap w:val="0"/>
            <w:vAlign w:val="top"/>
          </w:tcPr>
          <w:p w14:paraId="08BA573B">
            <w:pPr>
              <w:spacing w:line="400" w:lineRule="exact"/>
              <w:rPr>
                <w:rFonts w:hint="eastAsia" w:ascii="宋体" w:hAnsi="宋体" w:eastAsia="宋体" w:cs="宋体"/>
                <w:snapToGrid w:val="0"/>
                <w:szCs w:val="21"/>
              </w:rPr>
            </w:pPr>
            <w:r>
              <w:rPr>
                <w:rFonts w:hint="eastAsia" w:ascii="宋体" w:hAnsi="宋体" w:eastAsia="宋体" w:cs="宋体"/>
                <w:snapToGrid w:val="0"/>
                <w:szCs w:val="20"/>
              </w:rPr>
              <w:t>其他参数：</w:t>
            </w:r>
          </w:p>
        </w:tc>
      </w:tr>
      <w:tr w14:paraId="0A89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07D26EE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3.1</w:t>
            </w:r>
          </w:p>
        </w:tc>
        <w:tc>
          <w:tcPr>
            <w:tcW w:w="7790" w:type="dxa"/>
            <w:gridSpan w:val="2"/>
            <w:noWrap w:val="0"/>
            <w:vAlign w:val="center"/>
          </w:tcPr>
          <w:p w14:paraId="798A10C8">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0"/>
              </w:rPr>
              <w:t>电抗：</w:t>
            </w:r>
          </w:p>
        </w:tc>
      </w:tr>
      <w:tr w14:paraId="280C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noWrap w:val="0"/>
            <w:vAlign w:val="center"/>
          </w:tcPr>
          <w:p w14:paraId="6F6E8604">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3.1.1</w:t>
            </w:r>
          </w:p>
        </w:tc>
        <w:tc>
          <w:tcPr>
            <w:tcW w:w="4660" w:type="dxa"/>
            <w:noWrap w:val="0"/>
            <w:vAlign w:val="top"/>
          </w:tcPr>
          <w:p w14:paraId="2981B018">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纵轴同步电抗（Xd）（不饱和值）（%）</w:t>
            </w:r>
          </w:p>
        </w:tc>
        <w:tc>
          <w:tcPr>
            <w:tcW w:w="3130" w:type="dxa"/>
            <w:noWrap w:val="0"/>
            <w:vAlign w:val="top"/>
          </w:tcPr>
          <w:p w14:paraId="5104C0DD">
            <w:pPr>
              <w:spacing w:line="400" w:lineRule="exact"/>
              <w:rPr>
                <w:rFonts w:hint="eastAsia" w:ascii="宋体" w:hAnsi="宋体" w:eastAsia="宋体" w:cs="宋体"/>
                <w:snapToGrid w:val="0"/>
                <w:szCs w:val="21"/>
              </w:rPr>
            </w:pPr>
          </w:p>
        </w:tc>
      </w:tr>
      <w:tr w14:paraId="47FD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71D7055C">
            <w:pPr>
              <w:spacing w:line="400" w:lineRule="exact"/>
              <w:jc w:val="center"/>
              <w:rPr>
                <w:rFonts w:hint="eastAsia" w:ascii="宋体" w:hAnsi="宋体" w:eastAsia="宋体" w:cs="宋体"/>
                <w:snapToGrid w:val="0"/>
                <w:szCs w:val="21"/>
              </w:rPr>
            </w:pPr>
          </w:p>
        </w:tc>
        <w:tc>
          <w:tcPr>
            <w:tcW w:w="4660" w:type="dxa"/>
            <w:noWrap w:val="0"/>
            <w:vAlign w:val="top"/>
          </w:tcPr>
          <w:p w14:paraId="58C56626">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纵轴暂态电抗（X′d）（饱和值）（%）</w:t>
            </w:r>
          </w:p>
        </w:tc>
        <w:tc>
          <w:tcPr>
            <w:tcW w:w="3130" w:type="dxa"/>
            <w:noWrap w:val="0"/>
            <w:vAlign w:val="top"/>
          </w:tcPr>
          <w:p w14:paraId="123FDE81">
            <w:pPr>
              <w:spacing w:line="400" w:lineRule="exact"/>
              <w:rPr>
                <w:rFonts w:hint="eastAsia" w:ascii="宋体" w:hAnsi="宋体" w:eastAsia="宋体" w:cs="宋体"/>
                <w:snapToGrid w:val="0"/>
                <w:szCs w:val="21"/>
              </w:rPr>
            </w:pPr>
          </w:p>
        </w:tc>
      </w:tr>
      <w:tr w14:paraId="235E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00A31808">
            <w:pPr>
              <w:spacing w:line="400" w:lineRule="exact"/>
              <w:jc w:val="center"/>
              <w:rPr>
                <w:rFonts w:hint="eastAsia" w:ascii="宋体" w:hAnsi="宋体" w:eastAsia="宋体" w:cs="宋体"/>
                <w:snapToGrid w:val="0"/>
                <w:szCs w:val="21"/>
              </w:rPr>
            </w:pPr>
          </w:p>
        </w:tc>
        <w:tc>
          <w:tcPr>
            <w:tcW w:w="4660" w:type="dxa"/>
            <w:noWrap w:val="0"/>
            <w:vAlign w:val="top"/>
          </w:tcPr>
          <w:p w14:paraId="32B467D1">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纵轴次暂态电抗（X″d）（饱和值）（%）</w:t>
            </w:r>
          </w:p>
        </w:tc>
        <w:tc>
          <w:tcPr>
            <w:tcW w:w="3130" w:type="dxa"/>
            <w:noWrap w:val="0"/>
            <w:vAlign w:val="top"/>
          </w:tcPr>
          <w:p w14:paraId="0A5D6BC0">
            <w:pPr>
              <w:spacing w:line="400" w:lineRule="exact"/>
              <w:rPr>
                <w:rFonts w:hint="eastAsia" w:ascii="宋体" w:hAnsi="宋体" w:eastAsia="宋体" w:cs="宋体"/>
                <w:snapToGrid w:val="0"/>
                <w:szCs w:val="21"/>
              </w:rPr>
            </w:pPr>
          </w:p>
        </w:tc>
      </w:tr>
      <w:tr w14:paraId="618B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3B3BEC4E">
            <w:pPr>
              <w:spacing w:line="400" w:lineRule="exact"/>
              <w:jc w:val="center"/>
              <w:rPr>
                <w:rFonts w:hint="eastAsia" w:ascii="宋体" w:hAnsi="宋体" w:eastAsia="宋体" w:cs="宋体"/>
                <w:snapToGrid w:val="0"/>
                <w:szCs w:val="21"/>
              </w:rPr>
            </w:pPr>
          </w:p>
        </w:tc>
        <w:tc>
          <w:tcPr>
            <w:tcW w:w="4660" w:type="dxa"/>
            <w:noWrap w:val="0"/>
            <w:vAlign w:val="top"/>
          </w:tcPr>
          <w:p w14:paraId="628BACFF">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横轴同步电抗（Xq）（不饱和值）（%）</w:t>
            </w:r>
          </w:p>
        </w:tc>
        <w:tc>
          <w:tcPr>
            <w:tcW w:w="3130" w:type="dxa"/>
            <w:noWrap w:val="0"/>
            <w:vAlign w:val="top"/>
          </w:tcPr>
          <w:p w14:paraId="19D88FD8">
            <w:pPr>
              <w:spacing w:line="400" w:lineRule="exact"/>
              <w:rPr>
                <w:rFonts w:hint="eastAsia" w:ascii="宋体" w:hAnsi="宋体" w:eastAsia="宋体" w:cs="宋体"/>
                <w:snapToGrid w:val="0"/>
                <w:szCs w:val="21"/>
              </w:rPr>
            </w:pPr>
          </w:p>
        </w:tc>
      </w:tr>
      <w:tr w14:paraId="6D3B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731C9DF7">
            <w:pPr>
              <w:spacing w:line="400" w:lineRule="exact"/>
              <w:jc w:val="center"/>
              <w:rPr>
                <w:rFonts w:hint="eastAsia" w:ascii="宋体" w:hAnsi="宋体" w:eastAsia="宋体" w:cs="宋体"/>
                <w:snapToGrid w:val="0"/>
                <w:szCs w:val="21"/>
              </w:rPr>
            </w:pPr>
          </w:p>
        </w:tc>
        <w:tc>
          <w:tcPr>
            <w:tcW w:w="4660" w:type="dxa"/>
            <w:noWrap w:val="0"/>
            <w:vAlign w:val="top"/>
          </w:tcPr>
          <w:p w14:paraId="1133D462">
            <w:pPr>
              <w:spacing w:line="400" w:lineRule="exact"/>
              <w:rPr>
                <w:rFonts w:hint="eastAsia" w:ascii="宋体" w:hAnsi="宋体" w:eastAsia="宋体" w:cs="宋体"/>
                <w:snapToGrid w:val="0"/>
                <w:szCs w:val="20"/>
              </w:rPr>
            </w:pPr>
            <w:r>
              <w:rPr>
                <w:rFonts w:hint="eastAsia" w:ascii="宋体" w:hAnsi="宋体" w:eastAsia="宋体" w:cs="宋体"/>
                <w:szCs w:val="21"/>
              </w:rPr>
              <w:t>----</w:t>
            </w:r>
            <w:r>
              <w:rPr>
                <w:rFonts w:hint="eastAsia" w:ascii="宋体" w:hAnsi="宋体" w:eastAsia="宋体" w:cs="宋体"/>
                <w:snapToGrid w:val="0"/>
                <w:szCs w:val="21"/>
              </w:rPr>
              <w:t>负序电抗/零序电抗（x</w:t>
            </w:r>
            <w:r>
              <w:rPr>
                <w:rFonts w:hint="eastAsia" w:ascii="宋体" w:hAnsi="宋体" w:eastAsia="宋体" w:cs="宋体"/>
                <w:snapToGrid w:val="0"/>
                <w:szCs w:val="21"/>
                <w:vertAlign w:val="subscript"/>
              </w:rPr>
              <w:t>2</w:t>
            </w:r>
            <w:r>
              <w:rPr>
                <w:rFonts w:hint="eastAsia" w:ascii="宋体" w:hAnsi="宋体" w:eastAsia="宋体" w:cs="宋体"/>
                <w:snapToGrid w:val="0"/>
                <w:szCs w:val="21"/>
              </w:rPr>
              <w:t>/x</w:t>
            </w:r>
            <w:r>
              <w:rPr>
                <w:rFonts w:hint="eastAsia" w:ascii="宋体" w:hAnsi="宋体" w:eastAsia="宋体" w:cs="宋体"/>
                <w:snapToGrid w:val="0"/>
                <w:szCs w:val="21"/>
                <w:vertAlign w:val="subscript"/>
              </w:rPr>
              <w:t>o</w:t>
            </w:r>
            <w:r>
              <w:rPr>
                <w:rFonts w:hint="eastAsia" w:ascii="宋体" w:hAnsi="宋体" w:eastAsia="宋体" w:cs="宋体"/>
                <w:snapToGrid w:val="0"/>
                <w:szCs w:val="21"/>
              </w:rPr>
              <w:t>）（%）</w:t>
            </w:r>
          </w:p>
        </w:tc>
        <w:tc>
          <w:tcPr>
            <w:tcW w:w="3130" w:type="dxa"/>
            <w:noWrap w:val="0"/>
            <w:vAlign w:val="top"/>
          </w:tcPr>
          <w:p w14:paraId="0C1836EA">
            <w:pPr>
              <w:spacing w:line="400" w:lineRule="exact"/>
              <w:rPr>
                <w:rFonts w:hint="eastAsia" w:ascii="宋体" w:hAnsi="宋体" w:eastAsia="宋体" w:cs="宋体"/>
                <w:snapToGrid w:val="0"/>
                <w:szCs w:val="21"/>
              </w:rPr>
            </w:pPr>
          </w:p>
        </w:tc>
      </w:tr>
      <w:tr w14:paraId="0EFD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5928638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3.2</w:t>
            </w:r>
          </w:p>
        </w:tc>
        <w:tc>
          <w:tcPr>
            <w:tcW w:w="4660" w:type="dxa"/>
            <w:noWrap w:val="0"/>
            <w:vAlign w:val="top"/>
          </w:tcPr>
          <w:p w14:paraId="6AC80B42">
            <w:pPr>
              <w:spacing w:line="400" w:lineRule="exact"/>
              <w:rPr>
                <w:rFonts w:hint="eastAsia" w:ascii="宋体" w:hAnsi="宋体" w:eastAsia="宋体" w:cs="宋体"/>
                <w:snapToGrid w:val="0"/>
                <w:szCs w:val="20"/>
              </w:rPr>
            </w:pPr>
            <w:r>
              <w:rPr>
                <w:rFonts w:hint="eastAsia" w:ascii="宋体" w:hAnsi="宋体" w:eastAsia="宋体" w:cs="宋体"/>
                <w:szCs w:val="21"/>
              </w:rPr>
              <w:t>--</w:t>
            </w:r>
            <w:r>
              <w:rPr>
                <w:rFonts w:hint="eastAsia" w:ascii="宋体" w:hAnsi="宋体" w:eastAsia="宋体" w:cs="宋体"/>
                <w:snapToGrid w:val="0"/>
                <w:szCs w:val="21"/>
              </w:rPr>
              <w:t>短路比保证值</w:t>
            </w:r>
          </w:p>
        </w:tc>
        <w:tc>
          <w:tcPr>
            <w:tcW w:w="3130" w:type="dxa"/>
            <w:noWrap w:val="0"/>
            <w:vAlign w:val="top"/>
          </w:tcPr>
          <w:p w14:paraId="4141C9A7">
            <w:pPr>
              <w:spacing w:line="400" w:lineRule="exact"/>
              <w:rPr>
                <w:rFonts w:hint="eastAsia" w:ascii="宋体" w:hAnsi="宋体" w:eastAsia="宋体" w:cs="宋体"/>
                <w:snapToGrid w:val="0"/>
                <w:szCs w:val="21"/>
              </w:rPr>
            </w:pPr>
          </w:p>
        </w:tc>
      </w:tr>
      <w:tr w14:paraId="0880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7C230F20">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3.3</w:t>
            </w:r>
          </w:p>
        </w:tc>
        <w:tc>
          <w:tcPr>
            <w:tcW w:w="4660" w:type="dxa"/>
            <w:noWrap w:val="0"/>
            <w:vAlign w:val="top"/>
          </w:tcPr>
          <w:p w14:paraId="124D1E70">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工频耐压/冲击耐压（kV）</w:t>
            </w:r>
          </w:p>
        </w:tc>
        <w:tc>
          <w:tcPr>
            <w:tcW w:w="3130" w:type="dxa"/>
            <w:noWrap w:val="0"/>
            <w:vAlign w:val="top"/>
          </w:tcPr>
          <w:p w14:paraId="40BE9046">
            <w:pPr>
              <w:spacing w:line="400" w:lineRule="exact"/>
              <w:rPr>
                <w:rFonts w:hint="eastAsia" w:ascii="宋体" w:hAnsi="宋体" w:eastAsia="宋体" w:cs="宋体"/>
                <w:snapToGrid w:val="0"/>
                <w:szCs w:val="21"/>
              </w:rPr>
            </w:pPr>
          </w:p>
        </w:tc>
      </w:tr>
      <w:tr w14:paraId="104E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7FC0191B">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3.4</w:t>
            </w:r>
          </w:p>
        </w:tc>
        <w:tc>
          <w:tcPr>
            <w:tcW w:w="4660" w:type="dxa"/>
            <w:noWrap w:val="0"/>
            <w:vAlign w:val="top"/>
          </w:tcPr>
          <w:p w14:paraId="7481AE38">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线电压的电话干扰谐波因数（THF）（%）</w:t>
            </w:r>
          </w:p>
        </w:tc>
        <w:tc>
          <w:tcPr>
            <w:tcW w:w="3130" w:type="dxa"/>
            <w:noWrap w:val="0"/>
            <w:vAlign w:val="top"/>
          </w:tcPr>
          <w:p w14:paraId="4D90C97B">
            <w:pPr>
              <w:spacing w:line="400" w:lineRule="exact"/>
              <w:rPr>
                <w:rFonts w:hint="eastAsia" w:ascii="宋体" w:hAnsi="宋体" w:eastAsia="宋体" w:cs="宋体"/>
                <w:snapToGrid w:val="0"/>
                <w:szCs w:val="21"/>
              </w:rPr>
            </w:pPr>
          </w:p>
        </w:tc>
      </w:tr>
      <w:tr w14:paraId="1FB0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3F367208">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3.5</w:t>
            </w:r>
          </w:p>
        </w:tc>
        <w:tc>
          <w:tcPr>
            <w:tcW w:w="4660" w:type="dxa"/>
            <w:noWrap w:val="0"/>
            <w:vAlign w:val="top"/>
          </w:tcPr>
          <w:p w14:paraId="479E930E">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发电机转动惯量GD</w:t>
            </w:r>
            <w:r>
              <w:rPr>
                <w:rFonts w:hint="eastAsia" w:ascii="宋体" w:hAnsi="宋体" w:eastAsia="宋体" w:cs="宋体"/>
                <w:snapToGrid w:val="0"/>
                <w:szCs w:val="21"/>
                <w:vertAlign w:val="superscript"/>
              </w:rPr>
              <w:t>2</w:t>
            </w:r>
            <w:r>
              <w:rPr>
                <w:rFonts w:hint="eastAsia" w:ascii="宋体" w:hAnsi="宋体" w:eastAsia="宋体" w:cs="宋体"/>
                <w:snapToGrid w:val="0"/>
                <w:szCs w:val="21"/>
              </w:rPr>
              <w:t>（t-m</w:t>
            </w:r>
            <w:r>
              <w:rPr>
                <w:rFonts w:hint="eastAsia" w:ascii="宋体" w:hAnsi="宋体" w:eastAsia="宋体" w:cs="宋体"/>
                <w:snapToGrid w:val="0"/>
                <w:szCs w:val="21"/>
                <w:vertAlign w:val="superscript"/>
              </w:rPr>
              <w:t>2</w:t>
            </w:r>
            <w:r>
              <w:rPr>
                <w:rFonts w:hint="eastAsia" w:ascii="宋体" w:hAnsi="宋体" w:eastAsia="宋体" w:cs="宋体"/>
                <w:snapToGrid w:val="0"/>
                <w:szCs w:val="21"/>
              </w:rPr>
              <w:t>）</w:t>
            </w:r>
          </w:p>
        </w:tc>
        <w:tc>
          <w:tcPr>
            <w:tcW w:w="3130" w:type="dxa"/>
            <w:noWrap w:val="0"/>
            <w:vAlign w:val="top"/>
          </w:tcPr>
          <w:p w14:paraId="1BBE1911">
            <w:pPr>
              <w:spacing w:line="400" w:lineRule="exact"/>
              <w:rPr>
                <w:rFonts w:hint="eastAsia" w:ascii="宋体" w:hAnsi="宋体" w:eastAsia="宋体" w:cs="宋体"/>
                <w:snapToGrid w:val="0"/>
                <w:szCs w:val="21"/>
              </w:rPr>
            </w:pPr>
          </w:p>
        </w:tc>
      </w:tr>
      <w:tr w14:paraId="4C06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33969427">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3.6</w:t>
            </w:r>
          </w:p>
        </w:tc>
        <w:tc>
          <w:tcPr>
            <w:tcW w:w="4660" w:type="dxa"/>
            <w:noWrap w:val="0"/>
            <w:vAlign w:val="top"/>
          </w:tcPr>
          <w:p w14:paraId="4EE0B9EE">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电压波形畸变率（%）</w:t>
            </w:r>
          </w:p>
        </w:tc>
        <w:tc>
          <w:tcPr>
            <w:tcW w:w="3130" w:type="dxa"/>
            <w:noWrap w:val="0"/>
            <w:vAlign w:val="top"/>
          </w:tcPr>
          <w:p w14:paraId="3277BB14">
            <w:pPr>
              <w:spacing w:line="400" w:lineRule="exact"/>
              <w:rPr>
                <w:rFonts w:hint="eastAsia" w:ascii="宋体" w:hAnsi="宋体" w:eastAsia="宋体" w:cs="宋体"/>
                <w:snapToGrid w:val="0"/>
                <w:szCs w:val="21"/>
              </w:rPr>
            </w:pPr>
          </w:p>
        </w:tc>
      </w:tr>
      <w:tr w14:paraId="2DCF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1C097483">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3.7</w:t>
            </w:r>
          </w:p>
        </w:tc>
        <w:tc>
          <w:tcPr>
            <w:tcW w:w="7790" w:type="dxa"/>
            <w:gridSpan w:val="2"/>
            <w:noWrap w:val="0"/>
            <w:vAlign w:val="center"/>
          </w:tcPr>
          <w:p w14:paraId="379D2778">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最高温升（应注明测量方法）：</w:t>
            </w:r>
          </w:p>
        </w:tc>
      </w:tr>
      <w:tr w14:paraId="586C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noWrap w:val="0"/>
            <w:vAlign w:val="center"/>
          </w:tcPr>
          <w:p w14:paraId="31775CBE">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3.7.1</w:t>
            </w:r>
          </w:p>
        </w:tc>
        <w:tc>
          <w:tcPr>
            <w:tcW w:w="4660" w:type="dxa"/>
            <w:noWrap w:val="0"/>
            <w:vAlign w:val="top"/>
          </w:tcPr>
          <w:p w14:paraId="17FF7DE7">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定子铁芯（K）</w:t>
            </w:r>
          </w:p>
        </w:tc>
        <w:tc>
          <w:tcPr>
            <w:tcW w:w="3130" w:type="dxa"/>
            <w:noWrap w:val="0"/>
            <w:vAlign w:val="top"/>
          </w:tcPr>
          <w:p w14:paraId="3EDC2C14">
            <w:pPr>
              <w:spacing w:line="400" w:lineRule="exact"/>
              <w:rPr>
                <w:rFonts w:hint="eastAsia" w:ascii="宋体" w:hAnsi="宋体" w:eastAsia="宋体" w:cs="宋体"/>
                <w:snapToGrid w:val="0"/>
                <w:szCs w:val="21"/>
              </w:rPr>
            </w:pPr>
          </w:p>
        </w:tc>
      </w:tr>
      <w:tr w14:paraId="2D4C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22A6A453">
            <w:pPr>
              <w:spacing w:line="400" w:lineRule="exact"/>
              <w:jc w:val="center"/>
              <w:rPr>
                <w:rFonts w:hint="eastAsia" w:ascii="宋体" w:hAnsi="宋体" w:eastAsia="宋体" w:cs="宋体"/>
                <w:snapToGrid w:val="0"/>
                <w:szCs w:val="21"/>
              </w:rPr>
            </w:pPr>
          </w:p>
        </w:tc>
        <w:tc>
          <w:tcPr>
            <w:tcW w:w="4660" w:type="dxa"/>
            <w:noWrap w:val="0"/>
            <w:vAlign w:val="top"/>
          </w:tcPr>
          <w:p w14:paraId="27FAF4BE">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定子绕组（K）</w:t>
            </w:r>
          </w:p>
        </w:tc>
        <w:tc>
          <w:tcPr>
            <w:tcW w:w="3130" w:type="dxa"/>
            <w:noWrap w:val="0"/>
            <w:vAlign w:val="top"/>
          </w:tcPr>
          <w:p w14:paraId="231B79D7">
            <w:pPr>
              <w:spacing w:line="400" w:lineRule="exact"/>
              <w:rPr>
                <w:rFonts w:hint="eastAsia" w:ascii="宋体" w:hAnsi="宋体" w:eastAsia="宋体" w:cs="宋体"/>
                <w:snapToGrid w:val="0"/>
                <w:szCs w:val="21"/>
              </w:rPr>
            </w:pPr>
          </w:p>
        </w:tc>
      </w:tr>
      <w:tr w14:paraId="3143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5634B406">
            <w:pPr>
              <w:spacing w:line="400" w:lineRule="exact"/>
              <w:jc w:val="center"/>
              <w:rPr>
                <w:rFonts w:hint="eastAsia" w:ascii="宋体" w:hAnsi="宋体" w:eastAsia="宋体" w:cs="宋体"/>
                <w:snapToGrid w:val="0"/>
                <w:szCs w:val="21"/>
              </w:rPr>
            </w:pPr>
          </w:p>
        </w:tc>
        <w:tc>
          <w:tcPr>
            <w:tcW w:w="4660" w:type="dxa"/>
            <w:noWrap w:val="0"/>
            <w:vAlign w:val="top"/>
          </w:tcPr>
          <w:p w14:paraId="6E85B62E">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转子绕组（K）</w:t>
            </w:r>
          </w:p>
        </w:tc>
        <w:tc>
          <w:tcPr>
            <w:tcW w:w="3130" w:type="dxa"/>
            <w:noWrap w:val="0"/>
            <w:vAlign w:val="top"/>
          </w:tcPr>
          <w:p w14:paraId="16A52B20">
            <w:pPr>
              <w:spacing w:line="400" w:lineRule="exact"/>
              <w:rPr>
                <w:rFonts w:hint="eastAsia" w:ascii="宋体" w:hAnsi="宋体" w:eastAsia="宋体" w:cs="宋体"/>
                <w:snapToGrid w:val="0"/>
                <w:szCs w:val="21"/>
              </w:rPr>
            </w:pPr>
          </w:p>
        </w:tc>
      </w:tr>
      <w:tr w14:paraId="3260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noWrap w:val="0"/>
            <w:vAlign w:val="center"/>
          </w:tcPr>
          <w:p w14:paraId="06E18FC5">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3.7.2</w:t>
            </w:r>
          </w:p>
        </w:tc>
        <w:tc>
          <w:tcPr>
            <w:tcW w:w="4660" w:type="dxa"/>
            <w:noWrap w:val="0"/>
            <w:vAlign w:val="top"/>
          </w:tcPr>
          <w:p w14:paraId="55A2A2EF">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推力轴承轴瓦最高温升（K）</w:t>
            </w:r>
          </w:p>
        </w:tc>
        <w:tc>
          <w:tcPr>
            <w:tcW w:w="3130" w:type="dxa"/>
            <w:noWrap w:val="0"/>
            <w:vAlign w:val="top"/>
          </w:tcPr>
          <w:p w14:paraId="55AF129C">
            <w:pPr>
              <w:spacing w:line="400" w:lineRule="exact"/>
              <w:rPr>
                <w:rFonts w:hint="eastAsia" w:ascii="宋体" w:hAnsi="宋体" w:eastAsia="宋体" w:cs="宋体"/>
                <w:snapToGrid w:val="0"/>
                <w:szCs w:val="21"/>
              </w:rPr>
            </w:pPr>
          </w:p>
        </w:tc>
      </w:tr>
      <w:tr w14:paraId="212F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665E158B">
            <w:pPr>
              <w:spacing w:line="400" w:lineRule="exact"/>
              <w:jc w:val="center"/>
              <w:rPr>
                <w:rFonts w:hint="eastAsia" w:ascii="宋体" w:hAnsi="宋体" w:eastAsia="宋体" w:cs="宋体"/>
                <w:snapToGrid w:val="0"/>
                <w:szCs w:val="21"/>
              </w:rPr>
            </w:pPr>
          </w:p>
        </w:tc>
        <w:tc>
          <w:tcPr>
            <w:tcW w:w="4660" w:type="dxa"/>
            <w:noWrap w:val="0"/>
            <w:vAlign w:val="top"/>
          </w:tcPr>
          <w:p w14:paraId="35EEE31F">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导轴承轴瓦最高温升（K）</w:t>
            </w:r>
          </w:p>
        </w:tc>
        <w:tc>
          <w:tcPr>
            <w:tcW w:w="3130" w:type="dxa"/>
            <w:noWrap w:val="0"/>
            <w:vAlign w:val="top"/>
          </w:tcPr>
          <w:p w14:paraId="28A0478C">
            <w:pPr>
              <w:spacing w:line="400" w:lineRule="exact"/>
              <w:rPr>
                <w:rFonts w:hint="eastAsia" w:ascii="宋体" w:hAnsi="宋体" w:eastAsia="宋体" w:cs="宋体"/>
                <w:snapToGrid w:val="0"/>
                <w:szCs w:val="21"/>
              </w:rPr>
            </w:pPr>
          </w:p>
        </w:tc>
      </w:tr>
      <w:tr w14:paraId="0D23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73EFE07C">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3.9</w:t>
            </w:r>
          </w:p>
        </w:tc>
        <w:tc>
          <w:tcPr>
            <w:tcW w:w="4660" w:type="dxa"/>
            <w:noWrap w:val="0"/>
            <w:vAlign w:val="top"/>
          </w:tcPr>
          <w:p w14:paraId="1739F16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励磁系统电压响应时间（s）</w:t>
            </w:r>
          </w:p>
        </w:tc>
        <w:tc>
          <w:tcPr>
            <w:tcW w:w="3130" w:type="dxa"/>
            <w:noWrap w:val="0"/>
            <w:vAlign w:val="top"/>
          </w:tcPr>
          <w:p w14:paraId="576BDF81">
            <w:pPr>
              <w:spacing w:line="400" w:lineRule="exact"/>
              <w:rPr>
                <w:rFonts w:hint="eastAsia" w:ascii="宋体" w:hAnsi="宋体" w:eastAsia="宋体" w:cs="宋体"/>
                <w:snapToGrid w:val="0"/>
                <w:szCs w:val="21"/>
              </w:rPr>
            </w:pPr>
          </w:p>
        </w:tc>
      </w:tr>
      <w:tr w14:paraId="13C6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27D34AD1">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3.10</w:t>
            </w:r>
          </w:p>
        </w:tc>
        <w:tc>
          <w:tcPr>
            <w:tcW w:w="4660" w:type="dxa"/>
            <w:noWrap w:val="0"/>
            <w:vAlign w:val="top"/>
          </w:tcPr>
          <w:p w14:paraId="4487FBC3">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励磁系统电压反应比</w:t>
            </w:r>
          </w:p>
        </w:tc>
        <w:tc>
          <w:tcPr>
            <w:tcW w:w="3130" w:type="dxa"/>
            <w:noWrap w:val="0"/>
            <w:vAlign w:val="top"/>
          </w:tcPr>
          <w:p w14:paraId="670EB6FF">
            <w:pPr>
              <w:spacing w:line="400" w:lineRule="exact"/>
              <w:rPr>
                <w:rFonts w:hint="eastAsia" w:ascii="宋体" w:hAnsi="宋体" w:eastAsia="宋体" w:cs="宋体"/>
                <w:snapToGrid w:val="0"/>
                <w:szCs w:val="21"/>
              </w:rPr>
            </w:pPr>
          </w:p>
        </w:tc>
      </w:tr>
      <w:tr w14:paraId="1C19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27A2E8AE">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3.11</w:t>
            </w:r>
          </w:p>
        </w:tc>
        <w:tc>
          <w:tcPr>
            <w:tcW w:w="4660" w:type="dxa"/>
            <w:noWrap w:val="0"/>
            <w:vAlign w:val="top"/>
          </w:tcPr>
          <w:p w14:paraId="44300073">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励磁系统顶值电压（V）</w:t>
            </w:r>
          </w:p>
        </w:tc>
        <w:tc>
          <w:tcPr>
            <w:tcW w:w="3130" w:type="dxa"/>
            <w:noWrap w:val="0"/>
            <w:vAlign w:val="top"/>
          </w:tcPr>
          <w:p w14:paraId="5D8C7AB8">
            <w:pPr>
              <w:spacing w:line="400" w:lineRule="exact"/>
              <w:rPr>
                <w:rFonts w:hint="eastAsia" w:ascii="宋体" w:hAnsi="宋体" w:eastAsia="宋体" w:cs="宋体"/>
                <w:snapToGrid w:val="0"/>
                <w:szCs w:val="21"/>
              </w:rPr>
            </w:pPr>
          </w:p>
        </w:tc>
      </w:tr>
      <w:tr w14:paraId="26CB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0B612384">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3.12</w:t>
            </w:r>
          </w:p>
        </w:tc>
        <w:tc>
          <w:tcPr>
            <w:tcW w:w="4660" w:type="dxa"/>
            <w:noWrap w:val="0"/>
            <w:vAlign w:val="top"/>
          </w:tcPr>
          <w:p w14:paraId="110C205F">
            <w:pPr>
              <w:spacing w:line="400" w:lineRule="exact"/>
              <w:rPr>
                <w:rFonts w:hint="eastAsia" w:ascii="宋体" w:hAnsi="宋体" w:eastAsia="宋体" w:cs="宋体"/>
                <w:snapToGrid w:val="0"/>
                <w:szCs w:val="21"/>
              </w:rPr>
            </w:pPr>
            <w:r>
              <w:rPr>
                <w:rFonts w:hint="eastAsia" w:ascii="宋体" w:hAnsi="宋体" w:eastAsia="宋体" w:cs="宋体"/>
                <w:snapToGrid w:val="0"/>
                <w:szCs w:val="21"/>
              </w:rPr>
              <w:t>额定励磁电压（V）</w:t>
            </w:r>
          </w:p>
        </w:tc>
        <w:tc>
          <w:tcPr>
            <w:tcW w:w="3130" w:type="dxa"/>
            <w:noWrap w:val="0"/>
            <w:vAlign w:val="top"/>
          </w:tcPr>
          <w:p w14:paraId="26D6562A">
            <w:pPr>
              <w:spacing w:line="400" w:lineRule="exact"/>
              <w:rPr>
                <w:rFonts w:hint="eastAsia" w:ascii="宋体" w:hAnsi="宋体" w:eastAsia="宋体" w:cs="宋体"/>
                <w:snapToGrid w:val="0"/>
                <w:szCs w:val="21"/>
              </w:rPr>
            </w:pPr>
          </w:p>
        </w:tc>
      </w:tr>
      <w:tr w14:paraId="7B26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3DE218D0">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3.13</w:t>
            </w:r>
          </w:p>
        </w:tc>
        <w:tc>
          <w:tcPr>
            <w:tcW w:w="4660" w:type="dxa"/>
            <w:noWrap w:val="0"/>
            <w:vAlign w:val="top"/>
          </w:tcPr>
          <w:p w14:paraId="3FC388BD">
            <w:pPr>
              <w:spacing w:line="400" w:lineRule="exact"/>
              <w:rPr>
                <w:rFonts w:hint="eastAsia" w:ascii="宋体" w:hAnsi="宋体" w:eastAsia="宋体" w:cs="宋体"/>
                <w:snapToGrid w:val="0"/>
                <w:szCs w:val="21"/>
              </w:rPr>
            </w:pPr>
            <w:r>
              <w:rPr>
                <w:rFonts w:hint="eastAsia" w:ascii="宋体" w:hAnsi="宋体" w:eastAsia="宋体" w:cs="宋体"/>
                <w:snapToGrid w:val="0"/>
                <w:szCs w:val="21"/>
              </w:rPr>
              <w:t>额定励磁电流(A)</w:t>
            </w:r>
          </w:p>
        </w:tc>
        <w:tc>
          <w:tcPr>
            <w:tcW w:w="3130" w:type="dxa"/>
            <w:noWrap w:val="0"/>
            <w:vAlign w:val="top"/>
          </w:tcPr>
          <w:p w14:paraId="7608E218">
            <w:pPr>
              <w:spacing w:line="400" w:lineRule="exact"/>
              <w:rPr>
                <w:rFonts w:hint="eastAsia" w:ascii="宋体" w:hAnsi="宋体" w:eastAsia="宋体" w:cs="宋体"/>
                <w:snapToGrid w:val="0"/>
                <w:szCs w:val="21"/>
              </w:rPr>
            </w:pPr>
          </w:p>
        </w:tc>
      </w:tr>
      <w:tr w14:paraId="2666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614125F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3.14</w:t>
            </w:r>
          </w:p>
        </w:tc>
        <w:tc>
          <w:tcPr>
            <w:tcW w:w="4660" w:type="dxa"/>
            <w:noWrap w:val="0"/>
            <w:vAlign w:val="top"/>
          </w:tcPr>
          <w:p w14:paraId="509EA340">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水轮发电机组固有频率（Hz）</w:t>
            </w:r>
          </w:p>
        </w:tc>
        <w:tc>
          <w:tcPr>
            <w:tcW w:w="3130" w:type="dxa"/>
            <w:noWrap w:val="0"/>
            <w:vAlign w:val="top"/>
          </w:tcPr>
          <w:p w14:paraId="68AAA16E">
            <w:pPr>
              <w:spacing w:line="400" w:lineRule="exact"/>
              <w:rPr>
                <w:rFonts w:hint="eastAsia" w:ascii="宋体" w:hAnsi="宋体" w:eastAsia="宋体" w:cs="宋体"/>
                <w:snapToGrid w:val="0"/>
                <w:szCs w:val="21"/>
              </w:rPr>
            </w:pPr>
          </w:p>
        </w:tc>
      </w:tr>
      <w:tr w14:paraId="03F9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4B04CC62">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3.15</w:t>
            </w:r>
          </w:p>
        </w:tc>
        <w:tc>
          <w:tcPr>
            <w:tcW w:w="4660" w:type="dxa"/>
            <w:noWrap w:val="0"/>
            <w:vAlign w:val="top"/>
          </w:tcPr>
          <w:p w14:paraId="6DF58A9A">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发电机整机起晕电压（kV）</w:t>
            </w:r>
          </w:p>
        </w:tc>
        <w:tc>
          <w:tcPr>
            <w:tcW w:w="3130" w:type="dxa"/>
            <w:noWrap w:val="0"/>
            <w:vAlign w:val="top"/>
          </w:tcPr>
          <w:p w14:paraId="23AED43F">
            <w:pPr>
              <w:spacing w:line="400" w:lineRule="exact"/>
              <w:rPr>
                <w:rFonts w:hint="eastAsia" w:ascii="宋体" w:hAnsi="宋体" w:eastAsia="宋体" w:cs="宋体"/>
                <w:snapToGrid w:val="0"/>
                <w:szCs w:val="21"/>
              </w:rPr>
            </w:pPr>
          </w:p>
        </w:tc>
      </w:tr>
      <w:tr w14:paraId="00AD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18B218DB">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3.16</w:t>
            </w:r>
          </w:p>
        </w:tc>
        <w:tc>
          <w:tcPr>
            <w:tcW w:w="4660" w:type="dxa"/>
            <w:noWrap w:val="0"/>
            <w:vAlign w:val="top"/>
          </w:tcPr>
          <w:p w14:paraId="1682BDA7">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发电机在105%额定电压、三相短路，磁场断路器跳闸后，励磁电流从最大可调值减小到10%额定值时所需的时间（s）</w:t>
            </w:r>
          </w:p>
        </w:tc>
        <w:tc>
          <w:tcPr>
            <w:tcW w:w="3130" w:type="dxa"/>
            <w:noWrap w:val="0"/>
            <w:vAlign w:val="top"/>
          </w:tcPr>
          <w:p w14:paraId="566D1D93">
            <w:pPr>
              <w:spacing w:line="400" w:lineRule="exact"/>
              <w:rPr>
                <w:rFonts w:hint="eastAsia" w:ascii="宋体" w:hAnsi="宋体" w:eastAsia="宋体" w:cs="宋体"/>
                <w:snapToGrid w:val="0"/>
                <w:szCs w:val="21"/>
              </w:rPr>
            </w:pPr>
          </w:p>
        </w:tc>
      </w:tr>
      <w:tr w14:paraId="3393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1840FBB6">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3.17</w:t>
            </w:r>
          </w:p>
        </w:tc>
        <w:tc>
          <w:tcPr>
            <w:tcW w:w="4660" w:type="dxa"/>
            <w:noWrap w:val="0"/>
            <w:vAlign w:val="top"/>
          </w:tcPr>
          <w:p w14:paraId="76A8280A">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在上述条件下，转子绕组最大电压值（V）</w:t>
            </w:r>
          </w:p>
        </w:tc>
        <w:tc>
          <w:tcPr>
            <w:tcW w:w="3130" w:type="dxa"/>
            <w:noWrap w:val="0"/>
            <w:vAlign w:val="top"/>
          </w:tcPr>
          <w:p w14:paraId="58A1F5E4">
            <w:pPr>
              <w:spacing w:line="400" w:lineRule="exact"/>
              <w:rPr>
                <w:rFonts w:hint="eastAsia" w:ascii="宋体" w:hAnsi="宋体" w:eastAsia="宋体" w:cs="宋体"/>
                <w:snapToGrid w:val="0"/>
                <w:szCs w:val="21"/>
              </w:rPr>
            </w:pPr>
          </w:p>
        </w:tc>
      </w:tr>
      <w:tr w14:paraId="4D8F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42449824">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3.18</w:t>
            </w:r>
          </w:p>
        </w:tc>
        <w:tc>
          <w:tcPr>
            <w:tcW w:w="4660" w:type="dxa"/>
            <w:noWrap w:val="0"/>
            <w:vAlign w:val="top"/>
          </w:tcPr>
          <w:p w14:paraId="42668F09">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强励输出顶值电流时，励磁电源变压器次级侧输出的电压值（线电压）（V）</w:t>
            </w:r>
          </w:p>
        </w:tc>
        <w:tc>
          <w:tcPr>
            <w:tcW w:w="3130" w:type="dxa"/>
            <w:noWrap w:val="0"/>
            <w:vAlign w:val="top"/>
          </w:tcPr>
          <w:p w14:paraId="12795176">
            <w:pPr>
              <w:spacing w:line="400" w:lineRule="exact"/>
              <w:rPr>
                <w:rFonts w:hint="eastAsia" w:ascii="宋体" w:hAnsi="宋体" w:eastAsia="宋体" w:cs="宋体"/>
                <w:snapToGrid w:val="0"/>
                <w:szCs w:val="21"/>
              </w:rPr>
            </w:pPr>
          </w:p>
        </w:tc>
      </w:tr>
      <w:tr w14:paraId="0F89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3F608750">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4</w:t>
            </w:r>
          </w:p>
        </w:tc>
        <w:tc>
          <w:tcPr>
            <w:tcW w:w="7790" w:type="dxa"/>
            <w:gridSpan w:val="2"/>
            <w:noWrap w:val="0"/>
            <w:vAlign w:val="top"/>
          </w:tcPr>
          <w:p w14:paraId="634DF9C6">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整机稳定运行性能保证：在水轮机运行水头范围内，机组保证在电力系统中带各种负荷稳定运行，在孤立电网中空载运行稳定：</w:t>
            </w:r>
          </w:p>
        </w:tc>
      </w:tr>
      <w:tr w14:paraId="6F41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noWrap w:val="0"/>
            <w:vAlign w:val="center"/>
          </w:tcPr>
          <w:p w14:paraId="59ECEFAA">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4.1</w:t>
            </w:r>
          </w:p>
        </w:tc>
        <w:tc>
          <w:tcPr>
            <w:tcW w:w="4660" w:type="dxa"/>
            <w:noWrap w:val="0"/>
            <w:vAlign w:val="top"/>
          </w:tcPr>
          <w:p w14:paraId="40DD2296">
            <w:pPr>
              <w:spacing w:line="400" w:lineRule="exact"/>
              <w:rPr>
                <w:rFonts w:hint="eastAsia" w:ascii="宋体" w:hAnsi="宋体" w:eastAsia="宋体" w:cs="宋体"/>
                <w:snapToGrid w:val="0"/>
                <w:szCs w:val="21"/>
              </w:rPr>
            </w:pPr>
            <w:r>
              <w:rPr>
                <w:rFonts w:hint="eastAsia" w:ascii="宋体" w:hAnsi="宋体" w:eastAsia="宋体" w:cs="宋体"/>
                <w:snapToGrid w:val="0"/>
                <w:szCs w:val="21"/>
              </w:rPr>
              <w:t>转速偏差不超过额定转速的（%）</w:t>
            </w:r>
          </w:p>
        </w:tc>
        <w:tc>
          <w:tcPr>
            <w:tcW w:w="3130" w:type="dxa"/>
            <w:noWrap w:val="0"/>
            <w:vAlign w:val="center"/>
          </w:tcPr>
          <w:p w14:paraId="64A6CE8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 ±</w:t>
            </w:r>
          </w:p>
        </w:tc>
      </w:tr>
      <w:tr w14:paraId="5EBF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77BA393B">
            <w:pPr>
              <w:spacing w:line="400" w:lineRule="exact"/>
              <w:jc w:val="center"/>
              <w:rPr>
                <w:rFonts w:hint="eastAsia" w:ascii="宋体" w:hAnsi="宋体" w:eastAsia="宋体" w:cs="宋体"/>
                <w:snapToGrid w:val="0"/>
                <w:szCs w:val="21"/>
              </w:rPr>
            </w:pPr>
          </w:p>
        </w:tc>
        <w:tc>
          <w:tcPr>
            <w:tcW w:w="4660" w:type="dxa"/>
            <w:noWrap w:val="0"/>
            <w:vAlign w:val="top"/>
          </w:tcPr>
          <w:p w14:paraId="4D41852D">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发电机导轴承支架的水平振动(双振幅)不超过（mm）</w:t>
            </w:r>
          </w:p>
        </w:tc>
        <w:tc>
          <w:tcPr>
            <w:tcW w:w="3130" w:type="dxa"/>
            <w:noWrap w:val="0"/>
            <w:vAlign w:val="center"/>
          </w:tcPr>
          <w:p w14:paraId="04533293">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34C5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56A6E192">
            <w:pPr>
              <w:spacing w:line="400" w:lineRule="exact"/>
              <w:rPr>
                <w:rFonts w:hint="eastAsia" w:ascii="宋体" w:hAnsi="宋体" w:eastAsia="宋体" w:cs="宋体"/>
                <w:snapToGrid w:val="0"/>
                <w:szCs w:val="21"/>
              </w:rPr>
            </w:pPr>
          </w:p>
        </w:tc>
        <w:tc>
          <w:tcPr>
            <w:tcW w:w="4660" w:type="dxa"/>
            <w:noWrap w:val="0"/>
            <w:vAlign w:val="top"/>
          </w:tcPr>
          <w:p w14:paraId="4540E0E0">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发电机推力轴承支架的垂直振动(双振幅)不超过（mm）</w:t>
            </w:r>
          </w:p>
        </w:tc>
        <w:tc>
          <w:tcPr>
            <w:tcW w:w="3130" w:type="dxa"/>
            <w:noWrap w:val="0"/>
            <w:vAlign w:val="center"/>
          </w:tcPr>
          <w:p w14:paraId="0086BAB4">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593A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noWrap w:val="0"/>
            <w:vAlign w:val="center"/>
          </w:tcPr>
          <w:p w14:paraId="7681E053">
            <w:pPr>
              <w:spacing w:line="400" w:lineRule="exact"/>
              <w:rPr>
                <w:rFonts w:hint="eastAsia" w:ascii="宋体" w:hAnsi="宋体" w:eastAsia="宋体" w:cs="宋体"/>
                <w:snapToGrid w:val="0"/>
                <w:szCs w:val="21"/>
              </w:rPr>
            </w:pPr>
          </w:p>
        </w:tc>
        <w:tc>
          <w:tcPr>
            <w:tcW w:w="4660" w:type="dxa"/>
            <w:noWrap w:val="0"/>
            <w:vAlign w:val="top"/>
          </w:tcPr>
          <w:p w14:paraId="55560627">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发电机上盖板以上1m处的平均声压级不超过（dB(A)）</w:t>
            </w:r>
          </w:p>
        </w:tc>
        <w:tc>
          <w:tcPr>
            <w:tcW w:w="3130" w:type="dxa"/>
            <w:noWrap w:val="0"/>
            <w:vAlign w:val="center"/>
          </w:tcPr>
          <w:p w14:paraId="66435565">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4A98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2EB3C31C">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5</w:t>
            </w:r>
          </w:p>
        </w:tc>
        <w:tc>
          <w:tcPr>
            <w:tcW w:w="4660" w:type="dxa"/>
            <w:noWrap w:val="0"/>
            <w:vAlign w:val="top"/>
          </w:tcPr>
          <w:p w14:paraId="6C5D473B">
            <w:pPr>
              <w:spacing w:line="400" w:lineRule="exact"/>
              <w:rPr>
                <w:rFonts w:hint="eastAsia" w:ascii="宋体" w:hAnsi="宋体" w:eastAsia="宋体" w:cs="宋体"/>
                <w:snapToGrid w:val="0"/>
                <w:szCs w:val="21"/>
              </w:rPr>
            </w:pPr>
            <w:r>
              <w:rPr>
                <w:rFonts w:hint="eastAsia" w:ascii="宋体" w:hAnsi="宋体" w:eastAsia="宋体" w:cs="宋体"/>
                <w:snapToGrid w:val="0"/>
                <w:spacing w:val="6"/>
                <w:szCs w:val="20"/>
              </w:rPr>
              <w:t>齿盘转速装置精度为（%）</w:t>
            </w:r>
          </w:p>
        </w:tc>
        <w:tc>
          <w:tcPr>
            <w:tcW w:w="3130" w:type="dxa"/>
            <w:noWrap w:val="0"/>
            <w:vAlign w:val="center"/>
          </w:tcPr>
          <w:p w14:paraId="5CF3D2F7">
            <w:pPr>
              <w:spacing w:line="400" w:lineRule="exact"/>
              <w:rPr>
                <w:rFonts w:hint="eastAsia" w:ascii="宋体" w:hAnsi="宋体" w:eastAsia="宋体" w:cs="宋体"/>
                <w:snapToGrid w:val="0"/>
                <w:szCs w:val="21"/>
              </w:rPr>
            </w:pPr>
          </w:p>
        </w:tc>
      </w:tr>
      <w:tr w14:paraId="306C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247ECD50">
            <w:pPr>
              <w:spacing w:line="400" w:lineRule="exact"/>
              <w:jc w:val="center"/>
              <w:rPr>
                <w:rFonts w:hint="eastAsia" w:ascii="宋体" w:hAnsi="宋体" w:eastAsia="宋体" w:cs="宋体"/>
                <w:snapToGrid w:val="0"/>
                <w:szCs w:val="21"/>
              </w:rPr>
            </w:pPr>
          </w:p>
        </w:tc>
        <w:tc>
          <w:tcPr>
            <w:tcW w:w="4660" w:type="dxa"/>
            <w:noWrap w:val="0"/>
            <w:vAlign w:val="top"/>
          </w:tcPr>
          <w:p w14:paraId="107842EC">
            <w:pPr>
              <w:spacing w:line="400" w:lineRule="exact"/>
              <w:rPr>
                <w:rFonts w:hint="eastAsia" w:ascii="宋体" w:hAnsi="宋体" w:eastAsia="宋体" w:cs="宋体"/>
                <w:snapToGrid w:val="0"/>
                <w:spacing w:val="6"/>
                <w:szCs w:val="20"/>
              </w:rPr>
            </w:pPr>
            <w:r>
              <w:rPr>
                <w:rFonts w:hint="eastAsia" w:ascii="宋体" w:hAnsi="宋体" w:eastAsia="宋体" w:cs="宋体"/>
                <w:snapToGrid w:val="0"/>
                <w:spacing w:val="6"/>
                <w:szCs w:val="20"/>
              </w:rPr>
              <w:t>大修间隔时间（年）</w:t>
            </w:r>
          </w:p>
        </w:tc>
        <w:tc>
          <w:tcPr>
            <w:tcW w:w="3130" w:type="dxa"/>
            <w:noWrap w:val="0"/>
            <w:vAlign w:val="center"/>
          </w:tcPr>
          <w:p w14:paraId="0531193C">
            <w:pPr>
              <w:spacing w:line="400" w:lineRule="exact"/>
              <w:rPr>
                <w:rFonts w:hint="eastAsia" w:ascii="宋体" w:hAnsi="宋体" w:eastAsia="宋体" w:cs="宋体"/>
                <w:snapToGrid w:val="0"/>
                <w:szCs w:val="21"/>
              </w:rPr>
            </w:pPr>
          </w:p>
        </w:tc>
      </w:tr>
      <w:tr w14:paraId="37BB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14:paraId="363F467A">
            <w:pPr>
              <w:spacing w:line="400" w:lineRule="exact"/>
              <w:jc w:val="center"/>
              <w:rPr>
                <w:rFonts w:hint="eastAsia" w:ascii="宋体" w:hAnsi="宋体" w:eastAsia="宋体" w:cs="宋体"/>
                <w:snapToGrid w:val="0"/>
                <w:szCs w:val="21"/>
              </w:rPr>
            </w:pPr>
          </w:p>
        </w:tc>
        <w:tc>
          <w:tcPr>
            <w:tcW w:w="4660" w:type="dxa"/>
            <w:noWrap w:val="0"/>
            <w:vAlign w:val="top"/>
          </w:tcPr>
          <w:p w14:paraId="3D913097">
            <w:pPr>
              <w:spacing w:line="400" w:lineRule="exact"/>
              <w:rPr>
                <w:rFonts w:hint="eastAsia" w:ascii="宋体" w:hAnsi="宋体" w:eastAsia="宋体" w:cs="宋体"/>
                <w:snapToGrid w:val="0"/>
                <w:spacing w:val="6"/>
                <w:szCs w:val="20"/>
              </w:rPr>
            </w:pPr>
            <w:r>
              <w:rPr>
                <w:rFonts w:hint="eastAsia" w:ascii="宋体" w:hAnsi="宋体" w:eastAsia="宋体" w:cs="宋体"/>
                <w:snapToGrid w:val="0"/>
                <w:kern w:val="0"/>
                <w:sz w:val="24"/>
                <w:szCs w:val="24"/>
              </w:rPr>
              <w:t>退役前的使用期限（年）</w:t>
            </w:r>
          </w:p>
        </w:tc>
        <w:tc>
          <w:tcPr>
            <w:tcW w:w="3130" w:type="dxa"/>
            <w:noWrap w:val="0"/>
            <w:vAlign w:val="center"/>
          </w:tcPr>
          <w:p w14:paraId="08095B81">
            <w:pPr>
              <w:spacing w:line="400" w:lineRule="exact"/>
              <w:rPr>
                <w:rFonts w:hint="eastAsia" w:ascii="宋体" w:hAnsi="宋体" w:eastAsia="宋体" w:cs="宋体"/>
                <w:snapToGrid w:val="0"/>
                <w:szCs w:val="21"/>
              </w:rPr>
            </w:pPr>
          </w:p>
        </w:tc>
      </w:tr>
    </w:tbl>
    <w:p w14:paraId="296325C7">
      <w:pPr>
        <w:rPr>
          <w:rFonts w:hint="eastAsia" w:ascii="宋体" w:hAnsi="宋体" w:eastAsia="宋体" w:cs="宋体"/>
        </w:rPr>
      </w:pPr>
    </w:p>
    <w:p w14:paraId="62C0B6FC">
      <w:pPr>
        <w:keepNext/>
        <w:outlineLvl w:val="1"/>
        <w:rPr>
          <w:rFonts w:hint="eastAsia" w:ascii="宋体" w:hAnsi="宋体" w:eastAsia="宋体" w:cs="宋体"/>
          <w:sz w:val="28"/>
          <w:szCs w:val="28"/>
        </w:rPr>
      </w:pPr>
      <w:r>
        <w:rPr>
          <w:rFonts w:hint="eastAsia" w:ascii="宋体" w:hAnsi="宋体" w:eastAsia="宋体" w:cs="宋体"/>
          <w:sz w:val="28"/>
          <w:szCs w:val="28"/>
        </w:rPr>
        <w:t>2.3 发电机技术明细表</w:t>
      </w:r>
    </w:p>
    <w:tbl>
      <w:tblPr>
        <w:tblStyle w:val="65"/>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3925"/>
        <w:gridCol w:w="3509"/>
      </w:tblGrid>
      <w:tr w14:paraId="7828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6AAE4D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序号</w:t>
            </w:r>
          </w:p>
        </w:tc>
        <w:tc>
          <w:tcPr>
            <w:tcW w:w="3925" w:type="dxa"/>
            <w:noWrap w:val="0"/>
            <w:vAlign w:val="top"/>
          </w:tcPr>
          <w:p w14:paraId="53D1204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项目</w:t>
            </w:r>
          </w:p>
        </w:tc>
        <w:tc>
          <w:tcPr>
            <w:tcW w:w="3509" w:type="dxa"/>
            <w:noWrap w:val="0"/>
            <w:vAlign w:val="top"/>
          </w:tcPr>
          <w:p w14:paraId="124EF99B">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参数</w:t>
            </w:r>
          </w:p>
        </w:tc>
      </w:tr>
      <w:tr w14:paraId="7376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C980719">
            <w:pPr>
              <w:spacing w:line="400" w:lineRule="exact"/>
              <w:rPr>
                <w:rFonts w:hint="eastAsia" w:ascii="宋体" w:hAnsi="宋体" w:eastAsia="宋体" w:cs="宋体"/>
                <w:snapToGrid w:val="0"/>
                <w:szCs w:val="21"/>
              </w:rPr>
            </w:pPr>
            <w:r>
              <w:rPr>
                <w:rFonts w:hint="eastAsia" w:ascii="宋体" w:hAnsi="宋体" w:eastAsia="宋体" w:cs="宋体"/>
                <w:snapToGrid w:val="0"/>
                <w:szCs w:val="21"/>
              </w:rPr>
              <w:t>1</w:t>
            </w:r>
          </w:p>
        </w:tc>
        <w:tc>
          <w:tcPr>
            <w:tcW w:w="3925" w:type="dxa"/>
            <w:noWrap w:val="0"/>
            <w:vAlign w:val="top"/>
          </w:tcPr>
          <w:p w14:paraId="2E236403">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水轮发电机型式及型号</w:t>
            </w:r>
          </w:p>
        </w:tc>
        <w:tc>
          <w:tcPr>
            <w:tcW w:w="3509" w:type="dxa"/>
            <w:noWrap w:val="0"/>
            <w:vAlign w:val="top"/>
          </w:tcPr>
          <w:p w14:paraId="59350EDE">
            <w:pPr>
              <w:spacing w:line="400" w:lineRule="exact"/>
              <w:rPr>
                <w:rFonts w:hint="eastAsia" w:ascii="宋体" w:hAnsi="宋体" w:eastAsia="宋体" w:cs="宋体"/>
                <w:snapToGrid w:val="0"/>
                <w:szCs w:val="21"/>
              </w:rPr>
            </w:pPr>
          </w:p>
        </w:tc>
      </w:tr>
      <w:tr w14:paraId="5783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B9E7D1B">
            <w:pPr>
              <w:spacing w:line="400" w:lineRule="exact"/>
              <w:rPr>
                <w:rFonts w:hint="eastAsia" w:ascii="宋体" w:hAnsi="宋体" w:eastAsia="宋体" w:cs="宋体"/>
                <w:snapToGrid w:val="0"/>
                <w:szCs w:val="21"/>
              </w:rPr>
            </w:pPr>
            <w:r>
              <w:rPr>
                <w:rFonts w:hint="eastAsia" w:ascii="宋体" w:hAnsi="宋体" w:eastAsia="宋体" w:cs="宋体"/>
                <w:snapToGrid w:val="0"/>
                <w:szCs w:val="21"/>
              </w:rPr>
              <w:t>2</w:t>
            </w:r>
          </w:p>
        </w:tc>
        <w:tc>
          <w:tcPr>
            <w:tcW w:w="3925" w:type="dxa"/>
            <w:noWrap w:val="0"/>
            <w:vAlign w:val="top"/>
          </w:tcPr>
          <w:p w14:paraId="67F25504">
            <w:pPr>
              <w:spacing w:line="400" w:lineRule="exact"/>
              <w:rPr>
                <w:rFonts w:hint="eastAsia" w:ascii="宋体" w:hAnsi="宋体" w:eastAsia="宋体" w:cs="宋体"/>
                <w:szCs w:val="21"/>
              </w:rPr>
            </w:pPr>
            <w:r>
              <w:rPr>
                <w:rFonts w:hint="eastAsia" w:ascii="宋体" w:hAnsi="宋体" w:eastAsia="宋体" w:cs="宋体"/>
                <w:snapToGrid w:val="0"/>
                <w:szCs w:val="21"/>
              </w:rPr>
              <w:t>额定电压（kV）</w:t>
            </w:r>
          </w:p>
        </w:tc>
        <w:tc>
          <w:tcPr>
            <w:tcW w:w="3509" w:type="dxa"/>
            <w:noWrap w:val="0"/>
            <w:vAlign w:val="top"/>
          </w:tcPr>
          <w:p w14:paraId="6A9FD23A">
            <w:pPr>
              <w:spacing w:line="400" w:lineRule="exact"/>
              <w:rPr>
                <w:rFonts w:hint="eastAsia" w:ascii="宋体" w:hAnsi="宋体" w:eastAsia="宋体" w:cs="宋体"/>
                <w:snapToGrid w:val="0"/>
                <w:szCs w:val="21"/>
              </w:rPr>
            </w:pPr>
          </w:p>
        </w:tc>
      </w:tr>
      <w:tr w14:paraId="712E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64B9B6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3</w:t>
            </w:r>
          </w:p>
        </w:tc>
        <w:tc>
          <w:tcPr>
            <w:tcW w:w="3925" w:type="dxa"/>
            <w:noWrap w:val="0"/>
            <w:vAlign w:val="top"/>
          </w:tcPr>
          <w:p w14:paraId="4A34FD11">
            <w:pPr>
              <w:spacing w:line="400" w:lineRule="exact"/>
              <w:rPr>
                <w:rFonts w:hint="eastAsia" w:ascii="宋体" w:hAnsi="宋体" w:eastAsia="宋体" w:cs="宋体"/>
                <w:snapToGrid w:val="0"/>
                <w:szCs w:val="21"/>
              </w:rPr>
            </w:pPr>
            <w:r>
              <w:rPr>
                <w:rFonts w:hint="eastAsia" w:ascii="宋体" w:hAnsi="宋体" w:eastAsia="宋体" w:cs="宋体"/>
                <w:snapToGrid w:val="0"/>
                <w:szCs w:val="21"/>
              </w:rPr>
              <w:t>额定电流（A）</w:t>
            </w:r>
          </w:p>
        </w:tc>
        <w:tc>
          <w:tcPr>
            <w:tcW w:w="3509" w:type="dxa"/>
            <w:noWrap w:val="0"/>
            <w:vAlign w:val="top"/>
          </w:tcPr>
          <w:p w14:paraId="61AF1291">
            <w:pPr>
              <w:spacing w:line="400" w:lineRule="exact"/>
              <w:rPr>
                <w:rFonts w:hint="eastAsia" w:ascii="宋体" w:hAnsi="宋体" w:eastAsia="宋体" w:cs="宋体"/>
                <w:snapToGrid w:val="0"/>
                <w:szCs w:val="21"/>
              </w:rPr>
            </w:pPr>
          </w:p>
        </w:tc>
      </w:tr>
      <w:tr w14:paraId="4714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7056051">
            <w:pPr>
              <w:spacing w:line="400" w:lineRule="exact"/>
              <w:rPr>
                <w:rFonts w:hint="eastAsia" w:ascii="宋体" w:hAnsi="宋体" w:eastAsia="宋体" w:cs="宋体"/>
                <w:snapToGrid w:val="0"/>
                <w:szCs w:val="21"/>
              </w:rPr>
            </w:pPr>
            <w:r>
              <w:rPr>
                <w:rFonts w:hint="eastAsia" w:ascii="宋体" w:hAnsi="宋体" w:eastAsia="宋体" w:cs="宋体"/>
                <w:snapToGrid w:val="0"/>
                <w:szCs w:val="21"/>
              </w:rPr>
              <w:t>4</w:t>
            </w:r>
          </w:p>
        </w:tc>
        <w:tc>
          <w:tcPr>
            <w:tcW w:w="3925" w:type="dxa"/>
            <w:noWrap w:val="0"/>
            <w:vAlign w:val="top"/>
          </w:tcPr>
          <w:p w14:paraId="2A986A51">
            <w:pPr>
              <w:tabs>
                <w:tab w:val="left" w:pos="714"/>
              </w:tabs>
              <w:spacing w:line="400" w:lineRule="exact"/>
              <w:rPr>
                <w:rFonts w:hint="eastAsia" w:ascii="宋体" w:hAnsi="宋体" w:eastAsia="宋体" w:cs="宋体"/>
                <w:snapToGrid w:val="0"/>
                <w:szCs w:val="21"/>
              </w:rPr>
            </w:pPr>
            <w:r>
              <w:rPr>
                <w:rFonts w:hint="eastAsia" w:ascii="宋体" w:hAnsi="宋体" w:eastAsia="宋体" w:cs="宋体"/>
                <w:snapToGrid w:val="0"/>
                <w:szCs w:val="21"/>
              </w:rPr>
              <w:t>额定频率（Hz）</w:t>
            </w:r>
          </w:p>
        </w:tc>
        <w:tc>
          <w:tcPr>
            <w:tcW w:w="3509" w:type="dxa"/>
            <w:noWrap w:val="0"/>
            <w:vAlign w:val="top"/>
          </w:tcPr>
          <w:p w14:paraId="4C720041">
            <w:pPr>
              <w:spacing w:line="400" w:lineRule="exact"/>
              <w:rPr>
                <w:rFonts w:hint="eastAsia" w:ascii="宋体" w:hAnsi="宋体" w:eastAsia="宋体" w:cs="宋体"/>
                <w:snapToGrid w:val="0"/>
                <w:szCs w:val="21"/>
              </w:rPr>
            </w:pPr>
          </w:p>
        </w:tc>
      </w:tr>
      <w:tr w14:paraId="2ADC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763837E">
            <w:pPr>
              <w:spacing w:line="400" w:lineRule="exact"/>
              <w:rPr>
                <w:rFonts w:hint="eastAsia" w:ascii="宋体" w:hAnsi="宋体" w:eastAsia="宋体" w:cs="宋体"/>
                <w:snapToGrid w:val="0"/>
                <w:szCs w:val="21"/>
              </w:rPr>
            </w:pPr>
            <w:r>
              <w:rPr>
                <w:rFonts w:hint="eastAsia" w:ascii="宋体" w:hAnsi="宋体" w:eastAsia="宋体" w:cs="宋体"/>
                <w:snapToGrid w:val="0"/>
                <w:szCs w:val="21"/>
              </w:rPr>
              <w:t>5</w:t>
            </w:r>
          </w:p>
        </w:tc>
        <w:tc>
          <w:tcPr>
            <w:tcW w:w="3925" w:type="dxa"/>
            <w:noWrap w:val="0"/>
            <w:vAlign w:val="top"/>
          </w:tcPr>
          <w:p w14:paraId="051EBD60">
            <w:pPr>
              <w:spacing w:line="400" w:lineRule="exact"/>
              <w:rPr>
                <w:rFonts w:hint="eastAsia" w:ascii="宋体" w:hAnsi="宋体" w:eastAsia="宋体" w:cs="宋体"/>
                <w:snapToGrid w:val="0"/>
                <w:szCs w:val="21"/>
              </w:rPr>
            </w:pPr>
            <w:r>
              <w:rPr>
                <w:rFonts w:hint="eastAsia" w:ascii="宋体" w:hAnsi="宋体" w:eastAsia="宋体" w:cs="宋体"/>
                <w:snapToGrid w:val="0"/>
                <w:szCs w:val="21"/>
              </w:rPr>
              <w:t>额定功率因数</w:t>
            </w:r>
          </w:p>
        </w:tc>
        <w:tc>
          <w:tcPr>
            <w:tcW w:w="3509" w:type="dxa"/>
            <w:noWrap w:val="0"/>
            <w:vAlign w:val="top"/>
          </w:tcPr>
          <w:p w14:paraId="6EC9F0E0">
            <w:pPr>
              <w:spacing w:line="400" w:lineRule="exact"/>
              <w:rPr>
                <w:rFonts w:hint="eastAsia" w:ascii="宋体" w:hAnsi="宋体" w:eastAsia="宋体" w:cs="宋体"/>
                <w:snapToGrid w:val="0"/>
                <w:szCs w:val="21"/>
              </w:rPr>
            </w:pPr>
          </w:p>
        </w:tc>
      </w:tr>
      <w:tr w14:paraId="613D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8C77CD9">
            <w:pPr>
              <w:spacing w:line="400" w:lineRule="exact"/>
              <w:rPr>
                <w:rFonts w:hint="eastAsia" w:ascii="宋体" w:hAnsi="宋体" w:eastAsia="宋体" w:cs="宋体"/>
                <w:snapToGrid w:val="0"/>
                <w:szCs w:val="21"/>
              </w:rPr>
            </w:pPr>
            <w:r>
              <w:rPr>
                <w:rFonts w:hint="eastAsia" w:ascii="宋体" w:hAnsi="宋体" w:eastAsia="宋体" w:cs="宋体"/>
                <w:snapToGrid w:val="0"/>
                <w:szCs w:val="21"/>
              </w:rPr>
              <w:t>6</w:t>
            </w:r>
          </w:p>
        </w:tc>
        <w:tc>
          <w:tcPr>
            <w:tcW w:w="3925" w:type="dxa"/>
            <w:noWrap w:val="0"/>
            <w:vAlign w:val="top"/>
          </w:tcPr>
          <w:p w14:paraId="6D0034FB">
            <w:pPr>
              <w:spacing w:line="400" w:lineRule="exact"/>
              <w:rPr>
                <w:rFonts w:hint="eastAsia" w:ascii="宋体" w:hAnsi="宋体" w:eastAsia="宋体" w:cs="宋体"/>
                <w:snapToGrid w:val="0"/>
                <w:szCs w:val="21"/>
              </w:rPr>
            </w:pPr>
            <w:r>
              <w:rPr>
                <w:rFonts w:hint="eastAsia" w:ascii="宋体" w:hAnsi="宋体" w:eastAsia="宋体" w:cs="宋体"/>
                <w:snapToGrid w:val="0"/>
                <w:szCs w:val="21"/>
              </w:rPr>
              <w:t>额定转速（r/min）</w:t>
            </w:r>
          </w:p>
        </w:tc>
        <w:tc>
          <w:tcPr>
            <w:tcW w:w="3509" w:type="dxa"/>
            <w:noWrap w:val="0"/>
            <w:vAlign w:val="top"/>
          </w:tcPr>
          <w:p w14:paraId="6329C235">
            <w:pPr>
              <w:spacing w:line="400" w:lineRule="exact"/>
              <w:rPr>
                <w:rFonts w:hint="eastAsia" w:ascii="宋体" w:hAnsi="宋体" w:eastAsia="宋体" w:cs="宋体"/>
                <w:snapToGrid w:val="0"/>
                <w:szCs w:val="21"/>
              </w:rPr>
            </w:pPr>
          </w:p>
        </w:tc>
      </w:tr>
      <w:tr w14:paraId="23E1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248DDD4">
            <w:pPr>
              <w:spacing w:line="400" w:lineRule="exact"/>
              <w:rPr>
                <w:rFonts w:hint="eastAsia" w:ascii="宋体" w:hAnsi="宋体" w:eastAsia="宋体" w:cs="宋体"/>
                <w:snapToGrid w:val="0"/>
                <w:szCs w:val="21"/>
              </w:rPr>
            </w:pPr>
            <w:r>
              <w:rPr>
                <w:rFonts w:hint="eastAsia" w:ascii="宋体" w:hAnsi="宋体" w:eastAsia="宋体" w:cs="宋体"/>
                <w:snapToGrid w:val="0"/>
                <w:szCs w:val="21"/>
              </w:rPr>
              <w:t>7</w:t>
            </w:r>
          </w:p>
        </w:tc>
        <w:tc>
          <w:tcPr>
            <w:tcW w:w="3925" w:type="dxa"/>
            <w:noWrap w:val="0"/>
            <w:vAlign w:val="top"/>
          </w:tcPr>
          <w:p w14:paraId="5982063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旋转方向（</w:t>
            </w:r>
            <w:r>
              <w:rPr>
                <w:rFonts w:hint="eastAsia" w:ascii="宋体" w:hAnsi="宋体" w:eastAsia="宋体" w:cs="宋体"/>
                <w:szCs w:val="20"/>
              </w:rPr>
              <w:t>从发电机端看向水轮机</w:t>
            </w:r>
            <w:r>
              <w:rPr>
                <w:rFonts w:hint="eastAsia" w:ascii="宋体" w:hAnsi="宋体" w:eastAsia="宋体" w:cs="宋体"/>
                <w:snapToGrid w:val="0"/>
                <w:szCs w:val="21"/>
              </w:rPr>
              <w:t>）</w:t>
            </w:r>
          </w:p>
        </w:tc>
        <w:tc>
          <w:tcPr>
            <w:tcW w:w="3509" w:type="dxa"/>
            <w:noWrap w:val="0"/>
            <w:vAlign w:val="top"/>
          </w:tcPr>
          <w:p w14:paraId="71BD7BA7">
            <w:pPr>
              <w:spacing w:line="400" w:lineRule="exact"/>
              <w:rPr>
                <w:rFonts w:hint="eastAsia" w:ascii="宋体" w:hAnsi="宋体" w:eastAsia="宋体" w:cs="宋体"/>
                <w:snapToGrid w:val="0"/>
                <w:szCs w:val="21"/>
              </w:rPr>
            </w:pPr>
          </w:p>
        </w:tc>
      </w:tr>
      <w:tr w14:paraId="4F5E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5A992A9">
            <w:pPr>
              <w:spacing w:line="400" w:lineRule="exact"/>
              <w:rPr>
                <w:rFonts w:hint="eastAsia" w:ascii="宋体" w:hAnsi="宋体" w:eastAsia="宋体" w:cs="宋体"/>
                <w:snapToGrid w:val="0"/>
                <w:szCs w:val="21"/>
              </w:rPr>
            </w:pPr>
            <w:r>
              <w:rPr>
                <w:rFonts w:hint="eastAsia" w:ascii="宋体" w:hAnsi="宋体" w:eastAsia="宋体" w:cs="宋体"/>
                <w:snapToGrid w:val="0"/>
                <w:szCs w:val="21"/>
              </w:rPr>
              <w:t>8</w:t>
            </w:r>
          </w:p>
        </w:tc>
        <w:tc>
          <w:tcPr>
            <w:tcW w:w="3925" w:type="dxa"/>
            <w:noWrap w:val="0"/>
            <w:vAlign w:val="top"/>
          </w:tcPr>
          <w:p w14:paraId="6027592B">
            <w:pPr>
              <w:spacing w:line="400" w:lineRule="exact"/>
              <w:rPr>
                <w:rFonts w:hint="eastAsia" w:ascii="宋体" w:hAnsi="宋体" w:eastAsia="宋体" w:cs="宋体"/>
                <w:snapToGrid w:val="0"/>
                <w:szCs w:val="21"/>
              </w:rPr>
            </w:pPr>
            <w:r>
              <w:rPr>
                <w:rFonts w:hint="eastAsia" w:ascii="宋体" w:hAnsi="宋体" w:eastAsia="宋体" w:cs="宋体"/>
                <w:snapToGrid w:val="0"/>
                <w:szCs w:val="21"/>
              </w:rPr>
              <w:t>飞逸转速下转动部件的安全系数</w:t>
            </w:r>
          </w:p>
        </w:tc>
        <w:tc>
          <w:tcPr>
            <w:tcW w:w="3509" w:type="dxa"/>
            <w:noWrap w:val="0"/>
            <w:vAlign w:val="top"/>
          </w:tcPr>
          <w:p w14:paraId="4C1DF63F">
            <w:pPr>
              <w:spacing w:line="400" w:lineRule="exact"/>
              <w:rPr>
                <w:rFonts w:hint="eastAsia" w:ascii="宋体" w:hAnsi="宋体" w:eastAsia="宋体" w:cs="宋体"/>
                <w:snapToGrid w:val="0"/>
                <w:szCs w:val="21"/>
              </w:rPr>
            </w:pPr>
          </w:p>
        </w:tc>
      </w:tr>
      <w:tr w14:paraId="13E9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5A284D6">
            <w:pPr>
              <w:spacing w:line="400" w:lineRule="exact"/>
              <w:rPr>
                <w:rFonts w:hint="eastAsia" w:ascii="宋体" w:hAnsi="宋体" w:eastAsia="宋体" w:cs="宋体"/>
                <w:snapToGrid w:val="0"/>
                <w:szCs w:val="21"/>
              </w:rPr>
            </w:pPr>
            <w:r>
              <w:rPr>
                <w:rFonts w:hint="eastAsia" w:ascii="宋体" w:hAnsi="宋体" w:eastAsia="宋体" w:cs="宋体"/>
                <w:snapToGrid w:val="0"/>
                <w:szCs w:val="21"/>
              </w:rPr>
              <w:t>9</w:t>
            </w:r>
          </w:p>
        </w:tc>
        <w:tc>
          <w:tcPr>
            <w:tcW w:w="7434" w:type="dxa"/>
            <w:gridSpan w:val="2"/>
            <w:noWrap w:val="0"/>
            <w:vAlign w:val="top"/>
          </w:tcPr>
          <w:p w14:paraId="26966BA0">
            <w:pPr>
              <w:spacing w:line="400" w:lineRule="exact"/>
              <w:jc w:val="left"/>
              <w:rPr>
                <w:rFonts w:hint="eastAsia" w:ascii="宋体" w:hAnsi="宋体" w:eastAsia="宋体" w:cs="宋体"/>
                <w:snapToGrid w:val="0"/>
                <w:szCs w:val="21"/>
              </w:rPr>
            </w:pPr>
            <w:r>
              <w:rPr>
                <w:rFonts w:hint="eastAsia" w:ascii="宋体" w:hAnsi="宋体" w:eastAsia="宋体" w:cs="宋体"/>
                <w:snapToGrid w:val="0"/>
                <w:szCs w:val="21"/>
              </w:rPr>
              <w:t>电抗及电阻（指发电机额定容量和额定电压时每台机的参数）：</w:t>
            </w:r>
          </w:p>
        </w:tc>
      </w:tr>
      <w:tr w14:paraId="5927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12A4ECF">
            <w:pPr>
              <w:spacing w:line="400" w:lineRule="exact"/>
              <w:rPr>
                <w:rFonts w:hint="eastAsia" w:ascii="宋体" w:hAnsi="宋体" w:eastAsia="宋体" w:cs="宋体"/>
                <w:snapToGrid w:val="0"/>
                <w:szCs w:val="21"/>
              </w:rPr>
            </w:pPr>
          </w:p>
        </w:tc>
        <w:tc>
          <w:tcPr>
            <w:tcW w:w="3925" w:type="dxa"/>
            <w:noWrap w:val="0"/>
            <w:vAlign w:val="top"/>
          </w:tcPr>
          <w:p w14:paraId="2E0F3EBB">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纵轴同步电抗（Xd）（不饱和值）（%）</w:t>
            </w:r>
          </w:p>
        </w:tc>
        <w:tc>
          <w:tcPr>
            <w:tcW w:w="3509" w:type="dxa"/>
            <w:noWrap w:val="0"/>
            <w:vAlign w:val="top"/>
          </w:tcPr>
          <w:p w14:paraId="500CEBF1">
            <w:pPr>
              <w:spacing w:line="400" w:lineRule="exact"/>
              <w:rPr>
                <w:rFonts w:hint="eastAsia" w:ascii="宋体" w:hAnsi="宋体" w:eastAsia="宋体" w:cs="宋体"/>
                <w:snapToGrid w:val="0"/>
                <w:szCs w:val="21"/>
              </w:rPr>
            </w:pPr>
          </w:p>
        </w:tc>
      </w:tr>
      <w:tr w14:paraId="78E6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8CF363B">
            <w:pPr>
              <w:spacing w:line="400" w:lineRule="exact"/>
              <w:rPr>
                <w:rFonts w:hint="eastAsia" w:ascii="宋体" w:hAnsi="宋体" w:eastAsia="宋体" w:cs="宋体"/>
                <w:snapToGrid w:val="0"/>
                <w:szCs w:val="21"/>
              </w:rPr>
            </w:pPr>
          </w:p>
        </w:tc>
        <w:tc>
          <w:tcPr>
            <w:tcW w:w="3925" w:type="dxa"/>
            <w:noWrap w:val="0"/>
            <w:vAlign w:val="top"/>
          </w:tcPr>
          <w:p w14:paraId="36FBD207">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纵轴暂态电抗（X′d）（饱和值）（%）</w:t>
            </w:r>
          </w:p>
        </w:tc>
        <w:tc>
          <w:tcPr>
            <w:tcW w:w="3509" w:type="dxa"/>
            <w:noWrap w:val="0"/>
            <w:vAlign w:val="top"/>
          </w:tcPr>
          <w:p w14:paraId="290345E0">
            <w:pPr>
              <w:spacing w:line="400" w:lineRule="exact"/>
              <w:rPr>
                <w:rFonts w:hint="eastAsia" w:ascii="宋体" w:hAnsi="宋体" w:eastAsia="宋体" w:cs="宋体"/>
                <w:snapToGrid w:val="0"/>
                <w:szCs w:val="21"/>
              </w:rPr>
            </w:pPr>
          </w:p>
        </w:tc>
      </w:tr>
      <w:tr w14:paraId="36A3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9C7BC5B">
            <w:pPr>
              <w:spacing w:line="400" w:lineRule="exact"/>
              <w:rPr>
                <w:rFonts w:hint="eastAsia" w:ascii="宋体" w:hAnsi="宋体" w:eastAsia="宋体" w:cs="宋体"/>
                <w:snapToGrid w:val="0"/>
                <w:szCs w:val="21"/>
              </w:rPr>
            </w:pPr>
          </w:p>
        </w:tc>
        <w:tc>
          <w:tcPr>
            <w:tcW w:w="3925" w:type="dxa"/>
            <w:noWrap w:val="0"/>
            <w:vAlign w:val="top"/>
          </w:tcPr>
          <w:p w14:paraId="36728052">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纵轴次暂态电抗（X″d）（饱和值）（%）</w:t>
            </w:r>
          </w:p>
        </w:tc>
        <w:tc>
          <w:tcPr>
            <w:tcW w:w="3509" w:type="dxa"/>
            <w:noWrap w:val="0"/>
            <w:vAlign w:val="top"/>
          </w:tcPr>
          <w:p w14:paraId="16421E4E">
            <w:pPr>
              <w:spacing w:line="400" w:lineRule="exact"/>
              <w:rPr>
                <w:rFonts w:hint="eastAsia" w:ascii="宋体" w:hAnsi="宋体" w:eastAsia="宋体" w:cs="宋体"/>
                <w:snapToGrid w:val="0"/>
                <w:szCs w:val="21"/>
              </w:rPr>
            </w:pPr>
          </w:p>
        </w:tc>
      </w:tr>
      <w:tr w14:paraId="75DC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382835E">
            <w:pPr>
              <w:spacing w:line="400" w:lineRule="exact"/>
              <w:rPr>
                <w:rFonts w:hint="eastAsia" w:ascii="宋体" w:hAnsi="宋体" w:eastAsia="宋体" w:cs="宋体"/>
                <w:snapToGrid w:val="0"/>
                <w:szCs w:val="21"/>
              </w:rPr>
            </w:pPr>
          </w:p>
        </w:tc>
        <w:tc>
          <w:tcPr>
            <w:tcW w:w="3925" w:type="dxa"/>
            <w:noWrap w:val="0"/>
            <w:vAlign w:val="top"/>
          </w:tcPr>
          <w:p w14:paraId="4D19332B">
            <w:pPr>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横轴同步电抗（Xq）（不饱和值）（%）</w:t>
            </w:r>
          </w:p>
        </w:tc>
        <w:tc>
          <w:tcPr>
            <w:tcW w:w="3509" w:type="dxa"/>
            <w:noWrap w:val="0"/>
            <w:vAlign w:val="top"/>
          </w:tcPr>
          <w:p w14:paraId="2B333FBA">
            <w:pPr>
              <w:spacing w:line="400" w:lineRule="exact"/>
              <w:rPr>
                <w:rFonts w:hint="eastAsia" w:ascii="宋体" w:hAnsi="宋体" w:eastAsia="宋体" w:cs="宋体"/>
                <w:snapToGrid w:val="0"/>
                <w:szCs w:val="21"/>
              </w:rPr>
            </w:pPr>
          </w:p>
        </w:tc>
      </w:tr>
      <w:tr w14:paraId="69C0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F4BF6A0">
            <w:pPr>
              <w:spacing w:line="400" w:lineRule="exact"/>
              <w:rPr>
                <w:rFonts w:hint="eastAsia" w:ascii="宋体" w:hAnsi="宋体" w:eastAsia="宋体" w:cs="宋体"/>
                <w:snapToGrid w:val="0"/>
                <w:szCs w:val="21"/>
              </w:rPr>
            </w:pPr>
          </w:p>
        </w:tc>
        <w:tc>
          <w:tcPr>
            <w:tcW w:w="3925" w:type="dxa"/>
            <w:noWrap w:val="0"/>
            <w:vAlign w:val="top"/>
          </w:tcPr>
          <w:p w14:paraId="0CE9DD44">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横轴暂态电抗（X′q）（饱和值）（%）</w:t>
            </w:r>
          </w:p>
        </w:tc>
        <w:tc>
          <w:tcPr>
            <w:tcW w:w="3509" w:type="dxa"/>
            <w:noWrap w:val="0"/>
            <w:vAlign w:val="top"/>
          </w:tcPr>
          <w:p w14:paraId="105E1D55">
            <w:pPr>
              <w:spacing w:line="400" w:lineRule="exact"/>
              <w:rPr>
                <w:rFonts w:hint="eastAsia" w:ascii="宋体" w:hAnsi="宋体" w:eastAsia="宋体" w:cs="宋体"/>
                <w:snapToGrid w:val="0"/>
                <w:szCs w:val="21"/>
              </w:rPr>
            </w:pPr>
          </w:p>
        </w:tc>
      </w:tr>
      <w:tr w14:paraId="548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C21B4E3">
            <w:pPr>
              <w:spacing w:line="400" w:lineRule="exact"/>
              <w:rPr>
                <w:rFonts w:hint="eastAsia" w:ascii="宋体" w:hAnsi="宋体" w:eastAsia="宋体" w:cs="宋体"/>
                <w:snapToGrid w:val="0"/>
                <w:szCs w:val="21"/>
              </w:rPr>
            </w:pPr>
          </w:p>
        </w:tc>
        <w:tc>
          <w:tcPr>
            <w:tcW w:w="3925" w:type="dxa"/>
            <w:noWrap w:val="0"/>
            <w:vAlign w:val="top"/>
          </w:tcPr>
          <w:p w14:paraId="3A45F518">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横轴次暂态电抗（X″q）（饱和值）（%）</w:t>
            </w:r>
          </w:p>
        </w:tc>
        <w:tc>
          <w:tcPr>
            <w:tcW w:w="3509" w:type="dxa"/>
            <w:noWrap w:val="0"/>
            <w:vAlign w:val="top"/>
          </w:tcPr>
          <w:p w14:paraId="602AE79C">
            <w:pPr>
              <w:spacing w:line="400" w:lineRule="exact"/>
              <w:rPr>
                <w:rFonts w:hint="eastAsia" w:ascii="宋体" w:hAnsi="宋体" w:eastAsia="宋体" w:cs="宋体"/>
                <w:snapToGrid w:val="0"/>
                <w:szCs w:val="21"/>
              </w:rPr>
            </w:pPr>
          </w:p>
        </w:tc>
      </w:tr>
      <w:tr w14:paraId="05AF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2C698E9">
            <w:pPr>
              <w:spacing w:line="400" w:lineRule="exact"/>
              <w:rPr>
                <w:rFonts w:hint="eastAsia" w:ascii="宋体" w:hAnsi="宋体" w:eastAsia="宋体" w:cs="宋体"/>
                <w:snapToGrid w:val="0"/>
                <w:szCs w:val="21"/>
              </w:rPr>
            </w:pPr>
          </w:p>
        </w:tc>
        <w:tc>
          <w:tcPr>
            <w:tcW w:w="3925" w:type="dxa"/>
            <w:noWrap w:val="0"/>
            <w:vAlign w:val="top"/>
          </w:tcPr>
          <w:p w14:paraId="61C4C366">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负序电抗（X</w:t>
            </w:r>
            <w:r>
              <w:rPr>
                <w:rFonts w:hint="eastAsia" w:ascii="宋体" w:hAnsi="宋体" w:eastAsia="宋体" w:cs="宋体"/>
                <w:snapToGrid w:val="0"/>
                <w:szCs w:val="21"/>
                <w:vertAlign w:val="subscript"/>
              </w:rPr>
              <w:t>2</w:t>
            </w:r>
            <w:r>
              <w:rPr>
                <w:rFonts w:hint="eastAsia" w:ascii="宋体" w:hAnsi="宋体" w:eastAsia="宋体" w:cs="宋体"/>
                <w:snapToGrid w:val="0"/>
                <w:szCs w:val="21"/>
              </w:rPr>
              <w:t>）（%）</w:t>
            </w:r>
          </w:p>
        </w:tc>
        <w:tc>
          <w:tcPr>
            <w:tcW w:w="3509" w:type="dxa"/>
            <w:noWrap w:val="0"/>
            <w:vAlign w:val="top"/>
          </w:tcPr>
          <w:p w14:paraId="5F973E52">
            <w:pPr>
              <w:spacing w:line="400" w:lineRule="exact"/>
              <w:rPr>
                <w:rFonts w:hint="eastAsia" w:ascii="宋体" w:hAnsi="宋体" w:eastAsia="宋体" w:cs="宋体"/>
                <w:snapToGrid w:val="0"/>
                <w:szCs w:val="21"/>
              </w:rPr>
            </w:pPr>
          </w:p>
        </w:tc>
      </w:tr>
      <w:tr w14:paraId="065E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20C6108">
            <w:pPr>
              <w:spacing w:line="400" w:lineRule="exact"/>
              <w:rPr>
                <w:rFonts w:hint="eastAsia" w:ascii="宋体" w:hAnsi="宋体" w:eastAsia="宋体" w:cs="宋体"/>
                <w:snapToGrid w:val="0"/>
                <w:szCs w:val="21"/>
              </w:rPr>
            </w:pPr>
          </w:p>
        </w:tc>
        <w:tc>
          <w:tcPr>
            <w:tcW w:w="3925" w:type="dxa"/>
            <w:noWrap w:val="0"/>
            <w:vAlign w:val="top"/>
          </w:tcPr>
          <w:p w14:paraId="71476B05">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零序电抗（X</w:t>
            </w:r>
            <w:r>
              <w:rPr>
                <w:rFonts w:hint="eastAsia" w:ascii="宋体" w:hAnsi="宋体" w:eastAsia="宋体" w:cs="宋体"/>
                <w:snapToGrid w:val="0"/>
                <w:szCs w:val="21"/>
                <w:vertAlign w:val="subscript"/>
              </w:rPr>
              <w:t>o</w:t>
            </w:r>
            <w:r>
              <w:rPr>
                <w:rFonts w:hint="eastAsia" w:ascii="宋体" w:hAnsi="宋体" w:eastAsia="宋体" w:cs="宋体"/>
                <w:snapToGrid w:val="0"/>
                <w:szCs w:val="21"/>
              </w:rPr>
              <w:t>）（%）</w:t>
            </w:r>
          </w:p>
        </w:tc>
        <w:tc>
          <w:tcPr>
            <w:tcW w:w="3509" w:type="dxa"/>
            <w:noWrap w:val="0"/>
            <w:vAlign w:val="top"/>
          </w:tcPr>
          <w:p w14:paraId="3A8A9B14">
            <w:pPr>
              <w:spacing w:line="400" w:lineRule="exact"/>
              <w:rPr>
                <w:rFonts w:hint="eastAsia" w:ascii="宋体" w:hAnsi="宋体" w:eastAsia="宋体" w:cs="宋体"/>
                <w:snapToGrid w:val="0"/>
                <w:szCs w:val="21"/>
              </w:rPr>
            </w:pPr>
          </w:p>
        </w:tc>
      </w:tr>
      <w:tr w14:paraId="58C3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60BD850">
            <w:pPr>
              <w:spacing w:line="400" w:lineRule="exact"/>
              <w:rPr>
                <w:rFonts w:hint="eastAsia" w:ascii="宋体" w:hAnsi="宋体" w:eastAsia="宋体" w:cs="宋体"/>
                <w:snapToGrid w:val="0"/>
                <w:szCs w:val="21"/>
              </w:rPr>
            </w:pPr>
          </w:p>
        </w:tc>
        <w:tc>
          <w:tcPr>
            <w:tcW w:w="3925" w:type="dxa"/>
            <w:noWrap w:val="0"/>
            <w:vAlign w:val="top"/>
          </w:tcPr>
          <w:p w14:paraId="4998B28B">
            <w:pPr>
              <w:tabs>
                <w:tab w:val="left" w:pos="1027"/>
              </w:tabs>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定子漏抗（Xe）（%）</w:t>
            </w:r>
          </w:p>
        </w:tc>
        <w:tc>
          <w:tcPr>
            <w:tcW w:w="3509" w:type="dxa"/>
            <w:noWrap w:val="0"/>
            <w:vAlign w:val="top"/>
          </w:tcPr>
          <w:p w14:paraId="36FE4C40">
            <w:pPr>
              <w:spacing w:line="400" w:lineRule="exact"/>
              <w:rPr>
                <w:rFonts w:hint="eastAsia" w:ascii="宋体" w:hAnsi="宋体" w:eastAsia="宋体" w:cs="宋体"/>
                <w:snapToGrid w:val="0"/>
                <w:szCs w:val="21"/>
              </w:rPr>
            </w:pPr>
          </w:p>
        </w:tc>
      </w:tr>
      <w:tr w14:paraId="18AA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168AAF9">
            <w:pPr>
              <w:spacing w:line="400" w:lineRule="exact"/>
              <w:rPr>
                <w:rFonts w:hint="eastAsia" w:ascii="宋体" w:hAnsi="宋体" w:eastAsia="宋体" w:cs="宋体"/>
                <w:snapToGrid w:val="0"/>
                <w:szCs w:val="21"/>
              </w:rPr>
            </w:pPr>
          </w:p>
        </w:tc>
        <w:tc>
          <w:tcPr>
            <w:tcW w:w="3925" w:type="dxa"/>
            <w:noWrap w:val="0"/>
            <w:vAlign w:val="top"/>
          </w:tcPr>
          <w:p w14:paraId="411F4D56">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保梯电抗（Xp）（%）</w:t>
            </w:r>
          </w:p>
        </w:tc>
        <w:tc>
          <w:tcPr>
            <w:tcW w:w="3509" w:type="dxa"/>
            <w:noWrap w:val="0"/>
            <w:vAlign w:val="top"/>
          </w:tcPr>
          <w:p w14:paraId="293B7420">
            <w:pPr>
              <w:spacing w:line="400" w:lineRule="exact"/>
              <w:rPr>
                <w:rFonts w:hint="eastAsia" w:ascii="宋体" w:hAnsi="宋体" w:eastAsia="宋体" w:cs="宋体"/>
                <w:snapToGrid w:val="0"/>
                <w:szCs w:val="21"/>
              </w:rPr>
            </w:pPr>
          </w:p>
        </w:tc>
      </w:tr>
      <w:tr w14:paraId="0343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23F61C6">
            <w:pPr>
              <w:spacing w:line="400" w:lineRule="exact"/>
              <w:rPr>
                <w:rFonts w:hint="eastAsia" w:ascii="宋体" w:hAnsi="宋体" w:eastAsia="宋体" w:cs="宋体"/>
                <w:snapToGrid w:val="0"/>
                <w:szCs w:val="21"/>
              </w:rPr>
            </w:pPr>
          </w:p>
        </w:tc>
        <w:tc>
          <w:tcPr>
            <w:tcW w:w="3925" w:type="dxa"/>
            <w:noWrap w:val="0"/>
            <w:vAlign w:val="top"/>
          </w:tcPr>
          <w:p w14:paraId="59B6C906">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正序电阻（R</w:t>
            </w:r>
            <w:r>
              <w:rPr>
                <w:rFonts w:hint="eastAsia" w:ascii="宋体" w:hAnsi="宋体" w:eastAsia="宋体" w:cs="宋体"/>
                <w:snapToGrid w:val="0"/>
                <w:szCs w:val="21"/>
                <w:vertAlign w:val="subscript"/>
              </w:rPr>
              <w:t>1</w:t>
            </w:r>
            <w:r>
              <w:rPr>
                <w:rFonts w:hint="eastAsia" w:ascii="宋体" w:hAnsi="宋体" w:eastAsia="宋体" w:cs="宋体"/>
                <w:snapToGrid w:val="0"/>
                <w:szCs w:val="21"/>
              </w:rPr>
              <w:t>）（75℃）（%）</w:t>
            </w:r>
          </w:p>
        </w:tc>
        <w:tc>
          <w:tcPr>
            <w:tcW w:w="3509" w:type="dxa"/>
            <w:noWrap w:val="0"/>
            <w:vAlign w:val="top"/>
          </w:tcPr>
          <w:p w14:paraId="4ECDF090">
            <w:pPr>
              <w:spacing w:line="400" w:lineRule="exact"/>
              <w:rPr>
                <w:rFonts w:hint="eastAsia" w:ascii="宋体" w:hAnsi="宋体" w:eastAsia="宋体" w:cs="宋体"/>
                <w:snapToGrid w:val="0"/>
                <w:szCs w:val="21"/>
              </w:rPr>
            </w:pPr>
          </w:p>
        </w:tc>
      </w:tr>
      <w:tr w14:paraId="549A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71FEDC6">
            <w:pPr>
              <w:spacing w:line="400" w:lineRule="exact"/>
              <w:rPr>
                <w:rFonts w:hint="eastAsia" w:ascii="宋体" w:hAnsi="宋体" w:eastAsia="宋体" w:cs="宋体"/>
                <w:snapToGrid w:val="0"/>
                <w:szCs w:val="21"/>
              </w:rPr>
            </w:pPr>
          </w:p>
        </w:tc>
        <w:tc>
          <w:tcPr>
            <w:tcW w:w="3925" w:type="dxa"/>
            <w:noWrap w:val="0"/>
            <w:vAlign w:val="top"/>
          </w:tcPr>
          <w:p w14:paraId="5AB91A86">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负序电阻（R</w:t>
            </w:r>
            <w:r>
              <w:rPr>
                <w:rFonts w:hint="eastAsia" w:ascii="宋体" w:hAnsi="宋体" w:eastAsia="宋体" w:cs="宋体"/>
                <w:snapToGrid w:val="0"/>
                <w:szCs w:val="21"/>
                <w:vertAlign w:val="subscript"/>
              </w:rPr>
              <w:t>2</w:t>
            </w:r>
            <w:r>
              <w:rPr>
                <w:rFonts w:hint="eastAsia" w:ascii="宋体" w:hAnsi="宋体" w:eastAsia="宋体" w:cs="宋体"/>
                <w:snapToGrid w:val="0"/>
                <w:szCs w:val="21"/>
              </w:rPr>
              <w:t>）（75℃）（%）</w:t>
            </w:r>
          </w:p>
        </w:tc>
        <w:tc>
          <w:tcPr>
            <w:tcW w:w="3509" w:type="dxa"/>
            <w:noWrap w:val="0"/>
            <w:vAlign w:val="top"/>
          </w:tcPr>
          <w:p w14:paraId="2489564A">
            <w:pPr>
              <w:spacing w:line="400" w:lineRule="exact"/>
              <w:rPr>
                <w:rFonts w:hint="eastAsia" w:ascii="宋体" w:hAnsi="宋体" w:eastAsia="宋体" w:cs="宋体"/>
                <w:snapToGrid w:val="0"/>
                <w:szCs w:val="21"/>
              </w:rPr>
            </w:pPr>
          </w:p>
        </w:tc>
      </w:tr>
      <w:tr w14:paraId="7270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6E36DD2">
            <w:pPr>
              <w:spacing w:line="400" w:lineRule="exact"/>
              <w:rPr>
                <w:rFonts w:hint="eastAsia" w:ascii="宋体" w:hAnsi="宋体" w:eastAsia="宋体" w:cs="宋体"/>
                <w:snapToGrid w:val="0"/>
                <w:szCs w:val="21"/>
              </w:rPr>
            </w:pPr>
          </w:p>
        </w:tc>
        <w:tc>
          <w:tcPr>
            <w:tcW w:w="3925" w:type="dxa"/>
            <w:noWrap w:val="0"/>
            <w:vAlign w:val="top"/>
          </w:tcPr>
          <w:p w14:paraId="4E42FE24">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零序电阻（R</w:t>
            </w:r>
            <w:r>
              <w:rPr>
                <w:rFonts w:hint="eastAsia" w:ascii="宋体" w:hAnsi="宋体" w:eastAsia="宋体" w:cs="宋体"/>
                <w:snapToGrid w:val="0"/>
                <w:szCs w:val="21"/>
                <w:vertAlign w:val="subscript"/>
              </w:rPr>
              <w:t>0</w:t>
            </w:r>
            <w:r>
              <w:rPr>
                <w:rFonts w:hint="eastAsia" w:ascii="宋体" w:hAnsi="宋体" w:eastAsia="宋体" w:cs="宋体"/>
                <w:snapToGrid w:val="0"/>
                <w:szCs w:val="21"/>
              </w:rPr>
              <w:t>）（75℃）（%）</w:t>
            </w:r>
          </w:p>
        </w:tc>
        <w:tc>
          <w:tcPr>
            <w:tcW w:w="3509" w:type="dxa"/>
            <w:noWrap w:val="0"/>
            <w:vAlign w:val="top"/>
          </w:tcPr>
          <w:p w14:paraId="10366E42">
            <w:pPr>
              <w:spacing w:line="400" w:lineRule="exact"/>
              <w:rPr>
                <w:rFonts w:hint="eastAsia" w:ascii="宋体" w:hAnsi="宋体" w:eastAsia="宋体" w:cs="宋体"/>
                <w:snapToGrid w:val="0"/>
                <w:szCs w:val="21"/>
              </w:rPr>
            </w:pPr>
          </w:p>
        </w:tc>
      </w:tr>
      <w:tr w14:paraId="2B6B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D89B69C">
            <w:pPr>
              <w:spacing w:line="400" w:lineRule="exact"/>
              <w:rPr>
                <w:rFonts w:hint="eastAsia" w:ascii="宋体" w:hAnsi="宋体" w:eastAsia="宋体" w:cs="宋体"/>
                <w:snapToGrid w:val="0"/>
                <w:szCs w:val="21"/>
              </w:rPr>
            </w:pPr>
          </w:p>
        </w:tc>
        <w:tc>
          <w:tcPr>
            <w:tcW w:w="3925" w:type="dxa"/>
            <w:noWrap w:val="0"/>
            <w:vAlign w:val="top"/>
          </w:tcPr>
          <w:p w14:paraId="0232B10C">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磁场电阻（15℃）（%）</w:t>
            </w:r>
          </w:p>
        </w:tc>
        <w:tc>
          <w:tcPr>
            <w:tcW w:w="3509" w:type="dxa"/>
            <w:noWrap w:val="0"/>
            <w:vAlign w:val="top"/>
          </w:tcPr>
          <w:p w14:paraId="66DBC841">
            <w:pPr>
              <w:spacing w:line="400" w:lineRule="exact"/>
              <w:rPr>
                <w:rFonts w:hint="eastAsia" w:ascii="宋体" w:hAnsi="宋体" w:eastAsia="宋体" w:cs="宋体"/>
                <w:snapToGrid w:val="0"/>
                <w:szCs w:val="21"/>
              </w:rPr>
            </w:pPr>
          </w:p>
        </w:tc>
      </w:tr>
      <w:tr w14:paraId="14B3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07B8BB20">
            <w:pPr>
              <w:spacing w:line="400" w:lineRule="exact"/>
              <w:rPr>
                <w:rFonts w:hint="eastAsia" w:ascii="宋体" w:hAnsi="宋体" w:eastAsia="宋体" w:cs="宋体"/>
                <w:snapToGrid w:val="0"/>
                <w:szCs w:val="21"/>
              </w:rPr>
            </w:pPr>
          </w:p>
        </w:tc>
        <w:tc>
          <w:tcPr>
            <w:tcW w:w="3925" w:type="dxa"/>
            <w:noWrap w:val="0"/>
            <w:vAlign w:val="top"/>
          </w:tcPr>
          <w:p w14:paraId="7AABAC95">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横轴与纵轴次暂态电抗比（X″q/X″d）（%）</w:t>
            </w:r>
          </w:p>
        </w:tc>
        <w:tc>
          <w:tcPr>
            <w:tcW w:w="3509" w:type="dxa"/>
            <w:noWrap w:val="0"/>
            <w:vAlign w:val="top"/>
          </w:tcPr>
          <w:p w14:paraId="7D33E7B6">
            <w:pPr>
              <w:spacing w:line="400" w:lineRule="exact"/>
              <w:rPr>
                <w:rFonts w:hint="eastAsia" w:ascii="宋体" w:hAnsi="宋体" w:eastAsia="宋体" w:cs="宋体"/>
                <w:snapToGrid w:val="0"/>
                <w:szCs w:val="21"/>
              </w:rPr>
            </w:pPr>
          </w:p>
        </w:tc>
      </w:tr>
      <w:tr w14:paraId="6BAF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B5C69D6">
            <w:pPr>
              <w:spacing w:line="400" w:lineRule="exact"/>
              <w:rPr>
                <w:rFonts w:hint="eastAsia" w:ascii="宋体" w:hAnsi="宋体" w:eastAsia="宋体" w:cs="宋体"/>
                <w:snapToGrid w:val="0"/>
                <w:szCs w:val="21"/>
              </w:rPr>
            </w:pPr>
            <w:r>
              <w:rPr>
                <w:rFonts w:hint="eastAsia" w:ascii="宋体" w:hAnsi="宋体" w:eastAsia="宋体" w:cs="宋体"/>
                <w:snapToGrid w:val="0"/>
                <w:szCs w:val="21"/>
              </w:rPr>
              <w:t>10</w:t>
            </w:r>
          </w:p>
        </w:tc>
        <w:tc>
          <w:tcPr>
            <w:tcW w:w="7434" w:type="dxa"/>
            <w:gridSpan w:val="2"/>
            <w:noWrap w:val="0"/>
            <w:vAlign w:val="top"/>
          </w:tcPr>
          <w:p w14:paraId="7CC99106">
            <w:pPr>
              <w:spacing w:line="400" w:lineRule="exact"/>
              <w:rPr>
                <w:rFonts w:hint="eastAsia" w:ascii="宋体" w:hAnsi="宋体" w:eastAsia="宋体" w:cs="宋体"/>
                <w:snapToGrid w:val="0"/>
                <w:szCs w:val="21"/>
              </w:rPr>
            </w:pPr>
            <w:r>
              <w:rPr>
                <w:rFonts w:hint="eastAsia" w:ascii="宋体" w:hAnsi="宋体" w:eastAsia="宋体" w:cs="宋体"/>
                <w:szCs w:val="21"/>
              </w:rPr>
              <w:t>时间常数：</w:t>
            </w:r>
          </w:p>
        </w:tc>
      </w:tr>
      <w:tr w14:paraId="2EA9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489065A">
            <w:pPr>
              <w:spacing w:line="400" w:lineRule="exact"/>
              <w:rPr>
                <w:rFonts w:hint="eastAsia" w:ascii="宋体" w:hAnsi="宋体" w:eastAsia="宋体" w:cs="宋体"/>
                <w:snapToGrid w:val="0"/>
                <w:szCs w:val="21"/>
              </w:rPr>
            </w:pPr>
          </w:p>
        </w:tc>
        <w:tc>
          <w:tcPr>
            <w:tcW w:w="3925" w:type="dxa"/>
            <w:noWrap w:val="0"/>
            <w:vAlign w:val="top"/>
          </w:tcPr>
          <w:p w14:paraId="707DEC52">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纵轴暂态开路时间常数（T′do）（s）</w:t>
            </w:r>
          </w:p>
        </w:tc>
        <w:tc>
          <w:tcPr>
            <w:tcW w:w="3509" w:type="dxa"/>
            <w:noWrap w:val="0"/>
            <w:vAlign w:val="top"/>
          </w:tcPr>
          <w:p w14:paraId="2EC40C9A">
            <w:pPr>
              <w:spacing w:line="400" w:lineRule="exact"/>
              <w:rPr>
                <w:rFonts w:hint="eastAsia" w:ascii="宋体" w:hAnsi="宋体" w:eastAsia="宋体" w:cs="宋体"/>
                <w:snapToGrid w:val="0"/>
                <w:szCs w:val="21"/>
              </w:rPr>
            </w:pPr>
          </w:p>
        </w:tc>
      </w:tr>
      <w:tr w14:paraId="69A8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8AB1D42">
            <w:pPr>
              <w:spacing w:line="400" w:lineRule="exact"/>
              <w:rPr>
                <w:rFonts w:hint="eastAsia" w:ascii="宋体" w:hAnsi="宋体" w:eastAsia="宋体" w:cs="宋体"/>
                <w:snapToGrid w:val="0"/>
                <w:szCs w:val="21"/>
              </w:rPr>
            </w:pPr>
          </w:p>
        </w:tc>
        <w:tc>
          <w:tcPr>
            <w:tcW w:w="3925" w:type="dxa"/>
            <w:noWrap w:val="0"/>
            <w:vAlign w:val="top"/>
          </w:tcPr>
          <w:p w14:paraId="58819BEF">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纵轴次暂态开路时间常数（T″do）（s）</w:t>
            </w:r>
          </w:p>
        </w:tc>
        <w:tc>
          <w:tcPr>
            <w:tcW w:w="3509" w:type="dxa"/>
            <w:noWrap w:val="0"/>
            <w:vAlign w:val="top"/>
          </w:tcPr>
          <w:p w14:paraId="23EEC9A6">
            <w:pPr>
              <w:spacing w:line="400" w:lineRule="exact"/>
              <w:rPr>
                <w:rFonts w:hint="eastAsia" w:ascii="宋体" w:hAnsi="宋体" w:eastAsia="宋体" w:cs="宋体"/>
                <w:snapToGrid w:val="0"/>
                <w:szCs w:val="21"/>
              </w:rPr>
            </w:pPr>
          </w:p>
        </w:tc>
      </w:tr>
      <w:tr w14:paraId="1FAF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A986103">
            <w:pPr>
              <w:spacing w:line="400" w:lineRule="exact"/>
              <w:rPr>
                <w:rFonts w:hint="eastAsia" w:ascii="宋体" w:hAnsi="宋体" w:eastAsia="宋体" w:cs="宋体"/>
                <w:snapToGrid w:val="0"/>
                <w:szCs w:val="21"/>
              </w:rPr>
            </w:pPr>
          </w:p>
        </w:tc>
        <w:tc>
          <w:tcPr>
            <w:tcW w:w="3925" w:type="dxa"/>
            <w:noWrap w:val="0"/>
            <w:vAlign w:val="top"/>
          </w:tcPr>
          <w:p w14:paraId="3B11D0DD">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横轴暂态开路时间常数（T′qo）（s）</w:t>
            </w:r>
          </w:p>
        </w:tc>
        <w:tc>
          <w:tcPr>
            <w:tcW w:w="3509" w:type="dxa"/>
            <w:noWrap w:val="0"/>
            <w:vAlign w:val="top"/>
          </w:tcPr>
          <w:p w14:paraId="7513B0FE">
            <w:pPr>
              <w:spacing w:line="400" w:lineRule="exact"/>
              <w:rPr>
                <w:rFonts w:hint="eastAsia" w:ascii="宋体" w:hAnsi="宋体" w:eastAsia="宋体" w:cs="宋体"/>
                <w:snapToGrid w:val="0"/>
                <w:szCs w:val="21"/>
              </w:rPr>
            </w:pPr>
          </w:p>
        </w:tc>
      </w:tr>
      <w:tr w14:paraId="3976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64C0AF0">
            <w:pPr>
              <w:spacing w:line="400" w:lineRule="exact"/>
              <w:rPr>
                <w:rFonts w:hint="eastAsia" w:ascii="宋体" w:hAnsi="宋体" w:eastAsia="宋体" w:cs="宋体"/>
                <w:snapToGrid w:val="0"/>
                <w:szCs w:val="21"/>
              </w:rPr>
            </w:pPr>
          </w:p>
        </w:tc>
        <w:tc>
          <w:tcPr>
            <w:tcW w:w="3925" w:type="dxa"/>
            <w:noWrap w:val="0"/>
            <w:vAlign w:val="top"/>
          </w:tcPr>
          <w:p w14:paraId="22BCAC53">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横轴次暂态开路时间常数（T″qo）（s）</w:t>
            </w:r>
          </w:p>
        </w:tc>
        <w:tc>
          <w:tcPr>
            <w:tcW w:w="3509" w:type="dxa"/>
            <w:noWrap w:val="0"/>
            <w:vAlign w:val="top"/>
          </w:tcPr>
          <w:p w14:paraId="21FBDB08">
            <w:pPr>
              <w:spacing w:line="400" w:lineRule="exact"/>
              <w:rPr>
                <w:rFonts w:hint="eastAsia" w:ascii="宋体" w:hAnsi="宋体" w:eastAsia="宋体" w:cs="宋体"/>
                <w:snapToGrid w:val="0"/>
                <w:szCs w:val="21"/>
              </w:rPr>
            </w:pPr>
          </w:p>
        </w:tc>
      </w:tr>
      <w:tr w14:paraId="4C1E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AB89ECC">
            <w:pPr>
              <w:spacing w:line="400" w:lineRule="exact"/>
              <w:rPr>
                <w:rFonts w:hint="eastAsia" w:ascii="宋体" w:hAnsi="宋体" w:eastAsia="宋体" w:cs="宋体"/>
                <w:snapToGrid w:val="0"/>
                <w:szCs w:val="21"/>
              </w:rPr>
            </w:pPr>
          </w:p>
        </w:tc>
        <w:tc>
          <w:tcPr>
            <w:tcW w:w="3925" w:type="dxa"/>
            <w:noWrap w:val="0"/>
            <w:vAlign w:val="top"/>
          </w:tcPr>
          <w:p w14:paraId="2329626D">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电机绕组的短路时间常数（Ta）（s）</w:t>
            </w:r>
          </w:p>
        </w:tc>
        <w:tc>
          <w:tcPr>
            <w:tcW w:w="3509" w:type="dxa"/>
            <w:noWrap w:val="0"/>
            <w:vAlign w:val="top"/>
          </w:tcPr>
          <w:p w14:paraId="4CC31A5E">
            <w:pPr>
              <w:spacing w:line="400" w:lineRule="exact"/>
              <w:rPr>
                <w:rFonts w:hint="eastAsia" w:ascii="宋体" w:hAnsi="宋体" w:eastAsia="宋体" w:cs="宋体"/>
                <w:snapToGrid w:val="0"/>
                <w:szCs w:val="21"/>
              </w:rPr>
            </w:pPr>
          </w:p>
        </w:tc>
      </w:tr>
      <w:tr w14:paraId="7E41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D927C50">
            <w:pPr>
              <w:spacing w:line="400" w:lineRule="exact"/>
              <w:rPr>
                <w:rFonts w:hint="eastAsia" w:ascii="宋体" w:hAnsi="宋体" w:eastAsia="宋体" w:cs="宋体"/>
                <w:snapToGrid w:val="0"/>
                <w:szCs w:val="21"/>
              </w:rPr>
            </w:pPr>
            <w:r>
              <w:rPr>
                <w:rFonts w:hint="eastAsia" w:ascii="宋体" w:hAnsi="宋体" w:eastAsia="宋体" w:cs="宋体"/>
                <w:snapToGrid w:val="0"/>
                <w:szCs w:val="21"/>
              </w:rPr>
              <w:t>11</w:t>
            </w:r>
          </w:p>
        </w:tc>
        <w:tc>
          <w:tcPr>
            <w:tcW w:w="7434" w:type="dxa"/>
            <w:gridSpan w:val="2"/>
            <w:noWrap w:val="0"/>
            <w:vAlign w:val="top"/>
          </w:tcPr>
          <w:p w14:paraId="6F3AA0D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固有电压偏差：</w:t>
            </w:r>
          </w:p>
        </w:tc>
      </w:tr>
      <w:tr w14:paraId="4F68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FAF23A4">
            <w:pPr>
              <w:spacing w:line="400" w:lineRule="exact"/>
              <w:rPr>
                <w:rFonts w:hint="eastAsia" w:ascii="宋体" w:hAnsi="宋体" w:eastAsia="宋体" w:cs="宋体"/>
                <w:snapToGrid w:val="0"/>
                <w:szCs w:val="21"/>
              </w:rPr>
            </w:pPr>
          </w:p>
        </w:tc>
        <w:tc>
          <w:tcPr>
            <w:tcW w:w="3925" w:type="dxa"/>
            <w:noWrap w:val="0"/>
            <w:vAlign w:val="top"/>
          </w:tcPr>
          <w:p w14:paraId="78135B27">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在功率因数为1时（%）</w:t>
            </w:r>
          </w:p>
        </w:tc>
        <w:tc>
          <w:tcPr>
            <w:tcW w:w="3509" w:type="dxa"/>
            <w:noWrap w:val="0"/>
            <w:vAlign w:val="top"/>
          </w:tcPr>
          <w:p w14:paraId="0409ED46">
            <w:pPr>
              <w:spacing w:line="400" w:lineRule="exact"/>
              <w:rPr>
                <w:rFonts w:hint="eastAsia" w:ascii="宋体" w:hAnsi="宋体" w:eastAsia="宋体" w:cs="宋体"/>
                <w:snapToGrid w:val="0"/>
                <w:szCs w:val="21"/>
              </w:rPr>
            </w:pPr>
          </w:p>
        </w:tc>
      </w:tr>
      <w:tr w14:paraId="359B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E94AC70">
            <w:pPr>
              <w:spacing w:line="400" w:lineRule="exact"/>
              <w:rPr>
                <w:rFonts w:hint="eastAsia" w:ascii="宋体" w:hAnsi="宋体" w:eastAsia="宋体" w:cs="宋体"/>
                <w:snapToGrid w:val="0"/>
                <w:szCs w:val="21"/>
              </w:rPr>
            </w:pPr>
          </w:p>
        </w:tc>
        <w:tc>
          <w:tcPr>
            <w:tcW w:w="3925" w:type="dxa"/>
            <w:noWrap w:val="0"/>
            <w:vAlign w:val="top"/>
          </w:tcPr>
          <w:p w14:paraId="22636AC6">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在额定功率因数时（%）</w:t>
            </w:r>
          </w:p>
        </w:tc>
        <w:tc>
          <w:tcPr>
            <w:tcW w:w="3509" w:type="dxa"/>
            <w:noWrap w:val="0"/>
            <w:vAlign w:val="top"/>
          </w:tcPr>
          <w:p w14:paraId="4DBA30AC">
            <w:pPr>
              <w:spacing w:line="400" w:lineRule="exact"/>
              <w:rPr>
                <w:rFonts w:hint="eastAsia" w:ascii="宋体" w:hAnsi="宋体" w:eastAsia="宋体" w:cs="宋体"/>
                <w:snapToGrid w:val="0"/>
                <w:szCs w:val="21"/>
              </w:rPr>
            </w:pPr>
          </w:p>
        </w:tc>
      </w:tr>
      <w:tr w14:paraId="6F64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04480424">
            <w:pPr>
              <w:spacing w:line="400" w:lineRule="exact"/>
              <w:rPr>
                <w:rFonts w:hint="eastAsia" w:ascii="宋体" w:hAnsi="宋体" w:eastAsia="宋体" w:cs="宋体"/>
                <w:snapToGrid w:val="0"/>
                <w:szCs w:val="21"/>
              </w:rPr>
            </w:pPr>
            <w:r>
              <w:rPr>
                <w:rFonts w:hint="eastAsia" w:ascii="宋体" w:hAnsi="宋体" w:eastAsia="宋体" w:cs="宋体"/>
                <w:snapToGrid w:val="0"/>
                <w:szCs w:val="21"/>
              </w:rPr>
              <w:t>12</w:t>
            </w:r>
          </w:p>
        </w:tc>
        <w:tc>
          <w:tcPr>
            <w:tcW w:w="7434" w:type="dxa"/>
            <w:gridSpan w:val="2"/>
            <w:noWrap w:val="0"/>
            <w:vAlign w:val="top"/>
          </w:tcPr>
          <w:p w14:paraId="74118A40">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发电机损耗（在额定电压、电流和额定功率因数时）：</w:t>
            </w:r>
          </w:p>
        </w:tc>
      </w:tr>
      <w:tr w14:paraId="6D3C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88DC6E8">
            <w:pPr>
              <w:spacing w:line="400" w:lineRule="exact"/>
              <w:rPr>
                <w:rFonts w:hint="eastAsia" w:ascii="宋体" w:hAnsi="宋体" w:eastAsia="宋体" w:cs="宋体"/>
                <w:snapToGrid w:val="0"/>
                <w:szCs w:val="21"/>
              </w:rPr>
            </w:pPr>
          </w:p>
        </w:tc>
        <w:tc>
          <w:tcPr>
            <w:tcW w:w="3925" w:type="dxa"/>
            <w:noWrap w:val="0"/>
            <w:vAlign w:val="top"/>
          </w:tcPr>
          <w:p w14:paraId="6452DCA2">
            <w:pPr>
              <w:tabs>
                <w:tab w:val="left" w:pos="651"/>
              </w:tabs>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铁损（kW）</w:t>
            </w:r>
          </w:p>
        </w:tc>
        <w:tc>
          <w:tcPr>
            <w:tcW w:w="3509" w:type="dxa"/>
            <w:noWrap w:val="0"/>
            <w:vAlign w:val="top"/>
          </w:tcPr>
          <w:p w14:paraId="5E02B109">
            <w:pPr>
              <w:spacing w:line="400" w:lineRule="exact"/>
              <w:rPr>
                <w:rFonts w:hint="eastAsia" w:ascii="宋体" w:hAnsi="宋体" w:eastAsia="宋体" w:cs="宋体"/>
                <w:snapToGrid w:val="0"/>
                <w:szCs w:val="21"/>
              </w:rPr>
            </w:pPr>
          </w:p>
        </w:tc>
      </w:tr>
      <w:tr w14:paraId="5060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93DE807">
            <w:pPr>
              <w:spacing w:line="400" w:lineRule="exact"/>
              <w:rPr>
                <w:rFonts w:hint="eastAsia" w:ascii="宋体" w:hAnsi="宋体" w:eastAsia="宋体" w:cs="宋体"/>
                <w:snapToGrid w:val="0"/>
                <w:szCs w:val="21"/>
              </w:rPr>
            </w:pPr>
          </w:p>
        </w:tc>
        <w:tc>
          <w:tcPr>
            <w:tcW w:w="3925" w:type="dxa"/>
            <w:noWrap w:val="0"/>
            <w:vAlign w:val="top"/>
          </w:tcPr>
          <w:p w14:paraId="2079AAC3">
            <w:pPr>
              <w:tabs>
                <w:tab w:val="left" w:pos="165"/>
              </w:tabs>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napToGrid w:val="0"/>
                <w:szCs w:val="21"/>
              </w:rPr>
              <w:t>风阻损耗（kW）</w:t>
            </w:r>
          </w:p>
        </w:tc>
        <w:tc>
          <w:tcPr>
            <w:tcW w:w="3509" w:type="dxa"/>
            <w:noWrap w:val="0"/>
            <w:vAlign w:val="top"/>
          </w:tcPr>
          <w:p w14:paraId="3EE3168E">
            <w:pPr>
              <w:spacing w:line="400" w:lineRule="exact"/>
              <w:rPr>
                <w:rFonts w:hint="eastAsia" w:ascii="宋体" w:hAnsi="宋体" w:eastAsia="宋体" w:cs="宋体"/>
                <w:snapToGrid w:val="0"/>
                <w:szCs w:val="21"/>
              </w:rPr>
            </w:pPr>
          </w:p>
        </w:tc>
      </w:tr>
      <w:tr w14:paraId="07FF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7013AC0">
            <w:pPr>
              <w:spacing w:line="400" w:lineRule="exact"/>
              <w:rPr>
                <w:rFonts w:hint="eastAsia" w:ascii="宋体" w:hAnsi="宋体" w:eastAsia="宋体" w:cs="宋体"/>
                <w:snapToGrid w:val="0"/>
                <w:szCs w:val="21"/>
              </w:rPr>
            </w:pPr>
          </w:p>
        </w:tc>
        <w:tc>
          <w:tcPr>
            <w:tcW w:w="3925" w:type="dxa"/>
            <w:noWrap w:val="0"/>
            <w:vAlign w:val="top"/>
          </w:tcPr>
          <w:p w14:paraId="3D16D226">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轴承损耗（kW）</w:t>
            </w:r>
          </w:p>
        </w:tc>
        <w:tc>
          <w:tcPr>
            <w:tcW w:w="3509" w:type="dxa"/>
            <w:noWrap w:val="0"/>
            <w:vAlign w:val="top"/>
          </w:tcPr>
          <w:p w14:paraId="432EFD11">
            <w:pPr>
              <w:spacing w:line="400" w:lineRule="exact"/>
              <w:rPr>
                <w:rFonts w:hint="eastAsia" w:ascii="宋体" w:hAnsi="宋体" w:eastAsia="宋体" w:cs="宋体"/>
                <w:snapToGrid w:val="0"/>
                <w:szCs w:val="21"/>
              </w:rPr>
            </w:pPr>
          </w:p>
        </w:tc>
      </w:tr>
      <w:tr w14:paraId="62FD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E2D57C2">
            <w:pPr>
              <w:spacing w:line="400" w:lineRule="exact"/>
              <w:rPr>
                <w:rFonts w:hint="eastAsia" w:ascii="宋体" w:hAnsi="宋体" w:eastAsia="宋体" w:cs="宋体"/>
                <w:snapToGrid w:val="0"/>
                <w:szCs w:val="21"/>
              </w:rPr>
            </w:pPr>
          </w:p>
        </w:tc>
        <w:tc>
          <w:tcPr>
            <w:tcW w:w="3925" w:type="dxa"/>
            <w:noWrap w:val="0"/>
            <w:vAlign w:val="top"/>
          </w:tcPr>
          <w:p w14:paraId="4EECA4CF">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电刷摩擦损耗（kW）</w:t>
            </w:r>
          </w:p>
        </w:tc>
        <w:tc>
          <w:tcPr>
            <w:tcW w:w="3509" w:type="dxa"/>
            <w:noWrap w:val="0"/>
            <w:vAlign w:val="top"/>
          </w:tcPr>
          <w:p w14:paraId="4CC02E08">
            <w:pPr>
              <w:spacing w:line="400" w:lineRule="exact"/>
              <w:rPr>
                <w:rFonts w:hint="eastAsia" w:ascii="宋体" w:hAnsi="宋体" w:eastAsia="宋体" w:cs="宋体"/>
                <w:snapToGrid w:val="0"/>
                <w:szCs w:val="21"/>
              </w:rPr>
            </w:pPr>
          </w:p>
        </w:tc>
      </w:tr>
      <w:tr w14:paraId="479B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495A1E6">
            <w:pPr>
              <w:spacing w:line="400" w:lineRule="exact"/>
              <w:rPr>
                <w:rFonts w:hint="eastAsia" w:ascii="宋体" w:hAnsi="宋体" w:eastAsia="宋体" w:cs="宋体"/>
                <w:snapToGrid w:val="0"/>
                <w:szCs w:val="21"/>
              </w:rPr>
            </w:pPr>
          </w:p>
        </w:tc>
        <w:tc>
          <w:tcPr>
            <w:tcW w:w="3925" w:type="dxa"/>
            <w:noWrap w:val="0"/>
            <w:vAlign w:val="top"/>
          </w:tcPr>
          <w:p w14:paraId="1A92543C">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定子铜损（kW）</w:t>
            </w:r>
          </w:p>
        </w:tc>
        <w:tc>
          <w:tcPr>
            <w:tcW w:w="3509" w:type="dxa"/>
            <w:noWrap w:val="0"/>
            <w:vAlign w:val="top"/>
          </w:tcPr>
          <w:p w14:paraId="7BB0E982">
            <w:pPr>
              <w:spacing w:line="400" w:lineRule="exact"/>
              <w:rPr>
                <w:rFonts w:hint="eastAsia" w:ascii="宋体" w:hAnsi="宋体" w:eastAsia="宋体" w:cs="宋体"/>
                <w:snapToGrid w:val="0"/>
                <w:szCs w:val="21"/>
              </w:rPr>
            </w:pPr>
          </w:p>
        </w:tc>
      </w:tr>
      <w:tr w14:paraId="4C90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15EBA4D">
            <w:pPr>
              <w:spacing w:line="400" w:lineRule="exact"/>
              <w:rPr>
                <w:rFonts w:hint="eastAsia" w:ascii="宋体" w:hAnsi="宋体" w:eastAsia="宋体" w:cs="宋体"/>
                <w:snapToGrid w:val="0"/>
                <w:szCs w:val="21"/>
              </w:rPr>
            </w:pPr>
          </w:p>
        </w:tc>
        <w:tc>
          <w:tcPr>
            <w:tcW w:w="3925" w:type="dxa"/>
            <w:noWrap w:val="0"/>
            <w:vAlign w:val="top"/>
          </w:tcPr>
          <w:p w14:paraId="190BDA2B">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励磁绕组损耗（kW）</w:t>
            </w:r>
          </w:p>
        </w:tc>
        <w:tc>
          <w:tcPr>
            <w:tcW w:w="3509" w:type="dxa"/>
            <w:noWrap w:val="0"/>
            <w:vAlign w:val="top"/>
          </w:tcPr>
          <w:p w14:paraId="6A8C7E34">
            <w:pPr>
              <w:spacing w:line="400" w:lineRule="exact"/>
              <w:rPr>
                <w:rFonts w:hint="eastAsia" w:ascii="宋体" w:hAnsi="宋体" w:eastAsia="宋体" w:cs="宋体"/>
                <w:snapToGrid w:val="0"/>
                <w:szCs w:val="21"/>
              </w:rPr>
            </w:pPr>
          </w:p>
        </w:tc>
      </w:tr>
      <w:tr w14:paraId="4FC7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069BAE0">
            <w:pPr>
              <w:spacing w:line="400" w:lineRule="exact"/>
              <w:rPr>
                <w:rFonts w:hint="eastAsia" w:ascii="宋体" w:hAnsi="宋体" w:eastAsia="宋体" w:cs="宋体"/>
                <w:snapToGrid w:val="0"/>
                <w:szCs w:val="21"/>
              </w:rPr>
            </w:pPr>
          </w:p>
        </w:tc>
        <w:tc>
          <w:tcPr>
            <w:tcW w:w="3925" w:type="dxa"/>
            <w:noWrap w:val="0"/>
            <w:vAlign w:val="top"/>
          </w:tcPr>
          <w:p w14:paraId="3AD50387">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电刷电气损耗（kW）</w:t>
            </w:r>
          </w:p>
        </w:tc>
        <w:tc>
          <w:tcPr>
            <w:tcW w:w="3509" w:type="dxa"/>
            <w:noWrap w:val="0"/>
            <w:vAlign w:val="top"/>
          </w:tcPr>
          <w:p w14:paraId="1B75A9FB">
            <w:pPr>
              <w:spacing w:line="400" w:lineRule="exact"/>
              <w:rPr>
                <w:rFonts w:hint="eastAsia" w:ascii="宋体" w:hAnsi="宋体" w:eastAsia="宋体" w:cs="宋体"/>
                <w:snapToGrid w:val="0"/>
                <w:szCs w:val="21"/>
              </w:rPr>
            </w:pPr>
          </w:p>
        </w:tc>
      </w:tr>
      <w:tr w14:paraId="57CE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F297B8E">
            <w:pPr>
              <w:spacing w:line="400" w:lineRule="exact"/>
              <w:rPr>
                <w:rFonts w:hint="eastAsia" w:ascii="宋体" w:hAnsi="宋体" w:eastAsia="宋体" w:cs="宋体"/>
                <w:snapToGrid w:val="0"/>
                <w:szCs w:val="21"/>
              </w:rPr>
            </w:pPr>
          </w:p>
        </w:tc>
        <w:tc>
          <w:tcPr>
            <w:tcW w:w="3925" w:type="dxa"/>
            <w:noWrap w:val="0"/>
            <w:vAlign w:val="top"/>
          </w:tcPr>
          <w:p w14:paraId="247B3E33">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杂散损耗（kW）</w:t>
            </w:r>
          </w:p>
        </w:tc>
        <w:tc>
          <w:tcPr>
            <w:tcW w:w="3509" w:type="dxa"/>
            <w:noWrap w:val="0"/>
            <w:vAlign w:val="top"/>
          </w:tcPr>
          <w:p w14:paraId="1B95D138">
            <w:pPr>
              <w:spacing w:line="400" w:lineRule="exact"/>
              <w:rPr>
                <w:rFonts w:hint="eastAsia" w:ascii="宋体" w:hAnsi="宋体" w:eastAsia="宋体" w:cs="宋体"/>
                <w:snapToGrid w:val="0"/>
                <w:szCs w:val="21"/>
              </w:rPr>
            </w:pPr>
          </w:p>
        </w:tc>
      </w:tr>
      <w:tr w14:paraId="05C7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A15FE54">
            <w:pPr>
              <w:spacing w:line="400" w:lineRule="exact"/>
              <w:rPr>
                <w:rFonts w:hint="eastAsia" w:ascii="宋体" w:hAnsi="宋体" w:eastAsia="宋体" w:cs="宋体"/>
                <w:snapToGrid w:val="0"/>
                <w:szCs w:val="21"/>
              </w:rPr>
            </w:pPr>
          </w:p>
        </w:tc>
        <w:tc>
          <w:tcPr>
            <w:tcW w:w="3925" w:type="dxa"/>
            <w:noWrap w:val="0"/>
            <w:vAlign w:val="top"/>
          </w:tcPr>
          <w:p w14:paraId="168D52D8">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励磁系统总损耗（kW）</w:t>
            </w:r>
          </w:p>
        </w:tc>
        <w:tc>
          <w:tcPr>
            <w:tcW w:w="3509" w:type="dxa"/>
            <w:noWrap w:val="0"/>
            <w:vAlign w:val="top"/>
          </w:tcPr>
          <w:p w14:paraId="4B1E21E3">
            <w:pPr>
              <w:spacing w:line="400" w:lineRule="exact"/>
              <w:rPr>
                <w:rFonts w:hint="eastAsia" w:ascii="宋体" w:hAnsi="宋体" w:eastAsia="宋体" w:cs="宋体"/>
                <w:snapToGrid w:val="0"/>
                <w:szCs w:val="21"/>
              </w:rPr>
            </w:pPr>
          </w:p>
        </w:tc>
      </w:tr>
      <w:tr w14:paraId="4F85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CA8B07D">
            <w:pPr>
              <w:spacing w:line="400" w:lineRule="exact"/>
              <w:rPr>
                <w:rFonts w:hint="eastAsia" w:ascii="宋体" w:hAnsi="宋体" w:eastAsia="宋体" w:cs="宋体"/>
                <w:snapToGrid w:val="0"/>
                <w:szCs w:val="21"/>
              </w:rPr>
            </w:pPr>
            <w:r>
              <w:rPr>
                <w:rFonts w:hint="eastAsia" w:ascii="宋体" w:hAnsi="宋体" w:eastAsia="宋体" w:cs="宋体"/>
                <w:snapToGrid w:val="0"/>
                <w:szCs w:val="21"/>
              </w:rPr>
              <w:t>13</w:t>
            </w:r>
          </w:p>
        </w:tc>
        <w:tc>
          <w:tcPr>
            <w:tcW w:w="7434" w:type="dxa"/>
            <w:gridSpan w:val="2"/>
            <w:noWrap w:val="0"/>
            <w:vAlign w:val="top"/>
          </w:tcPr>
          <w:p w14:paraId="285FAAD6">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最大振动值（双振幅）：</w:t>
            </w:r>
          </w:p>
        </w:tc>
      </w:tr>
      <w:tr w14:paraId="3071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C2CE032">
            <w:pPr>
              <w:spacing w:line="400" w:lineRule="exact"/>
              <w:rPr>
                <w:rFonts w:hint="eastAsia" w:ascii="宋体" w:hAnsi="宋体" w:eastAsia="宋体" w:cs="宋体"/>
                <w:snapToGrid w:val="0"/>
                <w:szCs w:val="21"/>
              </w:rPr>
            </w:pPr>
          </w:p>
        </w:tc>
        <w:tc>
          <w:tcPr>
            <w:tcW w:w="3925" w:type="dxa"/>
            <w:noWrap w:val="0"/>
            <w:vAlign w:val="top"/>
          </w:tcPr>
          <w:p w14:paraId="22A02221">
            <w:pPr>
              <w:spacing w:line="400" w:lineRule="exact"/>
              <w:rPr>
                <w:rFonts w:hint="eastAsia" w:ascii="宋体" w:hAnsi="宋体" w:eastAsia="宋体" w:cs="宋体"/>
                <w:szCs w:val="21"/>
              </w:rPr>
            </w:pPr>
            <w:r>
              <w:rPr>
                <w:rFonts w:hint="eastAsia" w:ascii="宋体" w:hAnsi="宋体" w:eastAsia="宋体" w:cs="宋体"/>
                <w:szCs w:val="21"/>
              </w:rPr>
              <w:t>上机架垂直（mm）</w:t>
            </w:r>
          </w:p>
        </w:tc>
        <w:tc>
          <w:tcPr>
            <w:tcW w:w="3509" w:type="dxa"/>
            <w:noWrap w:val="0"/>
            <w:vAlign w:val="top"/>
          </w:tcPr>
          <w:p w14:paraId="1791DCF9">
            <w:pPr>
              <w:spacing w:line="400" w:lineRule="exact"/>
              <w:rPr>
                <w:rFonts w:hint="eastAsia" w:ascii="宋体" w:hAnsi="宋体" w:eastAsia="宋体" w:cs="宋体"/>
                <w:snapToGrid w:val="0"/>
                <w:szCs w:val="21"/>
              </w:rPr>
            </w:pPr>
          </w:p>
        </w:tc>
      </w:tr>
      <w:tr w14:paraId="2E80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84A6CB5">
            <w:pPr>
              <w:spacing w:line="400" w:lineRule="exact"/>
              <w:rPr>
                <w:rFonts w:hint="eastAsia" w:ascii="宋体" w:hAnsi="宋体" w:eastAsia="宋体" w:cs="宋体"/>
                <w:snapToGrid w:val="0"/>
                <w:szCs w:val="21"/>
              </w:rPr>
            </w:pPr>
          </w:p>
        </w:tc>
        <w:tc>
          <w:tcPr>
            <w:tcW w:w="3925" w:type="dxa"/>
            <w:noWrap w:val="0"/>
            <w:vAlign w:val="top"/>
          </w:tcPr>
          <w:p w14:paraId="3F72A2D7">
            <w:pPr>
              <w:spacing w:line="400" w:lineRule="exact"/>
              <w:rPr>
                <w:rFonts w:hint="eastAsia" w:ascii="宋体" w:hAnsi="宋体" w:eastAsia="宋体" w:cs="宋体"/>
                <w:szCs w:val="21"/>
              </w:rPr>
            </w:pPr>
            <w:r>
              <w:rPr>
                <w:rFonts w:hint="eastAsia" w:ascii="宋体" w:hAnsi="宋体" w:eastAsia="宋体" w:cs="宋体"/>
                <w:szCs w:val="21"/>
              </w:rPr>
              <w:t>上机架水平（mm）</w:t>
            </w:r>
          </w:p>
        </w:tc>
        <w:tc>
          <w:tcPr>
            <w:tcW w:w="3509" w:type="dxa"/>
            <w:noWrap w:val="0"/>
            <w:vAlign w:val="top"/>
          </w:tcPr>
          <w:p w14:paraId="11F1A811">
            <w:pPr>
              <w:spacing w:line="400" w:lineRule="exact"/>
              <w:rPr>
                <w:rFonts w:hint="eastAsia" w:ascii="宋体" w:hAnsi="宋体" w:eastAsia="宋体" w:cs="宋体"/>
                <w:snapToGrid w:val="0"/>
                <w:szCs w:val="21"/>
              </w:rPr>
            </w:pPr>
          </w:p>
        </w:tc>
      </w:tr>
      <w:tr w14:paraId="12F4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5D59778">
            <w:pPr>
              <w:spacing w:line="400" w:lineRule="exact"/>
              <w:rPr>
                <w:rFonts w:hint="eastAsia" w:ascii="宋体" w:hAnsi="宋体" w:eastAsia="宋体" w:cs="宋体"/>
                <w:snapToGrid w:val="0"/>
                <w:szCs w:val="21"/>
              </w:rPr>
            </w:pPr>
          </w:p>
        </w:tc>
        <w:tc>
          <w:tcPr>
            <w:tcW w:w="3925" w:type="dxa"/>
            <w:noWrap w:val="0"/>
            <w:vAlign w:val="top"/>
          </w:tcPr>
          <w:p w14:paraId="3E8F5A4E">
            <w:pPr>
              <w:spacing w:line="400" w:lineRule="exact"/>
              <w:rPr>
                <w:rFonts w:hint="eastAsia" w:ascii="宋体" w:hAnsi="宋体" w:eastAsia="宋体" w:cs="宋体"/>
                <w:szCs w:val="21"/>
              </w:rPr>
            </w:pPr>
            <w:r>
              <w:rPr>
                <w:rFonts w:hint="eastAsia" w:ascii="宋体" w:hAnsi="宋体" w:eastAsia="宋体" w:cs="宋体"/>
                <w:szCs w:val="21"/>
              </w:rPr>
              <w:t>下机架垂直（mm）</w:t>
            </w:r>
          </w:p>
        </w:tc>
        <w:tc>
          <w:tcPr>
            <w:tcW w:w="3509" w:type="dxa"/>
            <w:noWrap w:val="0"/>
            <w:vAlign w:val="top"/>
          </w:tcPr>
          <w:p w14:paraId="6A91095A">
            <w:pPr>
              <w:spacing w:line="400" w:lineRule="exact"/>
              <w:rPr>
                <w:rFonts w:hint="eastAsia" w:ascii="宋体" w:hAnsi="宋体" w:eastAsia="宋体" w:cs="宋体"/>
                <w:snapToGrid w:val="0"/>
                <w:szCs w:val="21"/>
              </w:rPr>
            </w:pPr>
          </w:p>
        </w:tc>
      </w:tr>
      <w:tr w14:paraId="4344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AEC527A">
            <w:pPr>
              <w:spacing w:line="400" w:lineRule="exact"/>
              <w:rPr>
                <w:rFonts w:hint="eastAsia" w:ascii="宋体" w:hAnsi="宋体" w:eastAsia="宋体" w:cs="宋体"/>
                <w:snapToGrid w:val="0"/>
                <w:szCs w:val="21"/>
              </w:rPr>
            </w:pPr>
          </w:p>
        </w:tc>
        <w:tc>
          <w:tcPr>
            <w:tcW w:w="3925" w:type="dxa"/>
            <w:noWrap w:val="0"/>
            <w:vAlign w:val="top"/>
          </w:tcPr>
          <w:p w14:paraId="036A7E2E">
            <w:pPr>
              <w:spacing w:line="400" w:lineRule="exact"/>
              <w:rPr>
                <w:rFonts w:hint="eastAsia" w:ascii="宋体" w:hAnsi="宋体" w:eastAsia="宋体" w:cs="宋体"/>
                <w:szCs w:val="21"/>
              </w:rPr>
            </w:pPr>
            <w:r>
              <w:rPr>
                <w:rFonts w:hint="eastAsia" w:ascii="宋体" w:hAnsi="宋体" w:eastAsia="宋体" w:cs="宋体"/>
                <w:szCs w:val="21"/>
              </w:rPr>
              <w:t>下机架水平（mm）</w:t>
            </w:r>
          </w:p>
        </w:tc>
        <w:tc>
          <w:tcPr>
            <w:tcW w:w="3509" w:type="dxa"/>
            <w:noWrap w:val="0"/>
            <w:vAlign w:val="top"/>
          </w:tcPr>
          <w:p w14:paraId="1017D02D">
            <w:pPr>
              <w:spacing w:line="400" w:lineRule="exact"/>
              <w:rPr>
                <w:rFonts w:hint="eastAsia" w:ascii="宋体" w:hAnsi="宋体" w:eastAsia="宋体" w:cs="宋体"/>
                <w:snapToGrid w:val="0"/>
                <w:szCs w:val="21"/>
              </w:rPr>
            </w:pPr>
          </w:p>
        </w:tc>
      </w:tr>
      <w:tr w14:paraId="0CCF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F4EAD51">
            <w:pPr>
              <w:spacing w:line="400" w:lineRule="exact"/>
              <w:rPr>
                <w:rFonts w:hint="eastAsia" w:ascii="宋体" w:hAnsi="宋体" w:eastAsia="宋体" w:cs="宋体"/>
                <w:snapToGrid w:val="0"/>
                <w:szCs w:val="21"/>
              </w:rPr>
            </w:pPr>
            <w:r>
              <w:rPr>
                <w:rFonts w:hint="eastAsia" w:ascii="宋体" w:hAnsi="宋体" w:eastAsia="宋体" w:cs="宋体"/>
                <w:snapToGrid w:val="0"/>
                <w:szCs w:val="21"/>
              </w:rPr>
              <w:t>14</w:t>
            </w:r>
          </w:p>
        </w:tc>
        <w:tc>
          <w:tcPr>
            <w:tcW w:w="3925" w:type="dxa"/>
            <w:noWrap w:val="0"/>
            <w:vAlign w:val="top"/>
          </w:tcPr>
          <w:p w14:paraId="2DE500BD">
            <w:pPr>
              <w:spacing w:line="400" w:lineRule="exact"/>
              <w:rPr>
                <w:rFonts w:hint="eastAsia" w:ascii="宋体" w:hAnsi="宋体" w:eastAsia="宋体" w:cs="宋体"/>
                <w:szCs w:val="21"/>
              </w:rPr>
            </w:pPr>
            <w:r>
              <w:rPr>
                <w:rFonts w:hint="eastAsia" w:ascii="宋体" w:hAnsi="宋体" w:eastAsia="宋体" w:cs="宋体"/>
                <w:snapToGrid w:val="0"/>
                <w:szCs w:val="21"/>
              </w:rPr>
              <w:t>额定负载时励磁电压（V）/转子绕组温度（℃）</w:t>
            </w:r>
          </w:p>
        </w:tc>
        <w:tc>
          <w:tcPr>
            <w:tcW w:w="3509" w:type="dxa"/>
            <w:noWrap w:val="0"/>
            <w:vAlign w:val="top"/>
          </w:tcPr>
          <w:p w14:paraId="164BBE89">
            <w:pPr>
              <w:spacing w:line="400" w:lineRule="exact"/>
              <w:rPr>
                <w:rFonts w:hint="eastAsia" w:ascii="宋体" w:hAnsi="宋体" w:eastAsia="宋体" w:cs="宋体"/>
                <w:snapToGrid w:val="0"/>
                <w:szCs w:val="21"/>
              </w:rPr>
            </w:pPr>
          </w:p>
        </w:tc>
      </w:tr>
      <w:tr w14:paraId="757D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8B4FF6B">
            <w:pPr>
              <w:spacing w:line="400" w:lineRule="exact"/>
              <w:rPr>
                <w:rFonts w:hint="eastAsia" w:ascii="宋体" w:hAnsi="宋体" w:eastAsia="宋体" w:cs="宋体"/>
                <w:snapToGrid w:val="0"/>
                <w:szCs w:val="21"/>
              </w:rPr>
            </w:pPr>
            <w:r>
              <w:rPr>
                <w:rFonts w:hint="eastAsia" w:ascii="宋体" w:hAnsi="宋体" w:eastAsia="宋体" w:cs="宋体"/>
                <w:snapToGrid w:val="0"/>
                <w:szCs w:val="21"/>
              </w:rPr>
              <w:t>15</w:t>
            </w:r>
          </w:p>
        </w:tc>
        <w:tc>
          <w:tcPr>
            <w:tcW w:w="7434" w:type="dxa"/>
            <w:gridSpan w:val="2"/>
            <w:noWrap w:val="0"/>
            <w:vAlign w:val="top"/>
          </w:tcPr>
          <w:p w14:paraId="5A9D1EB4">
            <w:pPr>
              <w:spacing w:line="400" w:lineRule="exact"/>
              <w:rPr>
                <w:rFonts w:hint="eastAsia" w:ascii="宋体" w:hAnsi="宋体" w:eastAsia="宋体" w:cs="宋体"/>
                <w:snapToGrid w:val="0"/>
                <w:szCs w:val="21"/>
              </w:rPr>
            </w:pPr>
            <w:r>
              <w:rPr>
                <w:rFonts w:hint="eastAsia" w:ascii="宋体" w:hAnsi="宋体" w:eastAsia="宋体" w:cs="宋体"/>
                <w:snapToGrid w:val="0"/>
                <w:szCs w:val="21"/>
              </w:rPr>
              <w:t>额定负载时励磁电流（A）</w:t>
            </w:r>
          </w:p>
        </w:tc>
      </w:tr>
      <w:tr w14:paraId="0751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A4EC75C">
            <w:pPr>
              <w:spacing w:line="400" w:lineRule="exact"/>
              <w:rPr>
                <w:rFonts w:hint="eastAsia" w:ascii="宋体" w:hAnsi="宋体" w:eastAsia="宋体" w:cs="宋体"/>
                <w:snapToGrid w:val="0"/>
                <w:szCs w:val="21"/>
              </w:rPr>
            </w:pPr>
          </w:p>
        </w:tc>
        <w:tc>
          <w:tcPr>
            <w:tcW w:w="3925" w:type="dxa"/>
            <w:noWrap w:val="0"/>
            <w:vAlign w:val="top"/>
          </w:tcPr>
          <w:p w14:paraId="44938B25">
            <w:pPr>
              <w:spacing w:line="400" w:lineRule="exact"/>
              <w:rPr>
                <w:rFonts w:hint="eastAsia" w:ascii="宋体" w:hAnsi="宋体" w:eastAsia="宋体" w:cs="宋体"/>
                <w:szCs w:val="21"/>
              </w:rPr>
            </w:pPr>
            <w:r>
              <w:rPr>
                <w:rFonts w:hint="eastAsia" w:ascii="宋体" w:hAnsi="宋体" w:eastAsia="宋体" w:cs="宋体"/>
                <w:snapToGrid w:val="0"/>
                <w:szCs w:val="21"/>
              </w:rPr>
              <w:t>空载励磁电流（A）</w:t>
            </w:r>
          </w:p>
        </w:tc>
        <w:tc>
          <w:tcPr>
            <w:tcW w:w="3509" w:type="dxa"/>
            <w:noWrap w:val="0"/>
            <w:vAlign w:val="top"/>
          </w:tcPr>
          <w:p w14:paraId="32AE86BA">
            <w:pPr>
              <w:spacing w:line="400" w:lineRule="exact"/>
              <w:rPr>
                <w:rFonts w:hint="eastAsia" w:ascii="宋体" w:hAnsi="宋体" w:eastAsia="宋体" w:cs="宋体"/>
                <w:snapToGrid w:val="0"/>
                <w:szCs w:val="21"/>
              </w:rPr>
            </w:pPr>
          </w:p>
        </w:tc>
      </w:tr>
      <w:tr w14:paraId="5FBF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41D3A87">
            <w:pPr>
              <w:spacing w:line="400" w:lineRule="exact"/>
              <w:rPr>
                <w:rFonts w:hint="eastAsia" w:ascii="宋体" w:hAnsi="宋体" w:eastAsia="宋体" w:cs="宋体"/>
                <w:snapToGrid w:val="0"/>
                <w:szCs w:val="21"/>
              </w:rPr>
            </w:pPr>
          </w:p>
        </w:tc>
        <w:tc>
          <w:tcPr>
            <w:tcW w:w="3925" w:type="dxa"/>
            <w:noWrap w:val="0"/>
            <w:vAlign w:val="top"/>
          </w:tcPr>
          <w:p w14:paraId="4F8C21CC">
            <w:pPr>
              <w:spacing w:line="400" w:lineRule="exact"/>
              <w:rPr>
                <w:rFonts w:hint="eastAsia" w:ascii="宋体" w:hAnsi="宋体" w:eastAsia="宋体" w:cs="宋体"/>
                <w:szCs w:val="21"/>
              </w:rPr>
            </w:pPr>
            <w:r>
              <w:rPr>
                <w:rFonts w:hint="eastAsia" w:ascii="宋体" w:hAnsi="宋体" w:eastAsia="宋体" w:cs="宋体"/>
                <w:snapToGrid w:val="0"/>
                <w:szCs w:val="21"/>
              </w:rPr>
              <w:t>转子绕组允许的（50s）强励最大电流（A）</w:t>
            </w:r>
          </w:p>
        </w:tc>
        <w:tc>
          <w:tcPr>
            <w:tcW w:w="3509" w:type="dxa"/>
            <w:noWrap w:val="0"/>
            <w:vAlign w:val="top"/>
          </w:tcPr>
          <w:p w14:paraId="0D7AC7A5">
            <w:pPr>
              <w:spacing w:line="400" w:lineRule="exact"/>
              <w:rPr>
                <w:rFonts w:hint="eastAsia" w:ascii="宋体" w:hAnsi="宋体" w:eastAsia="宋体" w:cs="宋体"/>
                <w:snapToGrid w:val="0"/>
                <w:szCs w:val="21"/>
              </w:rPr>
            </w:pPr>
          </w:p>
        </w:tc>
      </w:tr>
      <w:tr w14:paraId="0B38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A1689BE">
            <w:pPr>
              <w:spacing w:line="400" w:lineRule="exact"/>
              <w:rPr>
                <w:rFonts w:hint="eastAsia" w:ascii="宋体" w:hAnsi="宋体" w:eastAsia="宋体" w:cs="宋体"/>
                <w:snapToGrid w:val="0"/>
                <w:szCs w:val="21"/>
              </w:rPr>
            </w:pPr>
          </w:p>
        </w:tc>
        <w:tc>
          <w:tcPr>
            <w:tcW w:w="3925" w:type="dxa"/>
            <w:noWrap w:val="0"/>
            <w:vAlign w:val="top"/>
          </w:tcPr>
          <w:p w14:paraId="0E403BEE">
            <w:pPr>
              <w:spacing w:line="400" w:lineRule="exact"/>
              <w:rPr>
                <w:rFonts w:hint="eastAsia" w:ascii="宋体" w:hAnsi="宋体" w:eastAsia="宋体" w:cs="宋体"/>
                <w:szCs w:val="21"/>
              </w:rPr>
            </w:pPr>
            <w:r>
              <w:rPr>
                <w:rFonts w:hint="eastAsia" w:ascii="宋体" w:hAnsi="宋体" w:eastAsia="宋体" w:cs="宋体"/>
                <w:snapToGrid w:val="0"/>
                <w:szCs w:val="21"/>
              </w:rPr>
              <w:t>发电机持续超出力运行时的励磁电流（A）</w:t>
            </w:r>
          </w:p>
        </w:tc>
        <w:tc>
          <w:tcPr>
            <w:tcW w:w="3509" w:type="dxa"/>
            <w:noWrap w:val="0"/>
            <w:vAlign w:val="top"/>
          </w:tcPr>
          <w:p w14:paraId="3964E6C5">
            <w:pPr>
              <w:spacing w:line="400" w:lineRule="exact"/>
              <w:rPr>
                <w:rFonts w:hint="eastAsia" w:ascii="宋体" w:hAnsi="宋体" w:eastAsia="宋体" w:cs="宋体"/>
                <w:snapToGrid w:val="0"/>
                <w:szCs w:val="21"/>
              </w:rPr>
            </w:pPr>
          </w:p>
        </w:tc>
      </w:tr>
      <w:tr w14:paraId="2134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7FE7051">
            <w:pPr>
              <w:spacing w:line="400" w:lineRule="exact"/>
              <w:rPr>
                <w:rFonts w:hint="eastAsia" w:ascii="宋体" w:hAnsi="宋体" w:eastAsia="宋体" w:cs="宋体"/>
                <w:snapToGrid w:val="0"/>
                <w:szCs w:val="21"/>
              </w:rPr>
            </w:pPr>
            <w:r>
              <w:rPr>
                <w:rFonts w:hint="eastAsia" w:ascii="宋体" w:hAnsi="宋体" w:eastAsia="宋体" w:cs="宋体"/>
                <w:snapToGrid w:val="0"/>
                <w:szCs w:val="21"/>
              </w:rPr>
              <w:t>16</w:t>
            </w:r>
          </w:p>
        </w:tc>
        <w:tc>
          <w:tcPr>
            <w:tcW w:w="3925" w:type="dxa"/>
            <w:noWrap w:val="0"/>
            <w:vAlign w:val="top"/>
          </w:tcPr>
          <w:p w14:paraId="74B2E65A">
            <w:pPr>
              <w:spacing w:line="400" w:lineRule="exact"/>
              <w:rPr>
                <w:rFonts w:hint="eastAsia" w:ascii="宋体" w:hAnsi="宋体" w:eastAsia="宋体" w:cs="宋体"/>
                <w:szCs w:val="21"/>
              </w:rPr>
            </w:pPr>
            <w:r>
              <w:rPr>
                <w:rFonts w:hint="eastAsia" w:ascii="宋体" w:hAnsi="宋体" w:eastAsia="宋体" w:cs="宋体"/>
                <w:snapToGrid w:val="0"/>
                <w:szCs w:val="21"/>
              </w:rPr>
              <w:t>额定温升时发电机容量（kVA）</w:t>
            </w:r>
          </w:p>
        </w:tc>
        <w:tc>
          <w:tcPr>
            <w:tcW w:w="3509" w:type="dxa"/>
            <w:noWrap w:val="0"/>
            <w:vAlign w:val="top"/>
          </w:tcPr>
          <w:p w14:paraId="1742C70F">
            <w:pPr>
              <w:spacing w:line="400" w:lineRule="exact"/>
              <w:rPr>
                <w:rFonts w:hint="eastAsia" w:ascii="宋体" w:hAnsi="宋体" w:eastAsia="宋体" w:cs="宋体"/>
                <w:snapToGrid w:val="0"/>
                <w:szCs w:val="21"/>
              </w:rPr>
            </w:pPr>
          </w:p>
        </w:tc>
      </w:tr>
      <w:tr w14:paraId="4D4F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BFFF6B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17</w:t>
            </w:r>
          </w:p>
        </w:tc>
        <w:tc>
          <w:tcPr>
            <w:tcW w:w="7434" w:type="dxa"/>
            <w:gridSpan w:val="2"/>
            <w:noWrap w:val="0"/>
            <w:vAlign w:val="top"/>
          </w:tcPr>
          <w:p w14:paraId="57C06B9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额定温升时发电机无功功率：</w:t>
            </w:r>
          </w:p>
        </w:tc>
      </w:tr>
      <w:tr w14:paraId="05B9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027E3B7C">
            <w:pPr>
              <w:spacing w:line="400" w:lineRule="exact"/>
              <w:rPr>
                <w:rFonts w:hint="eastAsia" w:ascii="宋体" w:hAnsi="宋体" w:eastAsia="宋体" w:cs="宋体"/>
                <w:snapToGrid w:val="0"/>
                <w:szCs w:val="21"/>
              </w:rPr>
            </w:pPr>
          </w:p>
        </w:tc>
        <w:tc>
          <w:tcPr>
            <w:tcW w:w="3925" w:type="dxa"/>
            <w:noWrap w:val="0"/>
            <w:vAlign w:val="top"/>
          </w:tcPr>
          <w:p w14:paraId="3B6F0359">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超前零功率因数时（kVAR）</w:t>
            </w:r>
          </w:p>
        </w:tc>
        <w:tc>
          <w:tcPr>
            <w:tcW w:w="3509" w:type="dxa"/>
            <w:noWrap w:val="0"/>
            <w:vAlign w:val="top"/>
          </w:tcPr>
          <w:p w14:paraId="22A8B00D">
            <w:pPr>
              <w:spacing w:line="400" w:lineRule="exact"/>
              <w:rPr>
                <w:rFonts w:hint="eastAsia" w:ascii="宋体" w:hAnsi="宋体" w:eastAsia="宋体" w:cs="宋体"/>
                <w:snapToGrid w:val="0"/>
                <w:szCs w:val="21"/>
              </w:rPr>
            </w:pPr>
          </w:p>
        </w:tc>
      </w:tr>
      <w:tr w14:paraId="7243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D7407AD">
            <w:pPr>
              <w:spacing w:line="400" w:lineRule="exact"/>
              <w:rPr>
                <w:rFonts w:hint="eastAsia" w:ascii="宋体" w:hAnsi="宋体" w:eastAsia="宋体" w:cs="宋体"/>
                <w:snapToGrid w:val="0"/>
                <w:szCs w:val="21"/>
              </w:rPr>
            </w:pPr>
          </w:p>
        </w:tc>
        <w:tc>
          <w:tcPr>
            <w:tcW w:w="3925" w:type="dxa"/>
            <w:noWrap w:val="0"/>
            <w:vAlign w:val="top"/>
          </w:tcPr>
          <w:p w14:paraId="1902653A">
            <w:pPr>
              <w:spacing w:line="400" w:lineRule="exact"/>
              <w:rPr>
                <w:rFonts w:hint="eastAsia" w:ascii="宋体" w:hAnsi="宋体" w:eastAsia="宋体" w:cs="宋体"/>
                <w:szCs w:val="21"/>
              </w:rPr>
            </w:pPr>
            <w:r>
              <w:rPr>
                <w:rFonts w:hint="eastAsia" w:ascii="宋体" w:hAnsi="宋体" w:eastAsia="宋体" w:cs="宋体"/>
                <w:szCs w:val="21"/>
              </w:rPr>
              <w:t>--滞后</w:t>
            </w:r>
            <w:r>
              <w:rPr>
                <w:rFonts w:hint="eastAsia" w:ascii="宋体" w:hAnsi="宋体" w:eastAsia="宋体" w:cs="宋体"/>
                <w:snapToGrid w:val="0"/>
                <w:szCs w:val="21"/>
              </w:rPr>
              <w:t>零功率因数时（kVAR）</w:t>
            </w:r>
          </w:p>
        </w:tc>
        <w:tc>
          <w:tcPr>
            <w:tcW w:w="3509" w:type="dxa"/>
            <w:noWrap w:val="0"/>
            <w:vAlign w:val="top"/>
          </w:tcPr>
          <w:p w14:paraId="1A49C62E">
            <w:pPr>
              <w:spacing w:line="400" w:lineRule="exact"/>
              <w:rPr>
                <w:rFonts w:hint="eastAsia" w:ascii="宋体" w:hAnsi="宋体" w:eastAsia="宋体" w:cs="宋体"/>
                <w:snapToGrid w:val="0"/>
                <w:szCs w:val="21"/>
              </w:rPr>
            </w:pPr>
          </w:p>
        </w:tc>
      </w:tr>
      <w:tr w14:paraId="4D7D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08F2B8B5">
            <w:pPr>
              <w:spacing w:line="400" w:lineRule="exact"/>
              <w:rPr>
                <w:rFonts w:hint="eastAsia" w:ascii="宋体" w:hAnsi="宋体" w:eastAsia="宋体" w:cs="宋体"/>
                <w:snapToGrid w:val="0"/>
                <w:szCs w:val="21"/>
              </w:rPr>
            </w:pPr>
            <w:r>
              <w:rPr>
                <w:rFonts w:hint="eastAsia" w:ascii="宋体" w:hAnsi="宋体" w:eastAsia="宋体" w:cs="宋体"/>
                <w:snapToGrid w:val="0"/>
                <w:szCs w:val="21"/>
              </w:rPr>
              <w:t>18</w:t>
            </w:r>
          </w:p>
        </w:tc>
        <w:tc>
          <w:tcPr>
            <w:tcW w:w="7434" w:type="dxa"/>
            <w:gridSpan w:val="2"/>
            <w:noWrap w:val="0"/>
            <w:vAlign w:val="top"/>
          </w:tcPr>
          <w:p w14:paraId="25F8D2C5">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定子：</w:t>
            </w:r>
          </w:p>
        </w:tc>
      </w:tr>
      <w:tr w14:paraId="532F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1D10A1A">
            <w:pPr>
              <w:spacing w:line="400" w:lineRule="exact"/>
              <w:rPr>
                <w:rFonts w:hint="eastAsia" w:ascii="宋体" w:hAnsi="宋体" w:eastAsia="宋体" w:cs="宋体"/>
                <w:snapToGrid w:val="0"/>
                <w:szCs w:val="21"/>
              </w:rPr>
            </w:pPr>
          </w:p>
        </w:tc>
        <w:tc>
          <w:tcPr>
            <w:tcW w:w="3925" w:type="dxa"/>
            <w:noWrap w:val="0"/>
            <w:vAlign w:val="top"/>
          </w:tcPr>
          <w:p w14:paraId="2C2285B7">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材料及其标号</w:t>
            </w:r>
          </w:p>
        </w:tc>
        <w:tc>
          <w:tcPr>
            <w:tcW w:w="3509" w:type="dxa"/>
            <w:noWrap w:val="0"/>
            <w:vAlign w:val="top"/>
          </w:tcPr>
          <w:p w14:paraId="7EBE25E5">
            <w:pPr>
              <w:spacing w:line="400" w:lineRule="exact"/>
              <w:rPr>
                <w:rFonts w:hint="eastAsia" w:ascii="宋体" w:hAnsi="宋体" w:eastAsia="宋体" w:cs="宋体"/>
                <w:snapToGrid w:val="0"/>
                <w:szCs w:val="21"/>
              </w:rPr>
            </w:pPr>
          </w:p>
        </w:tc>
      </w:tr>
      <w:tr w14:paraId="025F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EB2B6E3">
            <w:pPr>
              <w:spacing w:line="400" w:lineRule="exact"/>
              <w:rPr>
                <w:rFonts w:hint="eastAsia" w:ascii="宋体" w:hAnsi="宋体" w:eastAsia="宋体" w:cs="宋体"/>
                <w:snapToGrid w:val="0"/>
                <w:szCs w:val="21"/>
              </w:rPr>
            </w:pPr>
          </w:p>
        </w:tc>
        <w:tc>
          <w:tcPr>
            <w:tcW w:w="3925" w:type="dxa"/>
            <w:noWrap w:val="0"/>
            <w:vAlign w:val="top"/>
          </w:tcPr>
          <w:p w14:paraId="120ACA9F">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分瓣数</w:t>
            </w:r>
          </w:p>
        </w:tc>
        <w:tc>
          <w:tcPr>
            <w:tcW w:w="3509" w:type="dxa"/>
            <w:noWrap w:val="0"/>
            <w:vAlign w:val="top"/>
          </w:tcPr>
          <w:p w14:paraId="272490CA">
            <w:pPr>
              <w:spacing w:line="400" w:lineRule="exact"/>
              <w:rPr>
                <w:rFonts w:hint="eastAsia" w:ascii="宋体" w:hAnsi="宋体" w:eastAsia="宋体" w:cs="宋体"/>
                <w:snapToGrid w:val="0"/>
                <w:szCs w:val="21"/>
              </w:rPr>
            </w:pPr>
          </w:p>
        </w:tc>
      </w:tr>
      <w:tr w14:paraId="0E71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98C848D">
            <w:pPr>
              <w:spacing w:line="400" w:lineRule="exact"/>
              <w:rPr>
                <w:rFonts w:hint="eastAsia" w:ascii="宋体" w:hAnsi="宋体" w:eastAsia="宋体" w:cs="宋体"/>
                <w:snapToGrid w:val="0"/>
                <w:szCs w:val="21"/>
              </w:rPr>
            </w:pPr>
          </w:p>
        </w:tc>
        <w:tc>
          <w:tcPr>
            <w:tcW w:w="3925" w:type="dxa"/>
            <w:noWrap w:val="0"/>
            <w:vAlign w:val="top"/>
          </w:tcPr>
          <w:p w14:paraId="5190939E">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齿部最大磁通密度（T）</w:t>
            </w:r>
          </w:p>
        </w:tc>
        <w:tc>
          <w:tcPr>
            <w:tcW w:w="3509" w:type="dxa"/>
            <w:noWrap w:val="0"/>
            <w:vAlign w:val="top"/>
          </w:tcPr>
          <w:p w14:paraId="2A3540FA">
            <w:pPr>
              <w:spacing w:line="400" w:lineRule="exact"/>
              <w:rPr>
                <w:rFonts w:hint="eastAsia" w:ascii="宋体" w:hAnsi="宋体" w:eastAsia="宋体" w:cs="宋体"/>
                <w:snapToGrid w:val="0"/>
                <w:szCs w:val="21"/>
              </w:rPr>
            </w:pPr>
          </w:p>
        </w:tc>
      </w:tr>
      <w:tr w14:paraId="3053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17E8ABC">
            <w:pPr>
              <w:spacing w:line="400" w:lineRule="exact"/>
              <w:rPr>
                <w:rFonts w:hint="eastAsia" w:ascii="宋体" w:hAnsi="宋体" w:eastAsia="宋体" w:cs="宋体"/>
                <w:snapToGrid w:val="0"/>
                <w:szCs w:val="21"/>
              </w:rPr>
            </w:pPr>
          </w:p>
        </w:tc>
        <w:tc>
          <w:tcPr>
            <w:tcW w:w="3925" w:type="dxa"/>
            <w:noWrap w:val="0"/>
            <w:vAlign w:val="top"/>
          </w:tcPr>
          <w:p w14:paraId="3F2B8350">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定子绕组绝缘等级</w:t>
            </w:r>
          </w:p>
        </w:tc>
        <w:tc>
          <w:tcPr>
            <w:tcW w:w="3509" w:type="dxa"/>
            <w:noWrap w:val="0"/>
            <w:vAlign w:val="top"/>
          </w:tcPr>
          <w:p w14:paraId="51D49C7F">
            <w:pPr>
              <w:spacing w:line="400" w:lineRule="exact"/>
              <w:rPr>
                <w:rFonts w:hint="eastAsia" w:ascii="宋体" w:hAnsi="宋体" w:eastAsia="宋体" w:cs="宋体"/>
                <w:snapToGrid w:val="0"/>
                <w:szCs w:val="21"/>
              </w:rPr>
            </w:pPr>
          </w:p>
        </w:tc>
      </w:tr>
      <w:tr w14:paraId="5F3A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F05E133">
            <w:pPr>
              <w:spacing w:line="400" w:lineRule="exact"/>
              <w:rPr>
                <w:rFonts w:hint="eastAsia" w:ascii="宋体" w:hAnsi="宋体" w:eastAsia="宋体" w:cs="宋体"/>
                <w:snapToGrid w:val="0"/>
                <w:szCs w:val="21"/>
              </w:rPr>
            </w:pPr>
          </w:p>
        </w:tc>
        <w:tc>
          <w:tcPr>
            <w:tcW w:w="3925" w:type="dxa"/>
            <w:noWrap w:val="0"/>
            <w:vAlign w:val="top"/>
          </w:tcPr>
          <w:p w14:paraId="0A5DF246">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绕组对地每相电容（F）</w:t>
            </w:r>
          </w:p>
        </w:tc>
        <w:tc>
          <w:tcPr>
            <w:tcW w:w="3509" w:type="dxa"/>
            <w:noWrap w:val="0"/>
            <w:vAlign w:val="top"/>
          </w:tcPr>
          <w:p w14:paraId="41E052C0">
            <w:pPr>
              <w:spacing w:line="400" w:lineRule="exact"/>
              <w:rPr>
                <w:rFonts w:hint="eastAsia" w:ascii="宋体" w:hAnsi="宋体" w:eastAsia="宋体" w:cs="宋体"/>
                <w:snapToGrid w:val="0"/>
                <w:szCs w:val="21"/>
              </w:rPr>
            </w:pPr>
          </w:p>
        </w:tc>
      </w:tr>
      <w:tr w14:paraId="3B6F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5C7C1D5">
            <w:pPr>
              <w:spacing w:line="400" w:lineRule="exact"/>
              <w:rPr>
                <w:rFonts w:hint="eastAsia" w:ascii="宋体" w:hAnsi="宋体" w:eastAsia="宋体" w:cs="宋体"/>
                <w:snapToGrid w:val="0"/>
                <w:szCs w:val="21"/>
              </w:rPr>
            </w:pPr>
          </w:p>
        </w:tc>
        <w:tc>
          <w:tcPr>
            <w:tcW w:w="3925" w:type="dxa"/>
            <w:noWrap w:val="0"/>
            <w:vAlign w:val="top"/>
          </w:tcPr>
          <w:p w14:paraId="4185585A">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定子绕组每相并联支路数</w:t>
            </w:r>
          </w:p>
        </w:tc>
        <w:tc>
          <w:tcPr>
            <w:tcW w:w="3509" w:type="dxa"/>
            <w:noWrap w:val="0"/>
            <w:vAlign w:val="top"/>
          </w:tcPr>
          <w:p w14:paraId="6E16C922">
            <w:pPr>
              <w:spacing w:line="400" w:lineRule="exact"/>
              <w:rPr>
                <w:rFonts w:hint="eastAsia" w:ascii="宋体" w:hAnsi="宋体" w:eastAsia="宋体" w:cs="宋体"/>
                <w:snapToGrid w:val="0"/>
                <w:szCs w:val="21"/>
              </w:rPr>
            </w:pPr>
          </w:p>
        </w:tc>
      </w:tr>
      <w:tr w14:paraId="04B3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57445B8">
            <w:pPr>
              <w:spacing w:line="400" w:lineRule="exact"/>
              <w:rPr>
                <w:rFonts w:hint="eastAsia" w:ascii="宋体" w:hAnsi="宋体" w:eastAsia="宋体" w:cs="宋体"/>
                <w:snapToGrid w:val="0"/>
                <w:szCs w:val="21"/>
              </w:rPr>
            </w:pPr>
          </w:p>
        </w:tc>
        <w:tc>
          <w:tcPr>
            <w:tcW w:w="3925" w:type="dxa"/>
            <w:noWrap w:val="0"/>
            <w:vAlign w:val="top"/>
          </w:tcPr>
          <w:p w14:paraId="5A922EC6">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定子绕组导体电流密度（A/mm</w:t>
            </w:r>
            <w:r>
              <w:rPr>
                <w:rFonts w:hint="eastAsia" w:ascii="宋体" w:hAnsi="宋体" w:eastAsia="宋体" w:cs="宋体"/>
                <w:snapToGrid w:val="0"/>
                <w:szCs w:val="21"/>
                <w:vertAlign w:val="superscript"/>
              </w:rPr>
              <w:t>2</w:t>
            </w:r>
            <w:r>
              <w:rPr>
                <w:rFonts w:hint="eastAsia" w:ascii="宋体" w:hAnsi="宋体" w:eastAsia="宋体" w:cs="宋体"/>
                <w:snapToGrid w:val="0"/>
                <w:szCs w:val="21"/>
              </w:rPr>
              <w:t>）</w:t>
            </w:r>
          </w:p>
        </w:tc>
        <w:tc>
          <w:tcPr>
            <w:tcW w:w="3509" w:type="dxa"/>
            <w:noWrap w:val="0"/>
            <w:vAlign w:val="top"/>
          </w:tcPr>
          <w:p w14:paraId="77DE159C">
            <w:pPr>
              <w:spacing w:line="400" w:lineRule="exact"/>
              <w:rPr>
                <w:rFonts w:hint="eastAsia" w:ascii="宋体" w:hAnsi="宋体" w:eastAsia="宋体" w:cs="宋体"/>
                <w:snapToGrid w:val="0"/>
                <w:szCs w:val="21"/>
              </w:rPr>
            </w:pPr>
          </w:p>
        </w:tc>
      </w:tr>
      <w:tr w14:paraId="0E14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23F8402">
            <w:pPr>
              <w:spacing w:line="400" w:lineRule="exact"/>
              <w:rPr>
                <w:rFonts w:hint="eastAsia" w:ascii="宋体" w:hAnsi="宋体" w:eastAsia="宋体" w:cs="宋体"/>
                <w:snapToGrid w:val="0"/>
                <w:szCs w:val="21"/>
              </w:rPr>
            </w:pPr>
          </w:p>
        </w:tc>
        <w:tc>
          <w:tcPr>
            <w:tcW w:w="3925" w:type="dxa"/>
            <w:noWrap w:val="0"/>
            <w:vAlign w:val="top"/>
          </w:tcPr>
          <w:p w14:paraId="54FC121E">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定子和转子间空气隙（mm）</w:t>
            </w:r>
          </w:p>
        </w:tc>
        <w:tc>
          <w:tcPr>
            <w:tcW w:w="3509" w:type="dxa"/>
            <w:noWrap w:val="0"/>
            <w:vAlign w:val="top"/>
          </w:tcPr>
          <w:p w14:paraId="7F3B49BD">
            <w:pPr>
              <w:spacing w:line="400" w:lineRule="exact"/>
              <w:rPr>
                <w:rFonts w:hint="eastAsia" w:ascii="宋体" w:hAnsi="宋体" w:eastAsia="宋体" w:cs="宋体"/>
                <w:snapToGrid w:val="0"/>
                <w:szCs w:val="21"/>
              </w:rPr>
            </w:pPr>
          </w:p>
        </w:tc>
      </w:tr>
      <w:tr w14:paraId="569E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9380A29">
            <w:pPr>
              <w:spacing w:line="400" w:lineRule="exact"/>
              <w:rPr>
                <w:rFonts w:hint="eastAsia" w:ascii="宋体" w:hAnsi="宋体" w:eastAsia="宋体" w:cs="宋体"/>
                <w:snapToGrid w:val="0"/>
                <w:szCs w:val="21"/>
              </w:rPr>
            </w:pPr>
          </w:p>
        </w:tc>
        <w:tc>
          <w:tcPr>
            <w:tcW w:w="3925" w:type="dxa"/>
            <w:noWrap w:val="0"/>
            <w:vAlign w:val="top"/>
          </w:tcPr>
          <w:p w14:paraId="47744053">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组装方式</w:t>
            </w:r>
          </w:p>
        </w:tc>
        <w:tc>
          <w:tcPr>
            <w:tcW w:w="3509" w:type="dxa"/>
            <w:noWrap w:val="0"/>
            <w:vAlign w:val="top"/>
          </w:tcPr>
          <w:p w14:paraId="4102C523">
            <w:pPr>
              <w:spacing w:line="400" w:lineRule="exact"/>
              <w:rPr>
                <w:rFonts w:hint="eastAsia" w:ascii="宋体" w:hAnsi="宋体" w:eastAsia="宋体" w:cs="宋体"/>
                <w:snapToGrid w:val="0"/>
                <w:szCs w:val="21"/>
              </w:rPr>
            </w:pPr>
          </w:p>
        </w:tc>
      </w:tr>
      <w:tr w14:paraId="578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9EB0B30">
            <w:pPr>
              <w:spacing w:line="400" w:lineRule="exact"/>
              <w:rPr>
                <w:rFonts w:hint="eastAsia" w:ascii="宋体" w:hAnsi="宋体" w:eastAsia="宋体" w:cs="宋体"/>
                <w:snapToGrid w:val="0"/>
                <w:szCs w:val="21"/>
              </w:rPr>
            </w:pPr>
            <w:r>
              <w:rPr>
                <w:rFonts w:hint="eastAsia" w:ascii="宋体" w:hAnsi="宋体" w:eastAsia="宋体" w:cs="宋体"/>
                <w:snapToGrid w:val="0"/>
                <w:szCs w:val="21"/>
              </w:rPr>
              <w:t>19</w:t>
            </w:r>
          </w:p>
        </w:tc>
        <w:tc>
          <w:tcPr>
            <w:tcW w:w="7434" w:type="dxa"/>
            <w:gridSpan w:val="2"/>
            <w:noWrap w:val="0"/>
            <w:vAlign w:val="top"/>
          </w:tcPr>
          <w:p w14:paraId="68BFBDCB">
            <w:pPr>
              <w:spacing w:line="400" w:lineRule="exact"/>
              <w:rPr>
                <w:rFonts w:hint="eastAsia" w:ascii="宋体" w:hAnsi="宋体" w:eastAsia="宋体" w:cs="宋体"/>
                <w:snapToGrid w:val="0"/>
                <w:szCs w:val="21"/>
              </w:rPr>
            </w:pPr>
            <w:r>
              <w:rPr>
                <w:rFonts w:hint="eastAsia" w:ascii="宋体" w:hAnsi="宋体" w:eastAsia="宋体" w:cs="宋体"/>
                <w:szCs w:val="21"/>
              </w:rPr>
              <w:t>转子：</w:t>
            </w:r>
          </w:p>
        </w:tc>
      </w:tr>
      <w:tr w14:paraId="4004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0EEEC64">
            <w:pPr>
              <w:spacing w:line="400" w:lineRule="exact"/>
              <w:rPr>
                <w:rFonts w:hint="eastAsia" w:ascii="宋体" w:hAnsi="宋体" w:eastAsia="宋体" w:cs="宋体"/>
                <w:snapToGrid w:val="0"/>
                <w:szCs w:val="21"/>
              </w:rPr>
            </w:pPr>
          </w:p>
        </w:tc>
        <w:tc>
          <w:tcPr>
            <w:tcW w:w="3925" w:type="dxa"/>
            <w:noWrap w:val="0"/>
            <w:vAlign w:val="top"/>
          </w:tcPr>
          <w:p w14:paraId="297751F0">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材料及其标号</w:t>
            </w:r>
          </w:p>
        </w:tc>
        <w:tc>
          <w:tcPr>
            <w:tcW w:w="3509" w:type="dxa"/>
            <w:noWrap w:val="0"/>
            <w:vAlign w:val="top"/>
          </w:tcPr>
          <w:p w14:paraId="4D183AF6">
            <w:pPr>
              <w:spacing w:line="400" w:lineRule="exact"/>
              <w:rPr>
                <w:rFonts w:hint="eastAsia" w:ascii="宋体" w:hAnsi="宋体" w:eastAsia="宋体" w:cs="宋体"/>
                <w:snapToGrid w:val="0"/>
                <w:szCs w:val="21"/>
              </w:rPr>
            </w:pPr>
          </w:p>
        </w:tc>
      </w:tr>
      <w:tr w14:paraId="3FF5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A39533D">
            <w:pPr>
              <w:spacing w:line="400" w:lineRule="exact"/>
              <w:rPr>
                <w:rFonts w:hint="eastAsia" w:ascii="宋体" w:hAnsi="宋体" w:eastAsia="宋体" w:cs="宋体"/>
                <w:snapToGrid w:val="0"/>
                <w:szCs w:val="21"/>
              </w:rPr>
            </w:pPr>
          </w:p>
        </w:tc>
        <w:tc>
          <w:tcPr>
            <w:tcW w:w="3925" w:type="dxa"/>
            <w:noWrap w:val="0"/>
            <w:vAlign w:val="top"/>
          </w:tcPr>
          <w:p w14:paraId="7A246E26">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转子绕组绝缘等级</w:t>
            </w:r>
          </w:p>
        </w:tc>
        <w:tc>
          <w:tcPr>
            <w:tcW w:w="3509" w:type="dxa"/>
            <w:noWrap w:val="0"/>
            <w:vAlign w:val="top"/>
          </w:tcPr>
          <w:p w14:paraId="4E50DADF">
            <w:pPr>
              <w:spacing w:line="400" w:lineRule="exact"/>
              <w:rPr>
                <w:rFonts w:hint="eastAsia" w:ascii="宋体" w:hAnsi="宋体" w:eastAsia="宋体" w:cs="宋体"/>
                <w:snapToGrid w:val="0"/>
                <w:szCs w:val="21"/>
              </w:rPr>
            </w:pPr>
          </w:p>
        </w:tc>
      </w:tr>
      <w:tr w14:paraId="1FD0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8661781">
            <w:pPr>
              <w:spacing w:line="400" w:lineRule="exact"/>
              <w:rPr>
                <w:rFonts w:hint="eastAsia" w:ascii="宋体" w:hAnsi="宋体" w:eastAsia="宋体" w:cs="宋体"/>
                <w:snapToGrid w:val="0"/>
                <w:szCs w:val="21"/>
              </w:rPr>
            </w:pPr>
          </w:p>
        </w:tc>
        <w:tc>
          <w:tcPr>
            <w:tcW w:w="3925" w:type="dxa"/>
            <w:noWrap w:val="0"/>
            <w:vAlign w:val="top"/>
          </w:tcPr>
          <w:p w14:paraId="2A452C3B">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转子绕组对电容（F）</w:t>
            </w:r>
          </w:p>
        </w:tc>
        <w:tc>
          <w:tcPr>
            <w:tcW w:w="3509" w:type="dxa"/>
            <w:noWrap w:val="0"/>
            <w:vAlign w:val="top"/>
          </w:tcPr>
          <w:p w14:paraId="37251CEB">
            <w:pPr>
              <w:spacing w:line="400" w:lineRule="exact"/>
              <w:rPr>
                <w:rFonts w:hint="eastAsia" w:ascii="宋体" w:hAnsi="宋体" w:eastAsia="宋体" w:cs="宋体"/>
                <w:snapToGrid w:val="0"/>
                <w:szCs w:val="21"/>
              </w:rPr>
            </w:pPr>
          </w:p>
        </w:tc>
      </w:tr>
      <w:tr w14:paraId="7422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D5B78DF">
            <w:pPr>
              <w:spacing w:line="400" w:lineRule="exact"/>
              <w:rPr>
                <w:rFonts w:hint="eastAsia" w:ascii="宋体" w:hAnsi="宋体" w:eastAsia="宋体" w:cs="宋体"/>
                <w:snapToGrid w:val="0"/>
                <w:szCs w:val="21"/>
              </w:rPr>
            </w:pPr>
          </w:p>
        </w:tc>
        <w:tc>
          <w:tcPr>
            <w:tcW w:w="3925" w:type="dxa"/>
            <w:noWrap w:val="0"/>
            <w:vAlign w:val="top"/>
          </w:tcPr>
          <w:p w14:paraId="304BD877">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转子绕组导体电流密度（A/mm</w:t>
            </w:r>
            <w:r>
              <w:rPr>
                <w:rFonts w:hint="eastAsia" w:ascii="宋体" w:hAnsi="宋体" w:eastAsia="宋体" w:cs="宋体"/>
                <w:snapToGrid w:val="0"/>
                <w:szCs w:val="21"/>
                <w:vertAlign w:val="superscript"/>
              </w:rPr>
              <w:t>2</w:t>
            </w:r>
            <w:r>
              <w:rPr>
                <w:rFonts w:hint="eastAsia" w:ascii="宋体" w:hAnsi="宋体" w:eastAsia="宋体" w:cs="宋体"/>
                <w:snapToGrid w:val="0"/>
                <w:szCs w:val="21"/>
              </w:rPr>
              <w:t>）</w:t>
            </w:r>
          </w:p>
        </w:tc>
        <w:tc>
          <w:tcPr>
            <w:tcW w:w="3509" w:type="dxa"/>
            <w:noWrap w:val="0"/>
            <w:vAlign w:val="top"/>
          </w:tcPr>
          <w:p w14:paraId="0FEB0888">
            <w:pPr>
              <w:spacing w:line="400" w:lineRule="exact"/>
              <w:rPr>
                <w:rFonts w:hint="eastAsia" w:ascii="宋体" w:hAnsi="宋体" w:eastAsia="宋体" w:cs="宋体"/>
                <w:snapToGrid w:val="0"/>
                <w:szCs w:val="21"/>
              </w:rPr>
            </w:pPr>
          </w:p>
        </w:tc>
      </w:tr>
      <w:tr w14:paraId="0C35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159FDBF">
            <w:pPr>
              <w:spacing w:line="400" w:lineRule="exact"/>
              <w:rPr>
                <w:rFonts w:hint="eastAsia" w:ascii="宋体" w:hAnsi="宋体" w:eastAsia="宋体" w:cs="宋体"/>
                <w:snapToGrid w:val="0"/>
                <w:szCs w:val="21"/>
              </w:rPr>
            </w:pPr>
          </w:p>
        </w:tc>
        <w:tc>
          <w:tcPr>
            <w:tcW w:w="3925" w:type="dxa"/>
            <w:noWrap w:val="0"/>
            <w:vAlign w:val="top"/>
          </w:tcPr>
          <w:p w14:paraId="5D37E956">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转子绕组最大耐压（V.D.C）</w:t>
            </w:r>
          </w:p>
        </w:tc>
        <w:tc>
          <w:tcPr>
            <w:tcW w:w="3509" w:type="dxa"/>
            <w:noWrap w:val="0"/>
            <w:vAlign w:val="top"/>
          </w:tcPr>
          <w:p w14:paraId="54C7D02E">
            <w:pPr>
              <w:spacing w:line="400" w:lineRule="exact"/>
              <w:rPr>
                <w:rFonts w:hint="eastAsia" w:ascii="宋体" w:hAnsi="宋体" w:eastAsia="宋体" w:cs="宋体"/>
                <w:snapToGrid w:val="0"/>
                <w:szCs w:val="21"/>
              </w:rPr>
            </w:pPr>
          </w:p>
        </w:tc>
      </w:tr>
      <w:tr w14:paraId="59AB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D76CA23">
            <w:pPr>
              <w:spacing w:line="400" w:lineRule="exact"/>
              <w:rPr>
                <w:rFonts w:hint="eastAsia" w:ascii="宋体" w:hAnsi="宋体" w:eastAsia="宋体" w:cs="宋体"/>
                <w:snapToGrid w:val="0"/>
                <w:szCs w:val="21"/>
              </w:rPr>
            </w:pPr>
          </w:p>
        </w:tc>
        <w:tc>
          <w:tcPr>
            <w:tcW w:w="3925" w:type="dxa"/>
            <w:noWrap w:val="0"/>
            <w:vAlign w:val="top"/>
          </w:tcPr>
          <w:p w14:paraId="5E867699">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磁极最大磁通密度（T）</w:t>
            </w:r>
          </w:p>
        </w:tc>
        <w:tc>
          <w:tcPr>
            <w:tcW w:w="3509" w:type="dxa"/>
            <w:noWrap w:val="0"/>
            <w:vAlign w:val="top"/>
          </w:tcPr>
          <w:p w14:paraId="5B35567E">
            <w:pPr>
              <w:spacing w:line="400" w:lineRule="exact"/>
              <w:rPr>
                <w:rFonts w:hint="eastAsia" w:ascii="宋体" w:hAnsi="宋体" w:eastAsia="宋体" w:cs="宋体"/>
                <w:snapToGrid w:val="0"/>
                <w:szCs w:val="21"/>
              </w:rPr>
            </w:pPr>
          </w:p>
        </w:tc>
      </w:tr>
      <w:tr w14:paraId="0C60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BE16037">
            <w:pPr>
              <w:spacing w:line="400" w:lineRule="exact"/>
              <w:rPr>
                <w:rFonts w:hint="eastAsia" w:ascii="宋体" w:hAnsi="宋体" w:eastAsia="宋体" w:cs="宋体"/>
                <w:snapToGrid w:val="0"/>
                <w:szCs w:val="21"/>
              </w:rPr>
            </w:pPr>
          </w:p>
        </w:tc>
        <w:tc>
          <w:tcPr>
            <w:tcW w:w="3925" w:type="dxa"/>
            <w:noWrap w:val="0"/>
            <w:vAlign w:val="top"/>
          </w:tcPr>
          <w:p w14:paraId="71AA8CB9">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转子连轴最大起吊高度（t）</w:t>
            </w:r>
          </w:p>
        </w:tc>
        <w:tc>
          <w:tcPr>
            <w:tcW w:w="3509" w:type="dxa"/>
            <w:noWrap w:val="0"/>
            <w:vAlign w:val="top"/>
          </w:tcPr>
          <w:p w14:paraId="5894623F">
            <w:pPr>
              <w:spacing w:line="400" w:lineRule="exact"/>
              <w:rPr>
                <w:rFonts w:hint="eastAsia" w:ascii="宋体" w:hAnsi="宋体" w:eastAsia="宋体" w:cs="宋体"/>
                <w:snapToGrid w:val="0"/>
                <w:szCs w:val="21"/>
              </w:rPr>
            </w:pPr>
          </w:p>
        </w:tc>
      </w:tr>
      <w:tr w14:paraId="232D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8EE0974">
            <w:pPr>
              <w:spacing w:line="400" w:lineRule="exact"/>
              <w:rPr>
                <w:rFonts w:hint="eastAsia" w:ascii="宋体" w:hAnsi="宋体" w:eastAsia="宋体" w:cs="宋体"/>
                <w:snapToGrid w:val="0"/>
                <w:szCs w:val="21"/>
              </w:rPr>
            </w:pPr>
          </w:p>
        </w:tc>
        <w:tc>
          <w:tcPr>
            <w:tcW w:w="3925" w:type="dxa"/>
            <w:noWrap w:val="0"/>
            <w:vAlign w:val="top"/>
          </w:tcPr>
          <w:p w14:paraId="6E896225">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转子连轴起吊重量（t）</w:t>
            </w:r>
          </w:p>
        </w:tc>
        <w:tc>
          <w:tcPr>
            <w:tcW w:w="3509" w:type="dxa"/>
            <w:noWrap w:val="0"/>
            <w:vAlign w:val="top"/>
          </w:tcPr>
          <w:p w14:paraId="509567BF">
            <w:pPr>
              <w:spacing w:line="400" w:lineRule="exact"/>
              <w:rPr>
                <w:rFonts w:hint="eastAsia" w:ascii="宋体" w:hAnsi="宋体" w:eastAsia="宋体" w:cs="宋体"/>
                <w:snapToGrid w:val="0"/>
                <w:szCs w:val="21"/>
              </w:rPr>
            </w:pPr>
          </w:p>
        </w:tc>
      </w:tr>
      <w:tr w14:paraId="482B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ED342D9">
            <w:pPr>
              <w:spacing w:line="400" w:lineRule="exact"/>
              <w:rPr>
                <w:rFonts w:hint="eastAsia" w:ascii="宋体" w:hAnsi="宋体" w:eastAsia="宋体" w:cs="宋体"/>
                <w:snapToGrid w:val="0"/>
                <w:szCs w:val="21"/>
              </w:rPr>
            </w:pPr>
            <w:r>
              <w:rPr>
                <w:rFonts w:hint="eastAsia" w:ascii="宋体" w:hAnsi="宋体" w:eastAsia="宋体" w:cs="宋体"/>
                <w:snapToGrid w:val="0"/>
                <w:szCs w:val="21"/>
              </w:rPr>
              <w:t>20</w:t>
            </w:r>
          </w:p>
        </w:tc>
        <w:tc>
          <w:tcPr>
            <w:tcW w:w="7434" w:type="dxa"/>
            <w:gridSpan w:val="2"/>
            <w:noWrap w:val="0"/>
            <w:vAlign w:val="top"/>
          </w:tcPr>
          <w:p w14:paraId="62AB7734">
            <w:pPr>
              <w:spacing w:line="400" w:lineRule="exact"/>
              <w:rPr>
                <w:rFonts w:hint="eastAsia" w:ascii="宋体" w:hAnsi="宋体" w:eastAsia="宋体" w:cs="宋体"/>
                <w:snapToGrid w:val="0"/>
                <w:szCs w:val="21"/>
              </w:rPr>
            </w:pPr>
            <w:r>
              <w:rPr>
                <w:rFonts w:hint="eastAsia" w:ascii="宋体" w:hAnsi="宋体" w:eastAsia="宋体" w:cs="宋体"/>
                <w:szCs w:val="21"/>
              </w:rPr>
              <w:t>主轴：</w:t>
            </w:r>
          </w:p>
        </w:tc>
      </w:tr>
      <w:tr w14:paraId="6461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B03AE56">
            <w:pPr>
              <w:spacing w:line="400" w:lineRule="exact"/>
              <w:rPr>
                <w:rFonts w:hint="eastAsia" w:ascii="宋体" w:hAnsi="宋体" w:eastAsia="宋体" w:cs="宋体"/>
                <w:snapToGrid w:val="0"/>
                <w:szCs w:val="21"/>
              </w:rPr>
            </w:pPr>
          </w:p>
        </w:tc>
        <w:tc>
          <w:tcPr>
            <w:tcW w:w="3925" w:type="dxa"/>
            <w:noWrap w:val="0"/>
            <w:vAlign w:val="top"/>
          </w:tcPr>
          <w:p w14:paraId="1A7CCB4E">
            <w:pPr>
              <w:spacing w:line="400" w:lineRule="exact"/>
              <w:rPr>
                <w:rFonts w:hint="eastAsia" w:ascii="宋体" w:hAnsi="宋体" w:eastAsia="宋体" w:cs="宋体"/>
                <w:szCs w:val="21"/>
              </w:rPr>
            </w:pPr>
            <w:r>
              <w:rPr>
                <w:rFonts w:hint="eastAsia" w:ascii="宋体" w:hAnsi="宋体" w:eastAsia="宋体" w:cs="宋体"/>
                <w:szCs w:val="21"/>
              </w:rPr>
              <w:t>--材料及标号</w:t>
            </w:r>
          </w:p>
        </w:tc>
        <w:tc>
          <w:tcPr>
            <w:tcW w:w="3509" w:type="dxa"/>
            <w:noWrap w:val="0"/>
            <w:vAlign w:val="top"/>
          </w:tcPr>
          <w:p w14:paraId="7A897624">
            <w:pPr>
              <w:spacing w:line="400" w:lineRule="exact"/>
              <w:rPr>
                <w:rFonts w:hint="eastAsia" w:ascii="宋体" w:hAnsi="宋体" w:eastAsia="宋体" w:cs="宋体"/>
                <w:snapToGrid w:val="0"/>
                <w:szCs w:val="21"/>
              </w:rPr>
            </w:pPr>
          </w:p>
        </w:tc>
      </w:tr>
      <w:tr w14:paraId="1D2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791521A">
            <w:pPr>
              <w:spacing w:line="400" w:lineRule="exact"/>
              <w:rPr>
                <w:rFonts w:hint="eastAsia" w:ascii="宋体" w:hAnsi="宋体" w:eastAsia="宋体" w:cs="宋体"/>
                <w:snapToGrid w:val="0"/>
                <w:szCs w:val="21"/>
              </w:rPr>
            </w:pPr>
          </w:p>
        </w:tc>
        <w:tc>
          <w:tcPr>
            <w:tcW w:w="3925" w:type="dxa"/>
            <w:noWrap w:val="0"/>
            <w:vAlign w:val="top"/>
          </w:tcPr>
          <w:p w14:paraId="7C88E1E3">
            <w:pPr>
              <w:spacing w:line="400" w:lineRule="exact"/>
              <w:rPr>
                <w:rFonts w:hint="eastAsia" w:ascii="宋体" w:hAnsi="宋体" w:eastAsia="宋体" w:cs="宋体"/>
                <w:szCs w:val="21"/>
              </w:rPr>
            </w:pPr>
            <w:r>
              <w:rPr>
                <w:rFonts w:hint="eastAsia" w:ascii="宋体" w:hAnsi="宋体" w:eastAsia="宋体" w:cs="宋体"/>
                <w:szCs w:val="21"/>
              </w:rPr>
              <w:t>--力矩传递方式</w:t>
            </w:r>
          </w:p>
        </w:tc>
        <w:tc>
          <w:tcPr>
            <w:tcW w:w="3509" w:type="dxa"/>
            <w:noWrap w:val="0"/>
            <w:vAlign w:val="top"/>
          </w:tcPr>
          <w:p w14:paraId="62987DF9">
            <w:pPr>
              <w:spacing w:line="400" w:lineRule="exact"/>
              <w:rPr>
                <w:rFonts w:hint="eastAsia" w:ascii="宋体" w:hAnsi="宋体" w:eastAsia="宋体" w:cs="宋体"/>
                <w:snapToGrid w:val="0"/>
                <w:szCs w:val="21"/>
              </w:rPr>
            </w:pPr>
          </w:p>
        </w:tc>
      </w:tr>
      <w:tr w14:paraId="1318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0D22E4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21</w:t>
            </w:r>
          </w:p>
        </w:tc>
        <w:tc>
          <w:tcPr>
            <w:tcW w:w="7434" w:type="dxa"/>
            <w:gridSpan w:val="2"/>
            <w:noWrap w:val="0"/>
            <w:vAlign w:val="top"/>
          </w:tcPr>
          <w:p w14:paraId="09AED8F8">
            <w:pPr>
              <w:spacing w:line="400" w:lineRule="exact"/>
              <w:rPr>
                <w:rFonts w:hint="eastAsia" w:ascii="宋体" w:hAnsi="宋体" w:eastAsia="宋体" w:cs="宋体"/>
                <w:snapToGrid w:val="0"/>
                <w:szCs w:val="21"/>
              </w:rPr>
            </w:pPr>
            <w:r>
              <w:rPr>
                <w:rFonts w:hint="eastAsia" w:ascii="宋体" w:hAnsi="宋体" w:eastAsia="宋体" w:cs="宋体"/>
                <w:szCs w:val="21"/>
              </w:rPr>
              <w:t>推力轴承：</w:t>
            </w:r>
          </w:p>
        </w:tc>
      </w:tr>
      <w:tr w14:paraId="4DEA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8095A8F">
            <w:pPr>
              <w:spacing w:line="400" w:lineRule="exact"/>
              <w:rPr>
                <w:rFonts w:hint="eastAsia" w:ascii="宋体" w:hAnsi="宋体" w:eastAsia="宋体" w:cs="宋体"/>
                <w:snapToGrid w:val="0"/>
                <w:szCs w:val="21"/>
              </w:rPr>
            </w:pPr>
          </w:p>
        </w:tc>
        <w:tc>
          <w:tcPr>
            <w:tcW w:w="3925" w:type="dxa"/>
            <w:noWrap w:val="0"/>
            <w:vAlign w:val="top"/>
          </w:tcPr>
          <w:p w14:paraId="6E8F9A23">
            <w:pPr>
              <w:autoSpaceDE w:val="0"/>
              <w:autoSpaceDN w:val="0"/>
              <w:adjustRightInd w:val="0"/>
              <w:spacing w:line="400" w:lineRule="exact"/>
              <w:textAlignment w:val="baseline"/>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推力瓦材料</w:t>
            </w:r>
          </w:p>
        </w:tc>
        <w:tc>
          <w:tcPr>
            <w:tcW w:w="3509" w:type="dxa"/>
            <w:noWrap w:val="0"/>
            <w:vAlign w:val="top"/>
          </w:tcPr>
          <w:p w14:paraId="2E7AC753">
            <w:pPr>
              <w:rPr>
                <w:rFonts w:hint="eastAsia" w:ascii="宋体" w:hAnsi="宋体" w:eastAsia="宋体" w:cs="宋体"/>
                <w:szCs w:val="21"/>
              </w:rPr>
            </w:pPr>
          </w:p>
        </w:tc>
      </w:tr>
      <w:tr w14:paraId="7098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E28B9AD">
            <w:pPr>
              <w:spacing w:line="400" w:lineRule="exact"/>
              <w:rPr>
                <w:rFonts w:hint="eastAsia" w:ascii="宋体" w:hAnsi="宋体" w:eastAsia="宋体" w:cs="宋体"/>
                <w:snapToGrid w:val="0"/>
                <w:szCs w:val="21"/>
              </w:rPr>
            </w:pPr>
          </w:p>
        </w:tc>
        <w:tc>
          <w:tcPr>
            <w:tcW w:w="3925" w:type="dxa"/>
            <w:noWrap w:val="0"/>
            <w:vAlign w:val="top"/>
          </w:tcPr>
          <w:p w14:paraId="084BFA4F">
            <w:pPr>
              <w:autoSpaceDE w:val="0"/>
              <w:autoSpaceDN w:val="0"/>
              <w:adjustRightInd w:val="0"/>
              <w:spacing w:line="400" w:lineRule="exact"/>
              <w:textAlignment w:val="baseline"/>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推力轴承支承型式</w:t>
            </w:r>
          </w:p>
        </w:tc>
        <w:tc>
          <w:tcPr>
            <w:tcW w:w="3509" w:type="dxa"/>
            <w:noWrap w:val="0"/>
            <w:vAlign w:val="top"/>
          </w:tcPr>
          <w:p w14:paraId="33636514">
            <w:pPr>
              <w:spacing w:line="400" w:lineRule="exact"/>
              <w:rPr>
                <w:rFonts w:hint="eastAsia" w:ascii="宋体" w:hAnsi="宋体" w:eastAsia="宋体" w:cs="宋体"/>
                <w:snapToGrid w:val="0"/>
                <w:szCs w:val="21"/>
              </w:rPr>
            </w:pPr>
          </w:p>
        </w:tc>
      </w:tr>
      <w:tr w14:paraId="6678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9986F45">
            <w:pPr>
              <w:spacing w:line="400" w:lineRule="exact"/>
              <w:rPr>
                <w:rFonts w:hint="eastAsia" w:ascii="宋体" w:hAnsi="宋体" w:eastAsia="宋体" w:cs="宋体"/>
                <w:snapToGrid w:val="0"/>
                <w:szCs w:val="21"/>
              </w:rPr>
            </w:pPr>
          </w:p>
        </w:tc>
        <w:tc>
          <w:tcPr>
            <w:tcW w:w="3925" w:type="dxa"/>
            <w:noWrap w:val="0"/>
            <w:vAlign w:val="top"/>
          </w:tcPr>
          <w:p w14:paraId="7991068D">
            <w:pPr>
              <w:autoSpaceDE w:val="0"/>
              <w:autoSpaceDN w:val="0"/>
              <w:adjustRightInd w:val="0"/>
              <w:spacing w:line="400" w:lineRule="exact"/>
              <w:textAlignment w:val="baseline"/>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推力轴承负荷（t）</w:t>
            </w:r>
          </w:p>
        </w:tc>
        <w:tc>
          <w:tcPr>
            <w:tcW w:w="3509" w:type="dxa"/>
            <w:noWrap w:val="0"/>
            <w:vAlign w:val="top"/>
          </w:tcPr>
          <w:p w14:paraId="7324CB6E">
            <w:pPr>
              <w:spacing w:line="400" w:lineRule="exact"/>
              <w:rPr>
                <w:rFonts w:hint="eastAsia" w:ascii="宋体" w:hAnsi="宋体" w:eastAsia="宋体" w:cs="宋体"/>
                <w:snapToGrid w:val="0"/>
                <w:szCs w:val="21"/>
              </w:rPr>
            </w:pPr>
          </w:p>
        </w:tc>
      </w:tr>
      <w:tr w14:paraId="0EBA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DC7FD9A">
            <w:pPr>
              <w:spacing w:line="400" w:lineRule="exact"/>
              <w:rPr>
                <w:rFonts w:hint="eastAsia" w:ascii="宋体" w:hAnsi="宋体" w:eastAsia="宋体" w:cs="宋体"/>
                <w:snapToGrid w:val="0"/>
                <w:szCs w:val="21"/>
              </w:rPr>
            </w:pPr>
          </w:p>
        </w:tc>
        <w:tc>
          <w:tcPr>
            <w:tcW w:w="3925" w:type="dxa"/>
            <w:noWrap w:val="0"/>
            <w:vAlign w:val="top"/>
          </w:tcPr>
          <w:p w14:paraId="7C889D64">
            <w:pPr>
              <w:autoSpaceDE w:val="0"/>
              <w:autoSpaceDN w:val="0"/>
              <w:adjustRightInd w:val="0"/>
              <w:spacing w:line="400" w:lineRule="exact"/>
              <w:textAlignment w:val="baseline"/>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冷却水量（28℃时）：L/min</w:t>
            </w:r>
          </w:p>
        </w:tc>
        <w:tc>
          <w:tcPr>
            <w:tcW w:w="3509" w:type="dxa"/>
            <w:noWrap w:val="0"/>
            <w:vAlign w:val="top"/>
          </w:tcPr>
          <w:p w14:paraId="3F45B429">
            <w:pPr>
              <w:spacing w:line="400" w:lineRule="exact"/>
              <w:rPr>
                <w:rFonts w:hint="eastAsia" w:ascii="宋体" w:hAnsi="宋体" w:eastAsia="宋体" w:cs="宋体"/>
                <w:snapToGrid w:val="0"/>
                <w:szCs w:val="21"/>
              </w:rPr>
            </w:pPr>
          </w:p>
        </w:tc>
      </w:tr>
      <w:tr w14:paraId="0FCD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93C695D">
            <w:pPr>
              <w:spacing w:line="400" w:lineRule="exact"/>
              <w:rPr>
                <w:rFonts w:hint="eastAsia" w:ascii="宋体" w:hAnsi="宋体" w:eastAsia="宋体" w:cs="宋体"/>
                <w:snapToGrid w:val="0"/>
                <w:szCs w:val="21"/>
              </w:rPr>
            </w:pPr>
          </w:p>
        </w:tc>
        <w:tc>
          <w:tcPr>
            <w:tcW w:w="3925" w:type="dxa"/>
            <w:noWrap w:val="0"/>
            <w:vAlign w:val="top"/>
          </w:tcPr>
          <w:p w14:paraId="56E83142">
            <w:pPr>
              <w:autoSpaceDE w:val="0"/>
              <w:autoSpaceDN w:val="0"/>
              <w:adjustRightInd w:val="0"/>
              <w:spacing w:line="400" w:lineRule="exact"/>
              <w:textAlignment w:val="baseline"/>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冷却水压（28℃时）：MPa</w:t>
            </w:r>
          </w:p>
        </w:tc>
        <w:tc>
          <w:tcPr>
            <w:tcW w:w="3509" w:type="dxa"/>
            <w:noWrap w:val="0"/>
            <w:vAlign w:val="top"/>
          </w:tcPr>
          <w:p w14:paraId="359B0D9D">
            <w:pPr>
              <w:spacing w:line="400" w:lineRule="exact"/>
              <w:rPr>
                <w:rFonts w:hint="eastAsia" w:ascii="宋体" w:hAnsi="宋体" w:eastAsia="宋体" w:cs="宋体"/>
                <w:snapToGrid w:val="0"/>
                <w:szCs w:val="21"/>
              </w:rPr>
            </w:pPr>
          </w:p>
        </w:tc>
      </w:tr>
      <w:tr w14:paraId="5A98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6EE37CC">
            <w:pPr>
              <w:spacing w:line="400" w:lineRule="exact"/>
              <w:rPr>
                <w:rFonts w:hint="eastAsia" w:ascii="宋体" w:hAnsi="宋体" w:eastAsia="宋体" w:cs="宋体"/>
                <w:snapToGrid w:val="0"/>
                <w:szCs w:val="21"/>
              </w:rPr>
            </w:pPr>
          </w:p>
        </w:tc>
        <w:tc>
          <w:tcPr>
            <w:tcW w:w="3925" w:type="dxa"/>
            <w:noWrap w:val="0"/>
            <w:vAlign w:val="top"/>
          </w:tcPr>
          <w:p w14:paraId="2311C8BE">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油槽油量及油牌号</w:t>
            </w:r>
          </w:p>
        </w:tc>
        <w:tc>
          <w:tcPr>
            <w:tcW w:w="3509" w:type="dxa"/>
            <w:noWrap w:val="0"/>
            <w:vAlign w:val="top"/>
          </w:tcPr>
          <w:p w14:paraId="611782D8">
            <w:pPr>
              <w:spacing w:line="400" w:lineRule="exact"/>
              <w:rPr>
                <w:rFonts w:hint="eastAsia" w:ascii="宋体" w:hAnsi="宋体" w:eastAsia="宋体" w:cs="宋体"/>
                <w:snapToGrid w:val="0"/>
                <w:szCs w:val="21"/>
              </w:rPr>
            </w:pPr>
          </w:p>
        </w:tc>
      </w:tr>
      <w:tr w14:paraId="4F69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1EE4322">
            <w:pPr>
              <w:spacing w:line="400" w:lineRule="exact"/>
              <w:rPr>
                <w:rFonts w:hint="eastAsia" w:ascii="宋体" w:hAnsi="宋体" w:eastAsia="宋体" w:cs="宋体"/>
                <w:snapToGrid w:val="0"/>
                <w:szCs w:val="21"/>
              </w:rPr>
            </w:pPr>
          </w:p>
        </w:tc>
        <w:tc>
          <w:tcPr>
            <w:tcW w:w="3925" w:type="dxa"/>
            <w:noWrap w:val="0"/>
            <w:vAlign w:val="top"/>
          </w:tcPr>
          <w:p w14:paraId="4416C1D0">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额定转速时推力轴承温度（℃）</w:t>
            </w:r>
          </w:p>
        </w:tc>
        <w:tc>
          <w:tcPr>
            <w:tcW w:w="3509" w:type="dxa"/>
            <w:noWrap w:val="0"/>
            <w:vAlign w:val="top"/>
          </w:tcPr>
          <w:p w14:paraId="4C54C678">
            <w:pPr>
              <w:spacing w:line="400" w:lineRule="exact"/>
              <w:rPr>
                <w:rFonts w:hint="eastAsia" w:ascii="宋体" w:hAnsi="宋体" w:eastAsia="宋体" w:cs="宋体"/>
                <w:snapToGrid w:val="0"/>
                <w:szCs w:val="21"/>
              </w:rPr>
            </w:pPr>
          </w:p>
        </w:tc>
      </w:tr>
      <w:tr w14:paraId="25A9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6FD4FF5">
            <w:pPr>
              <w:spacing w:line="400" w:lineRule="exact"/>
              <w:rPr>
                <w:rFonts w:hint="eastAsia" w:ascii="宋体" w:hAnsi="宋体" w:eastAsia="宋体" w:cs="宋体"/>
                <w:snapToGrid w:val="0"/>
                <w:szCs w:val="21"/>
              </w:rPr>
            </w:pPr>
          </w:p>
        </w:tc>
        <w:tc>
          <w:tcPr>
            <w:tcW w:w="3925" w:type="dxa"/>
            <w:noWrap w:val="0"/>
            <w:vAlign w:val="top"/>
          </w:tcPr>
          <w:p w14:paraId="70EA576C">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飞逸转速（5min）推力轴承温度（℃）</w:t>
            </w:r>
          </w:p>
        </w:tc>
        <w:tc>
          <w:tcPr>
            <w:tcW w:w="3509" w:type="dxa"/>
            <w:noWrap w:val="0"/>
            <w:vAlign w:val="top"/>
          </w:tcPr>
          <w:p w14:paraId="6B91A3C5">
            <w:pPr>
              <w:spacing w:line="400" w:lineRule="exact"/>
              <w:rPr>
                <w:rFonts w:hint="eastAsia" w:ascii="宋体" w:hAnsi="宋体" w:eastAsia="宋体" w:cs="宋体"/>
                <w:snapToGrid w:val="0"/>
                <w:szCs w:val="21"/>
              </w:rPr>
            </w:pPr>
          </w:p>
        </w:tc>
      </w:tr>
      <w:tr w14:paraId="6CC8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07B7A0E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22</w:t>
            </w:r>
          </w:p>
        </w:tc>
        <w:tc>
          <w:tcPr>
            <w:tcW w:w="3925" w:type="dxa"/>
            <w:noWrap w:val="0"/>
            <w:vAlign w:val="top"/>
          </w:tcPr>
          <w:p w14:paraId="62426020">
            <w:pPr>
              <w:spacing w:line="400" w:lineRule="exact"/>
              <w:rPr>
                <w:rFonts w:hint="eastAsia" w:ascii="宋体" w:hAnsi="宋体" w:eastAsia="宋体" w:cs="宋体"/>
                <w:snapToGrid w:val="0"/>
                <w:szCs w:val="21"/>
              </w:rPr>
            </w:pPr>
            <w:r>
              <w:rPr>
                <w:rFonts w:hint="eastAsia" w:ascii="宋体" w:hAnsi="宋体" w:eastAsia="宋体" w:cs="宋体"/>
                <w:szCs w:val="21"/>
              </w:rPr>
              <w:t>下导轴承：</w:t>
            </w:r>
          </w:p>
        </w:tc>
        <w:tc>
          <w:tcPr>
            <w:tcW w:w="3509" w:type="dxa"/>
            <w:noWrap w:val="0"/>
            <w:vAlign w:val="top"/>
          </w:tcPr>
          <w:p w14:paraId="7D6E0189">
            <w:pPr>
              <w:spacing w:line="400" w:lineRule="exact"/>
              <w:rPr>
                <w:rFonts w:hint="eastAsia" w:ascii="宋体" w:hAnsi="宋体" w:eastAsia="宋体" w:cs="宋体"/>
                <w:b/>
                <w:snapToGrid w:val="0"/>
                <w:szCs w:val="21"/>
              </w:rPr>
            </w:pPr>
          </w:p>
        </w:tc>
      </w:tr>
      <w:tr w14:paraId="675A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5DC7626">
            <w:pPr>
              <w:spacing w:line="400" w:lineRule="exact"/>
              <w:rPr>
                <w:rFonts w:hint="eastAsia" w:ascii="宋体" w:hAnsi="宋体" w:eastAsia="宋体" w:cs="宋体"/>
                <w:snapToGrid w:val="0"/>
                <w:szCs w:val="21"/>
              </w:rPr>
            </w:pPr>
          </w:p>
        </w:tc>
        <w:tc>
          <w:tcPr>
            <w:tcW w:w="3925" w:type="dxa"/>
            <w:noWrap w:val="0"/>
            <w:vAlign w:val="top"/>
          </w:tcPr>
          <w:p w14:paraId="5E694D82">
            <w:pPr>
              <w:autoSpaceDE w:val="0"/>
              <w:autoSpaceDN w:val="0"/>
              <w:adjustRightInd w:val="0"/>
              <w:spacing w:line="400" w:lineRule="exact"/>
              <w:textAlignment w:val="baseline"/>
              <w:rPr>
                <w:rFonts w:hint="eastAsia" w:ascii="宋体" w:hAnsi="宋体" w:eastAsia="宋体" w:cs="宋体"/>
                <w:szCs w:val="21"/>
              </w:rPr>
            </w:pPr>
            <w:r>
              <w:rPr>
                <w:rFonts w:hint="eastAsia" w:ascii="宋体" w:hAnsi="宋体" w:eastAsia="宋体" w:cs="宋体"/>
                <w:szCs w:val="21"/>
              </w:rPr>
              <w:t>--下导轴承</w:t>
            </w:r>
            <w:r>
              <w:rPr>
                <w:rFonts w:hint="eastAsia" w:ascii="宋体" w:hAnsi="宋体" w:eastAsia="宋体" w:cs="宋体"/>
                <w:snapToGrid w:val="0"/>
                <w:szCs w:val="21"/>
              </w:rPr>
              <w:t>瓦材料</w:t>
            </w:r>
          </w:p>
        </w:tc>
        <w:tc>
          <w:tcPr>
            <w:tcW w:w="3509" w:type="dxa"/>
            <w:noWrap w:val="0"/>
            <w:vAlign w:val="top"/>
          </w:tcPr>
          <w:p w14:paraId="0C1F3845">
            <w:pPr>
              <w:spacing w:line="400" w:lineRule="exact"/>
              <w:rPr>
                <w:rFonts w:hint="eastAsia" w:ascii="宋体" w:hAnsi="宋体" w:eastAsia="宋体" w:cs="宋体"/>
                <w:snapToGrid w:val="0"/>
                <w:szCs w:val="21"/>
              </w:rPr>
            </w:pPr>
          </w:p>
        </w:tc>
      </w:tr>
      <w:tr w14:paraId="2757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9385A11">
            <w:pPr>
              <w:spacing w:line="400" w:lineRule="exact"/>
              <w:rPr>
                <w:rFonts w:hint="eastAsia" w:ascii="宋体" w:hAnsi="宋体" w:eastAsia="宋体" w:cs="宋体"/>
                <w:snapToGrid w:val="0"/>
                <w:szCs w:val="21"/>
              </w:rPr>
            </w:pPr>
          </w:p>
        </w:tc>
        <w:tc>
          <w:tcPr>
            <w:tcW w:w="3925" w:type="dxa"/>
            <w:noWrap w:val="0"/>
            <w:vAlign w:val="top"/>
          </w:tcPr>
          <w:p w14:paraId="5A684A35">
            <w:pPr>
              <w:autoSpaceDE w:val="0"/>
              <w:autoSpaceDN w:val="0"/>
              <w:adjustRightInd w:val="0"/>
              <w:spacing w:line="400" w:lineRule="exact"/>
              <w:textAlignment w:val="baseline"/>
              <w:rPr>
                <w:rFonts w:hint="eastAsia" w:ascii="宋体" w:hAnsi="宋体" w:eastAsia="宋体" w:cs="宋体"/>
                <w:szCs w:val="21"/>
              </w:rPr>
            </w:pPr>
            <w:r>
              <w:rPr>
                <w:rFonts w:hint="eastAsia" w:ascii="宋体" w:hAnsi="宋体" w:eastAsia="宋体" w:cs="宋体"/>
                <w:szCs w:val="21"/>
              </w:rPr>
              <w:t>--下导</w:t>
            </w:r>
            <w:r>
              <w:rPr>
                <w:rFonts w:hint="eastAsia" w:ascii="宋体" w:hAnsi="宋体" w:eastAsia="宋体" w:cs="宋体"/>
                <w:snapToGrid w:val="0"/>
                <w:szCs w:val="21"/>
              </w:rPr>
              <w:t>轴承支承型式</w:t>
            </w:r>
          </w:p>
        </w:tc>
        <w:tc>
          <w:tcPr>
            <w:tcW w:w="3509" w:type="dxa"/>
            <w:noWrap w:val="0"/>
            <w:vAlign w:val="top"/>
          </w:tcPr>
          <w:p w14:paraId="19E2CEB0">
            <w:pPr>
              <w:spacing w:line="400" w:lineRule="exact"/>
              <w:rPr>
                <w:rFonts w:hint="eastAsia" w:ascii="宋体" w:hAnsi="宋体" w:eastAsia="宋体" w:cs="宋体"/>
                <w:snapToGrid w:val="0"/>
                <w:szCs w:val="21"/>
              </w:rPr>
            </w:pPr>
          </w:p>
        </w:tc>
      </w:tr>
      <w:tr w14:paraId="2C97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F6BE54E">
            <w:pPr>
              <w:spacing w:line="400" w:lineRule="exact"/>
              <w:rPr>
                <w:rFonts w:hint="eastAsia" w:ascii="宋体" w:hAnsi="宋体" w:eastAsia="宋体" w:cs="宋体"/>
                <w:snapToGrid w:val="0"/>
                <w:szCs w:val="21"/>
              </w:rPr>
            </w:pPr>
          </w:p>
        </w:tc>
        <w:tc>
          <w:tcPr>
            <w:tcW w:w="3925" w:type="dxa"/>
            <w:noWrap w:val="0"/>
            <w:vAlign w:val="top"/>
          </w:tcPr>
          <w:p w14:paraId="7683D8DC">
            <w:pPr>
              <w:autoSpaceDE w:val="0"/>
              <w:autoSpaceDN w:val="0"/>
              <w:adjustRightInd w:val="0"/>
              <w:spacing w:line="400" w:lineRule="exact"/>
              <w:textAlignment w:val="baseline"/>
              <w:rPr>
                <w:rFonts w:hint="eastAsia" w:ascii="宋体" w:hAnsi="宋体" w:eastAsia="宋体" w:cs="宋体"/>
                <w:szCs w:val="21"/>
              </w:rPr>
            </w:pPr>
            <w:r>
              <w:rPr>
                <w:rFonts w:hint="eastAsia" w:ascii="宋体" w:hAnsi="宋体" w:eastAsia="宋体" w:cs="宋体"/>
                <w:szCs w:val="21"/>
              </w:rPr>
              <w:t>--下导</w:t>
            </w:r>
            <w:r>
              <w:rPr>
                <w:rFonts w:hint="eastAsia" w:ascii="宋体" w:hAnsi="宋体" w:eastAsia="宋体" w:cs="宋体"/>
                <w:snapToGrid w:val="0"/>
                <w:szCs w:val="21"/>
              </w:rPr>
              <w:t>轴承负荷（t）</w:t>
            </w:r>
          </w:p>
        </w:tc>
        <w:tc>
          <w:tcPr>
            <w:tcW w:w="3509" w:type="dxa"/>
            <w:noWrap w:val="0"/>
            <w:vAlign w:val="top"/>
          </w:tcPr>
          <w:p w14:paraId="7324F443">
            <w:pPr>
              <w:spacing w:line="400" w:lineRule="exact"/>
              <w:rPr>
                <w:rFonts w:hint="eastAsia" w:ascii="宋体" w:hAnsi="宋体" w:eastAsia="宋体" w:cs="宋体"/>
                <w:snapToGrid w:val="0"/>
                <w:szCs w:val="21"/>
              </w:rPr>
            </w:pPr>
          </w:p>
        </w:tc>
      </w:tr>
      <w:tr w14:paraId="7E7C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23BE3B7">
            <w:pPr>
              <w:spacing w:line="400" w:lineRule="exact"/>
              <w:rPr>
                <w:rFonts w:hint="eastAsia" w:ascii="宋体" w:hAnsi="宋体" w:eastAsia="宋体" w:cs="宋体"/>
                <w:snapToGrid w:val="0"/>
                <w:szCs w:val="21"/>
              </w:rPr>
            </w:pPr>
          </w:p>
        </w:tc>
        <w:tc>
          <w:tcPr>
            <w:tcW w:w="3925" w:type="dxa"/>
            <w:noWrap w:val="0"/>
            <w:vAlign w:val="top"/>
          </w:tcPr>
          <w:p w14:paraId="1E8A8B25">
            <w:pPr>
              <w:autoSpaceDE w:val="0"/>
              <w:autoSpaceDN w:val="0"/>
              <w:adjustRightInd w:val="0"/>
              <w:spacing w:line="400" w:lineRule="exact"/>
              <w:textAlignment w:val="baseline"/>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冷却水量（28℃时）：L/min</w:t>
            </w:r>
          </w:p>
        </w:tc>
        <w:tc>
          <w:tcPr>
            <w:tcW w:w="3509" w:type="dxa"/>
            <w:noWrap w:val="0"/>
            <w:vAlign w:val="top"/>
          </w:tcPr>
          <w:p w14:paraId="75448895">
            <w:pPr>
              <w:spacing w:line="400" w:lineRule="exact"/>
              <w:rPr>
                <w:rFonts w:hint="eastAsia" w:ascii="宋体" w:hAnsi="宋体" w:eastAsia="宋体" w:cs="宋体"/>
                <w:snapToGrid w:val="0"/>
                <w:szCs w:val="21"/>
              </w:rPr>
            </w:pPr>
          </w:p>
        </w:tc>
      </w:tr>
      <w:tr w14:paraId="6952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D8CD31C">
            <w:pPr>
              <w:spacing w:line="400" w:lineRule="exact"/>
              <w:rPr>
                <w:rFonts w:hint="eastAsia" w:ascii="宋体" w:hAnsi="宋体" w:eastAsia="宋体" w:cs="宋体"/>
                <w:snapToGrid w:val="0"/>
                <w:szCs w:val="21"/>
              </w:rPr>
            </w:pPr>
          </w:p>
        </w:tc>
        <w:tc>
          <w:tcPr>
            <w:tcW w:w="3925" w:type="dxa"/>
            <w:noWrap w:val="0"/>
            <w:vAlign w:val="top"/>
          </w:tcPr>
          <w:p w14:paraId="39BAFDEB">
            <w:pPr>
              <w:autoSpaceDE w:val="0"/>
              <w:autoSpaceDN w:val="0"/>
              <w:adjustRightInd w:val="0"/>
              <w:spacing w:line="400" w:lineRule="exact"/>
              <w:textAlignment w:val="baseline"/>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冷却水压（28℃时）：MPa</w:t>
            </w:r>
          </w:p>
        </w:tc>
        <w:tc>
          <w:tcPr>
            <w:tcW w:w="3509" w:type="dxa"/>
            <w:noWrap w:val="0"/>
            <w:vAlign w:val="top"/>
          </w:tcPr>
          <w:p w14:paraId="077BE090">
            <w:pPr>
              <w:spacing w:line="400" w:lineRule="exact"/>
              <w:rPr>
                <w:rFonts w:hint="eastAsia" w:ascii="宋体" w:hAnsi="宋体" w:eastAsia="宋体" w:cs="宋体"/>
                <w:snapToGrid w:val="0"/>
                <w:szCs w:val="21"/>
              </w:rPr>
            </w:pPr>
          </w:p>
        </w:tc>
      </w:tr>
      <w:tr w14:paraId="600D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0CE85667">
            <w:pPr>
              <w:spacing w:line="400" w:lineRule="exact"/>
              <w:rPr>
                <w:rFonts w:hint="eastAsia" w:ascii="宋体" w:hAnsi="宋体" w:eastAsia="宋体" w:cs="宋体"/>
                <w:snapToGrid w:val="0"/>
                <w:szCs w:val="21"/>
              </w:rPr>
            </w:pPr>
          </w:p>
        </w:tc>
        <w:tc>
          <w:tcPr>
            <w:tcW w:w="3925" w:type="dxa"/>
            <w:noWrap w:val="0"/>
            <w:vAlign w:val="top"/>
          </w:tcPr>
          <w:p w14:paraId="0DEB43A3">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油槽油量及油牌号</w:t>
            </w:r>
          </w:p>
        </w:tc>
        <w:tc>
          <w:tcPr>
            <w:tcW w:w="3509" w:type="dxa"/>
            <w:noWrap w:val="0"/>
            <w:vAlign w:val="top"/>
          </w:tcPr>
          <w:p w14:paraId="7B3E98D6">
            <w:pPr>
              <w:spacing w:line="400" w:lineRule="exact"/>
              <w:rPr>
                <w:rFonts w:hint="eastAsia" w:ascii="宋体" w:hAnsi="宋体" w:eastAsia="宋体" w:cs="宋体"/>
                <w:snapToGrid w:val="0"/>
                <w:szCs w:val="21"/>
              </w:rPr>
            </w:pPr>
          </w:p>
        </w:tc>
      </w:tr>
      <w:tr w14:paraId="5C1F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5688C17">
            <w:pPr>
              <w:spacing w:line="400" w:lineRule="exact"/>
              <w:rPr>
                <w:rFonts w:hint="eastAsia" w:ascii="宋体" w:hAnsi="宋体" w:eastAsia="宋体" w:cs="宋体"/>
                <w:snapToGrid w:val="0"/>
                <w:szCs w:val="21"/>
              </w:rPr>
            </w:pPr>
          </w:p>
        </w:tc>
        <w:tc>
          <w:tcPr>
            <w:tcW w:w="3925" w:type="dxa"/>
            <w:noWrap w:val="0"/>
            <w:vAlign w:val="top"/>
          </w:tcPr>
          <w:p w14:paraId="013BFFAE">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额定转速时</w:t>
            </w:r>
            <w:r>
              <w:rPr>
                <w:rFonts w:hint="eastAsia" w:ascii="宋体" w:hAnsi="宋体" w:eastAsia="宋体" w:cs="宋体"/>
                <w:szCs w:val="21"/>
              </w:rPr>
              <w:t>径向</w:t>
            </w:r>
            <w:r>
              <w:rPr>
                <w:rFonts w:hint="eastAsia" w:ascii="宋体" w:hAnsi="宋体" w:eastAsia="宋体" w:cs="宋体"/>
                <w:snapToGrid w:val="0"/>
                <w:szCs w:val="21"/>
              </w:rPr>
              <w:t>轴承温度（℃）</w:t>
            </w:r>
          </w:p>
        </w:tc>
        <w:tc>
          <w:tcPr>
            <w:tcW w:w="3509" w:type="dxa"/>
            <w:noWrap w:val="0"/>
            <w:vAlign w:val="top"/>
          </w:tcPr>
          <w:p w14:paraId="082C52BD">
            <w:pPr>
              <w:spacing w:line="400" w:lineRule="exact"/>
              <w:rPr>
                <w:rFonts w:hint="eastAsia" w:ascii="宋体" w:hAnsi="宋体" w:eastAsia="宋体" w:cs="宋体"/>
                <w:snapToGrid w:val="0"/>
                <w:szCs w:val="21"/>
              </w:rPr>
            </w:pPr>
          </w:p>
        </w:tc>
      </w:tr>
      <w:tr w14:paraId="3434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A55389A">
            <w:pPr>
              <w:spacing w:line="400" w:lineRule="exact"/>
              <w:rPr>
                <w:rFonts w:hint="eastAsia" w:ascii="宋体" w:hAnsi="宋体" w:eastAsia="宋体" w:cs="宋体"/>
                <w:snapToGrid w:val="0"/>
                <w:szCs w:val="21"/>
              </w:rPr>
            </w:pPr>
          </w:p>
        </w:tc>
        <w:tc>
          <w:tcPr>
            <w:tcW w:w="3925" w:type="dxa"/>
            <w:noWrap w:val="0"/>
            <w:vAlign w:val="top"/>
          </w:tcPr>
          <w:p w14:paraId="31E309C2">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飞逸转速（5min）</w:t>
            </w:r>
            <w:r>
              <w:rPr>
                <w:rFonts w:hint="eastAsia" w:ascii="宋体" w:hAnsi="宋体" w:eastAsia="宋体" w:cs="宋体"/>
                <w:szCs w:val="21"/>
              </w:rPr>
              <w:t>径向</w:t>
            </w:r>
            <w:r>
              <w:rPr>
                <w:rFonts w:hint="eastAsia" w:ascii="宋体" w:hAnsi="宋体" w:eastAsia="宋体" w:cs="宋体"/>
                <w:snapToGrid w:val="0"/>
                <w:szCs w:val="21"/>
              </w:rPr>
              <w:t>轴承温度（℃）</w:t>
            </w:r>
          </w:p>
        </w:tc>
        <w:tc>
          <w:tcPr>
            <w:tcW w:w="3509" w:type="dxa"/>
            <w:noWrap w:val="0"/>
            <w:vAlign w:val="top"/>
          </w:tcPr>
          <w:p w14:paraId="63B1D472">
            <w:pPr>
              <w:spacing w:line="400" w:lineRule="exact"/>
              <w:rPr>
                <w:rFonts w:hint="eastAsia" w:ascii="宋体" w:hAnsi="宋体" w:eastAsia="宋体" w:cs="宋体"/>
                <w:snapToGrid w:val="0"/>
                <w:szCs w:val="21"/>
              </w:rPr>
            </w:pPr>
          </w:p>
        </w:tc>
      </w:tr>
      <w:tr w14:paraId="0D93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0EE5024F">
            <w:pPr>
              <w:spacing w:line="400" w:lineRule="exact"/>
              <w:rPr>
                <w:rFonts w:hint="eastAsia" w:ascii="宋体" w:hAnsi="宋体" w:eastAsia="宋体" w:cs="宋体"/>
                <w:snapToGrid w:val="0"/>
                <w:szCs w:val="21"/>
              </w:rPr>
            </w:pPr>
            <w:r>
              <w:rPr>
                <w:rFonts w:hint="eastAsia" w:ascii="宋体" w:hAnsi="宋体" w:eastAsia="宋体" w:cs="宋体"/>
                <w:snapToGrid w:val="0"/>
                <w:szCs w:val="21"/>
              </w:rPr>
              <w:t>23</w:t>
            </w:r>
          </w:p>
        </w:tc>
        <w:tc>
          <w:tcPr>
            <w:tcW w:w="7434" w:type="dxa"/>
            <w:gridSpan w:val="2"/>
            <w:noWrap w:val="0"/>
            <w:vAlign w:val="top"/>
          </w:tcPr>
          <w:p w14:paraId="40147985">
            <w:pPr>
              <w:spacing w:line="400" w:lineRule="exact"/>
              <w:rPr>
                <w:rFonts w:hint="eastAsia" w:ascii="宋体" w:hAnsi="宋体" w:eastAsia="宋体" w:cs="宋体"/>
                <w:snapToGrid w:val="0"/>
                <w:szCs w:val="21"/>
              </w:rPr>
            </w:pPr>
            <w:r>
              <w:rPr>
                <w:rFonts w:hint="eastAsia" w:ascii="宋体" w:hAnsi="宋体" w:eastAsia="宋体" w:cs="宋体"/>
                <w:snapToGrid w:val="0"/>
                <w:szCs w:val="21"/>
              </w:rPr>
              <w:t>空气冷却器：</w:t>
            </w:r>
          </w:p>
        </w:tc>
      </w:tr>
      <w:tr w14:paraId="0740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784D388">
            <w:pPr>
              <w:spacing w:line="400" w:lineRule="exact"/>
              <w:rPr>
                <w:rFonts w:hint="eastAsia" w:ascii="宋体" w:hAnsi="宋体" w:eastAsia="宋体" w:cs="宋体"/>
                <w:snapToGrid w:val="0"/>
                <w:szCs w:val="21"/>
              </w:rPr>
            </w:pPr>
          </w:p>
        </w:tc>
        <w:tc>
          <w:tcPr>
            <w:tcW w:w="3925" w:type="dxa"/>
            <w:noWrap w:val="0"/>
            <w:vAlign w:val="top"/>
          </w:tcPr>
          <w:p w14:paraId="57DF86CC">
            <w:pPr>
              <w:spacing w:line="400" w:lineRule="exact"/>
              <w:rPr>
                <w:rFonts w:hint="eastAsia" w:ascii="宋体" w:hAnsi="宋体" w:eastAsia="宋体" w:cs="宋体"/>
                <w:snapToGrid w:val="0"/>
                <w:szCs w:val="21"/>
              </w:rPr>
            </w:pPr>
            <w:r>
              <w:rPr>
                <w:rFonts w:hint="eastAsia" w:ascii="宋体" w:hAnsi="宋体" w:eastAsia="宋体" w:cs="宋体"/>
                <w:szCs w:val="21"/>
              </w:rPr>
              <w:t>--型式</w:t>
            </w:r>
          </w:p>
        </w:tc>
        <w:tc>
          <w:tcPr>
            <w:tcW w:w="3509" w:type="dxa"/>
            <w:noWrap w:val="0"/>
            <w:vAlign w:val="top"/>
          </w:tcPr>
          <w:p w14:paraId="3702C40A">
            <w:pPr>
              <w:spacing w:line="400" w:lineRule="exact"/>
              <w:rPr>
                <w:rFonts w:hint="eastAsia" w:ascii="宋体" w:hAnsi="宋体" w:eastAsia="宋体" w:cs="宋体"/>
                <w:snapToGrid w:val="0"/>
                <w:szCs w:val="21"/>
              </w:rPr>
            </w:pPr>
          </w:p>
        </w:tc>
      </w:tr>
      <w:tr w14:paraId="7A11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DD523F4">
            <w:pPr>
              <w:spacing w:line="400" w:lineRule="exact"/>
              <w:rPr>
                <w:rFonts w:hint="eastAsia" w:ascii="宋体" w:hAnsi="宋体" w:eastAsia="宋体" w:cs="宋体"/>
                <w:snapToGrid w:val="0"/>
                <w:szCs w:val="21"/>
              </w:rPr>
            </w:pPr>
          </w:p>
        </w:tc>
        <w:tc>
          <w:tcPr>
            <w:tcW w:w="3925" w:type="dxa"/>
            <w:noWrap w:val="0"/>
            <w:vAlign w:val="top"/>
          </w:tcPr>
          <w:p w14:paraId="2EAFD722">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冷却器数量</w:t>
            </w:r>
          </w:p>
        </w:tc>
        <w:tc>
          <w:tcPr>
            <w:tcW w:w="3509" w:type="dxa"/>
            <w:noWrap w:val="0"/>
            <w:vAlign w:val="top"/>
          </w:tcPr>
          <w:p w14:paraId="20CE32E3">
            <w:pPr>
              <w:spacing w:line="400" w:lineRule="exact"/>
              <w:rPr>
                <w:rFonts w:hint="eastAsia" w:ascii="宋体" w:hAnsi="宋体" w:eastAsia="宋体" w:cs="宋体"/>
                <w:snapToGrid w:val="0"/>
                <w:szCs w:val="21"/>
              </w:rPr>
            </w:pPr>
          </w:p>
        </w:tc>
      </w:tr>
      <w:tr w14:paraId="6F7D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55DF360">
            <w:pPr>
              <w:spacing w:line="400" w:lineRule="exact"/>
              <w:rPr>
                <w:rFonts w:hint="eastAsia" w:ascii="宋体" w:hAnsi="宋体" w:eastAsia="宋体" w:cs="宋体"/>
                <w:snapToGrid w:val="0"/>
                <w:szCs w:val="21"/>
              </w:rPr>
            </w:pPr>
          </w:p>
        </w:tc>
        <w:tc>
          <w:tcPr>
            <w:tcW w:w="3925" w:type="dxa"/>
            <w:noWrap w:val="0"/>
            <w:vAlign w:val="top"/>
          </w:tcPr>
          <w:p w14:paraId="6FA4C22C">
            <w:pPr>
              <w:spacing w:line="400" w:lineRule="exact"/>
              <w:rPr>
                <w:rFonts w:hint="eastAsia" w:ascii="宋体" w:hAnsi="宋体" w:eastAsia="宋体" w:cs="宋体"/>
                <w:snapToGrid w:val="0"/>
                <w:szCs w:val="21"/>
              </w:rPr>
            </w:pPr>
            <w:r>
              <w:rPr>
                <w:rFonts w:hint="eastAsia" w:ascii="宋体" w:hAnsi="宋体" w:eastAsia="宋体" w:cs="宋体"/>
                <w:szCs w:val="21"/>
              </w:rPr>
              <w:t>--</w:t>
            </w:r>
            <w:r>
              <w:rPr>
                <w:rFonts w:hint="eastAsia" w:ascii="宋体" w:hAnsi="宋体" w:eastAsia="宋体" w:cs="宋体"/>
                <w:snapToGrid w:val="0"/>
                <w:szCs w:val="21"/>
              </w:rPr>
              <w:t>冷却水管材料</w:t>
            </w:r>
          </w:p>
        </w:tc>
        <w:tc>
          <w:tcPr>
            <w:tcW w:w="3509" w:type="dxa"/>
            <w:noWrap w:val="0"/>
            <w:vAlign w:val="top"/>
          </w:tcPr>
          <w:p w14:paraId="24DF9090">
            <w:pPr>
              <w:spacing w:line="400" w:lineRule="exact"/>
              <w:rPr>
                <w:rFonts w:hint="eastAsia" w:ascii="宋体" w:hAnsi="宋体" w:eastAsia="宋体" w:cs="宋体"/>
                <w:snapToGrid w:val="0"/>
                <w:szCs w:val="21"/>
              </w:rPr>
            </w:pPr>
          </w:p>
        </w:tc>
      </w:tr>
      <w:tr w14:paraId="2338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C88C3B7">
            <w:pPr>
              <w:spacing w:line="400" w:lineRule="exact"/>
              <w:rPr>
                <w:rFonts w:hint="eastAsia" w:ascii="宋体" w:hAnsi="宋体" w:eastAsia="宋体" w:cs="宋体"/>
                <w:snapToGrid w:val="0"/>
                <w:szCs w:val="21"/>
              </w:rPr>
            </w:pPr>
          </w:p>
        </w:tc>
        <w:tc>
          <w:tcPr>
            <w:tcW w:w="3925" w:type="dxa"/>
            <w:noWrap w:val="0"/>
            <w:vAlign w:val="top"/>
          </w:tcPr>
          <w:p w14:paraId="40808704">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冷却水量与水压（L/min / MPa）</w:t>
            </w:r>
          </w:p>
        </w:tc>
        <w:tc>
          <w:tcPr>
            <w:tcW w:w="3509" w:type="dxa"/>
            <w:noWrap w:val="0"/>
            <w:vAlign w:val="top"/>
          </w:tcPr>
          <w:p w14:paraId="314919C7">
            <w:pPr>
              <w:spacing w:line="400" w:lineRule="exact"/>
              <w:rPr>
                <w:rFonts w:hint="eastAsia" w:ascii="宋体" w:hAnsi="宋体" w:eastAsia="宋体" w:cs="宋体"/>
                <w:snapToGrid w:val="0"/>
                <w:szCs w:val="21"/>
              </w:rPr>
            </w:pPr>
          </w:p>
        </w:tc>
      </w:tr>
      <w:tr w14:paraId="01D9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16CE961">
            <w:pPr>
              <w:spacing w:line="400" w:lineRule="exact"/>
              <w:rPr>
                <w:rFonts w:hint="eastAsia" w:ascii="宋体" w:hAnsi="宋体" w:eastAsia="宋体" w:cs="宋体"/>
                <w:snapToGrid w:val="0"/>
                <w:szCs w:val="21"/>
              </w:rPr>
            </w:pPr>
          </w:p>
        </w:tc>
        <w:tc>
          <w:tcPr>
            <w:tcW w:w="3925" w:type="dxa"/>
            <w:noWrap w:val="0"/>
            <w:vAlign w:val="top"/>
          </w:tcPr>
          <w:p w14:paraId="095408BB">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通过每个冷却器的水头损失（mH</w:t>
            </w:r>
            <w:r>
              <w:rPr>
                <w:rFonts w:hint="eastAsia" w:ascii="宋体" w:hAnsi="宋体" w:eastAsia="宋体" w:cs="宋体"/>
                <w:snapToGrid w:val="0"/>
                <w:szCs w:val="21"/>
                <w:vertAlign w:val="subscript"/>
              </w:rPr>
              <w:t>2</w:t>
            </w:r>
            <w:r>
              <w:rPr>
                <w:rFonts w:hint="eastAsia" w:ascii="宋体" w:hAnsi="宋体" w:eastAsia="宋体" w:cs="宋体"/>
                <w:snapToGrid w:val="0"/>
                <w:szCs w:val="21"/>
              </w:rPr>
              <w:t>O）</w:t>
            </w:r>
          </w:p>
        </w:tc>
        <w:tc>
          <w:tcPr>
            <w:tcW w:w="3509" w:type="dxa"/>
            <w:noWrap w:val="0"/>
            <w:vAlign w:val="top"/>
          </w:tcPr>
          <w:p w14:paraId="11AEFB46">
            <w:pPr>
              <w:spacing w:line="400" w:lineRule="exact"/>
              <w:rPr>
                <w:rFonts w:hint="eastAsia" w:ascii="宋体" w:hAnsi="宋体" w:eastAsia="宋体" w:cs="宋体"/>
                <w:snapToGrid w:val="0"/>
                <w:szCs w:val="21"/>
              </w:rPr>
            </w:pPr>
          </w:p>
        </w:tc>
      </w:tr>
      <w:tr w14:paraId="14BA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1B5F431">
            <w:pPr>
              <w:spacing w:line="400" w:lineRule="exact"/>
              <w:rPr>
                <w:rFonts w:hint="eastAsia" w:ascii="宋体" w:hAnsi="宋体" w:eastAsia="宋体" w:cs="宋体"/>
                <w:snapToGrid w:val="0"/>
                <w:szCs w:val="21"/>
              </w:rPr>
            </w:pPr>
          </w:p>
        </w:tc>
        <w:tc>
          <w:tcPr>
            <w:tcW w:w="3925" w:type="dxa"/>
            <w:noWrap w:val="0"/>
            <w:vAlign w:val="top"/>
          </w:tcPr>
          <w:p w14:paraId="745CB462">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最大工作压力（MPa）</w:t>
            </w:r>
          </w:p>
        </w:tc>
        <w:tc>
          <w:tcPr>
            <w:tcW w:w="3509" w:type="dxa"/>
            <w:noWrap w:val="0"/>
            <w:vAlign w:val="top"/>
          </w:tcPr>
          <w:p w14:paraId="34BDC42D">
            <w:pPr>
              <w:spacing w:line="400" w:lineRule="exact"/>
              <w:rPr>
                <w:rFonts w:hint="eastAsia" w:ascii="宋体" w:hAnsi="宋体" w:eastAsia="宋体" w:cs="宋体"/>
                <w:snapToGrid w:val="0"/>
                <w:szCs w:val="21"/>
              </w:rPr>
            </w:pPr>
          </w:p>
        </w:tc>
      </w:tr>
      <w:tr w14:paraId="0BDB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2952A7C">
            <w:pPr>
              <w:spacing w:line="400" w:lineRule="exact"/>
              <w:rPr>
                <w:rFonts w:hint="eastAsia" w:ascii="宋体" w:hAnsi="宋体" w:eastAsia="宋体" w:cs="宋体"/>
                <w:snapToGrid w:val="0"/>
                <w:szCs w:val="21"/>
              </w:rPr>
            </w:pPr>
          </w:p>
        </w:tc>
        <w:tc>
          <w:tcPr>
            <w:tcW w:w="3925" w:type="dxa"/>
            <w:noWrap w:val="0"/>
            <w:vAlign w:val="top"/>
          </w:tcPr>
          <w:p w14:paraId="4D6573A5">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最大耐压（MPa）</w:t>
            </w:r>
          </w:p>
        </w:tc>
        <w:tc>
          <w:tcPr>
            <w:tcW w:w="3509" w:type="dxa"/>
            <w:noWrap w:val="0"/>
            <w:vAlign w:val="top"/>
          </w:tcPr>
          <w:p w14:paraId="6F67E75B">
            <w:pPr>
              <w:spacing w:line="400" w:lineRule="exact"/>
              <w:rPr>
                <w:rFonts w:hint="eastAsia" w:ascii="宋体" w:hAnsi="宋体" w:eastAsia="宋体" w:cs="宋体"/>
                <w:snapToGrid w:val="0"/>
                <w:szCs w:val="21"/>
              </w:rPr>
            </w:pPr>
          </w:p>
        </w:tc>
      </w:tr>
      <w:tr w14:paraId="3790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150EBF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24</w:t>
            </w:r>
          </w:p>
        </w:tc>
        <w:tc>
          <w:tcPr>
            <w:tcW w:w="7434" w:type="dxa"/>
            <w:gridSpan w:val="2"/>
            <w:noWrap w:val="0"/>
            <w:vAlign w:val="top"/>
          </w:tcPr>
          <w:p w14:paraId="1867E383">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机械制动装置：</w:t>
            </w:r>
          </w:p>
        </w:tc>
      </w:tr>
      <w:tr w14:paraId="1185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0C86AF3">
            <w:pPr>
              <w:spacing w:line="400" w:lineRule="exact"/>
              <w:rPr>
                <w:rFonts w:hint="eastAsia" w:ascii="宋体" w:hAnsi="宋体" w:eastAsia="宋体" w:cs="宋体"/>
                <w:snapToGrid w:val="0"/>
                <w:szCs w:val="21"/>
              </w:rPr>
            </w:pPr>
          </w:p>
        </w:tc>
        <w:tc>
          <w:tcPr>
            <w:tcW w:w="3925" w:type="dxa"/>
            <w:noWrap w:val="0"/>
            <w:vAlign w:val="top"/>
          </w:tcPr>
          <w:p w14:paraId="031E494E">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制动块数量</w:t>
            </w:r>
          </w:p>
        </w:tc>
        <w:tc>
          <w:tcPr>
            <w:tcW w:w="3509" w:type="dxa"/>
            <w:noWrap w:val="0"/>
            <w:vAlign w:val="top"/>
          </w:tcPr>
          <w:p w14:paraId="2942DCD7">
            <w:pPr>
              <w:spacing w:line="400" w:lineRule="exact"/>
              <w:rPr>
                <w:rFonts w:hint="eastAsia" w:ascii="宋体" w:hAnsi="宋体" w:eastAsia="宋体" w:cs="宋体"/>
                <w:snapToGrid w:val="0"/>
                <w:szCs w:val="21"/>
              </w:rPr>
            </w:pPr>
          </w:p>
        </w:tc>
      </w:tr>
      <w:tr w14:paraId="0CB2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20106CB">
            <w:pPr>
              <w:spacing w:line="400" w:lineRule="exact"/>
              <w:rPr>
                <w:rFonts w:hint="eastAsia" w:ascii="宋体" w:hAnsi="宋体" w:eastAsia="宋体" w:cs="宋体"/>
                <w:snapToGrid w:val="0"/>
                <w:szCs w:val="21"/>
              </w:rPr>
            </w:pPr>
          </w:p>
        </w:tc>
        <w:tc>
          <w:tcPr>
            <w:tcW w:w="3925" w:type="dxa"/>
            <w:noWrap w:val="0"/>
            <w:vAlign w:val="top"/>
          </w:tcPr>
          <w:p w14:paraId="61E3C2A8">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制动瓦材料</w:t>
            </w:r>
          </w:p>
        </w:tc>
        <w:tc>
          <w:tcPr>
            <w:tcW w:w="3509" w:type="dxa"/>
            <w:noWrap w:val="0"/>
            <w:vAlign w:val="top"/>
          </w:tcPr>
          <w:p w14:paraId="02A237CE">
            <w:pPr>
              <w:spacing w:line="400" w:lineRule="exact"/>
              <w:rPr>
                <w:rFonts w:hint="eastAsia" w:ascii="宋体" w:hAnsi="宋体" w:eastAsia="宋体" w:cs="宋体"/>
                <w:snapToGrid w:val="0"/>
                <w:szCs w:val="21"/>
              </w:rPr>
            </w:pPr>
          </w:p>
        </w:tc>
      </w:tr>
      <w:tr w14:paraId="6C91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34AC8B5">
            <w:pPr>
              <w:spacing w:line="400" w:lineRule="exact"/>
              <w:rPr>
                <w:rFonts w:hint="eastAsia" w:ascii="宋体" w:hAnsi="宋体" w:eastAsia="宋体" w:cs="宋体"/>
                <w:snapToGrid w:val="0"/>
                <w:szCs w:val="21"/>
              </w:rPr>
            </w:pPr>
          </w:p>
        </w:tc>
        <w:tc>
          <w:tcPr>
            <w:tcW w:w="3925" w:type="dxa"/>
            <w:noWrap w:val="0"/>
            <w:vAlign w:val="top"/>
          </w:tcPr>
          <w:p w14:paraId="14091884">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投入机械制动时转速相对值（%）</w:t>
            </w:r>
          </w:p>
        </w:tc>
        <w:tc>
          <w:tcPr>
            <w:tcW w:w="3509" w:type="dxa"/>
            <w:noWrap w:val="0"/>
            <w:vAlign w:val="top"/>
          </w:tcPr>
          <w:p w14:paraId="70DB0CC8">
            <w:pPr>
              <w:spacing w:line="400" w:lineRule="exact"/>
              <w:rPr>
                <w:rFonts w:hint="eastAsia" w:ascii="宋体" w:hAnsi="宋体" w:eastAsia="宋体" w:cs="宋体"/>
                <w:snapToGrid w:val="0"/>
                <w:szCs w:val="21"/>
              </w:rPr>
            </w:pPr>
          </w:p>
        </w:tc>
      </w:tr>
      <w:tr w14:paraId="0902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834F6A6">
            <w:pPr>
              <w:spacing w:line="400" w:lineRule="exact"/>
              <w:rPr>
                <w:rFonts w:hint="eastAsia" w:ascii="宋体" w:hAnsi="宋体" w:eastAsia="宋体" w:cs="宋体"/>
                <w:snapToGrid w:val="0"/>
                <w:szCs w:val="21"/>
              </w:rPr>
            </w:pPr>
          </w:p>
        </w:tc>
        <w:tc>
          <w:tcPr>
            <w:tcW w:w="3925" w:type="dxa"/>
            <w:noWrap w:val="0"/>
            <w:vAlign w:val="top"/>
          </w:tcPr>
          <w:p w14:paraId="344942EE">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工作压力（MPa）</w:t>
            </w:r>
          </w:p>
        </w:tc>
        <w:tc>
          <w:tcPr>
            <w:tcW w:w="3509" w:type="dxa"/>
            <w:noWrap w:val="0"/>
            <w:vAlign w:val="top"/>
          </w:tcPr>
          <w:p w14:paraId="5D50E922">
            <w:pPr>
              <w:spacing w:line="400" w:lineRule="exact"/>
              <w:rPr>
                <w:rFonts w:hint="eastAsia" w:ascii="宋体" w:hAnsi="宋体" w:eastAsia="宋体" w:cs="宋体"/>
                <w:snapToGrid w:val="0"/>
                <w:szCs w:val="21"/>
              </w:rPr>
            </w:pPr>
          </w:p>
        </w:tc>
      </w:tr>
      <w:tr w14:paraId="0662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876D9A1">
            <w:pPr>
              <w:spacing w:line="400" w:lineRule="exact"/>
              <w:rPr>
                <w:rFonts w:hint="eastAsia" w:ascii="宋体" w:hAnsi="宋体" w:eastAsia="宋体" w:cs="宋体"/>
                <w:snapToGrid w:val="0"/>
                <w:szCs w:val="21"/>
              </w:rPr>
            </w:pPr>
          </w:p>
        </w:tc>
        <w:tc>
          <w:tcPr>
            <w:tcW w:w="3925" w:type="dxa"/>
            <w:noWrap w:val="0"/>
            <w:vAlign w:val="top"/>
          </w:tcPr>
          <w:p w14:paraId="384E22AC">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制动用气量（L/s）</w:t>
            </w:r>
          </w:p>
        </w:tc>
        <w:tc>
          <w:tcPr>
            <w:tcW w:w="3509" w:type="dxa"/>
            <w:noWrap w:val="0"/>
            <w:vAlign w:val="top"/>
          </w:tcPr>
          <w:p w14:paraId="6600402F">
            <w:pPr>
              <w:spacing w:line="400" w:lineRule="exact"/>
              <w:rPr>
                <w:rFonts w:hint="eastAsia" w:ascii="宋体" w:hAnsi="宋体" w:eastAsia="宋体" w:cs="宋体"/>
                <w:snapToGrid w:val="0"/>
                <w:szCs w:val="21"/>
              </w:rPr>
            </w:pPr>
          </w:p>
        </w:tc>
      </w:tr>
      <w:tr w14:paraId="5FF1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D6979F2">
            <w:pPr>
              <w:spacing w:line="400" w:lineRule="exact"/>
              <w:rPr>
                <w:rFonts w:hint="eastAsia" w:ascii="宋体" w:hAnsi="宋体" w:eastAsia="宋体" w:cs="宋体"/>
                <w:snapToGrid w:val="0"/>
                <w:szCs w:val="21"/>
              </w:rPr>
            </w:pPr>
          </w:p>
        </w:tc>
        <w:tc>
          <w:tcPr>
            <w:tcW w:w="3925" w:type="dxa"/>
            <w:noWrap w:val="0"/>
            <w:vAlign w:val="top"/>
          </w:tcPr>
          <w:p w14:paraId="1559EE25">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不加制动时发电机从额定转速到停转时间（s）</w:t>
            </w:r>
          </w:p>
        </w:tc>
        <w:tc>
          <w:tcPr>
            <w:tcW w:w="3509" w:type="dxa"/>
            <w:noWrap w:val="0"/>
            <w:vAlign w:val="top"/>
          </w:tcPr>
          <w:p w14:paraId="364C0E20">
            <w:pPr>
              <w:spacing w:line="400" w:lineRule="exact"/>
              <w:rPr>
                <w:rFonts w:hint="eastAsia" w:ascii="宋体" w:hAnsi="宋体" w:eastAsia="宋体" w:cs="宋体"/>
                <w:snapToGrid w:val="0"/>
                <w:szCs w:val="21"/>
              </w:rPr>
            </w:pPr>
          </w:p>
        </w:tc>
      </w:tr>
      <w:tr w14:paraId="3F5A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77F83BD">
            <w:pPr>
              <w:spacing w:line="400" w:lineRule="exact"/>
              <w:rPr>
                <w:rFonts w:hint="eastAsia" w:ascii="宋体" w:hAnsi="宋体" w:eastAsia="宋体" w:cs="宋体"/>
                <w:snapToGrid w:val="0"/>
                <w:szCs w:val="21"/>
              </w:rPr>
            </w:pPr>
          </w:p>
        </w:tc>
        <w:tc>
          <w:tcPr>
            <w:tcW w:w="3925" w:type="dxa"/>
            <w:noWrap w:val="0"/>
            <w:vAlign w:val="top"/>
          </w:tcPr>
          <w:p w14:paraId="23993C45">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投入机械制动时，发电机从额定转速到停转时间（s）</w:t>
            </w:r>
          </w:p>
        </w:tc>
        <w:tc>
          <w:tcPr>
            <w:tcW w:w="3509" w:type="dxa"/>
            <w:noWrap w:val="0"/>
            <w:vAlign w:val="top"/>
          </w:tcPr>
          <w:p w14:paraId="05C29213">
            <w:pPr>
              <w:spacing w:line="400" w:lineRule="exact"/>
              <w:rPr>
                <w:rFonts w:hint="eastAsia" w:ascii="宋体" w:hAnsi="宋体" w:eastAsia="宋体" w:cs="宋体"/>
                <w:snapToGrid w:val="0"/>
                <w:szCs w:val="21"/>
              </w:rPr>
            </w:pPr>
          </w:p>
        </w:tc>
      </w:tr>
      <w:tr w14:paraId="1D7D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9BF84CA">
            <w:pPr>
              <w:spacing w:line="400" w:lineRule="exact"/>
              <w:rPr>
                <w:rFonts w:hint="eastAsia" w:ascii="宋体" w:hAnsi="宋体" w:eastAsia="宋体" w:cs="宋体"/>
                <w:snapToGrid w:val="0"/>
                <w:szCs w:val="21"/>
              </w:rPr>
            </w:pPr>
            <w:r>
              <w:rPr>
                <w:rFonts w:hint="eastAsia" w:ascii="宋体" w:hAnsi="宋体" w:eastAsia="宋体" w:cs="宋体"/>
                <w:snapToGrid w:val="0"/>
                <w:szCs w:val="21"/>
              </w:rPr>
              <w:t>25</w:t>
            </w:r>
          </w:p>
        </w:tc>
        <w:tc>
          <w:tcPr>
            <w:tcW w:w="7434" w:type="dxa"/>
            <w:gridSpan w:val="2"/>
            <w:noWrap w:val="0"/>
            <w:vAlign w:val="top"/>
          </w:tcPr>
          <w:p w14:paraId="42B0D4A7">
            <w:pPr>
              <w:spacing w:line="400" w:lineRule="exact"/>
              <w:rPr>
                <w:rFonts w:hint="eastAsia" w:ascii="宋体" w:hAnsi="宋体" w:eastAsia="宋体" w:cs="宋体"/>
                <w:snapToGrid w:val="0"/>
                <w:szCs w:val="21"/>
              </w:rPr>
            </w:pPr>
            <w:r>
              <w:rPr>
                <w:rFonts w:hint="eastAsia" w:ascii="宋体" w:hAnsi="宋体" w:eastAsia="宋体" w:cs="宋体"/>
                <w:snapToGrid w:val="0"/>
                <w:szCs w:val="21"/>
              </w:rPr>
              <w:t>绝缘材料：</w:t>
            </w:r>
          </w:p>
        </w:tc>
      </w:tr>
      <w:tr w14:paraId="1596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386CF97">
            <w:pPr>
              <w:spacing w:line="400" w:lineRule="exact"/>
              <w:rPr>
                <w:rFonts w:hint="eastAsia" w:ascii="宋体" w:hAnsi="宋体" w:eastAsia="宋体" w:cs="宋体"/>
                <w:snapToGrid w:val="0"/>
                <w:szCs w:val="21"/>
              </w:rPr>
            </w:pPr>
          </w:p>
        </w:tc>
        <w:tc>
          <w:tcPr>
            <w:tcW w:w="3925" w:type="dxa"/>
            <w:noWrap w:val="0"/>
            <w:vAlign w:val="top"/>
          </w:tcPr>
          <w:p w14:paraId="43A8D36D">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定子槽中导体绝缘</w:t>
            </w:r>
          </w:p>
        </w:tc>
        <w:tc>
          <w:tcPr>
            <w:tcW w:w="3509" w:type="dxa"/>
            <w:noWrap w:val="0"/>
            <w:vAlign w:val="top"/>
          </w:tcPr>
          <w:p w14:paraId="05E676FE">
            <w:pPr>
              <w:spacing w:line="400" w:lineRule="exact"/>
              <w:rPr>
                <w:rFonts w:hint="eastAsia" w:ascii="宋体" w:hAnsi="宋体" w:eastAsia="宋体" w:cs="宋体"/>
                <w:snapToGrid w:val="0"/>
                <w:szCs w:val="21"/>
              </w:rPr>
            </w:pPr>
          </w:p>
        </w:tc>
      </w:tr>
      <w:tr w14:paraId="71CC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2C66BE6">
            <w:pPr>
              <w:spacing w:line="400" w:lineRule="exact"/>
              <w:rPr>
                <w:rFonts w:hint="eastAsia" w:ascii="宋体" w:hAnsi="宋体" w:eastAsia="宋体" w:cs="宋体"/>
                <w:snapToGrid w:val="0"/>
                <w:szCs w:val="21"/>
              </w:rPr>
            </w:pPr>
          </w:p>
        </w:tc>
        <w:tc>
          <w:tcPr>
            <w:tcW w:w="3925" w:type="dxa"/>
            <w:noWrap w:val="0"/>
            <w:vAlign w:val="top"/>
          </w:tcPr>
          <w:p w14:paraId="10B61F99">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定子端部绕组绝缘</w:t>
            </w:r>
          </w:p>
        </w:tc>
        <w:tc>
          <w:tcPr>
            <w:tcW w:w="3509" w:type="dxa"/>
            <w:noWrap w:val="0"/>
            <w:vAlign w:val="top"/>
          </w:tcPr>
          <w:p w14:paraId="1D0B6DF1">
            <w:pPr>
              <w:spacing w:line="400" w:lineRule="exact"/>
              <w:rPr>
                <w:rFonts w:hint="eastAsia" w:ascii="宋体" w:hAnsi="宋体" w:eastAsia="宋体" w:cs="宋体"/>
                <w:snapToGrid w:val="0"/>
                <w:szCs w:val="21"/>
              </w:rPr>
            </w:pPr>
          </w:p>
        </w:tc>
      </w:tr>
      <w:tr w14:paraId="2B0F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F435C47">
            <w:pPr>
              <w:spacing w:line="400" w:lineRule="exact"/>
              <w:rPr>
                <w:rFonts w:hint="eastAsia" w:ascii="宋体" w:hAnsi="宋体" w:eastAsia="宋体" w:cs="宋体"/>
                <w:snapToGrid w:val="0"/>
                <w:szCs w:val="21"/>
              </w:rPr>
            </w:pPr>
          </w:p>
        </w:tc>
        <w:tc>
          <w:tcPr>
            <w:tcW w:w="3925" w:type="dxa"/>
            <w:noWrap w:val="0"/>
            <w:vAlign w:val="top"/>
          </w:tcPr>
          <w:p w14:paraId="15C56951">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励磁绕组绝缘</w:t>
            </w:r>
          </w:p>
        </w:tc>
        <w:tc>
          <w:tcPr>
            <w:tcW w:w="3509" w:type="dxa"/>
            <w:noWrap w:val="0"/>
            <w:vAlign w:val="top"/>
          </w:tcPr>
          <w:p w14:paraId="1C6900B2">
            <w:pPr>
              <w:spacing w:line="400" w:lineRule="exact"/>
              <w:rPr>
                <w:rFonts w:hint="eastAsia" w:ascii="宋体" w:hAnsi="宋体" w:eastAsia="宋体" w:cs="宋体"/>
                <w:snapToGrid w:val="0"/>
                <w:szCs w:val="21"/>
              </w:rPr>
            </w:pPr>
          </w:p>
        </w:tc>
      </w:tr>
      <w:tr w14:paraId="4237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AA089E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26</w:t>
            </w:r>
          </w:p>
        </w:tc>
        <w:tc>
          <w:tcPr>
            <w:tcW w:w="7434" w:type="dxa"/>
            <w:gridSpan w:val="2"/>
            <w:noWrap w:val="0"/>
            <w:vAlign w:val="top"/>
          </w:tcPr>
          <w:p w14:paraId="65573E09">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发电机加热器</w:t>
            </w:r>
          </w:p>
        </w:tc>
      </w:tr>
      <w:tr w14:paraId="7AF0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8A2E1D4">
            <w:pPr>
              <w:spacing w:line="400" w:lineRule="exact"/>
              <w:rPr>
                <w:rFonts w:hint="eastAsia" w:ascii="宋体" w:hAnsi="宋体" w:eastAsia="宋体" w:cs="宋体"/>
                <w:snapToGrid w:val="0"/>
                <w:szCs w:val="21"/>
              </w:rPr>
            </w:pPr>
          </w:p>
        </w:tc>
        <w:tc>
          <w:tcPr>
            <w:tcW w:w="3925" w:type="dxa"/>
            <w:noWrap w:val="0"/>
            <w:vAlign w:val="top"/>
          </w:tcPr>
          <w:p w14:paraId="37B6165E">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型式</w:t>
            </w:r>
          </w:p>
        </w:tc>
        <w:tc>
          <w:tcPr>
            <w:tcW w:w="3509" w:type="dxa"/>
            <w:noWrap w:val="0"/>
            <w:vAlign w:val="top"/>
          </w:tcPr>
          <w:p w14:paraId="357A2B12">
            <w:pPr>
              <w:spacing w:line="400" w:lineRule="exact"/>
              <w:rPr>
                <w:rFonts w:hint="eastAsia" w:ascii="宋体" w:hAnsi="宋体" w:eastAsia="宋体" w:cs="宋体"/>
                <w:snapToGrid w:val="0"/>
                <w:szCs w:val="21"/>
              </w:rPr>
            </w:pPr>
          </w:p>
        </w:tc>
      </w:tr>
      <w:tr w14:paraId="414E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6CB29793">
            <w:pPr>
              <w:spacing w:line="400" w:lineRule="exact"/>
              <w:rPr>
                <w:rFonts w:hint="eastAsia" w:ascii="宋体" w:hAnsi="宋体" w:eastAsia="宋体" w:cs="宋体"/>
                <w:snapToGrid w:val="0"/>
                <w:szCs w:val="21"/>
              </w:rPr>
            </w:pPr>
          </w:p>
        </w:tc>
        <w:tc>
          <w:tcPr>
            <w:tcW w:w="3925" w:type="dxa"/>
            <w:noWrap w:val="0"/>
            <w:vAlign w:val="top"/>
          </w:tcPr>
          <w:p w14:paraId="5AF01707">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功率（每台）（kW）</w:t>
            </w:r>
          </w:p>
        </w:tc>
        <w:tc>
          <w:tcPr>
            <w:tcW w:w="3509" w:type="dxa"/>
            <w:noWrap w:val="0"/>
            <w:vAlign w:val="top"/>
          </w:tcPr>
          <w:p w14:paraId="160CF6B7">
            <w:pPr>
              <w:spacing w:line="400" w:lineRule="exact"/>
              <w:rPr>
                <w:rFonts w:hint="eastAsia" w:ascii="宋体" w:hAnsi="宋体" w:eastAsia="宋体" w:cs="宋体"/>
                <w:snapToGrid w:val="0"/>
                <w:szCs w:val="21"/>
              </w:rPr>
            </w:pPr>
          </w:p>
        </w:tc>
      </w:tr>
      <w:tr w14:paraId="563B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784F769">
            <w:pPr>
              <w:spacing w:line="400" w:lineRule="exact"/>
              <w:rPr>
                <w:rFonts w:hint="eastAsia" w:ascii="宋体" w:hAnsi="宋体" w:eastAsia="宋体" w:cs="宋体"/>
                <w:snapToGrid w:val="0"/>
                <w:szCs w:val="21"/>
              </w:rPr>
            </w:pPr>
          </w:p>
        </w:tc>
        <w:tc>
          <w:tcPr>
            <w:tcW w:w="3925" w:type="dxa"/>
            <w:noWrap w:val="0"/>
            <w:vAlign w:val="top"/>
          </w:tcPr>
          <w:p w14:paraId="738FB2E1">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数量</w:t>
            </w:r>
          </w:p>
        </w:tc>
        <w:tc>
          <w:tcPr>
            <w:tcW w:w="3509" w:type="dxa"/>
            <w:noWrap w:val="0"/>
            <w:vAlign w:val="top"/>
          </w:tcPr>
          <w:p w14:paraId="10FEB77A">
            <w:pPr>
              <w:spacing w:line="400" w:lineRule="exact"/>
              <w:rPr>
                <w:rFonts w:hint="eastAsia" w:ascii="宋体" w:hAnsi="宋体" w:eastAsia="宋体" w:cs="宋体"/>
                <w:snapToGrid w:val="0"/>
                <w:szCs w:val="21"/>
              </w:rPr>
            </w:pPr>
          </w:p>
        </w:tc>
      </w:tr>
      <w:tr w14:paraId="3EC5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CC7BA5A">
            <w:pPr>
              <w:spacing w:line="400" w:lineRule="exact"/>
              <w:rPr>
                <w:rFonts w:hint="eastAsia" w:ascii="宋体" w:hAnsi="宋体" w:eastAsia="宋体" w:cs="宋体"/>
                <w:snapToGrid w:val="0"/>
                <w:szCs w:val="21"/>
              </w:rPr>
            </w:pPr>
            <w:r>
              <w:rPr>
                <w:rFonts w:hint="eastAsia" w:ascii="宋体" w:hAnsi="宋体" w:eastAsia="宋体" w:cs="宋体"/>
                <w:snapToGrid w:val="0"/>
                <w:szCs w:val="21"/>
              </w:rPr>
              <w:t>27</w:t>
            </w:r>
          </w:p>
        </w:tc>
        <w:tc>
          <w:tcPr>
            <w:tcW w:w="3925" w:type="dxa"/>
            <w:noWrap w:val="0"/>
            <w:vAlign w:val="top"/>
          </w:tcPr>
          <w:p w14:paraId="0FEAE56C">
            <w:pPr>
              <w:spacing w:line="400" w:lineRule="exact"/>
              <w:rPr>
                <w:rFonts w:hint="eastAsia" w:ascii="宋体" w:hAnsi="宋体" w:eastAsia="宋体" w:cs="宋体"/>
                <w:szCs w:val="21"/>
              </w:rPr>
            </w:pPr>
            <w:r>
              <w:rPr>
                <w:rFonts w:hint="eastAsia" w:ascii="宋体" w:hAnsi="宋体" w:eastAsia="宋体" w:cs="宋体"/>
                <w:snapToGrid w:val="0"/>
                <w:szCs w:val="21"/>
              </w:rPr>
              <w:t>发电机自然频率（空载时，带50%负荷，带100%负荷）</w:t>
            </w:r>
          </w:p>
        </w:tc>
        <w:tc>
          <w:tcPr>
            <w:tcW w:w="3509" w:type="dxa"/>
            <w:noWrap w:val="0"/>
            <w:vAlign w:val="top"/>
          </w:tcPr>
          <w:p w14:paraId="1B02CDF3">
            <w:pPr>
              <w:spacing w:line="400" w:lineRule="exact"/>
              <w:rPr>
                <w:rFonts w:hint="eastAsia" w:ascii="宋体" w:hAnsi="宋体" w:eastAsia="宋体" w:cs="宋体"/>
                <w:snapToGrid w:val="0"/>
                <w:szCs w:val="21"/>
              </w:rPr>
            </w:pPr>
          </w:p>
        </w:tc>
      </w:tr>
      <w:tr w14:paraId="5694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805A640">
            <w:pPr>
              <w:spacing w:line="400" w:lineRule="exact"/>
              <w:rPr>
                <w:rFonts w:hint="eastAsia" w:ascii="宋体" w:hAnsi="宋体" w:eastAsia="宋体" w:cs="宋体"/>
                <w:snapToGrid w:val="0"/>
                <w:szCs w:val="21"/>
              </w:rPr>
            </w:pPr>
            <w:r>
              <w:rPr>
                <w:rFonts w:hint="eastAsia" w:ascii="宋体" w:hAnsi="宋体" w:eastAsia="宋体" w:cs="宋体"/>
                <w:snapToGrid w:val="0"/>
                <w:szCs w:val="21"/>
              </w:rPr>
              <w:t>28</w:t>
            </w:r>
          </w:p>
        </w:tc>
        <w:tc>
          <w:tcPr>
            <w:tcW w:w="7434" w:type="dxa"/>
            <w:gridSpan w:val="2"/>
            <w:noWrap w:val="0"/>
            <w:vAlign w:val="top"/>
          </w:tcPr>
          <w:p w14:paraId="67EDB48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用主厂房起重机起吊的最重件</w:t>
            </w:r>
          </w:p>
        </w:tc>
      </w:tr>
      <w:tr w14:paraId="7954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8318583">
            <w:pPr>
              <w:spacing w:line="400" w:lineRule="exact"/>
              <w:rPr>
                <w:rFonts w:hint="eastAsia" w:ascii="宋体" w:hAnsi="宋体" w:eastAsia="宋体" w:cs="宋体"/>
                <w:snapToGrid w:val="0"/>
                <w:szCs w:val="21"/>
              </w:rPr>
            </w:pPr>
          </w:p>
        </w:tc>
        <w:tc>
          <w:tcPr>
            <w:tcW w:w="3925" w:type="dxa"/>
            <w:noWrap w:val="0"/>
            <w:vAlign w:val="top"/>
          </w:tcPr>
          <w:p w14:paraId="26564D5D">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项目</w:t>
            </w:r>
          </w:p>
        </w:tc>
        <w:tc>
          <w:tcPr>
            <w:tcW w:w="3509" w:type="dxa"/>
            <w:noWrap w:val="0"/>
            <w:vAlign w:val="top"/>
          </w:tcPr>
          <w:p w14:paraId="42305CF0">
            <w:pPr>
              <w:spacing w:line="400" w:lineRule="exact"/>
              <w:rPr>
                <w:rFonts w:hint="eastAsia" w:ascii="宋体" w:hAnsi="宋体" w:eastAsia="宋体" w:cs="宋体"/>
                <w:snapToGrid w:val="0"/>
                <w:szCs w:val="21"/>
              </w:rPr>
            </w:pPr>
          </w:p>
        </w:tc>
      </w:tr>
      <w:tr w14:paraId="1EF4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CCF157B">
            <w:pPr>
              <w:spacing w:line="400" w:lineRule="exact"/>
              <w:rPr>
                <w:rFonts w:hint="eastAsia" w:ascii="宋体" w:hAnsi="宋体" w:eastAsia="宋体" w:cs="宋体"/>
                <w:snapToGrid w:val="0"/>
                <w:szCs w:val="21"/>
              </w:rPr>
            </w:pPr>
          </w:p>
        </w:tc>
        <w:tc>
          <w:tcPr>
            <w:tcW w:w="3925" w:type="dxa"/>
            <w:noWrap w:val="0"/>
            <w:vAlign w:val="top"/>
          </w:tcPr>
          <w:p w14:paraId="27AC21F3">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重量（t）</w:t>
            </w:r>
          </w:p>
        </w:tc>
        <w:tc>
          <w:tcPr>
            <w:tcW w:w="3509" w:type="dxa"/>
            <w:noWrap w:val="0"/>
            <w:vAlign w:val="top"/>
          </w:tcPr>
          <w:p w14:paraId="5A76FE56">
            <w:pPr>
              <w:spacing w:line="400" w:lineRule="exact"/>
              <w:rPr>
                <w:rFonts w:hint="eastAsia" w:ascii="宋体" w:hAnsi="宋体" w:eastAsia="宋体" w:cs="宋体"/>
                <w:snapToGrid w:val="0"/>
                <w:szCs w:val="21"/>
              </w:rPr>
            </w:pPr>
          </w:p>
        </w:tc>
      </w:tr>
      <w:tr w14:paraId="6198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C77136C">
            <w:pPr>
              <w:spacing w:line="400" w:lineRule="exact"/>
              <w:rPr>
                <w:rFonts w:hint="eastAsia" w:ascii="宋体" w:hAnsi="宋体" w:eastAsia="宋体" w:cs="宋体"/>
                <w:snapToGrid w:val="0"/>
                <w:szCs w:val="21"/>
              </w:rPr>
            </w:pPr>
            <w:r>
              <w:rPr>
                <w:rFonts w:hint="eastAsia" w:ascii="宋体" w:hAnsi="宋体" w:eastAsia="宋体" w:cs="宋体"/>
                <w:snapToGrid w:val="0"/>
                <w:szCs w:val="21"/>
              </w:rPr>
              <w:t>29</w:t>
            </w:r>
          </w:p>
        </w:tc>
        <w:tc>
          <w:tcPr>
            <w:tcW w:w="3925" w:type="dxa"/>
            <w:noWrap w:val="0"/>
            <w:vAlign w:val="top"/>
          </w:tcPr>
          <w:p w14:paraId="32465C69">
            <w:pPr>
              <w:spacing w:line="400" w:lineRule="exact"/>
              <w:rPr>
                <w:rFonts w:hint="eastAsia" w:ascii="宋体" w:hAnsi="宋体" w:eastAsia="宋体" w:cs="宋体"/>
                <w:szCs w:val="21"/>
              </w:rPr>
            </w:pPr>
            <w:r>
              <w:rPr>
                <w:rFonts w:hint="eastAsia" w:ascii="宋体" w:hAnsi="宋体" w:eastAsia="宋体" w:cs="宋体"/>
                <w:snapToGrid w:val="0"/>
                <w:szCs w:val="21"/>
              </w:rPr>
              <w:t>在水轮发电机非驱动端距离机组1m处测量发电机噪声值（dB(A)）</w:t>
            </w:r>
          </w:p>
        </w:tc>
        <w:tc>
          <w:tcPr>
            <w:tcW w:w="3509" w:type="dxa"/>
            <w:noWrap w:val="0"/>
            <w:vAlign w:val="top"/>
          </w:tcPr>
          <w:p w14:paraId="554B74C8">
            <w:pPr>
              <w:spacing w:line="400" w:lineRule="exact"/>
              <w:rPr>
                <w:rFonts w:hint="eastAsia" w:ascii="宋体" w:hAnsi="宋体" w:eastAsia="宋体" w:cs="宋体"/>
                <w:snapToGrid w:val="0"/>
                <w:szCs w:val="21"/>
              </w:rPr>
            </w:pPr>
          </w:p>
        </w:tc>
      </w:tr>
      <w:tr w14:paraId="6E21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45A159C7">
            <w:pPr>
              <w:spacing w:line="400" w:lineRule="exact"/>
              <w:rPr>
                <w:rFonts w:hint="eastAsia" w:ascii="宋体" w:hAnsi="宋体" w:eastAsia="宋体" w:cs="宋体"/>
                <w:snapToGrid w:val="0"/>
                <w:szCs w:val="21"/>
              </w:rPr>
            </w:pPr>
            <w:r>
              <w:rPr>
                <w:rFonts w:hint="eastAsia" w:ascii="宋体" w:hAnsi="宋体" w:eastAsia="宋体" w:cs="宋体"/>
                <w:snapToGrid w:val="0"/>
                <w:szCs w:val="21"/>
              </w:rPr>
              <w:t>30</w:t>
            </w:r>
          </w:p>
        </w:tc>
        <w:tc>
          <w:tcPr>
            <w:tcW w:w="3925" w:type="dxa"/>
            <w:noWrap w:val="0"/>
            <w:vAlign w:val="top"/>
          </w:tcPr>
          <w:p w14:paraId="5D1440B8">
            <w:pPr>
              <w:spacing w:line="400" w:lineRule="exact"/>
              <w:rPr>
                <w:rFonts w:hint="eastAsia" w:ascii="宋体" w:hAnsi="宋体" w:eastAsia="宋体" w:cs="宋体"/>
                <w:szCs w:val="21"/>
              </w:rPr>
            </w:pPr>
            <w:r>
              <w:rPr>
                <w:rFonts w:hint="eastAsia" w:ascii="宋体" w:hAnsi="宋体" w:eastAsia="宋体" w:cs="宋体"/>
                <w:snapToGrid w:val="0"/>
                <w:szCs w:val="21"/>
              </w:rPr>
              <w:t>发电机每相电容电流值（A）</w:t>
            </w:r>
          </w:p>
        </w:tc>
        <w:tc>
          <w:tcPr>
            <w:tcW w:w="3509" w:type="dxa"/>
            <w:noWrap w:val="0"/>
            <w:vAlign w:val="top"/>
          </w:tcPr>
          <w:p w14:paraId="0181DFFD">
            <w:pPr>
              <w:spacing w:line="400" w:lineRule="exact"/>
              <w:rPr>
                <w:rFonts w:hint="eastAsia" w:ascii="宋体" w:hAnsi="宋体" w:eastAsia="宋体" w:cs="宋体"/>
                <w:snapToGrid w:val="0"/>
                <w:szCs w:val="21"/>
              </w:rPr>
            </w:pPr>
          </w:p>
        </w:tc>
      </w:tr>
      <w:tr w14:paraId="5B4A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0887484D">
            <w:pPr>
              <w:spacing w:line="400" w:lineRule="exact"/>
              <w:rPr>
                <w:rFonts w:hint="eastAsia" w:ascii="宋体" w:hAnsi="宋体" w:eastAsia="宋体" w:cs="宋体"/>
                <w:snapToGrid w:val="0"/>
                <w:szCs w:val="21"/>
              </w:rPr>
            </w:pPr>
            <w:r>
              <w:rPr>
                <w:rFonts w:hint="eastAsia" w:ascii="宋体" w:hAnsi="宋体" w:eastAsia="宋体" w:cs="宋体"/>
                <w:snapToGrid w:val="0"/>
                <w:szCs w:val="21"/>
              </w:rPr>
              <w:t>31</w:t>
            </w:r>
          </w:p>
        </w:tc>
        <w:tc>
          <w:tcPr>
            <w:tcW w:w="3925" w:type="dxa"/>
            <w:noWrap w:val="0"/>
            <w:vAlign w:val="center"/>
          </w:tcPr>
          <w:p w14:paraId="1E27A1E8">
            <w:pPr>
              <w:spacing w:line="400" w:lineRule="exact"/>
              <w:rPr>
                <w:rFonts w:hint="eastAsia" w:ascii="宋体" w:hAnsi="宋体" w:eastAsia="宋体" w:cs="宋体"/>
                <w:szCs w:val="21"/>
              </w:rPr>
            </w:pPr>
            <w:r>
              <w:rPr>
                <w:rFonts w:hint="eastAsia" w:ascii="宋体" w:hAnsi="宋体" w:eastAsia="宋体" w:cs="宋体"/>
                <w:snapToGrid w:val="0"/>
                <w:szCs w:val="21"/>
              </w:rPr>
              <w:t>发电机尺寸</w:t>
            </w:r>
          </w:p>
        </w:tc>
        <w:tc>
          <w:tcPr>
            <w:tcW w:w="3509" w:type="dxa"/>
            <w:noWrap w:val="0"/>
            <w:vAlign w:val="top"/>
          </w:tcPr>
          <w:p w14:paraId="55439F6D">
            <w:pPr>
              <w:spacing w:line="400" w:lineRule="exact"/>
              <w:rPr>
                <w:rFonts w:hint="eastAsia" w:ascii="宋体" w:hAnsi="宋体" w:eastAsia="宋体" w:cs="宋体"/>
                <w:snapToGrid w:val="0"/>
                <w:szCs w:val="21"/>
              </w:rPr>
            </w:pPr>
          </w:p>
        </w:tc>
      </w:tr>
      <w:tr w14:paraId="27A1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04A8035">
            <w:pPr>
              <w:spacing w:line="400" w:lineRule="exact"/>
              <w:rPr>
                <w:rFonts w:hint="eastAsia" w:ascii="宋体" w:hAnsi="宋体" w:eastAsia="宋体" w:cs="宋体"/>
                <w:snapToGrid w:val="0"/>
                <w:szCs w:val="21"/>
              </w:rPr>
            </w:pPr>
          </w:p>
        </w:tc>
        <w:tc>
          <w:tcPr>
            <w:tcW w:w="3925" w:type="dxa"/>
            <w:noWrap w:val="0"/>
            <w:vAlign w:val="center"/>
          </w:tcPr>
          <w:p w14:paraId="25DA38A7">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定子机座外径（mm）</w:t>
            </w:r>
          </w:p>
        </w:tc>
        <w:tc>
          <w:tcPr>
            <w:tcW w:w="3509" w:type="dxa"/>
            <w:noWrap w:val="0"/>
            <w:vAlign w:val="top"/>
          </w:tcPr>
          <w:p w14:paraId="1857D1B0">
            <w:pPr>
              <w:spacing w:line="400" w:lineRule="exact"/>
              <w:rPr>
                <w:rFonts w:hint="eastAsia" w:ascii="宋体" w:hAnsi="宋体" w:eastAsia="宋体" w:cs="宋体"/>
                <w:snapToGrid w:val="0"/>
                <w:szCs w:val="21"/>
              </w:rPr>
            </w:pPr>
          </w:p>
        </w:tc>
      </w:tr>
      <w:tr w14:paraId="0620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146E987">
            <w:pPr>
              <w:spacing w:line="400" w:lineRule="exact"/>
              <w:rPr>
                <w:rFonts w:hint="eastAsia" w:ascii="宋体" w:hAnsi="宋体" w:eastAsia="宋体" w:cs="宋体"/>
                <w:snapToGrid w:val="0"/>
                <w:szCs w:val="21"/>
              </w:rPr>
            </w:pPr>
          </w:p>
        </w:tc>
        <w:tc>
          <w:tcPr>
            <w:tcW w:w="3925" w:type="dxa"/>
            <w:noWrap w:val="0"/>
            <w:vAlign w:val="center"/>
          </w:tcPr>
          <w:p w14:paraId="407CF0C5">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定子铁芯内径（mm）</w:t>
            </w:r>
          </w:p>
        </w:tc>
        <w:tc>
          <w:tcPr>
            <w:tcW w:w="3509" w:type="dxa"/>
            <w:noWrap w:val="0"/>
            <w:vAlign w:val="top"/>
          </w:tcPr>
          <w:p w14:paraId="468F714D">
            <w:pPr>
              <w:spacing w:line="400" w:lineRule="exact"/>
              <w:rPr>
                <w:rFonts w:hint="eastAsia" w:ascii="宋体" w:hAnsi="宋体" w:eastAsia="宋体" w:cs="宋体"/>
                <w:snapToGrid w:val="0"/>
                <w:szCs w:val="21"/>
              </w:rPr>
            </w:pPr>
          </w:p>
        </w:tc>
      </w:tr>
      <w:tr w14:paraId="42C0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033C7EC2">
            <w:pPr>
              <w:spacing w:line="400" w:lineRule="exact"/>
              <w:rPr>
                <w:rFonts w:hint="eastAsia" w:ascii="宋体" w:hAnsi="宋体" w:eastAsia="宋体" w:cs="宋体"/>
                <w:snapToGrid w:val="0"/>
                <w:szCs w:val="21"/>
              </w:rPr>
            </w:pPr>
          </w:p>
        </w:tc>
        <w:tc>
          <w:tcPr>
            <w:tcW w:w="3925" w:type="dxa"/>
            <w:noWrap w:val="0"/>
            <w:vAlign w:val="center"/>
          </w:tcPr>
          <w:p w14:paraId="50C9B0F0">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停机时气隙（mm）</w:t>
            </w:r>
          </w:p>
        </w:tc>
        <w:tc>
          <w:tcPr>
            <w:tcW w:w="3509" w:type="dxa"/>
            <w:noWrap w:val="0"/>
            <w:vAlign w:val="top"/>
          </w:tcPr>
          <w:p w14:paraId="16976EA1">
            <w:pPr>
              <w:spacing w:line="400" w:lineRule="exact"/>
              <w:rPr>
                <w:rFonts w:hint="eastAsia" w:ascii="宋体" w:hAnsi="宋体" w:eastAsia="宋体" w:cs="宋体"/>
                <w:snapToGrid w:val="0"/>
                <w:szCs w:val="21"/>
              </w:rPr>
            </w:pPr>
          </w:p>
        </w:tc>
      </w:tr>
      <w:tr w14:paraId="21B5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AD0EB83">
            <w:pPr>
              <w:spacing w:line="400" w:lineRule="exact"/>
              <w:rPr>
                <w:rFonts w:hint="eastAsia" w:ascii="宋体" w:hAnsi="宋体" w:eastAsia="宋体" w:cs="宋体"/>
                <w:snapToGrid w:val="0"/>
                <w:szCs w:val="21"/>
              </w:rPr>
            </w:pPr>
          </w:p>
        </w:tc>
        <w:tc>
          <w:tcPr>
            <w:tcW w:w="3925" w:type="dxa"/>
            <w:noWrap w:val="0"/>
            <w:vAlign w:val="center"/>
          </w:tcPr>
          <w:p w14:paraId="403687FE">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转子外径（mm）</w:t>
            </w:r>
          </w:p>
        </w:tc>
        <w:tc>
          <w:tcPr>
            <w:tcW w:w="3509" w:type="dxa"/>
            <w:noWrap w:val="0"/>
            <w:vAlign w:val="top"/>
          </w:tcPr>
          <w:p w14:paraId="4578126B">
            <w:pPr>
              <w:spacing w:line="400" w:lineRule="exact"/>
              <w:rPr>
                <w:rFonts w:hint="eastAsia" w:ascii="宋体" w:hAnsi="宋体" w:eastAsia="宋体" w:cs="宋体"/>
                <w:snapToGrid w:val="0"/>
                <w:szCs w:val="21"/>
              </w:rPr>
            </w:pPr>
          </w:p>
        </w:tc>
      </w:tr>
      <w:tr w14:paraId="73B2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8A01B78">
            <w:pPr>
              <w:spacing w:line="400" w:lineRule="exact"/>
              <w:rPr>
                <w:rFonts w:hint="eastAsia" w:ascii="宋体" w:hAnsi="宋体" w:eastAsia="宋体" w:cs="宋体"/>
                <w:snapToGrid w:val="0"/>
                <w:szCs w:val="21"/>
              </w:rPr>
            </w:pPr>
          </w:p>
        </w:tc>
        <w:tc>
          <w:tcPr>
            <w:tcW w:w="3925" w:type="dxa"/>
            <w:noWrap w:val="0"/>
            <w:vAlign w:val="center"/>
          </w:tcPr>
          <w:p w14:paraId="3F1AFADF">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定子铁芯长度（mm）</w:t>
            </w:r>
          </w:p>
        </w:tc>
        <w:tc>
          <w:tcPr>
            <w:tcW w:w="3509" w:type="dxa"/>
            <w:noWrap w:val="0"/>
            <w:vAlign w:val="top"/>
          </w:tcPr>
          <w:p w14:paraId="2124D322">
            <w:pPr>
              <w:spacing w:line="400" w:lineRule="exact"/>
              <w:rPr>
                <w:rFonts w:hint="eastAsia" w:ascii="宋体" w:hAnsi="宋体" w:eastAsia="宋体" w:cs="宋体"/>
                <w:snapToGrid w:val="0"/>
                <w:szCs w:val="21"/>
              </w:rPr>
            </w:pPr>
          </w:p>
        </w:tc>
      </w:tr>
      <w:tr w14:paraId="4DB6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E6FD97E">
            <w:pPr>
              <w:spacing w:line="400" w:lineRule="exact"/>
              <w:rPr>
                <w:rFonts w:hint="eastAsia" w:ascii="宋体" w:hAnsi="宋体" w:eastAsia="宋体" w:cs="宋体"/>
                <w:snapToGrid w:val="0"/>
                <w:szCs w:val="21"/>
              </w:rPr>
            </w:pPr>
          </w:p>
        </w:tc>
        <w:tc>
          <w:tcPr>
            <w:tcW w:w="3925" w:type="dxa"/>
            <w:noWrap w:val="0"/>
            <w:vAlign w:val="center"/>
          </w:tcPr>
          <w:p w14:paraId="3B4400F9">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定子机座长度（mm）</w:t>
            </w:r>
          </w:p>
        </w:tc>
        <w:tc>
          <w:tcPr>
            <w:tcW w:w="3509" w:type="dxa"/>
            <w:noWrap w:val="0"/>
            <w:vAlign w:val="top"/>
          </w:tcPr>
          <w:p w14:paraId="626DB58D">
            <w:pPr>
              <w:spacing w:line="400" w:lineRule="exact"/>
              <w:rPr>
                <w:rFonts w:hint="eastAsia" w:ascii="宋体" w:hAnsi="宋体" w:eastAsia="宋体" w:cs="宋体"/>
                <w:snapToGrid w:val="0"/>
                <w:szCs w:val="21"/>
              </w:rPr>
            </w:pPr>
          </w:p>
        </w:tc>
      </w:tr>
      <w:tr w14:paraId="3F61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3D0BEA6">
            <w:pPr>
              <w:spacing w:line="400" w:lineRule="exact"/>
              <w:rPr>
                <w:rFonts w:hint="eastAsia" w:ascii="宋体" w:hAnsi="宋体" w:eastAsia="宋体" w:cs="宋体"/>
                <w:snapToGrid w:val="0"/>
                <w:szCs w:val="21"/>
              </w:rPr>
            </w:pPr>
          </w:p>
        </w:tc>
        <w:tc>
          <w:tcPr>
            <w:tcW w:w="3925" w:type="dxa"/>
            <w:noWrap w:val="0"/>
            <w:vAlign w:val="center"/>
          </w:tcPr>
          <w:p w14:paraId="349B0919">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机组轴线至发电机基础板尺寸（mm）</w:t>
            </w:r>
          </w:p>
        </w:tc>
        <w:tc>
          <w:tcPr>
            <w:tcW w:w="3509" w:type="dxa"/>
            <w:noWrap w:val="0"/>
            <w:vAlign w:val="top"/>
          </w:tcPr>
          <w:p w14:paraId="319BB690">
            <w:pPr>
              <w:spacing w:line="400" w:lineRule="exact"/>
              <w:rPr>
                <w:rFonts w:hint="eastAsia" w:ascii="宋体" w:hAnsi="宋体" w:eastAsia="宋体" w:cs="宋体"/>
                <w:snapToGrid w:val="0"/>
                <w:szCs w:val="21"/>
              </w:rPr>
            </w:pPr>
          </w:p>
        </w:tc>
      </w:tr>
      <w:tr w14:paraId="7DD4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20634796">
            <w:pPr>
              <w:spacing w:line="400" w:lineRule="exact"/>
              <w:rPr>
                <w:rFonts w:hint="eastAsia" w:ascii="宋体" w:hAnsi="宋体" w:eastAsia="宋体" w:cs="宋体"/>
                <w:snapToGrid w:val="0"/>
                <w:szCs w:val="21"/>
              </w:rPr>
            </w:pPr>
          </w:p>
        </w:tc>
        <w:tc>
          <w:tcPr>
            <w:tcW w:w="3925" w:type="dxa"/>
            <w:noWrap w:val="0"/>
            <w:vAlign w:val="center"/>
          </w:tcPr>
          <w:p w14:paraId="354BB723">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发电机大轴外径（mm）</w:t>
            </w:r>
          </w:p>
        </w:tc>
        <w:tc>
          <w:tcPr>
            <w:tcW w:w="3509" w:type="dxa"/>
            <w:noWrap w:val="0"/>
            <w:vAlign w:val="top"/>
          </w:tcPr>
          <w:p w14:paraId="633ADAFE">
            <w:pPr>
              <w:spacing w:line="400" w:lineRule="exact"/>
              <w:rPr>
                <w:rFonts w:hint="eastAsia" w:ascii="宋体" w:hAnsi="宋体" w:eastAsia="宋体" w:cs="宋体"/>
                <w:snapToGrid w:val="0"/>
                <w:szCs w:val="21"/>
              </w:rPr>
            </w:pPr>
          </w:p>
        </w:tc>
      </w:tr>
      <w:tr w14:paraId="0BA6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4F36993">
            <w:pPr>
              <w:spacing w:line="400" w:lineRule="exact"/>
              <w:rPr>
                <w:rFonts w:hint="eastAsia" w:ascii="宋体" w:hAnsi="宋体" w:eastAsia="宋体" w:cs="宋体"/>
                <w:snapToGrid w:val="0"/>
                <w:szCs w:val="21"/>
              </w:rPr>
            </w:pPr>
          </w:p>
        </w:tc>
        <w:tc>
          <w:tcPr>
            <w:tcW w:w="3925" w:type="dxa"/>
            <w:noWrap w:val="0"/>
            <w:vAlign w:val="center"/>
          </w:tcPr>
          <w:p w14:paraId="5D5332FD">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发电机大轴法兰外径（mm）</w:t>
            </w:r>
          </w:p>
        </w:tc>
        <w:tc>
          <w:tcPr>
            <w:tcW w:w="3509" w:type="dxa"/>
            <w:noWrap w:val="0"/>
            <w:vAlign w:val="top"/>
          </w:tcPr>
          <w:p w14:paraId="4543FE6A">
            <w:pPr>
              <w:spacing w:line="400" w:lineRule="exact"/>
              <w:rPr>
                <w:rFonts w:hint="eastAsia" w:ascii="宋体" w:hAnsi="宋体" w:eastAsia="宋体" w:cs="宋体"/>
                <w:snapToGrid w:val="0"/>
                <w:szCs w:val="21"/>
              </w:rPr>
            </w:pPr>
          </w:p>
        </w:tc>
      </w:tr>
      <w:tr w14:paraId="65A0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1F630B44">
            <w:pPr>
              <w:spacing w:line="400" w:lineRule="exact"/>
              <w:rPr>
                <w:rFonts w:hint="eastAsia" w:ascii="宋体" w:hAnsi="宋体" w:eastAsia="宋体" w:cs="宋体"/>
                <w:snapToGrid w:val="0"/>
                <w:szCs w:val="21"/>
              </w:rPr>
            </w:pPr>
          </w:p>
        </w:tc>
        <w:tc>
          <w:tcPr>
            <w:tcW w:w="3925" w:type="dxa"/>
            <w:noWrap w:val="0"/>
            <w:vAlign w:val="center"/>
          </w:tcPr>
          <w:p w14:paraId="699F3659">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发电机大轴长度（mm）</w:t>
            </w:r>
          </w:p>
        </w:tc>
        <w:tc>
          <w:tcPr>
            <w:tcW w:w="3509" w:type="dxa"/>
            <w:noWrap w:val="0"/>
            <w:vAlign w:val="top"/>
          </w:tcPr>
          <w:p w14:paraId="34A60967">
            <w:pPr>
              <w:spacing w:line="400" w:lineRule="exact"/>
              <w:rPr>
                <w:rFonts w:hint="eastAsia" w:ascii="宋体" w:hAnsi="宋体" w:eastAsia="宋体" w:cs="宋体"/>
                <w:snapToGrid w:val="0"/>
                <w:szCs w:val="21"/>
              </w:rPr>
            </w:pPr>
          </w:p>
        </w:tc>
      </w:tr>
      <w:tr w14:paraId="26C1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6CCB978">
            <w:pPr>
              <w:spacing w:line="400" w:lineRule="exact"/>
              <w:rPr>
                <w:rFonts w:hint="eastAsia" w:ascii="宋体" w:hAnsi="宋体" w:eastAsia="宋体" w:cs="宋体"/>
                <w:snapToGrid w:val="0"/>
                <w:szCs w:val="21"/>
              </w:rPr>
            </w:pPr>
            <w:r>
              <w:rPr>
                <w:rFonts w:hint="eastAsia" w:ascii="宋体" w:hAnsi="宋体" w:eastAsia="宋体" w:cs="宋体"/>
                <w:snapToGrid w:val="0"/>
                <w:szCs w:val="21"/>
              </w:rPr>
              <w:t>32</w:t>
            </w:r>
          </w:p>
        </w:tc>
        <w:tc>
          <w:tcPr>
            <w:tcW w:w="7434" w:type="dxa"/>
            <w:gridSpan w:val="2"/>
            <w:noWrap w:val="0"/>
            <w:vAlign w:val="top"/>
          </w:tcPr>
          <w:p w14:paraId="51AD531E">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发电机可靠性指标</w:t>
            </w:r>
          </w:p>
        </w:tc>
      </w:tr>
      <w:tr w14:paraId="7BFD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0544C50">
            <w:pPr>
              <w:spacing w:line="400" w:lineRule="exact"/>
              <w:rPr>
                <w:rFonts w:hint="eastAsia" w:ascii="宋体" w:hAnsi="宋体" w:eastAsia="宋体" w:cs="宋体"/>
                <w:snapToGrid w:val="0"/>
                <w:szCs w:val="21"/>
              </w:rPr>
            </w:pPr>
          </w:p>
        </w:tc>
        <w:tc>
          <w:tcPr>
            <w:tcW w:w="3925" w:type="dxa"/>
            <w:noWrap w:val="0"/>
            <w:vAlign w:val="top"/>
          </w:tcPr>
          <w:p w14:paraId="6C73DEBD">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强迫停机率（%）</w:t>
            </w:r>
          </w:p>
        </w:tc>
        <w:tc>
          <w:tcPr>
            <w:tcW w:w="3509" w:type="dxa"/>
            <w:noWrap w:val="0"/>
            <w:vAlign w:val="top"/>
          </w:tcPr>
          <w:p w14:paraId="755BC87E">
            <w:pPr>
              <w:spacing w:line="400" w:lineRule="exact"/>
              <w:rPr>
                <w:rFonts w:hint="eastAsia" w:ascii="宋体" w:hAnsi="宋体" w:eastAsia="宋体" w:cs="宋体"/>
                <w:snapToGrid w:val="0"/>
                <w:szCs w:val="21"/>
              </w:rPr>
            </w:pPr>
          </w:p>
        </w:tc>
      </w:tr>
      <w:tr w14:paraId="7194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7FB58339">
            <w:pPr>
              <w:spacing w:line="400" w:lineRule="exact"/>
              <w:rPr>
                <w:rFonts w:hint="eastAsia" w:ascii="宋体" w:hAnsi="宋体" w:eastAsia="宋体" w:cs="宋体"/>
                <w:snapToGrid w:val="0"/>
                <w:szCs w:val="21"/>
              </w:rPr>
            </w:pPr>
          </w:p>
        </w:tc>
        <w:tc>
          <w:tcPr>
            <w:tcW w:w="3925" w:type="dxa"/>
            <w:noWrap w:val="0"/>
            <w:vAlign w:val="top"/>
          </w:tcPr>
          <w:p w14:paraId="55AEF03D">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无故障连续运行时间（h）</w:t>
            </w:r>
          </w:p>
        </w:tc>
        <w:tc>
          <w:tcPr>
            <w:tcW w:w="3509" w:type="dxa"/>
            <w:noWrap w:val="0"/>
            <w:vAlign w:val="top"/>
          </w:tcPr>
          <w:p w14:paraId="3113587C">
            <w:pPr>
              <w:spacing w:line="400" w:lineRule="exact"/>
              <w:rPr>
                <w:rFonts w:hint="eastAsia" w:ascii="宋体" w:hAnsi="宋体" w:eastAsia="宋体" w:cs="宋体"/>
                <w:snapToGrid w:val="0"/>
                <w:szCs w:val="21"/>
              </w:rPr>
            </w:pPr>
          </w:p>
        </w:tc>
      </w:tr>
      <w:tr w14:paraId="0A1F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36DDDFCA">
            <w:pPr>
              <w:spacing w:line="400" w:lineRule="exact"/>
              <w:rPr>
                <w:rFonts w:hint="eastAsia" w:ascii="宋体" w:hAnsi="宋体" w:eastAsia="宋体" w:cs="宋体"/>
                <w:snapToGrid w:val="0"/>
                <w:szCs w:val="21"/>
              </w:rPr>
            </w:pPr>
          </w:p>
        </w:tc>
        <w:tc>
          <w:tcPr>
            <w:tcW w:w="3925" w:type="dxa"/>
            <w:noWrap w:val="0"/>
            <w:vAlign w:val="top"/>
          </w:tcPr>
          <w:p w14:paraId="79337D4D">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大修间隙时间（年）</w:t>
            </w:r>
          </w:p>
        </w:tc>
        <w:tc>
          <w:tcPr>
            <w:tcW w:w="3509" w:type="dxa"/>
            <w:noWrap w:val="0"/>
            <w:vAlign w:val="top"/>
          </w:tcPr>
          <w:p w14:paraId="0BAE0AB8">
            <w:pPr>
              <w:spacing w:line="400" w:lineRule="exact"/>
              <w:rPr>
                <w:rFonts w:hint="eastAsia" w:ascii="宋体" w:hAnsi="宋体" w:eastAsia="宋体" w:cs="宋体"/>
                <w:snapToGrid w:val="0"/>
                <w:szCs w:val="21"/>
              </w:rPr>
            </w:pPr>
          </w:p>
        </w:tc>
      </w:tr>
      <w:tr w14:paraId="2F58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14:paraId="597A1C14">
            <w:pPr>
              <w:spacing w:line="400" w:lineRule="exact"/>
              <w:rPr>
                <w:rFonts w:hint="eastAsia" w:ascii="宋体" w:hAnsi="宋体" w:eastAsia="宋体" w:cs="宋体"/>
                <w:snapToGrid w:val="0"/>
                <w:szCs w:val="21"/>
              </w:rPr>
            </w:pPr>
          </w:p>
        </w:tc>
        <w:tc>
          <w:tcPr>
            <w:tcW w:w="3925" w:type="dxa"/>
            <w:noWrap w:val="0"/>
            <w:vAlign w:val="top"/>
          </w:tcPr>
          <w:p w14:paraId="60F6570A">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退役前的使用期限（年）</w:t>
            </w:r>
          </w:p>
        </w:tc>
        <w:tc>
          <w:tcPr>
            <w:tcW w:w="3509" w:type="dxa"/>
            <w:noWrap w:val="0"/>
            <w:vAlign w:val="top"/>
          </w:tcPr>
          <w:p w14:paraId="3B0B59EE">
            <w:pPr>
              <w:spacing w:line="400" w:lineRule="exact"/>
              <w:rPr>
                <w:rFonts w:hint="eastAsia" w:ascii="宋体" w:hAnsi="宋体" w:eastAsia="宋体" w:cs="宋体"/>
                <w:snapToGrid w:val="0"/>
                <w:szCs w:val="21"/>
              </w:rPr>
            </w:pPr>
          </w:p>
        </w:tc>
      </w:tr>
    </w:tbl>
    <w:p w14:paraId="61733BAE">
      <w:pPr>
        <w:widowControl/>
        <w:snapToGrid w:val="0"/>
        <w:spacing w:line="360" w:lineRule="auto"/>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p>
    <w:p w14:paraId="2E2F2C3B">
      <w:pPr>
        <w:keepNext/>
        <w:outlineLvl w:val="1"/>
        <w:rPr>
          <w:rFonts w:hint="eastAsia" w:ascii="宋体" w:hAnsi="宋体" w:eastAsia="宋体" w:cs="宋体"/>
          <w:sz w:val="28"/>
          <w:szCs w:val="28"/>
        </w:rPr>
      </w:pPr>
      <w:bookmarkStart w:id="31" w:name="_Toc468122258"/>
      <w:r>
        <w:rPr>
          <w:rFonts w:hint="eastAsia" w:ascii="宋体" w:hAnsi="宋体" w:eastAsia="宋体" w:cs="宋体"/>
          <w:sz w:val="28"/>
          <w:szCs w:val="28"/>
        </w:rPr>
        <w:t>2.4 调速系统性能保证</w:t>
      </w:r>
      <w:bookmarkEnd w:id="31"/>
    </w:p>
    <w:tbl>
      <w:tblPr>
        <w:tblStyle w:val="65"/>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104"/>
        <w:gridCol w:w="4394"/>
        <w:gridCol w:w="2428"/>
      </w:tblGrid>
      <w:tr w14:paraId="4BB2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21DBC847">
            <w:pPr>
              <w:spacing w:line="400" w:lineRule="exact"/>
              <w:rPr>
                <w:rFonts w:hint="eastAsia" w:ascii="宋体" w:hAnsi="宋体" w:eastAsia="宋体" w:cs="宋体"/>
                <w:snapToGrid w:val="0"/>
                <w:szCs w:val="21"/>
              </w:rPr>
            </w:pPr>
            <w:r>
              <w:rPr>
                <w:rFonts w:hint="eastAsia" w:ascii="宋体" w:hAnsi="宋体" w:eastAsia="宋体" w:cs="宋体"/>
                <w:snapToGrid w:val="0"/>
                <w:szCs w:val="21"/>
              </w:rPr>
              <w:t>序号</w:t>
            </w:r>
          </w:p>
        </w:tc>
        <w:tc>
          <w:tcPr>
            <w:tcW w:w="1104" w:type="dxa"/>
            <w:noWrap w:val="0"/>
            <w:vAlign w:val="top"/>
          </w:tcPr>
          <w:p w14:paraId="148A19F5">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性能</w:t>
            </w:r>
          </w:p>
        </w:tc>
        <w:tc>
          <w:tcPr>
            <w:tcW w:w="4394" w:type="dxa"/>
            <w:noWrap w:val="0"/>
            <w:vAlign w:val="top"/>
          </w:tcPr>
          <w:p w14:paraId="264C6AAA">
            <w:pPr>
              <w:spacing w:line="400" w:lineRule="exact"/>
              <w:rPr>
                <w:rFonts w:hint="eastAsia" w:ascii="宋体" w:hAnsi="宋体" w:eastAsia="宋体" w:cs="宋体"/>
                <w:snapToGrid w:val="0"/>
                <w:szCs w:val="21"/>
              </w:rPr>
            </w:pPr>
            <w:r>
              <w:rPr>
                <w:rFonts w:hint="eastAsia" w:ascii="宋体" w:hAnsi="宋体" w:eastAsia="宋体" w:cs="宋体"/>
                <w:snapToGrid w:val="0"/>
                <w:szCs w:val="21"/>
              </w:rPr>
              <w:t>性能指标</w:t>
            </w:r>
          </w:p>
        </w:tc>
        <w:tc>
          <w:tcPr>
            <w:tcW w:w="2428" w:type="dxa"/>
            <w:noWrap w:val="0"/>
            <w:vAlign w:val="top"/>
          </w:tcPr>
          <w:p w14:paraId="1A554800">
            <w:pPr>
              <w:spacing w:line="400" w:lineRule="exact"/>
              <w:rPr>
                <w:rFonts w:hint="eastAsia" w:ascii="宋体" w:hAnsi="宋体" w:eastAsia="宋体" w:cs="宋体"/>
                <w:snapToGrid w:val="0"/>
                <w:szCs w:val="21"/>
              </w:rPr>
            </w:pPr>
            <w:r>
              <w:rPr>
                <w:rFonts w:hint="eastAsia" w:ascii="宋体" w:hAnsi="宋体" w:eastAsia="宋体" w:cs="宋体"/>
                <w:snapToGrid w:val="0"/>
                <w:szCs w:val="21"/>
              </w:rPr>
              <w:t>保证值</w:t>
            </w:r>
          </w:p>
        </w:tc>
      </w:tr>
      <w:tr w14:paraId="237C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noWrap w:val="0"/>
            <w:vAlign w:val="center"/>
          </w:tcPr>
          <w:p w14:paraId="6F8E2ABC">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w:t>
            </w:r>
          </w:p>
        </w:tc>
        <w:tc>
          <w:tcPr>
            <w:tcW w:w="1104" w:type="dxa"/>
            <w:vMerge w:val="restart"/>
            <w:noWrap w:val="0"/>
            <w:vAlign w:val="center"/>
          </w:tcPr>
          <w:p w14:paraId="7B5D844F">
            <w:pPr>
              <w:spacing w:line="400" w:lineRule="exact"/>
              <w:rPr>
                <w:rFonts w:hint="eastAsia" w:ascii="宋体" w:hAnsi="宋体" w:eastAsia="宋体" w:cs="宋体"/>
                <w:snapToGrid w:val="0"/>
                <w:szCs w:val="21"/>
              </w:rPr>
            </w:pPr>
            <w:r>
              <w:rPr>
                <w:rFonts w:hint="eastAsia" w:ascii="宋体" w:hAnsi="宋体" w:eastAsia="宋体" w:cs="宋体"/>
                <w:snapToGrid w:val="0"/>
                <w:szCs w:val="21"/>
              </w:rPr>
              <w:t>稳定性</w:t>
            </w:r>
          </w:p>
        </w:tc>
        <w:tc>
          <w:tcPr>
            <w:tcW w:w="4394" w:type="dxa"/>
            <w:noWrap w:val="0"/>
            <w:vAlign w:val="top"/>
          </w:tcPr>
          <w:p w14:paraId="4871A356">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机组在额定转速空载工况自动运行时，由调速系统控制的机组转速波动值不超过额定转速的（%）</w:t>
            </w:r>
          </w:p>
        </w:tc>
        <w:tc>
          <w:tcPr>
            <w:tcW w:w="2428" w:type="dxa"/>
            <w:noWrap w:val="0"/>
            <w:vAlign w:val="center"/>
          </w:tcPr>
          <w:p w14:paraId="436A79B4">
            <w:pPr>
              <w:spacing w:line="400" w:lineRule="exact"/>
              <w:rPr>
                <w:rFonts w:hint="eastAsia" w:ascii="宋体" w:hAnsi="宋体" w:eastAsia="宋体" w:cs="宋体"/>
                <w:snapToGrid w:val="0"/>
                <w:szCs w:val="21"/>
              </w:rPr>
            </w:pPr>
            <w:r>
              <w:rPr>
                <w:rFonts w:hint="eastAsia" w:ascii="宋体" w:hAnsi="宋体" w:eastAsia="宋体" w:cs="宋体"/>
                <w:snapToGrid w:val="0"/>
                <w:szCs w:val="21"/>
              </w:rPr>
              <w:t>≤ ±</w:t>
            </w:r>
          </w:p>
        </w:tc>
      </w:tr>
      <w:tr w14:paraId="7673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643EF1B3">
            <w:pPr>
              <w:spacing w:line="400" w:lineRule="exact"/>
              <w:rPr>
                <w:rFonts w:hint="eastAsia" w:ascii="宋体" w:hAnsi="宋体" w:eastAsia="宋体" w:cs="宋体"/>
                <w:snapToGrid w:val="0"/>
                <w:szCs w:val="21"/>
              </w:rPr>
            </w:pPr>
          </w:p>
        </w:tc>
        <w:tc>
          <w:tcPr>
            <w:tcW w:w="1104" w:type="dxa"/>
            <w:vMerge w:val="continue"/>
            <w:noWrap w:val="0"/>
            <w:vAlign w:val="top"/>
          </w:tcPr>
          <w:p w14:paraId="68105C43">
            <w:pPr>
              <w:spacing w:line="400" w:lineRule="exact"/>
              <w:rPr>
                <w:rFonts w:hint="eastAsia" w:ascii="宋体" w:hAnsi="宋体" w:eastAsia="宋体" w:cs="宋体"/>
                <w:snapToGrid w:val="0"/>
                <w:szCs w:val="21"/>
              </w:rPr>
            </w:pPr>
          </w:p>
        </w:tc>
        <w:tc>
          <w:tcPr>
            <w:tcW w:w="4394" w:type="dxa"/>
            <w:noWrap w:val="0"/>
            <w:vAlign w:val="top"/>
          </w:tcPr>
          <w:p w14:paraId="77668C22">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试验时，连续测量时间为3min（%）</w:t>
            </w:r>
          </w:p>
        </w:tc>
        <w:tc>
          <w:tcPr>
            <w:tcW w:w="2428" w:type="dxa"/>
            <w:noWrap w:val="0"/>
            <w:vAlign w:val="top"/>
          </w:tcPr>
          <w:p w14:paraId="049EFBFB">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2767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top"/>
          </w:tcPr>
          <w:p w14:paraId="110AA933">
            <w:pPr>
              <w:spacing w:line="400" w:lineRule="exact"/>
              <w:rPr>
                <w:rFonts w:hint="eastAsia" w:ascii="宋体" w:hAnsi="宋体" w:eastAsia="宋体" w:cs="宋体"/>
                <w:snapToGrid w:val="0"/>
                <w:szCs w:val="21"/>
              </w:rPr>
            </w:pPr>
          </w:p>
        </w:tc>
        <w:tc>
          <w:tcPr>
            <w:tcW w:w="1104" w:type="dxa"/>
            <w:vMerge w:val="continue"/>
            <w:noWrap w:val="0"/>
            <w:vAlign w:val="top"/>
          </w:tcPr>
          <w:p w14:paraId="3CB2BF2E">
            <w:pPr>
              <w:spacing w:line="400" w:lineRule="exact"/>
              <w:rPr>
                <w:rFonts w:hint="eastAsia" w:ascii="宋体" w:hAnsi="宋体" w:eastAsia="宋体" w:cs="宋体"/>
                <w:snapToGrid w:val="0"/>
                <w:szCs w:val="21"/>
              </w:rPr>
            </w:pPr>
          </w:p>
        </w:tc>
        <w:tc>
          <w:tcPr>
            <w:tcW w:w="4394" w:type="dxa"/>
            <w:noWrap w:val="0"/>
            <w:vAlign w:val="top"/>
          </w:tcPr>
          <w:p w14:paraId="3BD62432">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机组在额定负荷下与其它发电机并联运行，永态转差系数或转差率整定在5%，当人工频率失灵区投入，且电网频率波动值不超过人工失灵区给定值时，由调速系统控制的水轮机导叶开度波动值不超过水轮机导叶最大开度的（%）</w:t>
            </w:r>
          </w:p>
        </w:tc>
        <w:tc>
          <w:tcPr>
            <w:tcW w:w="2428" w:type="dxa"/>
            <w:noWrap w:val="0"/>
            <w:vAlign w:val="center"/>
          </w:tcPr>
          <w:p w14:paraId="69A78675">
            <w:pPr>
              <w:spacing w:line="400" w:lineRule="exact"/>
              <w:rPr>
                <w:rFonts w:hint="eastAsia" w:ascii="宋体" w:hAnsi="宋体" w:eastAsia="宋体" w:cs="宋体"/>
                <w:snapToGrid w:val="0"/>
                <w:szCs w:val="21"/>
              </w:rPr>
            </w:pPr>
            <w:r>
              <w:rPr>
                <w:rFonts w:hint="eastAsia" w:ascii="宋体" w:hAnsi="宋体" w:eastAsia="宋体" w:cs="宋体"/>
                <w:snapToGrid w:val="0"/>
                <w:szCs w:val="21"/>
              </w:rPr>
              <w:t>≤ ±</w:t>
            </w:r>
          </w:p>
        </w:tc>
      </w:tr>
      <w:tr w14:paraId="6568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noWrap w:val="0"/>
            <w:vAlign w:val="center"/>
          </w:tcPr>
          <w:p w14:paraId="650C9CB8">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2</w:t>
            </w:r>
          </w:p>
        </w:tc>
        <w:tc>
          <w:tcPr>
            <w:tcW w:w="1104" w:type="dxa"/>
            <w:vMerge w:val="restart"/>
            <w:noWrap w:val="0"/>
            <w:vAlign w:val="center"/>
          </w:tcPr>
          <w:p w14:paraId="2C34E478">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动态特性</w:t>
            </w:r>
          </w:p>
        </w:tc>
        <w:tc>
          <w:tcPr>
            <w:tcW w:w="4394" w:type="dxa"/>
            <w:noWrap w:val="0"/>
            <w:vAlign w:val="top"/>
          </w:tcPr>
          <w:p w14:paraId="0B24258F">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从调速系统动态特性示波图上求取的比例增益kp、积分增益ki值与理论值的偏差不超过</w:t>
            </w:r>
          </w:p>
        </w:tc>
        <w:tc>
          <w:tcPr>
            <w:tcW w:w="2428" w:type="dxa"/>
            <w:noWrap w:val="0"/>
            <w:vAlign w:val="top"/>
          </w:tcPr>
          <w:p w14:paraId="39F1EE77">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0755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32617093">
            <w:pPr>
              <w:spacing w:line="400" w:lineRule="exact"/>
              <w:jc w:val="center"/>
              <w:rPr>
                <w:rFonts w:hint="eastAsia" w:ascii="宋体" w:hAnsi="宋体" w:eastAsia="宋体" w:cs="宋体"/>
                <w:snapToGrid w:val="0"/>
                <w:szCs w:val="21"/>
              </w:rPr>
            </w:pPr>
          </w:p>
        </w:tc>
        <w:tc>
          <w:tcPr>
            <w:tcW w:w="1104" w:type="dxa"/>
            <w:vMerge w:val="continue"/>
            <w:noWrap w:val="0"/>
            <w:vAlign w:val="top"/>
          </w:tcPr>
          <w:p w14:paraId="0FEF4B25">
            <w:pPr>
              <w:spacing w:line="400" w:lineRule="exact"/>
              <w:rPr>
                <w:rFonts w:hint="eastAsia" w:ascii="宋体" w:hAnsi="宋体" w:eastAsia="宋体" w:cs="宋体"/>
                <w:snapToGrid w:val="0"/>
                <w:szCs w:val="21"/>
              </w:rPr>
            </w:pPr>
          </w:p>
        </w:tc>
        <w:tc>
          <w:tcPr>
            <w:tcW w:w="4394" w:type="dxa"/>
            <w:noWrap w:val="0"/>
            <w:vAlign w:val="top"/>
          </w:tcPr>
          <w:p w14:paraId="028E3DDE">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机组甩全负荷后，大于3%额定转速的波峰不得超过（次）</w:t>
            </w:r>
          </w:p>
        </w:tc>
        <w:tc>
          <w:tcPr>
            <w:tcW w:w="2428" w:type="dxa"/>
            <w:noWrap w:val="0"/>
            <w:vAlign w:val="center"/>
          </w:tcPr>
          <w:p w14:paraId="1431CA6A">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2916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78EC75AF">
            <w:pPr>
              <w:spacing w:line="400" w:lineRule="exact"/>
              <w:jc w:val="center"/>
              <w:rPr>
                <w:rFonts w:hint="eastAsia" w:ascii="宋体" w:hAnsi="宋体" w:eastAsia="宋体" w:cs="宋体"/>
                <w:snapToGrid w:val="0"/>
                <w:szCs w:val="21"/>
              </w:rPr>
            </w:pPr>
          </w:p>
        </w:tc>
        <w:tc>
          <w:tcPr>
            <w:tcW w:w="1104" w:type="dxa"/>
            <w:vMerge w:val="continue"/>
            <w:noWrap w:val="0"/>
            <w:vAlign w:val="top"/>
          </w:tcPr>
          <w:p w14:paraId="6CAE1EF4">
            <w:pPr>
              <w:spacing w:line="400" w:lineRule="exact"/>
              <w:rPr>
                <w:rFonts w:hint="eastAsia" w:ascii="宋体" w:hAnsi="宋体" w:eastAsia="宋体" w:cs="宋体"/>
                <w:snapToGrid w:val="0"/>
                <w:szCs w:val="21"/>
              </w:rPr>
            </w:pPr>
          </w:p>
        </w:tc>
        <w:tc>
          <w:tcPr>
            <w:tcW w:w="4394" w:type="dxa"/>
            <w:noWrap w:val="0"/>
            <w:vAlign w:val="top"/>
          </w:tcPr>
          <w:p w14:paraId="741F9454">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从接力器第一次向开启方向移动起，到机组转速波动值不超过额定值的±0.5%为止，所经历的时间不大于（s）</w:t>
            </w:r>
          </w:p>
        </w:tc>
        <w:tc>
          <w:tcPr>
            <w:tcW w:w="2428" w:type="dxa"/>
            <w:noWrap w:val="0"/>
            <w:vAlign w:val="center"/>
          </w:tcPr>
          <w:p w14:paraId="26EA3C21">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5259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54AA1CBA">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3</w:t>
            </w:r>
          </w:p>
        </w:tc>
        <w:tc>
          <w:tcPr>
            <w:tcW w:w="1104" w:type="dxa"/>
            <w:noWrap w:val="0"/>
            <w:vAlign w:val="center"/>
          </w:tcPr>
          <w:p w14:paraId="47A73F47">
            <w:pPr>
              <w:spacing w:line="400" w:lineRule="exact"/>
              <w:rPr>
                <w:rFonts w:hint="eastAsia" w:ascii="宋体" w:hAnsi="宋体" w:eastAsia="宋体" w:cs="宋体"/>
                <w:snapToGrid w:val="0"/>
                <w:szCs w:val="21"/>
              </w:rPr>
            </w:pPr>
            <w:r>
              <w:rPr>
                <w:rFonts w:hint="eastAsia" w:ascii="宋体" w:hAnsi="宋体" w:eastAsia="宋体" w:cs="宋体"/>
                <w:snapToGrid w:val="0"/>
                <w:szCs w:val="21"/>
              </w:rPr>
              <w:t>不动时间</w:t>
            </w:r>
          </w:p>
        </w:tc>
        <w:tc>
          <w:tcPr>
            <w:tcW w:w="4394" w:type="dxa"/>
            <w:noWrap w:val="0"/>
            <w:vAlign w:val="top"/>
          </w:tcPr>
          <w:p w14:paraId="16CAA436">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机组出力突变10%额定负荷，从机组转速变化为额定转速的0.02%开始，到导叶接力器第一次可测移动的时间间隔不超过（s）</w:t>
            </w:r>
          </w:p>
        </w:tc>
        <w:tc>
          <w:tcPr>
            <w:tcW w:w="2428" w:type="dxa"/>
            <w:noWrap w:val="0"/>
            <w:vAlign w:val="center"/>
          </w:tcPr>
          <w:p w14:paraId="3036937F">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704E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562240D8">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4</w:t>
            </w:r>
          </w:p>
        </w:tc>
        <w:tc>
          <w:tcPr>
            <w:tcW w:w="1104" w:type="dxa"/>
            <w:noWrap w:val="0"/>
            <w:vAlign w:val="center"/>
          </w:tcPr>
          <w:p w14:paraId="4164C8F3">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开机</w:t>
            </w:r>
          </w:p>
        </w:tc>
        <w:tc>
          <w:tcPr>
            <w:tcW w:w="4394" w:type="dxa"/>
            <w:noWrap w:val="0"/>
            <w:vAlign w:val="top"/>
          </w:tcPr>
          <w:p w14:paraId="1BBEAD5A">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调速系统可实现现地开机或由电站计算机监控系统远方控制机组开机。自动开机时，从调速系统接收到开机令到机组达到额定转速时间应不超过（s）</w:t>
            </w:r>
          </w:p>
        </w:tc>
        <w:tc>
          <w:tcPr>
            <w:tcW w:w="2428" w:type="dxa"/>
            <w:noWrap w:val="0"/>
            <w:vAlign w:val="center"/>
          </w:tcPr>
          <w:p w14:paraId="14FBDB71">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5D5C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7ACB3B6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5</w:t>
            </w:r>
          </w:p>
        </w:tc>
        <w:tc>
          <w:tcPr>
            <w:tcW w:w="1104" w:type="dxa"/>
            <w:noWrap w:val="0"/>
            <w:vAlign w:val="center"/>
          </w:tcPr>
          <w:p w14:paraId="624EBF1A">
            <w:pPr>
              <w:spacing w:line="400" w:lineRule="exact"/>
              <w:jc w:val="center"/>
              <w:rPr>
                <w:rFonts w:hint="eastAsia" w:ascii="宋体" w:hAnsi="宋体" w:eastAsia="宋体" w:cs="宋体"/>
                <w:snapToGrid w:val="0"/>
                <w:szCs w:val="21"/>
              </w:rPr>
            </w:pPr>
          </w:p>
        </w:tc>
        <w:tc>
          <w:tcPr>
            <w:tcW w:w="4394" w:type="dxa"/>
            <w:noWrap w:val="0"/>
            <w:vAlign w:val="top"/>
          </w:tcPr>
          <w:p w14:paraId="16B87B06">
            <w:pPr>
              <w:spacing w:line="400" w:lineRule="exact"/>
              <w:rPr>
                <w:rFonts w:hint="eastAsia" w:ascii="宋体" w:hAnsi="宋体" w:eastAsia="宋体" w:cs="宋体"/>
                <w:snapToGrid w:val="0"/>
              </w:rPr>
            </w:pPr>
            <w:r>
              <w:rPr>
                <w:rFonts w:hint="eastAsia" w:ascii="宋体" w:hAnsi="宋体" w:eastAsia="宋体" w:cs="宋体"/>
                <w:snapToGrid w:val="0"/>
                <w:spacing w:val="6"/>
              </w:rPr>
              <w:t>齿盘转速装置精度为（%）</w:t>
            </w:r>
          </w:p>
        </w:tc>
        <w:tc>
          <w:tcPr>
            <w:tcW w:w="2428" w:type="dxa"/>
            <w:noWrap w:val="0"/>
            <w:vAlign w:val="top"/>
          </w:tcPr>
          <w:p w14:paraId="58030216">
            <w:pPr>
              <w:spacing w:line="400" w:lineRule="exact"/>
              <w:rPr>
                <w:rFonts w:hint="eastAsia" w:ascii="宋体" w:hAnsi="宋体" w:eastAsia="宋体" w:cs="宋体"/>
                <w:snapToGrid w:val="0"/>
                <w:szCs w:val="21"/>
              </w:rPr>
            </w:pPr>
          </w:p>
        </w:tc>
      </w:tr>
      <w:tr w14:paraId="23FC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noWrap w:val="0"/>
            <w:vAlign w:val="center"/>
          </w:tcPr>
          <w:p w14:paraId="2F377EF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6</w:t>
            </w:r>
          </w:p>
        </w:tc>
        <w:tc>
          <w:tcPr>
            <w:tcW w:w="1104" w:type="dxa"/>
            <w:vMerge w:val="restart"/>
            <w:noWrap w:val="0"/>
            <w:vAlign w:val="center"/>
          </w:tcPr>
          <w:p w14:paraId="072EC644">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永态转差系数／转差率</w:t>
            </w:r>
          </w:p>
        </w:tc>
        <w:tc>
          <w:tcPr>
            <w:tcW w:w="4394" w:type="dxa"/>
            <w:noWrap w:val="0"/>
            <w:vAlign w:val="top"/>
          </w:tcPr>
          <w:p w14:paraId="324A12A2">
            <w:pPr>
              <w:spacing w:line="400" w:lineRule="exact"/>
              <w:rPr>
                <w:rFonts w:hint="eastAsia" w:ascii="宋体" w:hAnsi="宋体" w:eastAsia="宋体" w:cs="宋体"/>
                <w:snapToGrid w:val="0"/>
              </w:rPr>
            </w:pPr>
            <w:r>
              <w:rPr>
                <w:rFonts w:hint="eastAsia" w:ascii="宋体" w:hAnsi="宋体" w:eastAsia="宋体" w:cs="宋体"/>
                <w:snapToGrid w:val="0"/>
                <w:spacing w:val="6"/>
              </w:rPr>
              <w:t>在速度控制方式下，永态转差系数能在___%至___%之间调整</w:t>
            </w:r>
          </w:p>
        </w:tc>
        <w:tc>
          <w:tcPr>
            <w:tcW w:w="2428" w:type="dxa"/>
            <w:noWrap w:val="0"/>
            <w:vAlign w:val="top"/>
          </w:tcPr>
          <w:p w14:paraId="6FBE577F">
            <w:pPr>
              <w:spacing w:line="400" w:lineRule="exact"/>
              <w:rPr>
                <w:rFonts w:hint="eastAsia" w:ascii="宋体" w:hAnsi="宋体" w:eastAsia="宋体" w:cs="宋体"/>
                <w:snapToGrid w:val="0"/>
                <w:szCs w:val="21"/>
              </w:rPr>
            </w:pPr>
          </w:p>
        </w:tc>
      </w:tr>
      <w:tr w14:paraId="1394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26AE009A">
            <w:pPr>
              <w:spacing w:line="400" w:lineRule="exact"/>
              <w:jc w:val="center"/>
              <w:rPr>
                <w:rFonts w:hint="eastAsia" w:ascii="宋体" w:hAnsi="宋体" w:eastAsia="宋体" w:cs="宋体"/>
                <w:snapToGrid w:val="0"/>
                <w:szCs w:val="21"/>
              </w:rPr>
            </w:pPr>
          </w:p>
        </w:tc>
        <w:tc>
          <w:tcPr>
            <w:tcW w:w="1104" w:type="dxa"/>
            <w:vMerge w:val="continue"/>
            <w:noWrap w:val="0"/>
            <w:vAlign w:val="center"/>
          </w:tcPr>
          <w:p w14:paraId="1A4A7E0C">
            <w:pPr>
              <w:spacing w:line="400" w:lineRule="exact"/>
              <w:jc w:val="left"/>
              <w:rPr>
                <w:rFonts w:hint="eastAsia" w:ascii="宋体" w:hAnsi="宋体" w:eastAsia="宋体" w:cs="宋体"/>
                <w:snapToGrid w:val="0"/>
                <w:spacing w:val="6"/>
              </w:rPr>
            </w:pPr>
          </w:p>
        </w:tc>
        <w:tc>
          <w:tcPr>
            <w:tcW w:w="4394" w:type="dxa"/>
            <w:noWrap w:val="0"/>
            <w:vAlign w:val="top"/>
          </w:tcPr>
          <w:p w14:paraId="56B5B468">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在功率控制方式下，转差率能在___%至___%之间调整</w:t>
            </w:r>
          </w:p>
        </w:tc>
        <w:tc>
          <w:tcPr>
            <w:tcW w:w="2428" w:type="dxa"/>
            <w:noWrap w:val="0"/>
            <w:vAlign w:val="top"/>
          </w:tcPr>
          <w:p w14:paraId="3A4D2F09">
            <w:pPr>
              <w:spacing w:line="400" w:lineRule="exact"/>
              <w:rPr>
                <w:rFonts w:hint="eastAsia" w:ascii="宋体" w:hAnsi="宋体" w:eastAsia="宋体" w:cs="宋体"/>
                <w:snapToGrid w:val="0"/>
                <w:szCs w:val="21"/>
              </w:rPr>
            </w:pPr>
          </w:p>
        </w:tc>
      </w:tr>
      <w:tr w14:paraId="2381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noWrap w:val="0"/>
            <w:vAlign w:val="center"/>
          </w:tcPr>
          <w:p w14:paraId="70BBA6FA">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7</w:t>
            </w:r>
          </w:p>
        </w:tc>
        <w:tc>
          <w:tcPr>
            <w:tcW w:w="1104" w:type="dxa"/>
            <w:vMerge w:val="restart"/>
            <w:noWrap w:val="0"/>
            <w:vAlign w:val="top"/>
          </w:tcPr>
          <w:p w14:paraId="28113AF6">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PID参数</w:t>
            </w:r>
          </w:p>
          <w:p w14:paraId="402D5CFF">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（调整范围不小于）</w:t>
            </w:r>
          </w:p>
        </w:tc>
        <w:tc>
          <w:tcPr>
            <w:tcW w:w="4394" w:type="dxa"/>
            <w:noWrap w:val="0"/>
            <w:vAlign w:val="center"/>
          </w:tcPr>
          <w:p w14:paraId="5EF972E9">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比例增益kp</w:t>
            </w:r>
          </w:p>
        </w:tc>
        <w:tc>
          <w:tcPr>
            <w:tcW w:w="2428" w:type="dxa"/>
            <w:noWrap w:val="0"/>
            <w:vAlign w:val="center"/>
          </w:tcPr>
          <w:p w14:paraId="483B8181">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535B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07A3EDFB">
            <w:pPr>
              <w:spacing w:line="400" w:lineRule="exact"/>
              <w:jc w:val="center"/>
              <w:rPr>
                <w:rFonts w:hint="eastAsia" w:ascii="宋体" w:hAnsi="宋体" w:eastAsia="宋体" w:cs="宋体"/>
                <w:snapToGrid w:val="0"/>
                <w:szCs w:val="21"/>
              </w:rPr>
            </w:pPr>
          </w:p>
        </w:tc>
        <w:tc>
          <w:tcPr>
            <w:tcW w:w="1104" w:type="dxa"/>
            <w:vMerge w:val="continue"/>
            <w:noWrap w:val="0"/>
            <w:vAlign w:val="center"/>
          </w:tcPr>
          <w:p w14:paraId="6BE3C965">
            <w:pPr>
              <w:spacing w:line="400" w:lineRule="exact"/>
              <w:jc w:val="left"/>
              <w:rPr>
                <w:rFonts w:hint="eastAsia" w:ascii="宋体" w:hAnsi="宋体" w:eastAsia="宋体" w:cs="宋体"/>
                <w:snapToGrid w:val="0"/>
                <w:spacing w:val="6"/>
              </w:rPr>
            </w:pPr>
          </w:p>
        </w:tc>
        <w:tc>
          <w:tcPr>
            <w:tcW w:w="4394" w:type="dxa"/>
            <w:noWrap w:val="0"/>
            <w:vAlign w:val="center"/>
          </w:tcPr>
          <w:p w14:paraId="328CA413">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积分增益ki（1/s）</w:t>
            </w:r>
          </w:p>
        </w:tc>
        <w:tc>
          <w:tcPr>
            <w:tcW w:w="2428" w:type="dxa"/>
            <w:noWrap w:val="0"/>
            <w:vAlign w:val="center"/>
          </w:tcPr>
          <w:p w14:paraId="541BD605">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1474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59C37D09">
            <w:pPr>
              <w:spacing w:line="400" w:lineRule="exact"/>
              <w:jc w:val="center"/>
              <w:rPr>
                <w:rFonts w:hint="eastAsia" w:ascii="宋体" w:hAnsi="宋体" w:eastAsia="宋体" w:cs="宋体"/>
                <w:snapToGrid w:val="0"/>
                <w:szCs w:val="21"/>
              </w:rPr>
            </w:pPr>
          </w:p>
        </w:tc>
        <w:tc>
          <w:tcPr>
            <w:tcW w:w="1104" w:type="dxa"/>
            <w:vMerge w:val="continue"/>
            <w:noWrap w:val="0"/>
            <w:vAlign w:val="center"/>
          </w:tcPr>
          <w:p w14:paraId="4CD46477">
            <w:pPr>
              <w:spacing w:line="400" w:lineRule="exact"/>
              <w:jc w:val="left"/>
              <w:rPr>
                <w:rFonts w:hint="eastAsia" w:ascii="宋体" w:hAnsi="宋体" w:eastAsia="宋体" w:cs="宋体"/>
                <w:snapToGrid w:val="0"/>
                <w:spacing w:val="6"/>
              </w:rPr>
            </w:pPr>
          </w:p>
        </w:tc>
        <w:tc>
          <w:tcPr>
            <w:tcW w:w="4394" w:type="dxa"/>
            <w:noWrap w:val="0"/>
            <w:vAlign w:val="center"/>
          </w:tcPr>
          <w:p w14:paraId="1F217C85">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微分增益kd（s）</w:t>
            </w:r>
          </w:p>
        </w:tc>
        <w:tc>
          <w:tcPr>
            <w:tcW w:w="2428" w:type="dxa"/>
            <w:noWrap w:val="0"/>
            <w:vAlign w:val="center"/>
          </w:tcPr>
          <w:p w14:paraId="09BF59DA">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3F14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52430728">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8</w:t>
            </w:r>
          </w:p>
        </w:tc>
        <w:tc>
          <w:tcPr>
            <w:tcW w:w="1104" w:type="dxa"/>
            <w:noWrap w:val="0"/>
            <w:vAlign w:val="center"/>
          </w:tcPr>
          <w:p w14:paraId="50FDBFD9">
            <w:pPr>
              <w:spacing w:line="400" w:lineRule="exact"/>
              <w:jc w:val="left"/>
              <w:rPr>
                <w:rFonts w:hint="eastAsia" w:ascii="宋体" w:hAnsi="宋体" w:eastAsia="宋体" w:cs="宋体"/>
                <w:snapToGrid w:val="0"/>
                <w:spacing w:val="6"/>
              </w:rPr>
            </w:pPr>
            <w:r>
              <w:rPr>
                <w:rFonts w:hint="eastAsia" w:ascii="宋体" w:hAnsi="宋体" w:eastAsia="宋体" w:cs="宋体"/>
                <w:snapToGrid w:val="0"/>
                <w:spacing w:val="6"/>
              </w:rPr>
              <w:t>人工频率失灵区</w:t>
            </w:r>
          </w:p>
        </w:tc>
        <w:tc>
          <w:tcPr>
            <w:tcW w:w="4394" w:type="dxa"/>
            <w:noWrap w:val="0"/>
            <w:vAlign w:val="top"/>
          </w:tcPr>
          <w:p w14:paraId="5D2D6EB4">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人工频率失灵区在0～±___%(或0～±__Hz)的额定转速范围内能通过软件在线调整</w:t>
            </w:r>
          </w:p>
        </w:tc>
        <w:tc>
          <w:tcPr>
            <w:tcW w:w="2428" w:type="dxa"/>
            <w:noWrap w:val="0"/>
            <w:vAlign w:val="center"/>
          </w:tcPr>
          <w:p w14:paraId="67CDEC0F">
            <w:pPr>
              <w:spacing w:line="400" w:lineRule="exact"/>
              <w:rPr>
                <w:rFonts w:hint="eastAsia" w:ascii="宋体" w:hAnsi="宋体" w:eastAsia="宋体" w:cs="宋体"/>
                <w:snapToGrid w:val="0"/>
                <w:szCs w:val="21"/>
              </w:rPr>
            </w:pPr>
          </w:p>
        </w:tc>
      </w:tr>
      <w:tr w14:paraId="141D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noWrap w:val="0"/>
            <w:vAlign w:val="center"/>
          </w:tcPr>
          <w:p w14:paraId="6DCA6B1C">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9</w:t>
            </w:r>
          </w:p>
        </w:tc>
        <w:tc>
          <w:tcPr>
            <w:tcW w:w="1104" w:type="dxa"/>
            <w:vMerge w:val="restart"/>
            <w:noWrap w:val="0"/>
            <w:vAlign w:val="center"/>
          </w:tcPr>
          <w:p w14:paraId="2C5913FC">
            <w:pPr>
              <w:spacing w:line="400" w:lineRule="exact"/>
              <w:jc w:val="left"/>
              <w:rPr>
                <w:rFonts w:hint="eastAsia" w:ascii="宋体" w:hAnsi="宋体" w:eastAsia="宋体" w:cs="宋体"/>
                <w:snapToGrid w:val="0"/>
                <w:spacing w:val="6"/>
              </w:rPr>
            </w:pPr>
            <w:r>
              <w:rPr>
                <w:rFonts w:hint="eastAsia" w:ascii="宋体" w:hAnsi="宋体" w:eastAsia="宋体" w:cs="宋体"/>
                <w:snapToGrid w:val="0"/>
                <w:spacing w:val="6"/>
              </w:rPr>
              <w:t>转速调整范围及功率给定调整范围</w:t>
            </w:r>
          </w:p>
        </w:tc>
        <w:tc>
          <w:tcPr>
            <w:tcW w:w="4394" w:type="dxa"/>
            <w:noWrap w:val="0"/>
            <w:vAlign w:val="top"/>
          </w:tcPr>
          <w:p w14:paraId="57E2FA48">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在转速控制方式下，转速调整范围为（Hz）</w:t>
            </w:r>
          </w:p>
        </w:tc>
        <w:tc>
          <w:tcPr>
            <w:tcW w:w="2428" w:type="dxa"/>
            <w:noWrap w:val="0"/>
            <w:vAlign w:val="center"/>
          </w:tcPr>
          <w:p w14:paraId="2916899A">
            <w:pPr>
              <w:spacing w:line="400" w:lineRule="exact"/>
              <w:rPr>
                <w:rFonts w:hint="eastAsia" w:ascii="宋体" w:hAnsi="宋体" w:eastAsia="宋体" w:cs="宋体"/>
                <w:snapToGrid w:val="0"/>
                <w:szCs w:val="21"/>
              </w:rPr>
            </w:pPr>
          </w:p>
        </w:tc>
      </w:tr>
      <w:tr w14:paraId="2A36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4EDC9DA5">
            <w:pPr>
              <w:spacing w:line="400" w:lineRule="exact"/>
              <w:jc w:val="center"/>
              <w:rPr>
                <w:rFonts w:hint="eastAsia" w:ascii="宋体" w:hAnsi="宋体" w:eastAsia="宋体" w:cs="宋体"/>
                <w:snapToGrid w:val="0"/>
                <w:szCs w:val="21"/>
              </w:rPr>
            </w:pPr>
          </w:p>
        </w:tc>
        <w:tc>
          <w:tcPr>
            <w:tcW w:w="1104" w:type="dxa"/>
            <w:vMerge w:val="continue"/>
            <w:noWrap w:val="0"/>
            <w:vAlign w:val="center"/>
          </w:tcPr>
          <w:p w14:paraId="0E97A4EB">
            <w:pPr>
              <w:spacing w:line="400" w:lineRule="exact"/>
              <w:jc w:val="left"/>
              <w:rPr>
                <w:rFonts w:hint="eastAsia" w:ascii="宋体" w:hAnsi="宋体" w:eastAsia="宋体" w:cs="宋体"/>
                <w:snapToGrid w:val="0"/>
                <w:spacing w:val="6"/>
              </w:rPr>
            </w:pPr>
          </w:p>
        </w:tc>
        <w:tc>
          <w:tcPr>
            <w:tcW w:w="4394" w:type="dxa"/>
            <w:noWrap w:val="0"/>
            <w:vAlign w:val="top"/>
          </w:tcPr>
          <w:p w14:paraId="01BA930C">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在功率控制方式下，功率给定值调整范围为0～____%的机组额定出力</w:t>
            </w:r>
          </w:p>
        </w:tc>
        <w:tc>
          <w:tcPr>
            <w:tcW w:w="2428" w:type="dxa"/>
            <w:noWrap w:val="0"/>
            <w:vAlign w:val="center"/>
          </w:tcPr>
          <w:p w14:paraId="2E8072C1">
            <w:pPr>
              <w:spacing w:line="400" w:lineRule="exact"/>
              <w:rPr>
                <w:rFonts w:hint="eastAsia" w:ascii="宋体" w:hAnsi="宋体" w:eastAsia="宋体" w:cs="宋体"/>
                <w:snapToGrid w:val="0"/>
                <w:szCs w:val="21"/>
              </w:rPr>
            </w:pPr>
          </w:p>
        </w:tc>
      </w:tr>
      <w:tr w14:paraId="2737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3430B6D9">
            <w:pPr>
              <w:spacing w:line="400" w:lineRule="exact"/>
              <w:jc w:val="center"/>
              <w:rPr>
                <w:rFonts w:hint="eastAsia" w:ascii="宋体" w:hAnsi="宋体" w:eastAsia="宋体" w:cs="宋体"/>
                <w:snapToGrid w:val="0"/>
                <w:szCs w:val="21"/>
              </w:rPr>
            </w:pPr>
          </w:p>
        </w:tc>
        <w:tc>
          <w:tcPr>
            <w:tcW w:w="1104" w:type="dxa"/>
            <w:vMerge w:val="continue"/>
            <w:noWrap w:val="0"/>
            <w:vAlign w:val="center"/>
          </w:tcPr>
          <w:p w14:paraId="7E7DF689">
            <w:pPr>
              <w:spacing w:line="400" w:lineRule="exact"/>
              <w:jc w:val="left"/>
              <w:rPr>
                <w:rFonts w:hint="eastAsia" w:ascii="宋体" w:hAnsi="宋体" w:eastAsia="宋体" w:cs="宋体"/>
                <w:snapToGrid w:val="0"/>
                <w:spacing w:val="6"/>
              </w:rPr>
            </w:pPr>
          </w:p>
        </w:tc>
        <w:tc>
          <w:tcPr>
            <w:tcW w:w="4394" w:type="dxa"/>
            <w:noWrap w:val="0"/>
            <w:vAlign w:val="top"/>
          </w:tcPr>
          <w:p w14:paraId="0380AABB">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无论是转速控制方式还是功率控制方式，转速调整和功率给定值调整的变化速率是软件可调的，从最大发电机出力减少到零出力（或相反）所需的时间应能在___s到___s之间调整</w:t>
            </w:r>
          </w:p>
        </w:tc>
        <w:tc>
          <w:tcPr>
            <w:tcW w:w="2428" w:type="dxa"/>
            <w:noWrap w:val="0"/>
            <w:vAlign w:val="center"/>
          </w:tcPr>
          <w:p w14:paraId="39F1A053">
            <w:pPr>
              <w:spacing w:line="400" w:lineRule="exact"/>
              <w:rPr>
                <w:rFonts w:hint="eastAsia" w:ascii="宋体" w:hAnsi="宋体" w:eastAsia="宋体" w:cs="宋体"/>
                <w:snapToGrid w:val="0"/>
                <w:szCs w:val="21"/>
              </w:rPr>
            </w:pPr>
          </w:p>
        </w:tc>
      </w:tr>
      <w:tr w14:paraId="4E57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noWrap w:val="0"/>
            <w:vAlign w:val="center"/>
          </w:tcPr>
          <w:p w14:paraId="6DF746E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10</w:t>
            </w:r>
          </w:p>
        </w:tc>
        <w:tc>
          <w:tcPr>
            <w:tcW w:w="1104" w:type="dxa"/>
            <w:vMerge w:val="restart"/>
            <w:noWrap w:val="0"/>
            <w:vAlign w:val="center"/>
          </w:tcPr>
          <w:p w14:paraId="0FFE3A4A">
            <w:pPr>
              <w:spacing w:line="400" w:lineRule="exact"/>
              <w:jc w:val="left"/>
              <w:rPr>
                <w:rFonts w:hint="eastAsia" w:ascii="宋体" w:hAnsi="宋体" w:eastAsia="宋体" w:cs="宋体"/>
                <w:snapToGrid w:val="0"/>
                <w:spacing w:val="6"/>
              </w:rPr>
            </w:pPr>
            <w:r>
              <w:rPr>
                <w:rFonts w:hint="eastAsia" w:ascii="宋体" w:hAnsi="宋体" w:eastAsia="宋体" w:cs="宋体"/>
                <w:snapToGrid w:val="0"/>
                <w:spacing w:val="6"/>
              </w:rPr>
              <w:t>无扰动</w:t>
            </w:r>
          </w:p>
          <w:p w14:paraId="1C939EAB">
            <w:pPr>
              <w:spacing w:line="400" w:lineRule="exact"/>
              <w:jc w:val="left"/>
              <w:rPr>
                <w:rFonts w:hint="eastAsia" w:ascii="宋体" w:hAnsi="宋体" w:eastAsia="宋体" w:cs="宋体"/>
                <w:snapToGrid w:val="0"/>
                <w:spacing w:val="6"/>
              </w:rPr>
            </w:pPr>
            <w:r>
              <w:rPr>
                <w:rFonts w:hint="eastAsia" w:ascii="宋体" w:hAnsi="宋体" w:eastAsia="宋体" w:cs="宋体"/>
                <w:snapToGrid w:val="0"/>
                <w:spacing w:val="6"/>
              </w:rPr>
              <w:t>切换</w:t>
            </w:r>
          </w:p>
        </w:tc>
        <w:tc>
          <w:tcPr>
            <w:tcW w:w="4394" w:type="dxa"/>
            <w:noWrap w:val="0"/>
            <w:vAlign w:val="top"/>
          </w:tcPr>
          <w:p w14:paraId="295E8DFF">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切换时导叶接力器行程变化不大于全行程的（%）</w:t>
            </w:r>
          </w:p>
        </w:tc>
        <w:tc>
          <w:tcPr>
            <w:tcW w:w="2428" w:type="dxa"/>
            <w:noWrap w:val="0"/>
            <w:vAlign w:val="center"/>
          </w:tcPr>
          <w:p w14:paraId="678F5A8D">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3D10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0FDEBA98">
            <w:pPr>
              <w:spacing w:line="400" w:lineRule="exact"/>
              <w:jc w:val="center"/>
              <w:rPr>
                <w:rFonts w:hint="eastAsia" w:ascii="宋体" w:hAnsi="宋体" w:eastAsia="宋体" w:cs="宋体"/>
                <w:snapToGrid w:val="0"/>
                <w:szCs w:val="21"/>
              </w:rPr>
            </w:pPr>
          </w:p>
        </w:tc>
        <w:tc>
          <w:tcPr>
            <w:tcW w:w="1104" w:type="dxa"/>
            <w:vMerge w:val="continue"/>
            <w:noWrap w:val="0"/>
            <w:vAlign w:val="center"/>
          </w:tcPr>
          <w:p w14:paraId="72C65EE4">
            <w:pPr>
              <w:spacing w:line="400" w:lineRule="exact"/>
              <w:jc w:val="left"/>
              <w:rPr>
                <w:rFonts w:hint="eastAsia" w:ascii="宋体" w:hAnsi="宋体" w:eastAsia="宋体" w:cs="宋体"/>
                <w:snapToGrid w:val="0"/>
                <w:spacing w:val="6"/>
              </w:rPr>
            </w:pPr>
          </w:p>
        </w:tc>
        <w:tc>
          <w:tcPr>
            <w:tcW w:w="4394" w:type="dxa"/>
            <w:noWrap w:val="0"/>
            <w:vAlign w:val="top"/>
          </w:tcPr>
          <w:p w14:paraId="5BE01488">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两套电源切换时引起的导叶接力器行程变化不大于全行程的（%）</w:t>
            </w:r>
          </w:p>
        </w:tc>
        <w:tc>
          <w:tcPr>
            <w:tcW w:w="2428" w:type="dxa"/>
            <w:noWrap w:val="0"/>
            <w:vAlign w:val="center"/>
          </w:tcPr>
          <w:p w14:paraId="5DD739AA">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2F5A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4A89571C">
            <w:pPr>
              <w:spacing w:line="400" w:lineRule="exact"/>
              <w:jc w:val="center"/>
              <w:rPr>
                <w:rFonts w:hint="eastAsia" w:ascii="宋体" w:hAnsi="宋体" w:eastAsia="宋体" w:cs="宋体"/>
                <w:snapToGrid w:val="0"/>
                <w:szCs w:val="21"/>
              </w:rPr>
            </w:pPr>
          </w:p>
        </w:tc>
        <w:tc>
          <w:tcPr>
            <w:tcW w:w="1104" w:type="dxa"/>
            <w:vMerge w:val="continue"/>
            <w:noWrap w:val="0"/>
            <w:vAlign w:val="center"/>
          </w:tcPr>
          <w:p w14:paraId="5DD93E30">
            <w:pPr>
              <w:spacing w:line="400" w:lineRule="exact"/>
              <w:jc w:val="left"/>
              <w:rPr>
                <w:rFonts w:hint="eastAsia" w:ascii="宋体" w:hAnsi="宋体" w:eastAsia="宋体" w:cs="宋体"/>
                <w:snapToGrid w:val="0"/>
                <w:spacing w:val="6"/>
              </w:rPr>
            </w:pPr>
          </w:p>
        </w:tc>
        <w:tc>
          <w:tcPr>
            <w:tcW w:w="4394" w:type="dxa"/>
            <w:noWrap w:val="0"/>
            <w:vAlign w:val="top"/>
          </w:tcPr>
          <w:p w14:paraId="01E4E60F">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调速系统冗余系统切换时引起的导叶接力器行程变化不大于全行程的（%）</w:t>
            </w:r>
          </w:p>
        </w:tc>
        <w:tc>
          <w:tcPr>
            <w:tcW w:w="2428" w:type="dxa"/>
            <w:noWrap w:val="0"/>
            <w:vAlign w:val="center"/>
          </w:tcPr>
          <w:p w14:paraId="4DB57F72">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2385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noWrap w:val="0"/>
            <w:vAlign w:val="center"/>
          </w:tcPr>
          <w:p w14:paraId="3581B36D">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11</w:t>
            </w:r>
          </w:p>
        </w:tc>
        <w:tc>
          <w:tcPr>
            <w:tcW w:w="1104" w:type="dxa"/>
            <w:vMerge w:val="restart"/>
            <w:noWrap w:val="0"/>
            <w:vAlign w:val="center"/>
          </w:tcPr>
          <w:p w14:paraId="3BBBEA22">
            <w:pPr>
              <w:spacing w:line="400" w:lineRule="exact"/>
              <w:jc w:val="left"/>
              <w:rPr>
                <w:rFonts w:hint="eastAsia" w:ascii="宋体" w:hAnsi="宋体" w:eastAsia="宋体" w:cs="宋体"/>
                <w:snapToGrid w:val="0"/>
                <w:spacing w:val="6"/>
              </w:rPr>
            </w:pPr>
            <w:r>
              <w:rPr>
                <w:rFonts w:hint="eastAsia" w:ascii="宋体" w:hAnsi="宋体" w:eastAsia="宋体" w:cs="宋体"/>
                <w:snapToGrid w:val="0"/>
                <w:spacing w:val="6"/>
              </w:rPr>
              <w:t>调速系统可靠性</w:t>
            </w:r>
          </w:p>
        </w:tc>
        <w:tc>
          <w:tcPr>
            <w:tcW w:w="4394" w:type="dxa"/>
            <w:noWrap w:val="0"/>
            <w:vAlign w:val="top"/>
          </w:tcPr>
          <w:p w14:paraId="40F75CEA">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自动运行，调速系统可利用率大于（%）</w:t>
            </w:r>
          </w:p>
        </w:tc>
        <w:tc>
          <w:tcPr>
            <w:tcW w:w="2428" w:type="dxa"/>
            <w:noWrap w:val="0"/>
            <w:vAlign w:val="center"/>
          </w:tcPr>
          <w:p w14:paraId="4F4AF577">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2948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7CDDBC02">
            <w:pPr>
              <w:spacing w:line="400" w:lineRule="exact"/>
              <w:jc w:val="center"/>
              <w:rPr>
                <w:rFonts w:hint="eastAsia" w:ascii="宋体" w:hAnsi="宋体" w:eastAsia="宋体" w:cs="宋体"/>
                <w:snapToGrid w:val="0"/>
                <w:szCs w:val="21"/>
              </w:rPr>
            </w:pPr>
          </w:p>
        </w:tc>
        <w:tc>
          <w:tcPr>
            <w:tcW w:w="1104" w:type="dxa"/>
            <w:vMerge w:val="continue"/>
            <w:noWrap w:val="0"/>
            <w:vAlign w:val="center"/>
          </w:tcPr>
          <w:p w14:paraId="6244E529">
            <w:pPr>
              <w:spacing w:line="400" w:lineRule="exact"/>
              <w:jc w:val="left"/>
              <w:rPr>
                <w:rFonts w:hint="eastAsia" w:ascii="宋体" w:hAnsi="宋体" w:eastAsia="宋体" w:cs="宋体"/>
                <w:snapToGrid w:val="0"/>
                <w:spacing w:val="6"/>
              </w:rPr>
            </w:pPr>
          </w:p>
        </w:tc>
        <w:tc>
          <w:tcPr>
            <w:tcW w:w="4394" w:type="dxa"/>
            <w:noWrap w:val="0"/>
            <w:vAlign w:val="top"/>
          </w:tcPr>
          <w:p w14:paraId="4D0E5E80">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首次无故障间隔时间(自现场验收起)不小于（h）</w:t>
            </w:r>
          </w:p>
        </w:tc>
        <w:tc>
          <w:tcPr>
            <w:tcW w:w="2428" w:type="dxa"/>
            <w:noWrap w:val="0"/>
            <w:vAlign w:val="center"/>
          </w:tcPr>
          <w:p w14:paraId="60186B99">
            <w:pPr>
              <w:spacing w:line="400" w:lineRule="exact"/>
              <w:rPr>
                <w:rFonts w:hint="eastAsia" w:ascii="宋体" w:hAnsi="宋体" w:eastAsia="宋体" w:cs="宋体"/>
                <w:snapToGrid w:val="0"/>
                <w:szCs w:val="21"/>
              </w:rPr>
            </w:pPr>
            <w:r>
              <w:rPr>
                <w:rFonts w:hint="eastAsia" w:ascii="宋体" w:hAnsi="宋体" w:eastAsia="宋体" w:cs="宋体"/>
                <w:snapToGrid w:val="0"/>
                <w:szCs w:val="21"/>
              </w:rPr>
              <w:t>≥</w:t>
            </w:r>
          </w:p>
        </w:tc>
      </w:tr>
      <w:tr w14:paraId="709B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noWrap w:val="0"/>
            <w:vAlign w:val="center"/>
          </w:tcPr>
          <w:p w14:paraId="20B98068">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12</w:t>
            </w:r>
          </w:p>
        </w:tc>
        <w:tc>
          <w:tcPr>
            <w:tcW w:w="1104" w:type="dxa"/>
            <w:vMerge w:val="restart"/>
            <w:noWrap w:val="0"/>
            <w:vAlign w:val="center"/>
          </w:tcPr>
          <w:p w14:paraId="07CD7507">
            <w:pPr>
              <w:spacing w:line="400" w:lineRule="exact"/>
              <w:jc w:val="left"/>
              <w:rPr>
                <w:rFonts w:hint="eastAsia" w:ascii="宋体" w:hAnsi="宋体" w:eastAsia="宋体" w:cs="宋体"/>
                <w:snapToGrid w:val="0"/>
                <w:spacing w:val="6"/>
              </w:rPr>
            </w:pPr>
            <w:r>
              <w:rPr>
                <w:rFonts w:hint="eastAsia" w:ascii="宋体" w:hAnsi="宋体" w:eastAsia="宋体" w:cs="宋体"/>
                <w:snapToGrid w:val="0"/>
                <w:spacing w:val="6"/>
              </w:rPr>
              <w:t>导叶/桨叶接力器开关时间调整范围</w:t>
            </w:r>
          </w:p>
        </w:tc>
        <w:tc>
          <w:tcPr>
            <w:tcW w:w="4394" w:type="dxa"/>
            <w:noWrap w:val="0"/>
            <w:vAlign w:val="top"/>
          </w:tcPr>
          <w:p w14:paraId="0273C19B">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导叶接力器全关闭时间调整范围为（s）</w:t>
            </w:r>
          </w:p>
        </w:tc>
        <w:tc>
          <w:tcPr>
            <w:tcW w:w="2428" w:type="dxa"/>
            <w:noWrap w:val="0"/>
            <w:vAlign w:val="center"/>
          </w:tcPr>
          <w:p w14:paraId="3CF5A643">
            <w:pPr>
              <w:spacing w:line="400" w:lineRule="exact"/>
              <w:rPr>
                <w:rFonts w:hint="eastAsia" w:ascii="宋体" w:hAnsi="宋体" w:eastAsia="宋体" w:cs="宋体"/>
                <w:snapToGrid w:val="0"/>
                <w:szCs w:val="21"/>
              </w:rPr>
            </w:pPr>
          </w:p>
        </w:tc>
      </w:tr>
      <w:tr w14:paraId="0A03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26FAB562">
            <w:pPr>
              <w:spacing w:line="400" w:lineRule="exact"/>
              <w:jc w:val="center"/>
              <w:rPr>
                <w:rFonts w:hint="eastAsia" w:ascii="宋体" w:hAnsi="宋体" w:eastAsia="宋体" w:cs="宋体"/>
                <w:snapToGrid w:val="0"/>
                <w:szCs w:val="21"/>
              </w:rPr>
            </w:pPr>
          </w:p>
        </w:tc>
        <w:tc>
          <w:tcPr>
            <w:tcW w:w="1104" w:type="dxa"/>
            <w:vMerge w:val="continue"/>
            <w:noWrap w:val="0"/>
            <w:vAlign w:val="center"/>
          </w:tcPr>
          <w:p w14:paraId="7EC3632E">
            <w:pPr>
              <w:spacing w:line="400" w:lineRule="exact"/>
              <w:jc w:val="left"/>
              <w:rPr>
                <w:rFonts w:hint="eastAsia" w:ascii="宋体" w:hAnsi="宋体" w:eastAsia="宋体" w:cs="宋体"/>
                <w:snapToGrid w:val="0"/>
                <w:spacing w:val="6"/>
              </w:rPr>
            </w:pPr>
          </w:p>
        </w:tc>
        <w:tc>
          <w:tcPr>
            <w:tcW w:w="4394" w:type="dxa"/>
            <w:noWrap w:val="0"/>
            <w:vAlign w:val="top"/>
          </w:tcPr>
          <w:p w14:paraId="517ED89A">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导叶接力器全开启时间调整范围为（s）</w:t>
            </w:r>
          </w:p>
        </w:tc>
        <w:tc>
          <w:tcPr>
            <w:tcW w:w="2428" w:type="dxa"/>
            <w:noWrap w:val="0"/>
            <w:vAlign w:val="center"/>
          </w:tcPr>
          <w:p w14:paraId="4516796F">
            <w:pPr>
              <w:spacing w:line="400" w:lineRule="exact"/>
              <w:rPr>
                <w:rFonts w:hint="eastAsia" w:ascii="宋体" w:hAnsi="宋体" w:eastAsia="宋体" w:cs="宋体"/>
                <w:snapToGrid w:val="0"/>
                <w:szCs w:val="21"/>
              </w:rPr>
            </w:pPr>
          </w:p>
        </w:tc>
      </w:tr>
      <w:tr w14:paraId="2600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2FE241CA">
            <w:pPr>
              <w:spacing w:line="400" w:lineRule="exact"/>
              <w:jc w:val="center"/>
              <w:rPr>
                <w:rFonts w:hint="eastAsia" w:ascii="宋体" w:hAnsi="宋体" w:eastAsia="宋体" w:cs="宋体"/>
                <w:snapToGrid w:val="0"/>
                <w:szCs w:val="21"/>
              </w:rPr>
            </w:pPr>
          </w:p>
        </w:tc>
        <w:tc>
          <w:tcPr>
            <w:tcW w:w="1104" w:type="dxa"/>
            <w:vMerge w:val="continue"/>
            <w:noWrap w:val="0"/>
            <w:vAlign w:val="center"/>
          </w:tcPr>
          <w:p w14:paraId="798F22D6">
            <w:pPr>
              <w:spacing w:line="400" w:lineRule="exact"/>
              <w:jc w:val="left"/>
              <w:rPr>
                <w:rFonts w:hint="eastAsia" w:ascii="宋体" w:hAnsi="宋体" w:eastAsia="宋体" w:cs="宋体"/>
                <w:snapToGrid w:val="0"/>
                <w:spacing w:val="6"/>
              </w:rPr>
            </w:pPr>
          </w:p>
        </w:tc>
        <w:tc>
          <w:tcPr>
            <w:tcW w:w="4394" w:type="dxa"/>
            <w:noWrap w:val="0"/>
            <w:vAlign w:val="top"/>
          </w:tcPr>
          <w:p w14:paraId="4CA410F6">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桨叶接力器全关闭时间调整范围为（s）</w:t>
            </w:r>
          </w:p>
        </w:tc>
        <w:tc>
          <w:tcPr>
            <w:tcW w:w="2428" w:type="dxa"/>
            <w:noWrap w:val="0"/>
            <w:vAlign w:val="center"/>
          </w:tcPr>
          <w:p w14:paraId="719A98C9">
            <w:pPr>
              <w:spacing w:line="400" w:lineRule="exact"/>
              <w:rPr>
                <w:rFonts w:hint="eastAsia" w:ascii="宋体" w:hAnsi="宋体" w:eastAsia="宋体" w:cs="宋体"/>
                <w:snapToGrid w:val="0"/>
                <w:szCs w:val="21"/>
              </w:rPr>
            </w:pPr>
          </w:p>
        </w:tc>
      </w:tr>
      <w:tr w14:paraId="3E9E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noWrap w:val="0"/>
            <w:vAlign w:val="center"/>
          </w:tcPr>
          <w:p w14:paraId="3EFDFE70">
            <w:pPr>
              <w:spacing w:line="400" w:lineRule="exact"/>
              <w:jc w:val="center"/>
              <w:rPr>
                <w:rFonts w:hint="eastAsia" w:ascii="宋体" w:hAnsi="宋体" w:eastAsia="宋体" w:cs="宋体"/>
                <w:snapToGrid w:val="0"/>
                <w:szCs w:val="21"/>
              </w:rPr>
            </w:pPr>
          </w:p>
        </w:tc>
        <w:tc>
          <w:tcPr>
            <w:tcW w:w="1104" w:type="dxa"/>
            <w:vMerge w:val="continue"/>
            <w:noWrap w:val="0"/>
            <w:vAlign w:val="center"/>
          </w:tcPr>
          <w:p w14:paraId="768F28F5">
            <w:pPr>
              <w:spacing w:line="400" w:lineRule="exact"/>
              <w:jc w:val="left"/>
              <w:rPr>
                <w:rFonts w:hint="eastAsia" w:ascii="宋体" w:hAnsi="宋体" w:eastAsia="宋体" w:cs="宋体"/>
                <w:snapToGrid w:val="0"/>
                <w:spacing w:val="6"/>
              </w:rPr>
            </w:pPr>
          </w:p>
        </w:tc>
        <w:tc>
          <w:tcPr>
            <w:tcW w:w="4394" w:type="dxa"/>
            <w:noWrap w:val="0"/>
            <w:vAlign w:val="top"/>
          </w:tcPr>
          <w:p w14:paraId="1F85854B">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桨叶接力器全开启时间调整范围为（s）</w:t>
            </w:r>
          </w:p>
        </w:tc>
        <w:tc>
          <w:tcPr>
            <w:tcW w:w="2428" w:type="dxa"/>
            <w:noWrap w:val="0"/>
            <w:vAlign w:val="center"/>
          </w:tcPr>
          <w:p w14:paraId="43C51E37">
            <w:pPr>
              <w:spacing w:line="400" w:lineRule="exact"/>
              <w:rPr>
                <w:rFonts w:hint="eastAsia" w:ascii="宋体" w:hAnsi="宋体" w:eastAsia="宋体" w:cs="宋体"/>
                <w:snapToGrid w:val="0"/>
                <w:szCs w:val="21"/>
              </w:rPr>
            </w:pPr>
          </w:p>
        </w:tc>
      </w:tr>
      <w:tr w14:paraId="73E0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0D43CBF8">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13</w:t>
            </w:r>
          </w:p>
        </w:tc>
        <w:tc>
          <w:tcPr>
            <w:tcW w:w="1104" w:type="dxa"/>
            <w:noWrap w:val="0"/>
            <w:vAlign w:val="center"/>
          </w:tcPr>
          <w:p w14:paraId="3DCE60E3">
            <w:pPr>
              <w:spacing w:line="400" w:lineRule="exact"/>
              <w:jc w:val="left"/>
              <w:rPr>
                <w:rFonts w:hint="eastAsia" w:ascii="宋体" w:hAnsi="宋体" w:eastAsia="宋体" w:cs="宋体"/>
                <w:snapToGrid w:val="0"/>
                <w:spacing w:val="6"/>
              </w:rPr>
            </w:pPr>
          </w:p>
        </w:tc>
        <w:tc>
          <w:tcPr>
            <w:tcW w:w="4394" w:type="dxa"/>
            <w:noWrap w:val="0"/>
            <w:vAlign w:val="top"/>
          </w:tcPr>
          <w:p w14:paraId="24A8F8CC">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频率调整范围（Hz）</w:t>
            </w:r>
          </w:p>
        </w:tc>
        <w:tc>
          <w:tcPr>
            <w:tcW w:w="2428" w:type="dxa"/>
            <w:noWrap w:val="0"/>
            <w:vAlign w:val="center"/>
          </w:tcPr>
          <w:p w14:paraId="2793F927">
            <w:pPr>
              <w:spacing w:line="400" w:lineRule="exact"/>
              <w:rPr>
                <w:rFonts w:hint="eastAsia" w:ascii="宋体" w:hAnsi="宋体" w:eastAsia="宋体" w:cs="宋体"/>
                <w:snapToGrid w:val="0"/>
                <w:szCs w:val="21"/>
              </w:rPr>
            </w:pPr>
          </w:p>
        </w:tc>
      </w:tr>
      <w:tr w14:paraId="7820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1663917E">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14</w:t>
            </w:r>
          </w:p>
        </w:tc>
        <w:tc>
          <w:tcPr>
            <w:tcW w:w="1104" w:type="dxa"/>
            <w:noWrap w:val="0"/>
            <w:vAlign w:val="center"/>
          </w:tcPr>
          <w:p w14:paraId="1872D791">
            <w:pPr>
              <w:spacing w:line="400" w:lineRule="exact"/>
              <w:jc w:val="left"/>
              <w:rPr>
                <w:rFonts w:hint="eastAsia" w:ascii="宋体" w:hAnsi="宋体" w:eastAsia="宋体" w:cs="宋体"/>
                <w:snapToGrid w:val="0"/>
                <w:spacing w:val="6"/>
              </w:rPr>
            </w:pPr>
          </w:p>
        </w:tc>
        <w:tc>
          <w:tcPr>
            <w:tcW w:w="4394" w:type="dxa"/>
            <w:noWrap w:val="0"/>
            <w:vAlign w:val="top"/>
          </w:tcPr>
          <w:p w14:paraId="3C41E73D">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永态转差系数bp调整范围</w:t>
            </w:r>
          </w:p>
        </w:tc>
        <w:tc>
          <w:tcPr>
            <w:tcW w:w="2428" w:type="dxa"/>
            <w:noWrap w:val="0"/>
            <w:vAlign w:val="center"/>
          </w:tcPr>
          <w:p w14:paraId="7968FC0A">
            <w:pPr>
              <w:spacing w:line="400" w:lineRule="exact"/>
              <w:rPr>
                <w:rFonts w:hint="eastAsia" w:ascii="宋体" w:hAnsi="宋体" w:eastAsia="宋体" w:cs="宋体"/>
                <w:snapToGrid w:val="0"/>
                <w:szCs w:val="21"/>
              </w:rPr>
            </w:pPr>
          </w:p>
        </w:tc>
      </w:tr>
      <w:tr w14:paraId="14BF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0C4055C2">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15</w:t>
            </w:r>
          </w:p>
        </w:tc>
        <w:tc>
          <w:tcPr>
            <w:tcW w:w="1104" w:type="dxa"/>
            <w:noWrap w:val="0"/>
            <w:vAlign w:val="center"/>
          </w:tcPr>
          <w:p w14:paraId="7745FA14">
            <w:pPr>
              <w:spacing w:line="400" w:lineRule="exact"/>
              <w:jc w:val="left"/>
              <w:rPr>
                <w:rFonts w:hint="eastAsia" w:ascii="宋体" w:hAnsi="宋体" w:eastAsia="宋体" w:cs="宋体"/>
                <w:snapToGrid w:val="0"/>
                <w:spacing w:val="6"/>
              </w:rPr>
            </w:pPr>
          </w:p>
        </w:tc>
        <w:tc>
          <w:tcPr>
            <w:tcW w:w="4394" w:type="dxa"/>
            <w:noWrap w:val="0"/>
            <w:vAlign w:val="top"/>
          </w:tcPr>
          <w:p w14:paraId="7C9A802F">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机械液压过速装置整定值误差</w:t>
            </w:r>
          </w:p>
        </w:tc>
        <w:tc>
          <w:tcPr>
            <w:tcW w:w="2428" w:type="dxa"/>
            <w:noWrap w:val="0"/>
            <w:vAlign w:val="center"/>
          </w:tcPr>
          <w:p w14:paraId="294E96C2">
            <w:pPr>
              <w:spacing w:line="400" w:lineRule="exact"/>
              <w:rPr>
                <w:rFonts w:hint="eastAsia" w:ascii="宋体" w:hAnsi="宋体" w:eastAsia="宋体" w:cs="宋体"/>
                <w:snapToGrid w:val="0"/>
                <w:szCs w:val="21"/>
              </w:rPr>
            </w:pPr>
          </w:p>
        </w:tc>
      </w:tr>
      <w:tr w14:paraId="3296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2F9C09FE">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16</w:t>
            </w:r>
          </w:p>
        </w:tc>
        <w:tc>
          <w:tcPr>
            <w:tcW w:w="1104" w:type="dxa"/>
            <w:noWrap w:val="0"/>
            <w:vAlign w:val="center"/>
          </w:tcPr>
          <w:p w14:paraId="63DEF37A">
            <w:pPr>
              <w:spacing w:line="400" w:lineRule="exact"/>
              <w:jc w:val="left"/>
              <w:rPr>
                <w:rFonts w:hint="eastAsia" w:ascii="宋体" w:hAnsi="宋体" w:eastAsia="宋体" w:cs="宋体"/>
                <w:snapToGrid w:val="0"/>
                <w:spacing w:val="6"/>
              </w:rPr>
            </w:pPr>
          </w:p>
        </w:tc>
        <w:tc>
          <w:tcPr>
            <w:tcW w:w="4394" w:type="dxa"/>
            <w:noWrap w:val="0"/>
            <w:vAlign w:val="top"/>
          </w:tcPr>
          <w:p w14:paraId="58B2F86C">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调速系统不动时间</w:t>
            </w:r>
          </w:p>
        </w:tc>
        <w:tc>
          <w:tcPr>
            <w:tcW w:w="2428" w:type="dxa"/>
            <w:noWrap w:val="0"/>
            <w:vAlign w:val="center"/>
          </w:tcPr>
          <w:p w14:paraId="49FB7355">
            <w:pPr>
              <w:spacing w:line="400" w:lineRule="exact"/>
              <w:rPr>
                <w:rFonts w:hint="eastAsia" w:ascii="宋体" w:hAnsi="宋体" w:eastAsia="宋体" w:cs="宋体"/>
                <w:snapToGrid w:val="0"/>
                <w:szCs w:val="21"/>
              </w:rPr>
            </w:pPr>
          </w:p>
        </w:tc>
      </w:tr>
      <w:tr w14:paraId="172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1067E50E">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17</w:t>
            </w:r>
          </w:p>
        </w:tc>
        <w:tc>
          <w:tcPr>
            <w:tcW w:w="1104" w:type="dxa"/>
            <w:noWrap w:val="0"/>
            <w:vAlign w:val="center"/>
          </w:tcPr>
          <w:p w14:paraId="001C574B">
            <w:pPr>
              <w:spacing w:line="400" w:lineRule="exact"/>
              <w:jc w:val="left"/>
              <w:rPr>
                <w:rFonts w:hint="eastAsia" w:ascii="宋体" w:hAnsi="宋体" w:eastAsia="宋体" w:cs="宋体"/>
                <w:snapToGrid w:val="0"/>
                <w:spacing w:val="6"/>
              </w:rPr>
            </w:pPr>
          </w:p>
        </w:tc>
        <w:tc>
          <w:tcPr>
            <w:tcW w:w="4394" w:type="dxa"/>
            <w:noWrap w:val="0"/>
            <w:vAlign w:val="top"/>
          </w:tcPr>
          <w:p w14:paraId="3415FAB7">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转速死区（%）</w:t>
            </w:r>
          </w:p>
        </w:tc>
        <w:tc>
          <w:tcPr>
            <w:tcW w:w="2428" w:type="dxa"/>
            <w:noWrap w:val="0"/>
            <w:vAlign w:val="center"/>
          </w:tcPr>
          <w:p w14:paraId="3E02B715">
            <w:pPr>
              <w:spacing w:line="400" w:lineRule="exact"/>
              <w:rPr>
                <w:rFonts w:hint="eastAsia" w:ascii="宋体" w:hAnsi="宋体" w:eastAsia="宋体" w:cs="宋体"/>
                <w:snapToGrid w:val="0"/>
                <w:szCs w:val="21"/>
              </w:rPr>
            </w:pPr>
          </w:p>
        </w:tc>
      </w:tr>
      <w:tr w14:paraId="209F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1CC991C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18</w:t>
            </w:r>
          </w:p>
        </w:tc>
        <w:tc>
          <w:tcPr>
            <w:tcW w:w="1104" w:type="dxa"/>
            <w:noWrap w:val="0"/>
            <w:vAlign w:val="center"/>
          </w:tcPr>
          <w:p w14:paraId="32D5F49F">
            <w:pPr>
              <w:spacing w:line="400" w:lineRule="exact"/>
              <w:jc w:val="left"/>
              <w:rPr>
                <w:rFonts w:hint="eastAsia" w:ascii="宋体" w:hAnsi="宋体" w:eastAsia="宋体" w:cs="宋体"/>
                <w:snapToGrid w:val="0"/>
                <w:spacing w:val="6"/>
              </w:rPr>
            </w:pPr>
          </w:p>
        </w:tc>
        <w:tc>
          <w:tcPr>
            <w:tcW w:w="4394" w:type="dxa"/>
            <w:noWrap w:val="0"/>
            <w:vAlign w:val="top"/>
          </w:tcPr>
          <w:p w14:paraId="0CEF4774">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调速系统与电站计算机监控系统同步时钟误差（ms）</w:t>
            </w:r>
          </w:p>
        </w:tc>
        <w:tc>
          <w:tcPr>
            <w:tcW w:w="2428" w:type="dxa"/>
            <w:noWrap w:val="0"/>
            <w:vAlign w:val="center"/>
          </w:tcPr>
          <w:p w14:paraId="146474BA">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w:t>
            </w:r>
          </w:p>
        </w:tc>
      </w:tr>
      <w:tr w14:paraId="727F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575B95AA">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19</w:t>
            </w:r>
          </w:p>
        </w:tc>
        <w:tc>
          <w:tcPr>
            <w:tcW w:w="1104" w:type="dxa"/>
            <w:noWrap w:val="0"/>
            <w:vAlign w:val="center"/>
          </w:tcPr>
          <w:p w14:paraId="1D7C54DC">
            <w:pPr>
              <w:spacing w:line="400" w:lineRule="exact"/>
              <w:jc w:val="left"/>
              <w:rPr>
                <w:rFonts w:hint="eastAsia" w:ascii="宋体" w:hAnsi="宋体" w:eastAsia="宋体" w:cs="宋体"/>
                <w:snapToGrid w:val="0"/>
                <w:spacing w:val="6"/>
              </w:rPr>
            </w:pPr>
          </w:p>
        </w:tc>
        <w:tc>
          <w:tcPr>
            <w:tcW w:w="4394" w:type="dxa"/>
            <w:noWrap w:val="0"/>
            <w:vAlign w:val="top"/>
          </w:tcPr>
          <w:p w14:paraId="0D048452">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调速系统与电站计算机监控系统通信速率（BPS）</w:t>
            </w:r>
          </w:p>
        </w:tc>
        <w:tc>
          <w:tcPr>
            <w:tcW w:w="2428" w:type="dxa"/>
            <w:noWrap w:val="0"/>
            <w:vAlign w:val="center"/>
          </w:tcPr>
          <w:p w14:paraId="264FF2BD">
            <w:pPr>
              <w:spacing w:line="400" w:lineRule="exact"/>
              <w:rPr>
                <w:rFonts w:hint="eastAsia" w:ascii="宋体" w:hAnsi="宋体" w:eastAsia="宋体" w:cs="宋体"/>
                <w:snapToGrid w:val="0"/>
                <w:szCs w:val="21"/>
              </w:rPr>
            </w:pPr>
          </w:p>
        </w:tc>
      </w:tr>
      <w:tr w14:paraId="07FE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0D7B9E1F">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20</w:t>
            </w:r>
          </w:p>
        </w:tc>
        <w:tc>
          <w:tcPr>
            <w:tcW w:w="1104" w:type="dxa"/>
            <w:noWrap w:val="0"/>
            <w:vAlign w:val="center"/>
          </w:tcPr>
          <w:p w14:paraId="1ADC2EFC">
            <w:pPr>
              <w:spacing w:line="400" w:lineRule="exact"/>
              <w:jc w:val="left"/>
              <w:rPr>
                <w:rFonts w:hint="eastAsia" w:ascii="宋体" w:hAnsi="宋体" w:eastAsia="宋体" w:cs="宋体"/>
                <w:snapToGrid w:val="0"/>
                <w:spacing w:val="6"/>
              </w:rPr>
            </w:pPr>
          </w:p>
        </w:tc>
        <w:tc>
          <w:tcPr>
            <w:tcW w:w="4394" w:type="dxa"/>
            <w:noWrap w:val="0"/>
            <w:vAlign w:val="top"/>
          </w:tcPr>
          <w:p w14:paraId="0D936C9D">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调速系统模拟量输入扫描周期（ms）</w:t>
            </w:r>
          </w:p>
        </w:tc>
        <w:tc>
          <w:tcPr>
            <w:tcW w:w="2428" w:type="dxa"/>
            <w:noWrap w:val="0"/>
            <w:vAlign w:val="center"/>
          </w:tcPr>
          <w:p w14:paraId="6019B978">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w:t>
            </w:r>
          </w:p>
        </w:tc>
      </w:tr>
      <w:tr w14:paraId="7FD0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72010CDE">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21</w:t>
            </w:r>
          </w:p>
        </w:tc>
        <w:tc>
          <w:tcPr>
            <w:tcW w:w="1104" w:type="dxa"/>
            <w:noWrap w:val="0"/>
            <w:vAlign w:val="center"/>
          </w:tcPr>
          <w:p w14:paraId="4D8F76B7">
            <w:pPr>
              <w:spacing w:line="400" w:lineRule="exact"/>
              <w:jc w:val="left"/>
              <w:rPr>
                <w:rFonts w:hint="eastAsia" w:ascii="宋体" w:hAnsi="宋体" w:eastAsia="宋体" w:cs="宋体"/>
                <w:snapToGrid w:val="0"/>
                <w:spacing w:val="6"/>
              </w:rPr>
            </w:pPr>
          </w:p>
        </w:tc>
        <w:tc>
          <w:tcPr>
            <w:tcW w:w="4394" w:type="dxa"/>
            <w:noWrap w:val="0"/>
            <w:vAlign w:val="top"/>
          </w:tcPr>
          <w:p w14:paraId="48E69139">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调速系统开关量输入扫描周期（ms）</w:t>
            </w:r>
          </w:p>
        </w:tc>
        <w:tc>
          <w:tcPr>
            <w:tcW w:w="2428" w:type="dxa"/>
            <w:noWrap w:val="0"/>
            <w:vAlign w:val="center"/>
          </w:tcPr>
          <w:p w14:paraId="2B810C58">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w:t>
            </w:r>
          </w:p>
        </w:tc>
      </w:tr>
      <w:tr w14:paraId="670F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0B38B07B">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22</w:t>
            </w:r>
          </w:p>
        </w:tc>
        <w:tc>
          <w:tcPr>
            <w:tcW w:w="1104" w:type="dxa"/>
            <w:noWrap w:val="0"/>
            <w:vAlign w:val="center"/>
          </w:tcPr>
          <w:p w14:paraId="0C73D830">
            <w:pPr>
              <w:spacing w:line="400" w:lineRule="exact"/>
              <w:jc w:val="left"/>
              <w:rPr>
                <w:rFonts w:hint="eastAsia" w:ascii="宋体" w:hAnsi="宋体" w:eastAsia="宋体" w:cs="宋体"/>
                <w:snapToGrid w:val="0"/>
                <w:spacing w:val="6"/>
              </w:rPr>
            </w:pPr>
          </w:p>
        </w:tc>
        <w:tc>
          <w:tcPr>
            <w:tcW w:w="4394" w:type="dxa"/>
            <w:noWrap w:val="0"/>
            <w:vAlign w:val="top"/>
          </w:tcPr>
          <w:p w14:paraId="417F7225">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调速系统事件量分辩率（SOE）（ms）</w:t>
            </w:r>
          </w:p>
        </w:tc>
        <w:tc>
          <w:tcPr>
            <w:tcW w:w="2428" w:type="dxa"/>
            <w:noWrap w:val="0"/>
            <w:vAlign w:val="center"/>
          </w:tcPr>
          <w:p w14:paraId="3FD946ED">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w:t>
            </w:r>
          </w:p>
        </w:tc>
      </w:tr>
      <w:tr w14:paraId="42E9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30703C55">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23</w:t>
            </w:r>
          </w:p>
        </w:tc>
        <w:tc>
          <w:tcPr>
            <w:tcW w:w="1104" w:type="dxa"/>
            <w:noWrap w:val="0"/>
            <w:vAlign w:val="center"/>
          </w:tcPr>
          <w:p w14:paraId="029B1A28">
            <w:pPr>
              <w:spacing w:line="400" w:lineRule="exact"/>
              <w:jc w:val="left"/>
              <w:rPr>
                <w:rFonts w:hint="eastAsia" w:ascii="宋体" w:hAnsi="宋体" w:eastAsia="宋体" w:cs="宋体"/>
                <w:snapToGrid w:val="0"/>
                <w:spacing w:val="6"/>
              </w:rPr>
            </w:pPr>
          </w:p>
        </w:tc>
        <w:tc>
          <w:tcPr>
            <w:tcW w:w="4394" w:type="dxa"/>
            <w:noWrap w:val="0"/>
            <w:vAlign w:val="top"/>
          </w:tcPr>
          <w:p w14:paraId="0D22E0D5">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调速系统微机控制周期（ms）</w:t>
            </w:r>
          </w:p>
        </w:tc>
        <w:tc>
          <w:tcPr>
            <w:tcW w:w="2428" w:type="dxa"/>
            <w:noWrap w:val="0"/>
            <w:vAlign w:val="center"/>
          </w:tcPr>
          <w:p w14:paraId="53BFF183">
            <w:pPr>
              <w:spacing w:line="400" w:lineRule="exact"/>
              <w:rPr>
                <w:rFonts w:hint="eastAsia" w:ascii="宋体" w:hAnsi="宋体" w:eastAsia="宋体" w:cs="宋体"/>
                <w:snapToGrid w:val="0"/>
                <w:szCs w:val="21"/>
              </w:rPr>
            </w:pPr>
            <w:r>
              <w:rPr>
                <w:rFonts w:hint="eastAsia" w:ascii="宋体" w:hAnsi="宋体" w:eastAsia="宋体" w:cs="宋体"/>
                <w:snapToGrid w:val="0"/>
                <w:spacing w:val="6"/>
              </w:rPr>
              <w:t>＜</w:t>
            </w:r>
          </w:p>
        </w:tc>
      </w:tr>
      <w:tr w14:paraId="021A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541E9AA6">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24</w:t>
            </w:r>
          </w:p>
        </w:tc>
        <w:tc>
          <w:tcPr>
            <w:tcW w:w="1104" w:type="dxa"/>
            <w:noWrap w:val="0"/>
            <w:vAlign w:val="center"/>
          </w:tcPr>
          <w:p w14:paraId="32598DE4">
            <w:pPr>
              <w:spacing w:line="400" w:lineRule="exact"/>
              <w:jc w:val="left"/>
              <w:rPr>
                <w:rFonts w:hint="eastAsia" w:ascii="宋体" w:hAnsi="宋体" w:eastAsia="宋体" w:cs="宋体"/>
                <w:snapToGrid w:val="0"/>
                <w:spacing w:val="6"/>
              </w:rPr>
            </w:pPr>
          </w:p>
        </w:tc>
        <w:tc>
          <w:tcPr>
            <w:tcW w:w="4394" w:type="dxa"/>
            <w:noWrap w:val="0"/>
            <w:vAlign w:val="top"/>
          </w:tcPr>
          <w:p w14:paraId="195AE394">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调速系统电气开度限制调整范围</w:t>
            </w:r>
          </w:p>
        </w:tc>
        <w:tc>
          <w:tcPr>
            <w:tcW w:w="2428" w:type="dxa"/>
            <w:noWrap w:val="0"/>
            <w:vAlign w:val="center"/>
          </w:tcPr>
          <w:p w14:paraId="365F4C16">
            <w:pPr>
              <w:spacing w:line="400" w:lineRule="exact"/>
              <w:rPr>
                <w:rFonts w:hint="eastAsia" w:ascii="宋体" w:hAnsi="宋体" w:eastAsia="宋体" w:cs="宋体"/>
                <w:snapToGrid w:val="0"/>
                <w:szCs w:val="21"/>
              </w:rPr>
            </w:pPr>
          </w:p>
        </w:tc>
      </w:tr>
      <w:tr w14:paraId="4D3C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047C1A1D">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25</w:t>
            </w:r>
          </w:p>
        </w:tc>
        <w:tc>
          <w:tcPr>
            <w:tcW w:w="1104" w:type="dxa"/>
            <w:noWrap w:val="0"/>
            <w:vAlign w:val="center"/>
          </w:tcPr>
          <w:p w14:paraId="5223D986">
            <w:pPr>
              <w:spacing w:line="400" w:lineRule="exact"/>
              <w:jc w:val="left"/>
              <w:rPr>
                <w:rFonts w:hint="eastAsia" w:ascii="宋体" w:hAnsi="宋体" w:eastAsia="宋体" w:cs="宋体"/>
                <w:snapToGrid w:val="0"/>
                <w:spacing w:val="6"/>
              </w:rPr>
            </w:pPr>
          </w:p>
        </w:tc>
        <w:tc>
          <w:tcPr>
            <w:tcW w:w="4394" w:type="dxa"/>
            <w:noWrap w:val="0"/>
            <w:vAlign w:val="top"/>
          </w:tcPr>
          <w:p w14:paraId="7F4196DB">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调速系统机械开度限制调整范围</w:t>
            </w:r>
          </w:p>
        </w:tc>
        <w:tc>
          <w:tcPr>
            <w:tcW w:w="2428" w:type="dxa"/>
            <w:noWrap w:val="0"/>
            <w:vAlign w:val="center"/>
          </w:tcPr>
          <w:p w14:paraId="036F7D0E">
            <w:pPr>
              <w:spacing w:line="400" w:lineRule="exact"/>
              <w:rPr>
                <w:rFonts w:hint="eastAsia" w:ascii="宋体" w:hAnsi="宋体" w:eastAsia="宋体" w:cs="宋体"/>
                <w:snapToGrid w:val="0"/>
                <w:szCs w:val="21"/>
              </w:rPr>
            </w:pPr>
          </w:p>
        </w:tc>
      </w:tr>
      <w:tr w14:paraId="1EB1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0D5398D1">
            <w:pPr>
              <w:spacing w:line="400" w:lineRule="exact"/>
              <w:jc w:val="center"/>
              <w:rPr>
                <w:rFonts w:hint="eastAsia" w:ascii="宋体" w:hAnsi="宋体" w:eastAsia="宋体" w:cs="宋体"/>
                <w:snapToGrid w:val="0"/>
                <w:szCs w:val="21"/>
              </w:rPr>
            </w:pPr>
            <w:r>
              <w:rPr>
                <w:rFonts w:hint="eastAsia" w:ascii="宋体" w:hAnsi="宋体" w:eastAsia="宋体" w:cs="宋体"/>
                <w:snapToGrid w:val="0"/>
                <w:szCs w:val="21"/>
              </w:rPr>
              <w:t>26</w:t>
            </w:r>
          </w:p>
        </w:tc>
        <w:tc>
          <w:tcPr>
            <w:tcW w:w="1104" w:type="dxa"/>
            <w:noWrap w:val="0"/>
            <w:vAlign w:val="center"/>
          </w:tcPr>
          <w:p w14:paraId="7562E8C7">
            <w:pPr>
              <w:spacing w:line="400" w:lineRule="exact"/>
              <w:jc w:val="left"/>
              <w:rPr>
                <w:rFonts w:hint="eastAsia" w:ascii="宋体" w:hAnsi="宋体" w:eastAsia="宋体" w:cs="宋体"/>
                <w:snapToGrid w:val="0"/>
                <w:spacing w:val="6"/>
              </w:rPr>
            </w:pPr>
          </w:p>
        </w:tc>
        <w:tc>
          <w:tcPr>
            <w:tcW w:w="4394" w:type="dxa"/>
            <w:noWrap w:val="0"/>
            <w:vAlign w:val="top"/>
          </w:tcPr>
          <w:p w14:paraId="6B66FAA3">
            <w:pPr>
              <w:spacing w:line="400" w:lineRule="exact"/>
              <w:rPr>
                <w:rFonts w:hint="eastAsia" w:ascii="宋体" w:hAnsi="宋体" w:eastAsia="宋体" w:cs="宋体"/>
                <w:snapToGrid w:val="0"/>
                <w:spacing w:val="6"/>
              </w:rPr>
            </w:pPr>
            <w:r>
              <w:rPr>
                <w:rFonts w:hint="eastAsia" w:ascii="宋体" w:hAnsi="宋体" w:eastAsia="宋体" w:cs="宋体"/>
                <w:snapToGrid w:val="0"/>
                <w:spacing w:val="6"/>
              </w:rPr>
              <w:t>调速系统桨叶角度调整范围</w:t>
            </w:r>
          </w:p>
        </w:tc>
        <w:tc>
          <w:tcPr>
            <w:tcW w:w="2428" w:type="dxa"/>
            <w:noWrap w:val="0"/>
            <w:vAlign w:val="center"/>
          </w:tcPr>
          <w:p w14:paraId="0C02D8BA">
            <w:pPr>
              <w:spacing w:line="400" w:lineRule="exact"/>
              <w:rPr>
                <w:rFonts w:hint="eastAsia" w:ascii="宋体" w:hAnsi="宋体" w:eastAsia="宋体" w:cs="宋体"/>
                <w:snapToGrid w:val="0"/>
                <w:szCs w:val="21"/>
              </w:rPr>
            </w:pPr>
          </w:p>
        </w:tc>
      </w:tr>
    </w:tbl>
    <w:p w14:paraId="39D945B1">
      <w:pPr>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kern w:val="0"/>
          <w:sz w:val="24"/>
          <w:szCs w:val="24"/>
        </w:rPr>
      </w:pPr>
    </w:p>
    <w:p w14:paraId="6D4F2312">
      <w:pPr>
        <w:keepNext/>
        <w:keepLines w:val="0"/>
        <w:pageBreakBefore w:val="0"/>
        <w:kinsoku/>
        <w:wordWrap/>
        <w:overflowPunct/>
        <w:topLinePunct w:val="0"/>
        <w:autoSpaceDE/>
        <w:autoSpaceDN/>
        <w:bidi w:val="0"/>
        <w:adjustRightInd w:val="0"/>
        <w:spacing w:line="360" w:lineRule="auto"/>
        <w:textAlignment w:val="auto"/>
        <w:outlineLvl w:val="1"/>
        <w:rPr>
          <w:rFonts w:hint="eastAsia" w:ascii="宋体" w:hAnsi="宋体" w:eastAsia="宋体" w:cs="宋体"/>
          <w:sz w:val="28"/>
          <w:szCs w:val="28"/>
        </w:rPr>
      </w:pPr>
      <w:r>
        <w:rPr>
          <w:rFonts w:hint="eastAsia" w:ascii="宋体" w:hAnsi="宋体" w:eastAsia="宋体" w:cs="宋体"/>
          <w:sz w:val="28"/>
          <w:szCs w:val="28"/>
        </w:rPr>
        <w:t>2.5 调速器设备技术明细表</w:t>
      </w:r>
    </w:p>
    <w:p w14:paraId="026EE75A">
      <w:pPr>
        <w:keepLines w:val="0"/>
        <w:pageBreakBefore w:val="0"/>
        <w:kinsoku/>
        <w:wordWrap/>
        <w:overflowPunct/>
        <w:topLinePunct w:val="0"/>
        <w:autoSpaceDE/>
        <w:autoSpaceDN/>
        <w:bidi w:val="0"/>
        <w:adjustRightIn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投标人应随投标文件，按下表格式填写调速系统技术明细表。</w:t>
      </w:r>
    </w:p>
    <w:tbl>
      <w:tblPr>
        <w:tblStyle w:val="65"/>
        <w:tblW w:w="51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5884"/>
        <w:gridCol w:w="2142"/>
      </w:tblGrid>
      <w:tr w14:paraId="0FE9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6FD2DC2">
            <w:pPr>
              <w:spacing w:line="400" w:lineRule="exact"/>
              <w:jc w:val="center"/>
              <w:rPr>
                <w:rFonts w:hint="eastAsia" w:ascii="宋体" w:hAnsi="宋体" w:eastAsia="宋体" w:cs="宋体"/>
                <w:szCs w:val="21"/>
              </w:rPr>
            </w:pPr>
            <w:r>
              <w:rPr>
                <w:rFonts w:hint="eastAsia" w:ascii="宋体" w:hAnsi="宋体" w:eastAsia="宋体" w:cs="宋体"/>
              </w:rPr>
              <w:t>序号</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30D7C4E6">
            <w:pPr>
              <w:spacing w:line="400" w:lineRule="exact"/>
              <w:rPr>
                <w:rFonts w:hint="eastAsia" w:ascii="宋体" w:hAnsi="宋体" w:eastAsia="宋体" w:cs="宋体"/>
              </w:rPr>
            </w:pPr>
            <w:r>
              <w:rPr>
                <w:rFonts w:hint="eastAsia" w:ascii="宋体" w:hAnsi="宋体" w:eastAsia="宋体" w:cs="宋体"/>
              </w:rPr>
              <w:t>项目</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0A67B93">
            <w:pPr>
              <w:spacing w:line="400" w:lineRule="exact"/>
              <w:rPr>
                <w:rFonts w:hint="eastAsia" w:ascii="宋体" w:hAnsi="宋体" w:eastAsia="宋体" w:cs="宋体"/>
              </w:rPr>
            </w:pPr>
            <w:r>
              <w:rPr>
                <w:rFonts w:hint="eastAsia" w:ascii="宋体" w:hAnsi="宋体" w:eastAsia="宋体" w:cs="宋体"/>
              </w:rPr>
              <w:t>参数</w:t>
            </w:r>
          </w:p>
        </w:tc>
      </w:tr>
      <w:tr w14:paraId="6DA3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64369D4">
            <w:pPr>
              <w:spacing w:line="400" w:lineRule="exact"/>
              <w:jc w:val="center"/>
              <w:rPr>
                <w:rFonts w:hint="eastAsia" w:ascii="宋体" w:hAnsi="宋体" w:eastAsia="宋体" w:cs="宋体"/>
              </w:rPr>
            </w:pPr>
            <w:r>
              <w:rPr>
                <w:rFonts w:hint="eastAsia" w:ascii="宋体" w:hAnsi="宋体" w:eastAsia="宋体" w:cs="宋体"/>
              </w:rPr>
              <w:t>一</w:t>
            </w:r>
          </w:p>
        </w:tc>
        <w:tc>
          <w:tcPr>
            <w:tcW w:w="8027" w:type="dxa"/>
            <w:gridSpan w:val="2"/>
            <w:tcBorders>
              <w:top w:val="single" w:color="auto" w:sz="4" w:space="0"/>
              <w:left w:val="single" w:color="auto" w:sz="4" w:space="0"/>
              <w:bottom w:val="single" w:color="auto" w:sz="4" w:space="0"/>
              <w:right w:val="single" w:color="auto" w:sz="4" w:space="0"/>
            </w:tcBorders>
            <w:noWrap w:val="0"/>
            <w:vAlign w:val="top"/>
          </w:tcPr>
          <w:p w14:paraId="78C6C661">
            <w:pPr>
              <w:spacing w:line="400" w:lineRule="exact"/>
              <w:rPr>
                <w:rFonts w:hint="eastAsia" w:ascii="宋体" w:hAnsi="宋体" w:eastAsia="宋体" w:cs="宋体"/>
              </w:rPr>
            </w:pPr>
            <w:r>
              <w:rPr>
                <w:rFonts w:hint="eastAsia" w:ascii="宋体" w:hAnsi="宋体" w:eastAsia="宋体" w:cs="宋体"/>
              </w:rPr>
              <w:t>调速器</w:t>
            </w:r>
          </w:p>
        </w:tc>
      </w:tr>
      <w:tr w14:paraId="4739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4ECFEDF5">
            <w:pPr>
              <w:spacing w:line="400" w:lineRule="exact"/>
              <w:jc w:val="center"/>
              <w:rPr>
                <w:rFonts w:hint="eastAsia" w:ascii="宋体" w:hAnsi="宋体" w:eastAsia="宋体" w:cs="宋体"/>
              </w:rPr>
            </w:pPr>
            <w:r>
              <w:rPr>
                <w:rFonts w:hint="eastAsia" w:ascii="宋体" w:hAnsi="宋体" w:eastAsia="宋体" w:cs="宋体"/>
              </w:rPr>
              <w:t>1</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3F5652B8">
            <w:pPr>
              <w:spacing w:line="400" w:lineRule="exact"/>
              <w:rPr>
                <w:rFonts w:hint="eastAsia" w:ascii="宋体" w:hAnsi="宋体" w:eastAsia="宋体" w:cs="宋体"/>
              </w:rPr>
            </w:pPr>
            <w:r>
              <w:rPr>
                <w:rFonts w:hint="eastAsia" w:ascii="宋体" w:hAnsi="宋体" w:eastAsia="宋体" w:cs="宋体"/>
              </w:rPr>
              <w:t>微机调节器</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612C65F">
            <w:pPr>
              <w:spacing w:line="400" w:lineRule="exact"/>
              <w:rPr>
                <w:rFonts w:hint="eastAsia" w:ascii="宋体" w:hAnsi="宋体" w:eastAsia="宋体" w:cs="宋体"/>
              </w:rPr>
            </w:pPr>
          </w:p>
        </w:tc>
      </w:tr>
      <w:tr w14:paraId="3621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645F4E6">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7EEEF31F">
            <w:pPr>
              <w:spacing w:line="400" w:lineRule="exact"/>
              <w:rPr>
                <w:rFonts w:hint="eastAsia" w:ascii="宋体" w:hAnsi="宋体" w:eastAsia="宋体" w:cs="宋体"/>
              </w:rPr>
            </w:pPr>
            <w:r>
              <w:rPr>
                <w:rFonts w:hint="eastAsia" w:ascii="宋体" w:hAnsi="宋体" w:eastAsia="宋体" w:cs="宋体"/>
              </w:rPr>
              <w:t>--制造厂</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936F031">
            <w:pPr>
              <w:spacing w:line="400" w:lineRule="exact"/>
              <w:rPr>
                <w:rFonts w:hint="eastAsia" w:ascii="宋体" w:hAnsi="宋体" w:eastAsia="宋体" w:cs="宋体"/>
              </w:rPr>
            </w:pPr>
          </w:p>
        </w:tc>
      </w:tr>
      <w:tr w14:paraId="7AAC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3E6262D">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D807400">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64E53D5F">
            <w:pPr>
              <w:spacing w:line="400" w:lineRule="exact"/>
              <w:rPr>
                <w:rFonts w:hint="eastAsia" w:ascii="宋体" w:hAnsi="宋体" w:eastAsia="宋体" w:cs="宋体"/>
              </w:rPr>
            </w:pPr>
          </w:p>
        </w:tc>
      </w:tr>
      <w:tr w14:paraId="1981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CA997A7">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4939D95">
            <w:pPr>
              <w:spacing w:line="400" w:lineRule="exact"/>
              <w:rPr>
                <w:rFonts w:hint="eastAsia" w:ascii="宋体" w:hAnsi="宋体" w:eastAsia="宋体" w:cs="宋体"/>
              </w:rPr>
            </w:pPr>
            <w:r>
              <w:rPr>
                <w:rFonts w:hint="eastAsia" w:ascii="宋体" w:hAnsi="宋体" w:eastAsia="宋体" w:cs="宋体"/>
              </w:rPr>
              <w:t>--CPU字长</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B8DC43D">
            <w:pPr>
              <w:spacing w:line="400" w:lineRule="exact"/>
              <w:rPr>
                <w:rFonts w:hint="eastAsia" w:ascii="宋体" w:hAnsi="宋体" w:eastAsia="宋体" w:cs="宋体"/>
              </w:rPr>
            </w:pPr>
          </w:p>
        </w:tc>
      </w:tr>
      <w:tr w14:paraId="36F3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AA03D04">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E45E1EB">
            <w:pPr>
              <w:spacing w:line="400" w:lineRule="exact"/>
              <w:rPr>
                <w:rFonts w:hint="eastAsia" w:ascii="宋体" w:hAnsi="宋体" w:eastAsia="宋体" w:cs="宋体"/>
              </w:rPr>
            </w:pPr>
            <w:r>
              <w:rPr>
                <w:rFonts w:hint="eastAsia" w:ascii="宋体" w:hAnsi="宋体" w:eastAsia="宋体" w:cs="宋体"/>
              </w:rPr>
              <w:t>--CPU主频（MHz）</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F235F76">
            <w:pPr>
              <w:spacing w:line="400" w:lineRule="exact"/>
              <w:rPr>
                <w:rFonts w:hint="eastAsia" w:ascii="宋体" w:hAnsi="宋体" w:eastAsia="宋体" w:cs="宋体"/>
              </w:rPr>
            </w:pPr>
          </w:p>
        </w:tc>
      </w:tr>
      <w:tr w14:paraId="1837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9013A6C">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3C10B75">
            <w:pPr>
              <w:spacing w:line="400" w:lineRule="exact"/>
              <w:rPr>
                <w:rFonts w:hint="eastAsia" w:ascii="宋体" w:hAnsi="宋体" w:eastAsia="宋体" w:cs="宋体"/>
              </w:rPr>
            </w:pPr>
            <w:r>
              <w:rPr>
                <w:rFonts w:hint="eastAsia" w:ascii="宋体" w:hAnsi="宋体" w:eastAsia="宋体" w:cs="宋体"/>
              </w:rPr>
              <w:t>--内存容量（MB）</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1AE951C0">
            <w:pPr>
              <w:spacing w:line="400" w:lineRule="exact"/>
              <w:rPr>
                <w:rFonts w:hint="eastAsia" w:ascii="宋体" w:hAnsi="宋体" w:eastAsia="宋体" w:cs="宋体"/>
              </w:rPr>
            </w:pPr>
          </w:p>
        </w:tc>
      </w:tr>
      <w:tr w14:paraId="1C20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9C700F1">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174BFFBE">
            <w:pPr>
              <w:spacing w:line="400" w:lineRule="exact"/>
              <w:rPr>
                <w:rFonts w:hint="eastAsia" w:ascii="宋体" w:hAnsi="宋体" w:eastAsia="宋体" w:cs="宋体"/>
              </w:rPr>
            </w:pPr>
            <w:r>
              <w:rPr>
                <w:rFonts w:hint="eastAsia" w:ascii="宋体" w:hAnsi="宋体" w:eastAsia="宋体" w:cs="宋体"/>
              </w:rPr>
              <w:t>--软件编程语言</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2507C31A">
            <w:pPr>
              <w:spacing w:line="400" w:lineRule="exact"/>
              <w:rPr>
                <w:rFonts w:hint="eastAsia" w:ascii="宋体" w:hAnsi="宋体" w:eastAsia="宋体" w:cs="宋体"/>
              </w:rPr>
            </w:pPr>
          </w:p>
        </w:tc>
      </w:tr>
      <w:tr w14:paraId="4DA2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AA8D952">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753AF322">
            <w:pPr>
              <w:spacing w:line="400" w:lineRule="exact"/>
              <w:rPr>
                <w:rFonts w:hint="eastAsia" w:ascii="宋体" w:hAnsi="宋体" w:eastAsia="宋体" w:cs="宋体"/>
              </w:rPr>
            </w:pPr>
            <w:r>
              <w:rPr>
                <w:rFonts w:hint="eastAsia" w:ascii="宋体" w:hAnsi="宋体" w:eastAsia="宋体" w:cs="宋体"/>
              </w:rPr>
              <w:t>--功耗（W）</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E0915EA">
            <w:pPr>
              <w:spacing w:line="400" w:lineRule="exact"/>
              <w:rPr>
                <w:rFonts w:hint="eastAsia" w:ascii="宋体" w:hAnsi="宋体" w:eastAsia="宋体" w:cs="宋体"/>
              </w:rPr>
            </w:pPr>
          </w:p>
        </w:tc>
      </w:tr>
      <w:tr w14:paraId="6130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362FD6D">
            <w:pPr>
              <w:spacing w:line="400" w:lineRule="exact"/>
              <w:jc w:val="center"/>
              <w:rPr>
                <w:rFonts w:hint="eastAsia" w:ascii="宋体" w:hAnsi="宋体" w:eastAsia="宋体" w:cs="宋体"/>
              </w:rPr>
            </w:pPr>
            <w:r>
              <w:rPr>
                <w:rFonts w:hint="eastAsia" w:ascii="宋体" w:hAnsi="宋体" w:eastAsia="宋体" w:cs="宋体"/>
              </w:rPr>
              <w:t>2</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526E4A06">
            <w:pPr>
              <w:spacing w:line="400" w:lineRule="exact"/>
              <w:rPr>
                <w:rFonts w:hint="eastAsia" w:ascii="宋体" w:hAnsi="宋体" w:eastAsia="宋体" w:cs="宋体"/>
              </w:rPr>
            </w:pPr>
            <w:r>
              <w:rPr>
                <w:rFonts w:hint="eastAsia" w:ascii="宋体" w:hAnsi="宋体" w:eastAsia="宋体" w:cs="宋体"/>
              </w:rPr>
              <w:t>比例伺服阀</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84C22D3">
            <w:pPr>
              <w:spacing w:line="400" w:lineRule="exact"/>
              <w:rPr>
                <w:rFonts w:hint="eastAsia" w:ascii="宋体" w:hAnsi="宋体" w:eastAsia="宋体" w:cs="宋体"/>
              </w:rPr>
            </w:pPr>
          </w:p>
        </w:tc>
      </w:tr>
      <w:tr w14:paraId="6BEF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2907EEC">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0373BE5F">
            <w:pPr>
              <w:spacing w:line="400" w:lineRule="exact"/>
              <w:rPr>
                <w:rFonts w:hint="eastAsia" w:ascii="宋体" w:hAnsi="宋体" w:eastAsia="宋体" w:cs="宋体"/>
              </w:rPr>
            </w:pPr>
            <w:r>
              <w:rPr>
                <w:rFonts w:hint="eastAsia" w:ascii="宋体" w:hAnsi="宋体" w:eastAsia="宋体" w:cs="宋体"/>
              </w:rPr>
              <w:t>--制造厂</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58B8911">
            <w:pPr>
              <w:spacing w:line="400" w:lineRule="exact"/>
              <w:rPr>
                <w:rFonts w:hint="eastAsia" w:ascii="宋体" w:hAnsi="宋体" w:eastAsia="宋体" w:cs="宋体"/>
              </w:rPr>
            </w:pPr>
          </w:p>
        </w:tc>
      </w:tr>
      <w:tr w14:paraId="329D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E6EAE87">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A1DCDB1">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16FFBC87">
            <w:pPr>
              <w:spacing w:line="400" w:lineRule="exact"/>
              <w:rPr>
                <w:rFonts w:hint="eastAsia" w:ascii="宋体" w:hAnsi="宋体" w:eastAsia="宋体" w:cs="宋体"/>
              </w:rPr>
            </w:pPr>
          </w:p>
        </w:tc>
      </w:tr>
      <w:tr w14:paraId="1760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FE99980">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728844A1">
            <w:pPr>
              <w:spacing w:line="400" w:lineRule="exact"/>
              <w:rPr>
                <w:rFonts w:hint="eastAsia" w:ascii="宋体" w:hAnsi="宋体" w:eastAsia="宋体" w:cs="宋体"/>
              </w:rPr>
            </w:pPr>
            <w:r>
              <w:rPr>
                <w:rFonts w:hint="eastAsia" w:ascii="宋体" w:hAnsi="宋体" w:eastAsia="宋体" w:cs="宋体"/>
              </w:rPr>
              <w:t>--滞环（＜___%）</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C16D785">
            <w:pPr>
              <w:spacing w:line="400" w:lineRule="exact"/>
              <w:rPr>
                <w:rFonts w:hint="eastAsia" w:ascii="宋体" w:hAnsi="宋体" w:eastAsia="宋体" w:cs="宋体"/>
              </w:rPr>
            </w:pPr>
          </w:p>
        </w:tc>
      </w:tr>
      <w:tr w14:paraId="4344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6FEF2A8">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58D27D4B">
            <w:pPr>
              <w:spacing w:line="400" w:lineRule="exact"/>
              <w:rPr>
                <w:rFonts w:hint="eastAsia" w:ascii="宋体" w:hAnsi="宋体" w:eastAsia="宋体" w:cs="宋体"/>
              </w:rPr>
            </w:pPr>
            <w:r>
              <w:rPr>
                <w:rFonts w:hint="eastAsia" w:ascii="宋体" w:hAnsi="宋体" w:eastAsia="宋体" w:cs="宋体"/>
              </w:rPr>
              <w:t>--重复性（＜___%）</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C2F7011">
            <w:pPr>
              <w:spacing w:line="400" w:lineRule="exact"/>
              <w:rPr>
                <w:rFonts w:hint="eastAsia" w:ascii="宋体" w:hAnsi="宋体" w:eastAsia="宋体" w:cs="宋体"/>
              </w:rPr>
            </w:pPr>
          </w:p>
        </w:tc>
      </w:tr>
      <w:tr w14:paraId="0C52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0075196">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B8BD343">
            <w:pPr>
              <w:spacing w:line="400" w:lineRule="exact"/>
              <w:rPr>
                <w:rFonts w:hint="eastAsia" w:ascii="宋体" w:hAnsi="宋体" w:eastAsia="宋体" w:cs="宋体"/>
              </w:rPr>
            </w:pPr>
            <w:r>
              <w:rPr>
                <w:rFonts w:hint="eastAsia" w:ascii="宋体" w:hAnsi="宋体" w:eastAsia="宋体" w:cs="宋体"/>
              </w:rPr>
              <w:t>--阶跃信号调节时间（＜___ms）</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EDB7907">
            <w:pPr>
              <w:spacing w:line="400" w:lineRule="exact"/>
              <w:rPr>
                <w:rFonts w:hint="eastAsia" w:ascii="宋体" w:hAnsi="宋体" w:eastAsia="宋体" w:cs="宋体"/>
              </w:rPr>
            </w:pPr>
          </w:p>
        </w:tc>
      </w:tr>
      <w:tr w14:paraId="76D3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EF07A9D">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06CE8792">
            <w:pPr>
              <w:spacing w:line="400" w:lineRule="exact"/>
              <w:rPr>
                <w:rFonts w:hint="eastAsia" w:ascii="宋体" w:hAnsi="宋体" w:eastAsia="宋体" w:cs="宋体"/>
              </w:rPr>
            </w:pPr>
            <w:r>
              <w:rPr>
                <w:rFonts w:hint="eastAsia" w:ascii="宋体" w:hAnsi="宋体" w:eastAsia="宋体" w:cs="宋体"/>
              </w:rPr>
              <w:t>--响应频宽（__~__Hz）</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60D6E93C">
            <w:pPr>
              <w:spacing w:line="400" w:lineRule="exact"/>
              <w:rPr>
                <w:rFonts w:hint="eastAsia" w:ascii="宋体" w:hAnsi="宋体" w:eastAsia="宋体" w:cs="宋体"/>
              </w:rPr>
            </w:pPr>
          </w:p>
        </w:tc>
      </w:tr>
      <w:tr w14:paraId="77E3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A2C0B3E">
            <w:pPr>
              <w:spacing w:line="400" w:lineRule="exact"/>
              <w:jc w:val="center"/>
              <w:rPr>
                <w:rFonts w:hint="eastAsia" w:ascii="宋体" w:hAnsi="宋体" w:eastAsia="宋体" w:cs="宋体"/>
              </w:rPr>
            </w:pPr>
            <w:r>
              <w:rPr>
                <w:rFonts w:hint="eastAsia" w:ascii="宋体" w:hAnsi="宋体" w:eastAsia="宋体" w:cs="宋体"/>
              </w:rPr>
              <w:t>3</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7160D0AC">
            <w:pPr>
              <w:spacing w:line="400" w:lineRule="exact"/>
              <w:rPr>
                <w:rFonts w:hint="eastAsia" w:ascii="宋体" w:hAnsi="宋体" w:eastAsia="宋体" w:cs="宋体"/>
              </w:rPr>
            </w:pPr>
            <w:r>
              <w:rPr>
                <w:rFonts w:hint="eastAsia" w:ascii="宋体" w:hAnsi="宋体" w:eastAsia="宋体" w:cs="宋体"/>
              </w:rPr>
              <w:t>彩色液晶显示器</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B0957D0">
            <w:pPr>
              <w:spacing w:line="400" w:lineRule="exact"/>
              <w:rPr>
                <w:rFonts w:hint="eastAsia" w:ascii="宋体" w:hAnsi="宋体" w:eastAsia="宋体" w:cs="宋体"/>
              </w:rPr>
            </w:pPr>
          </w:p>
        </w:tc>
      </w:tr>
      <w:tr w14:paraId="6F4C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363220A">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7EFD9DC9">
            <w:pPr>
              <w:spacing w:line="400" w:lineRule="exact"/>
              <w:rPr>
                <w:rFonts w:hint="eastAsia" w:ascii="宋体" w:hAnsi="宋体" w:eastAsia="宋体" w:cs="宋体"/>
              </w:rPr>
            </w:pPr>
            <w:r>
              <w:rPr>
                <w:rFonts w:hint="eastAsia" w:ascii="宋体" w:hAnsi="宋体" w:eastAsia="宋体" w:cs="宋体"/>
              </w:rPr>
              <w:t>--制造厂</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48E23C3">
            <w:pPr>
              <w:spacing w:line="400" w:lineRule="exact"/>
              <w:rPr>
                <w:rFonts w:hint="eastAsia" w:ascii="宋体" w:hAnsi="宋体" w:eastAsia="宋体" w:cs="宋体"/>
              </w:rPr>
            </w:pPr>
          </w:p>
        </w:tc>
      </w:tr>
      <w:tr w14:paraId="7974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574D0BF">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7151FDF">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2A95389">
            <w:pPr>
              <w:spacing w:line="400" w:lineRule="exact"/>
              <w:rPr>
                <w:rFonts w:hint="eastAsia" w:ascii="宋体" w:hAnsi="宋体" w:eastAsia="宋体" w:cs="宋体"/>
              </w:rPr>
            </w:pPr>
          </w:p>
        </w:tc>
      </w:tr>
      <w:tr w14:paraId="1199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5837CBD">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A649FCE">
            <w:pPr>
              <w:spacing w:line="400" w:lineRule="exact"/>
              <w:rPr>
                <w:rFonts w:hint="eastAsia" w:ascii="宋体" w:hAnsi="宋体" w:eastAsia="宋体" w:cs="宋体"/>
              </w:rPr>
            </w:pPr>
            <w:r>
              <w:rPr>
                <w:rFonts w:hint="eastAsia" w:ascii="宋体" w:hAnsi="宋体" w:eastAsia="宋体" w:cs="宋体"/>
              </w:rPr>
              <w:t>--主要指标</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14506A48">
            <w:pPr>
              <w:spacing w:line="400" w:lineRule="exact"/>
              <w:rPr>
                <w:rFonts w:hint="eastAsia" w:ascii="宋体" w:hAnsi="宋体" w:eastAsia="宋体" w:cs="宋体"/>
              </w:rPr>
            </w:pPr>
          </w:p>
        </w:tc>
      </w:tr>
      <w:tr w14:paraId="05FE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4D2A8C60">
            <w:pPr>
              <w:spacing w:line="400" w:lineRule="exact"/>
              <w:jc w:val="center"/>
              <w:rPr>
                <w:rFonts w:hint="eastAsia" w:ascii="宋体" w:hAnsi="宋体" w:eastAsia="宋体" w:cs="宋体"/>
              </w:rPr>
            </w:pPr>
            <w:r>
              <w:rPr>
                <w:rFonts w:hint="eastAsia" w:ascii="宋体" w:hAnsi="宋体" w:eastAsia="宋体" w:cs="宋体"/>
              </w:rPr>
              <w:t>4</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397D2BC7">
            <w:pPr>
              <w:spacing w:line="400" w:lineRule="exact"/>
              <w:rPr>
                <w:rFonts w:hint="eastAsia" w:ascii="宋体" w:hAnsi="宋体" w:eastAsia="宋体" w:cs="宋体"/>
              </w:rPr>
            </w:pPr>
            <w:r>
              <w:rPr>
                <w:rFonts w:hint="eastAsia" w:ascii="宋体" w:hAnsi="宋体" w:eastAsia="宋体" w:cs="宋体"/>
              </w:rPr>
              <w:t>主配压阀</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8FFB264">
            <w:pPr>
              <w:spacing w:line="400" w:lineRule="exact"/>
              <w:rPr>
                <w:rFonts w:hint="eastAsia" w:ascii="宋体" w:hAnsi="宋体" w:eastAsia="宋体" w:cs="宋体"/>
              </w:rPr>
            </w:pPr>
          </w:p>
        </w:tc>
      </w:tr>
      <w:tr w14:paraId="18C0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877A9CA">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01740DB">
            <w:pPr>
              <w:spacing w:line="400" w:lineRule="exact"/>
              <w:rPr>
                <w:rFonts w:hint="eastAsia" w:ascii="宋体" w:hAnsi="宋体" w:eastAsia="宋体" w:cs="宋体"/>
              </w:rPr>
            </w:pPr>
            <w:r>
              <w:rPr>
                <w:rFonts w:hint="eastAsia" w:ascii="宋体" w:hAnsi="宋体" w:eastAsia="宋体" w:cs="宋体"/>
              </w:rPr>
              <w:t>--制造厂</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E449122">
            <w:pPr>
              <w:spacing w:line="400" w:lineRule="exact"/>
              <w:rPr>
                <w:rFonts w:hint="eastAsia" w:ascii="宋体" w:hAnsi="宋体" w:eastAsia="宋体" w:cs="宋体"/>
              </w:rPr>
            </w:pPr>
          </w:p>
        </w:tc>
      </w:tr>
      <w:tr w14:paraId="44B0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5E48352">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BE4B2D0">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2FD9CF91">
            <w:pPr>
              <w:spacing w:line="400" w:lineRule="exact"/>
              <w:rPr>
                <w:rFonts w:hint="eastAsia" w:ascii="宋体" w:hAnsi="宋体" w:eastAsia="宋体" w:cs="宋体"/>
              </w:rPr>
            </w:pPr>
          </w:p>
        </w:tc>
      </w:tr>
      <w:tr w14:paraId="2B13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9BDCAB4">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77926EBB">
            <w:pPr>
              <w:spacing w:line="400" w:lineRule="exact"/>
              <w:rPr>
                <w:rFonts w:hint="eastAsia" w:ascii="宋体" w:hAnsi="宋体" w:eastAsia="宋体" w:cs="宋体"/>
              </w:rPr>
            </w:pPr>
            <w:r>
              <w:rPr>
                <w:rFonts w:hint="eastAsia" w:ascii="宋体" w:hAnsi="宋体" w:eastAsia="宋体" w:cs="宋体"/>
              </w:rPr>
              <w:t>--主要指标</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BDE87FA">
            <w:pPr>
              <w:spacing w:line="400" w:lineRule="exact"/>
              <w:rPr>
                <w:rFonts w:hint="eastAsia" w:ascii="宋体" w:hAnsi="宋体" w:eastAsia="宋体" w:cs="宋体"/>
              </w:rPr>
            </w:pPr>
          </w:p>
        </w:tc>
      </w:tr>
      <w:tr w14:paraId="11FD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A56880B">
            <w:pPr>
              <w:spacing w:line="400" w:lineRule="exact"/>
              <w:jc w:val="center"/>
              <w:rPr>
                <w:rFonts w:hint="eastAsia" w:ascii="宋体" w:hAnsi="宋体" w:eastAsia="宋体" w:cs="宋体"/>
              </w:rPr>
            </w:pPr>
            <w:r>
              <w:rPr>
                <w:rFonts w:hint="eastAsia" w:ascii="宋体" w:hAnsi="宋体" w:eastAsia="宋体" w:cs="宋体"/>
              </w:rPr>
              <w:t>5</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3D29E410">
            <w:pPr>
              <w:spacing w:line="400" w:lineRule="exact"/>
              <w:rPr>
                <w:rFonts w:hint="eastAsia" w:ascii="宋体" w:hAnsi="宋体" w:eastAsia="宋体" w:cs="宋体"/>
              </w:rPr>
            </w:pPr>
            <w:r>
              <w:rPr>
                <w:rFonts w:hint="eastAsia" w:ascii="宋体" w:hAnsi="宋体" w:eastAsia="宋体" w:cs="宋体"/>
              </w:rPr>
              <w:t>双精度滤油器</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DB46279">
            <w:pPr>
              <w:spacing w:line="400" w:lineRule="exact"/>
              <w:rPr>
                <w:rFonts w:hint="eastAsia" w:ascii="宋体" w:hAnsi="宋体" w:eastAsia="宋体" w:cs="宋体"/>
              </w:rPr>
            </w:pPr>
          </w:p>
        </w:tc>
      </w:tr>
      <w:tr w14:paraId="38C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D9C76A2">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16DD86EE">
            <w:pPr>
              <w:spacing w:line="400" w:lineRule="exact"/>
              <w:rPr>
                <w:rFonts w:hint="eastAsia" w:ascii="宋体" w:hAnsi="宋体" w:eastAsia="宋体" w:cs="宋体"/>
              </w:rPr>
            </w:pPr>
            <w:r>
              <w:rPr>
                <w:rFonts w:hint="eastAsia" w:ascii="宋体" w:hAnsi="宋体" w:eastAsia="宋体" w:cs="宋体"/>
              </w:rPr>
              <w:t>--制造厂</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DB57C30">
            <w:pPr>
              <w:spacing w:line="400" w:lineRule="exact"/>
              <w:rPr>
                <w:rFonts w:hint="eastAsia" w:ascii="宋体" w:hAnsi="宋体" w:eastAsia="宋体" w:cs="宋体"/>
              </w:rPr>
            </w:pPr>
          </w:p>
        </w:tc>
      </w:tr>
      <w:tr w14:paraId="678F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30D93737">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88E000B">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C30BBC0">
            <w:pPr>
              <w:spacing w:line="400" w:lineRule="exact"/>
              <w:rPr>
                <w:rFonts w:hint="eastAsia" w:ascii="宋体" w:hAnsi="宋体" w:eastAsia="宋体" w:cs="宋体"/>
              </w:rPr>
            </w:pPr>
          </w:p>
        </w:tc>
      </w:tr>
      <w:tr w14:paraId="3705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C51D905">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2BF2E72B">
            <w:pPr>
              <w:spacing w:line="400" w:lineRule="exact"/>
              <w:rPr>
                <w:rFonts w:hint="eastAsia" w:ascii="宋体" w:hAnsi="宋体" w:eastAsia="宋体" w:cs="宋体"/>
              </w:rPr>
            </w:pPr>
            <w:r>
              <w:rPr>
                <w:rFonts w:hint="eastAsia" w:ascii="宋体" w:hAnsi="宋体" w:eastAsia="宋体" w:cs="宋体"/>
              </w:rPr>
              <w:t>--主要指标</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D380DBF">
            <w:pPr>
              <w:spacing w:line="400" w:lineRule="exact"/>
              <w:rPr>
                <w:rFonts w:hint="eastAsia" w:ascii="宋体" w:hAnsi="宋体" w:eastAsia="宋体" w:cs="宋体"/>
              </w:rPr>
            </w:pPr>
          </w:p>
        </w:tc>
      </w:tr>
      <w:tr w14:paraId="2A3E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C03ACB6">
            <w:pPr>
              <w:spacing w:line="400" w:lineRule="exact"/>
              <w:jc w:val="center"/>
              <w:rPr>
                <w:rFonts w:hint="eastAsia" w:ascii="宋体" w:hAnsi="宋体" w:eastAsia="宋体" w:cs="宋体"/>
              </w:rPr>
            </w:pPr>
            <w:r>
              <w:rPr>
                <w:rFonts w:hint="eastAsia" w:ascii="宋体" w:hAnsi="宋体" w:eastAsia="宋体" w:cs="宋体"/>
              </w:rPr>
              <w:t>6</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0F944D38">
            <w:pPr>
              <w:spacing w:line="400" w:lineRule="exact"/>
              <w:rPr>
                <w:rFonts w:hint="eastAsia" w:ascii="宋体" w:hAnsi="宋体" w:eastAsia="宋体" w:cs="宋体"/>
              </w:rPr>
            </w:pPr>
            <w:r>
              <w:rPr>
                <w:rFonts w:hint="eastAsia" w:ascii="宋体" w:hAnsi="宋体" w:eastAsia="宋体" w:cs="宋体"/>
              </w:rPr>
              <w:t>液压油旁路循环过滤系统</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4B28FC4">
            <w:pPr>
              <w:spacing w:line="400" w:lineRule="exact"/>
              <w:rPr>
                <w:rFonts w:hint="eastAsia" w:ascii="宋体" w:hAnsi="宋体" w:eastAsia="宋体" w:cs="宋体"/>
              </w:rPr>
            </w:pPr>
          </w:p>
        </w:tc>
      </w:tr>
      <w:tr w14:paraId="3379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49A0FB7">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7ACE9B3A">
            <w:pPr>
              <w:spacing w:line="400" w:lineRule="exact"/>
              <w:rPr>
                <w:rFonts w:hint="eastAsia" w:ascii="宋体" w:hAnsi="宋体" w:eastAsia="宋体" w:cs="宋体"/>
              </w:rPr>
            </w:pPr>
            <w:r>
              <w:rPr>
                <w:rFonts w:hint="eastAsia" w:ascii="宋体" w:hAnsi="宋体" w:eastAsia="宋体" w:cs="宋体"/>
              </w:rPr>
              <w:t>--制造厂</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D3BE63C">
            <w:pPr>
              <w:spacing w:line="400" w:lineRule="exact"/>
              <w:rPr>
                <w:rFonts w:hint="eastAsia" w:ascii="宋体" w:hAnsi="宋体" w:eastAsia="宋体" w:cs="宋体"/>
              </w:rPr>
            </w:pPr>
          </w:p>
        </w:tc>
      </w:tr>
      <w:tr w14:paraId="2620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72962EE">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74CDC7AF">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16F2AA0C">
            <w:pPr>
              <w:spacing w:line="400" w:lineRule="exact"/>
              <w:rPr>
                <w:rFonts w:hint="eastAsia" w:ascii="宋体" w:hAnsi="宋体" w:eastAsia="宋体" w:cs="宋体"/>
              </w:rPr>
            </w:pPr>
          </w:p>
        </w:tc>
      </w:tr>
      <w:tr w14:paraId="4B29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0C1FD6E">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521A1F6">
            <w:pPr>
              <w:spacing w:line="400" w:lineRule="exact"/>
              <w:rPr>
                <w:rFonts w:hint="eastAsia" w:ascii="宋体" w:hAnsi="宋体" w:eastAsia="宋体" w:cs="宋体"/>
              </w:rPr>
            </w:pPr>
            <w:r>
              <w:rPr>
                <w:rFonts w:hint="eastAsia" w:ascii="宋体" w:hAnsi="宋体" w:eastAsia="宋体" w:cs="宋体"/>
              </w:rPr>
              <w:t>--主要指标</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1955260">
            <w:pPr>
              <w:spacing w:line="400" w:lineRule="exact"/>
              <w:rPr>
                <w:rFonts w:hint="eastAsia" w:ascii="宋体" w:hAnsi="宋体" w:eastAsia="宋体" w:cs="宋体"/>
              </w:rPr>
            </w:pPr>
          </w:p>
        </w:tc>
      </w:tr>
      <w:tr w14:paraId="753F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E1F21AD">
            <w:pPr>
              <w:spacing w:line="400" w:lineRule="exact"/>
              <w:jc w:val="center"/>
              <w:rPr>
                <w:rFonts w:hint="eastAsia" w:ascii="宋体" w:hAnsi="宋体" w:eastAsia="宋体" w:cs="宋体"/>
              </w:rPr>
            </w:pPr>
            <w:r>
              <w:rPr>
                <w:rFonts w:hint="eastAsia" w:ascii="宋体" w:hAnsi="宋体" w:eastAsia="宋体" w:cs="宋体"/>
              </w:rPr>
              <w:t>7</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078999B5">
            <w:pPr>
              <w:spacing w:line="400" w:lineRule="exact"/>
              <w:rPr>
                <w:rFonts w:hint="eastAsia" w:ascii="宋体" w:hAnsi="宋体" w:eastAsia="宋体" w:cs="宋体"/>
              </w:rPr>
            </w:pPr>
            <w:r>
              <w:rPr>
                <w:rFonts w:hint="eastAsia" w:ascii="宋体" w:hAnsi="宋体" w:eastAsia="宋体" w:cs="宋体"/>
              </w:rPr>
              <w:t>紧急停机电磁阀组</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12A01C88">
            <w:pPr>
              <w:spacing w:line="400" w:lineRule="exact"/>
              <w:rPr>
                <w:rFonts w:hint="eastAsia" w:ascii="宋体" w:hAnsi="宋体" w:eastAsia="宋体" w:cs="宋体"/>
              </w:rPr>
            </w:pPr>
          </w:p>
        </w:tc>
      </w:tr>
      <w:tr w14:paraId="7041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A87242E">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2E550536">
            <w:pPr>
              <w:spacing w:line="400" w:lineRule="exact"/>
              <w:rPr>
                <w:rFonts w:hint="eastAsia" w:ascii="宋体" w:hAnsi="宋体" w:eastAsia="宋体" w:cs="宋体"/>
              </w:rPr>
            </w:pPr>
            <w:r>
              <w:rPr>
                <w:rFonts w:hint="eastAsia" w:ascii="宋体" w:hAnsi="宋体" w:eastAsia="宋体" w:cs="宋体"/>
              </w:rPr>
              <w:t>--制造厂</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9C4C7FE">
            <w:pPr>
              <w:spacing w:line="400" w:lineRule="exact"/>
              <w:rPr>
                <w:rFonts w:hint="eastAsia" w:ascii="宋体" w:hAnsi="宋体" w:eastAsia="宋体" w:cs="宋体"/>
              </w:rPr>
            </w:pPr>
          </w:p>
        </w:tc>
      </w:tr>
      <w:tr w14:paraId="21D9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6815DD3">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D198584">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9AEAF7B">
            <w:pPr>
              <w:spacing w:line="400" w:lineRule="exact"/>
              <w:rPr>
                <w:rFonts w:hint="eastAsia" w:ascii="宋体" w:hAnsi="宋体" w:eastAsia="宋体" w:cs="宋体"/>
              </w:rPr>
            </w:pPr>
          </w:p>
        </w:tc>
      </w:tr>
      <w:tr w14:paraId="196F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41611BF">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594728C">
            <w:pPr>
              <w:spacing w:line="400" w:lineRule="exact"/>
              <w:rPr>
                <w:rFonts w:hint="eastAsia" w:ascii="宋体" w:hAnsi="宋体" w:eastAsia="宋体" w:cs="宋体"/>
              </w:rPr>
            </w:pPr>
            <w:r>
              <w:rPr>
                <w:rFonts w:hint="eastAsia" w:ascii="宋体" w:hAnsi="宋体" w:eastAsia="宋体" w:cs="宋体"/>
              </w:rPr>
              <w:t>--主要指标</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911AB0B">
            <w:pPr>
              <w:spacing w:line="400" w:lineRule="exact"/>
              <w:rPr>
                <w:rFonts w:hint="eastAsia" w:ascii="宋体" w:hAnsi="宋体" w:eastAsia="宋体" w:cs="宋体"/>
              </w:rPr>
            </w:pPr>
          </w:p>
        </w:tc>
      </w:tr>
      <w:tr w14:paraId="38FA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5969146">
            <w:pPr>
              <w:spacing w:line="400" w:lineRule="exact"/>
              <w:jc w:val="center"/>
              <w:rPr>
                <w:rFonts w:hint="eastAsia" w:ascii="宋体" w:hAnsi="宋体" w:eastAsia="宋体" w:cs="宋体"/>
              </w:rPr>
            </w:pPr>
            <w:r>
              <w:rPr>
                <w:rFonts w:hint="eastAsia" w:ascii="宋体" w:hAnsi="宋体" w:eastAsia="宋体" w:cs="宋体"/>
              </w:rPr>
              <w:t>8</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3765FE28">
            <w:pPr>
              <w:spacing w:line="400" w:lineRule="exact"/>
              <w:rPr>
                <w:rFonts w:hint="eastAsia" w:ascii="宋体" w:hAnsi="宋体" w:eastAsia="宋体" w:cs="宋体"/>
              </w:rPr>
            </w:pPr>
            <w:r>
              <w:rPr>
                <w:rFonts w:hint="eastAsia" w:ascii="宋体" w:hAnsi="宋体" w:eastAsia="宋体" w:cs="宋体"/>
              </w:rPr>
              <w:t>切换电磁阀</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992B855">
            <w:pPr>
              <w:spacing w:line="400" w:lineRule="exact"/>
              <w:rPr>
                <w:rFonts w:hint="eastAsia" w:ascii="宋体" w:hAnsi="宋体" w:eastAsia="宋体" w:cs="宋体"/>
              </w:rPr>
            </w:pPr>
          </w:p>
        </w:tc>
      </w:tr>
      <w:tr w14:paraId="64A1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306DFFB7">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01DAB9FE">
            <w:pPr>
              <w:spacing w:line="400" w:lineRule="exact"/>
              <w:rPr>
                <w:rFonts w:hint="eastAsia" w:ascii="宋体" w:hAnsi="宋体" w:eastAsia="宋体" w:cs="宋体"/>
              </w:rPr>
            </w:pPr>
            <w:r>
              <w:rPr>
                <w:rFonts w:hint="eastAsia" w:ascii="宋体" w:hAnsi="宋体" w:eastAsia="宋体" w:cs="宋体"/>
              </w:rPr>
              <w:t>--制造厂</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7ED230B">
            <w:pPr>
              <w:spacing w:line="400" w:lineRule="exact"/>
              <w:rPr>
                <w:rFonts w:hint="eastAsia" w:ascii="宋体" w:hAnsi="宋体" w:eastAsia="宋体" w:cs="宋体"/>
              </w:rPr>
            </w:pPr>
          </w:p>
        </w:tc>
      </w:tr>
      <w:tr w14:paraId="3D2B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9BDCDE7">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5B6ADC17">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20F229FC">
            <w:pPr>
              <w:spacing w:line="400" w:lineRule="exact"/>
              <w:rPr>
                <w:rFonts w:hint="eastAsia" w:ascii="宋体" w:hAnsi="宋体" w:eastAsia="宋体" w:cs="宋体"/>
              </w:rPr>
            </w:pPr>
          </w:p>
        </w:tc>
      </w:tr>
      <w:tr w14:paraId="26C5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AD5EC39">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0414EE86">
            <w:pPr>
              <w:spacing w:line="400" w:lineRule="exact"/>
              <w:rPr>
                <w:rFonts w:hint="eastAsia" w:ascii="宋体" w:hAnsi="宋体" w:eastAsia="宋体" w:cs="宋体"/>
              </w:rPr>
            </w:pPr>
            <w:r>
              <w:rPr>
                <w:rFonts w:hint="eastAsia" w:ascii="宋体" w:hAnsi="宋体" w:eastAsia="宋体" w:cs="宋体"/>
              </w:rPr>
              <w:t>--主要指标</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E9FD8D0">
            <w:pPr>
              <w:spacing w:line="400" w:lineRule="exact"/>
              <w:rPr>
                <w:rFonts w:hint="eastAsia" w:ascii="宋体" w:hAnsi="宋体" w:eastAsia="宋体" w:cs="宋体"/>
              </w:rPr>
            </w:pPr>
          </w:p>
        </w:tc>
      </w:tr>
      <w:tr w14:paraId="589F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BBA1881">
            <w:pPr>
              <w:spacing w:line="400" w:lineRule="exact"/>
              <w:jc w:val="center"/>
              <w:rPr>
                <w:rFonts w:hint="eastAsia" w:ascii="宋体" w:hAnsi="宋体" w:eastAsia="宋体" w:cs="宋体"/>
              </w:rPr>
            </w:pPr>
            <w:r>
              <w:rPr>
                <w:rFonts w:hint="eastAsia" w:ascii="宋体" w:hAnsi="宋体" w:eastAsia="宋体" w:cs="宋体"/>
              </w:rPr>
              <w:t>9</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5F70C817">
            <w:pPr>
              <w:spacing w:line="400" w:lineRule="exact"/>
              <w:rPr>
                <w:rFonts w:hint="eastAsia" w:ascii="宋体" w:hAnsi="宋体" w:eastAsia="宋体" w:cs="宋体"/>
              </w:rPr>
            </w:pPr>
            <w:r>
              <w:rPr>
                <w:rFonts w:hint="eastAsia" w:ascii="宋体" w:hAnsi="宋体" w:eastAsia="宋体" w:cs="宋体"/>
              </w:rPr>
              <w:t>集成式事故配压阀</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68AC084F">
            <w:pPr>
              <w:spacing w:line="400" w:lineRule="exact"/>
              <w:rPr>
                <w:rFonts w:hint="eastAsia" w:ascii="宋体" w:hAnsi="宋体" w:eastAsia="宋体" w:cs="宋体"/>
                <w:highlight w:val="yellow"/>
              </w:rPr>
            </w:pPr>
          </w:p>
        </w:tc>
      </w:tr>
      <w:tr w14:paraId="3347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420A2ABC">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76EA351D">
            <w:pPr>
              <w:spacing w:line="400" w:lineRule="exact"/>
              <w:rPr>
                <w:rFonts w:hint="eastAsia" w:ascii="宋体" w:hAnsi="宋体" w:eastAsia="宋体" w:cs="宋体"/>
              </w:rPr>
            </w:pPr>
            <w:r>
              <w:rPr>
                <w:rFonts w:hint="eastAsia" w:ascii="宋体" w:hAnsi="宋体" w:eastAsia="宋体" w:cs="宋体"/>
              </w:rPr>
              <w:t>--制造厂</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D08D127">
            <w:pPr>
              <w:spacing w:line="400" w:lineRule="exact"/>
              <w:rPr>
                <w:rFonts w:hint="eastAsia" w:ascii="宋体" w:hAnsi="宋体" w:eastAsia="宋体" w:cs="宋体"/>
                <w:highlight w:val="yellow"/>
              </w:rPr>
            </w:pPr>
          </w:p>
        </w:tc>
      </w:tr>
      <w:tr w14:paraId="3387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98E7E37">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00391F31">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0518431">
            <w:pPr>
              <w:spacing w:line="400" w:lineRule="exact"/>
              <w:rPr>
                <w:rFonts w:hint="eastAsia" w:ascii="宋体" w:hAnsi="宋体" w:eastAsia="宋体" w:cs="宋体"/>
                <w:highlight w:val="yellow"/>
              </w:rPr>
            </w:pPr>
          </w:p>
        </w:tc>
      </w:tr>
      <w:tr w14:paraId="6AA5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44B8ECCB">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1809634A">
            <w:pPr>
              <w:spacing w:line="400" w:lineRule="exact"/>
              <w:rPr>
                <w:rFonts w:hint="eastAsia" w:ascii="宋体" w:hAnsi="宋体" w:eastAsia="宋体" w:cs="宋体"/>
              </w:rPr>
            </w:pPr>
            <w:r>
              <w:rPr>
                <w:rFonts w:hint="eastAsia" w:ascii="宋体" w:hAnsi="宋体" w:eastAsia="宋体" w:cs="宋体"/>
              </w:rPr>
              <w:t>--主要指标</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E93FE53">
            <w:pPr>
              <w:spacing w:line="400" w:lineRule="exact"/>
              <w:rPr>
                <w:rFonts w:hint="eastAsia" w:ascii="宋体" w:hAnsi="宋体" w:eastAsia="宋体" w:cs="宋体"/>
                <w:highlight w:val="yellow"/>
              </w:rPr>
            </w:pPr>
          </w:p>
        </w:tc>
      </w:tr>
      <w:tr w14:paraId="3F52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C2F29AA">
            <w:pPr>
              <w:spacing w:line="400" w:lineRule="exact"/>
              <w:jc w:val="center"/>
              <w:rPr>
                <w:rFonts w:hint="eastAsia" w:ascii="宋体" w:hAnsi="宋体" w:eastAsia="宋体" w:cs="宋体"/>
              </w:rPr>
            </w:pPr>
            <w:r>
              <w:rPr>
                <w:rFonts w:hint="eastAsia" w:ascii="宋体" w:hAnsi="宋体" w:eastAsia="宋体" w:cs="宋体"/>
              </w:rPr>
              <w:t>10</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09ACCCE4">
            <w:pPr>
              <w:spacing w:line="400" w:lineRule="exact"/>
              <w:rPr>
                <w:rFonts w:hint="eastAsia" w:ascii="宋体" w:hAnsi="宋体" w:eastAsia="宋体" w:cs="宋体"/>
              </w:rPr>
            </w:pPr>
            <w:r>
              <w:rPr>
                <w:rFonts w:hint="eastAsia" w:ascii="宋体" w:hAnsi="宋体" w:eastAsia="宋体" w:cs="宋体"/>
              </w:rPr>
              <w:t>测速装置</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C033FDA">
            <w:pPr>
              <w:spacing w:line="400" w:lineRule="exact"/>
              <w:rPr>
                <w:rFonts w:hint="eastAsia" w:ascii="宋体" w:hAnsi="宋体" w:eastAsia="宋体" w:cs="宋体"/>
              </w:rPr>
            </w:pPr>
          </w:p>
        </w:tc>
      </w:tr>
      <w:tr w14:paraId="2771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1FF46AC">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B930C6D">
            <w:pPr>
              <w:spacing w:line="400" w:lineRule="exact"/>
              <w:rPr>
                <w:rFonts w:hint="eastAsia" w:ascii="宋体" w:hAnsi="宋体" w:eastAsia="宋体" w:cs="宋体"/>
              </w:rPr>
            </w:pPr>
            <w:r>
              <w:rPr>
                <w:rFonts w:hint="eastAsia" w:ascii="宋体" w:hAnsi="宋体" w:eastAsia="宋体" w:cs="宋体"/>
              </w:rPr>
              <w:t>--测速方式</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11575739">
            <w:pPr>
              <w:spacing w:line="400" w:lineRule="exact"/>
              <w:rPr>
                <w:rFonts w:hint="eastAsia" w:ascii="宋体" w:hAnsi="宋体" w:eastAsia="宋体" w:cs="宋体"/>
              </w:rPr>
            </w:pPr>
          </w:p>
        </w:tc>
      </w:tr>
      <w:tr w14:paraId="5D87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CBF650B">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79767E1D">
            <w:pPr>
              <w:spacing w:line="400" w:lineRule="exact"/>
              <w:rPr>
                <w:rFonts w:hint="eastAsia" w:ascii="宋体" w:hAnsi="宋体" w:eastAsia="宋体" w:cs="宋体"/>
              </w:rPr>
            </w:pPr>
            <w:r>
              <w:rPr>
                <w:rFonts w:hint="eastAsia" w:ascii="宋体" w:hAnsi="宋体" w:eastAsia="宋体" w:cs="宋体"/>
              </w:rPr>
              <w:t>--测速精度</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363AA3C">
            <w:pPr>
              <w:spacing w:line="400" w:lineRule="exact"/>
              <w:rPr>
                <w:rFonts w:hint="eastAsia" w:ascii="宋体" w:hAnsi="宋体" w:eastAsia="宋体" w:cs="宋体"/>
              </w:rPr>
            </w:pPr>
          </w:p>
        </w:tc>
      </w:tr>
      <w:tr w14:paraId="3444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677534A">
            <w:pPr>
              <w:spacing w:line="400" w:lineRule="exact"/>
              <w:jc w:val="center"/>
              <w:rPr>
                <w:rFonts w:hint="eastAsia" w:ascii="宋体" w:hAnsi="宋体" w:eastAsia="宋体" w:cs="宋体"/>
              </w:rPr>
            </w:pPr>
            <w:r>
              <w:rPr>
                <w:rFonts w:hint="eastAsia" w:ascii="宋体" w:hAnsi="宋体" w:eastAsia="宋体" w:cs="宋体"/>
              </w:rPr>
              <w:t>11</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55E424D2">
            <w:pPr>
              <w:spacing w:line="400" w:lineRule="exact"/>
              <w:rPr>
                <w:rFonts w:hint="eastAsia" w:ascii="宋体" w:hAnsi="宋体" w:eastAsia="宋体" w:cs="宋体"/>
              </w:rPr>
            </w:pPr>
            <w:r>
              <w:rPr>
                <w:rFonts w:hint="eastAsia" w:ascii="宋体" w:hAnsi="宋体" w:eastAsia="宋体" w:cs="宋体"/>
              </w:rPr>
              <w:t>容量及操作油压</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52A3A15">
            <w:pPr>
              <w:spacing w:line="400" w:lineRule="exact"/>
              <w:rPr>
                <w:rFonts w:hint="eastAsia" w:ascii="宋体" w:hAnsi="宋体" w:eastAsia="宋体" w:cs="宋体"/>
              </w:rPr>
            </w:pPr>
          </w:p>
        </w:tc>
      </w:tr>
      <w:tr w14:paraId="3DA7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00DE1F2">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666F061">
            <w:pPr>
              <w:spacing w:line="400" w:lineRule="exact"/>
              <w:rPr>
                <w:rFonts w:hint="eastAsia" w:ascii="宋体" w:hAnsi="宋体" w:eastAsia="宋体" w:cs="宋体"/>
              </w:rPr>
            </w:pPr>
            <w:r>
              <w:rPr>
                <w:rFonts w:hint="eastAsia" w:ascii="宋体" w:hAnsi="宋体" w:eastAsia="宋体" w:cs="宋体"/>
              </w:rPr>
              <w:t>--主配压阀直径（mm）</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4070AC5">
            <w:pPr>
              <w:spacing w:line="400" w:lineRule="exact"/>
              <w:rPr>
                <w:rFonts w:hint="eastAsia" w:ascii="宋体" w:hAnsi="宋体" w:eastAsia="宋体" w:cs="宋体"/>
              </w:rPr>
            </w:pPr>
          </w:p>
        </w:tc>
      </w:tr>
      <w:tr w14:paraId="2C3D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BD62A3E">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4070AD3">
            <w:pPr>
              <w:spacing w:line="400" w:lineRule="exact"/>
              <w:rPr>
                <w:rFonts w:hint="eastAsia" w:ascii="宋体" w:hAnsi="宋体" w:eastAsia="宋体" w:cs="宋体"/>
              </w:rPr>
            </w:pPr>
            <w:r>
              <w:rPr>
                <w:rFonts w:hint="eastAsia" w:ascii="宋体" w:hAnsi="宋体" w:eastAsia="宋体" w:cs="宋体"/>
              </w:rPr>
              <w:t>--调速系统的保证容量不小于（kgf.m）</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D2060B9">
            <w:pPr>
              <w:spacing w:line="400" w:lineRule="exact"/>
              <w:rPr>
                <w:rFonts w:hint="eastAsia" w:ascii="宋体" w:hAnsi="宋体" w:eastAsia="宋体" w:cs="宋体"/>
              </w:rPr>
            </w:pPr>
          </w:p>
        </w:tc>
      </w:tr>
      <w:tr w14:paraId="75E6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1F7C85D">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502209D6">
            <w:pPr>
              <w:spacing w:line="400" w:lineRule="exact"/>
              <w:rPr>
                <w:rFonts w:hint="eastAsia" w:ascii="宋体" w:hAnsi="宋体" w:eastAsia="宋体" w:cs="宋体"/>
              </w:rPr>
            </w:pPr>
            <w:r>
              <w:rPr>
                <w:rFonts w:hint="eastAsia" w:ascii="宋体" w:hAnsi="宋体" w:eastAsia="宋体" w:cs="宋体"/>
              </w:rPr>
              <w:t>--工作油压</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6B7B1B54">
            <w:pPr>
              <w:spacing w:line="400" w:lineRule="exact"/>
              <w:rPr>
                <w:rFonts w:hint="eastAsia" w:ascii="宋体" w:hAnsi="宋体" w:eastAsia="宋体" w:cs="宋体"/>
              </w:rPr>
            </w:pPr>
          </w:p>
        </w:tc>
      </w:tr>
      <w:tr w14:paraId="2D61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5C977FD">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145719DC">
            <w:pPr>
              <w:spacing w:line="400" w:lineRule="exact"/>
              <w:rPr>
                <w:rFonts w:hint="eastAsia" w:ascii="宋体" w:hAnsi="宋体" w:eastAsia="宋体" w:cs="宋体"/>
              </w:rPr>
            </w:pPr>
            <w:r>
              <w:rPr>
                <w:rFonts w:hint="eastAsia" w:ascii="宋体" w:hAnsi="宋体" w:eastAsia="宋体" w:cs="宋体"/>
              </w:rPr>
              <w:t>--最高油压（MPa）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2AB4283E">
            <w:pPr>
              <w:spacing w:line="400" w:lineRule="exact"/>
              <w:rPr>
                <w:rFonts w:hint="eastAsia" w:ascii="宋体" w:hAnsi="宋体" w:eastAsia="宋体" w:cs="宋体"/>
              </w:rPr>
            </w:pPr>
          </w:p>
        </w:tc>
      </w:tr>
      <w:tr w14:paraId="628D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984C234">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1CC16B5A">
            <w:pPr>
              <w:spacing w:line="400" w:lineRule="exact"/>
              <w:rPr>
                <w:rFonts w:hint="eastAsia" w:ascii="宋体" w:hAnsi="宋体" w:eastAsia="宋体" w:cs="宋体"/>
              </w:rPr>
            </w:pPr>
            <w:r>
              <w:rPr>
                <w:rFonts w:hint="eastAsia" w:ascii="宋体" w:hAnsi="宋体" w:eastAsia="宋体" w:cs="宋体"/>
              </w:rPr>
              <w:t>--正常工作油压（MPa）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8151207">
            <w:pPr>
              <w:spacing w:line="400" w:lineRule="exact"/>
              <w:rPr>
                <w:rFonts w:hint="eastAsia" w:ascii="宋体" w:hAnsi="宋体" w:eastAsia="宋体" w:cs="宋体"/>
              </w:rPr>
            </w:pPr>
          </w:p>
        </w:tc>
      </w:tr>
      <w:tr w14:paraId="6AEC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58C9D71">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0FD4CB65">
            <w:pPr>
              <w:spacing w:line="400" w:lineRule="exact"/>
              <w:rPr>
                <w:rFonts w:hint="eastAsia" w:ascii="宋体" w:hAnsi="宋体" w:eastAsia="宋体" w:cs="宋体"/>
              </w:rPr>
            </w:pPr>
            <w:r>
              <w:rPr>
                <w:rFonts w:hint="eastAsia" w:ascii="宋体" w:hAnsi="宋体" w:eastAsia="宋体" w:cs="宋体"/>
              </w:rPr>
              <w:t>--最小操作油压（MPa）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594D44D">
            <w:pPr>
              <w:spacing w:line="400" w:lineRule="exact"/>
              <w:rPr>
                <w:rFonts w:hint="eastAsia" w:ascii="宋体" w:hAnsi="宋体" w:eastAsia="宋体" w:cs="宋体"/>
              </w:rPr>
            </w:pPr>
          </w:p>
        </w:tc>
      </w:tr>
      <w:tr w14:paraId="2A1D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489EBC7">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10AA3117">
            <w:pPr>
              <w:spacing w:line="400" w:lineRule="exact"/>
              <w:rPr>
                <w:rFonts w:hint="eastAsia" w:ascii="宋体" w:hAnsi="宋体" w:eastAsia="宋体" w:cs="宋体"/>
              </w:rPr>
            </w:pPr>
            <w:r>
              <w:rPr>
                <w:rFonts w:hint="eastAsia" w:ascii="宋体" w:hAnsi="宋体" w:eastAsia="宋体" w:cs="宋体"/>
              </w:rPr>
              <w:t>--事故低油压（MPa）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1D76D63">
            <w:pPr>
              <w:spacing w:line="400" w:lineRule="exact"/>
              <w:rPr>
                <w:rFonts w:hint="eastAsia" w:ascii="宋体" w:hAnsi="宋体" w:eastAsia="宋体" w:cs="宋体"/>
              </w:rPr>
            </w:pPr>
          </w:p>
        </w:tc>
      </w:tr>
      <w:tr w14:paraId="204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83D0CBB">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63153F9">
            <w:pPr>
              <w:spacing w:line="400" w:lineRule="exact"/>
              <w:rPr>
                <w:rFonts w:hint="eastAsia" w:ascii="宋体" w:hAnsi="宋体" w:eastAsia="宋体" w:cs="宋体"/>
              </w:rPr>
            </w:pPr>
            <w:r>
              <w:rPr>
                <w:rFonts w:hint="eastAsia" w:ascii="宋体" w:hAnsi="宋体" w:eastAsia="宋体" w:cs="宋体"/>
              </w:rPr>
              <w:t>--操作油管中油的流速（m/s）</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67E864A8">
            <w:pPr>
              <w:spacing w:line="400" w:lineRule="exact"/>
              <w:rPr>
                <w:rFonts w:hint="eastAsia" w:ascii="宋体" w:hAnsi="宋体" w:eastAsia="宋体" w:cs="宋体"/>
              </w:rPr>
            </w:pPr>
          </w:p>
        </w:tc>
      </w:tr>
      <w:tr w14:paraId="065E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664E725">
            <w:pPr>
              <w:spacing w:line="400" w:lineRule="exact"/>
              <w:jc w:val="center"/>
              <w:rPr>
                <w:rFonts w:hint="eastAsia" w:ascii="宋体" w:hAnsi="宋体" w:eastAsia="宋体" w:cs="宋体"/>
              </w:rPr>
            </w:pPr>
            <w:r>
              <w:rPr>
                <w:rFonts w:hint="eastAsia" w:ascii="宋体" w:hAnsi="宋体" w:eastAsia="宋体" w:cs="宋体"/>
              </w:rPr>
              <w:t>12</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7990F828">
            <w:pPr>
              <w:spacing w:line="400" w:lineRule="exact"/>
              <w:rPr>
                <w:rFonts w:hint="eastAsia" w:ascii="宋体" w:hAnsi="宋体" w:eastAsia="宋体" w:cs="宋体"/>
              </w:rPr>
            </w:pPr>
            <w:r>
              <w:rPr>
                <w:rFonts w:hint="eastAsia" w:ascii="宋体" w:hAnsi="宋体" w:eastAsia="宋体" w:cs="宋体"/>
              </w:rPr>
              <w:t>调速器电气机械柜</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2A17971">
            <w:pPr>
              <w:spacing w:line="400" w:lineRule="exact"/>
              <w:rPr>
                <w:rFonts w:hint="eastAsia" w:ascii="宋体" w:hAnsi="宋体" w:eastAsia="宋体" w:cs="宋体"/>
              </w:rPr>
            </w:pPr>
          </w:p>
        </w:tc>
      </w:tr>
      <w:tr w14:paraId="7FE5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34FE2F9F">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75277171">
            <w:pPr>
              <w:spacing w:line="400" w:lineRule="exact"/>
              <w:rPr>
                <w:rFonts w:hint="eastAsia" w:ascii="宋体" w:hAnsi="宋体" w:eastAsia="宋体" w:cs="宋体"/>
              </w:rPr>
            </w:pPr>
            <w:r>
              <w:rPr>
                <w:rFonts w:hint="eastAsia" w:ascii="宋体" w:hAnsi="宋体" w:eastAsia="宋体" w:cs="宋体"/>
              </w:rPr>
              <w:t>--柜体尺寸（长×宽×高）（mm）</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CA9B164">
            <w:pPr>
              <w:spacing w:line="400" w:lineRule="exact"/>
              <w:rPr>
                <w:rFonts w:hint="eastAsia" w:ascii="宋体" w:hAnsi="宋体" w:eastAsia="宋体" w:cs="宋体"/>
              </w:rPr>
            </w:pPr>
          </w:p>
        </w:tc>
      </w:tr>
      <w:tr w14:paraId="4631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D57A580">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5DAFA90">
            <w:pPr>
              <w:spacing w:line="400" w:lineRule="exact"/>
              <w:rPr>
                <w:rFonts w:hint="eastAsia" w:ascii="宋体" w:hAnsi="宋体" w:eastAsia="宋体" w:cs="宋体"/>
              </w:rPr>
            </w:pPr>
            <w:r>
              <w:rPr>
                <w:rFonts w:hint="eastAsia" w:ascii="宋体" w:hAnsi="宋体" w:eastAsia="宋体" w:cs="宋体"/>
              </w:rPr>
              <w:t>--单柜重量（kg）</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119CB7C6">
            <w:pPr>
              <w:spacing w:line="400" w:lineRule="exact"/>
              <w:rPr>
                <w:rFonts w:hint="eastAsia" w:ascii="宋体" w:hAnsi="宋体" w:eastAsia="宋体" w:cs="宋体"/>
              </w:rPr>
            </w:pPr>
          </w:p>
        </w:tc>
      </w:tr>
      <w:tr w14:paraId="2641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1851A35">
            <w:pPr>
              <w:spacing w:line="400" w:lineRule="exact"/>
              <w:jc w:val="center"/>
              <w:rPr>
                <w:rFonts w:hint="eastAsia" w:ascii="宋体" w:hAnsi="宋体" w:eastAsia="宋体" w:cs="宋体"/>
              </w:rPr>
            </w:pPr>
            <w:r>
              <w:rPr>
                <w:rFonts w:hint="eastAsia" w:ascii="宋体" w:hAnsi="宋体" w:eastAsia="宋体" w:cs="宋体"/>
              </w:rPr>
              <w:t>二</w:t>
            </w:r>
          </w:p>
        </w:tc>
        <w:tc>
          <w:tcPr>
            <w:tcW w:w="8027" w:type="dxa"/>
            <w:gridSpan w:val="2"/>
            <w:tcBorders>
              <w:top w:val="single" w:color="auto" w:sz="4" w:space="0"/>
              <w:left w:val="single" w:color="auto" w:sz="4" w:space="0"/>
              <w:bottom w:val="single" w:color="auto" w:sz="4" w:space="0"/>
              <w:right w:val="single" w:color="auto" w:sz="4" w:space="0"/>
            </w:tcBorders>
            <w:noWrap w:val="0"/>
            <w:vAlign w:val="top"/>
          </w:tcPr>
          <w:p w14:paraId="729F84E8">
            <w:pPr>
              <w:spacing w:line="400" w:lineRule="exact"/>
              <w:rPr>
                <w:rFonts w:hint="eastAsia" w:ascii="宋体" w:hAnsi="宋体" w:eastAsia="宋体" w:cs="宋体"/>
              </w:rPr>
            </w:pPr>
            <w:r>
              <w:rPr>
                <w:rFonts w:hint="eastAsia" w:ascii="宋体" w:hAnsi="宋体" w:eastAsia="宋体" w:cs="宋体"/>
              </w:rPr>
              <w:t>油压装置</w:t>
            </w:r>
          </w:p>
        </w:tc>
      </w:tr>
      <w:tr w14:paraId="211B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48D7CDDC">
            <w:pPr>
              <w:spacing w:line="400" w:lineRule="exact"/>
              <w:jc w:val="center"/>
              <w:rPr>
                <w:rFonts w:hint="eastAsia" w:ascii="宋体" w:hAnsi="宋体" w:eastAsia="宋体" w:cs="宋体"/>
              </w:rPr>
            </w:pPr>
            <w:r>
              <w:rPr>
                <w:rFonts w:hint="eastAsia" w:ascii="宋体" w:hAnsi="宋体" w:eastAsia="宋体" w:cs="宋体"/>
              </w:rPr>
              <w:t>1</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759F8D1A">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624B1D49">
            <w:pPr>
              <w:spacing w:line="400" w:lineRule="exact"/>
              <w:rPr>
                <w:rFonts w:hint="eastAsia" w:ascii="宋体" w:hAnsi="宋体" w:eastAsia="宋体" w:cs="宋体"/>
              </w:rPr>
            </w:pPr>
          </w:p>
        </w:tc>
      </w:tr>
      <w:tr w14:paraId="61F2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9FE1C6F">
            <w:pPr>
              <w:spacing w:line="400" w:lineRule="exact"/>
              <w:jc w:val="center"/>
              <w:rPr>
                <w:rFonts w:hint="eastAsia" w:ascii="宋体" w:hAnsi="宋体" w:eastAsia="宋体" w:cs="宋体"/>
              </w:rPr>
            </w:pPr>
            <w:r>
              <w:rPr>
                <w:rFonts w:hint="eastAsia" w:ascii="宋体" w:hAnsi="宋体" w:eastAsia="宋体" w:cs="宋体"/>
              </w:rPr>
              <w:t>2</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01382EFE">
            <w:pPr>
              <w:spacing w:line="400" w:lineRule="exact"/>
              <w:rPr>
                <w:rFonts w:hint="eastAsia" w:ascii="宋体" w:hAnsi="宋体" w:eastAsia="宋体" w:cs="宋体"/>
              </w:rPr>
            </w:pPr>
            <w:r>
              <w:rPr>
                <w:rFonts w:hint="eastAsia" w:ascii="宋体" w:hAnsi="宋体" w:eastAsia="宋体" w:cs="宋体"/>
              </w:rPr>
              <w:t>囊式蓄能器</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F680EAD">
            <w:pPr>
              <w:spacing w:line="400" w:lineRule="exact"/>
              <w:rPr>
                <w:rFonts w:hint="eastAsia" w:ascii="宋体" w:hAnsi="宋体" w:eastAsia="宋体" w:cs="宋体"/>
              </w:rPr>
            </w:pPr>
          </w:p>
        </w:tc>
      </w:tr>
      <w:tr w14:paraId="481D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04CEBFD">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673713E">
            <w:pPr>
              <w:spacing w:line="400" w:lineRule="exact"/>
              <w:rPr>
                <w:rFonts w:hint="eastAsia" w:ascii="宋体" w:hAnsi="宋体" w:eastAsia="宋体" w:cs="宋体"/>
              </w:rPr>
            </w:pPr>
            <w:r>
              <w:rPr>
                <w:rFonts w:hint="eastAsia" w:ascii="宋体" w:hAnsi="宋体" w:eastAsia="宋体" w:cs="宋体"/>
              </w:rPr>
              <w:t>--材料</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B4BBB57">
            <w:pPr>
              <w:spacing w:line="400" w:lineRule="exact"/>
              <w:rPr>
                <w:rFonts w:hint="eastAsia" w:ascii="宋体" w:hAnsi="宋体" w:eastAsia="宋体" w:cs="宋体"/>
              </w:rPr>
            </w:pPr>
          </w:p>
        </w:tc>
      </w:tr>
      <w:tr w14:paraId="1AA7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3D12EF04">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D32B9E2">
            <w:pPr>
              <w:spacing w:line="400" w:lineRule="exact"/>
              <w:rPr>
                <w:rFonts w:hint="eastAsia" w:ascii="宋体" w:hAnsi="宋体" w:eastAsia="宋体" w:cs="宋体"/>
              </w:rPr>
            </w:pPr>
            <w:r>
              <w:rPr>
                <w:rFonts w:hint="eastAsia" w:ascii="宋体" w:hAnsi="宋体" w:eastAsia="宋体" w:cs="宋体"/>
              </w:rPr>
              <w:t>--最大材料许用应力（MPa）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6F145F61">
            <w:pPr>
              <w:spacing w:line="400" w:lineRule="exact"/>
              <w:rPr>
                <w:rFonts w:hint="eastAsia" w:ascii="宋体" w:hAnsi="宋体" w:eastAsia="宋体" w:cs="宋体"/>
              </w:rPr>
            </w:pPr>
          </w:p>
        </w:tc>
      </w:tr>
      <w:tr w14:paraId="6B82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347B7597">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056B009E">
            <w:pPr>
              <w:spacing w:line="400" w:lineRule="exact"/>
              <w:rPr>
                <w:rFonts w:hint="eastAsia" w:ascii="宋体" w:hAnsi="宋体" w:eastAsia="宋体" w:cs="宋体"/>
              </w:rPr>
            </w:pPr>
            <w:r>
              <w:rPr>
                <w:rFonts w:hint="eastAsia" w:ascii="宋体" w:hAnsi="宋体" w:eastAsia="宋体" w:cs="宋体"/>
              </w:rPr>
              <w:t>--尺寸（直径×高）mm</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D4A665F">
            <w:pPr>
              <w:spacing w:line="400" w:lineRule="exact"/>
              <w:rPr>
                <w:rFonts w:hint="eastAsia" w:ascii="宋体" w:hAnsi="宋体" w:eastAsia="宋体" w:cs="宋体"/>
              </w:rPr>
            </w:pPr>
          </w:p>
        </w:tc>
      </w:tr>
      <w:tr w14:paraId="0ED1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3A4D94D3">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4BB2335">
            <w:pPr>
              <w:spacing w:line="400" w:lineRule="exact"/>
              <w:rPr>
                <w:rFonts w:hint="eastAsia" w:ascii="宋体" w:hAnsi="宋体" w:eastAsia="宋体" w:cs="宋体"/>
              </w:rPr>
            </w:pPr>
            <w:r>
              <w:rPr>
                <w:rFonts w:hint="eastAsia" w:ascii="宋体" w:hAnsi="宋体" w:eastAsia="宋体" w:cs="宋体"/>
              </w:rPr>
              <w:t>--重量（t）</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23D3152C">
            <w:pPr>
              <w:spacing w:line="400" w:lineRule="exact"/>
              <w:rPr>
                <w:rFonts w:hint="eastAsia" w:ascii="宋体" w:hAnsi="宋体" w:eastAsia="宋体" w:cs="宋体"/>
              </w:rPr>
            </w:pPr>
          </w:p>
        </w:tc>
      </w:tr>
      <w:tr w14:paraId="6CA1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F132B4D">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0220B60">
            <w:pPr>
              <w:spacing w:line="400" w:lineRule="exact"/>
              <w:rPr>
                <w:rFonts w:hint="eastAsia" w:ascii="宋体" w:hAnsi="宋体" w:eastAsia="宋体" w:cs="宋体"/>
              </w:rPr>
            </w:pPr>
            <w:r>
              <w:rPr>
                <w:rFonts w:hint="eastAsia" w:ascii="宋体" w:hAnsi="宋体" w:eastAsia="宋体" w:cs="宋体"/>
              </w:rPr>
              <w:t>--总容积（m</w:t>
            </w:r>
            <w:r>
              <w:rPr>
                <w:rFonts w:hint="eastAsia" w:ascii="宋体" w:hAnsi="宋体" w:eastAsia="宋体" w:cs="宋体"/>
                <w:vertAlign w:val="superscript"/>
              </w:rPr>
              <w:t>3</w:t>
            </w:r>
            <w:r>
              <w:rPr>
                <w:rFonts w:hint="eastAsia" w:ascii="宋体" w:hAnsi="宋体" w:eastAsia="宋体" w:cs="宋体"/>
              </w:rPr>
              <w:t>）</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24AB927E">
            <w:pPr>
              <w:spacing w:line="400" w:lineRule="exact"/>
              <w:rPr>
                <w:rFonts w:hint="eastAsia" w:ascii="宋体" w:hAnsi="宋体" w:eastAsia="宋体" w:cs="宋体"/>
              </w:rPr>
            </w:pPr>
          </w:p>
        </w:tc>
      </w:tr>
      <w:tr w14:paraId="505A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40784ED3">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2A5A331E">
            <w:pPr>
              <w:spacing w:line="400" w:lineRule="exact"/>
              <w:rPr>
                <w:rFonts w:hint="eastAsia" w:ascii="宋体" w:hAnsi="宋体" w:eastAsia="宋体" w:cs="宋体"/>
              </w:rPr>
            </w:pPr>
            <w:r>
              <w:rPr>
                <w:rFonts w:hint="eastAsia" w:ascii="宋体" w:hAnsi="宋体" w:eastAsia="宋体" w:cs="宋体"/>
              </w:rPr>
              <w:t>--囊式蓄能器中油的容积（m</w:t>
            </w:r>
            <w:r>
              <w:rPr>
                <w:rFonts w:hint="eastAsia" w:ascii="宋体" w:hAnsi="宋体" w:eastAsia="宋体" w:cs="宋体"/>
                <w:vertAlign w:val="superscript"/>
              </w:rPr>
              <w:t>3</w:t>
            </w:r>
            <w:r>
              <w:rPr>
                <w:rFonts w:hint="eastAsia" w:ascii="宋体" w:hAnsi="宋体" w:eastAsia="宋体" w:cs="宋体"/>
              </w:rPr>
              <w:t>）</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AFEB6AE">
            <w:pPr>
              <w:spacing w:line="400" w:lineRule="exact"/>
              <w:rPr>
                <w:rFonts w:hint="eastAsia" w:ascii="宋体" w:hAnsi="宋体" w:eastAsia="宋体" w:cs="宋体"/>
              </w:rPr>
            </w:pPr>
          </w:p>
        </w:tc>
      </w:tr>
      <w:tr w14:paraId="53A9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3ABFAE28">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A7615F5">
            <w:pPr>
              <w:spacing w:line="400" w:lineRule="exact"/>
              <w:rPr>
                <w:rFonts w:hint="eastAsia" w:ascii="宋体" w:hAnsi="宋体" w:eastAsia="宋体" w:cs="宋体"/>
              </w:rPr>
            </w:pPr>
            <w:r>
              <w:rPr>
                <w:rFonts w:hint="eastAsia" w:ascii="宋体" w:hAnsi="宋体" w:eastAsia="宋体" w:cs="宋体"/>
              </w:rPr>
              <w:t>--正常工作油压（MPa）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6E804862">
            <w:pPr>
              <w:spacing w:line="400" w:lineRule="exact"/>
              <w:rPr>
                <w:rFonts w:hint="eastAsia" w:ascii="宋体" w:hAnsi="宋体" w:eastAsia="宋体" w:cs="宋体"/>
              </w:rPr>
            </w:pPr>
          </w:p>
        </w:tc>
      </w:tr>
      <w:tr w14:paraId="73E2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2E96464">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94ACEF9">
            <w:pPr>
              <w:spacing w:line="400" w:lineRule="exact"/>
              <w:rPr>
                <w:rFonts w:hint="eastAsia" w:ascii="宋体" w:hAnsi="宋体" w:eastAsia="宋体" w:cs="宋体"/>
              </w:rPr>
            </w:pPr>
            <w:r>
              <w:rPr>
                <w:rFonts w:hint="eastAsia" w:ascii="宋体" w:hAnsi="宋体" w:eastAsia="宋体" w:cs="宋体"/>
              </w:rPr>
              <w:t>--设计压力（MPa）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C4C800C">
            <w:pPr>
              <w:spacing w:line="400" w:lineRule="exact"/>
              <w:rPr>
                <w:rFonts w:hint="eastAsia" w:ascii="宋体" w:hAnsi="宋体" w:eastAsia="宋体" w:cs="宋体"/>
              </w:rPr>
            </w:pPr>
          </w:p>
        </w:tc>
      </w:tr>
      <w:tr w14:paraId="26DC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25584C0">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C9B16F9">
            <w:pPr>
              <w:spacing w:line="400" w:lineRule="exact"/>
              <w:rPr>
                <w:rFonts w:hint="eastAsia" w:ascii="宋体" w:hAnsi="宋体" w:eastAsia="宋体" w:cs="宋体"/>
              </w:rPr>
            </w:pPr>
            <w:r>
              <w:rPr>
                <w:rFonts w:hint="eastAsia" w:ascii="宋体" w:hAnsi="宋体" w:eastAsia="宋体" w:cs="宋体"/>
              </w:rPr>
              <w:t>--试验压力（MPa）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6CC3318B">
            <w:pPr>
              <w:spacing w:line="400" w:lineRule="exact"/>
              <w:rPr>
                <w:rFonts w:hint="eastAsia" w:ascii="宋体" w:hAnsi="宋体" w:eastAsia="宋体" w:cs="宋体"/>
              </w:rPr>
            </w:pPr>
          </w:p>
        </w:tc>
      </w:tr>
      <w:tr w14:paraId="0746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49180221">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8C3C4F4">
            <w:pPr>
              <w:spacing w:line="400" w:lineRule="exact"/>
              <w:rPr>
                <w:rFonts w:hint="eastAsia" w:ascii="宋体" w:hAnsi="宋体" w:eastAsia="宋体" w:cs="宋体"/>
              </w:rPr>
            </w:pPr>
            <w:r>
              <w:rPr>
                <w:rFonts w:hint="eastAsia" w:ascii="宋体" w:hAnsi="宋体" w:eastAsia="宋体" w:cs="宋体"/>
              </w:rPr>
              <w:t>--试验时间（min）</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34DBEF7">
            <w:pPr>
              <w:spacing w:line="400" w:lineRule="exact"/>
              <w:rPr>
                <w:rFonts w:hint="eastAsia" w:ascii="宋体" w:hAnsi="宋体" w:eastAsia="宋体" w:cs="宋体"/>
              </w:rPr>
            </w:pPr>
          </w:p>
        </w:tc>
      </w:tr>
      <w:tr w14:paraId="2A78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BDFC4C7">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7C915F63">
            <w:pPr>
              <w:spacing w:line="400" w:lineRule="exact"/>
              <w:rPr>
                <w:rFonts w:hint="eastAsia" w:ascii="宋体" w:hAnsi="宋体" w:eastAsia="宋体" w:cs="宋体"/>
              </w:rPr>
            </w:pPr>
            <w:r>
              <w:rPr>
                <w:rFonts w:hint="eastAsia" w:ascii="宋体" w:hAnsi="宋体" w:eastAsia="宋体" w:cs="宋体"/>
              </w:rPr>
              <w:t>--安全阀：</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428FD1D">
            <w:pPr>
              <w:spacing w:line="400" w:lineRule="exact"/>
              <w:rPr>
                <w:rFonts w:hint="eastAsia" w:ascii="宋体" w:hAnsi="宋体" w:eastAsia="宋体" w:cs="宋体"/>
              </w:rPr>
            </w:pPr>
          </w:p>
        </w:tc>
      </w:tr>
      <w:tr w14:paraId="1B12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F01977E">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2F30D46B">
            <w:pPr>
              <w:spacing w:line="400" w:lineRule="exact"/>
              <w:rPr>
                <w:rFonts w:hint="eastAsia" w:ascii="宋体" w:hAnsi="宋体" w:eastAsia="宋体" w:cs="宋体"/>
              </w:rPr>
            </w:pPr>
            <w:r>
              <w:rPr>
                <w:rFonts w:hint="eastAsia" w:ascii="宋体" w:hAnsi="宋体" w:eastAsia="宋体" w:cs="宋体"/>
              </w:rPr>
              <w:t>--安全阀型号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273CEE67">
            <w:pPr>
              <w:spacing w:line="400" w:lineRule="exact"/>
              <w:rPr>
                <w:rFonts w:hint="eastAsia" w:ascii="宋体" w:hAnsi="宋体" w:eastAsia="宋体" w:cs="宋体"/>
              </w:rPr>
            </w:pPr>
          </w:p>
        </w:tc>
      </w:tr>
      <w:tr w14:paraId="109C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1308FB6">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5967E06C">
            <w:pPr>
              <w:spacing w:line="400" w:lineRule="exact"/>
              <w:rPr>
                <w:rFonts w:hint="eastAsia" w:ascii="宋体" w:hAnsi="宋体" w:eastAsia="宋体" w:cs="宋体"/>
              </w:rPr>
            </w:pPr>
            <w:r>
              <w:rPr>
                <w:rFonts w:hint="eastAsia" w:ascii="宋体" w:hAnsi="宋体" w:eastAsia="宋体" w:cs="宋体"/>
              </w:rPr>
              <w:t>--安全阀开启压力（MPa）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EB9D105">
            <w:pPr>
              <w:spacing w:line="400" w:lineRule="exact"/>
              <w:rPr>
                <w:rFonts w:hint="eastAsia" w:ascii="宋体" w:hAnsi="宋体" w:eastAsia="宋体" w:cs="宋体"/>
              </w:rPr>
            </w:pPr>
          </w:p>
        </w:tc>
      </w:tr>
      <w:tr w14:paraId="72D9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73212A2">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2E87C358">
            <w:pPr>
              <w:spacing w:line="400" w:lineRule="exact"/>
              <w:rPr>
                <w:rFonts w:hint="eastAsia" w:ascii="宋体" w:hAnsi="宋体" w:eastAsia="宋体" w:cs="宋体"/>
              </w:rPr>
            </w:pPr>
            <w:r>
              <w:rPr>
                <w:rFonts w:hint="eastAsia" w:ascii="宋体" w:hAnsi="宋体" w:eastAsia="宋体" w:cs="宋体"/>
              </w:rPr>
              <w:t>--安全阀回座压力（MPa）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2D10972C">
            <w:pPr>
              <w:spacing w:line="400" w:lineRule="exact"/>
              <w:rPr>
                <w:rFonts w:hint="eastAsia" w:ascii="宋体" w:hAnsi="宋体" w:eastAsia="宋体" w:cs="宋体"/>
              </w:rPr>
            </w:pPr>
          </w:p>
        </w:tc>
      </w:tr>
      <w:tr w14:paraId="02C5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18C4092">
            <w:pPr>
              <w:spacing w:line="400" w:lineRule="exact"/>
              <w:jc w:val="center"/>
              <w:rPr>
                <w:rFonts w:hint="eastAsia" w:ascii="宋体" w:hAnsi="宋体" w:eastAsia="宋体" w:cs="宋体"/>
              </w:rPr>
            </w:pPr>
            <w:r>
              <w:rPr>
                <w:rFonts w:hint="eastAsia" w:ascii="宋体" w:hAnsi="宋体" w:eastAsia="宋体" w:cs="宋体"/>
              </w:rPr>
              <w:t>3</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7DAFC76D">
            <w:pPr>
              <w:spacing w:line="400" w:lineRule="exact"/>
              <w:rPr>
                <w:rFonts w:hint="eastAsia" w:ascii="宋体" w:hAnsi="宋体" w:eastAsia="宋体" w:cs="宋体"/>
              </w:rPr>
            </w:pPr>
            <w:r>
              <w:rPr>
                <w:rFonts w:hint="eastAsia" w:ascii="宋体" w:hAnsi="宋体" w:eastAsia="宋体" w:cs="宋体"/>
              </w:rPr>
              <w:t>回油箱：</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5DE88D2">
            <w:pPr>
              <w:spacing w:line="400" w:lineRule="exact"/>
              <w:rPr>
                <w:rFonts w:hint="eastAsia" w:ascii="宋体" w:hAnsi="宋体" w:eastAsia="宋体" w:cs="宋体"/>
              </w:rPr>
            </w:pPr>
          </w:p>
        </w:tc>
      </w:tr>
      <w:tr w14:paraId="483F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A2A0AB1">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0E31AE73">
            <w:pPr>
              <w:spacing w:line="400" w:lineRule="exact"/>
              <w:rPr>
                <w:rFonts w:hint="eastAsia" w:ascii="宋体" w:hAnsi="宋体" w:eastAsia="宋体" w:cs="宋体"/>
              </w:rPr>
            </w:pPr>
            <w:r>
              <w:rPr>
                <w:rFonts w:hint="eastAsia" w:ascii="宋体" w:hAnsi="宋体" w:eastAsia="宋体" w:cs="宋体"/>
              </w:rPr>
              <w:t>--材料</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21BFD906">
            <w:pPr>
              <w:spacing w:line="400" w:lineRule="exact"/>
              <w:rPr>
                <w:rFonts w:hint="eastAsia" w:ascii="宋体" w:hAnsi="宋体" w:eastAsia="宋体" w:cs="宋体"/>
              </w:rPr>
            </w:pPr>
          </w:p>
        </w:tc>
      </w:tr>
      <w:tr w14:paraId="407C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C1CEA9F">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20C09C35">
            <w:pPr>
              <w:spacing w:line="400" w:lineRule="exact"/>
              <w:rPr>
                <w:rFonts w:hint="eastAsia" w:ascii="宋体" w:hAnsi="宋体" w:eastAsia="宋体" w:cs="宋体"/>
              </w:rPr>
            </w:pPr>
            <w:r>
              <w:rPr>
                <w:rFonts w:hint="eastAsia" w:ascii="宋体" w:hAnsi="宋体" w:eastAsia="宋体" w:cs="宋体"/>
              </w:rPr>
              <w:t>--最大许用应力（MPa）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EC3544A">
            <w:pPr>
              <w:spacing w:line="400" w:lineRule="exact"/>
              <w:rPr>
                <w:rFonts w:hint="eastAsia" w:ascii="宋体" w:hAnsi="宋体" w:eastAsia="宋体" w:cs="宋体"/>
              </w:rPr>
            </w:pPr>
          </w:p>
        </w:tc>
      </w:tr>
      <w:tr w14:paraId="5017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6BCD247">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E2BA9F3">
            <w:pPr>
              <w:spacing w:line="400" w:lineRule="exact"/>
              <w:rPr>
                <w:rFonts w:hint="eastAsia" w:ascii="宋体" w:hAnsi="宋体" w:eastAsia="宋体" w:cs="宋体"/>
              </w:rPr>
            </w:pPr>
            <w:r>
              <w:rPr>
                <w:rFonts w:hint="eastAsia" w:ascii="宋体" w:hAnsi="宋体" w:eastAsia="宋体" w:cs="宋体"/>
              </w:rPr>
              <w:t>--尺寸（长×宽×高）（mm）</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1229A36">
            <w:pPr>
              <w:spacing w:line="400" w:lineRule="exact"/>
              <w:rPr>
                <w:rFonts w:hint="eastAsia" w:ascii="宋体" w:hAnsi="宋体" w:eastAsia="宋体" w:cs="宋体"/>
              </w:rPr>
            </w:pPr>
          </w:p>
        </w:tc>
      </w:tr>
      <w:tr w14:paraId="3C95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495B1C0E">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B74A28E">
            <w:pPr>
              <w:spacing w:line="400" w:lineRule="exact"/>
              <w:rPr>
                <w:rFonts w:hint="eastAsia" w:ascii="宋体" w:hAnsi="宋体" w:eastAsia="宋体" w:cs="宋体"/>
              </w:rPr>
            </w:pPr>
            <w:r>
              <w:rPr>
                <w:rFonts w:hint="eastAsia" w:ascii="宋体" w:hAnsi="宋体" w:eastAsia="宋体" w:cs="宋体"/>
              </w:rPr>
              <w:t>--重量（t）</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EA93E5C">
            <w:pPr>
              <w:spacing w:line="400" w:lineRule="exact"/>
              <w:rPr>
                <w:rFonts w:hint="eastAsia" w:ascii="宋体" w:hAnsi="宋体" w:eastAsia="宋体" w:cs="宋体"/>
              </w:rPr>
            </w:pPr>
          </w:p>
        </w:tc>
      </w:tr>
      <w:tr w14:paraId="6BB5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70F2A1D">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E05E220">
            <w:pPr>
              <w:spacing w:line="400" w:lineRule="exact"/>
              <w:rPr>
                <w:rFonts w:hint="eastAsia" w:ascii="宋体" w:hAnsi="宋体" w:eastAsia="宋体" w:cs="宋体"/>
              </w:rPr>
            </w:pPr>
            <w:r>
              <w:rPr>
                <w:rFonts w:hint="eastAsia" w:ascii="宋体" w:hAnsi="宋体" w:eastAsia="宋体" w:cs="宋体"/>
              </w:rPr>
              <w:t>--总容积（m</w:t>
            </w:r>
            <w:r>
              <w:rPr>
                <w:rFonts w:hint="eastAsia" w:ascii="宋体" w:hAnsi="宋体" w:eastAsia="宋体" w:cs="宋体"/>
                <w:vertAlign w:val="superscript"/>
              </w:rPr>
              <w:t>3</w:t>
            </w:r>
            <w:r>
              <w:rPr>
                <w:rFonts w:hint="eastAsia" w:ascii="宋体" w:hAnsi="宋体" w:eastAsia="宋体" w:cs="宋体"/>
              </w:rPr>
              <w:t>）</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1EE5C046">
            <w:pPr>
              <w:spacing w:line="400" w:lineRule="exact"/>
              <w:rPr>
                <w:rFonts w:hint="eastAsia" w:ascii="宋体" w:hAnsi="宋体" w:eastAsia="宋体" w:cs="宋体"/>
              </w:rPr>
            </w:pPr>
          </w:p>
        </w:tc>
      </w:tr>
      <w:tr w14:paraId="2055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A007689">
            <w:pPr>
              <w:spacing w:line="400" w:lineRule="exact"/>
              <w:jc w:val="center"/>
              <w:rPr>
                <w:rFonts w:hint="eastAsia" w:ascii="宋体" w:hAnsi="宋体" w:eastAsia="宋体" w:cs="宋体"/>
              </w:rPr>
            </w:pPr>
            <w:r>
              <w:rPr>
                <w:rFonts w:hint="eastAsia" w:ascii="宋体" w:hAnsi="宋体" w:eastAsia="宋体" w:cs="宋体"/>
              </w:rPr>
              <w:t>4</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7FE2F63C">
            <w:pPr>
              <w:spacing w:line="400" w:lineRule="exact"/>
              <w:rPr>
                <w:rFonts w:hint="eastAsia" w:ascii="宋体" w:hAnsi="宋体" w:eastAsia="宋体" w:cs="宋体"/>
              </w:rPr>
            </w:pPr>
            <w:r>
              <w:rPr>
                <w:rFonts w:hint="eastAsia" w:ascii="宋体" w:hAnsi="宋体" w:eastAsia="宋体" w:cs="宋体"/>
              </w:rPr>
              <w:t>油泵：</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19784318">
            <w:pPr>
              <w:spacing w:line="400" w:lineRule="exact"/>
              <w:rPr>
                <w:rFonts w:hint="eastAsia" w:ascii="宋体" w:hAnsi="宋体" w:eastAsia="宋体" w:cs="宋体"/>
              </w:rPr>
            </w:pPr>
          </w:p>
        </w:tc>
      </w:tr>
      <w:tr w14:paraId="5ED6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EF74444">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3A44650">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9A6D741">
            <w:pPr>
              <w:spacing w:line="400" w:lineRule="exact"/>
              <w:rPr>
                <w:rFonts w:hint="eastAsia" w:ascii="宋体" w:hAnsi="宋体" w:eastAsia="宋体" w:cs="宋体"/>
              </w:rPr>
            </w:pPr>
          </w:p>
        </w:tc>
      </w:tr>
      <w:tr w14:paraId="6F44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44AC8942">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3B6C3B1">
            <w:pPr>
              <w:spacing w:line="400" w:lineRule="exact"/>
              <w:rPr>
                <w:rFonts w:hint="eastAsia" w:ascii="宋体" w:hAnsi="宋体" w:eastAsia="宋体" w:cs="宋体"/>
              </w:rPr>
            </w:pPr>
            <w:r>
              <w:rPr>
                <w:rFonts w:hint="eastAsia" w:ascii="宋体" w:hAnsi="宋体" w:eastAsia="宋体" w:cs="宋体"/>
              </w:rPr>
              <w:t>--流量（l/s）</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5BD7DE27">
            <w:pPr>
              <w:spacing w:line="400" w:lineRule="exact"/>
              <w:rPr>
                <w:rFonts w:hint="eastAsia" w:ascii="宋体" w:hAnsi="宋体" w:eastAsia="宋体" w:cs="宋体"/>
              </w:rPr>
            </w:pPr>
          </w:p>
        </w:tc>
      </w:tr>
      <w:tr w14:paraId="095B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3EDA371D">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2C7E7A97">
            <w:pPr>
              <w:spacing w:line="400" w:lineRule="exact"/>
              <w:rPr>
                <w:rFonts w:hint="eastAsia" w:ascii="宋体" w:hAnsi="宋体" w:eastAsia="宋体" w:cs="宋体"/>
              </w:rPr>
            </w:pPr>
            <w:r>
              <w:rPr>
                <w:rFonts w:hint="eastAsia" w:ascii="宋体" w:hAnsi="宋体" w:eastAsia="宋体" w:cs="宋体"/>
              </w:rPr>
              <w:t>--额定压力（MPa）</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2C2B012">
            <w:pPr>
              <w:spacing w:line="400" w:lineRule="exact"/>
              <w:rPr>
                <w:rFonts w:hint="eastAsia" w:ascii="宋体" w:hAnsi="宋体" w:eastAsia="宋体" w:cs="宋体"/>
              </w:rPr>
            </w:pPr>
          </w:p>
        </w:tc>
      </w:tr>
      <w:tr w14:paraId="5DC2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519027D">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877F12D">
            <w:pPr>
              <w:spacing w:line="400" w:lineRule="exact"/>
              <w:rPr>
                <w:rFonts w:hint="eastAsia" w:ascii="宋体" w:hAnsi="宋体" w:eastAsia="宋体" w:cs="宋体"/>
              </w:rPr>
            </w:pPr>
            <w:r>
              <w:rPr>
                <w:rFonts w:hint="eastAsia" w:ascii="宋体" w:hAnsi="宋体" w:eastAsia="宋体" w:cs="宋体"/>
              </w:rPr>
              <w:t>--台数</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9950A86">
            <w:pPr>
              <w:spacing w:line="400" w:lineRule="exact"/>
              <w:rPr>
                <w:rFonts w:hint="eastAsia" w:ascii="宋体" w:hAnsi="宋体" w:eastAsia="宋体" w:cs="宋体"/>
              </w:rPr>
            </w:pPr>
          </w:p>
        </w:tc>
      </w:tr>
      <w:tr w14:paraId="71EE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A8BBBB7">
            <w:pPr>
              <w:spacing w:line="400" w:lineRule="exact"/>
              <w:jc w:val="center"/>
              <w:rPr>
                <w:rFonts w:hint="eastAsia" w:ascii="宋体" w:hAnsi="宋体" w:eastAsia="宋体" w:cs="宋体"/>
              </w:rPr>
            </w:pPr>
            <w:r>
              <w:rPr>
                <w:rFonts w:hint="eastAsia" w:ascii="宋体" w:hAnsi="宋体" w:eastAsia="宋体" w:cs="宋体"/>
              </w:rPr>
              <w:t>5</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068AFE52">
            <w:pPr>
              <w:spacing w:line="400" w:lineRule="exact"/>
              <w:rPr>
                <w:rFonts w:hint="eastAsia" w:ascii="宋体" w:hAnsi="宋体" w:eastAsia="宋体" w:cs="宋体"/>
              </w:rPr>
            </w:pPr>
            <w:r>
              <w:rPr>
                <w:rFonts w:hint="eastAsia" w:ascii="宋体" w:hAnsi="宋体" w:eastAsia="宋体" w:cs="宋体"/>
              </w:rPr>
              <w:t>油泵电动机</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E4B3FF7">
            <w:pPr>
              <w:spacing w:line="400" w:lineRule="exact"/>
              <w:rPr>
                <w:rFonts w:hint="eastAsia" w:ascii="宋体" w:hAnsi="宋体" w:eastAsia="宋体" w:cs="宋体"/>
              </w:rPr>
            </w:pPr>
          </w:p>
        </w:tc>
      </w:tr>
      <w:tr w14:paraId="7F20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6D5BC66">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2D1195DC">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23F2E8F0">
            <w:pPr>
              <w:spacing w:line="400" w:lineRule="exact"/>
              <w:rPr>
                <w:rFonts w:hint="eastAsia" w:ascii="宋体" w:hAnsi="宋体" w:eastAsia="宋体" w:cs="宋体"/>
              </w:rPr>
            </w:pPr>
          </w:p>
        </w:tc>
      </w:tr>
      <w:tr w14:paraId="135B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6875D14">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2D2EA3B7">
            <w:pPr>
              <w:spacing w:line="400" w:lineRule="exact"/>
              <w:rPr>
                <w:rFonts w:hint="eastAsia" w:ascii="宋体" w:hAnsi="宋体" w:eastAsia="宋体" w:cs="宋体"/>
              </w:rPr>
            </w:pPr>
            <w:r>
              <w:rPr>
                <w:rFonts w:hint="eastAsia" w:ascii="宋体" w:hAnsi="宋体" w:eastAsia="宋体" w:cs="宋体"/>
              </w:rPr>
              <w:t>--额定功率（kW）</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9280C3F">
            <w:pPr>
              <w:spacing w:line="400" w:lineRule="exact"/>
              <w:rPr>
                <w:rFonts w:hint="eastAsia" w:ascii="宋体" w:hAnsi="宋体" w:eastAsia="宋体" w:cs="宋体"/>
              </w:rPr>
            </w:pPr>
          </w:p>
        </w:tc>
      </w:tr>
      <w:tr w14:paraId="1819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5FF13FF">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F906227">
            <w:pPr>
              <w:spacing w:line="400" w:lineRule="exact"/>
              <w:rPr>
                <w:rFonts w:hint="eastAsia" w:ascii="宋体" w:hAnsi="宋体" w:eastAsia="宋体" w:cs="宋体"/>
              </w:rPr>
            </w:pPr>
            <w:r>
              <w:rPr>
                <w:rFonts w:hint="eastAsia" w:ascii="宋体" w:hAnsi="宋体" w:eastAsia="宋体" w:cs="宋体"/>
              </w:rPr>
              <w:t>--额定电压（V）</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5D6DDD7">
            <w:pPr>
              <w:spacing w:line="400" w:lineRule="exact"/>
              <w:rPr>
                <w:rFonts w:hint="eastAsia" w:ascii="宋体" w:hAnsi="宋体" w:eastAsia="宋体" w:cs="宋体"/>
              </w:rPr>
            </w:pPr>
          </w:p>
        </w:tc>
      </w:tr>
      <w:tr w14:paraId="3711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C117EF2">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5A2970B">
            <w:pPr>
              <w:spacing w:line="400" w:lineRule="exact"/>
              <w:rPr>
                <w:rFonts w:hint="eastAsia" w:ascii="宋体" w:hAnsi="宋体" w:eastAsia="宋体" w:cs="宋体"/>
              </w:rPr>
            </w:pPr>
            <w:r>
              <w:rPr>
                <w:rFonts w:hint="eastAsia" w:ascii="宋体" w:hAnsi="宋体" w:eastAsia="宋体" w:cs="宋体"/>
              </w:rPr>
              <w:t>--启动方式</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FC83D66">
            <w:pPr>
              <w:spacing w:line="400" w:lineRule="exact"/>
              <w:rPr>
                <w:rFonts w:hint="eastAsia" w:ascii="宋体" w:hAnsi="宋体" w:eastAsia="宋体" w:cs="宋体"/>
              </w:rPr>
            </w:pPr>
          </w:p>
        </w:tc>
      </w:tr>
      <w:tr w14:paraId="402F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48258703">
            <w:pPr>
              <w:spacing w:line="400" w:lineRule="exact"/>
              <w:jc w:val="center"/>
              <w:rPr>
                <w:rFonts w:hint="eastAsia" w:ascii="宋体" w:hAnsi="宋体" w:eastAsia="宋体" w:cs="宋体"/>
              </w:rPr>
            </w:pPr>
            <w:r>
              <w:rPr>
                <w:rFonts w:hint="eastAsia" w:ascii="宋体" w:hAnsi="宋体" w:eastAsia="宋体" w:cs="宋体"/>
              </w:rPr>
              <w:t>6</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258E08CA">
            <w:pPr>
              <w:spacing w:line="400" w:lineRule="exact"/>
              <w:rPr>
                <w:rFonts w:hint="eastAsia" w:ascii="宋体" w:hAnsi="宋体" w:eastAsia="宋体" w:cs="宋体"/>
              </w:rPr>
            </w:pPr>
            <w:r>
              <w:rPr>
                <w:rFonts w:hint="eastAsia" w:ascii="宋体" w:hAnsi="宋体" w:eastAsia="宋体" w:cs="宋体"/>
              </w:rPr>
              <w:t>油压装置总重（t）</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5E96B95">
            <w:pPr>
              <w:spacing w:line="400" w:lineRule="exact"/>
              <w:rPr>
                <w:rFonts w:hint="eastAsia" w:ascii="宋体" w:hAnsi="宋体" w:eastAsia="宋体" w:cs="宋体"/>
              </w:rPr>
            </w:pPr>
          </w:p>
        </w:tc>
      </w:tr>
      <w:tr w14:paraId="10C3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BD49610">
            <w:pPr>
              <w:spacing w:line="400" w:lineRule="exact"/>
              <w:jc w:val="center"/>
              <w:rPr>
                <w:rFonts w:hint="eastAsia" w:ascii="宋体" w:hAnsi="宋体" w:eastAsia="宋体" w:cs="宋体"/>
              </w:rPr>
            </w:pPr>
            <w:r>
              <w:rPr>
                <w:rFonts w:hint="eastAsia" w:ascii="宋体" w:hAnsi="宋体" w:eastAsia="宋体" w:cs="宋体"/>
              </w:rPr>
              <w:t>7</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76EA0A3D">
            <w:pPr>
              <w:spacing w:line="400" w:lineRule="exact"/>
              <w:rPr>
                <w:rFonts w:hint="eastAsia" w:ascii="宋体" w:hAnsi="宋体" w:eastAsia="宋体" w:cs="宋体"/>
              </w:rPr>
            </w:pPr>
            <w:r>
              <w:rPr>
                <w:rFonts w:hint="eastAsia" w:ascii="宋体" w:hAnsi="宋体" w:eastAsia="宋体" w:cs="宋体"/>
              </w:rPr>
              <w:t>调速系统设备总需油量（m</w:t>
            </w:r>
            <w:r>
              <w:rPr>
                <w:rFonts w:hint="eastAsia" w:ascii="宋体" w:hAnsi="宋体" w:eastAsia="宋体" w:cs="宋体"/>
                <w:vertAlign w:val="superscript"/>
              </w:rPr>
              <w:t>3</w:t>
            </w:r>
            <w:r>
              <w:rPr>
                <w:rFonts w:hint="eastAsia" w:ascii="宋体" w:hAnsi="宋体" w:eastAsia="宋体" w:cs="宋体"/>
              </w:rPr>
              <w:t>）</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1E9C61F8">
            <w:pPr>
              <w:spacing w:line="400" w:lineRule="exact"/>
              <w:rPr>
                <w:rFonts w:hint="eastAsia" w:ascii="宋体" w:hAnsi="宋体" w:eastAsia="宋体" w:cs="宋体"/>
              </w:rPr>
            </w:pPr>
          </w:p>
        </w:tc>
      </w:tr>
      <w:tr w14:paraId="5466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6D1403C8">
            <w:pPr>
              <w:spacing w:line="400" w:lineRule="exact"/>
              <w:jc w:val="center"/>
              <w:rPr>
                <w:rFonts w:hint="eastAsia" w:ascii="宋体" w:hAnsi="宋体" w:eastAsia="宋体" w:cs="宋体"/>
              </w:rPr>
            </w:pPr>
            <w:r>
              <w:rPr>
                <w:rFonts w:hint="eastAsia" w:ascii="宋体" w:hAnsi="宋体" w:eastAsia="宋体" w:cs="宋体"/>
              </w:rPr>
              <w:t>8</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5F8F297D">
            <w:pPr>
              <w:spacing w:line="400" w:lineRule="exact"/>
              <w:rPr>
                <w:rFonts w:hint="eastAsia" w:ascii="宋体" w:hAnsi="宋体" w:eastAsia="宋体" w:cs="宋体"/>
              </w:rPr>
            </w:pPr>
            <w:r>
              <w:rPr>
                <w:rFonts w:hint="eastAsia" w:ascii="宋体" w:hAnsi="宋体" w:eastAsia="宋体" w:cs="宋体"/>
              </w:rPr>
              <w:t>油压装置PLC可编程控制器</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1F53F1F">
            <w:pPr>
              <w:spacing w:line="400" w:lineRule="exact"/>
              <w:rPr>
                <w:rFonts w:hint="eastAsia" w:ascii="宋体" w:hAnsi="宋体" w:eastAsia="宋体" w:cs="宋体"/>
              </w:rPr>
            </w:pPr>
          </w:p>
        </w:tc>
      </w:tr>
      <w:tr w14:paraId="130A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48DEFDF">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B0F287D">
            <w:pPr>
              <w:spacing w:line="400" w:lineRule="exact"/>
              <w:rPr>
                <w:rFonts w:hint="eastAsia" w:ascii="宋体" w:hAnsi="宋体" w:eastAsia="宋体" w:cs="宋体"/>
              </w:rPr>
            </w:pPr>
            <w:r>
              <w:rPr>
                <w:rFonts w:hint="eastAsia" w:ascii="宋体" w:hAnsi="宋体" w:eastAsia="宋体" w:cs="宋体"/>
              </w:rPr>
              <w:t>--制造厂</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68FD2373">
            <w:pPr>
              <w:spacing w:line="400" w:lineRule="exact"/>
              <w:rPr>
                <w:rFonts w:hint="eastAsia" w:ascii="宋体" w:hAnsi="宋体" w:eastAsia="宋体" w:cs="宋体"/>
              </w:rPr>
            </w:pPr>
          </w:p>
        </w:tc>
      </w:tr>
      <w:tr w14:paraId="0ACF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5B3FE8F">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1804C5BB">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7A25156">
            <w:pPr>
              <w:spacing w:line="400" w:lineRule="exact"/>
              <w:rPr>
                <w:rFonts w:hint="eastAsia" w:ascii="宋体" w:hAnsi="宋体" w:eastAsia="宋体" w:cs="宋体"/>
              </w:rPr>
            </w:pPr>
          </w:p>
        </w:tc>
      </w:tr>
      <w:tr w14:paraId="56AF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DFAFDFC">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63498887">
            <w:pPr>
              <w:spacing w:line="400" w:lineRule="exact"/>
              <w:rPr>
                <w:rFonts w:hint="eastAsia" w:ascii="宋体" w:hAnsi="宋体" w:eastAsia="宋体" w:cs="宋体"/>
              </w:rPr>
            </w:pPr>
            <w:r>
              <w:rPr>
                <w:rFonts w:hint="eastAsia" w:ascii="宋体" w:hAnsi="宋体" w:eastAsia="宋体" w:cs="宋体"/>
              </w:rPr>
              <w:t>--CPU字长</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C0855D7">
            <w:pPr>
              <w:spacing w:line="400" w:lineRule="exact"/>
              <w:rPr>
                <w:rFonts w:hint="eastAsia" w:ascii="宋体" w:hAnsi="宋体" w:eastAsia="宋体" w:cs="宋体"/>
              </w:rPr>
            </w:pPr>
          </w:p>
        </w:tc>
      </w:tr>
      <w:tr w14:paraId="3BE6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E35CCB5">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D275098">
            <w:pPr>
              <w:spacing w:line="400" w:lineRule="exact"/>
              <w:rPr>
                <w:rFonts w:hint="eastAsia" w:ascii="宋体" w:hAnsi="宋体" w:eastAsia="宋体" w:cs="宋体"/>
              </w:rPr>
            </w:pPr>
            <w:r>
              <w:rPr>
                <w:rFonts w:hint="eastAsia" w:ascii="宋体" w:hAnsi="宋体" w:eastAsia="宋体" w:cs="宋体"/>
              </w:rPr>
              <w:t>--CPU主频（MHz）</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A825197">
            <w:pPr>
              <w:spacing w:line="400" w:lineRule="exact"/>
              <w:rPr>
                <w:rFonts w:hint="eastAsia" w:ascii="宋体" w:hAnsi="宋体" w:eastAsia="宋体" w:cs="宋体"/>
              </w:rPr>
            </w:pPr>
          </w:p>
        </w:tc>
      </w:tr>
      <w:tr w14:paraId="3338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263921EF">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4CA63544">
            <w:pPr>
              <w:spacing w:line="400" w:lineRule="exact"/>
              <w:rPr>
                <w:rFonts w:hint="eastAsia" w:ascii="宋体" w:hAnsi="宋体" w:eastAsia="宋体" w:cs="宋体"/>
              </w:rPr>
            </w:pPr>
            <w:r>
              <w:rPr>
                <w:rFonts w:hint="eastAsia" w:ascii="宋体" w:hAnsi="宋体" w:eastAsia="宋体" w:cs="宋体"/>
              </w:rPr>
              <w:t>--内存容量（MB）</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123CD91">
            <w:pPr>
              <w:spacing w:line="400" w:lineRule="exact"/>
              <w:rPr>
                <w:rFonts w:hint="eastAsia" w:ascii="宋体" w:hAnsi="宋体" w:eastAsia="宋体" w:cs="宋体"/>
              </w:rPr>
            </w:pPr>
          </w:p>
        </w:tc>
      </w:tr>
      <w:tr w14:paraId="51A2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ECF66EB">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6AD98E7">
            <w:pPr>
              <w:spacing w:line="400" w:lineRule="exact"/>
              <w:rPr>
                <w:rFonts w:hint="eastAsia" w:ascii="宋体" w:hAnsi="宋体" w:eastAsia="宋体" w:cs="宋体"/>
              </w:rPr>
            </w:pPr>
            <w:r>
              <w:rPr>
                <w:rFonts w:hint="eastAsia" w:ascii="宋体" w:hAnsi="宋体" w:eastAsia="宋体" w:cs="宋体"/>
              </w:rPr>
              <w:t>--软件编程语言</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6236CE5F">
            <w:pPr>
              <w:spacing w:line="400" w:lineRule="exact"/>
              <w:rPr>
                <w:rFonts w:hint="eastAsia" w:ascii="宋体" w:hAnsi="宋体" w:eastAsia="宋体" w:cs="宋体"/>
              </w:rPr>
            </w:pPr>
          </w:p>
        </w:tc>
      </w:tr>
      <w:tr w14:paraId="13DB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FF186A3">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50CCF331">
            <w:pPr>
              <w:spacing w:line="400" w:lineRule="exact"/>
              <w:rPr>
                <w:rFonts w:hint="eastAsia" w:ascii="宋体" w:hAnsi="宋体" w:eastAsia="宋体" w:cs="宋体"/>
              </w:rPr>
            </w:pPr>
            <w:r>
              <w:rPr>
                <w:rFonts w:hint="eastAsia" w:ascii="宋体" w:hAnsi="宋体" w:eastAsia="宋体" w:cs="宋体"/>
              </w:rPr>
              <w:t>--功耗（W）</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450F4C76">
            <w:pPr>
              <w:spacing w:line="400" w:lineRule="exact"/>
              <w:rPr>
                <w:rFonts w:hint="eastAsia" w:ascii="宋体" w:hAnsi="宋体" w:eastAsia="宋体" w:cs="宋体"/>
              </w:rPr>
            </w:pPr>
          </w:p>
        </w:tc>
      </w:tr>
      <w:tr w14:paraId="7A9F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129CF87C">
            <w:pPr>
              <w:spacing w:line="400" w:lineRule="exact"/>
              <w:jc w:val="center"/>
              <w:rPr>
                <w:rFonts w:hint="eastAsia" w:ascii="宋体" w:hAnsi="宋体" w:eastAsia="宋体" w:cs="宋体"/>
              </w:rPr>
            </w:pPr>
            <w:r>
              <w:rPr>
                <w:rFonts w:hint="eastAsia" w:ascii="宋体" w:hAnsi="宋体" w:eastAsia="宋体" w:cs="宋体"/>
              </w:rPr>
              <w:t>9</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1AB93252">
            <w:pPr>
              <w:spacing w:line="400" w:lineRule="exact"/>
              <w:rPr>
                <w:rFonts w:hint="eastAsia" w:ascii="宋体" w:hAnsi="宋体" w:eastAsia="宋体" w:cs="宋体"/>
              </w:rPr>
            </w:pPr>
            <w:r>
              <w:rPr>
                <w:rFonts w:hint="eastAsia" w:ascii="宋体" w:hAnsi="宋体" w:eastAsia="宋体" w:cs="宋体"/>
              </w:rPr>
              <w:t>彩色液晶显示器</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144FC8DB">
            <w:pPr>
              <w:spacing w:line="400" w:lineRule="exact"/>
              <w:rPr>
                <w:rFonts w:hint="eastAsia" w:ascii="宋体" w:hAnsi="宋体" w:eastAsia="宋体" w:cs="宋体"/>
              </w:rPr>
            </w:pPr>
          </w:p>
        </w:tc>
      </w:tr>
      <w:tr w14:paraId="22B8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0DA5B421">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00CBB888">
            <w:pPr>
              <w:spacing w:line="400" w:lineRule="exact"/>
              <w:rPr>
                <w:rFonts w:hint="eastAsia" w:ascii="宋体" w:hAnsi="宋体" w:eastAsia="宋体" w:cs="宋体"/>
              </w:rPr>
            </w:pPr>
            <w:r>
              <w:rPr>
                <w:rFonts w:hint="eastAsia" w:ascii="宋体" w:hAnsi="宋体" w:eastAsia="宋体" w:cs="宋体"/>
              </w:rPr>
              <w:t>--制造厂</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0913B06E">
            <w:pPr>
              <w:spacing w:line="400" w:lineRule="exact"/>
              <w:rPr>
                <w:rFonts w:hint="eastAsia" w:ascii="宋体" w:hAnsi="宋体" w:eastAsia="宋体" w:cs="宋体"/>
              </w:rPr>
            </w:pPr>
          </w:p>
        </w:tc>
      </w:tr>
      <w:tr w14:paraId="2D9E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36BEEA4C">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56190C1">
            <w:pPr>
              <w:spacing w:line="400" w:lineRule="exact"/>
              <w:rPr>
                <w:rFonts w:hint="eastAsia" w:ascii="宋体" w:hAnsi="宋体" w:eastAsia="宋体" w:cs="宋体"/>
              </w:rPr>
            </w:pPr>
            <w:r>
              <w:rPr>
                <w:rFonts w:hint="eastAsia" w:ascii="宋体" w:hAnsi="宋体" w:eastAsia="宋体" w:cs="宋体"/>
              </w:rPr>
              <w:t>--型号</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064E729">
            <w:pPr>
              <w:spacing w:line="400" w:lineRule="exact"/>
              <w:rPr>
                <w:rFonts w:hint="eastAsia" w:ascii="宋体" w:hAnsi="宋体" w:eastAsia="宋体" w:cs="宋体"/>
              </w:rPr>
            </w:pPr>
          </w:p>
        </w:tc>
      </w:tr>
      <w:tr w14:paraId="3072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7C9E184E">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1311C061">
            <w:pPr>
              <w:spacing w:line="400" w:lineRule="exact"/>
              <w:rPr>
                <w:rFonts w:hint="eastAsia" w:ascii="宋体" w:hAnsi="宋体" w:eastAsia="宋体" w:cs="宋体"/>
              </w:rPr>
            </w:pPr>
            <w:r>
              <w:rPr>
                <w:rFonts w:hint="eastAsia" w:ascii="宋体" w:hAnsi="宋体" w:eastAsia="宋体" w:cs="宋体"/>
              </w:rPr>
              <w:t>--主要指标</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2C6F1442">
            <w:pPr>
              <w:spacing w:line="400" w:lineRule="exact"/>
              <w:rPr>
                <w:rFonts w:hint="eastAsia" w:ascii="宋体" w:hAnsi="宋体" w:eastAsia="宋体" w:cs="宋体"/>
              </w:rPr>
            </w:pPr>
          </w:p>
        </w:tc>
      </w:tr>
      <w:tr w14:paraId="194A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5E3CFC68">
            <w:pPr>
              <w:spacing w:line="400" w:lineRule="exact"/>
              <w:jc w:val="center"/>
              <w:rPr>
                <w:rFonts w:hint="eastAsia" w:ascii="宋体" w:hAnsi="宋体" w:eastAsia="宋体" w:cs="宋体"/>
              </w:rPr>
            </w:pPr>
            <w:r>
              <w:rPr>
                <w:rFonts w:hint="eastAsia" w:ascii="宋体" w:hAnsi="宋体" w:eastAsia="宋体" w:cs="宋体"/>
              </w:rPr>
              <w:t>10</w:t>
            </w:r>
          </w:p>
        </w:tc>
        <w:tc>
          <w:tcPr>
            <w:tcW w:w="5885" w:type="dxa"/>
            <w:tcBorders>
              <w:top w:val="single" w:color="auto" w:sz="4" w:space="0"/>
              <w:left w:val="single" w:color="auto" w:sz="4" w:space="0"/>
              <w:bottom w:val="single" w:color="auto" w:sz="4" w:space="0"/>
              <w:right w:val="single" w:color="auto" w:sz="4" w:space="0"/>
            </w:tcBorders>
            <w:noWrap w:val="0"/>
            <w:vAlign w:val="top"/>
          </w:tcPr>
          <w:p w14:paraId="63A8F53D">
            <w:pPr>
              <w:spacing w:line="400" w:lineRule="exact"/>
              <w:rPr>
                <w:rFonts w:hint="eastAsia" w:ascii="宋体" w:hAnsi="宋体" w:eastAsia="宋体" w:cs="宋体"/>
              </w:rPr>
            </w:pPr>
            <w:r>
              <w:rPr>
                <w:rFonts w:hint="eastAsia" w:ascii="宋体" w:hAnsi="宋体" w:eastAsia="宋体" w:cs="宋体"/>
              </w:rPr>
              <w:t>油压装置控制柜</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3E024A8">
            <w:pPr>
              <w:spacing w:line="400" w:lineRule="exact"/>
              <w:rPr>
                <w:rFonts w:hint="eastAsia" w:ascii="宋体" w:hAnsi="宋体" w:eastAsia="宋体" w:cs="宋体"/>
              </w:rPr>
            </w:pPr>
          </w:p>
        </w:tc>
      </w:tr>
      <w:tr w14:paraId="0A87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4584D26A">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3FB86EEC">
            <w:pPr>
              <w:spacing w:line="400" w:lineRule="exact"/>
              <w:rPr>
                <w:rFonts w:hint="eastAsia" w:ascii="宋体" w:hAnsi="宋体" w:eastAsia="宋体" w:cs="宋体"/>
              </w:rPr>
            </w:pPr>
            <w:r>
              <w:rPr>
                <w:rFonts w:hint="eastAsia" w:ascii="宋体" w:hAnsi="宋体" w:eastAsia="宋体" w:cs="宋体"/>
              </w:rPr>
              <w:t>--柜体尺寸（长×宽×高）（mm）</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3456DD36">
            <w:pPr>
              <w:spacing w:line="400" w:lineRule="exact"/>
              <w:rPr>
                <w:rFonts w:hint="eastAsia" w:ascii="宋体" w:hAnsi="宋体" w:eastAsia="宋体" w:cs="宋体"/>
              </w:rPr>
            </w:pPr>
          </w:p>
        </w:tc>
      </w:tr>
      <w:tr w14:paraId="4A38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noWrap w:val="0"/>
            <w:vAlign w:val="top"/>
          </w:tcPr>
          <w:p w14:paraId="33297B06">
            <w:pPr>
              <w:spacing w:line="400" w:lineRule="exact"/>
              <w:jc w:val="center"/>
              <w:rPr>
                <w:rFonts w:hint="eastAsia" w:ascii="宋体" w:hAnsi="宋体" w:eastAsia="宋体" w:cs="宋体"/>
              </w:rPr>
            </w:pPr>
          </w:p>
        </w:tc>
        <w:tc>
          <w:tcPr>
            <w:tcW w:w="5885" w:type="dxa"/>
            <w:tcBorders>
              <w:top w:val="single" w:color="auto" w:sz="4" w:space="0"/>
              <w:left w:val="single" w:color="auto" w:sz="4" w:space="0"/>
              <w:bottom w:val="single" w:color="auto" w:sz="4" w:space="0"/>
              <w:right w:val="single" w:color="auto" w:sz="4" w:space="0"/>
            </w:tcBorders>
            <w:noWrap w:val="0"/>
            <w:vAlign w:val="top"/>
          </w:tcPr>
          <w:p w14:paraId="0AD25CF7">
            <w:pPr>
              <w:spacing w:line="400" w:lineRule="exact"/>
              <w:rPr>
                <w:rFonts w:hint="eastAsia" w:ascii="宋体" w:hAnsi="宋体" w:eastAsia="宋体" w:cs="宋体"/>
              </w:rPr>
            </w:pPr>
            <w:r>
              <w:rPr>
                <w:rFonts w:hint="eastAsia" w:ascii="宋体" w:hAnsi="宋体" w:eastAsia="宋体" w:cs="宋体"/>
              </w:rPr>
              <w:t>--单柜重量（kg）</w:t>
            </w:r>
          </w:p>
        </w:tc>
        <w:tc>
          <w:tcPr>
            <w:tcW w:w="2142" w:type="dxa"/>
            <w:tcBorders>
              <w:top w:val="single" w:color="auto" w:sz="4" w:space="0"/>
              <w:left w:val="single" w:color="auto" w:sz="4" w:space="0"/>
              <w:bottom w:val="single" w:color="auto" w:sz="4" w:space="0"/>
              <w:right w:val="single" w:color="auto" w:sz="4" w:space="0"/>
            </w:tcBorders>
            <w:noWrap w:val="0"/>
            <w:vAlign w:val="top"/>
          </w:tcPr>
          <w:p w14:paraId="7888D15E">
            <w:pPr>
              <w:spacing w:line="400" w:lineRule="exact"/>
              <w:rPr>
                <w:rFonts w:hint="eastAsia" w:ascii="宋体" w:hAnsi="宋体" w:eastAsia="宋体" w:cs="宋体"/>
              </w:rPr>
            </w:pPr>
          </w:p>
        </w:tc>
      </w:tr>
    </w:tbl>
    <w:p w14:paraId="40AC4048">
      <w:pPr>
        <w:autoSpaceDE w:val="0"/>
        <w:autoSpaceDN w:val="0"/>
        <w:adjustRightInd w:val="0"/>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5882E597">
      <w:pPr>
        <w:keepNext/>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sz w:val="28"/>
          <w:szCs w:val="28"/>
        </w:rPr>
      </w:pPr>
      <w:bookmarkStart w:id="32" w:name="_Toc402163479"/>
      <w:r>
        <w:rPr>
          <w:rFonts w:hint="eastAsia" w:ascii="宋体" w:hAnsi="宋体" w:cs="宋体"/>
          <w:sz w:val="28"/>
          <w:szCs w:val="28"/>
          <w:lang w:val="en-US" w:eastAsia="zh-CN"/>
        </w:rPr>
        <w:t>2.6</w:t>
      </w:r>
      <w:r>
        <w:rPr>
          <w:rFonts w:hint="eastAsia" w:ascii="宋体" w:hAnsi="宋体" w:eastAsia="宋体" w:cs="宋体"/>
          <w:sz w:val="28"/>
          <w:szCs w:val="28"/>
        </w:rPr>
        <w:t xml:space="preserve"> 随投标提供的图纸和说明</w:t>
      </w:r>
      <w:bookmarkEnd w:id="32"/>
    </w:p>
    <w:p w14:paraId="4796E2AD">
      <w:pPr>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投标人应随投标文件提交下列图纸和说明资料：</w:t>
      </w:r>
    </w:p>
    <w:p w14:paraId="2A79F4BC">
      <w:pPr>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（1）发电机结构和主要性能、参数的说明；</w:t>
      </w:r>
    </w:p>
    <w:p w14:paraId="14C851FD">
      <w:pPr>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（2）发电机功率圆图；</w:t>
      </w:r>
    </w:p>
    <w:p w14:paraId="5A711CC4">
      <w:pPr>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（3）发电机效率曲线；</w:t>
      </w:r>
    </w:p>
    <w:p w14:paraId="2354E9FF">
      <w:pPr>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（4）发电机装配平、剖面图；</w:t>
      </w:r>
    </w:p>
    <w:p w14:paraId="2D71F727">
      <w:pPr>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（5）润滑、冷却系统图；</w:t>
      </w:r>
    </w:p>
    <w:p w14:paraId="791DAD19">
      <w:pPr>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（6）发电机开路和短路特性曲线；</w:t>
      </w:r>
    </w:p>
    <w:p w14:paraId="524C38EF">
      <w:pPr>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（7）发电机装配解体方法说明；</w:t>
      </w:r>
    </w:p>
    <w:p w14:paraId="296BED1D">
      <w:pPr>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① 转子、定子起吊方法；</w:t>
      </w:r>
    </w:p>
    <w:p w14:paraId="22B065AA">
      <w:pPr>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② 磁极更换步骤；</w:t>
      </w:r>
    </w:p>
    <w:p w14:paraId="23C81869">
      <w:pPr>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③ 现场组焊、装配说明。</w:t>
      </w:r>
    </w:p>
    <w:p w14:paraId="5289B7F9">
      <w:pPr>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（8）发电机开、停机说明；</w:t>
      </w:r>
    </w:p>
    <w:p w14:paraId="177953A5">
      <w:pPr>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（9）其它必要的资料；</w:t>
      </w:r>
    </w:p>
    <w:p w14:paraId="78274755">
      <w:pPr>
        <w:pStyle w:val="2"/>
        <w:spacing w:line="560" w:lineRule="exact"/>
        <w:rPr>
          <w:rFonts w:hint="eastAsia" w:ascii="宋体" w:hAnsi="宋体" w:eastAsia="宋体" w:cs="宋体"/>
          <w:kern w:val="2"/>
          <w:sz w:val="32"/>
          <w:szCs w:val="20"/>
        </w:rPr>
      </w:pPr>
      <w:r>
        <w:rPr>
          <w:rFonts w:hint="eastAsia" w:ascii="宋体" w:hAnsi="宋体" w:eastAsia="宋体" w:cs="宋体"/>
          <w:kern w:val="2"/>
          <w:sz w:val="32"/>
          <w:szCs w:val="20"/>
        </w:rPr>
        <w:t>3</w:t>
      </w:r>
      <w:r>
        <w:rPr>
          <w:rFonts w:hint="eastAsia" w:ascii="宋体" w:hAnsi="宋体" w:eastAsia="宋体" w:cs="宋体"/>
          <w:kern w:val="2"/>
          <w:sz w:val="32"/>
          <w:szCs w:val="20"/>
          <w:lang w:eastAsia="zh-CN"/>
        </w:rPr>
        <w:t>、</w:t>
      </w:r>
      <w:r>
        <w:rPr>
          <w:rFonts w:hint="eastAsia" w:ascii="宋体" w:hAnsi="宋体" w:eastAsia="宋体" w:cs="宋体"/>
          <w:kern w:val="2"/>
          <w:sz w:val="32"/>
          <w:szCs w:val="20"/>
        </w:rPr>
        <w:t xml:space="preserve"> 技术条款</w:t>
      </w:r>
    </w:p>
    <w:p w14:paraId="33DE3FAA">
      <w:pPr>
        <w:keepNext/>
        <w:jc w:val="center"/>
        <w:outlineLvl w:val="1"/>
        <w:rPr>
          <w:rFonts w:hint="eastAsia" w:ascii="宋体" w:hAnsi="宋体" w:eastAsia="宋体" w:cs="宋体"/>
          <w:sz w:val="32"/>
          <w:szCs w:val="32"/>
        </w:rPr>
      </w:pPr>
      <w:r>
        <w:rPr>
          <w:rFonts w:hint="eastAsia" w:ascii="宋体" w:hAnsi="宋体" w:eastAsia="宋体" w:cs="宋体"/>
          <w:sz w:val="28"/>
          <w:szCs w:val="28"/>
        </w:rPr>
        <w:t>第1章 一般规定与规范</w:t>
      </w:r>
    </w:p>
    <w:p w14:paraId="2F16DC95">
      <w:pPr>
        <w:keepNext/>
        <w:keepLines/>
        <w:spacing w:before="60" w:after="60" w:line="360" w:lineRule="auto"/>
        <w:outlineLvl w:val="2"/>
        <w:rPr>
          <w:rFonts w:hint="eastAsia" w:ascii="宋体" w:hAnsi="宋体" w:eastAsia="宋体" w:cs="宋体"/>
          <w:b/>
          <w:sz w:val="24"/>
          <w:szCs w:val="24"/>
        </w:rPr>
      </w:pPr>
      <w:bookmarkStart w:id="33" w:name="_Toc491682019"/>
      <w:bookmarkStart w:id="34" w:name="_Toc491682559"/>
      <w:bookmarkStart w:id="35" w:name="_Toc299444800"/>
      <w:bookmarkStart w:id="36" w:name="_Toc18335589"/>
      <w:bookmarkStart w:id="37" w:name="_Toc467836035"/>
      <w:bookmarkStart w:id="38" w:name="_Toc466793712"/>
      <w:r>
        <w:rPr>
          <w:rFonts w:hint="eastAsia" w:ascii="宋体" w:hAnsi="宋体" w:eastAsia="宋体" w:cs="宋体"/>
          <w:b/>
          <w:sz w:val="24"/>
          <w:szCs w:val="24"/>
        </w:rPr>
        <w:t xml:space="preserve">1.1 </w:t>
      </w:r>
      <w:bookmarkEnd w:id="33"/>
      <w:bookmarkEnd w:id="34"/>
      <w:bookmarkEnd w:id="35"/>
      <w:bookmarkEnd w:id="36"/>
      <w:bookmarkEnd w:id="37"/>
      <w:bookmarkEnd w:id="38"/>
      <w:bookmarkStart w:id="39" w:name="_Toc491682020"/>
      <w:bookmarkStart w:id="40" w:name="_Toc299444801"/>
      <w:bookmarkStart w:id="41" w:name="_Toc467836036"/>
      <w:bookmarkStart w:id="42" w:name="_Toc491682560"/>
      <w:bookmarkStart w:id="43" w:name="_Toc466793713"/>
      <w:r>
        <w:rPr>
          <w:rFonts w:hint="eastAsia" w:ascii="宋体" w:hAnsi="宋体" w:eastAsia="宋体" w:cs="宋体"/>
          <w:b/>
          <w:sz w:val="24"/>
          <w:szCs w:val="24"/>
        </w:rPr>
        <w:t>电站概况</w:t>
      </w:r>
    </w:p>
    <w:p w14:paraId="4FF203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铜山二级水电站</w:t>
      </w:r>
      <w:r>
        <w:rPr>
          <w:rFonts w:hint="eastAsia" w:ascii="宋体" w:hAnsi="宋体" w:eastAsia="宋体" w:cs="宋体"/>
          <w:sz w:val="24"/>
          <w:szCs w:val="24"/>
        </w:rPr>
        <w:t>位于浙江省淳安县枫林港支流铜山源溪上，工程地点在淳安县枫树岭镇，调节水库在铜山村上游下坞坛，发电厂置在</w:t>
      </w:r>
      <w:r>
        <w:rPr>
          <w:rFonts w:hint="eastAsia" w:ascii="宋体" w:hAnsi="宋体" w:eastAsia="宋体" w:cs="宋体"/>
          <w:sz w:val="24"/>
          <w:szCs w:val="24"/>
          <w:lang w:val="en-US" w:eastAsia="zh-CN"/>
        </w:rPr>
        <w:t>荷家坞村</w:t>
      </w:r>
      <w:r>
        <w:rPr>
          <w:rFonts w:hint="eastAsia" w:ascii="宋体" w:hAnsi="宋体" w:eastAsia="宋体" w:cs="宋体"/>
          <w:sz w:val="24"/>
          <w:szCs w:val="24"/>
        </w:rPr>
        <w:t>上游</w:t>
      </w:r>
      <w:r>
        <w:rPr>
          <w:rFonts w:hint="eastAsia" w:ascii="宋体" w:hAnsi="宋体" w:eastAsia="宋体" w:cs="宋体"/>
          <w:sz w:val="24"/>
          <w:szCs w:val="24"/>
          <w:lang w:val="en-US" w:eastAsia="zh-CN"/>
        </w:rPr>
        <w:t>100</w:t>
      </w:r>
      <w:r>
        <w:rPr>
          <w:rFonts w:hint="eastAsia" w:ascii="宋体" w:hAnsi="宋体" w:eastAsia="宋体" w:cs="宋体"/>
          <w:sz w:val="24"/>
          <w:szCs w:val="24"/>
        </w:rPr>
        <w:t>m处，离淳安县城</w:t>
      </w:r>
      <w:r>
        <w:rPr>
          <w:rFonts w:hint="eastAsia" w:ascii="宋体" w:hAnsi="宋体" w:eastAsia="宋体" w:cs="宋体"/>
          <w:sz w:val="24"/>
          <w:szCs w:val="24"/>
          <w:lang w:val="en-US" w:eastAsia="zh-CN"/>
        </w:rPr>
        <w:t>60</w:t>
      </w:r>
      <w:r>
        <w:rPr>
          <w:rFonts w:hint="eastAsia" w:ascii="宋体" w:hAnsi="宋体" w:eastAsia="宋体" w:cs="宋体"/>
          <w:sz w:val="24"/>
          <w:szCs w:val="24"/>
        </w:rPr>
        <w:t>km。电站于1997年由杭州市水利水电勘测设计院负责发电厂的施工图设计，199</w:t>
      </w:r>
      <w:r>
        <w:rPr>
          <w:rFonts w:hint="eastAsia" w:ascii="宋体" w:hAnsi="宋体" w:eastAsia="宋体" w:cs="宋体"/>
          <w:sz w:val="24"/>
          <w:szCs w:val="24"/>
          <w:lang w:val="en-US" w:eastAsia="zh-CN"/>
        </w:rPr>
        <w:t>7</w:t>
      </w:r>
      <w:r>
        <w:rPr>
          <w:rFonts w:hint="eastAsia" w:ascii="宋体" w:hAnsi="宋体" w:eastAsia="宋体" w:cs="宋体"/>
          <w:sz w:val="24"/>
          <w:szCs w:val="24"/>
        </w:rPr>
        <w:t>年建成发电，电站装机容量2×</w:t>
      </w:r>
      <w:r>
        <w:rPr>
          <w:rFonts w:hint="eastAsia" w:ascii="宋体" w:hAnsi="宋体" w:eastAsia="宋体" w:cs="宋体"/>
          <w:sz w:val="24"/>
          <w:szCs w:val="24"/>
          <w:lang w:val="en-US" w:eastAsia="zh-CN"/>
        </w:rPr>
        <w:t>20</w:t>
      </w:r>
      <w:r>
        <w:rPr>
          <w:rFonts w:hint="eastAsia" w:ascii="宋体" w:hAnsi="宋体" w:eastAsia="宋体" w:cs="宋体"/>
          <w:sz w:val="24"/>
          <w:szCs w:val="24"/>
        </w:rPr>
        <w:t>00kW，由HLA</w:t>
      </w:r>
      <w:r>
        <w:rPr>
          <w:rFonts w:hint="eastAsia" w:ascii="宋体" w:hAnsi="宋体" w:eastAsia="宋体" w:cs="宋体"/>
          <w:sz w:val="24"/>
          <w:szCs w:val="24"/>
          <w:lang w:val="en-US" w:eastAsia="zh-CN"/>
        </w:rPr>
        <w:t>112</w:t>
      </w:r>
      <w:r>
        <w:rPr>
          <w:rFonts w:hint="eastAsia" w:ascii="宋体" w:hAnsi="宋体" w:eastAsia="宋体" w:cs="宋体"/>
          <w:sz w:val="24"/>
          <w:szCs w:val="24"/>
        </w:rPr>
        <w:t>-LJ-</w:t>
      </w:r>
      <w:r>
        <w:rPr>
          <w:rFonts w:hint="eastAsia" w:ascii="宋体" w:hAnsi="宋体" w:eastAsia="宋体" w:cs="宋体"/>
          <w:sz w:val="24"/>
          <w:szCs w:val="24"/>
          <w:lang w:val="en-US" w:eastAsia="zh-CN"/>
        </w:rPr>
        <w:t>71</w:t>
      </w:r>
      <w:r>
        <w:rPr>
          <w:rFonts w:hint="eastAsia" w:ascii="宋体" w:hAnsi="宋体" w:eastAsia="宋体" w:cs="宋体"/>
          <w:sz w:val="24"/>
          <w:szCs w:val="24"/>
        </w:rPr>
        <w:t>型水轮机和SF2</w:t>
      </w:r>
      <w:r>
        <w:rPr>
          <w:rFonts w:hint="eastAsia" w:ascii="宋体" w:hAnsi="宋体" w:eastAsia="宋体" w:cs="宋体"/>
          <w:sz w:val="24"/>
          <w:szCs w:val="24"/>
          <w:lang w:val="en-US" w:eastAsia="zh-CN"/>
        </w:rPr>
        <w:t>0</w:t>
      </w:r>
      <w:r>
        <w:rPr>
          <w:rFonts w:hint="eastAsia" w:ascii="宋体" w:hAnsi="宋体" w:eastAsia="宋体" w:cs="宋体"/>
          <w:sz w:val="24"/>
          <w:szCs w:val="24"/>
        </w:rPr>
        <w:t>00-8/</w:t>
      </w:r>
      <w:r>
        <w:rPr>
          <w:rFonts w:hint="eastAsia" w:ascii="宋体" w:hAnsi="宋体" w:eastAsia="宋体" w:cs="宋体"/>
          <w:sz w:val="24"/>
          <w:szCs w:val="24"/>
          <w:lang w:val="en-US" w:eastAsia="zh-CN"/>
        </w:rPr>
        <w:t>1730</w:t>
      </w:r>
      <w:r>
        <w:rPr>
          <w:rFonts w:hint="eastAsia" w:ascii="宋体" w:hAnsi="宋体" w:eastAsia="宋体" w:cs="宋体"/>
          <w:sz w:val="24"/>
          <w:szCs w:val="24"/>
        </w:rPr>
        <w:t>型发电机组成的水轮发电机组共两套。</w:t>
      </w:r>
    </w:p>
    <w:p w14:paraId="4D51F420">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本次技术改造机组由2×2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00kW增容至2×</w:t>
      </w:r>
      <w:r>
        <w:rPr>
          <w:rFonts w:hint="eastAsia" w:ascii="宋体" w:hAnsi="宋体" w:eastAsia="宋体" w:cs="宋体"/>
          <w:b/>
          <w:bCs/>
          <w:sz w:val="24"/>
          <w:szCs w:val="24"/>
          <w:lang w:eastAsia="zh-CN"/>
        </w:rPr>
        <w:t>2250</w:t>
      </w:r>
      <w:r>
        <w:rPr>
          <w:rFonts w:hint="eastAsia" w:ascii="宋体" w:hAnsi="宋体" w:eastAsia="宋体" w:cs="宋体"/>
          <w:b/>
          <w:bCs/>
          <w:sz w:val="24"/>
          <w:szCs w:val="24"/>
        </w:rPr>
        <w:t>kW</w:t>
      </w:r>
      <w:r>
        <w:rPr>
          <w:rFonts w:hint="eastAsia" w:ascii="宋体" w:hAnsi="宋体" w:eastAsia="宋体" w:cs="宋体"/>
          <w:sz w:val="24"/>
          <w:szCs w:val="24"/>
        </w:rPr>
        <w:t>。</w:t>
      </w:r>
    </w:p>
    <w:p w14:paraId="7C2A813E">
      <w:pPr>
        <w:keepNext/>
        <w:keepLines/>
        <w:spacing w:before="60" w:after="60" w:line="360" w:lineRule="auto"/>
        <w:outlineLvl w:val="2"/>
        <w:rPr>
          <w:rFonts w:hint="eastAsia" w:ascii="宋体" w:hAnsi="宋体" w:eastAsia="宋体" w:cs="宋体"/>
          <w:b/>
          <w:sz w:val="24"/>
          <w:szCs w:val="24"/>
        </w:rPr>
      </w:pPr>
      <w:bookmarkStart w:id="44" w:name="_Toc18335592"/>
      <w:r>
        <w:rPr>
          <w:rFonts w:hint="eastAsia" w:ascii="宋体" w:hAnsi="宋体" w:eastAsia="宋体" w:cs="宋体"/>
          <w:b/>
          <w:sz w:val="24"/>
          <w:szCs w:val="24"/>
        </w:rPr>
        <w:t>1.2 工程自然条件</w:t>
      </w:r>
      <w:bookmarkEnd w:id="39"/>
      <w:bookmarkEnd w:id="40"/>
      <w:bookmarkEnd w:id="41"/>
      <w:bookmarkEnd w:id="42"/>
      <w:bookmarkEnd w:id="43"/>
      <w:bookmarkEnd w:id="44"/>
    </w:p>
    <w:p w14:paraId="53DF2351">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工程现场的环境温度从最低-5℃到最高40℃之间变化。</w:t>
      </w:r>
    </w:p>
    <w:p w14:paraId="593EBBCA">
      <w:pPr>
        <w:keepNext/>
        <w:keepLines/>
        <w:spacing w:before="60" w:after="60" w:line="360" w:lineRule="auto"/>
        <w:outlineLvl w:val="2"/>
        <w:rPr>
          <w:rFonts w:hint="eastAsia" w:ascii="宋体" w:hAnsi="宋体" w:eastAsia="宋体" w:cs="宋体"/>
          <w:b/>
          <w:sz w:val="24"/>
          <w:szCs w:val="24"/>
        </w:rPr>
      </w:pPr>
      <w:bookmarkStart w:id="45" w:name="_Toc18335593"/>
      <w:bookmarkStart w:id="46" w:name="_Toc467836037"/>
      <w:bookmarkStart w:id="47" w:name="_Toc299444802"/>
      <w:bookmarkStart w:id="48" w:name="_Toc491682561"/>
      <w:bookmarkStart w:id="49" w:name="_Toc491682021"/>
      <w:bookmarkStart w:id="50" w:name="_Toc466793714"/>
      <w:r>
        <w:rPr>
          <w:rFonts w:hint="eastAsia" w:ascii="宋体" w:hAnsi="宋体" w:eastAsia="宋体" w:cs="宋体"/>
          <w:b/>
          <w:sz w:val="24"/>
          <w:szCs w:val="24"/>
        </w:rPr>
        <w:t>1.3 交通运输</w:t>
      </w:r>
      <w:bookmarkEnd w:id="45"/>
      <w:bookmarkEnd w:id="46"/>
      <w:bookmarkEnd w:id="47"/>
      <w:bookmarkEnd w:id="48"/>
      <w:bookmarkEnd w:id="49"/>
      <w:bookmarkEnd w:id="50"/>
    </w:p>
    <w:p w14:paraId="2C1C1C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方便</w:t>
      </w:r>
    </w:p>
    <w:p w14:paraId="21C2E130">
      <w:pPr>
        <w:keepNext/>
        <w:keepLines/>
        <w:spacing w:before="60" w:after="60" w:line="360" w:lineRule="auto"/>
        <w:outlineLvl w:val="2"/>
        <w:rPr>
          <w:rFonts w:hint="eastAsia" w:ascii="宋体" w:hAnsi="宋体" w:eastAsia="宋体" w:cs="宋体"/>
          <w:b/>
          <w:sz w:val="24"/>
          <w:szCs w:val="24"/>
        </w:rPr>
      </w:pPr>
      <w:bookmarkStart w:id="51" w:name="_Toc491682562"/>
      <w:bookmarkStart w:id="52" w:name="_Toc491682022"/>
      <w:bookmarkStart w:id="53" w:name="_Toc467836038"/>
      <w:bookmarkStart w:id="54" w:name="_Toc299444803"/>
      <w:bookmarkStart w:id="55" w:name="_Toc466793715"/>
      <w:bookmarkStart w:id="56" w:name="_Toc18335594"/>
      <w:r>
        <w:rPr>
          <w:rFonts w:hint="eastAsia" w:ascii="宋体" w:hAnsi="宋体" w:eastAsia="宋体" w:cs="宋体"/>
          <w:b/>
          <w:sz w:val="24"/>
          <w:szCs w:val="24"/>
        </w:rPr>
        <w:t>1.4 水轮机改造后设备基本参数</w:t>
      </w:r>
    </w:p>
    <w:p w14:paraId="442170D4">
      <w:pPr>
        <w:spacing w:line="360" w:lineRule="auto"/>
        <w:ind w:left="4079" w:leftChars="228" w:hanging="3600" w:hangingChars="15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型号                         HL</w:t>
      </w:r>
      <w:r>
        <w:rPr>
          <w:rFonts w:hint="eastAsia" w:ascii="Times New Roman" w:hAnsi="Times New Roman" w:eastAsia="宋体" w:cs="Times New Roman"/>
          <w:sz w:val="24"/>
          <w:szCs w:val="24"/>
          <w:lang w:val="en-US" w:eastAsia="zh-CN"/>
        </w:rPr>
        <w:t>SH187</w:t>
      </w:r>
      <w:r>
        <w:rPr>
          <w:rFonts w:hint="eastAsia" w:ascii="Times New Roman" w:hAnsi="Times New Roman" w:eastAsia="宋体" w:cs="Times New Roman"/>
          <w:sz w:val="24"/>
          <w:szCs w:val="24"/>
        </w:rPr>
        <w:t>-LJ-</w:t>
      </w:r>
      <w:r>
        <w:rPr>
          <w:rFonts w:hint="eastAsia" w:ascii="Times New Roman" w:hAnsi="Times New Roman" w:eastAsia="宋体" w:cs="Times New Roman"/>
          <w:sz w:val="24"/>
          <w:szCs w:val="24"/>
          <w:lang w:val="en-US" w:eastAsia="zh-CN"/>
        </w:rPr>
        <w:t>73或其他型号转轮</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性能及参数不低</w:t>
      </w:r>
      <w:r>
        <w:rPr>
          <w:rFonts w:hint="eastAsia" w:ascii="Times New Roman" w:hAnsi="Times New Roman" w:eastAsia="宋体" w:cs="Times New Roman"/>
          <w:sz w:val="24"/>
          <w:szCs w:val="24"/>
        </w:rPr>
        <w:t>HL</w:t>
      </w:r>
      <w:r>
        <w:rPr>
          <w:rFonts w:hint="eastAsia" w:ascii="Times New Roman" w:hAnsi="Times New Roman" w:eastAsia="宋体" w:cs="Times New Roman"/>
          <w:sz w:val="24"/>
          <w:szCs w:val="24"/>
          <w:lang w:val="en-US" w:eastAsia="zh-CN"/>
        </w:rPr>
        <w:t>SH187</w:t>
      </w:r>
    </w:p>
    <w:p w14:paraId="77ADE825">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转轮直径D</w:t>
      </w:r>
      <w:r>
        <w:rPr>
          <w:rFonts w:hint="eastAsia" w:ascii="Times New Roman" w:hAnsi="Times New Roman"/>
          <w:sz w:val="24"/>
          <w:szCs w:val="24"/>
          <w:vertAlign w:val="subscript"/>
        </w:rPr>
        <w:t>1</w:t>
      </w:r>
      <w:r>
        <w:rPr>
          <w:rFonts w:hint="eastAsia" w:ascii="Times New Roman" w:hAnsi="Times New Roman"/>
          <w:sz w:val="24"/>
          <w:szCs w:val="24"/>
        </w:rPr>
        <w:t xml:space="preserve">                    φ</w:t>
      </w:r>
      <w:r>
        <w:rPr>
          <w:rFonts w:hint="eastAsia" w:ascii="Times New Roman" w:hAnsi="Times New Roman"/>
          <w:sz w:val="24"/>
          <w:szCs w:val="24"/>
          <w:lang w:val="en-US" w:eastAsia="zh-CN"/>
        </w:rPr>
        <w:t>7</w:t>
      </w:r>
      <w:r>
        <w:rPr>
          <w:rFonts w:hint="eastAsia" w:ascii="Times New Roman" w:hAnsi="Times New Roman"/>
          <w:sz w:val="24"/>
          <w:szCs w:val="24"/>
        </w:rPr>
        <w:t>3cm</w:t>
      </w:r>
    </w:p>
    <w:p w14:paraId="5D9D7411">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 xml:space="preserve">额定水头                      </w:t>
      </w:r>
      <w:r>
        <w:rPr>
          <w:rFonts w:hint="eastAsia" w:ascii="Times New Roman" w:hAnsi="Times New Roman"/>
          <w:sz w:val="24"/>
          <w:szCs w:val="24"/>
          <w:lang w:val="en-US" w:eastAsia="zh-CN"/>
        </w:rPr>
        <w:t>55.45</w:t>
      </w:r>
      <w:r>
        <w:rPr>
          <w:rFonts w:hint="eastAsia" w:ascii="Times New Roman" w:hAnsi="Times New Roman"/>
          <w:sz w:val="24"/>
          <w:szCs w:val="24"/>
        </w:rPr>
        <w:t>m</w:t>
      </w:r>
    </w:p>
    <w:p w14:paraId="5A471E29">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最大水头                      </w:t>
      </w:r>
      <w:r>
        <w:rPr>
          <w:rFonts w:hint="eastAsia" w:ascii="Times New Roman" w:hAnsi="Times New Roman" w:eastAsia="宋体" w:cs="Times New Roman"/>
          <w:sz w:val="24"/>
          <w:szCs w:val="24"/>
          <w:lang w:val="en-US" w:eastAsia="zh-CN"/>
        </w:rPr>
        <w:t>57</w:t>
      </w:r>
      <w:r>
        <w:rPr>
          <w:rFonts w:hint="eastAsia" w:ascii="Times New Roman" w:hAnsi="Times New Roman" w:eastAsia="宋体" w:cs="Times New Roman"/>
          <w:sz w:val="24"/>
          <w:szCs w:val="24"/>
        </w:rPr>
        <w:t>m</w:t>
      </w:r>
    </w:p>
    <w:p w14:paraId="5326F5E7">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最小水头                      </w:t>
      </w:r>
      <w:r>
        <w:rPr>
          <w:rFonts w:hint="eastAsia" w:ascii="Times New Roman" w:hAnsi="Times New Roman" w:eastAsia="宋体" w:cs="Times New Roman"/>
          <w:sz w:val="24"/>
          <w:szCs w:val="24"/>
          <w:lang w:val="en-US" w:eastAsia="zh-CN"/>
        </w:rPr>
        <w:t>53</w:t>
      </w:r>
      <w:r>
        <w:rPr>
          <w:rFonts w:hint="eastAsia" w:ascii="Times New Roman" w:hAnsi="Times New Roman" w:eastAsia="宋体" w:cs="Times New Roman"/>
          <w:sz w:val="24"/>
          <w:szCs w:val="24"/>
        </w:rPr>
        <w:t>m</w:t>
      </w:r>
    </w:p>
    <w:p w14:paraId="03B2C2F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加权平均水头                  </w:t>
      </w:r>
      <w:r>
        <w:rPr>
          <w:rFonts w:hint="eastAsia" w:ascii="Times New Roman" w:hAnsi="Times New Roman" w:eastAsia="宋体" w:cs="Times New Roman"/>
          <w:sz w:val="24"/>
          <w:szCs w:val="24"/>
          <w:lang w:val="en-US" w:eastAsia="zh-CN"/>
        </w:rPr>
        <w:t>55.88</w:t>
      </w:r>
      <w:r>
        <w:rPr>
          <w:rFonts w:hint="eastAsia" w:ascii="Times New Roman" w:hAnsi="Times New Roman" w:eastAsia="宋体" w:cs="Times New Roman"/>
          <w:sz w:val="24"/>
          <w:szCs w:val="24"/>
        </w:rPr>
        <w:t>m</w:t>
      </w:r>
    </w:p>
    <w:p w14:paraId="083AB060">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额定出力                      </w:t>
      </w:r>
      <w:r>
        <w:rPr>
          <w:rFonts w:hint="eastAsia" w:ascii="Times New Roman" w:hAnsi="Times New Roman" w:eastAsia="宋体" w:cs="Times New Roman"/>
          <w:sz w:val="24"/>
          <w:szCs w:val="24"/>
          <w:lang w:val="en-US" w:eastAsia="zh-CN"/>
        </w:rPr>
        <w:t>2400</w:t>
      </w:r>
      <w:r>
        <w:rPr>
          <w:rFonts w:hint="eastAsia" w:ascii="Times New Roman" w:hAnsi="Times New Roman" w:eastAsia="宋体" w:cs="Times New Roman"/>
          <w:sz w:val="24"/>
          <w:szCs w:val="24"/>
        </w:rPr>
        <w:t>kW</w:t>
      </w:r>
    </w:p>
    <w:p w14:paraId="2F67CC39">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额定流量                      </w:t>
      </w:r>
      <w:r>
        <w:rPr>
          <w:rFonts w:hint="eastAsia" w:ascii="Times New Roman" w:hAnsi="Times New Roman" w:eastAsia="宋体" w:cs="Times New Roman"/>
          <w:sz w:val="24"/>
          <w:szCs w:val="24"/>
          <w:lang w:val="en-US" w:eastAsia="zh-CN"/>
        </w:rPr>
        <w:t>4.84</w:t>
      </w:r>
      <w:r>
        <w:rPr>
          <w:rFonts w:hint="eastAsia" w:ascii="Times New Roman" w:hAnsi="Times New Roman" w:eastAsia="宋体" w:cs="Times New Roman"/>
          <w:sz w:val="24"/>
          <w:szCs w:val="24"/>
        </w:rPr>
        <w:t>m3/s</w:t>
      </w:r>
    </w:p>
    <w:p w14:paraId="50B12ADA">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额定转速                      750r/min</w:t>
      </w:r>
    </w:p>
    <w:p w14:paraId="4BE1BC76">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额定效率                      9</w:t>
      </w:r>
      <w:r>
        <w:rPr>
          <w:rFonts w:hint="eastAsia" w:ascii="Times New Roman" w:hAnsi="Times New Roman" w:eastAsia="宋体" w:cs="Times New Roman"/>
          <w:sz w:val="24"/>
          <w:szCs w:val="24"/>
          <w:lang w:val="en-US" w:eastAsia="zh-CN"/>
        </w:rPr>
        <w:t>1.8</w:t>
      </w:r>
      <w:r>
        <w:rPr>
          <w:rFonts w:hint="eastAsia" w:ascii="Times New Roman" w:hAnsi="Times New Roman" w:eastAsia="宋体" w:cs="Times New Roman"/>
          <w:sz w:val="24"/>
          <w:szCs w:val="24"/>
        </w:rPr>
        <w:t>%</w:t>
      </w:r>
    </w:p>
    <w:p w14:paraId="4DA4F57A">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飞逸转速                      1</w:t>
      </w:r>
      <w:r>
        <w:rPr>
          <w:rFonts w:hint="eastAsia" w:ascii="Times New Roman" w:hAnsi="Times New Roman" w:eastAsia="宋体" w:cs="Times New Roman"/>
          <w:sz w:val="24"/>
          <w:szCs w:val="24"/>
          <w:lang w:val="en-US" w:eastAsia="zh-CN"/>
        </w:rPr>
        <w:t>650</w:t>
      </w:r>
      <w:r>
        <w:rPr>
          <w:rFonts w:hint="eastAsia" w:ascii="Times New Roman" w:hAnsi="Times New Roman" w:eastAsia="宋体" w:cs="Times New Roman"/>
          <w:sz w:val="24"/>
          <w:szCs w:val="24"/>
        </w:rPr>
        <w:t>r/min</w:t>
      </w:r>
    </w:p>
    <w:p w14:paraId="2C28F53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允许吸出高度                  1.</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0m</w:t>
      </w:r>
    </w:p>
    <w:p w14:paraId="238DB07D">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装机吸出高度                  -0.</w:t>
      </w:r>
      <w:r>
        <w:rPr>
          <w:rFonts w:hint="eastAsia"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rPr>
        <w:t>m</w:t>
      </w:r>
    </w:p>
    <w:p w14:paraId="14459B20">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水轮机安装高程                </w:t>
      </w:r>
      <w:r>
        <w:rPr>
          <w:rFonts w:hint="eastAsia" w:ascii="Times New Roman" w:hAnsi="Times New Roman" w:eastAsia="宋体" w:cs="Times New Roman"/>
          <w:sz w:val="24"/>
          <w:szCs w:val="24"/>
          <w:lang w:val="en-US" w:eastAsia="zh-CN"/>
        </w:rPr>
        <w:t>237.7</w:t>
      </w:r>
      <w:r>
        <w:rPr>
          <w:rFonts w:hint="eastAsia" w:ascii="Times New Roman" w:hAnsi="Times New Roman" w:eastAsia="宋体" w:cs="Times New Roman"/>
          <w:sz w:val="24"/>
          <w:szCs w:val="24"/>
        </w:rPr>
        <w:t>m</w:t>
      </w:r>
    </w:p>
    <w:p w14:paraId="3F275F33">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1.5 发电机改造后设备基本参数</w:t>
      </w:r>
      <w:bookmarkEnd w:id="51"/>
      <w:bookmarkEnd w:id="52"/>
      <w:bookmarkEnd w:id="53"/>
      <w:bookmarkEnd w:id="54"/>
      <w:bookmarkEnd w:id="55"/>
      <w:bookmarkEnd w:id="56"/>
    </w:p>
    <w:p w14:paraId="0C473FF4">
      <w:pPr>
        <w:spacing w:line="360" w:lineRule="auto"/>
        <w:ind w:firstLine="480" w:firstLineChars="200"/>
        <w:rPr>
          <w:rFonts w:hint="default" w:ascii="Times New Roman" w:hAnsi="Times New Roman" w:eastAsia="宋体" w:cs="Times New Roman"/>
          <w:sz w:val="24"/>
          <w:szCs w:val="24"/>
          <w:lang w:val="en-US" w:eastAsia="zh-CN"/>
        </w:rPr>
      </w:pPr>
      <w:bookmarkStart w:id="57" w:name="_Toc18335596"/>
      <w:bookmarkStart w:id="58" w:name="_Toc413165978"/>
      <w:r>
        <w:rPr>
          <w:rFonts w:hint="eastAsia" w:ascii="Times New Roman" w:hAnsi="Times New Roman" w:eastAsia="宋体" w:cs="Times New Roman"/>
          <w:sz w:val="24"/>
          <w:szCs w:val="24"/>
        </w:rPr>
        <w:t>型号                          SF</w:t>
      </w:r>
      <w:r>
        <w:rPr>
          <w:rFonts w:hint="eastAsia" w:ascii="Times New Roman" w:hAnsi="Times New Roman" w:eastAsia="宋体" w:cs="Times New Roman"/>
          <w:sz w:val="24"/>
          <w:szCs w:val="24"/>
          <w:lang w:val="en-US" w:eastAsia="zh-CN"/>
        </w:rPr>
        <w:t>225</w:t>
      </w:r>
      <w:r>
        <w:rPr>
          <w:rFonts w:hint="eastAsia" w:ascii="Times New Roman" w:hAnsi="Times New Roman" w:eastAsia="宋体" w:cs="Times New Roman"/>
          <w:sz w:val="24"/>
          <w:szCs w:val="24"/>
        </w:rPr>
        <w:t>0-8/</w:t>
      </w:r>
      <w:r>
        <w:rPr>
          <w:rFonts w:hint="eastAsia" w:ascii="Times New Roman" w:hAnsi="Times New Roman" w:eastAsia="宋体" w:cs="Times New Roman"/>
          <w:sz w:val="24"/>
          <w:szCs w:val="24"/>
          <w:lang w:val="en-US" w:eastAsia="zh-CN"/>
        </w:rPr>
        <w:t>1730</w:t>
      </w:r>
    </w:p>
    <w:p w14:paraId="3B78FCBB">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额定容量                      </w:t>
      </w:r>
      <w:r>
        <w:rPr>
          <w:rFonts w:hint="eastAsia" w:ascii="Times New Roman" w:hAnsi="Times New Roman" w:eastAsia="宋体" w:cs="Times New Roman"/>
          <w:sz w:val="24"/>
          <w:szCs w:val="24"/>
          <w:lang w:val="en-US" w:eastAsia="zh-CN"/>
        </w:rPr>
        <w:t>225</w:t>
      </w:r>
      <w:r>
        <w:rPr>
          <w:rFonts w:hint="eastAsia" w:ascii="Times New Roman" w:hAnsi="Times New Roman" w:eastAsia="宋体" w:cs="Times New Roman"/>
          <w:sz w:val="24"/>
          <w:szCs w:val="24"/>
        </w:rPr>
        <w:t>0kW/</w:t>
      </w:r>
      <w:r>
        <w:rPr>
          <w:rFonts w:hint="eastAsia" w:ascii="Times New Roman" w:hAnsi="Times New Roman" w:eastAsia="宋体" w:cs="Times New Roman"/>
          <w:sz w:val="24"/>
          <w:szCs w:val="24"/>
          <w:lang w:val="en-US" w:eastAsia="zh-CN"/>
        </w:rPr>
        <w:t>28</w:t>
      </w:r>
      <w:r>
        <w:rPr>
          <w:rFonts w:hint="eastAsia" w:ascii="Times New Roman" w:hAnsi="Times New Roman" w:eastAsia="宋体" w:cs="Times New Roman"/>
          <w:sz w:val="24"/>
          <w:szCs w:val="24"/>
        </w:rPr>
        <w:t>00kVA</w:t>
      </w:r>
    </w:p>
    <w:p w14:paraId="538B9AF0">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额定电压                      6.3kV</w:t>
      </w:r>
    </w:p>
    <w:p w14:paraId="372F2248">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额定电流                      </w:t>
      </w:r>
      <w:r>
        <w:rPr>
          <w:rFonts w:hint="eastAsia" w:ascii="Times New Roman" w:hAnsi="Times New Roman" w:eastAsia="宋体" w:cs="Times New Roman"/>
          <w:sz w:val="24"/>
          <w:szCs w:val="24"/>
          <w:lang w:val="en-US" w:eastAsia="zh-CN"/>
        </w:rPr>
        <w:t>256.6</w:t>
      </w:r>
      <w:r>
        <w:rPr>
          <w:rFonts w:hint="eastAsia" w:ascii="Times New Roman" w:hAnsi="Times New Roman" w:eastAsia="宋体" w:cs="Times New Roman"/>
          <w:sz w:val="24"/>
          <w:szCs w:val="24"/>
        </w:rPr>
        <w:t>A</w:t>
      </w:r>
    </w:p>
    <w:p w14:paraId="22E2657F">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额定转速                      750r/min</w:t>
      </w:r>
    </w:p>
    <w:p w14:paraId="084FA09C">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功率因数                      0.80(滞后)</w:t>
      </w:r>
    </w:p>
    <w:p w14:paraId="72EC64B0">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额定频率                      50Hz</w:t>
      </w:r>
    </w:p>
    <w:p w14:paraId="0C6B91C5">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飞逸转速                      </w:t>
      </w:r>
      <w:r>
        <w:rPr>
          <w:rFonts w:hint="eastAsia" w:ascii="Times New Roman" w:hAnsi="Times New Roman" w:eastAsia="宋体" w:cs="Times New Roman"/>
          <w:sz w:val="24"/>
          <w:szCs w:val="24"/>
          <w:lang w:val="en-US" w:eastAsia="zh-CN"/>
        </w:rPr>
        <w:t>1650</w:t>
      </w:r>
      <w:r>
        <w:rPr>
          <w:rFonts w:hint="eastAsia" w:ascii="Times New Roman" w:hAnsi="Times New Roman" w:eastAsia="宋体" w:cs="Times New Roman"/>
          <w:sz w:val="24"/>
          <w:szCs w:val="24"/>
        </w:rPr>
        <w:t>r/min</w:t>
      </w:r>
    </w:p>
    <w:p w14:paraId="1D7EEDC4">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转动惯量                      </w:t>
      </w:r>
      <w:r>
        <w:rPr>
          <w:rFonts w:hint="eastAsia" w:ascii="Times New Roman" w:hAnsi="Times New Roman" w:eastAsia="宋体" w:cs="Times New Roman"/>
          <w:sz w:val="24"/>
          <w:szCs w:val="24"/>
          <w:lang w:val="en-US" w:eastAsia="zh-CN"/>
        </w:rPr>
        <w:t xml:space="preserve">4.64 </w:t>
      </w:r>
      <w:r>
        <w:rPr>
          <w:rFonts w:hint="eastAsia" w:ascii="Times New Roman" w:hAnsi="Times New Roman" w:eastAsia="宋体" w:cs="Times New Roman"/>
          <w:sz w:val="24"/>
          <w:szCs w:val="24"/>
        </w:rPr>
        <w:t>t·m2</w:t>
      </w:r>
    </w:p>
    <w:p w14:paraId="33B4AC71">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额定效率                      95%</w:t>
      </w:r>
    </w:p>
    <w:p w14:paraId="4C5F3AE2">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1.6 调速器改造后设备基本参数</w:t>
      </w:r>
    </w:p>
    <w:p w14:paraId="53F227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调速器型式</w:t>
      </w:r>
      <w:r>
        <w:rPr>
          <w:rFonts w:hint="eastAsia" w:ascii="宋体" w:hAnsi="宋体" w:eastAsia="宋体" w:cs="宋体"/>
          <w:sz w:val="24"/>
          <w:szCs w:val="24"/>
        </w:rPr>
        <w:tab/>
      </w:r>
      <w:r>
        <w:rPr>
          <w:rFonts w:hint="eastAsia" w:ascii="宋体" w:hAnsi="宋体" w:eastAsia="宋体" w:cs="宋体"/>
          <w:sz w:val="24"/>
          <w:szCs w:val="24"/>
        </w:rPr>
        <w:t xml:space="preserve">                高油压免充气微机调速器</w:t>
      </w:r>
    </w:p>
    <w:p w14:paraId="7D4457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调速器型号</w:t>
      </w:r>
      <w:r>
        <w:rPr>
          <w:rFonts w:hint="eastAsia" w:ascii="宋体" w:hAnsi="宋体" w:eastAsia="宋体" w:cs="宋体"/>
          <w:sz w:val="24"/>
          <w:szCs w:val="24"/>
        </w:rPr>
        <w:tab/>
      </w:r>
      <w:r>
        <w:rPr>
          <w:rFonts w:hint="eastAsia" w:ascii="宋体" w:hAnsi="宋体" w:eastAsia="宋体" w:cs="宋体"/>
          <w:sz w:val="24"/>
          <w:szCs w:val="24"/>
        </w:rPr>
        <w:t xml:space="preserve">                GYWT-1000</w:t>
      </w:r>
    </w:p>
    <w:p w14:paraId="2F33BB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调节规律</w:t>
      </w:r>
      <w:r>
        <w:rPr>
          <w:rFonts w:hint="eastAsia" w:ascii="宋体" w:hAnsi="宋体" w:eastAsia="宋体" w:cs="宋体"/>
          <w:sz w:val="24"/>
          <w:szCs w:val="24"/>
        </w:rPr>
        <w:tab/>
      </w:r>
      <w:r>
        <w:rPr>
          <w:rFonts w:hint="eastAsia" w:ascii="宋体" w:hAnsi="宋体" w:eastAsia="宋体" w:cs="宋体"/>
          <w:sz w:val="24"/>
          <w:szCs w:val="24"/>
        </w:rPr>
        <w:t xml:space="preserve">                    PID</w:t>
      </w:r>
    </w:p>
    <w:p w14:paraId="01E58A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调速器容量</w:t>
      </w:r>
      <w:r>
        <w:rPr>
          <w:rFonts w:hint="eastAsia" w:ascii="宋体" w:hAnsi="宋体" w:eastAsia="宋体" w:cs="宋体"/>
          <w:sz w:val="24"/>
          <w:szCs w:val="24"/>
        </w:rPr>
        <w:tab/>
      </w:r>
      <w:r>
        <w:rPr>
          <w:rFonts w:hint="eastAsia" w:ascii="宋体" w:hAnsi="宋体" w:eastAsia="宋体" w:cs="宋体"/>
          <w:sz w:val="24"/>
          <w:szCs w:val="24"/>
        </w:rPr>
        <w:t xml:space="preserve">                10000N·m</w:t>
      </w:r>
    </w:p>
    <w:p w14:paraId="6A96D2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控制对象</w:t>
      </w:r>
      <w:r>
        <w:rPr>
          <w:rFonts w:hint="eastAsia" w:ascii="宋体" w:hAnsi="宋体" w:eastAsia="宋体" w:cs="宋体"/>
          <w:sz w:val="24"/>
          <w:szCs w:val="24"/>
        </w:rPr>
        <w:tab/>
      </w:r>
      <w:r>
        <w:rPr>
          <w:rFonts w:hint="eastAsia" w:ascii="宋体" w:hAnsi="宋体" w:eastAsia="宋体" w:cs="宋体"/>
          <w:sz w:val="24"/>
          <w:szCs w:val="24"/>
        </w:rPr>
        <w:t xml:space="preserve">                    水轮机活动导叶</w:t>
      </w:r>
    </w:p>
    <w:p w14:paraId="7B025A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关闭规律</w:t>
      </w:r>
      <w:r>
        <w:rPr>
          <w:rFonts w:hint="eastAsia" w:ascii="宋体" w:hAnsi="宋体" w:eastAsia="宋体" w:cs="宋体"/>
          <w:sz w:val="24"/>
          <w:szCs w:val="24"/>
        </w:rPr>
        <w:tab/>
      </w:r>
      <w:r>
        <w:rPr>
          <w:rFonts w:hint="eastAsia" w:ascii="宋体" w:hAnsi="宋体" w:eastAsia="宋体" w:cs="宋体"/>
          <w:sz w:val="24"/>
          <w:szCs w:val="24"/>
        </w:rPr>
        <w:t xml:space="preserve">                    一段关闭</w:t>
      </w:r>
    </w:p>
    <w:p w14:paraId="78CCC3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额定操作油压</w:t>
      </w:r>
      <w:r>
        <w:rPr>
          <w:rFonts w:hint="eastAsia" w:ascii="宋体" w:hAnsi="宋体" w:eastAsia="宋体" w:cs="宋体"/>
          <w:sz w:val="24"/>
          <w:szCs w:val="24"/>
        </w:rPr>
        <w:tab/>
      </w:r>
      <w:r>
        <w:rPr>
          <w:rFonts w:hint="eastAsia" w:ascii="宋体" w:hAnsi="宋体" w:eastAsia="宋体" w:cs="宋体"/>
          <w:sz w:val="24"/>
          <w:szCs w:val="24"/>
        </w:rPr>
        <w:t xml:space="preserve">                16.0MPa </w:t>
      </w:r>
    </w:p>
    <w:p w14:paraId="10F7CA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压力油罐型式</w:t>
      </w:r>
      <w:r>
        <w:rPr>
          <w:rFonts w:hint="eastAsia" w:ascii="宋体" w:hAnsi="宋体" w:eastAsia="宋体" w:cs="宋体"/>
          <w:sz w:val="24"/>
          <w:szCs w:val="24"/>
        </w:rPr>
        <w:tab/>
      </w:r>
      <w:r>
        <w:rPr>
          <w:rFonts w:hint="eastAsia" w:ascii="宋体" w:hAnsi="宋体" w:eastAsia="宋体" w:cs="宋体"/>
          <w:sz w:val="24"/>
          <w:szCs w:val="24"/>
        </w:rPr>
        <w:t xml:space="preserve">                氮气囊充氮气</w:t>
      </w:r>
    </w:p>
    <w:p w14:paraId="2EC78A73">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1.7 一般规定与规范</w:t>
      </w:r>
      <w:bookmarkEnd w:id="57"/>
    </w:p>
    <w:p w14:paraId="4B6D43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文件中采用的技术标准名称和编写代号：</w:t>
      </w:r>
    </w:p>
    <w:p w14:paraId="301EE6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机构或标准名称</w:t>
      </w:r>
      <w:r>
        <w:rPr>
          <w:rFonts w:hint="eastAsia" w:ascii="宋体" w:hAnsi="宋体" w:eastAsia="宋体" w:cs="宋体"/>
          <w:sz w:val="24"/>
          <w:szCs w:val="24"/>
        </w:rPr>
        <w:tab/>
      </w:r>
      <w:r>
        <w:rPr>
          <w:rFonts w:hint="eastAsia" w:ascii="宋体" w:hAnsi="宋体" w:eastAsia="宋体" w:cs="宋体"/>
          <w:sz w:val="24"/>
          <w:szCs w:val="24"/>
        </w:rPr>
        <w:t xml:space="preserve">                           缩写</w:t>
      </w:r>
    </w:p>
    <w:p w14:paraId="716854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国际电工委员会</w:t>
      </w:r>
      <w:r>
        <w:rPr>
          <w:rFonts w:hint="eastAsia" w:ascii="宋体" w:hAnsi="宋体" w:eastAsia="宋体" w:cs="宋体"/>
          <w:sz w:val="24"/>
          <w:szCs w:val="24"/>
        </w:rPr>
        <w:tab/>
      </w:r>
      <w:r>
        <w:rPr>
          <w:rFonts w:hint="eastAsia" w:ascii="宋体" w:hAnsi="宋体" w:eastAsia="宋体" w:cs="宋体"/>
          <w:sz w:val="24"/>
          <w:szCs w:val="24"/>
        </w:rPr>
        <w:t xml:space="preserve">                           IEC</w:t>
      </w:r>
    </w:p>
    <w:p w14:paraId="667442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国际标准化组织</w:t>
      </w:r>
      <w:r>
        <w:rPr>
          <w:rFonts w:hint="eastAsia" w:ascii="宋体" w:hAnsi="宋体" w:eastAsia="宋体" w:cs="宋体"/>
          <w:sz w:val="24"/>
          <w:szCs w:val="24"/>
        </w:rPr>
        <w:tab/>
      </w:r>
      <w:r>
        <w:rPr>
          <w:rFonts w:hint="eastAsia" w:ascii="宋体" w:hAnsi="宋体" w:eastAsia="宋体" w:cs="宋体"/>
          <w:sz w:val="24"/>
          <w:szCs w:val="24"/>
        </w:rPr>
        <w:t xml:space="preserve">                           ISO</w:t>
      </w:r>
    </w:p>
    <w:p w14:paraId="7FCE29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电子和电气工程师协会                        IEEE</w:t>
      </w:r>
    </w:p>
    <w:p w14:paraId="04094D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中华人民共和国国家标准</w:t>
      </w:r>
      <w:r>
        <w:rPr>
          <w:rFonts w:hint="eastAsia" w:ascii="宋体" w:hAnsi="宋体" w:eastAsia="宋体" w:cs="宋体"/>
          <w:sz w:val="24"/>
          <w:szCs w:val="24"/>
        </w:rPr>
        <w:tab/>
      </w:r>
      <w:r>
        <w:rPr>
          <w:rFonts w:hint="eastAsia" w:ascii="宋体" w:hAnsi="宋体" w:eastAsia="宋体" w:cs="宋体"/>
          <w:sz w:val="24"/>
          <w:szCs w:val="24"/>
        </w:rPr>
        <w:t xml:space="preserve">                    GB</w:t>
      </w:r>
    </w:p>
    <w:p w14:paraId="313BB4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中华人民共和国电力行业标准</w:t>
      </w:r>
      <w:r>
        <w:rPr>
          <w:rFonts w:hint="eastAsia" w:ascii="宋体" w:hAnsi="宋体" w:eastAsia="宋体" w:cs="宋体"/>
          <w:sz w:val="24"/>
          <w:szCs w:val="24"/>
        </w:rPr>
        <w:tab/>
      </w:r>
      <w:r>
        <w:rPr>
          <w:rFonts w:hint="eastAsia" w:ascii="宋体" w:hAnsi="宋体" w:eastAsia="宋体" w:cs="宋体"/>
          <w:sz w:val="24"/>
          <w:szCs w:val="24"/>
        </w:rPr>
        <w:t xml:space="preserve">                DL</w:t>
      </w:r>
    </w:p>
    <w:p w14:paraId="0E0176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中国城乡建设和环保部部颁标准               JGJ</w:t>
      </w:r>
    </w:p>
    <w:p w14:paraId="05E57C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中国材料学行业标准                         ZBG</w:t>
      </w:r>
    </w:p>
    <w:p w14:paraId="2BE842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水电部标准</w:t>
      </w:r>
      <w:r>
        <w:rPr>
          <w:rFonts w:hint="eastAsia" w:ascii="宋体" w:hAnsi="宋体" w:eastAsia="宋体" w:cs="宋体"/>
          <w:sz w:val="24"/>
          <w:szCs w:val="24"/>
        </w:rPr>
        <w:tab/>
      </w:r>
      <w:r>
        <w:rPr>
          <w:rFonts w:hint="eastAsia" w:ascii="宋体" w:hAnsi="宋体" w:eastAsia="宋体" w:cs="宋体"/>
          <w:sz w:val="24"/>
          <w:szCs w:val="24"/>
        </w:rPr>
        <w:t xml:space="preserve">                              SD</w:t>
      </w:r>
    </w:p>
    <w:p w14:paraId="07D62A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机械部标准</w:t>
      </w:r>
      <w:r>
        <w:rPr>
          <w:rFonts w:hint="eastAsia" w:ascii="宋体" w:hAnsi="宋体" w:eastAsia="宋体" w:cs="宋体"/>
          <w:sz w:val="24"/>
          <w:szCs w:val="24"/>
        </w:rPr>
        <w:tab/>
      </w:r>
      <w:r>
        <w:rPr>
          <w:rFonts w:hint="eastAsia" w:ascii="宋体" w:hAnsi="宋体" w:eastAsia="宋体" w:cs="宋体"/>
          <w:sz w:val="24"/>
          <w:szCs w:val="24"/>
        </w:rPr>
        <w:t xml:space="preserve">                              JB</w:t>
      </w:r>
    </w:p>
    <w:p w14:paraId="4EF3AA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石油部标准</w:t>
      </w:r>
      <w:r>
        <w:rPr>
          <w:rFonts w:hint="eastAsia" w:ascii="宋体" w:hAnsi="宋体" w:eastAsia="宋体" w:cs="宋体"/>
          <w:sz w:val="24"/>
          <w:szCs w:val="24"/>
        </w:rPr>
        <w:tab/>
      </w:r>
      <w:r>
        <w:rPr>
          <w:rFonts w:hint="eastAsia" w:ascii="宋体" w:hAnsi="宋体" w:eastAsia="宋体" w:cs="宋体"/>
          <w:sz w:val="24"/>
          <w:szCs w:val="24"/>
        </w:rPr>
        <w:t xml:space="preserve">                              SY</w:t>
      </w:r>
    </w:p>
    <w:p w14:paraId="26194E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冶金部标准</w:t>
      </w:r>
      <w:r>
        <w:rPr>
          <w:rFonts w:hint="eastAsia" w:ascii="宋体" w:hAnsi="宋体" w:eastAsia="宋体" w:cs="宋体"/>
          <w:sz w:val="24"/>
          <w:szCs w:val="24"/>
        </w:rPr>
        <w:tab/>
      </w:r>
      <w:r>
        <w:rPr>
          <w:rFonts w:hint="eastAsia" w:ascii="宋体" w:hAnsi="宋体" w:eastAsia="宋体" w:cs="宋体"/>
          <w:sz w:val="24"/>
          <w:szCs w:val="24"/>
        </w:rPr>
        <w:t xml:space="preserve">                              YB</w:t>
      </w:r>
    </w:p>
    <w:p w14:paraId="4C27B8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国际电气防护等级                            IP</w:t>
      </w:r>
    </w:p>
    <w:p w14:paraId="03B5C8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材料标准</w:t>
      </w:r>
    </w:p>
    <w:p w14:paraId="18A060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灰铁铸件</w:t>
      </w:r>
      <w:r>
        <w:rPr>
          <w:rFonts w:hint="eastAsia" w:ascii="宋体" w:hAnsi="宋体" w:eastAsia="宋体" w:cs="宋体"/>
          <w:sz w:val="24"/>
          <w:szCs w:val="24"/>
        </w:rPr>
        <w:tab/>
      </w:r>
      <w:r>
        <w:rPr>
          <w:rFonts w:hint="eastAsia" w:ascii="宋体" w:hAnsi="宋体" w:eastAsia="宋体" w:cs="宋体"/>
          <w:sz w:val="24"/>
          <w:szCs w:val="24"/>
        </w:rPr>
        <w:t xml:space="preserve">                                  GB9439</w:t>
      </w:r>
    </w:p>
    <w:p w14:paraId="3A84D2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一般工程用铸造碳钢</w:t>
      </w:r>
      <w:r>
        <w:rPr>
          <w:rFonts w:hint="eastAsia" w:ascii="宋体" w:hAnsi="宋体" w:eastAsia="宋体" w:cs="宋体"/>
          <w:sz w:val="24"/>
          <w:szCs w:val="24"/>
        </w:rPr>
        <w:tab/>
      </w:r>
      <w:r>
        <w:rPr>
          <w:rFonts w:hint="eastAsia" w:ascii="宋体" w:hAnsi="宋体" w:eastAsia="宋体" w:cs="宋体"/>
          <w:sz w:val="24"/>
          <w:szCs w:val="24"/>
        </w:rPr>
        <w:t xml:space="preserve">                       GB11352</w:t>
      </w:r>
    </w:p>
    <w:p w14:paraId="1F86E7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工程结构用中、高强度不锈钢铸件</w:t>
      </w:r>
      <w:r>
        <w:rPr>
          <w:rFonts w:hint="eastAsia" w:ascii="宋体" w:hAnsi="宋体" w:eastAsia="宋体" w:cs="宋体"/>
          <w:sz w:val="24"/>
          <w:szCs w:val="24"/>
        </w:rPr>
        <w:tab/>
      </w:r>
      <w:r>
        <w:rPr>
          <w:rFonts w:hint="eastAsia" w:ascii="宋体" w:hAnsi="宋体" w:eastAsia="宋体" w:cs="宋体"/>
          <w:sz w:val="24"/>
          <w:szCs w:val="24"/>
        </w:rPr>
        <w:t xml:space="preserve">             GB6967</w:t>
      </w:r>
    </w:p>
    <w:p w14:paraId="2EA0FD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优质碳素结构钢技术条件</w:t>
      </w:r>
      <w:r>
        <w:rPr>
          <w:rFonts w:hint="eastAsia" w:ascii="宋体" w:hAnsi="宋体" w:eastAsia="宋体" w:cs="宋体"/>
          <w:sz w:val="24"/>
          <w:szCs w:val="24"/>
        </w:rPr>
        <w:tab/>
      </w:r>
      <w:r>
        <w:rPr>
          <w:rFonts w:hint="eastAsia" w:ascii="宋体" w:hAnsi="宋体" w:eastAsia="宋体" w:cs="宋体"/>
          <w:sz w:val="24"/>
          <w:szCs w:val="24"/>
        </w:rPr>
        <w:t xml:space="preserve">                    GB699</w:t>
      </w:r>
    </w:p>
    <w:p w14:paraId="038F08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碳素结构钢</w:t>
      </w:r>
      <w:r>
        <w:rPr>
          <w:rFonts w:hint="eastAsia" w:ascii="宋体" w:hAnsi="宋体" w:eastAsia="宋体" w:cs="宋体"/>
          <w:sz w:val="24"/>
          <w:szCs w:val="24"/>
        </w:rPr>
        <w:tab/>
      </w:r>
      <w:r>
        <w:rPr>
          <w:rFonts w:hint="eastAsia" w:ascii="宋体" w:hAnsi="宋体" w:eastAsia="宋体" w:cs="宋体"/>
          <w:sz w:val="24"/>
          <w:szCs w:val="24"/>
        </w:rPr>
        <w:t xml:space="preserve">                              GB700</w:t>
      </w:r>
    </w:p>
    <w:p w14:paraId="69D5D1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优质碳素结构钢                             GB699</w:t>
      </w:r>
    </w:p>
    <w:p w14:paraId="743C03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低合金高强度结构钢</w:t>
      </w:r>
      <w:r>
        <w:rPr>
          <w:rFonts w:hint="eastAsia" w:ascii="宋体" w:hAnsi="宋体" w:eastAsia="宋体" w:cs="宋体"/>
          <w:sz w:val="24"/>
          <w:szCs w:val="24"/>
        </w:rPr>
        <w:tab/>
      </w:r>
      <w:r>
        <w:rPr>
          <w:rFonts w:hint="eastAsia" w:ascii="宋体" w:hAnsi="宋体" w:eastAsia="宋体" w:cs="宋体"/>
          <w:sz w:val="24"/>
          <w:szCs w:val="24"/>
        </w:rPr>
        <w:t xml:space="preserve">                       GB/T1591</w:t>
      </w:r>
    </w:p>
    <w:p w14:paraId="2C91BF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压力容器用碳素钢和低合金钢厚钢板</w:t>
      </w:r>
      <w:r>
        <w:rPr>
          <w:rFonts w:hint="eastAsia" w:ascii="宋体" w:hAnsi="宋体" w:eastAsia="宋体" w:cs="宋体"/>
          <w:sz w:val="24"/>
          <w:szCs w:val="24"/>
        </w:rPr>
        <w:tab/>
      </w:r>
      <w:r>
        <w:rPr>
          <w:rFonts w:hint="eastAsia" w:ascii="宋体" w:hAnsi="宋体" w:eastAsia="宋体" w:cs="宋体"/>
          <w:sz w:val="24"/>
          <w:szCs w:val="24"/>
        </w:rPr>
        <w:t xml:space="preserve">         GB6654</w:t>
      </w:r>
    </w:p>
    <w:p w14:paraId="5B79F0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优质碳素结构钢热轧厚钢板和宽钢带</w:t>
      </w:r>
      <w:r>
        <w:rPr>
          <w:rFonts w:hint="eastAsia" w:ascii="宋体" w:hAnsi="宋体" w:eastAsia="宋体" w:cs="宋体"/>
          <w:sz w:val="24"/>
          <w:szCs w:val="24"/>
        </w:rPr>
        <w:tab/>
      </w:r>
      <w:r>
        <w:rPr>
          <w:rFonts w:hint="eastAsia" w:ascii="宋体" w:hAnsi="宋体" w:eastAsia="宋体" w:cs="宋体"/>
          <w:sz w:val="24"/>
          <w:szCs w:val="24"/>
        </w:rPr>
        <w:t xml:space="preserve">         GB711</w:t>
      </w:r>
    </w:p>
    <w:p w14:paraId="136032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普通碳素结构钢和低合金结构钢薄钢板技术条件  GB912</w:t>
      </w:r>
    </w:p>
    <w:p w14:paraId="570164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碳素结构钢和低合金结构钢热扎厚钢板和钢带</w:t>
      </w:r>
      <w:r>
        <w:rPr>
          <w:rFonts w:hint="eastAsia" w:ascii="宋体" w:hAnsi="宋体" w:eastAsia="宋体" w:cs="宋体"/>
          <w:sz w:val="24"/>
          <w:szCs w:val="24"/>
        </w:rPr>
        <w:tab/>
      </w:r>
      <w:r>
        <w:rPr>
          <w:rFonts w:hint="eastAsia" w:ascii="宋体" w:hAnsi="宋体" w:eastAsia="宋体" w:cs="宋体"/>
          <w:sz w:val="24"/>
          <w:szCs w:val="24"/>
        </w:rPr>
        <w:t xml:space="preserve">  GB3274</w:t>
      </w:r>
    </w:p>
    <w:p w14:paraId="3F4C28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合金结构钢技术条件</w:t>
      </w:r>
      <w:r>
        <w:rPr>
          <w:rFonts w:hint="eastAsia" w:ascii="宋体" w:hAnsi="宋体" w:eastAsia="宋体" w:cs="宋体"/>
          <w:sz w:val="24"/>
          <w:szCs w:val="24"/>
        </w:rPr>
        <w:tab/>
      </w:r>
      <w:r>
        <w:rPr>
          <w:rFonts w:hint="eastAsia" w:ascii="宋体" w:hAnsi="宋体" w:eastAsia="宋体" w:cs="宋体"/>
          <w:sz w:val="24"/>
          <w:szCs w:val="24"/>
        </w:rPr>
        <w:t xml:space="preserve">                       GB3077</w:t>
      </w:r>
    </w:p>
    <w:p w14:paraId="144AC0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一般工程用铸造碳钢                         GB11352</w:t>
      </w:r>
    </w:p>
    <w:p w14:paraId="27CBCD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碳钢焊条                                   GB5117</w:t>
      </w:r>
    </w:p>
    <w:p w14:paraId="55F054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低合金钢焊条                               GB5118</w:t>
      </w:r>
    </w:p>
    <w:p w14:paraId="6E0BF6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不锈钢焊条                                 GB983</w:t>
      </w:r>
    </w:p>
    <w:p w14:paraId="4BB258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紧固件机械性能 螺栓、螺钉和螺柱            GB3098.1</w:t>
      </w:r>
    </w:p>
    <w:p w14:paraId="2A5086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紧固件机械性能 螺母                        GB3098.2</w:t>
      </w:r>
    </w:p>
    <w:p w14:paraId="209294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低压流体输送用焊接钢管</w:t>
      </w:r>
      <w:r>
        <w:rPr>
          <w:rFonts w:hint="eastAsia" w:ascii="宋体" w:hAnsi="宋体" w:eastAsia="宋体" w:cs="宋体"/>
          <w:sz w:val="24"/>
          <w:szCs w:val="24"/>
        </w:rPr>
        <w:tab/>
      </w:r>
      <w:r>
        <w:rPr>
          <w:rFonts w:hint="eastAsia" w:ascii="宋体" w:hAnsi="宋体" w:eastAsia="宋体" w:cs="宋体"/>
          <w:sz w:val="24"/>
          <w:szCs w:val="24"/>
        </w:rPr>
        <w:t xml:space="preserve">                   GB/T3092</w:t>
      </w:r>
    </w:p>
    <w:p w14:paraId="54D6A6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输送流体用焊接钢管</w:t>
      </w:r>
      <w:r>
        <w:rPr>
          <w:rFonts w:hint="eastAsia" w:ascii="宋体" w:hAnsi="宋体" w:eastAsia="宋体" w:cs="宋体"/>
          <w:sz w:val="24"/>
          <w:szCs w:val="24"/>
        </w:rPr>
        <w:tab/>
      </w:r>
      <w:r>
        <w:rPr>
          <w:rFonts w:hint="eastAsia" w:ascii="宋体" w:hAnsi="宋体" w:eastAsia="宋体" w:cs="宋体"/>
          <w:sz w:val="24"/>
          <w:szCs w:val="24"/>
        </w:rPr>
        <w:t xml:space="preserve">                      YB（T）30</w:t>
      </w:r>
    </w:p>
    <w:p w14:paraId="67B94E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无缝钢管</w:t>
      </w:r>
      <w:r>
        <w:rPr>
          <w:rFonts w:hint="eastAsia" w:ascii="宋体" w:hAnsi="宋体" w:eastAsia="宋体" w:cs="宋体"/>
          <w:sz w:val="24"/>
          <w:szCs w:val="24"/>
        </w:rPr>
        <w:tab/>
      </w:r>
      <w:r>
        <w:rPr>
          <w:rFonts w:hint="eastAsia" w:ascii="宋体" w:hAnsi="宋体" w:eastAsia="宋体" w:cs="宋体"/>
          <w:sz w:val="24"/>
          <w:szCs w:val="24"/>
        </w:rPr>
        <w:t xml:space="preserve">                                 GB8162</w:t>
      </w:r>
    </w:p>
    <w:p w14:paraId="6B4829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输送流体用无缝钢管</w:t>
      </w:r>
      <w:r>
        <w:rPr>
          <w:rFonts w:hint="eastAsia" w:ascii="宋体" w:hAnsi="宋体" w:eastAsia="宋体" w:cs="宋体"/>
          <w:sz w:val="24"/>
          <w:szCs w:val="24"/>
        </w:rPr>
        <w:tab/>
      </w:r>
      <w:r>
        <w:rPr>
          <w:rFonts w:hint="eastAsia" w:ascii="宋体" w:hAnsi="宋体" w:eastAsia="宋体" w:cs="宋体"/>
          <w:sz w:val="24"/>
          <w:szCs w:val="24"/>
        </w:rPr>
        <w:t xml:space="preserve">                      GB8163</w:t>
      </w:r>
    </w:p>
    <w:p w14:paraId="4D6C79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不锈钢无缝钢管</w:t>
      </w:r>
      <w:r>
        <w:rPr>
          <w:rFonts w:hint="eastAsia" w:ascii="宋体" w:hAnsi="宋体" w:eastAsia="宋体" w:cs="宋体"/>
          <w:sz w:val="24"/>
          <w:szCs w:val="24"/>
        </w:rPr>
        <w:tab/>
      </w:r>
      <w:r>
        <w:rPr>
          <w:rFonts w:hint="eastAsia" w:ascii="宋体" w:hAnsi="宋体" w:eastAsia="宋体" w:cs="宋体"/>
          <w:sz w:val="24"/>
          <w:szCs w:val="24"/>
        </w:rPr>
        <w:t xml:space="preserve">                          GB2270</w:t>
      </w:r>
    </w:p>
    <w:p w14:paraId="7100A8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镍及镍合金管</w:t>
      </w:r>
      <w:r>
        <w:rPr>
          <w:rFonts w:hint="eastAsia" w:ascii="宋体" w:hAnsi="宋体" w:eastAsia="宋体" w:cs="宋体"/>
          <w:sz w:val="24"/>
          <w:szCs w:val="24"/>
        </w:rPr>
        <w:tab/>
      </w:r>
      <w:r>
        <w:rPr>
          <w:rFonts w:hint="eastAsia" w:ascii="宋体" w:hAnsi="宋体" w:eastAsia="宋体" w:cs="宋体"/>
          <w:sz w:val="24"/>
          <w:szCs w:val="24"/>
        </w:rPr>
        <w:t xml:space="preserve">                             GB2882</w:t>
      </w:r>
    </w:p>
    <w:p w14:paraId="680CF5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拉制铜管</w:t>
      </w:r>
      <w:r>
        <w:rPr>
          <w:rFonts w:hint="eastAsia" w:ascii="宋体" w:hAnsi="宋体" w:eastAsia="宋体" w:cs="宋体"/>
          <w:sz w:val="24"/>
          <w:szCs w:val="24"/>
        </w:rPr>
        <w:tab/>
      </w:r>
      <w:r>
        <w:rPr>
          <w:rFonts w:hint="eastAsia" w:ascii="宋体" w:hAnsi="宋体" w:eastAsia="宋体" w:cs="宋体"/>
          <w:sz w:val="24"/>
          <w:szCs w:val="24"/>
        </w:rPr>
        <w:t xml:space="preserve">                                GB1527</w:t>
      </w:r>
    </w:p>
    <w:p w14:paraId="080EF3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碳钢焊条</w:t>
      </w:r>
      <w:r>
        <w:rPr>
          <w:rFonts w:hint="eastAsia" w:ascii="宋体" w:hAnsi="宋体" w:eastAsia="宋体" w:cs="宋体"/>
          <w:sz w:val="24"/>
          <w:szCs w:val="24"/>
        </w:rPr>
        <w:tab/>
      </w:r>
      <w:r>
        <w:rPr>
          <w:rFonts w:hint="eastAsia" w:ascii="宋体" w:hAnsi="宋体" w:eastAsia="宋体" w:cs="宋体"/>
          <w:sz w:val="24"/>
          <w:szCs w:val="24"/>
        </w:rPr>
        <w:t xml:space="preserve">                                GB5117</w:t>
      </w:r>
    </w:p>
    <w:p w14:paraId="03E3E3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低合金钢焊条</w:t>
      </w:r>
      <w:r>
        <w:rPr>
          <w:rFonts w:hint="eastAsia" w:ascii="宋体" w:hAnsi="宋体" w:eastAsia="宋体" w:cs="宋体"/>
          <w:sz w:val="24"/>
          <w:szCs w:val="24"/>
        </w:rPr>
        <w:tab/>
      </w:r>
      <w:r>
        <w:rPr>
          <w:rFonts w:hint="eastAsia" w:ascii="宋体" w:hAnsi="宋体" w:eastAsia="宋体" w:cs="宋体"/>
          <w:sz w:val="24"/>
          <w:szCs w:val="24"/>
        </w:rPr>
        <w:t xml:space="preserve">                            GB5118</w:t>
      </w:r>
    </w:p>
    <w:p w14:paraId="46DA23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不锈钢焊条</w:t>
      </w:r>
      <w:r>
        <w:rPr>
          <w:rFonts w:hint="eastAsia" w:ascii="宋体" w:hAnsi="宋体" w:eastAsia="宋体" w:cs="宋体"/>
          <w:sz w:val="24"/>
          <w:szCs w:val="24"/>
        </w:rPr>
        <w:tab/>
      </w:r>
      <w:r>
        <w:rPr>
          <w:rFonts w:hint="eastAsia" w:ascii="宋体" w:hAnsi="宋体" w:eastAsia="宋体" w:cs="宋体"/>
          <w:sz w:val="24"/>
          <w:szCs w:val="24"/>
        </w:rPr>
        <w:t xml:space="preserve">                            GB983</w:t>
      </w:r>
    </w:p>
    <w:p w14:paraId="2752B4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紧固件机械性能  螺栓、螺钉和螺柱</w:t>
      </w:r>
      <w:r>
        <w:rPr>
          <w:rFonts w:hint="eastAsia" w:ascii="宋体" w:hAnsi="宋体" w:eastAsia="宋体" w:cs="宋体"/>
          <w:sz w:val="24"/>
          <w:szCs w:val="24"/>
        </w:rPr>
        <w:tab/>
      </w:r>
      <w:r>
        <w:rPr>
          <w:rFonts w:hint="eastAsia" w:ascii="宋体" w:hAnsi="宋体" w:eastAsia="宋体" w:cs="宋体"/>
          <w:sz w:val="24"/>
          <w:szCs w:val="24"/>
        </w:rPr>
        <w:t xml:space="preserve">       GB3098.1</w:t>
      </w:r>
    </w:p>
    <w:p w14:paraId="20F6FF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紧固件机械性能  螺母</w:t>
      </w:r>
      <w:r>
        <w:rPr>
          <w:rFonts w:hint="eastAsia" w:ascii="宋体" w:hAnsi="宋体" w:eastAsia="宋体" w:cs="宋体"/>
          <w:sz w:val="24"/>
          <w:szCs w:val="24"/>
        </w:rPr>
        <w:tab/>
      </w:r>
      <w:r>
        <w:rPr>
          <w:rFonts w:hint="eastAsia" w:ascii="宋体" w:hAnsi="宋体" w:eastAsia="宋体" w:cs="宋体"/>
          <w:sz w:val="24"/>
          <w:szCs w:val="24"/>
        </w:rPr>
        <w:t xml:space="preserve">                     GB3098.2</w:t>
      </w:r>
    </w:p>
    <w:p w14:paraId="4DEEDB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绝缘材料、化工产品有关标准</w:t>
      </w:r>
    </w:p>
    <w:p w14:paraId="24ED1A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1.7.3 设备制造、设计、试验标准</w:t>
      </w:r>
    </w:p>
    <w:p w14:paraId="4ACAFC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法兰连接金属阀门结构长度                       GB12221</w:t>
      </w:r>
    </w:p>
    <w:p w14:paraId="51BED8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通用阀门 法兰和对夹式连接蝶阀                  GB12238</w:t>
      </w:r>
    </w:p>
    <w:p w14:paraId="40BFFB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通用阀门 压力试验                              GB/T13927</w:t>
      </w:r>
    </w:p>
    <w:p w14:paraId="753562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通用阀门 供货要求                              GB/T12252</w:t>
      </w:r>
    </w:p>
    <w:p w14:paraId="77461A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通用阀门 法兰和对焊连接钢制球阀                GB/T12237</w:t>
      </w:r>
    </w:p>
    <w:p w14:paraId="6D1F8F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通用阀门  材料                                 JB/T5300</w:t>
      </w:r>
    </w:p>
    <w:p w14:paraId="2A40CC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通用阀门 法兰连接金属阀门结构长度              GB12221或AWWA C504标准</w:t>
      </w:r>
    </w:p>
    <w:p w14:paraId="3184AC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通用阀门供货要求                               JB/T7928</w:t>
      </w:r>
    </w:p>
    <w:p w14:paraId="7EE61C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速度式流量计检定规程                           JJG l98</w:t>
      </w:r>
    </w:p>
    <w:p w14:paraId="4989C3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电力钢结构焊接通用技术条件                     DL/T678</w:t>
      </w:r>
    </w:p>
    <w:p w14:paraId="30E099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水工金属结构防腐蚀规范                         SL105</w:t>
      </w:r>
    </w:p>
    <w:p w14:paraId="2E1176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涂覆涂料前钢材表面处理                         GB/T 8923.1</w:t>
      </w:r>
    </w:p>
    <w:p w14:paraId="1F5861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压力钢管制造安装及验收规范                     DL5017</w:t>
      </w:r>
    </w:p>
    <w:p w14:paraId="797BA1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钢制管法兰 技术条件                            GB9125</w:t>
      </w:r>
    </w:p>
    <w:p w14:paraId="0C9264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铸钢件超声波探伤方法及质量评级方法              GB7233</w:t>
      </w:r>
    </w:p>
    <w:p w14:paraId="35A26B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铸钢件磁粉探伤及质量评级方法                    GB9444</w:t>
      </w:r>
    </w:p>
    <w:p w14:paraId="3E90F2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钢焊缝手工超声波探伤方法和探伤结果分级          GB11345</w:t>
      </w:r>
    </w:p>
    <w:p w14:paraId="53DDF7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钢熔化焊对接接头射线照相和质量分级              GB3323</w:t>
      </w:r>
    </w:p>
    <w:p w14:paraId="4DFAD4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焊接质量保证钢熔化焊接接头要求及质量评级的规定  GB/T12469</w:t>
      </w:r>
    </w:p>
    <w:p w14:paraId="7A435E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钢结构工程质量检验评定标准                      GB50221</w:t>
      </w:r>
    </w:p>
    <w:p w14:paraId="2C39C0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涂装前钢材表面锈蚀等级和除锈等级                GB8923    </w:t>
      </w:r>
    </w:p>
    <w:p w14:paraId="1F52F6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包装储运图示标志                                GB191</w:t>
      </w:r>
    </w:p>
    <w:p w14:paraId="7C246A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涂漆前的锈蚀等级和钢材表面的除锈等级            GB/T8923</w:t>
      </w:r>
    </w:p>
    <w:p w14:paraId="11EF9D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机电产品包装通用技术条件                        JB2759</w:t>
      </w:r>
    </w:p>
    <w:p w14:paraId="6B1CAB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涂漆的一般技术要求                              SDZ014</w:t>
      </w:r>
    </w:p>
    <w:p w14:paraId="1C9CBD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水轮发电机基本技术条件                          GB/T7894</w:t>
      </w:r>
    </w:p>
    <w:p w14:paraId="7EBFFB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旋转电机 定额和性能                             GB/T755</w:t>
      </w:r>
    </w:p>
    <w:p w14:paraId="351E72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大中型水轮发电机静止整流励磁系统及装置技术条件  DL/T583</w:t>
      </w:r>
    </w:p>
    <w:p w14:paraId="18356F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水轮发电机组自动化元件（装置）及其系统基本技术条件 GB/T11805</w:t>
      </w:r>
    </w:p>
    <w:p w14:paraId="319037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水力发电厂自动化设计技术规范                    DL/T5081</w:t>
      </w:r>
    </w:p>
    <w:p w14:paraId="7B4C25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小型水电站技术改造规范                          GB/T50700</w:t>
      </w:r>
    </w:p>
    <w:p w14:paraId="75702C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水轮发电机转子现场装配工艺导则                  DL T 5230-2009</w:t>
      </w:r>
    </w:p>
    <w:p w14:paraId="755C14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发电机定子现场装配工艺导则                      DL/T5420-2009</w:t>
      </w:r>
    </w:p>
    <w:p w14:paraId="5DA1AE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小型水轮发电机产品质量控制规范                  NB/T 42096-2016</w:t>
      </w:r>
    </w:p>
    <w:p w14:paraId="25914E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大型高压交流电机定子绝缘耐电压试验规范          JB6204-92</w:t>
      </w:r>
    </w:p>
    <w:p w14:paraId="0980F0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电机磁极线圈及磁场绕组匝间绝缘试验规范          JB/T5810</w:t>
      </w:r>
    </w:p>
    <w:p w14:paraId="2FF8D5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高压交流电机定子线圈及绕组绝缘耐电压试验规范    JB/T6204</w:t>
      </w:r>
    </w:p>
    <w:p w14:paraId="789607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高压交流电机线圈介质损耗角正切试验方法及限值    JB/T7608</w:t>
      </w:r>
    </w:p>
    <w:p w14:paraId="16BBB4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交流电机定子成型线圈耐冲击电压水平              JB/T10098</w:t>
      </w:r>
    </w:p>
    <w:p w14:paraId="17C627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电机用气体冷却器                                JB/T2728</w:t>
      </w:r>
    </w:p>
    <w:p w14:paraId="2F6BC8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水力发电厂厂房采暖通风和空气调节设计技术规定    SDJQ1</w:t>
      </w:r>
    </w:p>
    <w:p w14:paraId="493DD9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涂装前钢材表面锈蚀等级和除锈等级                GB8923    </w:t>
      </w:r>
    </w:p>
    <w:p w14:paraId="5C838B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包装储运图示标志                                GB191</w:t>
      </w:r>
    </w:p>
    <w:p w14:paraId="089C86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涂漆前的锈蚀等级和钢材表面的除锈等级            GB/T8923</w:t>
      </w:r>
    </w:p>
    <w:p w14:paraId="520775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彩色油漆和清漆膜的横切试验                      GB9286</w:t>
      </w:r>
    </w:p>
    <w:p w14:paraId="69FCB0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机电产品包装通用技术条件                        JB2759</w:t>
      </w:r>
    </w:p>
    <w:p w14:paraId="72BE1F3C">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涂漆的一般技术要求                              SDZ014</w:t>
      </w:r>
    </w:p>
    <w:p w14:paraId="285B9E5C">
      <w:pPr>
        <w:keepNext/>
        <w:keepLines/>
        <w:spacing w:before="60" w:after="60" w:line="360" w:lineRule="auto"/>
        <w:outlineLvl w:val="2"/>
        <w:rPr>
          <w:rFonts w:hint="eastAsia" w:ascii="宋体" w:hAnsi="宋体" w:eastAsia="宋体" w:cs="宋体"/>
          <w:b/>
          <w:sz w:val="24"/>
          <w:szCs w:val="24"/>
        </w:rPr>
      </w:pPr>
      <w:bookmarkStart w:id="59" w:name="_Toc18335597"/>
      <w:r>
        <w:rPr>
          <w:rFonts w:hint="eastAsia" w:ascii="宋体" w:hAnsi="宋体" w:eastAsia="宋体" w:cs="宋体"/>
          <w:b/>
          <w:sz w:val="24"/>
          <w:szCs w:val="24"/>
        </w:rPr>
        <w:t>1.8 工艺</w:t>
      </w:r>
      <w:bookmarkEnd w:id="59"/>
    </w:p>
    <w:p w14:paraId="2A15CF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 所有螺丝、螺母、螺栓、螺杆和有关管件的螺纹用GB或ISO标准。</w:t>
      </w:r>
    </w:p>
    <w:p w14:paraId="49A81A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1.8.2 如果采用除上述标准文件列举以外的其它标准时，须在文件中加以说明。</w:t>
      </w:r>
    </w:p>
    <w:p w14:paraId="410F4B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1.8.3 设备制造采用先进的工艺，以保证各种运行情况正常运行可靠。所有部件的结构、尺寸和材料做到在各种应力下不产生扭曲和过量磨损。</w:t>
      </w:r>
    </w:p>
    <w:p w14:paraId="575997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1.8.4 零部件有良好的互换性和便于安装及检修。</w:t>
      </w:r>
    </w:p>
    <w:p w14:paraId="1C8A752D">
      <w:pPr>
        <w:keepNext/>
        <w:keepLines/>
        <w:spacing w:before="60" w:after="60" w:line="360" w:lineRule="auto"/>
        <w:outlineLvl w:val="2"/>
        <w:rPr>
          <w:rFonts w:hint="eastAsia" w:ascii="宋体" w:hAnsi="宋体" w:eastAsia="宋体" w:cs="宋体"/>
          <w:b/>
          <w:sz w:val="24"/>
          <w:szCs w:val="24"/>
        </w:rPr>
      </w:pPr>
      <w:bookmarkStart w:id="60" w:name="_Toc500178975"/>
      <w:bookmarkStart w:id="61" w:name="_Toc18335598"/>
      <w:r>
        <w:rPr>
          <w:rFonts w:hint="eastAsia" w:ascii="宋体" w:hAnsi="宋体" w:eastAsia="宋体" w:cs="宋体"/>
          <w:b/>
          <w:sz w:val="24"/>
          <w:szCs w:val="24"/>
        </w:rPr>
        <w:t>1.9 基本技术要求</w:t>
      </w:r>
      <w:bookmarkEnd w:id="60"/>
      <w:bookmarkEnd w:id="61"/>
    </w:p>
    <w:p w14:paraId="4FD742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 标准和技术规范</w:t>
      </w:r>
    </w:p>
    <w:p w14:paraId="466D3D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制造设备的所有材料和工艺均达到中国国家标准，或国际公认的标准。</w:t>
      </w:r>
    </w:p>
    <w:p w14:paraId="69877E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 基本要求</w:t>
      </w:r>
    </w:p>
    <w:p w14:paraId="604703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本文件提出的是最低的技术要求，发包人保证所提供的设备是技术先进、成熟可靠的产品。</w:t>
      </w:r>
    </w:p>
    <w:p w14:paraId="3D26C8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合同签订之后，发包人有权提出因标准发生变化而产生的一些补充技术要求，具体事项由双方共同商定。</w:t>
      </w:r>
    </w:p>
    <w:p w14:paraId="331019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所有零部件严格按相关标准制造，并能与同类型零部件互换使用。</w:t>
      </w:r>
    </w:p>
    <w:p w14:paraId="7A5ADF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承包人对所提供的设备进行检验和试验，包括材料试验、无损探伤检验、车间组装等工厂试验及现场测试。任何缺陷，均由承包人修补。</w:t>
      </w:r>
    </w:p>
    <w:p w14:paraId="2527DB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1.9.3 使用期限</w:t>
      </w:r>
    </w:p>
    <w:p w14:paraId="723008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设备及其和设备材料均有较长的可使用期，且无维护或只须进行少量的维护。</w:t>
      </w:r>
    </w:p>
    <w:p w14:paraId="066435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1.9.4 质量保证</w:t>
      </w:r>
    </w:p>
    <w:p w14:paraId="365065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承包人保证所有的制造厂家都有经过质量管理部门正式审计证实的 ISO9001质量保证体系和其他相同或相关标准。</w:t>
      </w:r>
    </w:p>
    <w:p w14:paraId="238F66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在投产验收后保证期内出现质量问题承包人需要负责维修、更换或赔偿经济损失，同样这也适用于备品备件。</w:t>
      </w:r>
    </w:p>
    <w:p w14:paraId="10E532C3">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承包人对其供货负责解决出厂试验、交付、安装、调试及开工期间由于材料和制造不合格引起的供货质量问题。</w:t>
      </w:r>
      <w:r>
        <w:rPr>
          <w:rFonts w:hint="eastAsia" w:ascii="宋体" w:hAnsi="宋体" w:eastAsia="宋体" w:cs="宋体"/>
          <w:szCs w:val="21"/>
        </w:rPr>
        <w:t xml:space="preserve"> </w:t>
      </w:r>
    </w:p>
    <w:p w14:paraId="1ABB4B44">
      <w:pPr>
        <w:keepNext/>
        <w:keepLines/>
        <w:spacing w:before="60" w:after="60" w:line="360" w:lineRule="auto"/>
        <w:outlineLvl w:val="2"/>
        <w:rPr>
          <w:rFonts w:hint="eastAsia" w:ascii="宋体" w:hAnsi="宋体" w:eastAsia="宋体" w:cs="宋体"/>
          <w:szCs w:val="21"/>
        </w:rPr>
      </w:pPr>
      <w:bookmarkStart w:id="62" w:name="_Toc295805616"/>
      <w:bookmarkStart w:id="63" w:name="_Toc163961260"/>
      <w:bookmarkStart w:id="64" w:name="_Toc295224673"/>
      <w:bookmarkStart w:id="65" w:name="_Toc18335599"/>
      <w:bookmarkStart w:id="66" w:name="_Toc295224413"/>
      <w:bookmarkStart w:id="67" w:name="_Toc500178976"/>
      <w:r>
        <w:rPr>
          <w:rFonts w:hint="eastAsia" w:ascii="宋体" w:hAnsi="宋体" w:eastAsia="宋体" w:cs="宋体"/>
          <w:b/>
          <w:sz w:val="24"/>
          <w:szCs w:val="24"/>
        </w:rPr>
        <w:t>1.10 材料试验</w:t>
      </w:r>
      <w:bookmarkEnd w:id="62"/>
      <w:bookmarkEnd w:id="63"/>
      <w:bookmarkEnd w:id="64"/>
      <w:bookmarkEnd w:id="65"/>
      <w:bookmarkEnd w:id="66"/>
      <w:bookmarkEnd w:id="67"/>
    </w:p>
    <w:p w14:paraId="07FFE7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1.10.1 用于设备或部件上的所有材料均应经过化学分析和机械性能的试验，试验应遵守有关规程的规定。</w:t>
      </w:r>
    </w:p>
    <w:p w14:paraId="3ADF3B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1.10.2 所有主要部件用的材料应做冲击韧性试验。热轧钢板应同时做纵向和横向冲击试验。主要铸件和锻件的样品上应做弯曲试验，以及规定的试验。</w:t>
      </w:r>
    </w:p>
    <w:p w14:paraId="5F91DA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如承包人提供符合规定的证明，对主要部件所用板材可免做冲击试验，由此减少的价格在投标书中予以说明。</w:t>
      </w:r>
    </w:p>
    <w:p w14:paraId="78F04B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试验完成后，应提出合格的材料试验报告。试验合格证应标记在所用材料的部件上。</w:t>
      </w:r>
    </w:p>
    <w:p w14:paraId="320E73C1">
      <w:pPr>
        <w:keepNext/>
        <w:keepLines/>
        <w:spacing w:before="60" w:after="60" w:line="360" w:lineRule="auto"/>
        <w:outlineLvl w:val="2"/>
        <w:rPr>
          <w:rFonts w:hint="eastAsia" w:ascii="宋体" w:hAnsi="宋体" w:eastAsia="宋体" w:cs="宋体"/>
          <w:b/>
          <w:sz w:val="24"/>
          <w:szCs w:val="24"/>
        </w:rPr>
      </w:pPr>
      <w:bookmarkStart w:id="68" w:name="_Toc500178977"/>
      <w:bookmarkStart w:id="69" w:name="_Toc18335600"/>
      <w:r>
        <w:rPr>
          <w:rFonts w:hint="eastAsia" w:ascii="宋体" w:hAnsi="宋体" w:eastAsia="宋体" w:cs="宋体"/>
          <w:b/>
          <w:sz w:val="24"/>
          <w:szCs w:val="24"/>
        </w:rPr>
        <w:t>1.11 螺栓、螺母及垫圈</w:t>
      </w:r>
      <w:bookmarkEnd w:id="68"/>
      <w:bookmarkEnd w:id="69"/>
    </w:p>
    <w:p w14:paraId="5AF0CA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螺栓、螺母、双头螺栓和垫圈符合国家的有关标准要求。当螺母完全拧紧时，螺栓露出部分至少有两个螺纹距离的长度。装配螺栓装在铰孔中可轻松拧动，其丝口部分直径保证拧紧螺栓时不受损伤，并在明显易辨的位置做标记，以确保在装配时不发生差错。必要之处，要提供垫圈、锁定装置或减震配件，以保证螺栓内部不产生弯曲应力。</w:t>
      </w:r>
    </w:p>
    <w:p w14:paraId="0EDAB7F4">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承包人提供用于压紧、定位、找平的螺栓，及其锚具、螺母、垫片和胀圈等。</w:t>
      </w:r>
    </w:p>
    <w:p w14:paraId="111C3762">
      <w:pPr>
        <w:keepNext/>
        <w:keepLines/>
        <w:spacing w:before="60" w:after="60" w:line="360" w:lineRule="auto"/>
        <w:outlineLvl w:val="2"/>
        <w:rPr>
          <w:rFonts w:hint="eastAsia" w:ascii="宋体" w:hAnsi="宋体" w:eastAsia="宋体" w:cs="宋体"/>
          <w:b/>
          <w:sz w:val="24"/>
          <w:szCs w:val="24"/>
        </w:rPr>
      </w:pPr>
      <w:bookmarkStart w:id="70" w:name="_Toc500178978"/>
      <w:bookmarkStart w:id="71" w:name="_Toc18335601"/>
      <w:r>
        <w:rPr>
          <w:rFonts w:hint="eastAsia" w:ascii="宋体" w:hAnsi="宋体" w:eastAsia="宋体" w:cs="宋体"/>
          <w:b/>
          <w:sz w:val="24"/>
          <w:szCs w:val="24"/>
        </w:rPr>
        <w:t xml:space="preserve">1.12 </w:t>
      </w:r>
      <w:bookmarkEnd w:id="70"/>
      <w:bookmarkEnd w:id="71"/>
      <w:r>
        <w:rPr>
          <w:rFonts w:hint="eastAsia" w:ascii="宋体" w:hAnsi="宋体" w:eastAsia="宋体" w:cs="宋体"/>
          <w:b/>
          <w:sz w:val="24"/>
          <w:szCs w:val="24"/>
        </w:rPr>
        <w:t>最大许用应力</w:t>
      </w:r>
    </w:p>
    <w:p w14:paraId="74CC7D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非另有规定，正常额定运行工况下设备材料的工作应力应不超过材料屈服强度的1/3或极限强度的1/5的低值，在最严重运行工况下，应不超过材料屈服强度的1/2或极限强度的1/3的低值。铸铁的拉应力应是极限强度的1/10。</w:t>
      </w:r>
    </w:p>
    <w:p w14:paraId="7A5A87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表1.13-1中未包括的材料的设计应力可由供方选用，但其最大拉应力或压应力不超过材料屈服强度的1/3或极限强度的1/5的低值。</w:t>
      </w:r>
    </w:p>
    <w:p w14:paraId="57D7E7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在最大水头下，暂时过负荷超过水轮机最大出力时，各部件材料的最大允许应力不得超过屈服强度的50%。</w:t>
      </w:r>
    </w:p>
    <w:p w14:paraId="3F9267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在最大飞逸转速下，工作应力不得超过屈服强度的66%。</w:t>
      </w:r>
    </w:p>
    <w:p w14:paraId="25C90E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在破断装置破坏时，导叶、导叶轴颈，连杆、拐臂、销轴的最大应力值不得超过屈服强度的66%。</w:t>
      </w:r>
    </w:p>
    <w:p w14:paraId="4598135C">
      <w:pPr>
        <w:spacing w:line="400" w:lineRule="exact"/>
        <w:ind w:firstLine="1897" w:firstLineChars="900"/>
        <w:rPr>
          <w:rFonts w:hint="eastAsia" w:ascii="宋体" w:hAnsi="宋体" w:eastAsia="宋体" w:cs="宋体"/>
          <w:b/>
          <w:snapToGrid w:val="0"/>
          <w:szCs w:val="20"/>
        </w:rPr>
      </w:pPr>
      <w:r>
        <w:rPr>
          <w:rFonts w:hint="eastAsia" w:ascii="宋体" w:hAnsi="宋体" w:eastAsia="宋体" w:cs="宋体"/>
          <w:b/>
          <w:bCs/>
          <w:snapToGrid w:val="0"/>
          <w:szCs w:val="20"/>
        </w:rPr>
        <w:t>表1.12-1</w:t>
      </w:r>
      <w:r>
        <w:rPr>
          <w:rFonts w:hint="eastAsia" w:ascii="宋体" w:hAnsi="宋体" w:eastAsia="宋体" w:cs="宋体"/>
          <w:snapToGrid w:val="0"/>
          <w:szCs w:val="20"/>
        </w:rPr>
        <w:t xml:space="preserve">                    </w:t>
      </w:r>
      <w:r>
        <w:rPr>
          <w:rFonts w:hint="eastAsia" w:ascii="宋体" w:hAnsi="宋体" w:eastAsia="宋体" w:cs="宋体"/>
          <w:b/>
          <w:snapToGrid w:val="0"/>
          <w:szCs w:val="20"/>
        </w:rPr>
        <w:t>材料许用应力表</w:t>
      </w:r>
    </w:p>
    <w:tbl>
      <w:tblPr>
        <w:tblStyle w:val="65"/>
        <w:tblW w:w="486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2518"/>
        <w:gridCol w:w="3048"/>
      </w:tblGrid>
      <w:tr w14:paraId="08F00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3" w:type="dxa"/>
            <w:noWrap w:val="0"/>
            <w:vAlign w:val="center"/>
          </w:tcPr>
          <w:p w14:paraId="271276C0">
            <w:pPr>
              <w:spacing w:line="400" w:lineRule="exact"/>
              <w:jc w:val="center"/>
              <w:rPr>
                <w:rFonts w:hint="eastAsia" w:ascii="宋体" w:hAnsi="宋体" w:eastAsia="宋体" w:cs="宋体"/>
                <w:snapToGrid w:val="0"/>
                <w:szCs w:val="20"/>
              </w:rPr>
            </w:pPr>
            <w:r>
              <w:rPr>
                <w:rFonts w:hint="eastAsia" w:ascii="宋体" w:hAnsi="宋体" w:eastAsia="宋体" w:cs="宋体"/>
                <w:snapToGrid w:val="0"/>
                <w:szCs w:val="20"/>
              </w:rPr>
              <w:t>材  料</w:t>
            </w:r>
          </w:p>
        </w:tc>
        <w:tc>
          <w:tcPr>
            <w:tcW w:w="2518" w:type="dxa"/>
            <w:noWrap w:val="0"/>
            <w:vAlign w:val="center"/>
          </w:tcPr>
          <w:p w14:paraId="66BE19AE">
            <w:pPr>
              <w:spacing w:line="400" w:lineRule="exact"/>
              <w:jc w:val="center"/>
              <w:rPr>
                <w:rFonts w:hint="eastAsia" w:ascii="宋体" w:hAnsi="宋体" w:eastAsia="宋体" w:cs="宋体"/>
                <w:snapToGrid w:val="0"/>
                <w:szCs w:val="20"/>
              </w:rPr>
            </w:pPr>
            <w:r>
              <w:rPr>
                <w:rFonts w:hint="eastAsia" w:ascii="宋体" w:hAnsi="宋体" w:eastAsia="宋体" w:cs="宋体"/>
                <w:snapToGrid w:val="0"/>
                <w:szCs w:val="20"/>
              </w:rPr>
              <w:t>拉 应 力</w:t>
            </w:r>
          </w:p>
        </w:tc>
        <w:tc>
          <w:tcPr>
            <w:tcW w:w="3048" w:type="dxa"/>
            <w:noWrap w:val="0"/>
            <w:vAlign w:val="center"/>
          </w:tcPr>
          <w:p w14:paraId="7372212B">
            <w:pPr>
              <w:spacing w:line="400" w:lineRule="exact"/>
              <w:jc w:val="center"/>
              <w:rPr>
                <w:rFonts w:hint="eastAsia" w:ascii="宋体" w:hAnsi="宋体" w:eastAsia="宋体" w:cs="宋体"/>
                <w:snapToGrid w:val="0"/>
                <w:szCs w:val="20"/>
              </w:rPr>
            </w:pPr>
            <w:r>
              <w:rPr>
                <w:rFonts w:hint="eastAsia" w:ascii="宋体" w:hAnsi="宋体" w:eastAsia="宋体" w:cs="宋体"/>
                <w:snapToGrid w:val="0"/>
                <w:szCs w:val="20"/>
              </w:rPr>
              <w:t>压 应 力</w:t>
            </w:r>
          </w:p>
        </w:tc>
      </w:tr>
      <w:tr w14:paraId="785B2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93" w:type="dxa"/>
            <w:noWrap w:val="0"/>
            <w:vAlign w:val="center"/>
          </w:tcPr>
          <w:p w14:paraId="6DF35589">
            <w:pPr>
              <w:spacing w:line="400" w:lineRule="exact"/>
              <w:rPr>
                <w:rFonts w:hint="eastAsia" w:ascii="宋体" w:hAnsi="宋体" w:eastAsia="宋体" w:cs="宋体"/>
                <w:snapToGrid w:val="0"/>
                <w:szCs w:val="20"/>
              </w:rPr>
            </w:pPr>
            <w:r>
              <w:rPr>
                <w:rFonts w:hint="eastAsia" w:ascii="宋体" w:hAnsi="宋体" w:eastAsia="宋体" w:cs="宋体"/>
                <w:snapToGrid w:val="0"/>
                <w:szCs w:val="20"/>
              </w:rPr>
              <w:t>高强度钢板的高压力承受件</w:t>
            </w:r>
          </w:p>
        </w:tc>
        <w:tc>
          <w:tcPr>
            <w:tcW w:w="2518" w:type="dxa"/>
            <w:vMerge w:val="restart"/>
            <w:noWrap w:val="0"/>
            <w:vAlign w:val="center"/>
          </w:tcPr>
          <w:p w14:paraId="7D2F9BF0">
            <w:pPr>
              <w:spacing w:line="400" w:lineRule="exact"/>
              <w:rPr>
                <w:rFonts w:hint="eastAsia" w:ascii="宋体" w:hAnsi="宋体" w:eastAsia="宋体" w:cs="宋体"/>
                <w:snapToGrid w:val="0"/>
                <w:szCs w:val="20"/>
              </w:rPr>
            </w:pPr>
            <w:r>
              <w:rPr>
                <w:rFonts w:hint="eastAsia" w:ascii="宋体" w:hAnsi="宋体" w:eastAsia="宋体" w:cs="宋体"/>
                <w:snapToGrid w:val="0"/>
                <w:szCs w:val="20"/>
              </w:rPr>
              <w:t>极限强度的1/5或屈服强度的1/3的较低值</w:t>
            </w:r>
          </w:p>
        </w:tc>
        <w:tc>
          <w:tcPr>
            <w:tcW w:w="3048" w:type="dxa"/>
            <w:vMerge w:val="restart"/>
            <w:noWrap w:val="0"/>
            <w:vAlign w:val="center"/>
          </w:tcPr>
          <w:p w14:paraId="0D3D7BC8">
            <w:pPr>
              <w:spacing w:line="400" w:lineRule="exact"/>
              <w:rPr>
                <w:rFonts w:hint="eastAsia" w:ascii="宋体" w:hAnsi="宋体" w:eastAsia="宋体" w:cs="宋体"/>
                <w:snapToGrid w:val="0"/>
                <w:szCs w:val="20"/>
              </w:rPr>
            </w:pPr>
            <w:r>
              <w:rPr>
                <w:rFonts w:hint="eastAsia" w:ascii="宋体" w:hAnsi="宋体" w:eastAsia="宋体" w:cs="宋体"/>
                <w:snapToGrid w:val="0"/>
                <w:szCs w:val="20"/>
              </w:rPr>
              <w:t>极限强度的1/5或屈服强度的1/3的较低值</w:t>
            </w:r>
          </w:p>
        </w:tc>
      </w:tr>
      <w:tr w14:paraId="6C9C8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93" w:type="dxa"/>
            <w:noWrap w:val="0"/>
            <w:vAlign w:val="center"/>
          </w:tcPr>
          <w:p w14:paraId="4C8F5045">
            <w:pPr>
              <w:spacing w:line="400" w:lineRule="exact"/>
              <w:rPr>
                <w:rFonts w:hint="eastAsia" w:ascii="宋体" w:hAnsi="宋体" w:eastAsia="宋体" w:cs="宋体"/>
                <w:snapToGrid w:val="0"/>
                <w:szCs w:val="20"/>
              </w:rPr>
            </w:pPr>
            <w:r>
              <w:rPr>
                <w:rFonts w:hint="eastAsia" w:ascii="宋体" w:hAnsi="宋体" w:eastAsia="宋体" w:cs="宋体"/>
                <w:snapToGrid w:val="0"/>
                <w:szCs w:val="20"/>
              </w:rPr>
              <w:t>重要碳钢板的应力承受件</w:t>
            </w:r>
          </w:p>
        </w:tc>
        <w:tc>
          <w:tcPr>
            <w:tcW w:w="2518" w:type="dxa"/>
            <w:vMerge w:val="continue"/>
            <w:noWrap w:val="0"/>
            <w:vAlign w:val="center"/>
          </w:tcPr>
          <w:p w14:paraId="32430467">
            <w:pPr>
              <w:spacing w:line="400" w:lineRule="exact"/>
              <w:rPr>
                <w:rFonts w:hint="eastAsia" w:ascii="宋体" w:hAnsi="宋体" w:eastAsia="宋体" w:cs="宋体"/>
                <w:snapToGrid w:val="0"/>
                <w:szCs w:val="20"/>
              </w:rPr>
            </w:pPr>
          </w:p>
        </w:tc>
        <w:tc>
          <w:tcPr>
            <w:tcW w:w="3048" w:type="dxa"/>
            <w:vMerge w:val="continue"/>
            <w:noWrap w:val="0"/>
            <w:vAlign w:val="center"/>
          </w:tcPr>
          <w:p w14:paraId="5D84B430">
            <w:pPr>
              <w:spacing w:line="400" w:lineRule="exact"/>
              <w:rPr>
                <w:rFonts w:hint="eastAsia" w:ascii="宋体" w:hAnsi="宋体" w:eastAsia="宋体" w:cs="宋体"/>
                <w:snapToGrid w:val="0"/>
                <w:szCs w:val="20"/>
              </w:rPr>
            </w:pPr>
          </w:p>
        </w:tc>
      </w:tr>
      <w:tr w14:paraId="5293F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3" w:type="dxa"/>
            <w:noWrap w:val="0"/>
            <w:vAlign w:val="center"/>
          </w:tcPr>
          <w:p w14:paraId="3AFDA800">
            <w:pPr>
              <w:spacing w:line="400" w:lineRule="exact"/>
              <w:rPr>
                <w:rFonts w:hint="eastAsia" w:ascii="宋体" w:hAnsi="宋体" w:eastAsia="宋体" w:cs="宋体"/>
                <w:snapToGrid w:val="0"/>
                <w:szCs w:val="20"/>
              </w:rPr>
            </w:pPr>
            <w:r>
              <w:rPr>
                <w:rFonts w:hint="eastAsia" w:ascii="宋体" w:hAnsi="宋体" w:eastAsia="宋体" w:cs="宋体"/>
                <w:snapToGrid w:val="0"/>
                <w:szCs w:val="20"/>
              </w:rPr>
              <w:t>铸铁、锻钢</w:t>
            </w:r>
          </w:p>
        </w:tc>
        <w:tc>
          <w:tcPr>
            <w:tcW w:w="2518" w:type="dxa"/>
            <w:noWrap w:val="0"/>
            <w:vAlign w:val="center"/>
          </w:tcPr>
          <w:p w14:paraId="6D5260C9">
            <w:pPr>
              <w:spacing w:line="400" w:lineRule="exact"/>
              <w:rPr>
                <w:rFonts w:hint="eastAsia" w:ascii="宋体" w:hAnsi="宋体" w:eastAsia="宋体" w:cs="宋体"/>
                <w:snapToGrid w:val="0"/>
                <w:szCs w:val="20"/>
              </w:rPr>
            </w:pPr>
            <w:r>
              <w:rPr>
                <w:rFonts w:hint="eastAsia" w:ascii="宋体" w:hAnsi="宋体" w:eastAsia="宋体" w:cs="宋体"/>
                <w:snapToGrid w:val="0"/>
                <w:szCs w:val="20"/>
              </w:rPr>
              <w:t>极限强度的1/5或屈服强度的1/3的较低值</w:t>
            </w:r>
          </w:p>
        </w:tc>
        <w:tc>
          <w:tcPr>
            <w:tcW w:w="3048" w:type="dxa"/>
            <w:noWrap w:val="0"/>
            <w:vAlign w:val="center"/>
          </w:tcPr>
          <w:p w14:paraId="733B566E">
            <w:pPr>
              <w:spacing w:line="400" w:lineRule="exact"/>
              <w:rPr>
                <w:rFonts w:hint="eastAsia" w:ascii="宋体" w:hAnsi="宋体" w:eastAsia="宋体" w:cs="宋体"/>
                <w:snapToGrid w:val="0"/>
                <w:szCs w:val="20"/>
              </w:rPr>
            </w:pPr>
            <w:r>
              <w:rPr>
                <w:rFonts w:hint="eastAsia" w:ascii="宋体" w:hAnsi="宋体" w:eastAsia="宋体" w:cs="宋体"/>
                <w:snapToGrid w:val="0"/>
                <w:szCs w:val="20"/>
              </w:rPr>
              <w:t>极限强度的1/5或屈服强度的1/3的较低值</w:t>
            </w:r>
          </w:p>
        </w:tc>
      </w:tr>
      <w:tr w14:paraId="796BF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3" w:type="dxa"/>
            <w:noWrap w:val="0"/>
            <w:vAlign w:val="center"/>
          </w:tcPr>
          <w:p w14:paraId="699B6A86">
            <w:pPr>
              <w:spacing w:line="400" w:lineRule="exact"/>
              <w:rPr>
                <w:rFonts w:hint="eastAsia" w:ascii="宋体" w:hAnsi="宋体" w:eastAsia="宋体" w:cs="宋体"/>
                <w:snapToGrid w:val="0"/>
                <w:szCs w:val="20"/>
              </w:rPr>
            </w:pPr>
            <w:r>
              <w:rPr>
                <w:rFonts w:hint="eastAsia" w:ascii="宋体" w:hAnsi="宋体" w:eastAsia="宋体" w:cs="宋体"/>
                <w:snapToGrid w:val="0"/>
                <w:szCs w:val="20"/>
              </w:rPr>
              <w:t>铸铁</w:t>
            </w:r>
          </w:p>
        </w:tc>
        <w:tc>
          <w:tcPr>
            <w:tcW w:w="2518" w:type="dxa"/>
            <w:noWrap w:val="0"/>
            <w:vAlign w:val="center"/>
          </w:tcPr>
          <w:p w14:paraId="3BDE0A2B">
            <w:pPr>
              <w:spacing w:line="400" w:lineRule="exact"/>
              <w:rPr>
                <w:rFonts w:hint="eastAsia" w:ascii="宋体" w:hAnsi="宋体" w:eastAsia="宋体" w:cs="宋体"/>
                <w:snapToGrid w:val="0"/>
                <w:szCs w:val="20"/>
              </w:rPr>
            </w:pPr>
            <w:r>
              <w:rPr>
                <w:rFonts w:hint="eastAsia" w:ascii="宋体" w:hAnsi="宋体" w:eastAsia="宋体" w:cs="宋体"/>
                <w:snapToGrid w:val="0"/>
                <w:szCs w:val="20"/>
              </w:rPr>
              <w:t>极限强度的1/10</w:t>
            </w:r>
          </w:p>
        </w:tc>
        <w:tc>
          <w:tcPr>
            <w:tcW w:w="3048" w:type="dxa"/>
            <w:noWrap w:val="0"/>
            <w:vAlign w:val="center"/>
          </w:tcPr>
          <w:p w14:paraId="5208E523">
            <w:pPr>
              <w:spacing w:line="400" w:lineRule="exact"/>
              <w:rPr>
                <w:rFonts w:hint="eastAsia" w:ascii="宋体" w:hAnsi="宋体" w:eastAsia="宋体" w:cs="宋体"/>
                <w:snapToGrid w:val="0"/>
                <w:szCs w:val="20"/>
              </w:rPr>
            </w:pPr>
            <w:r>
              <w:rPr>
                <w:rFonts w:hint="eastAsia" w:ascii="宋体" w:hAnsi="宋体" w:eastAsia="宋体" w:cs="宋体"/>
                <w:snapToGrid w:val="0"/>
                <w:szCs w:val="20"/>
              </w:rPr>
              <w:t>极限强度 的3/10</w:t>
            </w:r>
          </w:p>
        </w:tc>
      </w:tr>
      <w:tr w14:paraId="40B39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3" w:type="dxa"/>
            <w:noWrap w:val="0"/>
            <w:vAlign w:val="center"/>
          </w:tcPr>
          <w:p w14:paraId="7C883AC2">
            <w:pPr>
              <w:spacing w:line="400" w:lineRule="exact"/>
              <w:rPr>
                <w:rFonts w:hint="eastAsia" w:ascii="宋体" w:hAnsi="宋体" w:eastAsia="宋体" w:cs="宋体"/>
                <w:snapToGrid w:val="0"/>
                <w:szCs w:val="20"/>
              </w:rPr>
            </w:pPr>
            <w:r>
              <w:rPr>
                <w:rFonts w:hint="eastAsia" w:ascii="宋体" w:hAnsi="宋体" w:eastAsia="宋体" w:cs="宋体"/>
                <w:snapToGrid w:val="0"/>
                <w:szCs w:val="20"/>
              </w:rPr>
              <w:t>其它钢板</w:t>
            </w:r>
          </w:p>
        </w:tc>
        <w:tc>
          <w:tcPr>
            <w:tcW w:w="2518" w:type="dxa"/>
            <w:noWrap w:val="0"/>
            <w:vAlign w:val="center"/>
          </w:tcPr>
          <w:p w14:paraId="1B13B6E8">
            <w:pPr>
              <w:spacing w:line="400" w:lineRule="exact"/>
              <w:rPr>
                <w:rFonts w:hint="eastAsia" w:ascii="宋体" w:hAnsi="宋体" w:eastAsia="宋体" w:cs="宋体"/>
                <w:snapToGrid w:val="0"/>
                <w:szCs w:val="20"/>
              </w:rPr>
            </w:pPr>
            <w:r>
              <w:rPr>
                <w:rFonts w:hint="eastAsia" w:ascii="宋体" w:hAnsi="宋体" w:eastAsia="宋体" w:cs="宋体"/>
                <w:snapToGrid w:val="0"/>
                <w:szCs w:val="20"/>
              </w:rPr>
              <w:t>极限强度的1/3或屈服强度的1/2的较低值</w:t>
            </w:r>
          </w:p>
        </w:tc>
        <w:tc>
          <w:tcPr>
            <w:tcW w:w="3048" w:type="dxa"/>
            <w:noWrap w:val="0"/>
            <w:vAlign w:val="center"/>
          </w:tcPr>
          <w:p w14:paraId="3AA41C59">
            <w:pPr>
              <w:spacing w:line="400" w:lineRule="exact"/>
              <w:rPr>
                <w:rFonts w:hint="eastAsia" w:ascii="宋体" w:hAnsi="宋体" w:eastAsia="宋体" w:cs="宋体"/>
                <w:snapToGrid w:val="0"/>
                <w:szCs w:val="20"/>
              </w:rPr>
            </w:pPr>
            <w:r>
              <w:rPr>
                <w:rFonts w:hint="eastAsia" w:ascii="宋体" w:hAnsi="宋体" w:eastAsia="宋体" w:cs="宋体"/>
                <w:snapToGrid w:val="0"/>
                <w:szCs w:val="20"/>
              </w:rPr>
              <w:t>极限强度的1/3或屈服强度的1/2的较低值</w:t>
            </w:r>
          </w:p>
        </w:tc>
      </w:tr>
    </w:tbl>
    <w:p w14:paraId="48B87F6F">
      <w:pPr>
        <w:keepNext/>
        <w:keepLines/>
        <w:spacing w:before="60" w:after="60" w:line="360" w:lineRule="auto"/>
        <w:outlineLvl w:val="2"/>
        <w:rPr>
          <w:rFonts w:hint="eastAsia" w:ascii="宋体" w:hAnsi="宋体" w:eastAsia="宋体" w:cs="宋体"/>
          <w:b/>
          <w:sz w:val="24"/>
          <w:szCs w:val="24"/>
        </w:rPr>
      </w:pPr>
      <w:bookmarkStart w:id="72" w:name="_Toc295805618"/>
      <w:bookmarkStart w:id="73" w:name="_Toc500178979"/>
      <w:bookmarkStart w:id="74" w:name="_Toc18335602"/>
      <w:bookmarkStart w:id="75" w:name="_Toc295224415"/>
      <w:bookmarkStart w:id="76" w:name="_Toc163961262"/>
      <w:bookmarkStart w:id="77" w:name="_Toc295224675"/>
      <w:r>
        <w:rPr>
          <w:rFonts w:hint="eastAsia" w:ascii="宋体" w:hAnsi="宋体" w:eastAsia="宋体" w:cs="宋体"/>
          <w:b/>
          <w:sz w:val="24"/>
          <w:szCs w:val="24"/>
        </w:rPr>
        <w:t>1.13 焊接</w:t>
      </w:r>
      <w:bookmarkEnd w:id="72"/>
      <w:bookmarkEnd w:id="73"/>
      <w:bookmarkEnd w:id="74"/>
      <w:bookmarkEnd w:id="75"/>
      <w:bookmarkEnd w:id="76"/>
      <w:bookmarkEnd w:id="77"/>
    </w:p>
    <w:p w14:paraId="69A3B0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1.13.1 焊接工作一般采用手工或半自动电弧焊，有条件时可采用自动焊。对于需要消除内应力的机械加工件，在消除内应力后再进行精加工。在制造厂焊接的主要零件，不允许采用局部消除内应力的方法。</w:t>
      </w:r>
    </w:p>
    <w:p w14:paraId="35DF5D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1.13.2焊接件接缝坡口设计合理，坡口表面平整，无缺陷、油污及其它杂物。被焊接金属的焊边良好，且无可见的缺陷。焊接连接的设计和填充金属的选择保证能完全焊透并与母材完全熔融。</w:t>
      </w:r>
    </w:p>
    <w:p w14:paraId="3A15F702">
      <w:pPr>
        <w:keepNext/>
        <w:keepLines/>
        <w:spacing w:before="60" w:after="60" w:line="360" w:lineRule="auto"/>
        <w:outlineLvl w:val="2"/>
        <w:rPr>
          <w:rFonts w:hint="eastAsia" w:ascii="宋体" w:hAnsi="宋体" w:eastAsia="宋体" w:cs="宋体"/>
          <w:b/>
          <w:sz w:val="24"/>
          <w:szCs w:val="24"/>
        </w:rPr>
      </w:pPr>
      <w:bookmarkStart w:id="78" w:name="_Toc295224416"/>
      <w:bookmarkStart w:id="79" w:name="_Toc18335603"/>
      <w:bookmarkStart w:id="80" w:name="_Toc295224676"/>
      <w:bookmarkStart w:id="81" w:name="_Toc500178980"/>
      <w:bookmarkStart w:id="82" w:name="_Toc163961263"/>
      <w:bookmarkStart w:id="83" w:name="_Toc295805619"/>
      <w:r>
        <w:rPr>
          <w:rFonts w:hint="eastAsia" w:ascii="宋体" w:hAnsi="宋体" w:eastAsia="宋体" w:cs="宋体"/>
          <w:b/>
          <w:sz w:val="24"/>
          <w:szCs w:val="24"/>
        </w:rPr>
        <w:t>1.14 无损检测</w:t>
      </w:r>
      <w:bookmarkEnd w:id="78"/>
      <w:bookmarkEnd w:id="79"/>
      <w:bookmarkEnd w:id="80"/>
      <w:bookmarkEnd w:id="81"/>
      <w:bookmarkEnd w:id="82"/>
      <w:bookmarkEnd w:id="83"/>
    </w:p>
    <w:p w14:paraId="648434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1.14.1 无损检测按国家标准或部颁标准的有关规定。</w:t>
      </w:r>
    </w:p>
    <w:p w14:paraId="574ED6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1.14.2 无损检测方法主要采用磁粉法、染色法和超声波探伤以及射线探伤。</w:t>
      </w:r>
    </w:p>
    <w:p w14:paraId="24DDB1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1.14.3 承包人将无损检测的详细工艺提交发包人审查。</w:t>
      </w:r>
    </w:p>
    <w:p w14:paraId="2B6A80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1.14.4 无损探伤检测要求</w:t>
      </w:r>
    </w:p>
    <w:p w14:paraId="3F8E90CD">
      <w:pPr>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无损探伤检查主要用于定子机座上及发电机其他焊接件。</w:t>
      </w:r>
    </w:p>
    <w:p w14:paraId="7A6DB58A">
      <w:pPr>
        <w:keepNext/>
        <w:keepLines/>
        <w:spacing w:before="60" w:after="60" w:line="360" w:lineRule="auto"/>
        <w:outlineLvl w:val="2"/>
        <w:rPr>
          <w:rFonts w:hint="eastAsia" w:ascii="宋体" w:hAnsi="宋体" w:eastAsia="宋体" w:cs="宋体"/>
          <w:b/>
          <w:sz w:val="24"/>
          <w:szCs w:val="24"/>
        </w:rPr>
      </w:pPr>
      <w:bookmarkStart w:id="84" w:name="_Toc18335604"/>
      <w:bookmarkStart w:id="85" w:name="_Toc500178982"/>
      <w:r>
        <w:rPr>
          <w:rFonts w:hint="eastAsia" w:ascii="宋体" w:hAnsi="宋体" w:eastAsia="宋体" w:cs="宋体"/>
          <w:b/>
          <w:sz w:val="24"/>
          <w:szCs w:val="24"/>
        </w:rPr>
        <w:t>1.15 热处理</w:t>
      </w:r>
      <w:bookmarkEnd w:id="84"/>
      <w:bookmarkEnd w:id="85"/>
    </w:p>
    <w:p w14:paraId="384004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设备焊接后必须在加热炉内进行整体热处理，不允许采用振动时效等处理方式，采用整体退火工艺，彻底消除残余应力。热处理时有效地控制炉温来消除焊接应力并记录。</w:t>
      </w:r>
    </w:p>
    <w:p w14:paraId="23C795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热处理后的钢材性能满足设计要求，不得出现回火脆性和再热裂纹。</w:t>
      </w:r>
    </w:p>
    <w:p w14:paraId="2FD5D76E">
      <w:pPr>
        <w:keepNext/>
        <w:keepLines/>
        <w:spacing w:before="60" w:after="60" w:line="360" w:lineRule="auto"/>
        <w:outlineLvl w:val="2"/>
        <w:rPr>
          <w:rFonts w:hint="eastAsia" w:ascii="宋体" w:hAnsi="宋体" w:eastAsia="宋体" w:cs="宋体"/>
          <w:b/>
          <w:sz w:val="24"/>
          <w:szCs w:val="24"/>
        </w:rPr>
      </w:pPr>
      <w:bookmarkStart w:id="86" w:name="_Toc18335605"/>
      <w:bookmarkStart w:id="87" w:name="_Toc500178983"/>
      <w:r>
        <w:rPr>
          <w:rFonts w:hint="eastAsia" w:ascii="宋体" w:hAnsi="宋体" w:eastAsia="宋体" w:cs="宋体"/>
          <w:b/>
          <w:sz w:val="24"/>
          <w:szCs w:val="24"/>
        </w:rPr>
        <w:t>1.16 喷丸处理</w:t>
      </w:r>
      <w:bookmarkEnd w:id="86"/>
      <w:bookmarkEnd w:id="87"/>
    </w:p>
    <w:p w14:paraId="0C28F099">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各类铸件及焊接件成型后须进行喷丸处理，除锈等级达到 GB8923《涂装前钢材表面锈蚀等级和除锈等级》规定的 Sa2-1/2级，以清除铸(焊)件表面的沾沙、毛刺、氧化皮等，使流道光洁，外表光滑。喷丸后严格按涂漆工艺及油漆产品的工艺要求及操作规程要求，在规定时间范围内非加工表面必须涂防锈底漆以防止发生锈蚀，同时提高油漆的表面附着力。</w:t>
      </w:r>
      <w:r>
        <w:rPr>
          <w:rFonts w:hint="eastAsia" w:ascii="宋体" w:hAnsi="宋体" w:eastAsia="宋体" w:cs="宋体"/>
          <w:szCs w:val="21"/>
        </w:rPr>
        <w:t xml:space="preserve"> </w:t>
      </w:r>
    </w:p>
    <w:p w14:paraId="42AB0F17">
      <w:pPr>
        <w:keepNext/>
        <w:keepLines/>
        <w:spacing w:before="60" w:after="60" w:line="360" w:lineRule="auto"/>
        <w:outlineLvl w:val="2"/>
        <w:rPr>
          <w:rFonts w:hint="eastAsia" w:ascii="宋体" w:hAnsi="宋体" w:eastAsia="宋体" w:cs="宋体"/>
          <w:b/>
          <w:sz w:val="24"/>
          <w:szCs w:val="24"/>
        </w:rPr>
      </w:pPr>
      <w:bookmarkStart w:id="88" w:name="_Toc500178984"/>
      <w:bookmarkStart w:id="89" w:name="_Toc18335606"/>
      <w:r>
        <w:rPr>
          <w:rFonts w:hint="eastAsia" w:ascii="宋体" w:hAnsi="宋体" w:eastAsia="宋体" w:cs="宋体"/>
          <w:b/>
          <w:sz w:val="24"/>
          <w:szCs w:val="24"/>
        </w:rPr>
        <w:t>1.17 密封件</w:t>
      </w:r>
      <w:bookmarkEnd w:id="88"/>
      <w:bookmarkEnd w:id="89"/>
    </w:p>
    <w:p w14:paraId="6BA5F8E2">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所有设备及部件的密封件材料是崭新的、优质的、使用寿命长、易于更换和检修。</w:t>
      </w:r>
    </w:p>
    <w:p w14:paraId="438A080E">
      <w:pPr>
        <w:keepNext/>
        <w:keepLines/>
        <w:spacing w:before="60" w:after="60" w:line="360" w:lineRule="auto"/>
        <w:outlineLvl w:val="2"/>
        <w:rPr>
          <w:rFonts w:hint="eastAsia" w:ascii="宋体" w:hAnsi="宋体" w:eastAsia="宋体" w:cs="宋体"/>
          <w:b/>
          <w:sz w:val="24"/>
          <w:szCs w:val="24"/>
        </w:rPr>
      </w:pPr>
      <w:bookmarkStart w:id="90" w:name="_Toc500178985"/>
      <w:bookmarkStart w:id="91" w:name="_Toc18335607"/>
      <w:r>
        <w:rPr>
          <w:rFonts w:hint="eastAsia" w:ascii="宋体" w:hAnsi="宋体" w:eastAsia="宋体" w:cs="宋体"/>
          <w:b/>
          <w:sz w:val="24"/>
          <w:szCs w:val="24"/>
        </w:rPr>
        <w:t>1.18 部件制造</w:t>
      </w:r>
      <w:bookmarkEnd w:id="90"/>
      <w:r>
        <w:rPr>
          <w:rFonts w:hint="eastAsia" w:ascii="宋体" w:hAnsi="宋体" w:eastAsia="宋体" w:cs="宋体"/>
          <w:b/>
          <w:sz w:val="24"/>
          <w:szCs w:val="24"/>
        </w:rPr>
        <w:t>及表面加工</w:t>
      </w:r>
      <w:bookmarkEnd w:id="91"/>
    </w:p>
    <w:p w14:paraId="4037C4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1.18.1 概述</w:t>
      </w:r>
    </w:p>
    <w:p w14:paraId="142A57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1）为确保设备质量，设备承包人采用有效的工艺措施和质量管理。</w:t>
      </w:r>
    </w:p>
    <w:p w14:paraId="7669E1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设备制造工艺是经实践证实为最先进的。全部制造工艺工作由专业技术人员和经训练的熟练技工担任。所有零部件严格按规定的标准加工，零件可互换、便于修理。设备的生产过程进行严格质量控制，确保提供设备的质量。</w:t>
      </w:r>
    </w:p>
    <w:p w14:paraId="6A701F21">
      <w:pPr>
        <w:spacing w:line="360" w:lineRule="auto"/>
        <w:ind w:firstLine="480" w:firstLineChars="200"/>
        <w:rPr>
          <w:rFonts w:hint="eastAsia" w:ascii="宋体" w:hAnsi="宋体" w:eastAsia="宋体" w:cs="宋体"/>
          <w:sz w:val="24"/>
          <w:szCs w:val="24"/>
        </w:rPr>
      </w:pPr>
      <w:bookmarkStart w:id="92" w:name="_Toc103317081"/>
      <w:r>
        <w:rPr>
          <w:rFonts w:hint="eastAsia" w:ascii="宋体" w:hAnsi="宋体" w:eastAsia="宋体" w:cs="宋体"/>
          <w:sz w:val="24"/>
          <w:szCs w:val="24"/>
        </w:rPr>
        <w:t>1.18.2 机械加工</w:t>
      </w:r>
      <w:bookmarkEnd w:id="92"/>
    </w:p>
    <w:p w14:paraId="539BB774">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受焊接影响的部件表面，在焊接后需进行机械加工或表面处理，最终达到规定尺寸的要求。需要消除内应力的部件在消除应力以后进行机械加工，以便最终达到规定尺寸的要求。</w:t>
      </w:r>
      <w:bookmarkStart w:id="93" w:name="_Toc295224679"/>
      <w:bookmarkStart w:id="94" w:name="_Toc163961266"/>
      <w:bookmarkStart w:id="95" w:name="_Toc295224419"/>
      <w:bookmarkStart w:id="96" w:name="_Toc295805622"/>
      <w:bookmarkStart w:id="97" w:name="_Toc500178986"/>
    </w:p>
    <w:p w14:paraId="463B2CDC">
      <w:pPr>
        <w:keepNext/>
        <w:keepLines/>
        <w:spacing w:before="60" w:after="60" w:line="360" w:lineRule="auto"/>
        <w:outlineLvl w:val="2"/>
        <w:rPr>
          <w:rFonts w:hint="eastAsia" w:ascii="宋体" w:hAnsi="宋体" w:eastAsia="宋体" w:cs="宋体"/>
          <w:szCs w:val="21"/>
        </w:rPr>
      </w:pPr>
      <w:bookmarkStart w:id="98" w:name="_Toc18335608"/>
      <w:r>
        <w:rPr>
          <w:rFonts w:hint="eastAsia" w:ascii="宋体" w:hAnsi="宋体" w:eastAsia="宋体" w:cs="宋体"/>
          <w:b/>
          <w:sz w:val="24"/>
          <w:szCs w:val="24"/>
        </w:rPr>
        <w:t>1.19 防护、清扫及</w:t>
      </w:r>
      <w:bookmarkEnd w:id="93"/>
      <w:bookmarkEnd w:id="94"/>
      <w:bookmarkEnd w:id="95"/>
      <w:bookmarkEnd w:id="96"/>
      <w:r>
        <w:rPr>
          <w:rFonts w:hint="eastAsia" w:ascii="宋体" w:hAnsi="宋体" w:eastAsia="宋体" w:cs="宋体"/>
          <w:b/>
          <w:sz w:val="24"/>
          <w:szCs w:val="24"/>
        </w:rPr>
        <w:t>防腐涂装</w:t>
      </w:r>
      <w:bookmarkEnd w:id="97"/>
      <w:bookmarkEnd w:id="98"/>
    </w:p>
    <w:p w14:paraId="6745CCC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1.19.1  所有设备部件出厂前由承包人清扫干净，并根据设备部件的特点分别采取防护措施。</w:t>
      </w:r>
    </w:p>
    <w:p w14:paraId="4C3738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1.19.2 防腐涂装 </w:t>
      </w:r>
    </w:p>
    <w:p w14:paraId="054F3831">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 xml:space="preserve">油漆，包括底漆和防锈漆在内，尽可能选用同一家制造商。油漆的密封窗口上标有制造厂商名称、制造厂地点、产品名称、产品配方、许可证号、颜色、制造日期、批号、保存期、质量标签及使用说明标签。上述内容在油漆使用时保持字迹清晰。 </w:t>
      </w:r>
    </w:p>
    <w:p w14:paraId="51FC082F">
      <w:pPr>
        <w:keepNext/>
        <w:keepLines/>
        <w:spacing w:before="60" w:after="60" w:line="360" w:lineRule="auto"/>
        <w:outlineLvl w:val="2"/>
        <w:rPr>
          <w:rFonts w:hint="eastAsia" w:ascii="宋体" w:hAnsi="宋体" w:eastAsia="宋体" w:cs="宋体"/>
          <w:szCs w:val="21"/>
        </w:rPr>
      </w:pPr>
      <w:bookmarkStart w:id="99" w:name="_Toc295224420"/>
      <w:bookmarkStart w:id="100" w:name="_Toc295224680"/>
      <w:bookmarkStart w:id="101" w:name="_Toc295805623"/>
      <w:bookmarkStart w:id="102" w:name="_Toc500178987"/>
      <w:bookmarkStart w:id="103" w:name="_Toc163961267"/>
      <w:bookmarkStart w:id="104" w:name="_Toc18335609"/>
      <w:r>
        <w:rPr>
          <w:rFonts w:hint="eastAsia" w:ascii="宋体" w:hAnsi="宋体" w:eastAsia="宋体" w:cs="宋体"/>
          <w:b/>
          <w:sz w:val="24"/>
          <w:szCs w:val="24"/>
        </w:rPr>
        <w:t>1.20 设备颜色</w:t>
      </w:r>
      <w:bookmarkEnd w:id="99"/>
      <w:bookmarkEnd w:id="100"/>
      <w:bookmarkEnd w:id="101"/>
      <w:bookmarkEnd w:id="102"/>
      <w:bookmarkEnd w:id="103"/>
      <w:bookmarkEnd w:id="104"/>
    </w:p>
    <w:p w14:paraId="586F8E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在合同签定后，由合同双方最后在设计联络会上确定每个项目的用色。</w:t>
      </w:r>
    </w:p>
    <w:p w14:paraId="44BB3C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涂漆项目包括：</w:t>
      </w:r>
    </w:p>
    <w:p w14:paraId="2F2E40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（1）定子机座，发电机露于地平面以上部分；</w:t>
      </w:r>
    </w:p>
    <w:p w14:paraId="28477E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（2）屏柜；  </w:t>
      </w:r>
    </w:p>
    <w:p w14:paraId="2B4865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（3）铭牌框；</w:t>
      </w:r>
    </w:p>
    <w:p w14:paraId="58FB18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（4）水、气管路；</w:t>
      </w:r>
    </w:p>
    <w:p w14:paraId="2F5F8A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（5）随机供应的其他设备。</w:t>
      </w:r>
    </w:p>
    <w:p w14:paraId="210B90AB">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涂漆项目在出厂前完成，部分项目必须在工地完成的，承包人提供足够数量的备用涂料，供现场修整、修复设备表面涂料之用。</w:t>
      </w:r>
    </w:p>
    <w:p w14:paraId="29C2F316">
      <w:pPr>
        <w:keepNext/>
        <w:keepLines/>
        <w:spacing w:before="60" w:after="60" w:line="360" w:lineRule="auto"/>
        <w:outlineLvl w:val="2"/>
        <w:rPr>
          <w:rFonts w:hint="eastAsia" w:ascii="宋体" w:hAnsi="宋体" w:eastAsia="宋体" w:cs="宋体"/>
          <w:szCs w:val="21"/>
        </w:rPr>
      </w:pPr>
      <w:bookmarkStart w:id="105" w:name="_Toc18335610"/>
      <w:bookmarkStart w:id="106" w:name="_Toc402163505"/>
      <w:bookmarkStart w:id="107" w:name="_Toc456475266"/>
      <w:bookmarkStart w:id="108" w:name="_Toc109786712"/>
      <w:r>
        <w:rPr>
          <w:rFonts w:hint="eastAsia" w:ascii="宋体" w:hAnsi="宋体" w:eastAsia="宋体" w:cs="宋体"/>
          <w:b/>
          <w:sz w:val="24"/>
          <w:szCs w:val="24"/>
        </w:rPr>
        <w:t>1.21 管路</w:t>
      </w:r>
      <w:bookmarkEnd w:id="105"/>
      <w:bookmarkEnd w:id="106"/>
      <w:bookmarkEnd w:id="107"/>
      <w:bookmarkEnd w:id="108"/>
    </w:p>
    <w:p w14:paraId="3C5566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1.21.1 成套供范围内的管路系统材料、安装、试验符合GB/T8564《水轮发电机组安装技术规范》中的有关规定。气、水管路采用无缝钢管(≤1.6MPa)。</w:t>
      </w:r>
    </w:p>
    <w:p w14:paraId="12BB92CD">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1.21.2 供货范围内的管路连接所用的法兰、螺栓、螺母、垫圈、衬垫、填料、支架等均由承包人提供。所有衬垫和填料遵照通常使用的标准，采用适合的材料。</w:t>
      </w:r>
    </w:p>
    <w:p w14:paraId="3A1F4545">
      <w:pPr>
        <w:keepNext/>
        <w:keepLines/>
        <w:spacing w:before="60" w:after="60" w:line="360" w:lineRule="auto"/>
        <w:outlineLvl w:val="2"/>
        <w:rPr>
          <w:rFonts w:hint="eastAsia" w:ascii="宋体" w:hAnsi="宋体" w:eastAsia="宋体" w:cs="宋体"/>
          <w:szCs w:val="21"/>
        </w:rPr>
      </w:pPr>
      <w:bookmarkStart w:id="109" w:name="_Toc295224424"/>
      <w:bookmarkStart w:id="110" w:name="_Toc295805627"/>
      <w:bookmarkStart w:id="111" w:name="_Toc295224684"/>
      <w:bookmarkStart w:id="112" w:name="_Toc18335611"/>
      <w:bookmarkStart w:id="113" w:name="_Toc163961271"/>
      <w:bookmarkStart w:id="114" w:name="_Toc500178990"/>
      <w:r>
        <w:rPr>
          <w:rFonts w:hint="eastAsia" w:ascii="宋体" w:hAnsi="宋体" w:eastAsia="宋体" w:cs="宋体"/>
          <w:b/>
          <w:sz w:val="24"/>
          <w:szCs w:val="24"/>
        </w:rPr>
        <w:t>1.22 备品备件</w:t>
      </w:r>
      <w:bookmarkEnd w:id="109"/>
      <w:bookmarkEnd w:id="110"/>
      <w:bookmarkEnd w:id="111"/>
      <w:bookmarkEnd w:id="112"/>
      <w:bookmarkEnd w:id="113"/>
      <w:bookmarkEnd w:id="114"/>
    </w:p>
    <w:p w14:paraId="40F46B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承包人按合同提供备品备件。备品备件能互换，与原设备的材料和质量相同。</w:t>
      </w:r>
    </w:p>
    <w:p w14:paraId="3ED2A301">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备品备件包装箱上有明显的标记。保证在规定的条件下，在10年保存期内不会变质。</w:t>
      </w:r>
    </w:p>
    <w:p w14:paraId="7CE1C054">
      <w:pPr>
        <w:keepNext/>
        <w:keepLines/>
        <w:spacing w:before="60" w:after="60" w:line="360" w:lineRule="auto"/>
        <w:outlineLvl w:val="2"/>
        <w:rPr>
          <w:rFonts w:hint="eastAsia" w:ascii="宋体" w:hAnsi="宋体" w:eastAsia="宋体" w:cs="宋体"/>
          <w:szCs w:val="21"/>
        </w:rPr>
      </w:pPr>
      <w:bookmarkStart w:id="115" w:name="_Toc295805628"/>
      <w:bookmarkStart w:id="116" w:name="_Toc295224685"/>
      <w:bookmarkStart w:id="117" w:name="_Toc500178991"/>
      <w:bookmarkStart w:id="118" w:name="_Toc295224425"/>
      <w:bookmarkStart w:id="119" w:name="_Toc18335612"/>
      <w:bookmarkStart w:id="120" w:name="_Toc163961272"/>
      <w:r>
        <w:rPr>
          <w:rFonts w:hint="eastAsia" w:ascii="宋体" w:hAnsi="宋体" w:eastAsia="宋体" w:cs="宋体"/>
          <w:b/>
          <w:sz w:val="24"/>
          <w:szCs w:val="24"/>
        </w:rPr>
        <w:t>1.23 基础埋设材料</w:t>
      </w:r>
      <w:bookmarkEnd w:id="115"/>
      <w:bookmarkEnd w:id="116"/>
      <w:bookmarkEnd w:id="117"/>
      <w:bookmarkEnd w:id="118"/>
      <w:bookmarkEnd w:id="119"/>
      <w:bookmarkEnd w:id="120"/>
    </w:p>
    <w:p w14:paraId="094D2B92">
      <w:pPr>
        <w:spacing w:line="360" w:lineRule="auto"/>
        <w:ind w:firstLine="480" w:firstLineChars="200"/>
        <w:rPr>
          <w:rFonts w:hint="eastAsia" w:ascii="宋体" w:hAnsi="宋体" w:eastAsia="宋体" w:cs="宋体"/>
          <w:szCs w:val="21"/>
          <w:lang w:val="en-GB"/>
        </w:rPr>
      </w:pPr>
      <w:r>
        <w:rPr>
          <w:rFonts w:hint="eastAsia" w:ascii="宋体" w:hAnsi="宋体" w:eastAsia="宋体" w:cs="宋体"/>
          <w:sz w:val="24"/>
          <w:szCs w:val="24"/>
        </w:rPr>
        <w:t>承包人随定子装配提供安装所必需的基础埋设材料，如基础板、锚固件等一起提供。</w:t>
      </w:r>
    </w:p>
    <w:p w14:paraId="225FF4D5">
      <w:pPr>
        <w:keepNext/>
        <w:keepLines/>
        <w:spacing w:before="60" w:after="60" w:line="360" w:lineRule="auto"/>
        <w:outlineLvl w:val="2"/>
        <w:rPr>
          <w:rFonts w:hint="eastAsia" w:ascii="宋体" w:hAnsi="宋体" w:eastAsia="宋体" w:cs="宋体"/>
          <w:szCs w:val="21"/>
        </w:rPr>
      </w:pPr>
      <w:bookmarkStart w:id="121" w:name="_Toc500178992"/>
      <w:bookmarkStart w:id="122" w:name="_Toc163961273"/>
      <w:bookmarkStart w:id="123" w:name="_Toc295805629"/>
      <w:bookmarkStart w:id="124" w:name="_Toc295224686"/>
      <w:bookmarkStart w:id="125" w:name="_Toc18335613"/>
      <w:bookmarkStart w:id="126" w:name="_Toc295224426"/>
      <w:r>
        <w:rPr>
          <w:rFonts w:hint="eastAsia" w:ascii="宋体" w:hAnsi="宋体" w:eastAsia="宋体" w:cs="宋体"/>
          <w:b/>
          <w:sz w:val="24"/>
          <w:szCs w:val="24"/>
        </w:rPr>
        <w:t>1.24 吊装附件</w:t>
      </w:r>
      <w:bookmarkEnd w:id="121"/>
      <w:bookmarkEnd w:id="122"/>
      <w:bookmarkEnd w:id="123"/>
      <w:bookmarkEnd w:id="124"/>
      <w:bookmarkEnd w:id="125"/>
      <w:bookmarkEnd w:id="126"/>
    </w:p>
    <w:p w14:paraId="4D1742E7">
      <w:pPr>
        <w:spacing w:line="360" w:lineRule="auto"/>
        <w:ind w:firstLine="480" w:firstLineChars="200"/>
        <w:rPr>
          <w:rFonts w:hint="eastAsia" w:ascii="宋体" w:hAnsi="宋体" w:eastAsia="宋体" w:cs="宋体"/>
          <w:szCs w:val="21"/>
        </w:rPr>
      </w:pPr>
      <w:bookmarkStart w:id="127" w:name="_Toc295224687"/>
      <w:bookmarkStart w:id="128" w:name="_Toc295224427"/>
      <w:bookmarkStart w:id="129" w:name="_Toc163961274"/>
      <w:bookmarkStart w:id="130" w:name="_Toc295805630"/>
      <w:r>
        <w:rPr>
          <w:rFonts w:hint="eastAsia" w:ascii="宋体" w:hAnsi="宋体" w:eastAsia="宋体" w:cs="宋体"/>
          <w:sz w:val="24"/>
          <w:szCs w:val="24"/>
        </w:rPr>
        <w:t>在设备主要部件上，均设供吊装用的吊耳、吊环等。</w:t>
      </w:r>
    </w:p>
    <w:p w14:paraId="3E04A2D5">
      <w:pPr>
        <w:keepNext/>
        <w:keepLines/>
        <w:spacing w:before="60" w:after="60" w:line="360" w:lineRule="auto"/>
        <w:outlineLvl w:val="2"/>
        <w:rPr>
          <w:rFonts w:hint="eastAsia" w:ascii="宋体" w:hAnsi="宋体" w:eastAsia="宋体" w:cs="宋体"/>
          <w:szCs w:val="21"/>
        </w:rPr>
      </w:pPr>
      <w:bookmarkStart w:id="131" w:name="_Toc500178993"/>
      <w:bookmarkStart w:id="132" w:name="_Toc18335614"/>
      <w:r>
        <w:rPr>
          <w:rFonts w:hint="eastAsia" w:ascii="宋体" w:hAnsi="宋体" w:eastAsia="宋体" w:cs="宋体"/>
          <w:b/>
          <w:sz w:val="24"/>
          <w:szCs w:val="24"/>
        </w:rPr>
        <w:t>1.25 铭牌</w:t>
      </w:r>
      <w:bookmarkEnd w:id="127"/>
      <w:bookmarkEnd w:id="128"/>
      <w:bookmarkEnd w:id="129"/>
      <w:bookmarkEnd w:id="130"/>
      <w:bookmarkEnd w:id="131"/>
      <w:bookmarkEnd w:id="132"/>
    </w:p>
    <w:p w14:paraId="0DF3B9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1.25.1 每台主要设备与附属设备均用不锈钢铭牌。铭牌字迹清晰，经久耐用。铭牌上标有制造厂名称、设备出厂日期、编号、型号、额定参数、重量及其他重要数据。</w:t>
      </w:r>
    </w:p>
    <w:p w14:paraId="66B71E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1.25.2 所有的标牌、指示牌、铭牌等均牢固的固定在所属设备上，采用不锈钢铆钉、标牌自攻螺钉或其他批准的方法进行固定，不允许采用粘贴方式。</w:t>
      </w:r>
    </w:p>
    <w:p w14:paraId="2A5ECED8">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1.25.3 设备使用指示标牌和标志，包括运行操作与监视、维护与检修标志，运输标志，安全标牌等。</w:t>
      </w:r>
    </w:p>
    <w:p w14:paraId="34DEFFDC">
      <w:pPr>
        <w:keepNext/>
        <w:keepLines/>
        <w:spacing w:before="60" w:after="60" w:line="360" w:lineRule="auto"/>
        <w:outlineLvl w:val="2"/>
        <w:rPr>
          <w:rFonts w:hint="eastAsia" w:ascii="宋体" w:hAnsi="宋体" w:eastAsia="宋体" w:cs="宋体"/>
          <w:b/>
          <w:sz w:val="24"/>
          <w:szCs w:val="24"/>
        </w:rPr>
      </w:pPr>
      <w:bookmarkStart w:id="133" w:name="_Toc18335615"/>
      <w:bookmarkStart w:id="134" w:name="_Toc372898013"/>
      <w:bookmarkStart w:id="135" w:name="_Toc369512253"/>
      <w:bookmarkStart w:id="136" w:name="_Toc369688131"/>
      <w:bookmarkStart w:id="137" w:name="_Toc7402618"/>
      <w:bookmarkStart w:id="138" w:name="_Toc46222318"/>
      <w:bookmarkStart w:id="139" w:name="_Toc301963195"/>
      <w:bookmarkStart w:id="140" w:name="_Toc500178994"/>
      <w:bookmarkStart w:id="141" w:name="_Toc369367527"/>
      <w:bookmarkStart w:id="142" w:name="_Toc369367114"/>
      <w:r>
        <w:rPr>
          <w:rFonts w:hint="eastAsia" w:ascii="宋体" w:hAnsi="宋体" w:eastAsia="宋体" w:cs="宋体"/>
          <w:b/>
          <w:sz w:val="24"/>
          <w:szCs w:val="24"/>
        </w:rPr>
        <w:t>1.26 供给的公用设施</w:t>
      </w:r>
      <w:bookmarkEnd w:id="133"/>
      <w:bookmarkEnd w:id="134"/>
      <w:bookmarkEnd w:id="135"/>
      <w:bookmarkEnd w:id="136"/>
      <w:bookmarkEnd w:id="137"/>
      <w:bookmarkEnd w:id="138"/>
      <w:bookmarkEnd w:id="139"/>
      <w:bookmarkEnd w:id="140"/>
      <w:bookmarkEnd w:id="141"/>
      <w:bookmarkEnd w:id="142"/>
    </w:p>
    <w:p w14:paraId="304AB3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1.26.1 电站设有冷却水供应系统，进水温度不大于28℃，供水压力0.3～0.6MPa。</w:t>
      </w:r>
    </w:p>
    <w:p w14:paraId="37B25708">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1.26.2 厂用交流电源为三相四线制，50HZ，380/220V电压波动范围为-15%～+10%；频率波动范围为±1%。供控制和保护用的直流电源为220V，电压变化范围为80～110%。</w:t>
      </w:r>
    </w:p>
    <w:p w14:paraId="518C261A">
      <w:pPr>
        <w:keepNext/>
        <w:keepLines/>
        <w:spacing w:before="60" w:after="60" w:line="360" w:lineRule="auto"/>
        <w:outlineLvl w:val="2"/>
        <w:rPr>
          <w:rFonts w:hint="eastAsia" w:ascii="宋体" w:hAnsi="宋体" w:eastAsia="宋体" w:cs="宋体"/>
          <w:b/>
          <w:sz w:val="24"/>
          <w:szCs w:val="24"/>
        </w:rPr>
      </w:pPr>
      <w:bookmarkStart w:id="143" w:name="_Toc295224689"/>
      <w:bookmarkStart w:id="144" w:name="_Toc163961276"/>
      <w:bookmarkStart w:id="145" w:name="_Toc295224429"/>
      <w:bookmarkStart w:id="146" w:name="_Toc500178995"/>
      <w:bookmarkStart w:id="147" w:name="_Toc18335616"/>
      <w:bookmarkStart w:id="148" w:name="_Toc295805631"/>
      <w:r>
        <w:rPr>
          <w:rFonts w:hint="eastAsia" w:ascii="宋体" w:hAnsi="宋体" w:eastAsia="宋体" w:cs="宋体"/>
          <w:b/>
          <w:sz w:val="24"/>
          <w:szCs w:val="24"/>
        </w:rPr>
        <w:t>1.27 辅助电气设备、电线和端子</w:t>
      </w:r>
      <w:bookmarkEnd w:id="143"/>
      <w:bookmarkEnd w:id="144"/>
      <w:bookmarkEnd w:id="145"/>
      <w:bookmarkEnd w:id="146"/>
      <w:bookmarkEnd w:id="147"/>
      <w:bookmarkEnd w:id="148"/>
    </w:p>
    <w:p w14:paraId="71B6FD77">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控制电缆芯线或控制导线为耐油屏蔽型铜芯，并适合于它所使用的环境。端子箱或端子板的接线及标志符合国家或国际标准，每组端子板上留有的空端子不少于使用量的20%，并设有保护罩，电缆采用耐油、阻燃电缆。</w:t>
      </w:r>
    </w:p>
    <w:p w14:paraId="05BFF140">
      <w:pPr>
        <w:keepNext/>
        <w:keepLines/>
        <w:spacing w:before="60" w:after="60" w:line="360" w:lineRule="auto"/>
        <w:outlineLvl w:val="2"/>
        <w:rPr>
          <w:rFonts w:hint="eastAsia" w:ascii="宋体" w:hAnsi="宋体" w:eastAsia="宋体" w:cs="宋体"/>
          <w:b/>
          <w:sz w:val="24"/>
          <w:szCs w:val="24"/>
        </w:rPr>
      </w:pPr>
      <w:bookmarkStart w:id="149" w:name="_Toc389376118"/>
      <w:bookmarkStart w:id="150" w:name="_Toc456475275"/>
      <w:bookmarkStart w:id="151" w:name="_Toc121543594"/>
      <w:bookmarkStart w:id="152" w:name="_Toc402163514"/>
      <w:bookmarkStart w:id="153" w:name="_Toc122511011"/>
      <w:bookmarkStart w:id="154" w:name="_Toc121544021"/>
      <w:bookmarkStart w:id="155" w:name="_Toc18335617"/>
      <w:r>
        <w:rPr>
          <w:rFonts w:hint="eastAsia" w:ascii="宋体" w:hAnsi="宋体" w:eastAsia="宋体" w:cs="宋体"/>
          <w:b/>
          <w:sz w:val="24"/>
          <w:szCs w:val="24"/>
        </w:rPr>
        <w:t>1.28 工厂图纸资料和生产过程照片</w:t>
      </w:r>
      <w:bookmarkEnd w:id="149"/>
      <w:bookmarkEnd w:id="150"/>
      <w:bookmarkEnd w:id="151"/>
      <w:bookmarkEnd w:id="152"/>
      <w:bookmarkEnd w:id="153"/>
      <w:bookmarkEnd w:id="154"/>
      <w:bookmarkEnd w:id="155"/>
    </w:p>
    <w:p w14:paraId="7EF82C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本节包括对本规范规定的全部设备的制造图纸、生产过程照片、文献及小册子的编制和提交的要求。</w:t>
      </w:r>
      <w:bookmarkStart w:id="156" w:name="_Toc121544023"/>
      <w:bookmarkStart w:id="157" w:name="_Toc121543596"/>
    </w:p>
    <w:bookmarkEnd w:id="156"/>
    <w:bookmarkEnd w:id="157"/>
    <w:p w14:paraId="4CCF3B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(1)承包人检查和核实全部设备零部件和在工厂现场实测的尺寸，并提交有关工厂图纸(含装配图)给工程师审查。</w:t>
      </w:r>
    </w:p>
    <w:p w14:paraId="50CE71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(2)工厂图纸按比例绘制，并完整的标注尺寸，尺寸单位为公制。工厂图纸图幅是标准公制系列的倍数，除有特殊要求更大尺寸的图外，最好不要超过A1。</w:t>
      </w:r>
    </w:p>
    <w:p w14:paraId="5F01A43C">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所有提供给工程师审查的图纸盖有“送审”图章。所有正式提交给发包人的最终图纸资料为蓝图并盖有“正式”图章。同时提供相应的电子文件。所有的图纸资料以纸质文本为准。</w:t>
      </w:r>
    </w:p>
    <w:p w14:paraId="51C9263A">
      <w:pPr>
        <w:keepNext/>
        <w:keepLines/>
        <w:spacing w:before="60" w:after="60" w:line="360" w:lineRule="auto"/>
        <w:outlineLvl w:val="2"/>
        <w:rPr>
          <w:rFonts w:hint="eastAsia" w:ascii="宋体" w:hAnsi="宋体" w:eastAsia="宋体" w:cs="宋体"/>
          <w:b/>
          <w:sz w:val="24"/>
          <w:szCs w:val="24"/>
        </w:rPr>
      </w:pPr>
      <w:bookmarkStart w:id="158" w:name="_Toc18335618"/>
      <w:r>
        <w:rPr>
          <w:rFonts w:hint="eastAsia" w:ascii="宋体" w:hAnsi="宋体" w:eastAsia="宋体" w:cs="宋体"/>
          <w:b/>
          <w:sz w:val="24"/>
          <w:szCs w:val="24"/>
        </w:rPr>
        <w:t>1.29 工厂装配与试验证明</w:t>
      </w:r>
      <w:bookmarkEnd w:id="158"/>
    </w:p>
    <w:p w14:paraId="3C7E6BCC">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按规定在承包人工厂车间进行组装的各种设备，除制造厂规定的计划外，还按发包人要求进行一些必要的试验。所有试验项应尽量模拟正常使用条件。对所有拆卸的部件做出适当的配合标记和设定位销。</w:t>
      </w:r>
    </w:p>
    <w:p w14:paraId="5B954D84">
      <w:pPr>
        <w:keepNext/>
        <w:keepLines/>
        <w:spacing w:before="60" w:after="60" w:line="360" w:lineRule="auto"/>
        <w:outlineLvl w:val="2"/>
        <w:rPr>
          <w:rFonts w:hint="eastAsia" w:ascii="宋体" w:hAnsi="宋体" w:eastAsia="宋体" w:cs="宋体"/>
          <w:b/>
          <w:sz w:val="24"/>
          <w:szCs w:val="24"/>
        </w:rPr>
      </w:pPr>
      <w:bookmarkStart w:id="159" w:name="_Toc295224432"/>
      <w:bookmarkStart w:id="160" w:name="_Toc295805634"/>
      <w:bookmarkStart w:id="161" w:name="_Toc295224692"/>
      <w:bookmarkStart w:id="162" w:name="_Toc163961279"/>
      <w:bookmarkStart w:id="163" w:name="_Toc18335619"/>
      <w:bookmarkStart w:id="164" w:name="_Toc500179001"/>
      <w:r>
        <w:rPr>
          <w:rFonts w:hint="eastAsia" w:ascii="宋体" w:hAnsi="宋体" w:eastAsia="宋体" w:cs="宋体"/>
          <w:b/>
          <w:sz w:val="24"/>
          <w:szCs w:val="24"/>
        </w:rPr>
        <w:t>1.30 包装与标志</w:t>
      </w:r>
      <w:bookmarkEnd w:id="159"/>
      <w:bookmarkEnd w:id="160"/>
      <w:bookmarkEnd w:id="161"/>
      <w:bookmarkEnd w:id="162"/>
      <w:bookmarkEnd w:id="163"/>
      <w:bookmarkEnd w:id="164"/>
    </w:p>
    <w:p w14:paraId="616BD5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1.30.1 设备运输符合GB/T13384《机电产品包装通用技术条件》的规定。</w:t>
      </w:r>
    </w:p>
    <w:p w14:paraId="6C699D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1.30.2 对设备加工面采取适用的防锈措施和用木材或其它软材料加以防护。对电气绝缘部件采用防潮和防尘包装。对仪器仪表设备密封包装，并有妥善的防震措施。对于刚度较小的焊件加焊支撑以防变形。</w:t>
      </w:r>
    </w:p>
    <w:p w14:paraId="7EF1AC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1.30.3 包装箱外部标志及起吊位置符合GB191《包装储运图示标志》的规定。</w:t>
      </w:r>
    </w:p>
    <w:p w14:paraId="5D7A3D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包装箱外壁标明收发货单位名称和地址、合同号、产品净重、毛重、重心线及吊索位置，箱子外形尺寸，共××箱第××箱等。</w:t>
      </w:r>
    </w:p>
    <w:p w14:paraId="4589529E">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1.30.4 包装箱内有装箱单、明细表、产品出厂证明书、合格证。这些文件、清单、资料均装在置于包装箱内的专用防潮防雨铁盒内。随机技术文件及图纸由承包人负责交付发包人。</w:t>
      </w:r>
    </w:p>
    <w:p w14:paraId="6BBFD30C">
      <w:pPr>
        <w:keepNext/>
        <w:keepLines/>
        <w:spacing w:before="60" w:after="60" w:line="360" w:lineRule="auto"/>
        <w:outlineLvl w:val="2"/>
        <w:rPr>
          <w:rFonts w:hint="eastAsia" w:ascii="宋体" w:hAnsi="宋体" w:eastAsia="宋体" w:cs="宋体"/>
          <w:szCs w:val="21"/>
        </w:rPr>
      </w:pPr>
      <w:bookmarkStart w:id="165" w:name="_Toc18335620"/>
      <w:bookmarkStart w:id="166" w:name="_Toc456475277"/>
      <w:bookmarkStart w:id="167" w:name="_Toc402163516"/>
      <w:bookmarkStart w:id="168" w:name="_Toc109786723"/>
      <w:r>
        <w:rPr>
          <w:rFonts w:hint="eastAsia" w:ascii="宋体" w:hAnsi="宋体" w:eastAsia="宋体" w:cs="宋体"/>
          <w:b/>
          <w:sz w:val="24"/>
          <w:szCs w:val="24"/>
        </w:rPr>
        <w:t>1.31 承包人的现场指导</w:t>
      </w:r>
      <w:bookmarkEnd w:id="165"/>
      <w:bookmarkEnd w:id="166"/>
      <w:bookmarkEnd w:id="167"/>
      <w:bookmarkEnd w:id="168"/>
    </w:p>
    <w:p w14:paraId="23413E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1.31.1 承包人派遣有能力、有实践经验的人员到现场指导安装和试运行，并参加设备开箱和交接验收试验。</w:t>
      </w:r>
    </w:p>
    <w:p w14:paraId="55119D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1.31.2 承包人事先向发包人提交参加现场指导人员的名单、专业及来现场的计划安排。发包人有权拒绝不合格的现场指导人员，承包人更换合格的指导人员到现场。发包人将为承包人现场指导人员提供住宿方便和工作条件，费用自理。</w:t>
      </w:r>
    </w:p>
    <w:p w14:paraId="2005B9AD">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1.31.3 承包人在现场的指导人员，对设备的安装工艺、质量、设备试验和试运行负责监督。</w:t>
      </w:r>
      <w:r>
        <w:rPr>
          <w:rFonts w:hint="eastAsia" w:ascii="宋体" w:hAnsi="宋体" w:eastAsia="宋体" w:cs="宋体"/>
          <w:szCs w:val="21"/>
        </w:rPr>
        <w:t xml:space="preserve"> </w:t>
      </w:r>
    </w:p>
    <w:p w14:paraId="3E6C58C9">
      <w:pPr>
        <w:keepNext/>
        <w:keepLines/>
        <w:spacing w:before="60" w:after="60" w:line="360" w:lineRule="auto"/>
        <w:outlineLvl w:val="2"/>
        <w:rPr>
          <w:rFonts w:hint="eastAsia" w:ascii="宋体" w:hAnsi="宋体" w:eastAsia="宋体" w:cs="宋体"/>
          <w:b/>
          <w:sz w:val="24"/>
          <w:szCs w:val="24"/>
        </w:rPr>
      </w:pPr>
      <w:bookmarkStart w:id="169" w:name="_Toc500179002"/>
      <w:bookmarkStart w:id="170" w:name="_Toc18335621"/>
      <w:r>
        <w:rPr>
          <w:rFonts w:hint="eastAsia" w:ascii="宋体" w:hAnsi="宋体" w:eastAsia="宋体" w:cs="宋体"/>
          <w:b/>
          <w:sz w:val="24"/>
          <w:szCs w:val="24"/>
        </w:rPr>
        <w:t>1.32 质保期工作</w:t>
      </w:r>
      <w:bookmarkEnd w:id="169"/>
      <w:bookmarkEnd w:id="170"/>
    </w:p>
    <w:p w14:paraId="76F89D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1.32.1设备经试运行合格、投入商业运行后的</w:t>
      </w:r>
      <w:r>
        <w:rPr>
          <w:rFonts w:hint="eastAsia" w:ascii="宋体" w:hAnsi="宋体" w:eastAsia="宋体" w:cs="宋体"/>
          <w:sz w:val="24"/>
          <w:szCs w:val="24"/>
          <w:lang w:val="en-US" w:eastAsia="zh-CN"/>
        </w:rPr>
        <w:t>12</w:t>
      </w:r>
      <w:r>
        <w:rPr>
          <w:rFonts w:hint="eastAsia" w:ascii="宋体" w:hAnsi="宋体" w:eastAsia="宋体" w:cs="宋体"/>
          <w:sz w:val="24"/>
          <w:szCs w:val="24"/>
        </w:rPr>
        <w:t>个月为设备的质保期。在此期间内，因制造质量引起的设备损坏或不能正常工作，承包人无偿修理或更换。</w:t>
      </w:r>
    </w:p>
    <w:p w14:paraId="165209C5">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1.32.2 在质保期内供货设备出现由于设计、材料、加工问题引起的任何缺陷、故障、非正常损坏，承包人负责在发包人指定的期限内免费给予修理或更换；在紧急情况下承包人无法对设备进行修理、更换时，负责承担产生的风险费用。</w:t>
      </w:r>
    </w:p>
    <w:p w14:paraId="687EF7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1.32.3 在质保期内售后服务的要求为：对发包人报修的反馈时间不超过 2小时，维修人员到达项目现场的时间不超过 24小时，修复设备的时间不超过 14天，定期回访的周期为 3个月。</w:t>
      </w:r>
    </w:p>
    <w:p w14:paraId="094813C2">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1.32.4  在质保期内，承包人还负责指导发包人技术人员，特别是要使发包人的技术管理人员能熟练地掌握控制系统的操作方法，以达到预期的运行效果。</w:t>
      </w:r>
      <w:r>
        <w:rPr>
          <w:rFonts w:hint="eastAsia" w:ascii="宋体" w:hAnsi="宋体" w:eastAsia="宋体" w:cs="宋体"/>
          <w:szCs w:val="21"/>
        </w:rPr>
        <w:t xml:space="preserve"> </w:t>
      </w:r>
    </w:p>
    <w:p w14:paraId="1AF680F4">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1.33 设计联络会</w:t>
      </w:r>
    </w:p>
    <w:p w14:paraId="37E8D2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1.33.1 概述</w:t>
      </w:r>
    </w:p>
    <w:p w14:paraId="55DD28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为协调本合同设备设计、制造、工程设计及其他方面的工作，以保证合同有效及顺利地实施，发包人和承包人召开设计联络会并形成纪要。</w:t>
      </w:r>
    </w:p>
    <w:p w14:paraId="6043E2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计划发包人与承包人将召开一次机组设计联络会。</w:t>
      </w:r>
    </w:p>
    <w:p w14:paraId="556AF5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承包人制定设计联络会的计划和日程并在设计联络会前15天以书面形式向发包人发出正式邀请并提供联络会使用的图纸、资料。</w:t>
      </w:r>
    </w:p>
    <w:p w14:paraId="7FD090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发包人将在设计联络会前和会上，对承包人提交的图纸和资料进行审查和确认。但是，承包人不能因此而推卸承担的一切责任。</w:t>
      </w:r>
    </w:p>
    <w:p w14:paraId="3531DF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1.33.2  设计联络会</w:t>
      </w:r>
    </w:p>
    <w:p w14:paraId="53B45A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——会议地点：承包人工厂内（或另行协商）</w:t>
      </w:r>
    </w:p>
    <w:p w14:paraId="782ED3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——会议时间：设计联络会在合同签订后15天内召开；</w:t>
      </w:r>
    </w:p>
    <w:p w14:paraId="1A02C0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（1）设计联络会主要议题</w:t>
      </w:r>
    </w:p>
    <w:p w14:paraId="56CA72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1）对水轮发电机组增容设计总体方案和图纸进行审查；</w:t>
      </w:r>
    </w:p>
    <w:p w14:paraId="3FB9746A">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2）电站设备供货时间进行确认。</w:t>
      </w:r>
    </w:p>
    <w:p w14:paraId="36D1CCCF">
      <w:pPr>
        <w:keepNext/>
        <w:keepLines/>
        <w:spacing w:before="60" w:after="60" w:line="360" w:lineRule="auto"/>
        <w:outlineLvl w:val="2"/>
        <w:rPr>
          <w:rFonts w:hint="eastAsia" w:ascii="宋体" w:hAnsi="宋体" w:eastAsia="宋体" w:cs="宋体"/>
          <w:b/>
          <w:sz w:val="24"/>
          <w:szCs w:val="24"/>
        </w:rPr>
      </w:pPr>
      <w:bookmarkStart w:id="171" w:name="_Toc18335622"/>
      <w:r>
        <w:rPr>
          <w:rFonts w:hint="eastAsia" w:ascii="宋体" w:hAnsi="宋体" w:eastAsia="宋体" w:cs="宋体"/>
          <w:b/>
          <w:sz w:val="24"/>
          <w:szCs w:val="24"/>
        </w:rPr>
        <w:t>1.34 承包人提供的图纸和资料</w:t>
      </w:r>
      <w:bookmarkEnd w:id="171"/>
    </w:p>
    <w:p w14:paraId="5EFF31D5">
      <w:pPr>
        <w:spacing w:line="360" w:lineRule="auto"/>
        <w:ind w:firstLine="480" w:firstLineChars="200"/>
        <w:rPr>
          <w:rFonts w:hint="eastAsia" w:ascii="宋体" w:hAnsi="宋体" w:eastAsia="宋体" w:cs="宋体"/>
          <w:sz w:val="24"/>
          <w:szCs w:val="24"/>
        </w:rPr>
      </w:pPr>
      <w:bookmarkStart w:id="172" w:name="_Toc18335623"/>
      <w:bookmarkStart w:id="173" w:name="_Toc500179003"/>
      <w:r>
        <w:rPr>
          <w:rFonts w:hint="eastAsia" w:ascii="宋体" w:hAnsi="宋体" w:eastAsia="宋体" w:cs="宋体"/>
          <w:sz w:val="24"/>
          <w:szCs w:val="24"/>
        </w:rPr>
        <w:t>1.34.1 承包人应向发包人提交下列图纸和资料供审查：合同规定提交的图纸；设备安装、运行及检修说明书；设备技术条件和说明书；产品样本；开停机程序；现场试验大纲和程序；模型试验程序和试验报告；本合同文件中提及的其它图纸资料。</w:t>
      </w:r>
    </w:p>
    <w:p w14:paraId="154B49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承包人应提交供图清单，并注明按合同提交的日期及顺序。</w:t>
      </w:r>
    </w:p>
    <w:p w14:paraId="19689F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承包人正式提交审查的图纸均应由承包人授权代表签署或单位盖章。</w:t>
      </w:r>
    </w:p>
    <w:p w14:paraId="64010F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经发包人和承包人协商应修改的图纸及发包人提出意见需修改的图纸都必须在三周内重新提交相同份数的修改版本图纸。</w:t>
      </w:r>
    </w:p>
    <w:p w14:paraId="5A2187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1.34.2 对于承包人提交的不符合要求的图纸，发包人将不作正式审查或处理，也不将图纸退回承包人单位，只书面通知承包人不符合要求的图纸名称，并要求承包人修改后重新提交图纸。</w:t>
      </w:r>
    </w:p>
    <w:p w14:paraId="292E9F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由于重新修改图纸，推迟合同规定的交图时间，影响工程进度时，将认为承包人逾期，并应承担违约罚款。</w:t>
      </w:r>
    </w:p>
    <w:p w14:paraId="62E10A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1.34.3 图纸和资料</w:t>
      </w:r>
    </w:p>
    <w:p w14:paraId="6DC6EA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承包人应从合同生效日算起在规定时间内提交本条所列设备图纸、重量、承受载荷、作用力、起吊方式、安装固定方式等涉及电站设备、建筑物布置设计所需的图纸和资料。</w:t>
      </w:r>
    </w:p>
    <w:p w14:paraId="406DC1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一联会图纸资料在合同生效后15天内提供，纸质版以A3版面白图形式提供（发包人2份，设计单位2份），另外提供电子版2份（发包人1份、设计单位1份）。</w:t>
      </w:r>
    </w:p>
    <w:p w14:paraId="5AF12C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正式图纸资料在合同生效后35天内提供，纸质版以A1版面兰图形式提供（发包人8份，设计单位2份），另外提供电子版2份（发包人1份、设计单位1份）。</w:t>
      </w:r>
    </w:p>
    <w:p w14:paraId="3B8178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随机图纸资料在相应设备发货时随装箱单一起提供，纸质版以A1版面兰图形式提供（发包人8份），另外提供电子版1份（发包人1份）。</w:t>
      </w:r>
    </w:p>
    <w:p w14:paraId="63A714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1.34.4 试验报告</w:t>
      </w:r>
    </w:p>
    <w:p w14:paraId="7B7EC9EA">
      <w:pPr>
        <w:keepLines w:val="0"/>
        <w:pageBreakBefore w:val="0"/>
        <w:widowControl w:val="0"/>
        <w:kinsoku/>
        <w:wordWrap/>
        <w:overflowPunct/>
        <w:topLinePunct w:val="0"/>
        <w:bidi w:val="0"/>
        <w:adjustRightInd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1.34.4.1 承包人应提供用于主要设备或部件上材料的试验报告，报告应标明使用材料的部件名称、材料的化学成分和机械性能，并包括所有必须的资料，以便核实材料试验是否符合合同文件规定的要求。</w:t>
      </w:r>
    </w:p>
    <w:p w14:paraId="3E493928">
      <w:pPr>
        <w:keepLines w:val="0"/>
        <w:pageBreakBefore w:val="0"/>
        <w:widowControl w:val="0"/>
        <w:kinsoku/>
        <w:wordWrap/>
        <w:overflowPunct/>
        <w:topLinePunct w:val="0"/>
        <w:bidi w:val="0"/>
        <w:adjustRightInd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1.34.4.2 承包人应提供水轮机转轮、发电机及其附属设备所有工厂试验的试验报告以及现场试验的试验报告。</w:t>
      </w:r>
    </w:p>
    <w:p w14:paraId="6D6AD2E3">
      <w:pPr>
        <w:keepLines w:val="0"/>
        <w:pageBreakBefore w:val="0"/>
        <w:widowControl w:val="0"/>
        <w:kinsoku/>
        <w:wordWrap/>
        <w:overflowPunct/>
        <w:topLinePunct w:val="0"/>
        <w:bidi w:val="0"/>
        <w:adjustRightInd w:val="0"/>
        <w:snapToGrid/>
        <w:spacing w:line="360" w:lineRule="auto"/>
        <w:ind w:firstLine="480"/>
        <w:jc w:val="center"/>
        <w:rPr>
          <w:rFonts w:hint="eastAsia" w:ascii="宋体" w:hAnsi="宋体" w:eastAsia="宋体" w:cs="宋体"/>
          <w:snapToGrid w:val="0"/>
          <w:szCs w:val="20"/>
        </w:rPr>
      </w:pPr>
    </w:p>
    <w:bookmarkEnd w:id="172"/>
    <w:bookmarkEnd w:id="173"/>
    <w:p w14:paraId="08C04363">
      <w:pPr>
        <w:keepNext/>
        <w:keepLines w:val="0"/>
        <w:pageBreakBefore w:val="0"/>
        <w:widowControl w:val="0"/>
        <w:kinsoku/>
        <w:wordWrap/>
        <w:overflowPunct/>
        <w:topLinePunct w:val="0"/>
        <w:bidi w:val="0"/>
        <w:adjustRightInd w:val="0"/>
        <w:snapToGrid/>
        <w:spacing w:line="360" w:lineRule="auto"/>
        <w:jc w:val="center"/>
        <w:outlineLvl w:val="1"/>
        <w:rPr>
          <w:rFonts w:hint="eastAsia" w:ascii="宋体" w:hAnsi="宋体" w:eastAsia="宋体" w:cs="宋体"/>
          <w:sz w:val="28"/>
          <w:szCs w:val="28"/>
        </w:rPr>
      </w:pPr>
      <w:bookmarkStart w:id="174" w:name="_Toc137135227"/>
      <w:bookmarkEnd w:id="174"/>
      <w:bookmarkStart w:id="175" w:name="_Toc106374674"/>
      <w:bookmarkEnd w:id="175"/>
      <w:bookmarkStart w:id="176" w:name="_Toc137136166"/>
      <w:bookmarkEnd w:id="176"/>
      <w:bookmarkStart w:id="177" w:name="_Toc107244330"/>
      <w:bookmarkEnd w:id="177"/>
      <w:bookmarkStart w:id="178" w:name="_Toc12610"/>
      <w:r>
        <w:rPr>
          <w:rFonts w:hint="eastAsia" w:ascii="宋体" w:hAnsi="宋体" w:eastAsia="宋体" w:cs="宋体"/>
          <w:sz w:val="28"/>
          <w:szCs w:val="28"/>
        </w:rPr>
        <w:t>第2章 水轮机改造设备技术条款</w:t>
      </w:r>
      <w:bookmarkEnd w:id="178"/>
    </w:p>
    <w:p w14:paraId="5F34CE05">
      <w:pPr>
        <w:pStyle w:val="4"/>
        <w:keepLines w:val="0"/>
        <w:pageBreakBefore w:val="0"/>
        <w:widowControl w:val="0"/>
        <w:kinsoku/>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bCs/>
          <w:kern w:val="2"/>
          <w:sz w:val="28"/>
          <w:szCs w:val="28"/>
        </w:rPr>
      </w:pPr>
      <w:bookmarkStart w:id="179" w:name="_Toc137135228"/>
      <w:bookmarkEnd w:id="179"/>
      <w:bookmarkStart w:id="180" w:name="_Toc137136167"/>
      <w:r>
        <w:rPr>
          <w:rFonts w:hint="eastAsia" w:ascii="宋体" w:hAnsi="宋体" w:eastAsia="宋体" w:cs="宋体"/>
          <w:bCs/>
          <w:sz w:val="28"/>
          <w:szCs w:val="28"/>
        </w:rPr>
        <w:t>2.</w:t>
      </w:r>
      <w:bookmarkEnd w:id="180"/>
      <w:r>
        <w:rPr>
          <w:rFonts w:hint="eastAsia" w:ascii="宋体" w:hAnsi="宋体" w:eastAsia="宋体" w:cs="宋体"/>
          <w:bCs/>
          <w:sz w:val="28"/>
          <w:szCs w:val="28"/>
        </w:rPr>
        <w:t>1 概述</w:t>
      </w:r>
    </w:p>
    <w:p w14:paraId="34D854B1">
      <w:pPr>
        <w:keepLines w:val="0"/>
        <w:pageBreakBefore w:val="0"/>
        <w:widowControl w:val="0"/>
        <w:kinsoku/>
        <w:wordWrap/>
        <w:overflowPunct/>
        <w:topLinePunct w:val="0"/>
        <w:bidi w:val="0"/>
        <w:adjustRightInd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 本节规定了立轴混流式水轮机改造部分的设计、制造、工厂试验、现场试验等的具体要求。</w:t>
      </w:r>
      <w:bookmarkStart w:id="181" w:name="_Toc93994307"/>
      <w:r>
        <w:rPr>
          <w:rFonts w:hint="eastAsia" w:ascii="宋体" w:hAnsi="宋体" w:eastAsia="宋体" w:cs="宋体"/>
          <w:sz w:val="24"/>
          <w:szCs w:val="24"/>
        </w:rPr>
        <w:t>技术条款按1台套混流式水轮机编写，同样适合于承包人提供的所有水轮机。</w:t>
      </w:r>
      <w:bookmarkEnd w:id="181"/>
    </w:p>
    <w:p w14:paraId="0E31FF9D">
      <w:pPr>
        <w:keepLines w:val="0"/>
        <w:pageBreakBefore w:val="0"/>
        <w:widowControl w:val="0"/>
        <w:kinsoku/>
        <w:wordWrap/>
        <w:overflowPunct/>
        <w:topLinePunct w:val="0"/>
        <w:bidi w:val="0"/>
        <w:adjustRightInd w:val="0"/>
        <w:snapToGrid/>
        <w:spacing w:line="360" w:lineRule="auto"/>
        <w:ind w:firstLine="480" w:firstLineChars="200"/>
        <w:rPr>
          <w:rFonts w:hint="eastAsia" w:ascii="宋体" w:hAnsi="宋体" w:eastAsia="宋体" w:cs="宋体"/>
          <w:sz w:val="24"/>
          <w:szCs w:val="24"/>
        </w:rPr>
      </w:pPr>
      <w:bookmarkStart w:id="182" w:name="_Toc93994305"/>
      <w:bookmarkEnd w:id="182"/>
      <w:r>
        <w:rPr>
          <w:rFonts w:hint="eastAsia" w:ascii="宋体" w:hAnsi="宋体" w:eastAsia="宋体" w:cs="宋体"/>
          <w:sz w:val="24"/>
          <w:szCs w:val="24"/>
        </w:rPr>
        <w:t>2.1.2 水轮机选材、设计、制造、试验、供货和服务等除满足本节要求外，还应满足“一般规定和规范”的要求。水轮机制造质量应满足NB/T42098《小型水轮机产品质量控制规范》的要求。</w:t>
      </w:r>
    </w:p>
    <w:p w14:paraId="5970A43B">
      <w:pPr>
        <w:keepLines w:val="0"/>
        <w:pageBreakBefore w:val="0"/>
        <w:widowControl w:val="0"/>
        <w:kinsoku/>
        <w:wordWrap/>
        <w:overflowPunct/>
        <w:topLinePunct w:val="0"/>
        <w:bidi w:val="0"/>
        <w:adjustRightInd w:val="0"/>
        <w:snapToGrid/>
        <w:spacing w:line="360" w:lineRule="auto"/>
        <w:ind w:firstLine="480" w:firstLineChars="200"/>
        <w:rPr>
          <w:rFonts w:hint="eastAsia" w:ascii="宋体" w:hAnsi="宋体" w:eastAsia="宋体" w:cs="宋体"/>
          <w:sz w:val="24"/>
          <w:szCs w:val="24"/>
        </w:rPr>
      </w:pPr>
      <w:bookmarkStart w:id="183" w:name="_Toc93994306"/>
      <w:bookmarkEnd w:id="183"/>
      <w:r>
        <w:rPr>
          <w:rFonts w:hint="eastAsia" w:ascii="宋体" w:hAnsi="宋体" w:eastAsia="宋体" w:cs="宋体"/>
          <w:sz w:val="24"/>
          <w:szCs w:val="24"/>
        </w:rPr>
        <w:t>2.1.3 水轮机及其附属设备的安装、调试将在承包人服务人员的技术指导下，由其他承包商完成。</w:t>
      </w:r>
    </w:p>
    <w:p w14:paraId="19868D2F">
      <w:pPr>
        <w:pStyle w:val="4"/>
        <w:keepLines w:val="0"/>
        <w:pageBreakBefore w:val="0"/>
        <w:widowControl w:val="0"/>
        <w:kinsoku/>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kern w:val="2"/>
          <w:sz w:val="28"/>
          <w:szCs w:val="28"/>
        </w:rPr>
      </w:pPr>
      <w:bookmarkStart w:id="184" w:name="_Toc137136168"/>
      <w:bookmarkEnd w:id="184"/>
      <w:bookmarkStart w:id="185" w:name="_Toc137135229"/>
      <w:r>
        <w:rPr>
          <w:rFonts w:hint="eastAsia" w:ascii="宋体" w:hAnsi="宋体" w:eastAsia="宋体" w:cs="宋体"/>
          <w:bCs/>
          <w:sz w:val="28"/>
          <w:szCs w:val="28"/>
        </w:rPr>
        <w:t xml:space="preserve">2.2 </w:t>
      </w:r>
      <w:bookmarkEnd w:id="185"/>
      <w:r>
        <w:rPr>
          <w:rFonts w:hint="eastAsia" w:ascii="宋体" w:hAnsi="宋体" w:eastAsia="宋体" w:cs="宋体"/>
          <w:bCs/>
          <w:sz w:val="28"/>
          <w:szCs w:val="28"/>
        </w:rPr>
        <w:t>工作内容</w:t>
      </w:r>
    </w:p>
    <w:p w14:paraId="3BE99B0A">
      <w:pPr>
        <w:keepLines w:val="0"/>
        <w:pageBreakBefore w:val="0"/>
        <w:widowControl w:val="0"/>
        <w:kinsoku/>
        <w:wordWrap/>
        <w:overflowPunct/>
        <w:topLinePunct w:val="0"/>
        <w:bidi w:val="0"/>
        <w:adjustRightInd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 工作范围</w:t>
      </w:r>
    </w:p>
    <w:p w14:paraId="35CA0C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2.2.1.1 承包人应完成本合同水轮机改造部分的设计、制造、工厂试验、包装、运输、交货、技术资料的提供、技术服务和交接验收，并对上述工作范围内的工作负全部责任。</w:t>
      </w:r>
    </w:p>
    <w:p w14:paraId="7394AF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2.2.1.2 完成与电站设计有关的设计联络；接受发包人代表参加工厂检验、监造、见证工厂试验和参加工厂验收；负责与分包人、其他相关设备承包人之间的协调。</w:t>
      </w:r>
    </w:p>
    <w:p w14:paraId="6459A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2.2.1.3 在工厂和现场对发包人相关人员进行合同设备性能、组装、试验、运行和维护等方面的培训。</w:t>
      </w:r>
    </w:p>
    <w:p w14:paraId="25F1A4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2.2.1.4 完成与其他承包人的配合、协调工作，指导合同设备交货以后的保管和安装、调试等。</w:t>
      </w:r>
    </w:p>
    <w:p w14:paraId="2E272C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2.2.1.5 本合同文件中未说明的但与设计、制造、工厂试验、包装、运输、保管、安装、现场试验和运行维护等相关的工作，均按相关标准执行。</w:t>
      </w:r>
    </w:p>
    <w:p w14:paraId="0A6D0151">
      <w:pPr>
        <w:spacing w:line="360" w:lineRule="auto"/>
        <w:ind w:firstLine="480" w:firstLineChars="200"/>
        <w:rPr>
          <w:rFonts w:hint="eastAsia" w:ascii="宋体" w:hAnsi="宋体" w:eastAsia="宋体" w:cs="宋体"/>
          <w:sz w:val="24"/>
          <w:szCs w:val="24"/>
        </w:rPr>
      </w:pPr>
      <w:bookmarkStart w:id="186" w:name="_Toc70222745"/>
      <w:bookmarkEnd w:id="186"/>
      <w:r>
        <w:rPr>
          <w:rFonts w:hint="eastAsia" w:ascii="宋体" w:hAnsi="宋体" w:eastAsia="宋体" w:cs="宋体"/>
          <w:sz w:val="24"/>
          <w:szCs w:val="24"/>
        </w:rPr>
        <w:t>2.2.2 供货范围</w:t>
      </w:r>
    </w:p>
    <w:p w14:paraId="487D1B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1）水轮机</w:t>
      </w:r>
    </w:p>
    <w:p w14:paraId="79D853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每台水轮机改造部分至少应带有以下设备和零部件：</w:t>
      </w:r>
    </w:p>
    <w:p w14:paraId="2E7B88CD">
      <w:pPr>
        <w:spacing w:line="360" w:lineRule="auto"/>
        <w:ind w:firstLine="480" w:firstLineChars="200"/>
        <w:rPr>
          <w:rFonts w:hint="eastAsia"/>
          <w:sz w:val="24"/>
          <w:szCs w:val="24"/>
          <w:lang w:val="en-US" w:eastAsia="zh-CN"/>
        </w:rPr>
      </w:pPr>
      <w:r>
        <w:rPr>
          <w:rFonts w:hint="eastAsia" w:ascii="宋体" w:hAnsi="宋体" w:eastAsia="宋体" w:cs="宋体"/>
          <w:sz w:val="24"/>
          <w:szCs w:val="24"/>
        </w:rPr>
        <w:t>-转轮更新，型号</w:t>
      </w:r>
      <w:r>
        <w:rPr>
          <w:rFonts w:hint="eastAsia"/>
          <w:sz w:val="24"/>
          <w:szCs w:val="24"/>
          <w:lang w:val="en-US" w:eastAsia="zh-CN"/>
        </w:rPr>
        <w:t>改为 HLSH187-LJ-73或其它型号转轮，性能及参数不低HLSH187。</w:t>
      </w:r>
    </w:p>
    <w:p w14:paraId="66CD33D4">
      <w:pPr>
        <w:spacing w:line="360" w:lineRule="auto"/>
        <w:ind w:firstLine="960" w:firstLineChars="400"/>
        <w:rPr>
          <w:rFonts w:hint="eastAsia"/>
          <w:sz w:val="24"/>
          <w:szCs w:val="24"/>
          <w:lang w:val="en-US" w:eastAsia="zh-CN"/>
        </w:rPr>
      </w:pPr>
      <w:r>
        <w:rPr>
          <w:rFonts w:hint="eastAsia"/>
          <w:sz w:val="24"/>
          <w:szCs w:val="24"/>
          <w:lang w:val="en-US" w:eastAsia="zh-CN"/>
        </w:rPr>
        <w:t>-导水机构更新</w:t>
      </w:r>
    </w:p>
    <w:p w14:paraId="1FF3442B">
      <w:pPr>
        <w:spacing w:line="360" w:lineRule="auto"/>
        <w:ind w:firstLine="960" w:firstLineChars="400"/>
        <w:rPr>
          <w:rFonts w:hint="default"/>
          <w:sz w:val="24"/>
          <w:szCs w:val="24"/>
          <w:lang w:val="en-US" w:eastAsia="zh-CN"/>
        </w:rPr>
      </w:pPr>
      <w:r>
        <w:rPr>
          <w:rFonts w:hint="eastAsia"/>
          <w:sz w:val="24"/>
          <w:szCs w:val="24"/>
          <w:lang w:val="en-US" w:eastAsia="zh-CN"/>
        </w:rPr>
        <w:t>-水导轴承更新</w:t>
      </w:r>
    </w:p>
    <w:p w14:paraId="625B81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-联轴螺栓、螺母、保护罩等</w:t>
      </w:r>
    </w:p>
    <w:p w14:paraId="55781E85">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-主轴返厂，并于转轮螺栓孔同镗加工</w:t>
      </w:r>
    </w:p>
    <w:p w14:paraId="6B0ABD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-主轴工作密封、检修密封更新</w:t>
      </w:r>
    </w:p>
    <w:p w14:paraId="6308B6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-自动化元件</w:t>
      </w:r>
    </w:p>
    <w:p w14:paraId="1A51A2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-更新部分的所有的阀门、管道、管件、支撑和所有电气连接导线、电缆等</w:t>
      </w:r>
    </w:p>
    <w:p w14:paraId="76EF76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2）规定的专用工器具。</w:t>
      </w:r>
    </w:p>
    <w:p w14:paraId="3E2B81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3）规定的水轮机备品备件。</w:t>
      </w:r>
    </w:p>
    <w:p w14:paraId="4BB67A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任何上述1）～3）中未列上，但又是保证水轮机安全、稳定、正常运行和维护所必须的设备、元器件及零部件。</w:t>
      </w:r>
    </w:p>
    <w:p w14:paraId="7DAD1C70">
      <w:pPr>
        <w:spacing w:line="360" w:lineRule="auto"/>
        <w:ind w:firstLine="480" w:firstLineChars="200"/>
        <w:rPr>
          <w:rFonts w:hint="eastAsia" w:ascii="宋体" w:hAnsi="宋体" w:eastAsia="宋体" w:cs="宋体"/>
          <w:sz w:val="24"/>
          <w:szCs w:val="24"/>
        </w:rPr>
      </w:pPr>
      <w:bookmarkStart w:id="187" w:name="_Toc70222746"/>
      <w:bookmarkEnd w:id="187"/>
      <w:r>
        <w:rPr>
          <w:rFonts w:hint="eastAsia" w:ascii="宋体" w:hAnsi="宋体" w:eastAsia="宋体" w:cs="宋体"/>
          <w:sz w:val="24"/>
          <w:szCs w:val="24"/>
        </w:rPr>
        <w:t>2.2.3 供货界面</w:t>
      </w:r>
    </w:p>
    <w:p w14:paraId="715333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控制及电气系统——供货至承包人提供的盘、柜、箱端子。</w:t>
      </w:r>
    </w:p>
    <w:p w14:paraId="7ABF2D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油、气、水系统——供货至水轮机机墩外第一对法兰处（如阀门、自动化元件布置在机墩外，则应包括这些阀门、自动化元件）。接力器供货至软管出口并包含与软管连接的成对接头。</w:t>
      </w:r>
    </w:p>
    <w:p w14:paraId="6714D5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水力监测系统——供货至机旁仪表盘或仪表装设地点。</w:t>
      </w:r>
    </w:p>
    <w:p w14:paraId="653E4B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承包人提供的成套设备之间的机械和电气连接均属承包人的供货范围。</w:t>
      </w:r>
    </w:p>
    <w:p w14:paraId="02A536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2.2.4 技术资料</w:t>
      </w:r>
    </w:p>
    <w:p w14:paraId="4444C476">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承包人在各阶段应提供表2.2-1所列的技术资料。</w:t>
      </w:r>
    </w:p>
    <w:p w14:paraId="5AA3EAB6">
      <w:pPr>
        <w:autoSpaceDE w:val="0"/>
        <w:autoSpaceDN w:val="0"/>
        <w:adjustRightInd w:val="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表2.2-1  提供的技术资料清单</w:t>
      </w:r>
    </w:p>
    <w:tbl>
      <w:tblPr>
        <w:tblStyle w:val="65"/>
        <w:tblW w:w="48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3515"/>
        <w:gridCol w:w="1322"/>
        <w:gridCol w:w="1517"/>
        <w:gridCol w:w="1392"/>
      </w:tblGrid>
      <w:tr w14:paraId="239D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center"/>
          </w:tcPr>
          <w:p w14:paraId="20E17DB9">
            <w:pPr>
              <w:spacing w:line="360" w:lineRule="exact"/>
              <w:jc w:val="center"/>
              <w:rPr>
                <w:rFonts w:hint="eastAsia" w:ascii="宋体" w:hAnsi="宋体" w:eastAsia="宋体" w:cs="宋体"/>
                <w:szCs w:val="21"/>
              </w:rPr>
            </w:pPr>
            <w:r>
              <w:rPr>
                <w:rFonts w:hint="eastAsia" w:ascii="宋体" w:hAnsi="宋体" w:eastAsia="宋体" w:cs="宋体"/>
              </w:rPr>
              <w:t>序号</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6BA685CC">
            <w:pPr>
              <w:spacing w:line="360" w:lineRule="exact"/>
              <w:jc w:val="center"/>
              <w:rPr>
                <w:rFonts w:hint="eastAsia" w:ascii="宋体" w:hAnsi="宋体" w:eastAsia="宋体" w:cs="宋体"/>
              </w:rPr>
            </w:pPr>
            <w:r>
              <w:rPr>
                <w:rFonts w:hint="eastAsia" w:ascii="宋体" w:hAnsi="宋体" w:eastAsia="宋体" w:cs="宋体"/>
              </w:rPr>
              <w:t>图纸名称</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E370712">
            <w:pPr>
              <w:spacing w:line="360" w:lineRule="exact"/>
              <w:jc w:val="center"/>
              <w:rPr>
                <w:rFonts w:hint="eastAsia" w:ascii="宋体" w:hAnsi="宋体" w:eastAsia="宋体" w:cs="宋体"/>
              </w:rPr>
            </w:pPr>
            <w:r>
              <w:rPr>
                <w:rFonts w:hint="eastAsia" w:ascii="宋体" w:hAnsi="宋体" w:eastAsia="宋体" w:cs="宋体"/>
              </w:rPr>
              <w:t>二联会资料</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ACD0228">
            <w:pPr>
              <w:spacing w:line="360" w:lineRule="exact"/>
              <w:jc w:val="center"/>
              <w:rPr>
                <w:rFonts w:hint="eastAsia" w:ascii="宋体" w:hAnsi="宋体" w:eastAsia="宋体" w:cs="宋体"/>
              </w:rPr>
            </w:pPr>
            <w:r>
              <w:rPr>
                <w:rFonts w:hint="eastAsia" w:ascii="宋体" w:hAnsi="宋体" w:eastAsia="宋体" w:cs="宋体"/>
              </w:rPr>
              <w:t>正式资料</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4FDB830F">
            <w:pPr>
              <w:spacing w:line="360" w:lineRule="exact"/>
              <w:jc w:val="center"/>
              <w:rPr>
                <w:rFonts w:hint="eastAsia" w:ascii="宋体" w:hAnsi="宋体" w:eastAsia="宋体" w:cs="宋体"/>
              </w:rPr>
            </w:pPr>
            <w:r>
              <w:rPr>
                <w:rFonts w:hint="eastAsia" w:ascii="宋体" w:hAnsi="宋体" w:eastAsia="宋体" w:cs="宋体"/>
              </w:rPr>
              <w:t>随机资料</w:t>
            </w:r>
          </w:p>
        </w:tc>
      </w:tr>
      <w:tr w14:paraId="6EBE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5ECFC817">
            <w:pPr>
              <w:spacing w:line="360" w:lineRule="exact"/>
              <w:jc w:val="center"/>
              <w:rPr>
                <w:rFonts w:hint="eastAsia" w:ascii="宋体" w:hAnsi="宋体" w:eastAsia="宋体" w:cs="宋体"/>
              </w:rPr>
            </w:pPr>
            <w:r>
              <w:rPr>
                <w:rFonts w:hint="eastAsia" w:ascii="宋体" w:hAnsi="宋体" w:eastAsia="宋体" w:cs="宋体"/>
              </w:rPr>
              <w:t>1</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6782CF47">
            <w:pPr>
              <w:spacing w:line="360" w:lineRule="exact"/>
              <w:rPr>
                <w:rFonts w:hint="eastAsia" w:ascii="宋体" w:hAnsi="宋体" w:eastAsia="宋体" w:cs="宋体"/>
              </w:rPr>
            </w:pPr>
            <w:r>
              <w:rPr>
                <w:rFonts w:hint="eastAsia" w:ascii="宋体" w:hAnsi="宋体" w:eastAsia="宋体" w:cs="宋体"/>
              </w:rPr>
              <w:t>水轮机技术参数</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71568AC0">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267B6D36">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317C5B63">
            <w:pPr>
              <w:spacing w:line="360" w:lineRule="exact"/>
              <w:jc w:val="center"/>
              <w:rPr>
                <w:rFonts w:hint="eastAsia" w:ascii="宋体" w:hAnsi="宋体" w:eastAsia="宋体" w:cs="宋体"/>
              </w:rPr>
            </w:pPr>
            <w:r>
              <w:rPr>
                <w:rFonts w:hint="eastAsia" w:ascii="宋体" w:hAnsi="宋体" w:eastAsia="宋体" w:cs="宋体"/>
              </w:rPr>
              <w:t>√</w:t>
            </w:r>
          </w:p>
        </w:tc>
      </w:tr>
      <w:tr w14:paraId="142E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23D7F96D">
            <w:pPr>
              <w:spacing w:line="360" w:lineRule="exact"/>
              <w:jc w:val="center"/>
              <w:rPr>
                <w:rFonts w:hint="eastAsia" w:ascii="宋体" w:hAnsi="宋体" w:eastAsia="宋体" w:cs="宋体"/>
              </w:rPr>
            </w:pPr>
            <w:r>
              <w:rPr>
                <w:rFonts w:hint="eastAsia" w:ascii="宋体" w:hAnsi="宋体" w:eastAsia="宋体" w:cs="宋体"/>
              </w:rPr>
              <w:t>2</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5C405E75">
            <w:pPr>
              <w:spacing w:line="360" w:lineRule="exact"/>
              <w:rPr>
                <w:rFonts w:hint="eastAsia" w:ascii="宋体" w:hAnsi="宋体" w:eastAsia="宋体" w:cs="宋体"/>
              </w:rPr>
            </w:pPr>
            <w:r>
              <w:rPr>
                <w:rFonts w:hint="eastAsia" w:ascii="宋体" w:hAnsi="宋体" w:eastAsia="宋体" w:cs="宋体"/>
              </w:rPr>
              <w:t>模型水轮机资料</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0D92A978">
            <w:pPr>
              <w:spacing w:line="360" w:lineRule="exact"/>
              <w:jc w:val="center"/>
              <w:rPr>
                <w:rFonts w:hint="eastAsia" w:ascii="宋体" w:hAnsi="宋体" w:eastAsia="宋体" w:cs="宋体"/>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5763FDE1">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02A171FD">
            <w:pPr>
              <w:spacing w:line="360" w:lineRule="exact"/>
              <w:jc w:val="center"/>
              <w:rPr>
                <w:rFonts w:hint="eastAsia" w:ascii="宋体" w:hAnsi="宋体" w:eastAsia="宋体" w:cs="宋体"/>
              </w:rPr>
            </w:pPr>
            <w:r>
              <w:rPr>
                <w:rFonts w:hint="eastAsia" w:ascii="宋体" w:hAnsi="宋体" w:eastAsia="宋体" w:cs="宋体"/>
              </w:rPr>
              <w:t>√</w:t>
            </w:r>
          </w:p>
        </w:tc>
      </w:tr>
      <w:tr w14:paraId="2EE2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67FAE0E7">
            <w:pPr>
              <w:spacing w:line="360" w:lineRule="exact"/>
              <w:jc w:val="center"/>
              <w:rPr>
                <w:rFonts w:hint="eastAsia" w:ascii="宋体" w:hAnsi="宋体" w:eastAsia="宋体" w:cs="宋体"/>
              </w:rPr>
            </w:pPr>
            <w:r>
              <w:rPr>
                <w:rFonts w:hint="eastAsia" w:ascii="宋体" w:hAnsi="宋体" w:eastAsia="宋体" w:cs="宋体"/>
              </w:rPr>
              <w:t>3</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052E7045">
            <w:pPr>
              <w:spacing w:line="360" w:lineRule="exact"/>
              <w:rPr>
                <w:rFonts w:hint="eastAsia" w:ascii="宋体" w:hAnsi="宋体" w:eastAsia="宋体" w:cs="宋体"/>
              </w:rPr>
            </w:pPr>
            <w:r>
              <w:rPr>
                <w:rFonts w:hint="eastAsia" w:ascii="宋体" w:hAnsi="宋体" w:eastAsia="宋体" w:cs="宋体"/>
              </w:rPr>
              <w:t>综合特性曲线和运转特性曲线</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0800BD49">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7DACB863">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1CC7CDFA">
            <w:pPr>
              <w:spacing w:line="360" w:lineRule="exact"/>
              <w:jc w:val="center"/>
              <w:rPr>
                <w:rFonts w:hint="eastAsia" w:ascii="宋体" w:hAnsi="宋体" w:eastAsia="宋体" w:cs="宋体"/>
              </w:rPr>
            </w:pPr>
            <w:r>
              <w:rPr>
                <w:rFonts w:hint="eastAsia" w:ascii="宋体" w:hAnsi="宋体" w:eastAsia="宋体" w:cs="宋体"/>
              </w:rPr>
              <w:t>√</w:t>
            </w:r>
          </w:p>
        </w:tc>
      </w:tr>
      <w:tr w14:paraId="05F1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26F82BB7">
            <w:pPr>
              <w:spacing w:line="360" w:lineRule="exact"/>
              <w:jc w:val="center"/>
              <w:rPr>
                <w:rFonts w:hint="eastAsia" w:ascii="宋体" w:hAnsi="宋体" w:eastAsia="宋体" w:cs="宋体"/>
              </w:rPr>
            </w:pPr>
            <w:r>
              <w:rPr>
                <w:rFonts w:hint="eastAsia" w:ascii="宋体" w:hAnsi="宋体" w:eastAsia="宋体" w:cs="宋体"/>
              </w:rPr>
              <w:t>4</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7C0851AD">
            <w:pPr>
              <w:spacing w:line="360" w:lineRule="exact"/>
              <w:rPr>
                <w:rFonts w:hint="eastAsia" w:ascii="宋体" w:hAnsi="宋体" w:eastAsia="宋体" w:cs="宋体"/>
              </w:rPr>
            </w:pPr>
            <w:r>
              <w:rPr>
                <w:rFonts w:hint="eastAsia" w:ascii="宋体" w:hAnsi="宋体" w:eastAsia="宋体" w:cs="宋体"/>
              </w:rPr>
              <w:t>水轮机横剖面图和平面图</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7E465D17">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4D55F268">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03986254">
            <w:pPr>
              <w:spacing w:line="360" w:lineRule="exact"/>
              <w:jc w:val="center"/>
              <w:rPr>
                <w:rFonts w:hint="eastAsia" w:ascii="宋体" w:hAnsi="宋体" w:eastAsia="宋体" w:cs="宋体"/>
              </w:rPr>
            </w:pPr>
            <w:r>
              <w:rPr>
                <w:rFonts w:hint="eastAsia" w:ascii="宋体" w:hAnsi="宋体" w:eastAsia="宋体" w:cs="宋体"/>
              </w:rPr>
              <w:t>√</w:t>
            </w:r>
          </w:p>
        </w:tc>
      </w:tr>
      <w:tr w14:paraId="46D1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2A3C448F">
            <w:pPr>
              <w:spacing w:line="360" w:lineRule="exact"/>
              <w:jc w:val="center"/>
              <w:rPr>
                <w:rFonts w:hint="eastAsia" w:ascii="宋体" w:hAnsi="宋体" w:eastAsia="宋体" w:cs="宋体"/>
              </w:rPr>
            </w:pPr>
            <w:r>
              <w:rPr>
                <w:rFonts w:hint="eastAsia" w:ascii="宋体" w:hAnsi="宋体" w:eastAsia="宋体" w:cs="宋体"/>
              </w:rPr>
              <w:t>5</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7657A5B8">
            <w:pPr>
              <w:spacing w:line="360" w:lineRule="exact"/>
              <w:rPr>
                <w:rFonts w:hint="eastAsia" w:ascii="宋体" w:hAnsi="宋体" w:eastAsia="宋体" w:cs="宋体"/>
              </w:rPr>
            </w:pPr>
            <w:r>
              <w:rPr>
                <w:rFonts w:hint="eastAsia" w:ascii="宋体" w:hAnsi="宋体" w:eastAsia="宋体" w:cs="宋体"/>
              </w:rPr>
              <w:t>机组总体布置平面、剖面图</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698E9974">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1AAA16EC">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22B90BFD">
            <w:pPr>
              <w:spacing w:line="360" w:lineRule="exact"/>
              <w:jc w:val="center"/>
              <w:rPr>
                <w:rFonts w:hint="eastAsia" w:ascii="宋体" w:hAnsi="宋体" w:eastAsia="宋体" w:cs="宋体"/>
              </w:rPr>
            </w:pPr>
            <w:r>
              <w:rPr>
                <w:rFonts w:hint="eastAsia" w:ascii="宋体" w:hAnsi="宋体" w:eastAsia="宋体" w:cs="宋体"/>
              </w:rPr>
              <w:t>√</w:t>
            </w:r>
          </w:p>
        </w:tc>
      </w:tr>
      <w:tr w14:paraId="1A54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1A59D948">
            <w:pPr>
              <w:spacing w:line="360" w:lineRule="exact"/>
              <w:jc w:val="center"/>
              <w:rPr>
                <w:rFonts w:hint="eastAsia" w:ascii="宋体" w:hAnsi="宋体" w:eastAsia="宋体" w:cs="宋体"/>
              </w:rPr>
            </w:pPr>
            <w:r>
              <w:rPr>
                <w:rFonts w:hint="eastAsia" w:ascii="宋体" w:hAnsi="宋体" w:eastAsia="宋体" w:cs="宋体"/>
              </w:rPr>
              <w:t>5</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0C34F18F">
            <w:pPr>
              <w:spacing w:line="360" w:lineRule="exact"/>
              <w:rPr>
                <w:rFonts w:hint="eastAsia" w:ascii="宋体" w:hAnsi="宋体" w:eastAsia="宋体" w:cs="宋体"/>
              </w:rPr>
            </w:pPr>
            <w:r>
              <w:rPr>
                <w:rFonts w:hint="eastAsia" w:ascii="宋体" w:hAnsi="宋体" w:eastAsia="宋体" w:cs="宋体"/>
              </w:rPr>
              <w:t>水轮机结构平、剖面图；</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61AFC542">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4A709157">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6BCAAA34">
            <w:pPr>
              <w:spacing w:line="360" w:lineRule="exact"/>
              <w:jc w:val="center"/>
              <w:rPr>
                <w:rFonts w:hint="eastAsia" w:ascii="宋体" w:hAnsi="宋体" w:eastAsia="宋体" w:cs="宋体"/>
              </w:rPr>
            </w:pPr>
            <w:r>
              <w:rPr>
                <w:rFonts w:hint="eastAsia" w:ascii="宋体" w:hAnsi="宋体" w:eastAsia="宋体" w:cs="宋体"/>
              </w:rPr>
              <w:t>√</w:t>
            </w:r>
          </w:p>
        </w:tc>
      </w:tr>
      <w:tr w14:paraId="5220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5D4BCB62">
            <w:pPr>
              <w:spacing w:line="360" w:lineRule="exact"/>
              <w:jc w:val="center"/>
              <w:rPr>
                <w:rFonts w:hint="eastAsia" w:ascii="宋体" w:hAnsi="宋体" w:eastAsia="宋体" w:cs="宋体"/>
              </w:rPr>
            </w:pPr>
            <w:r>
              <w:rPr>
                <w:rFonts w:hint="eastAsia" w:ascii="宋体" w:hAnsi="宋体" w:eastAsia="宋体" w:cs="宋体"/>
              </w:rPr>
              <w:t>6</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6B2691A5">
            <w:pPr>
              <w:spacing w:line="360" w:lineRule="exact"/>
              <w:rPr>
                <w:rFonts w:hint="eastAsia" w:ascii="宋体" w:hAnsi="宋体" w:eastAsia="宋体" w:cs="宋体"/>
              </w:rPr>
            </w:pPr>
            <w:r>
              <w:rPr>
                <w:rFonts w:hint="eastAsia" w:ascii="宋体" w:hAnsi="宋体" w:eastAsia="宋体" w:cs="宋体"/>
              </w:rPr>
              <w:t>转轮装配图</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4725F42C">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411B0CCE">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0A9B2C83">
            <w:pPr>
              <w:spacing w:line="360" w:lineRule="exact"/>
              <w:jc w:val="center"/>
              <w:rPr>
                <w:rFonts w:hint="eastAsia" w:ascii="宋体" w:hAnsi="宋体" w:eastAsia="宋体" w:cs="宋体"/>
              </w:rPr>
            </w:pPr>
            <w:r>
              <w:rPr>
                <w:rFonts w:hint="eastAsia" w:ascii="宋体" w:hAnsi="宋体" w:eastAsia="宋体" w:cs="宋体"/>
              </w:rPr>
              <w:t>√</w:t>
            </w:r>
          </w:p>
        </w:tc>
      </w:tr>
      <w:tr w14:paraId="1C5E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12BA3701">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7</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7779EEDC">
            <w:pPr>
              <w:spacing w:line="360" w:lineRule="exact"/>
              <w:rPr>
                <w:rFonts w:hint="default" w:ascii="宋体" w:hAnsi="宋体" w:eastAsia="宋体" w:cs="宋体"/>
                <w:lang w:val="en-US" w:eastAsia="zh-CN"/>
              </w:rPr>
            </w:pPr>
            <w:r>
              <w:rPr>
                <w:rFonts w:hint="eastAsia" w:ascii="宋体" w:hAnsi="宋体" w:eastAsia="宋体" w:cs="宋体"/>
                <w:lang w:val="en-US" w:eastAsia="zh-CN"/>
              </w:rPr>
              <w:t>导水机构装配图</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0482C789">
            <w:pPr>
              <w:spacing w:line="360" w:lineRule="exact"/>
              <w:jc w:val="center"/>
              <w:rPr>
                <w:rFonts w:hint="eastAsia" w:ascii="宋体" w:hAnsi="宋体" w:eastAsia="宋体" w:cs="宋体"/>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4177BE9B">
            <w:pPr>
              <w:spacing w:line="360" w:lineRule="exact"/>
              <w:jc w:val="center"/>
              <w:rPr>
                <w:rFonts w:hint="eastAsia" w:ascii="宋体" w:hAnsi="宋体" w:eastAsia="宋体" w:cs="宋体"/>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4D6ACE75">
            <w:pPr>
              <w:spacing w:line="360" w:lineRule="exact"/>
              <w:jc w:val="center"/>
              <w:rPr>
                <w:rFonts w:hint="eastAsia" w:ascii="宋体" w:hAnsi="宋体" w:eastAsia="宋体" w:cs="宋体"/>
              </w:rPr>
            </w:pPr>
          </w:p>
        </w:tc>
      </w:tr>
      <w:tr w14:paraId="076E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58BC8E07">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8</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7E616577">
            <w:pPr>
              <w:spacing w:line="360" w:lineRule="exact"/>
              <w:rPr>
                <w:rFonts w:hint="default" w:ascii="宋体" w:hAnsi="宋体" w:eastAsia="宋体" w:cs="宋体"/>
                <w:lang w:val="en-US" w:eastAsia="zh-CN"/>
              </w:rPr>
            </w:pPr>
            <w:r>
              <w:rPr>
                <w:rFonts w:hint="eastAsia" w:ascii="宋体" w:hAnsi="宋体" w:eastAsia="宋体" w:cs="宋体"/>
                <w:lang w:val="en-US" w:eastAsia="zh-CN"/>
              </w:rPr>
              <w:t>水导轴承装配图</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67E4DA2B">
            <w:pPr>
              <w:spacing w:line="360" w:lineRule="exact"/>
              <w:jc w:val="center"/>
              <w:rPr>
                <w:rFonts w:hint="eastAsia" w:ascii="宋体" w:hAnsi="宋体" w:eastAsia="宋体" w:cs="宋体"/>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764D4CA5">
            <w:pPr>
              <w:spacing w:line="360" w:lineRule="exact"/>
              <w:jc w:val="center"/>
              <w:rPr>
                <w:rFonts w:hint="eastAsia" w:ascii="宋体" w:hAnsi="宋体" w:eastAsia="宋体" w:cs="宋体"/>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26033D2A">
            <w:pPr>
              <w:spacing w:line="360" w:lineRule="exact"/>
              <w:jc w:val="center"/>
              <w:rPr>
                <w:rFonts w:hint="eastAsia" w:ascii="宋体" w:hAnsi="宋体" w:eastAsia="宋体" w:cs="宋体"/>
              </w:rPr>
            </w:pPr>
          </w:p>
        </w:tc>
      </w:tr>
      <w:tr w14:paraId="6AE4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6E9A67E4">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9</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7F9059DC">
            <w:pPr>
              <w:spacing w:line="360" w:lineRule="exact"/>
              <w:rPr>
                <w:rFonts w:hint="eastAsia" w:ascii="宋体" w:hAnsi="宋体" w:eastAsia="宋体" w:cs="宋体"/>
              </w:rPr>
            </w:pPr>
            <w:r>
              <w:rPr>
                <w:rFonts w:hint="eastAsia" w:ascii="宋体" w:hAnsi="宋体" w:eastAsia="宋体" w:cs="宋体"/>
              </w:rPr>
              <w:t>主轴密封装配图</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22171902">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56D605BB">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3BA78342">
            <w:pPr>
              <w:spacing w:line="360" w:lineRule="exact"/>
              <w:jc w:val="center"/>
              <w:rPr>
                <w:rFonts w:hint="eastAsia" w:ascii="宋体" w:hAnsi="宋体" w:eastAsia="宋体" w:cs="宋体"/>
              </w:rPr>
            </w:pPr>
            <w:r>
              <w:rPr>
                <w:rFonts w:hint="eastAsia" w:ascii="宋体" w:hAnsi="宋体" w:eastAsia="宋体" w:cs="宋体"/>
              </w:rPr>
              <w:t>√</w:t>
            </w:r>
          </w:p>
        </w:tc>
      </w:tr>
      <w:tr w14:paraId="0686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5B8B202C">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10</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7B2916D0">
            <w:pPr>
              <w:spacing w:line="360" w:lineRule="exact"/>
              <w:rPr>
                <w:rFonts w:hint="eastAsia" w:ascii="宋体" w:hAnsi="宋体" w:eastAsia="宋体" w:cs="宋体"/>
              </w:rPr>
            </w:pPr>
            <w:r>
              <w:rPr>
                <w:rFonts w:hint="eastAsia" w:ascii="宋体" w:hAnsi="宋体" w:eastAsia="宋体" w:cs="宋体"/>
              </w:rPr>
              <w:t>水轮机转轮起吊重量和外形尺寸</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593FF850">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5C97EFFB">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50BB8EBD">
            <w:pPr>
              <w:spacing w:line="360" w:lineRule="exact"/>
              <w:jc w:val="center"/>
              <w:rPr>
                <w:rFonts w:hint="eastAsia" w:ascii="宋体" w:hAnsi="宋体" w:eastAsia="宋体" w:cs="宋体"/>
              </w:rPr>
            </w:pPr>
            <w:r>
              <w:rPr>
                <w:rFonts w:hint="eastAsia" w:ascii="宋体" w:hAnsi="宋体" w:eastAsia="宋体" w:cs="宋体"/>
              </w:rPr>
              <w:t>√</w:t>
            </w:r>
          </w:p>
        </w:tc>
      </w:tr>
      <w:tr w14:paraId="7FB2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792CFDD7">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11</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3DB78715">
            <w:pPr>
              <w:spacing w:line="360" w:lineRule="exact"/>
              <w:rPr>
                <w:rFonts w:hint="eastAsia" w:ascii="宋体" w:hAnsi="宋体" w:eastAsia="宋体" w:cs="宋体"/>
              </w:rPr>
            </w:pPr>
            <w:r>
              <w:rPr>
                <w:rFonts w:hint="eastAsia" w:ascii="宋体" w:hAnsi="宋体" w:eastAsia="宋体" w:cs="宋体"/>
              </w:rPr>
              <w:t>水轮机主要部件（转轮）刚强度计算成果</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2F2E8DFC">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163F9317">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2F4B564B">
            <w:pPr>
              <w:spacing w:line="360" w:lineRule="exact"/>
              <w:jc w:val="center"/>
              <w:rPr>
                <w:rFonts w:hint="eastAsia" w:ascii="宋体" w:hAnsi="宋体" w:eastAsia="宋体" w:cs="宋体"/>
              </w:rPr>
            </w:pPr>
            <w:r>
              <w:rPr>
                <w:rFonts w:hint="eastAsia" w:ascii="宋体" w:hAnsi="宋体" w:eastAsia="宋体" w:cs="宋体"/>
              </w:rPr>
              <w:t>√</w:t>
            </w:r>
          </w:p>
        </w:tc>
      </w:tr>
      <w:tr w14:paraId="61DE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61CD9B55">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12</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1BEC10AA">
            <w:pPr>
              <w:spacing w:line="360" w:lineRule="exact"/>
              <w:rPr>
                <w:rFonts w:hint="eastAsia" w:ascii="宋体" w:hAnsi="宋体" w:eastAsia="宋体" w:cs="宋体"/>
              </w:rPr>
            </w:pPr>
            <w:r>
              <w:rPr>
                <w:rFonts w:hint="eastAsia" w:ascii="宋体" w:hAnsi="宋体" w:eastAsia="宋体" w:cs="宋体"/>
              </w:rPr>
              <w:t>水轮机产品技术条件及说明书</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0BA72423">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75410187">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09FC5D6F">
            <w:pPr>
              <w:spacing w:line="360" w:lineRule="exact"/>
              <w:jc w:val="center"/>
              <w:rPr>
                <w:rFonts w:hint="eastAsia" w:ascii="宋体" w:hAnsi="宋体" w:eastAsia="宋体" w:cs="宋体"/>
              </w:rPr>
            </w:pPr>
            <w:r>
              <w:rPr>
                <w:rFonts w:hint="eastAsia" w:ascii="宋体" w:hAnsi="宋体" w:eastAsia="宋体" w:cs="宋体"/>
              </w:rPr>
              <w:t>√</w:t>
            </w:r>
          </w:p>
        </w:tc>
      </w:tr>
      <w:tr w14:paraId="10DA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244F41A5">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13</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39BF67A8">
            <w:pPr>
              <w:spacing w:line="360" w:lineRule="exact"/>
              <w:rPr>
                <w:rFonts w:hint="eastAsia" w:ascii="宋体" w:hAnsi="宋体" w:eastAsia="宋体" w:cs="宋体"/>
              </w:rPr>
            </w:pPr>
            <w:r>
              <w:rPr>
                <w:rFonts w:hint="eastAsia" w:ascii="宋体" w:hAnsi="宋体" w:eastAsia="宋体" w:cs="宋体"/>
              </w:rPr>
              <w:t>水轮机安装说明书及工艺规程</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00DC74B6">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7E25D77A">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380D00AA">
            <w:pPr>
              <w:spacing w:line="360" w:lineRule="exact"/>
              <w:jc w:val="center"/>
              <w:rPr>
                <w:rFonts w:hint="eastAsia" w:ascii="宋体" w:hAnsi="宋体" w:eastAsia="宋体" w:cs="宋体"/>
              </w:rPr>
            </w:pPr>
            <w:r>
              <w:rPr>
                <w:rFonts w:hint="eastAsia" w:ascii="宋体" w:hAnsi="宋体" w:eastAsia="宋体" w:cs="宋体"/>
              </w:rPr>
              <w:t>√</w:t>
            </w:r>
          </w:p>
        </w:tc>
      </w:tr>
      <w:tr w14:paraId="31EA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6E21C111">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14</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3F5572F5">
            <w:pPr>
              <w:spacing w:line="360" w:lineRule="exact"/>
              <w:rPr>
                <w:rFonts w:hint="eastAsia" w:ascii="宋体" w:hAnsi="宋体" w:eastAsia="宋体" w:cs="宋体"/>
              </w:rPr>
            </w:pPr>
            <w:r>
              <w:rPr>
                <w:rFonts w:hint="eastAsia" w:ascii="宋体" w:hAnsi="宋体" w:eastAsia="宋体" w:cs="宋体"/>
              </w:rPr>
              <w:t>设备保管存放说明书</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70457729">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2AAC3D3B">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2DE3F5C0">
            <w:pPr>
              <w:spacing w:line="360" w:lineRule="exact"/>
              <w:jc w:val="center"/>
              <w:rPr>
                <w:rFonts w:hint="eastAsia" w:ascii="宋体" w:hAnsi="宋体" w:eastAsia="宋体" w:cs="宋体"/>
              </w:rPr>
            </w:pPr>
            <w:r>
              <w:rPr>
                <w:rFonts w:hint="eastAsia" w:ascii="宋体" w:hAnsi="宋体" w:eastAsia="宋体" w:cs="宋体"/>
              </w:rPr>
              <w:t>√</w:t>
            </w:r>
          </w:p>
        </w:tc>
      </w:tr>
      <w:tr w14:paraId="475A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2858B79E">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15</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52C0B7FC">
            <w:pPr>
              <w:spacing w:line="360" w:lineRule="exact"/>
              <w:rPr>
                <w:rFonts w:hint="eastAsia" w:ascii="宋体" w:hAnsi="宋体" w:eastAsia="宋体" w:cs="宋体"/>
              </w:rPr>
            </w:pPr>
            <w:r>
              <w:rPr>
                <w:rFonts w:hint="eastAsia" w:ascii="宋体" w:hAnsi="宋体" w:eastAsia="宋体" w:cs="宋体"/>
              </w:rPr>
              <w:t>水轮机运行和维护说明书</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73E3986A">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6B6EE6BF">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2AD5DC6C">
            <w:pPr>
              <w:spacing w:line="360" w:lineRule="exact"/>
              <w:jc w:val="center"/>
              <w:rPr>
                <w:rFonts w:hint="eastAsia" w:ascii="宋体" w:hAnsi="宋体" w:eastAsia="宋体" w:cs="宋体"/>
              </w:rPr>
            </w:pPr>
            <w:r>
              <w:rPr>
                <w:rFonts w:hint="eastAsia" w:ascii="宋体" w:hAnsi="宋体" w:eastAsia="宋体" w:cs="宋体"/>
              </w:rPr>
              <w:t>√</w:t>
            </w:r>
          </w:p>
        </w:tc>
      </w:tr>
      <w:tr w14:paraId="477F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6CFB90F4">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16</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2AF56F92">
            <w:pPr>
              <w:spacing w:line="360" w:lineRule="exact"/>
              <w:rPr>
                <w:rFonts w:hint="eastAsia" w:ascii="宋体" w:hAnsi="宋体" w:eastAsia="宋体" w:cs="宋体"/>
              </w:rPr>
            </w:pPr>
            <w:r>
              <w:rPr>
                <w:rFonts w:hint="eastAsia" w:ascii="宋体" w:hAnsi="宋体" w:eastAsia="宋体" w:cs="宋体"/>
              </w:rPr>
              <w:t>设备装卸和起吊说明书</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7A60AEA1">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2E004C3F">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4AD91F57">
            <w:pPr>
              <w:spacing w:line="360" w:lineRule="exact"/>
              <w:jc w:val="center"/>
              <w:rPr>
                <w:rFonts w:hint="eastAsia" w:ascii="宋体" w:hAnsi="宋体" w:eastAsia="宋体" w:cs="宋体"/>
              </w:rPr>
            </w:pPr>
            <w:r>
              <w:rPr>
                <w:rFonts w:hint="eastAsia" w:ascii="宋体" w:hAnsi="宋体" w:eastAsia="宋体" w:cs="宋体"/>
              </w:rPr>
              <w:t>√</w:t>
            </w:r>
          </w:p>
        </w:tc>
      </w:tr>
      <w:tr w14:paraId="70BC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22E01FFE">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17</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7DF435AA">
            <w:pPr>
              <w:spacing w:line="360" w:lineRule="exact"/>
              <w:rPr>
                <w:rFonts w:hint="eastAsia" w:ascii="宋体" w:hAnsi="宋体" w:eastAsia="宋体" w:cs="宋体"/>
              </w:rPr>
            </w:pPr>
            <w:r>
              <w:rPr>
                <w:rFonts w:hint="eastAsia" w:ascii="宋体" w:hAnsi="宋体" w:eastAsia="宋体" w:cs="宋体"/>
              </w:rPr>
              <w:t>厂内产品检查及试验记录</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5EA36459">
            <w:pPr>
              <w:spacing w:line="360" w:lineRule="exact"/>
              <w:jc w:val="center"/>
              <w:rPr>
                <w:rFonts w:hint="eastAsia" w:ascii="宋体" w:hAnsi="宋体" w:eastAsia="宋体" w:cs="宋体"/>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7ADC0F4F">
            <w:pPr>
              <w:spacing w:line="360" w:lineRule="exact"/>
              <w:jc w:val="center"/>
              <w:rPr>
                <w:rFonts w:hint="eastAsia" w:ascii="宋体" w:hAnsi="宋体" w:eastAsia="宋体" w:cs="宋体"/>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015F2DF5">
            <w:pPr>
              <w:spacing w:line="360" w:lineRule="exact"/>
              <w:jc w:val="center"/>
              <w:rPr>
                <w:rFonts w:hint="eastAsia" w:ascii="宋体" w:hAnsi="宋体" w:eastAsia="宋体" w:cs="宋体"/>
              </w:rPr>
            </w:pPr>
            <w:r>
              <w:rPr>
                <w:rFonts w:hint="eastAsia" w:ascii="宋体" w:hAnsi="宋体" w:eastAsia="宋体" w:cs="宋体"/>
              </w:rPr>
              <w:t>√</w:t>
            </w:r>
          </w:p>
        </w:tc>
      </w:tr>
      <w:tr w14:paraId="0AAE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0DB974A4">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18</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2E4545B3">
            <w:pPr>
              <w:spacing w:line="360" w:lineRule="exact"/>
              <w:rPr>
                <w:rFonts w:hint="eastAsia" w:ascii="宋体" w:hAnsi="宋体" w:eastAsia="宋体" w:cs="宋体"/>
              </w:rPr>
            </w:pPr>
            <w:r>
              <w:rPr>
                <w:rFonts w:hint="eastAsia" w:ascii="宋体" w:hAnsi="宋体" w:eastAsia="宋体" w:cs="宋体"/>
              </w:rPr>
              <w:t>调节保证计算书</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31A4B869">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75A55243">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4D137315">
            <w:pPr>
              <w:spacing w:line="360" w:lineRule="exact"/>
              <w:jc w:val="center"/>
              <w:rPr>
                <w:rFonts w:hint="eastAsia" w:ascii="宋体" w:hAnsi="宋体" w:eastAsia="宋体" w:cs="宋体"/>
              </w:rPr>
            </w:pPr>
            <w:r>
              <w:rPr>
                <w:rFonts w:hint="eastAsia" w:ascii="宋体" w:hAnsi="宋体" w:eastAsia="宋体" w:cs="宋体"/>
              </w:rPr>
              <w:t>√</w:t>
            </w:r>
          </w:p>
        </w:tc>
      </w:tr>
      <w:tr w14:paraId="63DE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32C0B311">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19</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132074A1">
            <w:pPr>
              <w:spacing w:line="360" w:lineRule="exact"/>
              <w:rPr>
                <w:rFonts w:hint="eastAsia" w:ascii="宋体" w:hAnsi="宋体" w:eastAsia="宋体" w:cs="宋体"/>
              </w:rPr>
            </w:pPr>
            <w:r>
              <w:rPr>
                <w:rFonts w:hint="eastAsia" w:ascii="宋体" w:hAnsi="宋体" w:eastAsia="宋体" w:cs="宋体"/>
              </w:rPr>
              <w:t>油压设备容量和接力器选择计算</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40CD4E49">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75CF5E05">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2E8BEA64">
            <w:pPr>
              <w:spacing w:line="360" w:lineRule="exact"/>
              <w:jc w:val="center"/>
              <w:rPr>
                <w:rFonts w:hint="eastAsia" w:ascii="宋体" w:hAnsi="宋体" w:eastAsia="宋体" w:cs="宋体"/>
              </w:rPr>
            </w:pPr>
            <w:r>
              <w:rPr>
                <w:rFonts w:hint="eastAsia" w:ascii="宋体" w:hAnsi="宋体" w:eastAsia="宋体" w:cs="宋体"/>
              </w:rPr>
              <w:t>√</w:t>
            </w:r>
          </w:p>
        </w:tc>
      </w:tr>
      <w:tr w14:paraId="33D8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118D8814">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20</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7AD10F3E">
            <w:pPr>
              <w:spacing w:line="360" w:lineRule="exact"/>
              <w:rPr>
                <w:rFonts w:hint="eastAsia" w:ascii="宋体" w:hAnsi="宋体" w:eastAsia="宋体" w:cs="宋体"/>
              </w:rPr>
            </w:pPr>
            <w:r>
              <w:rPr>
                <w:rFonts w:hint="eastAsia" w:ascii="宋体" w:hAnsi="宋体" w:eastAsia="宋体" w:cs="宋体"/>
              </w:rPr>
              <w:t>机组自动化程序框图</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4A4429D8">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4F70588A">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051F3915">
            <w:pPr>
              <w:spacing w:line="360" w:lineRule="exact"/>
              <w:jc w:val="center"/>
              <w:rPr>
                <w:rFonts w:hint="eastAsia" w:ascii="宋体" w:hAnsi="宋体" w:eastAsia="宋体" w:cs="宋体"/>
              </w:rPr>
            </w:pPr>
            <w:r>
              <w:rPr>
                <w:rFonts w:hint="eastAsia" w:ascii="宋体" w:hAnsi="宋体" w:eastAsia="宋体" w:cs="宋体"/>
              </w:rPr>
              <w:t>√</w:t>
            </w:r>
          </w:p>
        </w:tc>
      </w:tr>
      <w:tr w14:paraId="6D11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6E0BF495">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21</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640C6C50">
            <w:pPr>
              <w:spacing w:line="360" w:lineRule="exact"/>
              <w:rPr>
                <w:rFonts w:hint="eastAsia" w:ascii="宋体" w:hAnsi="宋体" w:eastAsia="宋体" w:cs="宋体"/>
              </w:rPr>
            </w:pPr>
            <w:r>
              <w:rPr>
                <w:rFonts w:hint="eastAsia" w:ascii="宋体" w:hAnsi="宋体" w:eastAsia="宋体" w:cs="宋体"/>
              </w:rPr>
              <w:t>机组及其附属设备自动化系统接线图</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785EEA9F">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705E974D">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783BD335">
            <w:pPr>
              <w:spacing w:line="360" w:lineRule="exact"/>
              <w:jc w:val="center"/>
              <w:rPr>
                <w:rFonts w:hint="eastAsia" w:ascii="宋体" w:hAnsi="宋体" w:eastAsia="宋体" w:cs="宋体"/>
              </w:rPr>
            </w:pPr>
            <w:r>
              <w:rPr>
                <w:rFonts w:hint="eastAsia" w:ascii="宋体" w:hAnsi="宋体" w:eastAsia="宋体" w:cs="宋体"/>
              </w:rPr>
              <w:t>√</w:t>
            </w:r>
          </w:p>
        </w:tc>
      </w:tr>
      <w:tr w14:paraId="3A22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12331A5F">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22</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7FAB02BE">
            <w:pPr>
              <w:spacing w:line="360" w:lineRule="exact"/>
              <w:rPr>
                <w:rFonts w:hint="eastAsia" w:ascii="宋体" w:hAnsi="宋体" w:eastAsia="宋体" w:cs="宋体"/>
              </w:rPr>
            </w:pPr>
            <w:r>
              <w:rPr>
                <w:rFonts w:hint="eastAsia" w:ascii="宋体" w:hAnsi="宋体" w:eastAsia="宋体" w:cs="宋体"/>
              </w:rPr>
              <w:t>转速信号装置及其结线详图及说明</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5A566456">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2E097A3B">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0F9C13A5">
            <w:pPr>
              <w:spacing w:line="360" w:lineRule="exact"/>
              <w:jc w:val="center"/>
              <w:rPr>
                <w:rFonts w:hint="eastAsia" w:ascii="宋体" w:hAnsi="宋体" w:eastAsia="宋体" w:cs="宋体"/>
              </w:rPr>
            </w:pPr>
            <w:r>
              <w:rPr>
                <w:rFonts w:hint="eastAsia" w:ascii="宋体" w:hAnsi="宋体" w:eastAsia="宋体" w:cs="宋体"/>
              </w:rPr>
              <w:t>√</w:t>
            </w:r>
          </w:p>
        </w:tc>
      </w:tr>
      <w:tr w14:paraId="7AC1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7001C0FD">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22</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11BA9C0C">
            <w:pPr>
              <w:spacing w:line="360" w:lineRule="exact"/>
              <w:rPr>
                <w:rFonts w:hint="eastAsia" w:ascii="宋体" w:hAnsi="宋体" w:eastAsia="宋体" w:cs="宋体"/>
              </w:rPr>
            </w:pPr>
            <w:r>
              <w:rPr>
                <w:rFonts w:hint="eastAsia" w:ascii="宋体" w:hAnsi="宋体" w:eastAsia="宋体" w:cs="宋体"/>
              </w:rPr>
              <w:t>机组制动控制回路接线图</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520F5153">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7CF24407">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5DE71B3E">
            <w:pPr>
              <w:spacing w:line="360" w:lineRule="exact"/>
              <w:jc w:val="center"/>
              <w:rPr>
                <w:rFonts w:hint="eastAsia" w:ascii="宋体" w:hAnsi="宋体" w:eastAsia="宋体" w:cs="宋体"/>
              </w:rPr>
            </w:pPr>
            <w:r>
              <w:rPr>
                <w:rFonts w:hint="eastAsia" w:ascii="宋体" w:hAnsi="宋体" w:eastAsia="宋体" w:cs="宋体"/>
              </w:rPr>
              <w:t>√</w:t>
            </w:r>
          </w:p>
        </w:tc>
      </w:tr>
      <w:tr w14:paraId="612D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01608A02">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23</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279CB60C">
            <w:pPr>
              <w:spacing w:line="360" w:lineRule="exact"/>
              <w:rPr>
                <w:rFonts w:hint="eastAsia" w:ascii="宋体" w:hAnsi="宋体" w:eastAsia="宋体" w:cs="宋体"/>
              </w:rPr>
            </w:pPr>
            <w:r>
              <w:rPr>
                <w:rFonts w:hint="eastAsia" w:ascii="宋体" w:hAnsi="宋体" w:eastAsia="宋体" w:cs="宋体"/>
              </w:rPr>
              <w:t>机组自动化元件配置图及说明</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5C3BC555">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5DE6917B">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1957F3D5">
            <w:pPr>
              <w:spacing w:line="360" w:lineRule="exact"/>
              <w:jc w:val="center"/>
              <w:rPr>
                <w:rFonts w:hint="eastAsia" w:ascii="宋体" w:hAnsi="宋体" w:eastAsia="宋体" w:cs="宋体"/>
              </w:rPr>
            </w:pPr>
            <w:r>
              <w:rPr>
                <w:rFonts w:hint="eastAsia" w:ascii="宋体" w:hAnsi="宋体" w:eastAsia="宋体" w:cs="宋体"/>
              </w:rPr>
              <w:t>√</w:t>
            </w:r>
          </w:p>
        </w:tc>
      </w:tr>
      <w:tr w14:paraId="3547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7DF218D6">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24</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539EF9E5">
            <w:pPr>
              <w:spacing w:line="360" w:lineRule="exact"/>
              <w:rPr>
                <w:rFonts w:hint="eastAsia" w:ascii="宋体" w:hAnsi="宋体" w:eastAsia="宋体" w:cs="宋体"/>
              </w:rPr>
            </w:pPr>
            <w:r>
              <w:rPr>
                <w:rFonts w:hint="eastAsia" w:ascii="宋体" w:hAnsi="宋体" w:eastAsia="宋体" w:cs="宋体"/>
              </w:rPr>
              <w:t>机组自动化元件和仪表接线图</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3B15DCD0">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60F0FCAD">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56A36E70">
            <w:pPr>
              <w:spacing w:line="360" w:lineRule="exact"/>
              <w:jc w:val="center"/>
              <w:rPr>
                <w:rFonts w:hint="eastAsia" w:ascii="宋体" w:hAnsi="宋体" w:eastAsia="宋体" w:cs="宋体"/>
              </w:rPr>
            </w:pPr>
            <w:r>
              <w:rPr>
                <w:rFonts w:hint="eastAsia" w:ascii="宋体" w:hAnsi="宋体" w:eastAsia="宋体" w:cs="宋体"/>
              </w:rPr>
              <w:t>√</w:t>
            </w:r>
          </w:p>
        </w:tc>
      </w:tr>
      <w:tr w14:paraId="411D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10DFB567">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25</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5E810CEC">
            <w:pPr>
              <w:spacing w:line="360" w:lineRule="exact"/>
              <w:rPr>
                <w:rFonts w:hint="eastAsia" w:ascii="宋体" w:hAnsi="宋体" w:eastAsia="宋体" w:cs="宋体"/>
              </w:rPr>
            </w:pPr>
            <w:r>
              <w:rPr>
                <w:rFonts w:hint="eastAsia" w:ascii="宋体" w:hAnsi="宋体" w:eastAsia="宋体" w:cs="宋体"/>
              </w:rPr>
              <w:t>自动化元件配置清单</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4885D6E8">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238202AA">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1269EC41">
            <w:pPr>
              <w:spacing w:line="360" w:lineRule="exact"/>
              <w:jc w:val="center"/>
              <w:rPr>
                <w:rFonts w:hint="eastAsia" w:ascii="宋体" w:hAnsi="宋体" w:eastAsia="宋体" w:cs="宋体"/>
              </w:rPr>
            </w:pPr>
            <w:r>
              <w:rPr>
                <w:rFonts w:hint="eastAsia" w:ascii="宋体" w:hAnsi="宋体" w:eastAsia="宋体" w:cs="宋体"/>
              </w:rPr>
              <w:t>√</w:t>
            </w:r>
          </w:p>
        </w:tc>
      </w:tr>
      <w:tr w14:paraId="729C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63855328">
            <w:pPr>
              <w:spacing w:line="36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26</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7DB3D0E8">
            <w:pPr>
              <w:spacing w:line="360" w:lineRule="exact"/>
              <w:rPr>
                <w:rFonts w:hint="eastAsia" w:ascii="宋体" w:hAnsi="宋体" w:eastAsia="宋体" w:cs="宋体"/>
              </w:rPr>
            </w:pPr>
            <w:r>
              <w:rPr>
                <w:rFonts w:hint="eastAsia" w:ascii="宋体" w:hAnsi="宋体" w:eastAsia="宋体" w:cs="宋体"/>
              </w:rPr>
              <w:t>自动化元件样本</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37C9D216">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5674F19A">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361315DF">
            <w:pPr>
              <w:spacing w:line="360" w:lineRule="exact"/>
              <w:jc w:val="center"/>
              <w:rPr>
                <w:rFonts w:hint="eastAsia" w:ascii="宋体" w:hAnsi="宋体" w:eastAsia="宋体" w:cs="宋体"/>
              </w:rPr>
            </w:pPr>
            <w:r>
              <w:rPr>
                <w:rFonts w:hint="eastAsia" w:ascii="宋体" w:hAnsi="宋体" w:eastAsia="宋体" w:cs="宋体"/>
              </w:rPr>
              <w:t>√</w:t>
            </w:r>
          </w:p>
        </w:tc>
      </w:tr>
      <w:tr w14:paraId="595A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796B0820">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27</w:t>
            </w:r>
          </w:p>
        </w:tc>
        <w:tc>
          <w:tcPr>
            <w:tcW w:w="3515" w:type="dxa"/>
            <w:tcBorders>
              <w:top w:val="single" w:color="auto" w:sz="4" w:space="0"/>
              <w:left w:val="single" w:color="auto" w:sz="4" w:space="0"/>
              <w:bottom w:val="single" w:color="auto" w:sz="4" w:space="0"/>
              <w:right w:val="single" w:color="auto" w:sz="4" w:space="0"/>
            </w:tcBorders>
            <w:noWrap w:val="0"/>
            <w:vAlign w:val="center"/>
          </w:tcPr>
          <w:p w14:paraId="57DC394A">
            <w:pPr>
              <w:spacing w:line="360" w:lineRule="exact"/>
              <w:rPr>
                <w:rFonts w:hint="eastAsia" w:ascii="宋体" w:hAnsi="宋体" w:eastAsia="宋体" w:cs="宋体"/>
              </w:rPr>
            </w:pPr>
            <w:r>
              <w:rPr>
                <w:rFonts w:hint="eastAsia" w:ascii="宋体" w:hAnsi="宋体" w:eastAsia="宋体" w:cs="宋体"/>
              </w:rPr>
              <w:t>产品合格证书</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3636232B">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28E74658">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03799C54">
            <w:pPr>
              <w:spacing w:line="360" w:lineRule="exact"/>
              <w:jc w:val="center"/>
              <w:rPr>
                <w:rFonts w:hint="eastAsia" w:ascii="宋体" w:hAnsi="宋体" w:eastAsia="宋体" w:cs="宋体"/>
              </w:rPr>
            </w:pPr>
            <w:r>
              <w:rPr>
                <w:rFonts w:hint="eastAsia" w:ascii="宋体" w:hAnsi="宋体" w:eastAsia="宋体" w:cs="宋体"/>
              </w:rPr>
              <w:t>√</w:t>
            </w:r>
          </w:p>
        </w:tc>
      </w:tr>
      <w:tr w14:paraId="1C54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14F3328F">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23F64C59">
            <w:pPr>
              <w:spacing w:line="360" w:lineRule="exact"/>
              <w:rPr>
                <w:rFonts w:hint="eastAsia" w:ascii="宋体" w:hAnsi="宋体" w:eastAsia="宋体" w:cs="宋体"/>
              </w:rPr>
            </w:pPr>
            <w:r>
              <w:rPr>
                <w:rFonts w:hint="eastAsia" w:ascii="宋体" w:hAnsi="宋体" w:eastAsia="宋体" w:cs="宋体"/>
              </w:rPr>
              <w:t>图纸资料目录</w:t>
            </w:r>
          </w:p>
        </w:tc>
        <w:tc>
          <w:tcPr>
            <w:tcW w:w="1322" w:type="dxa"/>
            <w:tcBorders>
              <w:top w:val="single" w:color="auto" w:sz="4" w:space="0"/>
              <w:left w:val="single" w:color="auto" w:sz="4" w:space="0"/>
              <w:bottom w:val="single" w:color="auto" w:sz="4" w:space="0"/>
              <w:right w:val="single" w:color="auto" w:sz="4" w:space="0"/>
            </w:tcBorders>
            <w:noWrap w:val="0"/>
            <w:vAlign w:val="top"/>
          </w:tcPr>
          <w:p w14:paraId="5DF7344A">
            <w:pPr>
              <w:spacing w:line="360" w:lineRule="exact"/>
              <w:jc w:val="center"/>
              <w:rPr>
                <w:rFonts w:hint="eastAsia" w:ascii="宋体" w:hAnsi="宋体" w:eastAsia="宋体" w:cs="宋体"/>
              </w:rPr>
            </w:pPr>
            <w:r>
              <w:rPr>
                <w:rFonts w:hint="eastAsia" w:ascii="宋体" w:hAnsi="宋体" w:eastAsia="宋体" w:cs="宋体"/>
              </w:rPr>
              <w:t>√</w:t>
            </w:r>
          </w:p>
        </w:tc>
        <w:tc>
          <w:tcPr>
            <w:tcW w:w="1517" w:type="dxa"/>
            <w:tcBorders>
              <w:top w:val="single" w:color="auto" w:sz="4" w:space="0"/>
              <w:left w:val="single" w:color="auto" w:sz="4" w:space="0"/>
              <w:bottom w:val="single" w:color="auto" w:sz="4" w:space="0"/>
              <w:right w:val="single" w:color="auto" w:sz="4" w:space="0"/>
            </w:tcBorders>
            <w:noWrap w:val="0"/>
            <w:vAlign w:val="top"/>
          </w:tcPr>
          <w:p w14:paraId="7C47CB82">
            <w:pPr>
              <w:spacing w:line="360" w:lineRule="exact"/>
              <w:jc w:val="center"/>
              <w:rPr>
                <w:rFonts w:hint="eastAsia" w:ascii="宋体" w:hAnsi="宋体" w:eastAsia="宋体" w:cs="宋体"/>
              </w:rPr>
            </w:pPr>
            <w:r>
              <w:rPr>
                <w:rFonts w:hint="eastAsia" w:ascii="宋体" w:hAnsi="宋体" w:eastAsia="宋体" w:cs="宋体"/>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60881E27">
            <w:pPr>
              <w:spacing w:line="360" w:lineRule="exact"/>
              <w:jc w:val="center"/>
              <w:rPr>
                <w:rFonts w:hint="eastAsia" w:ascii="宋体" w:hAnsi="宋体" w:eastAsia="宋体" w:cs="宋体"/>
              </w:rPr>
            </w:pPr>
            <w:r>
              <w:rPr>
                <w:rFonts w:hint="eastAsia" w:ascii="宋体" w:hAnsi="宋体" w:eastAsia="宋体" w:cs="宋体"/>
              </w:rPr>
              <w:t>√</w:t>
            </w:r>
          </w:p>
        </w:tc>
      </w:tr>
    </w:tbl>
    <w:p w14:paraId="00A5901B">
      <w:pPr>
        <w:pStyle w:val="4"/>
        <w:keepLines w:val="0"/>
        <w:pageBreakBefore w:val="0"/>
        <w:widowControl w:val="0"/>
        <w:kinsoku/>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kern w:val="2"/>
          <w:sz w:val="28"/>
          <w:szCs w:val="28"/>
        </w:rPr>
      </w:pPr>
      <w:bookmarkStart w:id="188" w:name="_Toc137135230"/>
      <w:bookmarkEnd w:id="188"/>
      <w:bookmarkStart w:id="189" w:name="_Toc137136169"/>
      <w:r>
        <w:rPr>
          <w:rFonts w:hint="eastAsia" w:ascii="宋体" w:hAnsi="宋体" w:eastAsia="宋体" w:cs="宋体"/>
          <w:bCs/>
          <w:sz w:val="28"/>
          <w:szCs w:val="28"/>
        </w:rPr>
        <w:t xml:space="preserve">2.3 </w:t>
      </w:r>
      <w:bookmarkEnd w:id="189"/>
      <w:r>
        <w:rPr>
          <w:rFonts w:hint="eastAsia" w:ascii="宋体" w:hAnsi="宋体" w:eastAsia="宋体" w:cs="宋体"/>
          <w:bCs/>
          <w:sz w:val="28"/>
          <w:szCs w:val="28"/>
        </w:rPr>
        <w:t>标准</w:t>
      </w:r>
    </w:p>
    <w:p w14:paraId="19D1C481">
      <w:pPr>
        <w:keepLines w:val="0"/>
        <w:pageBreakBefore w:val="0"/>
        <w:widowControl w:val="0"/>
        <w:kinsoku/>
        <w:wordWrap/>
        <w:overflowPunct/>
        <w:topLinePunct w:val="0"/>
        <w:autoSpaceDE w:val="0"/>
        <w:autoSpaceDN w:val="0"/>
        <w:bidi w:val="0"/>
        <w:adjustRightInd w:val="0"/>
        <w:snapToGrid/>
        <w:spacing w:line="360" w:lineRule="auto"/>
        <w:ind w:firstLine="494" w:firstLineChars="206"/>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水轮机设计、制造、安装、调试等应满足以下标准规范要求（不限于）。</w:t>
      </w:r>
    </w:p>
    <w:tbl>
      <w:tblPr>
        <w:tblStyle w:val="65"/>
        <w:tblW w:w="5000"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029"/>
        <w:gridCol w:w="6364"/>
      </w:tblGrid>
      <w:tr w14:paraId="706C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1E4B57CB">
            <w:pPr>
              <w:widowControl/>
              <w:snapToGrid w:val="0"/>
              <w:jc w:val="left"/>
              <w:rPr>
                <w:rFonts w:hint="eastAsia" w:ascii="宋体" w:hAnsi="宋体" w:eastAsia="宋体" w:cs="宋体"/>
                <w:szCs w:val="21"/>
              </w:rPr>
            </w:pPr>
            <w:r>
              <w:rPr>
                <w:rFonts w:hint="eastAsia" w:ascii="宋体" w:hAnsi="宋体" w:eastAsia="宋体" w:cs="宋体"/>
                <w:kern w:val="0"/>
              </w:rPr>
              <w:t>GB/T15468</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79CE6950">
            <w:pPr>
              <w:widowControl/>
              <w:snapToGrid w:val="0"/>
              <w:jc w:val="left"/>
              <w:rPr>
                <w:rFonts w:hint="eastAsia" w:ascii="宋体" w:hAnsi="宋体" w:eastAsia="宋体" w:cs="宋体"/>
              </w:rPr>
            </w:pPr>
            <w:r>
              <w:rPr>
                <w:rFonts w:hint="eastAsia" w:ascii="宋体" w:hAnsi="宋体" w:eastAsia="宋体" w:cs="宋体"/>
                <w:kern w:val="0"/>
              </w:rPr>
              <w:t>水轮机基本技术条件</w:t>
            </w:r>
          </w:p>
        </w:tc>
      </w:tr>
      <w:tr w14:paraId="36AE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0710C7D4">
            <w:pPr>
              <w:widowControl/>
              <w:snapToGrid w:val="0"/>
              <w:jc w:val="left"/>
              <w:rPr>
                <w:rFonts w:hint="eastAsia" w:ascii="宋体" w:hAnsi="宋体" w:eastAsia="宋体" w:cs="宋体"/>
              </w:rPr>
            </w:pPr>
            <w:r>
              <w:rPr>
                <w:rFonts w:hint="eastAsia" w:ascii="宋体" w:hAnsi="宋体" w:eastAsia="宋体" w:cs="宋体"/>
                <w:kern w:val="0"/>
              </w:rPr>
              <w:t>NB/T35004</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2B000233">
            <w:pPr>
              <w:widowControl/>
              <w:snapToGrid w:val="0"/>
              <w:jc w:val="left"/>
              <w:rPr>
                <w:rFonts w:hint="eastAsia" w:ascii="宋体" w:hAnsi="宋体" w:eastAsia="宋体" w:cs="宋体"/>
              </w:rPr>
            </w:pPr>
            <w:r>
              <w:rPr>
                <w:rFonts w:hint="eastAsia" w:ascii="宋体" w:hAnsi="宋体" w:eastAsia="宋体" w:cs="宋体"/>
                <w:kern w:val="0"/>
              </w:rPr>
              <w:t>水力发电厂自动化设计技术规范</w:t>
            </w:r>
          </w:p>
        </w:tc>
      </w:tr>
      <w:tr w14:paraId="0DDF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4ECC5282">
            <w:pPr>
              <w:widowControl/>
              <w:snapToGrid w:val="0"/>
              <w:jc w:val="left"/>
              <w:rPr>
                <w:rFonts w:hint="eastAsia" w:ascii="宋体" w:hAnsi="宋体" w:eastAsia="宋体" w:cs="宋体"/>
              </w:rPr>
            </w:pPr>
            <w:r>
              <w:rPr>
                <w:rFonts w:hint="eastAsia" w:ascii="宋体" w:hAnsi="宋体" w:eastAsia="宋体" w:cs="宋体"/>
                <w:kern w:val="0"/>
              </w:rPr>
              <w:t>NB/T10878</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15B66790">
            <w:pPr>
              <w:widowControl/>
              <w:snapToGrid w:val="0"/>
              <w:jc w:val="left"/>
              <w:rPr>
                <w:rFonts w:hint="eastAsia" w:ascii="宋体" w:hAnsi="宋体" w:eastAsia="宋体" w:cs="宋体"/>
              </w:rPr>
            </w:pPr>
            <w:r>
              <w:rPr>
                <w:rFonts w:hint="eastAsia" w:ascii="宋体" w:hAnsi="宋体" w:eastAsia="宋体" w:cs="宋体"/>
                <w:kern w:val="0"/>
              </w:rPr>
              <w:t>水力发电厂机电设计规范</w:t>
            </w:r>
          </w:p>
        </w:tc>
      </w:tr>
      <w:tr w14:paraId="4726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54E0B96E">
            <w:pPr>
              <w:widowControl/>
              <w:snapToGrid w:val="0"/>
              <w:jc w:val="left"/>
              <w:rPr>
                <w:rFonts w:hint="eastAsia" w:ascii="宋体" w:hAnsi="宋体" w:eastAsia="宋体" w:cs="宋体"/>
              </w:rPr>
            </w:pPr>
            <w:r>
              <w:rPr>
                <w:rFonts w:hint="eastAsia" w:ascii="宋体" w:hAnsi="宋体" w:eastAsia="宋体" w:cs="宋体"/>
                <w:kern w:val="0"/>
              </w:rPr>
              <w:t>NB/T35088</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2CE69C73">
            <w:pPr>
              <w:widowControl/>
              <w:snapToGrid w:val="0"/>
              <w:jc w:val="left"/>
              <w:rPr>
                <w:rFonts w:hint="eastAsia" w:ascii="宋体" w:hAnsi="宋体" w:eastAsia="宋体" w:cs="宋体"/>
              </w:rPr>
            </w:pPr>
            <w:r>
              <w:rPr>
                <w:rFonts w:hint="eastAsia" w:ascii="宋体" w:hAnsi="宋体" w:eastAsia="宋体" w:cs="宋体"/>
                <w:kern w:val="0"/>
              </w:rPr>
              <w:t>水电机组机械液压过速保护装置基本技术条件</w:t>
            </w:r>
          </w:p>
        </w:tc>
      </w:tr>
      <w:tr w14:paraId="380C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5F3D6B13">
            <w:pPr>
              <w:widowControl/>
              <w:snapToGrid w:val="0"/>
              <w:jc w:val="left"/>
              <w:rPr>
                <w:rFonts w:hint="eastAsia" w:ascii="宋体" w:hAnsi="宋体" w:eastAsia="宋体" w:cs="宋体"/>
              </w:rPr>
            </w:pPr>
            <w:r>
              <w:rPr>
                <w:rFonts w:hint="eastAsia" w:ascii="宋体" w:hAnsi="宋体" w:eastAsia="宋体" w:cs="宋体"/>
                <w:kern w:val="0"/>
              </w:rPr>
              <w:t>GB/T28570</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31F89065">
            <w:pPr>
              <w:widowControl/>
              <w:snapToGrid w:val="0"/>
              <w:jc w:val="left"/>
              <w:rPr>
                <w:rFonts w:hint="eastAsia" w:ascii="宋体" w:hAnsi="宋体" w:eastAsia="宋体" w:cs="宋体"/>
              </w:rPr>
            </w:pPr>
            <w:r>
              <w:rPr>
                <w:rFonts w:hint="eastAsia" w:ascii="宋体" w:hAnsi="宋体" w:eastAsia="宋体" w:cs="宋体"/>
                <w:kern w:val="0"/>
              </w:rPr>
              <w:t>水轮发电机组状态在线监测系统技术导则</w:t>
            </w:r>
          </w:p>
        </w:tc>
      </w:tr>
      <w:tr w14:paraId="13DF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6B3ADA53">
            <w:pPr>
              <w:widowControl/>
              <w:snapToGrid w:val="0"/>
              <w:jc w:val="left"/>
              <w:rPr>
                <w:rFonts w:hint="eastAsia" w:ascii="宋体" w:hAnsi="宋体" w:eastAsia="宋体" w:cs="宋体"/>
              </w:rPr>
            </w:pPr>
            <w:r>
              <w:rPr>
                <w:rFonts w:hint="eastAsia" w:ascii="宋体" w:hAnsi="宋体" w:eastAsia="宋体" w:cs="宋体"/>
              </w:rPr>
              <w:t>GB/T15469.1</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0CFF294D">
            <w:pPr>
              <w:widowControl/>
              <w:snapToGrid w:val="0"/>
              <w:jc w:val="left"/>
              <w:rPr>
                <w:rFonts w:hint="eastAsia" w:ascii="宋体" w:hAnsi="宋体" w:eastAsia="宋体" w:cs="宋体"/>
              </w:rPr>
            </w:pPr>
            <w:r>
              <w:rPr>
                <w:rFonts w:hint="eastAsia" w:ascii="宋体" w:hAnsi="宋体" w:eastAsia="宋体" w:cs="宋体"/>
              </w:rPr>
              <w:t>水轮机、蓄能泵、水泵水轮机空蚀评定</w:t>
            </w:r>
          </w:p>
        </w:tc>
      </w:tr>
      <w:tr w14:paraId="3B50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0CC064C3">
            <w:pPr>
              <w:widowControl/>
              <w:snapToGrid w:val="0"/>
              <w:jc w:val="left"/>
              <w:rPr>
                <w:rFonts w:hint="eastAsia" w:ascii="宋体" w:hAnsi="宋体" w:eastAsia="宋体" w:cs="宋体"/>
              </w:rPr>
            </w:pPr>
            <w:r>
              <w:rPr>
                <w:rFonts w:hint="eastAsia" w:ascii="宋体" w:hAnsi="宋体" w:eastAsia="宋体" w:cs="宋体"/>
              </w:rPr>
              <w:t>DL/T5070</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510E28FE">
            <w:pPr>
              <w:widowControl/>
              <w:snapToGrid w:val="0"/>
              <w:jc w:val="left"/>
              <w:rPr>
                <w:rFonts w:hint="eastAsia" w:ascii="宋体" w:hAnsi="宋体" w:eastAsia="宋体" w:cs="宋体"/>
              </w:rPr>
            </w:pPr>
            <w:r>
              <w:rPr>
                <w:rFonts w:hint="eastAsia" w:ascii="宋体" w:hAnsi="宋体" w:eastAsia="宋体" w:cs="宋体"/>
              </w:rPr>
              <w:t>水轮机金属蜗壳现场制造安装及焊接工艺导则（附条文说明）</w:t>
            </w:r>
          </w:p>
        </w:tc>
      </w:tr>
      <w:tr w14:paraId="1934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30D37E8A">
            <w:pPr>
              <w:widowControl/>
              <w:snapToGrid w:val="0"/>
              <w:jc w:val="left"/>
              <w:rPr>
                <w:rFonts w:hint="eastAsia" w:ascii="宋体" w:hAnsi="宋体" w:eastAsia="宋体" w:cs="宋体"/>
              </w:rPr>
            </w:pPr>
            <w:r>
              <w:rPr>
                <w:rFonts w:hint="eastAsia" w:ascii="宋体" w:hAnsi="宋体" w:eastAsia="宋体" w:cs="宋体"/>
              </w:rPr>
              <w:t>SL668</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7317240B">
            <w:pPr>
              <w:widowControl/>
              <w:snapToGrid w:val="0"/>
              <w:jc w:val="left"/>
              <w:rPr>
                <w:rFonts w:hint="eastAsia" w:ascii="宋体" w:hAnsi="宋体" w:eastAsia="宋体" w:cs="宋体"/>
              </w:rPr>
            </w:pPr>
            <w:r>
              <w:rPr>
                <w:rFonts w:hint="eastAsia" w:ascii="宋体" w:hAnsi="宋体" w:eastAsia="宋体" w:cs="宋体"/>
              </w:rPr>
              <w:t>水轮发电机组推力轴承、导轴承安装调整工艺导则</w:t>
            </w:r>
          </w:p>
        </w:tc>
      </w:tr>
      <w:tr w14:paraId="15E0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2FE4809E">
            <w:pPr>
              <w:widowControl/>
              <w:snapToGrid w:val="0"/>
              <w:jc w:val="left"/>
              <w:rPr>
                <w:rFonts w:hint="eastAsia" w:ascii="宋体" w:hAnsi="宋体" w:eastAsia="宋体" w:cs="宋体"/>
              </w:rPr>
            </w:pPr>
            <w:r>
              <w:rPr>
                <w:rFonts w:hint="eastAsia" w:ascii="宋体" w:hAnsi="宋体" w:eastAsia="宋体" w:cs="宋体"/>
              </w:rPr>
              <w:t>GB/T8564</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3FC31073">
            <w:pPr>
              <w:widowControl/>
              <w:snapToGrid w:val="0"/>
              <w:jc w:val="left"/>
              <w:rPr>
                <w:rFonts w:hint="eastAsia" w:ascii="宋体" w:hAnsi="宋体" w:eastAsia="宋体" w:cs="宋体"/>
              </w:rPr>
            </w:pPr>
            <w:r>
              <w:rPr>
                <w:rFonts w:hint="eastAsia" w:ascii="宋体" w:hAnsi="宋体" w:eastAsia="宋体" w:cs="宋体"/>
              </w:rPr>
              <w:t>水轮发电机组安装技术规范</w:t>
            </w:r>
          </w:p>
        </w:tc>
      </w:tr>
      <w:tr w14:paraId="6698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006EE395">
            <w:pPr>
              <w:widowControl/>
              <w:snapToGrid w:val="0"/>
              <w:jc w:val="left"/>
              <w:rPr>
                <w:rFonts w:hint="eastAsia" w:ascii="宋体" w:hAnsi="宋体" w:eastAsia="宋体" w:cs="宋体"/>
              </w:rPr>
            </w:pPr>
            <w:r>
              <w:rPr>
                <w:rFonts w:hint="eastAsia" w:ascii="宋体" w:hAnsi="宋体" w:eastAsia="宋体" w:cs="宋体"/>
              </w:rPr>
              <w:t>JB/T1270</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0090ED31">
            <w:pPr>
              <w:widowControl/>
              <w:snapToGrid w:val="0"/>
              <w:jc w:val="left"/>
              <w:rPr>
                <w:rFonts w:hint="eastAsia" w:ascii="宋体" w:hAnsi="宋体" w:eastAsia="宋体" w:cs="宋体"/>
              </w:rPr>
            </w:pPr>
            <w:r>
              <w:rPr>
                <w:rFonts w:hint="eastAsia" w:ascii="宋体" w:hAnsi="宋体" w:eastAsia="宋体" w:cs="宋体"/>
              </w:rPr>
              <w:t>水轮机、发电机大轴锻件技术条件</w:t>
            </w:r>
          </w:p>
        </w:tc>
      </w:tr>
      <w:tr w14:paraId="5009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26AAFA62">
            <w:pPr>
              <w:widowControl/>
              <w:snapToGrid w:val="0"/>
              <w:jc w:val="left"/>
              <w:rPr>
                <w:rFonts w:hint="eastAsia" w:ascii="宋体" w:hAnsi="宋体" w:eastAsia="宋体" w:cs="宋体"/>
              </w:rPr>
            </w:pPr>
            <w:r>
              <w:rPr>
                <w:rFonts w:hint="eastAsia" w:ascii="宋体" w:hAnsi="宋体" w:eastAsia="宋体" w:cs="宋体"/>
                <w:kern w:val="0"/>
              </w:rPr>
              <w:t>NB/T42098</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1B4EFCB8">
            <w:pPr>
              <w:widowControl/>
              <w:snapToGrid w:val="0"/>
              <w:jc w:val="left"/>
              <w:rPr>
                <w:rFonts w:hint="eastAsia" w:ascii="宋体" w:hAnsi="宋体" w:eastAsia="宋体" w:cs="宋体"/>
              </w:rPr>
            </w:pPr>
            <w:r>
              <w:rPr>
                <w:rFonts w:hint="eastAsia" w:ascii="宋体" w:hAnsi="宋体" w:eastAsia="宋体" w:cs="宋体"/>
                <w:kern w:val="0"/>
              </w:rPr>
              <w:t>小型水轮机产品质量控制规范</w:t>
            </w:r>
          </w:p>
        </w:tc>
      </w:tr>
      <w:tr w14:paraId="61FC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7A38D219">
            <w:pPr>
              <w:widowControl/>
              <w:snapToGrid w:val="0"/>
              <w:jc w:val="left"/>
              <w:rPr>
                <w:rFonts w:hint="eastAsia" w:ascii="宋体" w:hAnsi="宋体" w:eastAsia="宋体" w:cs="宋体"/>
              </w:rPr>
            </w:pPr>
            <w:r>
              <w:rPr>
                <w:rFonts w:hint="eastAsia" w:ascii="宋体" w:hAnsi="宋体" w:eastAsia="宋体" w:cs="宋体"/>
              </w:rPr>
              <w:t>JB/T6752</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06BE3651">
            <w:pPr>
              <w:widowControl/>
              <w:snapToGrid w:val="0"/>
              <w:jc w:val="left"/>
              <w:rPr>
                <w:rFonts w:hint="eastAsia" w:ascii="宋体" w:hAnsi="宋体" w:eastAsia="宋体" w:cs="宋体"/>
              </w:rPr>
            </w:pPr>
            <w:r>
              <w:rPr>
                <w:rFonts w:hint="eastAsia" w:ascii="宋体" w:hAnsi="宋体" w:eastAsia="宋体" w:cs="宋体"/>
              </w:rPr>
              <w:t>中小型水轮机转轮静平衡试验规程</w:t>
            </w:r>
          </w:p>
        </w:tc>
      </w:tr>
      <w:tr w14:paraId="2385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4DB80338">
            <w:pPr>
              <w:widowControl/>
              <w:snapToGrid w:val="0"/>
              <w:jc w:val="left"/>
              <w:rPr>
                <w:rFonts w:hint="eastAsia" w:ascii="宋体" w:hAnsi="宋体" w:eastAsia="宋体" w:cs="宋体"/>
                <w:highlight w:val="yellow"/>
              </w:rPr>
            </w:pPr>
            <w:r>
              <w:rPr>
                <w:rFonts w:hint="eastAsia" w:ascii="宋体" w:hAnsi="宋体" w:eastAsia="宋体" w:cs="宋体"/>
              </w:rPr>
              <w:t>GB/T10969</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48008814">
            <w:pPr>
              <w:widowControl/>
              <w:snapToGrid w:val="0"/>
              <w:jc w:val="left"/>
              <w:rPr>
                <w:rFonts w:hint="eastAsia" w:ascii="宋体" w:hAnsi="宋体" w:eastAsia="宋体" w:cs="宋体"/>
                <w:highlight w:val="yellow"/>
              </w:rPr>
            </w:pPr>
            <w:r>
              <w:rPr>
                <w:rFonts w:hint="eastAsia" w:ascii="宋体" w:hAnsi="宋体" w:eastAsia="宋体" w:cs="宋体"/>
              </w:rPr>
              <w:t>水轮机、蓄能泵和水泵水轮机通流部件技术条件</w:t>
            </w:r>
          </w:p>
        </w:tc>
      </w:tr>
      <w:tr w14:paraId="4DAA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0F090CF5">
            <w:pPr>
              <w:widowControl/>
              <w:snapToGrid w:val="0"/>
              <w:jc w:val="left"/>
              <w:rPr>
                <w:rFonts w:hint="eastAsia" w:ascii="宋体" w:hAnsi="宋体" w:eastAsia="宋体" w:cs="宋体"/>
              </w:rPr>
            </w:pPr>
            <w:r>
              <w:rPr>
                <w:rFonts w:hint="eastAsia" w:ascii="宋体" w:hAnsi="宋体" w:eastAsia="宋体" w:cs="宋体"/>
              </w:rPr>
              <w:t>NB/T42052</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68712D58">
            <w:pPr>
              <w:widowControl/>
              <w:snapToGrid w:val="0"/>
              <w:jc w:val="left"/>
              <w:rPr>
                <w:rFonts w:hint="eastAsia" w:ascii="宋体" w:hAnsi="宋体" w:eastAsia="宋体" w:cs="宋体"/>
              </w:rPr>
            </w:pPr>
            <w:r>
              <w:rPr>
                <w:rFonts w:hint="eastAsia" w:ascii="宋体" w:hAnsi="宋体" w:eastAsia="宋体" w:cs="宋体"/>
              </w:rPr>
              <w:t>小水电机组启动试验规程</w:t>
            </w:r>
          </w:p>
        </w:tc>
      </w:tr>
      <w:tr w14:paraId="71C6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68FF340A">
            <w:pPr>
              <w:widowControl/>
              <w:snapToGrid w:val="0"/>
              <w:jc w:val="left"/>
              <w:rPr>
                <w:rFonts w:hint="eastAsia" w:ascii="宋体" w:hAnsi="宋体" w:eastAsia="宋体" w:cs="宋体"/>
              </w:rPr>
            </w:pPr>
            <w:r>
              <w:rPr>
                <w:rFonts w:hint="eastAsia" w:ascii="宋体" w:hAnsi="宋体" w:eastAsia="宋体" w:cs="宋体"/>
              </w:rPr>
              <w:t>GB/T 699</w:t>
            </w:r>
          </w:p>
        </w:tc>
        <w:tc>
          <w:tcPr>
            <w:tcW w:w="6364" w:type="dxa"/>
            <w:tcBorders>
              <w:top w:val="single" w:color="auto" w:sz="4" w:space="0"/>
              <w:left w:val="nil"/>
              <w:bottom w:val="single" w:color="auto" w:sz="4" w:space="0"/>
              <w:right w:val="single" w:color="auto" w:sz="4" w:space="0"/>
            </w:tcBorders>
            <w:noWrap w:val="0"/>
            <w:vAlign w:val="center"/>
          </w:tcPr>
          <w:p w14:paraId="1450456D">
            <w:pPr>
              <w:widowControl/>
              <w:snapToGrid w:val="0"/>
              <w:jc w:val="left"/>
              <w:rPr>
                <w:rFonts w:hint="eastAsia" w:ascii="宋体" w:hAnsi="宋体" w:eastAsia="宋体" w:cs="宋体"/>
              </w:rPr>
            </w:pPr>
            <w:r>
              <w:rPr>
                <w:rFonts w:hint="eastAsia" w:ascii="宋体" w:hAnsi="宋体" w:eastAsia="宋体" w:cs="宋体"/>
              </w:rPr>
              <w:t>优质碳素结构钢</w:t>
            </w:r>
          </w:p>
        </w:tc>
      </w:tr>
      <w:tr w14:paraId="0ACF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7D759AEC">
            <w:pPr>
              <w:widowControl/>
              <w:snapToGrid w:val="0"/>
              <w:jc w:val="left"/>
              <w:rPr>
                <w:rFonts w:hint="eastAsia" w:ascii="宋体" w:hAnsi="宋体" w:eastAsia="宋体" w:cs="宋体"/>
              </w:rPr>
            </w:pPr>
            <w:r>
              <w:rPr>
                <w:rFonts w:hint="eastAsia" w:ascii="宋体" w:hAnsi="宋体" w:eastAsia="宋体" w:cs="宋体"/>
              </w:rPr>
              <w:t>GB/T 700</w:t>
            </w:r>
          </w:p>
        </w:tc>
        <w:tc>
          <w:tcPr>
            <w:tcW w:w="6364" w:type="dxa"/>
            <w:tcBorders>
              <w:top w:val="single" w:color="auto" w:sz="4" w:space="0"/>
              <w:left w:val="nil"/>
              <w:bottom w:val="single" w:color="auto" w:sz="4" w:space="0"/>
              <w:right w:val="single" w:color="auto" w:sz="4" w:space="0"/>
            </w:tcBorders>
            <w:noWrap w:val="0"/>
            <w:vAlign w:val="center"/>
          </w:tcPr>
          <w:p w14:paraId="4C23E9CE">
            <w:pPr>
              <w:widowControl/>
              <w:snapToGrid w:val="0"/>
              <w:jc w:val="left"/>
              <w:rPr>
                <w:rFonts w:hint="eastAsia" w:ascii="宋体" w:hAnsi="宋体" w:eastAsia="宋体" w:cs="宋体"/>
              </w:rPr>
            </w:pPr>
            <w:r>
              <w:rPr>
                <w:rFonts w:hint="eastAsia" w:ascii="宋体" w:hAnsi="宋体" w:eastAsia="宋体" w:cs="宋体"/>
              </w:rPr>
              <w:t>碳素结构钢</w:t>
            </w:r>
          </w:p>
        </w:tc>
      </w:tr>
      <w:tr w14:paraId="12C4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1F48BE15">
            <w:pPr>
              <w:widowControl/>
              <w:snapToGrid w:val="0"/>
              <w:jc w:val="left"/>
              <w:rPr>
                <w:rFonts w:hint="eastAsia" w:ascii="宋体" w:hAnsi="宋体" w:eastAsia="宋体" w:cs="宋体"/>
              </w:rPr>
            </w:pPr>
            <w:r>
              <w:rPr>
                <w:rFonts w:hint="eastAsia" w:ascii="宋体" w:hAnsi="宋体" w:eastAsia="宋体" w:cs="宋体"/>
              </w:rPr>
              <w:t>GB/T 1174</w:t>
            </w:r>
          </w:p>
        </w:tc>
        <w:tc>
          <w:tcPr>
            <w:tcW w:w="6364" w:type="dxa"/>
            <w:tcBorders>
              <w:top w:val="single" w:color="auto" w:sz="4" w:space="0"/>
              <w:left w:val="nil"/>
              <w:bottom w:val="single" w:color="auto" w:sz="4" w:space="0"/>
              <w:right w:val="single" w:color="auto" w:sz="4" w:space="0"/>
            </w:tcBorders>
            <w:noWrap w:val="0"/>
            <w:vAlign w:val="center"/>
          </w:tcPr>
          <w:p w14:paraId="2AB65141">
            <w:pPr>
              <w:widowControl/>
              <w:snapToGrid w:val="0"/>
              <w:jc w:val="left"/>
              <w:rPr>
                <w:rFonts w:hint="eastAsia" w:ascii="宋体" w:hAnsi="宋体" w:eastAsia="宋体" w:cs="宋体"/>
              </w:rPr>
            </w:pPr>
            <w:r>
              <w:rPr>
                <w:rFonts w:hint="eastAsia" w:ascii="宋体" w:hAnsi="宋体" w:eastAsia="宋体" w:cs="宋体"/>
              </w:rPr>
              <w:t>铸造轴承合金</w:t>
            </w:r>
          </w:p>
        </w:tc>
      </w:tr>
      <w:tr w14:paraId="169B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2EFCF9FF">
            <w:pPr>
              <w:widowControl/>
              <w:snapToGrid w:val="0"/>
              <w:jc w:val="left"/>
              <w:rPr>
                <w:rFonts w:hint="eastAsia" w:ascii="宋体" w:hAnsi="宋体" w:eastAsia="宋体" w:cs="宋体"/>
              </w:rPr>
            </w:pPr>
            <w:r>
              <w:rPr>
                <w:rFonts w:hint="eastAsia" w:ascii="宋体" w:hAnsi="宋体" w:eastAsia="宋体" w:cs="宋体"/>
              </w:rPr>
              <w:t>GB/T 1348</w:t>
            </w:r>
          </w:p>
        </w:tc>
        <w:tc>
          <w:tcPr>
            <w:tcW w:w="6364" w:type="dxa"/>
            <w:tcBorders>
              <w:top w:val="single" w:color="auto" w:sz="4" w:space="0"/>
              <w:left w:val="nil"/>
              <w:bottom w:val="single" w:color="auto" w:sz="4" w:space="0"/>
              <w:right w:val="single" w:color="auto" w:sz="4" w:space="0"/>
            </w:tcBorders>
            <w:noWrap w:val="0"/>
            <w:vAlign w:val="center"/>
          </w:tcPr>
          <w:p w14:paraId="42449AD6">
            <w:pPr>
              <w:widowControl/>
              <w:snapToGrid w:val="0"/>
              <w:jc w:val="left"/>
              <w:rPr>
                <w:rFonts w:hint="eastAsia" w:ascii="宋体" w:hAnsi="宋体" w:eastAsia="宋体" w:cs="宋体"/>
              </w:rPr>
            </w:pPr>
            <w:r>
              <w:rPr>
                <w:rFonts w:hint="eastAsia" w:ascii="宋体" w:hAnsi="宋体" w:eastAsia="宋体" w:cs="宋体"/>
              </w:rPr>
              <w:t xml:space="preserve">球墨铸铁件 </w:t>
            </w:r>
          </w:p>
        </w:tc>
      </w:tr>
      <w:tr w14:paraId="7ED6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4CB8F159">
            <w:pPr>
              <w:widowControl/>
              <w:snapToGrid w:val="0"/>
              <w:jc w:val="left"/>
              <w:rPr>
                <w:rFonts w:hint="eastAsia" w:ascii="宋体" w:hAnsi="宋体" w:eastAsia="宋体" w:cs="宋体"/>
              </w:rPr>
            </w:pPr>
            <w:r>
              <w:rPr>
                <w:rFonts w:hint="eastAsia" w:ascii="宋体" w:hAnsi="宋体" w:eastAsia="宋体" w:cs="宋体"/>
              </w:rPr>
              <w:t>GB/T 3077</w:t>
            </w:r>
          </w:p>
        </w:tc>
        <w:tc>
          <w:tcPr>
            <w:tcW w:w="6364" w:type="dxa"/>
            <w:tcBorders>
              <w:top w:val="single" w:color="auto" w:sz="4" w:space="0"/>
              <w:left w:val="nil"/>
              <w:bottom w:val="single" w:color="auto" w:sz="4" w:space="0"/>
              <w:right w:val="single" w:color="auto" w:sz="4" w:space="0"/>
            </w:tcBorders>
            <w:noWrap w:val="0"/>
            <w:vAlign w:val="center"/>
          </w:tcPr>
          <w:p w14:paraId="60C64656">
            <w:pPr>
              <w:widowControl/>
              <w:snapToGrid w:val="0"/>
              <w:jc w:val="left"/>
              <w:rPr>
                <w:rFonts w:hint="eastAsia" w:ascii="宋体" w:hAnsi="宋体" w:eastAsia="宋体" w:cs="宋体"/>
              </w:rPr>
            </w:pPr>
            <w:r>
              <w:rPr>
                <w:rFonts w:hint="eastAsia" w:ascii="宋体" w:hAnsi="宋体" w:eastAsia="宋体" w:cs="宋体"/>
              </w:rPr>
              <w:t>合金结构钢</w:t>
            </w:r>
          </w:p>
        </w:tc>
      </w:tr>
      <w:tr w14:paraId="0D2D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75FFB5BD">
            <w:pPr>
              <w:widowControl/>
              <w:snapToGrid w:val="0"/>
              <w:jc w:val="left"/>
              <w:rPr>
                <w:rFonts w:hint="eastAsia" w:ascii="宋体" w:hAnsi="宋体" w:eastAsia="宋体" w:cs="宋体"/>
              </w:rPr>
            </w:pPr>
            <w:r>
              <w:rPr>
                <w:rFonts w:hint="eastAsia" w:ascii="宋体" w:hAnsi="宋体" w:eastAsia="宋体" w:cs="宋体"/>
              </w:rPr>
              <w:t>GB/T 6402</w:t>
            </w:r>
          </w:p>
        </w:tc>
        <w:tc>
          <w:tcPr>
            <w:tcW w:w="6364" w:type="dxa"/>
            <w:tcBorders>
              <w:top w:val="single" w:color="auto" w:sz="4" w:space="0"/>
              <w:left w:val="nil"/>
              <w:bottom w:val="single" w:color="auto" w:sz="4" w:space="0"/>
              <w:right w:val="single" w:color="auto" w:sz="4" w:space="0"/>
            </w:tcBorders>
            <w:noWrap w:val="0"/>
            <w:vAlign w:val="center"/>
          </w:tcPr>
          <w:p w14:paraId="5DD519FB">
            <w:pPr>
              <w:widowControl/>
              <w:snapToGrid w:val="0"/>
              <w:jc w:val="left"/>
              <w:rPr>
                <w:rFonts w:hint="eastAsia" w:ascii="宋体" w:hAnsi="宋体" w:eastAsia="宋体" w:cs="宋体"/>
              </w:rPr>
            </w:pPr>
            <w:r>
              <w:rPr>
                <w:rFonts w:hint="eastAsia" w:ascii="宋体" w:hAnsi="宋体" w:eastAsia="宋体" w:cs="宋体"/>
              </w:rPr>
              <w:t>钢锻件超声检测方法</w:t>
            </w:r>
          </w:p>
        </w:tc>
      </w:tr>
      <w:tr w14:paraId="02D1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567C861B">
            <w:pPr>
              <w:widowControl/>
              <w:snapToGrid w:val="0"/>
              <w:jc w:val="left"/>
              <w:rPr>
                <w:rFonts w:hint="eastAsia" w:ascii="宋体" w:hAnsi="宋体" w:eastAsia="宋体" w:cs="宋体"/>
              </w:rPr>
            </w:pPr>
            <w:r>
              <w:rPr>
                <w:rFonts w:hint="eastAsia" w:ascii="宋体" w:hAnsi="宋体" w:eastAsia="宋体" w:cs="宋体"/>
              </w:rPr>
              <w:t>GB/T 6967</w:t>
            </w:r>
          </w:p>
        </w:tc>
        <w:tc>
          <w:tcPr>
            <w:tcW w:w="6364" w:type="dxa"/>
            <w:tcBorders>
              <w:top w:val="single" w:color="auto" w:sz="4" w:space="0"/>
              <w:left w:val="nil"/>
              <w:bottom w:val="single" w:color="auto" w:sz="4" w:space="0"/>
              <w:right w:val="single" w:color="auto" w:sz="4" w:space="0"/>
            </w:tcBorders>
            <w:noWrap w:val="0"/>
            <w:vAlign w:val="center"/>
          </w:tcPr>
          <w:p w14:paraId="3EA89B11">
            <w:pPr>
              <w:widowControl/>
              <w:snapToGrid w:val="0"/>
              <w:jc w:val="left"/>
              <w:rPr>
                <w:rFonts w:hint="eastAsia" w:ascii="宋体" w:hAnsi="宋体" w:eastAsia="宋体" w:cs="宋体"/>
              </w:rPr>
            </w:pPr>
            <w:r>
              <w:rPr>
                <w:rFonts w:hint="eastAsia" w:ascii="宋体" w:hAnsi="宋体" w:eastAsia="宋体" w:cs="宋体"/>
              </w:rPr>
              <w:t>工程结构用中、高强度不锈钢铸件</w:t>
            </w:r>
          </w:p>
        </w:tc>
      </w:tr>
      <w:tr w14:paraId="7A53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5AAFD999">
            <w:pPr>
              <w:widowControl/>
              <w:snapToGrid w:val="0"/>
              <w:jc w:val="left"/>
              <w:rPr>
                <w:rFonts w:hint="eastAsia" w:ascii="宋体" w:hAnsi="宋体" w:eastAsia="宋体" w:cs="宋体"/>
              </w:rPr>
            </w:pPr>
            <w:r>
              <w:rPr>
                <w:rFonts w:hint="eastAsia" w:ascii="宋体" w:hAnsi="宋体" w:eastAsia="宋体" w:cs="宋体"/>
              </w:rPr>
              <w:t>GB/T 7233.1</w:t>
            </w:r>
          </w:p>
        </w:tc>
        <w:tc>
          <w:tcPr>
            <w:tcW w:w="6364" w:type="dxa"/>
            <w:tcBorders>
              <w:top w:val="single" w:color="auto" w:sz="4" w:space="0"/>
              <w:left w:val="nil"/>
              <w:bottom w:val="single" w:color="auto" w:sz="4" w:space="0"/>
              <w:right w:val="single" w:color="auto" w:sz="4" w:space="0"/>
            </w:tcBorders>
            <w:noWrap w:val="0"/>
            <w:vAlign w:val="center"/>
          </w:tcPr>
          <w:p w14:paraId="3D09FEA4">
            <w:pPr>
              <w:widowControl/>
              <w:snapToGrid w:val="0"/>
              <w:jc w:val="left"/>
              <w:rPr>
                <w:rFonts w:hint="eastAsia" w:ascii="宋体" w:hAnsi="宋体" w:eastAsia="宋体" w:cs="宋体"/>
              </w:rPr>
            </w:pPr>
            <w:r>
              <w:rPr>
                <w:rFonts w:hint="eastAsia" w:ascii="宋体" w:hAnsi="宋体" w:eastAsia="宋体" w:cs="宋体"/>
              </w:rPr>
              <w:t>铸钢件 超声检测第1部分：一般用途铸钢件</w:t>
            </w:r>
          </w:p>
        </w:tc>
      </w:tr>
      <w:tr w14:paraId="4E95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30EA56FF">
            <w:pPr>
              <w:widowControl/>
              <w:snapToGrid w:val="0"/>
              <w:jc w:val="left"/>
              <w:rPr>
                <w:rFonts w:hint="eastAsia" w:ascii="宋体" w:hAnsi="宋体" w:eastAsia="宋体" w:cs="宋体"/>
              </w:rPr>
            </w:pPr>
            <w:r>
              <w:rPr>
                <w:rFonts w:hint="eastAsia" w:ascii="宋体" w:hAnsi="宋体" w:eastAsia="宋体" w:cs="宋体"/>
              </w:rPr>
              <w:t>GB/T 7233.2</w:t>
            </w:r>
          </w:p>
        </w:tc>
        <w:tc>
          <w:tcPr>
            <w:tcW w:w="6364" w:type="dxa"/>
            <w:tcBorders>
              <w:top w:val="single" w:color="auto" w:sz="4" w:space="0"/>
              <w:left w:val="nil"/>
              <w:bottom w:val="single" w:color="auto" w:sz="4" w:space="0"/>
              <w:right w:val="single" w:color="auto" w:sz="4" w:space="0"/>
            </w:tcBorders>
            <w:noWrap w:val="0"/>
            <w:vAlign w:val="center"/>
          </w:tcPr>
          <w:p w14:paraId="73A9A3B7">
            <w:pPr>
              <w:widowControl/>
              <w:snapToGrid w:val="0"/>
              <w:jc w:val="left"/>
              <w:rPr>
                <w:rFonts w:hint="eastAsia" w:ascii="宋体" w:hAnsi="宋体" w:eastAsia="宋体" w:cs="宋体"/>
              </w:rPr>
            </w:pPr>
            <w:r>
              <w:rPr>
                <w:rFonts w:hint="eastAsia" w:ascii="宋体" w:hAnsi="宋体" w:eastAsia="宋体" w:cs="宋体"/>
              </w:rPr>
              <w:t>铸钢件 超声检测第2部分：高承压铸钢件</w:t>
            </w:r>
          </w:p>
        </w:tc>
      </w:tr>
      <w:tr w14:paraId="7642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7F83B6BE">
            <w:pPr>
              <w:widowControl/>
              <w:snapToGrid w:val="0"/>
              <w:jc w:val="left"/>
              <w:rPr>
                <w:rFonts w:hint="eastAsia" w:ascii="宋体" w:hAnsi="宋体" w:eastAsia="宋体" w:cs="宋体"/>
              </w:rPr>
            </w:pPr>
            <w:r>
              <w:rPr>
                <w:rFonts w:hint="eastAsia" w:ascii="宋体" w:hAnsi="宋体" w:eastAsia="宋体" w:cs="宋体"/>
              </w:rPr>
              <w:t>GB/T 9443</w:t>
            </w:r>
          </w:p>
        </w:tc>
        <w:tc>
          <w:tcPr>
            <w:tcW w:w="6364" w:type="dxa"/>
            <w:tcBorders>
              <w:top w:val="single" w:color="auto" w:sz="4" w:space="0"/>
              <w:left w:val="nil"/>
              <w:bottom w:val="single" w:color="auto" w:sz="4" w:space="0"/>
              <w:right w:val="single" w:color="auto" w:sz="4" w:space="0"/>
            </w:tcBorders>
            <w:noWrap w:val="0"/>
            <w:vAlign w:val="center"/>
          </w:tcPr>
          <w:p w14:paraId="6B304165">
            <w:pPr>
              <w:widowControl/>
              <w:snapToGrid w:val="0"/>
              <w:jc w:val="left"/>
              <w:rPr>
                <w:rFonts w:hint="eastAsia" w:ascii="宋体" w:hAnsi="宋体" w:eastAsia="宋体" w:cs="宋体"/>
              </w:rPr>
            </w:pPr>
            <w:r>
              <w:rPr>
                <w:rFonts w:hint="eastAsia" w:ascii="宋体" w:hAnsi="宋体" w:eastAsia="宋体" w:cs="宋体"/>
              </w:rPr>
              <w:t>铸钢件渗透检测</w:t>
            </w:r>
          </w:p>
        </w:tc>
      </w:tr>
      <w:tr w14:paraId="3440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5878CAC6">
            <w:pPr>
              <w:widowControl/>
              <w:snapToGrid w:val="0"/>
              <w:jc w:val="left"/>
              <w:rPr>
                <w:rFonts w:hint="eastAsia" w:ascii="宋体" w:hAnsi="宋体" w:eastAsia="宋体" w:cs="宋体"/>
              </w:rPr>
            </w:pPr>
            <w:r>
              <w:rPr>
                <w:rFonts w:hint="eastAsia" w:ascii="宋体" w:hAnsi="宋体" w:eastAsia="宋体" w:cs="宋体"/>
              </w:rPr>
              <w:t>GB/T 9444</w:t>
            </w:r>
          </w:p>
        </w:tc>
        <w:tc>
          <w:tcPr>
            <w:tcW w:w="6364" w:type="dxa"/>
            <w:tcBorders>
              <w:top w:val="single" w:color="auto" w:sz="4" w:space="0"/>
              <w:left w:val="nil"/>
              <w:bottom w:val="single" w:color="auto" w:sz="4" w:space="0"/>
              <w:right w:val="single" w:color="auto" w:sz="4" w:space="0"/>
            </w:tcBorders>
            <w:noWrap w:val="0"/>
            <w:vAlign w:val="center"/>
          </w:tcPr>
          <w:p w14:paraId="27499F13">
            <w:pPr>
              <w:widowControl/>
              <w:snapToGrid w:val="0"/>
              <w:jc w:val="left"/>
              <w:rPr>
                <w:rFonts w:hint="eastAsia" w:ascii="宋体" w:hAnsi="宋体" w:eastAsia="宋体" w:cs="宋体"/>
              </w:rPr>
            </w:pPr>
            <w:r>
              <w:rPr>
                <w:rFonts w:hint="eastAsia" w:ascii="宋体" w:hAnsi="宋体" w:eastAsia="宋体" w:cs="宋体"/>
              </w:rPr>
              <w:t>铸钢件磁粉检测</w:t>
            </w:r>
          </w:p>
        </w:tc>
      </w:tr>
      <w:tr w14:paraId="77F5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59EC650F">
            <w:pPr>
              <w:widowControl/>
              <w:snapToGrid w:val="0"/>
              <w:jc w:val="left"/>
              <w:rPr>
                <w:rFonts w:hint="eastAsia" w:ascii="宋体" w:hAnsi="宋体" w:eastAsia="宋体" w:cs="宋体"/>
              </w:rPr>
            </w:pPr>
            <w:r>
              <w:rPr>
                <w:rFonts w:hint="eastAsia" w:ascii="宋体" w:hAnsi="宋体" w:eastAsia="宋体" w:cs="宋体"/>
              </w:rPr>
              <w:t>GB/T 11345</w:t>
            </w:r>
          </w:p>
        </w:tc>
        <w:tc>
          <w:tcPr>
            <w:tcW w:w="6364" w:type="dxa"/>
            <w:tcBorders>
              <w:top w:val="single" w:color="auto" w:sz="4" w:space="0"/>
              <w:left w:val="nil"/>
              <w:bottom w:val="single" w:color="auto" w:sz="4" w:space="0"/>
              <w:right w:val="single" w:color="auto" w:sz="4" w:space="0"/>
            </w:tcBorders>
            <w:noWrap w:val="0"/>
            <w:vAlign w:val="center"/>
          </w:tcPr>
          <w:p w14:paraId="1F4E3A1A">
            <w:pPr>
              <w:widowControl/>
              <w:snapToGrid w:val="0"/>
              <w:jc w:val="left"/>
              <w:rPr>
                <w:rFonts w:hint="eastAsia" w:ascii="宋体" w:hAnsi="宋体" w:eastAsia="宋体" w:cs="宋体"/>
              </w:rPr>
            </w:pPr>
            <w:r>
              <w:rPr>
                <w:rFonts w:hint="eastAsia" w:ascii="宋体" w:hAnsi="宋体" w:eastAsia="宋体" w:cs="宋体"/>
              </w:rPr>
              <w:t>钢焊缝手工超声波探伤方法和探伤结果分级</w:t>
            </w:r>
          </w:p>
        </w:tc>
      </w:tr>
      <w:tr w14:paraId="2BC6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71ACDD2F">
            <w:pPr>
              <w:widowControl/>
              <w:snapToGrid w:val="0"/>
              <w:jc w:val="left"/>
              <w:rPr>
                <w:rFonts w:hint="eastAsia" w:ascii="宋体" w:hAnsi="宋体" w:eastAsia="宋体" w:cs="宋体"/>
              </w:rPr>
            </w:pPr>
            <w:r>
              <w:rPr>
                <w:rFonts w:hint="eastAsia" w:ascii="宋体" w:hAnsi="宋体" w:eastAsia="宋体" w:cs="宋体"/>
              </w:rPr>
              <w:t>GB/T 11352</w:t>
            </w:r>
          </w:p>
        </w:tc>
        <w:tc>
          <w:tcPr>
            <w:tcW w:w="6364" w:type="dxa"/>
            <w:tcBorders>
              <w:top w:val="single" w:color="auto" w:sz="4" w:space="0"/>
              <w:left w:val="nil"/>
              <w:bottom w:val="single" w:color="auto" w:sz="4" w:space="0"/>
              <w:right w:val="single" w:color="auto" w:sz="4" w:space="0"/>
            </w:tcBorders>
            <w:noWrap w:val="0"/>
            <w:vAlign w:val="center"/>
          </w:tcPr>
          <w:p w14:paraId="338E5EC9">
            <w:pPr>
              <w:widowControl/>
              <w:snapToGrid w:val="0"/>
              <w:jc w:val="left"/>
              <w:rPr>
                <w:rFonts w:hint="eastAsia" w:ascii="宋体" w:hAnsi="宋体" w:eastAsia="宋体" w:cs="宋体"/>
              </w:rPr>
            </w:pPr>
            <w:r>
              <w:rPr>
                <w:rFonts w:hint="eastAsia" w:ascii="宋体" w:hAnsi="宋体" w:eastAsia="宋体" w:cs="宋体"/>
              </w:rPr>
              <w:t>一般工程用铸造碳钢件</w:t>
            </w:r>
          </w:p>
        </w:tc>
      </w:tr>
      <w:tr w14:paraId="12E9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73E35F08">
            <w:pPr>
              <w:widowControl/>
              <w:snapToGrid w:val="0"/>
              <w:jc w:val="left"/>
              <w:rPr>
                <w:rFonts w:hint="eastAsia" w:ascii="宋体" w:hAnsi="宋体" w:eastAsia="宋体" w:cs="宋体"/>
              </w:rPr>
            </w:pPr>
            <w:r>
              <w:rPr>
                <w:rFonts w:hint="eastAsia" w:ascii="宋体" w:hAnsi="宋体" w:eastAsia="宋体" w:cs="宋体"/>
              </w:rPr>
              <w:t>GB/T 17189</w:t>
            </w:r>
          </w:p>
        </w:tc>
        <w:tc>
          <w:tcPr>
            <w:tcW w:w="6364" w:type="dxa"/>
            <w:tcBorders>
              <w:top w:val="single" w:color="auto" w:sz="4" w:space="0"/>
              <w:left w:val="nil"/>
              <w:bottom w:val="single" w:color="auto" w:sz="4" w:space="0"/>
              <w:right w:val="single" w:color="auto" w:sz="4" w:space="0"/>
            </w:tcBorders>
            <w:noWrap w:val="0"/>
            <w:vAlign w:val="center"/>
          </w:tcPr>
          <w:p w14:paraId="1E057EFC">
            <w:pPr>
              <w:widowControl/>
              <w:snapToGrid w:val="0"/>
              <w:jc w:val="left"/>
              <w:rPr>
                <w:rFonts w:hint="eastAsia" w:ascii="宋体" w:hAnsi="宋体" w:eastAsia="宋体" w:cs="宋体"/>
              </w:rPr>
            </w:pPr>
            <w:r>
              <w:rPr>
                <w:rFonts w:hint="eastAsia" w:ascii="宋体" w:hAnsi="宋体" w:eastAsia="宋体" w:cs="宋体"/>
              </w:rPr>
              <w:t>水力机械（水轮机、蓄能泵和水泵水轮机）振动和脉动现场测试规程</w:t>
            </w:r>
          </w:p>
        </w:tc>
      </w:tr>
      <w:tr w14:paraId="2F8E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59940E35">
            <w:pPr>
              <w:widowControl/>
              <w:snapToGrid w:val="0"/>
              <w:jc w:val="left"/>
              <w:rPr>
                <w:rFonts w:hint="eastAsia" w:ascii="宋体" w:hAnsi="宋体" w:eastAsia="宋体" w:cs="宋体"/>
              </w:rPr>
            </w:pPr>
            <w:r>
              <w:rPr>
                <w:rFonts w:hint="eastAsia" w:ascii="宋体" w:hAnsi="宋体" w:eastAsia="宋体" w:cs="宋体"/>
              </w:rPr>
              <w:t>GB/T 26951</w:t>
            </w:r>
          </w:p>
        </w:tc>
        <w:tc>
          <w:tcPr>
            <w:tcW w:w="6364" w:type="dxa"/>
            <w:tcBorders>
              <w:top w:val="single" w:color="auto" w:sz="4" w:space="0"/>
              <w:left w:val="nil"/>
              <w:bottom w:val="single" w:color="auto" w:sz="4" w:space="0"/>
              <w:right w:val="single" w:color="auto" w:sz="4" w:space="0"/>
            </w:tcBorders>
            <w:noWrap w:val="0"/>
            <w:vAlign w:val="center"/>
          </w:tcPr>
          <w:p w14:paraId="0B761B6C">
            <w:pPr>
              <w:widowControl/>
              <w:snapToGrid w:val="0"/>
              <w:jc w:val="left"/>
              <w:rPr>
                <w:rFonts w:hint="eastAsia" w:ascii="宋体" w:hAnsi="宋体" w:eastAsia="宋体" w:cs="宋体"/>
              </w:rPr>
            </w:pPr>
            <w:r>
              <w:rPr>
                <w:rFonts w:hint="eastAsia" w:ascii="宋体" w:hAnsi="宋体" w:eastAsia="宋体" w:cs="宋体"/>
              </w:rPr>
              <w:t>焊缝无损检测 磁粉检测</w:t>
            </w:r>
          </w:p>
        </w:tc>
      </w:tr>
      <w:tr w14:paraId="49FD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0276046F">
            <w:pPr>
              <w:widowControl/>
              <w:snapToGrid w:val="0"/>
              <w:jc w:val="left"/>
              <w:rPr>
                <w:rFonts w:hint="eastAsia" w:ascii="宋体" w:hAnsi="宋体" w:eastAsia="宋体" w:cs="宋体"/>
              </w:rPr>
            </w:pPr>
            <w:r>
              <w:rPr>
                <w:rFonts w:hint="eastAsia" w:ascii="宋体" w:hAnsi="宋体" w:eastAsia="宋体" w:cs="宋体"/>
              </w:rPr>
              <w:t>GB/T 26952</w:t>
            </w:r>
          </w:p>
        </w:tc>
        <w:tc>
          <w:tcPr>
            <w:tcW w:w="6364" w:type="dxa"/>
            <w:tcBorders>
              <w:top w:val="single" w:color="auto" w:sz="4" w:space="0"/>
              <w:left w:val="nil"/>
              <w:bottom w:val="single" w:color="auto" w:sz="4" w:space="0"/>
              <w:right w:val="single" w:color="auto" w:sz="4" w:space="0"/>
            </w:tcBorders>
            <w:noWrap w:val="0"/>
            <w:vAlign w:val="center"/>
          </w:tcPr>
          <w:p w14:paraId="49190438">
            <w:pPr>
              <w:widowControl/>
              <w:snapToGrid w:val="0"/>
              <w:jc w:val="left"/>
              <w:rPr>
                <w:rFonts w:hint="eastAsia" w:ascii="宋体" w:hAnsi="宋体" w:eastAsia="宋体" w:cs="宋体"/>
              </w:rPr>
            </w:pPr>
            <w:r>
              <w:rPr>
                <w:rFonts w:hint="eastAsia" w:ascii="宋体" w:hAnsi="宋体" w:eastAsia="宋体" w:cs="宋体"/>
              </w:rPr>
              <w:t>焊缝无损检测 磁粉检测 验收等级</w:t>
            </w:r>
          </w:p>
        </w:tc>
      </w:tr>
      <w:tr w14:paraId="3859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6E64A6A9">
            <w:pPr>
              <w:widowControl/>
              <w:snapToGrid w:val="0"/>
              <w:jc w:val="left"/>
              <w:rPr>
                <w:rFonts w:hint="eastAsia" w:ascii="宋体" w:hAnsi="宋体" w:eastAsia="宋体" w:cs="宋体"/>
              </w:rPr>
            </w:pPr>
            <w:r>
              <w:rPr>
                <w:rFonts w:hint="eastAsia" w:ascii="宋体" w:hAnsi="宋体" w:eastAsia="宋体" w:cs="宋体"/>
              </w:rPr>
              <w:t>GB/T 26953</w:t>
            </w:r>
          </w:p>
        </w:tc>
        <w:tc>
          <w:tcPr>
            <w:tcW w:w="6364" w:type="dxa"/>
            <w:tcBorders>
              <w:top w:val="single" w:color="auto" w:sz="4" w:space="0"/>
              <w:left w:val="nil"/>
              <w:bottom w:val="single" w:color="auto" w:sz="4" w:space="0"/>
              <w:right w:val="single" w:color="auto" w:sz="4" w:space="0"/>
            </w:tcBorders>
            <w:noWrap w:val="0"/>
            <w:vAlign w:val="center"/>
          </w:tcPr>
          <w:p w14:paraId="76F1252C">
            <w:pPr>
              <w:widowControl/>
              <w:snapToGrid w:val="0"/>
              <w:jc w:val="left"/>
              <w:rPr>
                <w:rFonts w:hint="eastAsia" w:ascii="宋体" w:hAnsi="宋体" w:eastAsia="宋体" w:cs="宋体"/>
              </w:rPr>
            </w:pPr>
            <w:r>
              <w:rPr>
                <w:rFonts w:hint="eastAsia" w:ascii="宋体" w:hAnsi="宋体" w:eastAsia="宋体" w:cs="宋体"/>
              </w:rPr>
              <w:t>焊缝无损检测 焊缝渗透检测 验收等级</w:t>
            </w:r>
          </w:p>
        </w:tc>
      </w:tr>
      <w:tr w14:paraId="2070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1C7C2CCF">
            <w:pPr>
              <w:widowControl/>
              <w:snapToGrid w:val="0"/>
              <w:jc w:val="left"/>
              <w:rPr>
                <w:rFonts w:hint="eastAsia" w:ascii="宋体" w:hAnsi="宋体" w:eastAsia="宋体" w:cs="宋体"/>
              </w:rPr>
            </w:pPr>
            <w:r>
              <w:rPr>
                <w:rFonts w:hint="eastAsia" w:ascii="宋体" w:hAnsi="宋体" w:eastAsia="宋体" w:cs="宋体"/>
              </w:rPr>
              <w:t>JB/T 6402</w:t>
            </w:r>
          </w:p>
        </w:tc>
        <w:tc>
          <w:tcPr>
            <w:tcW w:w="6364" w:type="dxa"/>
            <w:tcBorders>
              <w:top w:val="single" w:color="auto" w:sz="4" w:space="0"/>
              <w:left w:val="nil"/>
              <w:bottom w:val="single" w:color="auto" w:sz="4" w:space="0"/>
              <w:right w:val="single" w:color="auto" w:sz="4" w:space="0"/>
            </w:tcBorders>
            <w:noWrap w:val="0"/>
            <w:vAlign w:val="center"/>
          </w:tcPr>
          <w:p w14:paraId="1B88F8E2">
            <w:pPr>
              <w:widowControl/>
              <w:snapToGrid w:val="0"/>
              <w:jc w:val="left"/>
              <w:rPr>
                <w:rFonts w:hint="eastAsia" w:ascii="宋体" w:hAnsi="宋体" w:eastAsia="宋体" w:cs="宋体"/>
              </w:rPr>
            </w:pPr>
            <w:r>
              <w:rPr>
                <w:rFonts w:hint="eastAsia" w:ascii="宋体" w:hAnsi="宋体" w:eastAsia="宋体" w:cs="宋体"/>
              </w:rPr>
              <w:t>大型低合金钢铸件</w:t>
            </w:r>
          </w:p>
        </w:tc>
      </w:tr>
      <w:tr w14:paraId="57BE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0C28529A">
            <w:pPr>
              <w:widowControl/>
              <w:snapToGrid w:val="0"/>
              <w:jc w:val="left"/>
              <w:rPr>
                <w:rFonts w:hint="eastAsia" w:ascii="宋体" w:hAnsi="宋体" w:eastAsia="宋体" w:cs="宋体"/>
              </w:rPr>
            </w:pPr>
            <w:r>
              <w:rPr>
                <w:rFonts w:hint="eastAsia" w:ascii="宋体" w:hAnsi="宋体" w:eastAsia="宋体" w:cs="宋体"/>
              </w:rPr>
              <w:t>JB/T 6396</w:t>
            </w:r>
          </w:p>
        </w:tc>
        <w:tc>
          <w:tcPr>
            <w:tcW w:w="6364" w:type="dxa"/>
            <w:tcBorders>
              <w:top w:val="single" w:color="auto" w:sz="4" w:space="0"/>
              <w:left w:val="nil"/>
              <w:bottom w:val="single" w:color="auto" w:sz="4" w:space="0"/>
              <w:right w:val="single" w:color="auto" w:sz="4" w:space="0"/>
            </w:tcBorders>
            <w:noWrap w:val="0"/>
            <w:vAlign w:val="center"/>
          </w:tcPr>
          <w:p w14:paraId="58F9D23E">
            <w:pPr>
              <w:widowControl/>
              <w:snapToGrid w:val="0"/>
              <w:jc w:val="left"/>
              <w:rPr>
                <w:rFonts w:hint="eastAsia" w:ascii="宋体" w:hAnsi="宋体" w:eastAsia="宋体" w:cs="宋体"/>
              </w:rPr>
            </w:pPr>
            <w:r>
              <w:rPr>
                <w:rFonts w:hint="eastAsia" w:ascii="宋体" w:hAnsi="宋体" w:eastAsia="宋体" w:cs="宋体"/>
              </w:rPr>
              <w:t>大型合金结构钢锻件</w:t>
            </w:r>
          </w:p>
        </w:tc>
      </w:tr>
      <w:tr w14:paraId="0E32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3A98AAAE">
            <w:pPr>
              <w:widowControl/>
              <w:snapToGrid w:val="0"/>
              <w:jc w:val="left"/>
              <w:rPr>
                <w:rFonts w:hint="eastAsia" w:ascii="宋体" w:hAnsi="宋体" w:eastAsia="宋体" w:cs="宋体"/>
              </w:rPr>
            </w:pPr>
            <w:r>
              <w:rPr>
                <w:rFonts w:hint="eastAsia" w:ascii="宋体" w:hAnsi="宋体" w:eastAsia="宋体" w:cs="宋体"/>
              </w:rPr>
              <w:t>JB/T 6397</w:t>
            </w:r>
          </w:p>
        </w:tc>
        <w:tc>
          <w:tcPr>
            <w:tcW w:w="6364" w:type="dxa"/>
            <w:tcBorders>
              <w:top w:val="single" w:color="auto" w:sz="4" w:space="0"/>
              <w:left w:val="nil"/>
              <w:bottom w:val="single" w:color="auto" w:sz="4" w:space="0"/>
              <w:right w:val="single" w:color="auto" w:sz="4" w:space="0"/>
            </w:tcBorders>
            <w:noWrap w:val="0"/>
            <w:vAlign w:val="center"/>
          </w:tcPr>
          <w:p w14:paraId="34A43BC1">
            <w:pPr>
              <w:widowControl/>
              <w:snapToGrid w:val="0"/>
              <w:jc w:val="left"/>
              <w:rPr>
                <w:rFonts w:hint="eastAsia" w:ascii="宋体" w:hAnsi="宋体" w:eastAsia="宋体" w:cs="宋体"/>
              </w:rPr>
            </w:pPr>
            <w:r>
              <w:rPr>
                <w:rFonts w:hint="eastAsia" w:ascii="宋体" w:hAnsi="宋体" w:eastAsia="宋体" w:cs="宋体"/>
              </w:rPr>
              <w:t>大型碳素结构钢锻件 技术条件</w:t>
            </w:r>
          </w:p>
        </w:tc>
      </w:tr>
      <w:tr w14:paraId="3E97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19531A4A">
            <w:pPr>
              <w:widowControl/>
              <w:snapToGrid w:val="0"/>
              <w:jc w:val="left"/>
              <w:rPr>
                <w:rFonts w:hint="eastAsia" w:ascii="宋体" w:hAnsi="宋体" w:eastAsia="宋体" w:cs="宋体"/>
              </w:rPr>
            </w:pPr>
            <w:r>
              <w:rPr>
                <w:rFonts w:hint="eastAsia" w:ascii="宋体" w:hAnsi="宋体" w:eastAsia="宋体" w:cs="宋体"/>
              </w:rPr>
              <w:t>JB/T 10264</w:t>
            </w:r>
          </w:p>
        </w:tc>
        <w:tc>
          <w:tcPr>
            <w:tcW w:w="6364" w:type="dxa"/>
            <w:tcBorders>
              <w:top w:val="single" w:color="auto" w:sz="4" w:space="0"/>
              <w:left w:val="nil"/>
              <w:bottom w:val="single" w:color="auto" w:sz="4" w:space="0"/>
              <w:right w:val="single" w:color="auto" w:sz="4" w:space="0"/>
            </w:tcBorders>
            <w:noWrap w:val="0"/>
            <w:vAlign w:val="center"/>
          </w:tcPr>
          <w:p w14:paraId="0368CADB">
            <w:pPr>
              <w:widowControl/>
              <w:snapToGrid w:val="0"/>
              <w:jc w:val="left"/>
              <w:rPr>
                <w:rFonts w:hint="eastAsia" w:ascii="宋体" w:hAnsi="宋体" w:eastAsia="宋体" w:cs="宋体"/>
              </w:rPr>
            </w:pPr>
            <w:r>
              <w:rPr>
                <w:rFonts w:hint="eastAsia" w:ascii="宋体" w:hAnsi="宋体" w:eastAsia="宋体" w:cs="宋体"/>
              </w:rPr>
              <w:t>混流式水轮机焊接转轮上冠、下环铸件</w:t>
            </w:r>
          </w:p>
        </w:tc>
      </w:tr>
      <w:tr w14:paraId="7D00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5BFC3170">
            <w:pPr>
              <w:widowControl/>
              <w:snapToGrid w:val="0"/>
              <w:jc w:val="left"/>
              <w:rPr>
                <w:rFonts w:hint="eastAsia" w:ascii="宋体" w:hAnsi="宋体" w:eastAsia="宋体" w:cs="宋体"/>
              </w:rPr>
            </w:pPr>
            <w:r>
              <w:rPr>
                <w:rFonts w:hint="eastAsia" w:ascii="宋体" w:hAnsi="宋体" w:eastAsia="宋体" w:cs="宋体"/>
              </w:rPr>
              <w:t>JB/T 8467</w:t>
            </w:r>
          </w:p>
        </w:tc>
        <w:tc>
          <w:tcPr>
            <w:tcW w:w="6364" w:type="dxa"/>
            <w:tcBorders>
              <w:top w:val="single" w:color="auto" w:sz="4" w:space="0"/>
              <w:left w:val="nil"/>
              <w:bottom w:val="single" w:color="auto" w:sz="4" w:space="0"/>
              <w:right w:val="single" w:color="auto" w:sz="4" w:space="0"/>
            </w:tcBorders>
            <w:noWrap w:val="0"/>
            <w:vAlign w:val="center"/>
          </w:tcPr>
          <w:p w14:paraId="5E9998A1">
            <w:pPr>
              <w:widowControl/>
              <w:snapToGrid w:val="0"/>
              <w:jc w:val="left"/>
              <w:rPr>
                <w:rFonts w:hint="eastAsia" w:ascii="宋体" w:hAnsi="宋体" w:eastAsia="宋体" w:cs="宋体"/>
              </w:rPr>
            </w:pPr>
            <w:r>
              <w:rPr>
                <w:rFonts w:hint="eastAsia" w:ascii="宋体" w:hAnsi="宋体" w:eastAsia="宋体" w:cs="宋体"/>
              </w:rPr>
              <w:t>锻钢件超声波探伤方法</w:t>
            </w:r>
          </w:p>
        </w:tc>
      </w:tr>
      <w:tr w14:paraId="1395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6DBE2FE5">
            <w:pPr>
              <w:widowControl/>
              <w:snapToGrid w:val="0"/>
              <w:jc w:val="left"/>
              <w:rPr>
                <w:rFonts w:hint="eastAsia" w:ascii="宋体" w:hAnsi="宋体" w:eastAsia="宋体" w:cs="宋体"/>
              </w:rPr>
            </w:pPr>
            <w:r>
              <w:rPr>
                <w:rFonts w:hint="eastAsia" w:ascii="宋体" w:hAnsi="宋体" w:eastAsia="宋体" w:cs="宋体"/>
              </w:rPr>
              <w:t>JB/T 8468</w:t>
            </w:r>
          </w:p>
        </w:tc>
        <w:tc>
          <w:tcPr>
            <w:tcW w:w="6364" w:type="dxa"/>
            <w:tcBorders>
              <w:top w:val="single" w:color="auto" w:sz="4" w:space="0"/>
              <w:left w:val="nil"/>
              <w:bottom w:val="single" w:color="auto" w:sz="4" w:space="0"/>
              <w:right w:val="single" w:color="auto" w:sz="4" w:space="0"/>
            </w:tcBorders>
            <w:noWrap w:val="0"/>
            <w:vAlign w:val="center"/>
          </w:tcPr>
          <w:p w14:paraId="6BDA000D">
            <w:pPr>
              <w:widowControl/>
              <w:snapToGrid w:val="0"/>
              <w:jc w:val="left"/>
              <w:rPr>
                <w:rFonts w:hint="eastAsia" w:ascii="宋体" w:hAnsi="宋体" w:eastAsia="宋体" w:cs="宋体"/>
              </w:rPr>
            </w:pPr>
            <w:r>
              <w:rPr>
                <w:rFonts w:hint="eastAsia" w:ascii="宋体" w:hAnsi="宋体" w:eastAsia="宋体" w:cs="宋体"/>
              </w:rPr>
              <w:t>锻钢件磁粉检验方法</w:t>
            </w:r>
          </w:p>
        </w:tc>
      </w:tr>
      <w:tr w14:paraId="739B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4A603B9D">
            <w:pPr>
              <w:widowControl/>
              <w:snapToGrid w:val="0"/>
              <w:jc w:val="left"/>
              <w:rPr>
                <w:rFonts w:hint="eastAsia" w:ascii="宋体" w:hAnsi="宋体" w:eastAsia="宋体" w:cs="宋体"/>
              </w:rPr>
            </w:pPr>
            <w:r>
              <w:rPr>
                <w:rFonts w:hint="eastAsia" w:ascii="宋体" w:hAnsi="宋体" w:eastAsia="宋体" w:cs="宋体"/>
              </w:rPr>
              <w:t>GB/T 8162</w:t>
            </w:r>
          </w:p>
        </w:tc>
        <w:tc>
          <w:tcPr>
            <w:tcW w:w="6364" w:type="dxa"/>
            <w:tcBorders>
              <w:top w:val="single" w:color="auto" w:sz="4" w:space="0"/>
              <w:left w:val="nil"/>
              <w:bottom w:val="single" w:color="auto" w:sz="4" w:space="0"/>
              <w:right w:val="single" w:color="auto" w:sz="4" w:space="0"/>
            </w:tcBorders>
            <w:noWrap w:val="0"/>
            <w:vAlign w:val="center"/>
          </w:tcPr>
          <w:p w14:paraId="139CD3FA">
            <w:pPr>
              <w:widowControl/>
              <w:snapToGrid w:val="0"/>
              <w:jc w:val="left"/>
              <w:rPr>
                <w:rFonts w:hint="eastAsia" w:ascii="宋体" w:hAnsi="宋体" w:eastAsia="宋体" w:cs="宋体"/>
              </w:rPr>
            </w:pPr>
            <w:r>
              <w:rPr>
                <w:rFonts w:hint="eastAsia" w:ascii="宋体" w:hAnsi="宋体" w:eastAsia="宋体" w:cs="宋体"/>
              </w:rPr>
              <w:t>结构用无缝钢管</w:t>
            </w:r>
          </w:p>
        </w:tc>
      </w:tr>
      <w:tr w14:paraId="4B5D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4AA12E1A">
            <w:pPr>
              <w:widowControl/>
              <w:snapToGrid w:val="0"/>
              <w:jc w:val="left"/>
              <w:rPr>
                <w:rFonts w:hint="eastAsia" w:ascii="宋体" w:hAnsi="宋体" w:eastAsia="宋体" w:cs="宋体"/>
              </w:rPr>
            </w:pPr>
            <w:r>
              <w:rPr>
                <w:rFonts w:hint="eastAsia" w:ascii="宋体" w:hAnsi="宋体" w:eastAsia="宋体" w:cs="宋体"/>
              </w:rPr>
              <w:t>GB/T 8163</w:t>
            </w:r>
          </w:p>
        </w:tc>
        <w:tc>
          <w:tcPr>
            <w:tcW w:w="6364" w:type="dxa"/>
            <w:tcBorders>
              <w:top w:val="single" w:color="auto" w:sz="4" w:space="0"/>
              <w:left w:val="nil"/>
              <w:bottom w:val="single" w:color="auto" w:sz="4" w:space="0"/>
              <w:right w:val="single" w:color="auto" w:sz="4" w:space="0"/>
            </w:tcBorders>
            <w:noWrap w:val="0"/>
            <w:vAlign w:val="center"/>
          </w:tcPr>
          <w:p w14:paraId="7BBBD1C5">
            <w:pPr>
              <w:widowControl/>
              <w:snapToGrid w:val="0"/>
              <w:jc w:val="left"/>
              <w:rPr>
                <w:rFonts w:hint="eastAsia" w:ascii="宋体" w:hAnsi="宋体" w:eastAsia="宋体" w:cs="宋体"/>
              </w:rPr>
            </w:pPr>
            <w:r>
              <w:rPr>
                <w:rFonts w:hint="eastAsia" w:ascii="宋体" w:hAnsi="宋体" w:eastAsia="宋体" w:cs="宋体"/>
              </w:rPr>
              <w:t>输送流体用无缝钢管</w:t>
            </w:r>
          </w:p>
        </w:tc>
      </w:tr>
      <w:tr w14:paraId="5A7B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32CEC890">
            <w:pPr>
              <w:widowControl/>
              <w:snapToGrid w:val="0"/>
              <w:jc w:val="left"/>
              <w:rPr>
                <w:rFonts w:hint="eastAsia" w:ascii="宋体" w:hAnsi="宋体" w:eastAsia="宋体" w:cs="宋体"/>
              </w:rPr>
            </w:pPr>
            <w:r>
              <w:rPr>
                <w:rFonts w:hint="eastAsia" w:ascii="宋体" w:hAnsi="宋体" w:eastAsia="宋体" w:cs="宋体"/>
              </w:rPr>
              <w:t>CCH―70―3</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0D058913">
            <w:pPr>
              <w:widowControl/>
              <w:snapToGrid w:val="0"/>
              <w:jc w:val="left"/>
              <w:rPr>
                <w:rFonts w:hint="eastAsia" w:ascii="宋体" w:hAnsi="宋体" w:eastAsia="宋体" w:cs="宋体"/>
              </w:rPr>
            </w:pPr>
            <w:r>
              <w:rPr>
                <w:rFonts w:hint="eastAsia" w:ascii="宋体" w:hAnsi="宋体" w:eastAsia="宋体" w:cs="宋体"/>
              </w:rPr>
              <w:t>水力机械铸钢件检查规程</w:t>
            </w:r>
          </w:p>
        </w:tc>
      </w:tr>
    </w:tbl>
    <w:p w14:paraId="164A36B4">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bookmarkStart w:id="190" w:name="_Toc137135231"/>
      <w:bookmarkEnd w:id="190"/>
      <w:bookmarkStart w:id="191" w:name="_Toc137136170"/>
      <w:r>
        <w:rPr>
          <w:rFonts w:hint="eastAsia" w:ascii="宋体" w:hAnsi="宋体" w:eastAsia="宋体" w:cs="宋体"/>
          <w:bCs/>
          <w:sz w:val="28"/>
          <w:szCs w:val="28"/>
        </w:rPr>
        <w:t xml:space="preserve">2.4 </w:t>
      </w:r>
      <w:bookmarkEnd w:id="191"/>
      <w:r>
        <w:rPr>
          <w:rFonts w:hint="eastAsia" w:ascii="宋体" w:hAnsi="宋体" w:eastAsia="宋体" w:cs="宋体"/>
          <w:bCs/>
          <w:sz w:val="28"/>
          <w:szCs w:val="28"/>
        </w:rPr>
        <w:t>型式和说明</w:t>
      </w:r>
    </w:p>
    <w:p w14:paraId="47AA390A">
      <w:pPr>
        <w:spacing w:line="360" w:lineRule="auto"/>
        <w:ind w:firstLine="480" w:firstLineChars="200"/>
        <w:rPr>
          <w:rFonts w:hint="eastAsia" w:ascii="宋体" w:hAnsi="宋体" w:eastAsia="宋体" w:cs="宋体"/>
          <w:sz w:val="24"/>
          <w:szCs w:val="24"/>
        </w:rPr>
      </w:pPr>
      <w:bookmarkStart w:id="192" w:name="_Toc93994308"/>
      <w:bookmarkEnd w:id="192"/>
      <w:r>
        <w:rPr>
          <w:rFonts w:hint="eastAsia" w:ascii="宋体" w:hAnsi="宋体" w:eastAsia="宋体" w:cs="宋体"/>
          <w:sz w:val="24"/>
          <w:szCs w:val="24"/>
        </w:rPr>
        <w:t>2.4.1 水轮机为立轴混流式、金属蜗壳（包角345º）和弯肘形尾水管，水轮机与发电机直接连接，旋转方向为俯视顺时针。</w:t>
      </w:r>
    </w:p>
    <w:p w14:paraId="7A45F55C">
      <w:pPr>
        <w:spacing w:line="360" w:lineRule="auto"/>
        <w:ind w:firstLine="480" w:firstLineChars="200"/>
        <w:rPr>
          <w:rFonts w:hint="eastAsia" w:ascii="宋体" w:hAnsi="宋体" w:eastAsia="宋体" w:cs="宋体"/>
          <w:sz w:val="24"/>
          <w:szCs w:val="24"/>
        </w:rPr>
      </w:pPr>
      <w:bookmarkStart w:id="193" w:name="_Toc93994309"/>
      <w:bookmarkEnd w:id="193"/>
      <w:r>
        <w:rPr>
          <w:rFonts w:hint="eastAsia" w:ascii="宋体" w:hAnsi="宋体" w:eastAsia="宋体" w:cs="宋体"/>
          <w:sz w:val="24"/>
          <w:szCs w:val="24"/>
        </w:rPr>
        <w:t>2.4.2 原型水轮机应与模型水轮机水力相似。</w:t>
      </w:r>
    </w:p>
    <w:p w14:paraId="6CF862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2.4.3 空化性能应满足现状水轮机安装高程的要求。</w:t>
      </w:r>
    </w:p>
    <w:p w14:paraId="7361DC48">
      <w:pPr>
        <w:spacing w:line="360" w:lineRule="auto"/>
        <w:ind w:firstLine="480" w:firstLineChars="200"/>
        <w:rPr>
          <w:rFonts w:hint="eastAsia" w:ascii="宋体" w:hAnsi="宋体" w:eastAsia="宋体" w:cs="宋体"/>
          <w:sz w:val="24"/>
          <w:szCs w:val="24"/>
        </w:rPr>
      </w:pPr>
      <w:bookmarkStart w:id="194" w:name="_Toc93994312"/>
      <w:bookmarkEnd w:id="194"/>
      <w:r>
        <w:rPr>
          <w:rFonts w:hint="eastAsia" w:ascii="宋体" w:hAnsi="宋体" w:eastAsia="宋体" w:cs="宋体"/>
          <w:sz w:val="24"/>
          <w:szCs w:val="24"/>
        </w:rPr>
        <w:t>2.4.4 水轮发电机组采用悬式结构，机组推力轴承置于发电机上机架部位。</w:t>
      </w:r>
    </w:p>
    <w:p w14:paraId="41E2BC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2.4.5 水轮机与发电机采用二根轴结构。</w:t>
      </w:r>
    </w:p>
    <w:p w14:paraId="39A7E140">
      <w:pPr>
        <w:spacing w:line="360" w:lineRule="auto"/>
        <w:ind w:firstLine="480" w:firstLineChars="200"/>
        <w:rPr>
          <w:rFonts w:hint="eastAsia" w:ascii="宋体" w:hAnsi="宋体" w:eastAsia="宋体" w:cs="宋体"/>
          <w:sz w:val="24"/>
          <w:szCs w:val="24"/>
        </w:rPr>
      </w:pPr>
      <w:bookmarkStart w:id="195" w:name="_Toc93994315"/>
      <w:bookmarkEnd w:id="195"/>
      <w:r>
        <w:rPr>
          <w:rFonts w:hint="eastAsia" w:ascii="宋体" w:hAnsi="宋体" w:eastAsia="宋体" w:cs="宋体"/>
          <w:sz w:val="24"/>
          <w:szCs w:val="24"/>
        </w:rPr>
        <w:t>2.4.6 水轮机各部件应能承受并保证在各种水头和功率范围内连续运行所产生的静、动载荷而没有过量挠曲或振动，也没有塑性变形或疲劳破坏。</w:t>
      </w:r>
    </w:p>
    <w:p w14:paraId="79E51B88">
      <w:pPr>
        <w:spacing w:line="360" w:lineRule="auto"/>
        <w:ind w:firstLine="480" w:firstLineChars="200"/>
        <w:rPr>
          <w:rFonts w:hint="eastAsia" w:ascii="宋体" w:hAnsi="宋体" w:eastAsia="宋体" w:cs="宋体"/>
          <w:sz w:val="24"/>
          <w:szCs w:val="24"/>
        </w:rPr>
      </w:pPr>
      <w:bookmarkStart w:id="196" w:name="_Toc93994316"/>
      <w:bookmarkEnd w:id="196"/>
      <w:r>
        <w:rPr>
          <w:rFonts w:hint="eastAsia" w:ascii="宋体" w:hAnsi="宋体" w:eastAsia="宋体" w:cs="宋体"/>
          <w:sz w:val="24"/>
          <w:szCs w:val="24"/>
        </w:rPr>
        <w:t>2.4.7 水轮机结构和部件应设计成能方便而经济地维修、安装和拆卸。必须保证在不拆发电机转子、定子和水轮机顶盖、主轴等主要部件的情况下，更换水轮机导轴承、冷却器及密封等。所有可拆卸的部件，包括转轮、主轴、顶盖、底环、导轴承和导叶操作机构，应能通过厂房桥式起重机从机坑和定子内圆整体吊出。</w:t>
      </w:r>
    </w:p>
    <w:p w14:paraId="0512D293">
      <w:pPr>
        <w:spacing w:line="360" w:lineRule="auto"/>
        <w:ind w:firstLine="480" w:firstLineChars="200"/>
        <w:rPr>
          <w:rFonts w:hint="eastAsia" w:ascii="宋体" w:hAnsi="宋体" w:eastAsia="宋体" w:cs="宋体"/>
          <w:sz w:val="24"/>
          <w:szCs w:val="24"/>
        </w:rPr>
      </w:pPr>
      <w:bookmarkStart w:id="197" w:name="_Toc93994317"/>
      <w:bookmarkEnd w:id="197"/>
      <w:r>
        <w:rPr>
          <w:rFonts w:hint="eastAsia" w:ascii="宋体" w:hAnsi="宋体" w:eastAsia="宋体" w:cs="宋体"/>
          <w:sz w:val="24"/>
          <w:szCs w:val="24"/>
        </w:rPr>
        <w:t>2.4.8 所有需要起吊的部件，均需设置专用吊环螺栓、吊耳或便于装卸的起吊装置。</w:t>
      </w:r>
    </w:p>
    <w:p w14:paraId="70A90277">
      <w:pPr>
        <w:spacing w:line="360" w:lineRule="auto"/>
        <w:ind w:firstLine="480" w:firstLineChars="200"/>
        <w:rPr>
          <w:rFonts w:hint="eastAsia" w:ascii="宋体" w:hAnsi="宋体" w:eastAsia="宋体" w:cs="宋体"/>
          <w:sz w:val="24"/>
          <w:szCs w:val="24"/>
        </w:rPr>
      </w:pPr>
      <w:bookmarkStart w:id="198" w:name="_Toc93994318"/>
      <w:bookmarkEnd w:id="198"/>
      <w:r>
        <w:rPr>
          <w:rFonts w:hint="eastAsia" w:ascii="宋体" w:hAnsi="宋体" w:eastAsia="宋体" w:cs="宋体"/>
          <w:sz w:val="24"/>
          <w:szCs w:val="24"/>
        </w:rPr>
        <w:t>2.4.9 水轮机应能在任一转速直至最高飞逸转速下运行而不受损害，在最高飞逸转速下连续安全运行5min不应产生有害变形。</w:t>
      </w:r>
    </w:p>
    <w:p w14:paraId="5A0B6F68">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bookmarkStart w:id="199" w:name="_Toc137135233"/>
      <w:bookmarkEnd w:id="199"/>
      <w:bookmarkStart w:id="200" w:name="_Toc137136171"/>
      <w:bookmarkEnd w:id="200"/>
      <w:bookmarkStart w:id="201" w:name="_Toc137136172"/>
      <w:r>
        <w:rPr>
          <w:rFonts w:hint="eastAsia" w:ascii="宋体" w:hAnsi="宋体" w:eastAsia="宋体" w:cs="宋体"/>
          <w:bCs/>
          <w:sz w:val="28"/>
          <w:szCs w:val="28"/>
        </w:rPr>
        <w:t>2.</w:t>
      </w:r>
      <w:bookmarkEnd w:id="201"/>
      <w:r>
        <w:rPr>
          <w:rFonts w:hint="eastAsia" w:ascii="宋体" w:hAnsi="宋体" w:eastAsia="宋体" w:cs="宋体"/>
          <w:bCs/>
          <w:sz w:val="28"/>
          <w:szCs w:val="28"/>
        </w:rPr>
        <w:t>5 水轮机参数</w:t>
      </w:r>
    </w:p>
    <w:p w14:paraId="7E4E1C5E">
      <w:pPr>
        <w:spacing w:line="360" w:lineRule="auto"/>
        <w:ind w:firstLine="480" w:firstLineChars="200"/>
        <w:rPr>
          <w:rFonts w:hint="eastAsia" w:ascii="宋体" w:hAnsi="宋体" w:eastAsia="宋体" w:cs="宋体"/>
          <w:sz w:val="24"/>
          <w:szCs w:val="24"/>
        </w:rPr>
      </w:pPr>
      <w:bookmarkStart w:id="202" w:name="_Toc93994325"/>
      <w:bookmarkEnd w:id="202"/>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.1</w:t>
      </w:r>
      <w:bookmarkStart w:id="203" w:name="_Toc93994326"/>
      <w:bookmarkEnd w:id="203"/>
      <w:r>
        <w:rPr>
          <w:rFonts w:hint="eastAsia" w:ascii="宋体" w:hAnsi="宋体" w:eastAsia="宋体" w:cs="宋体"/>
          <w:sz w:val="24"/>
          <w:szCs w:val="24"/>
        </w:rPr>
        <w:t xml:space="preserve"> 水轮机额定水头为</w:t>
      </w:r>
      <w:r>
        <w:rPr>
          <w:rFonts w:hint="eastAsia" w:ascii="宋体" w:hAnsi="宋体" w:eastAsia="宋体" w:cs="宋体"/>
          <w:sz w:val="24"/>
          <w:szCs w:val="24"/>
          <w:lang w:val="en-US" w:eastAsia="zh-CN"/>
        </w:rPr>
        <w:t>55.45</w:t>
      </w:r>
      <w:r>
        <w:rPr>
          <w:rFonts w:hint="eastAsia" w:ascii="宋体" w:hAnsi="宋体" w:eastAsia="宋体" w:cs="宋体"/>
          <w:sz w:val="24"/>
          <w:szCs w:val="24"/>
        </w:rPr>
        <w:t>m。</w:t>
      </w:r>
    </w:p>
    <w:p w14:paraId="61F45183">
      <w:pPr>
        <w:spacing w:line="360" w:lineRule="auto"/>
        <w:ind w:firstLine="480" w:firstLineChars="200"/>
        <w:rPr>
          <w:rFonts w:hint="eastAsia" w:ascii="宋体" w:hAnsi="宋体" w:eastAsia="宋体" w:cs="宋体"/>
          <w:sz w:val="24"/>
          <w:szCs w:val="24"/>
        </w:rPr>
      </w:pPr>
      <w:bookmarkStart w:id="204" w:name="_Toc93994327"/>
      <w:bookmarkEnd w:id="204"/>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.2</w:t>
      </w:r>
      <w:bookmarkStart w:id="205" w:name="_Toc93994328"/>
      <w:bookmarkEnd w:id="205"/>
      <w:r>
        <w:rPr>
          <w:rFonts w:hint="eastAsia" w:ascii="宋体" w:hAnsi="宋体" w:eastAsia="宋体" w:cs="宋体"/>
          <w:sz w:val="24"/>
          <w:szCs w:val="24"/>
        </w:rPr>
        <w:t xml:space="preserve"> 在电网频率为50Hz时，推荐的水轮机额定转速为750r/min。</w:t>
      </w:r>
    </w:p>
    <w:p w14:paraId="6758FED0">
      <w:pPr>
        <w:spacing w:line="360" w:lineRule="auto"/>
        <w:ind w:firstLine="480" w:firstLineChars="200"/>
        <w:rPr>
          <w:rFonts w:hint="eastAsia" w:ascii="宋体" w:hAnsi="宋体" w:eastAsia="宋体" w:cs="宋体"/>
          <w:sz w:val="24"/>
          <w:szCs w:val="24"/>
        </w:rPr>
      </w:pPr>
      <w:bookmarkStart w:id="206" w:name="_Toc93994329"/>
      <w:bookmarkEnd w:id="206"/>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.3</w:t>
      </w:r>
      <w:bookmarkStart w:id="207" w:name="_Toc93994330"/>
      <w:bookmarkEnd w:id="207"/>
      <w:r>
        <w:rPr>
          <w:rFonts w:hint="eastAsia" w:ascii="宋体" w:hAnsi="宋体" w:eastAsia="宋体" w:cs="宋体"/>
          <w:sz w:val="24"/>
          <w:szCs w:val="24"/>
        </w:rPr>
        <w:t xml:space="preserve"> 水轮机在额定水头、额定转速下运行时，其额定功率为</w:t>
      </w:r>
      <w:r>
        <w:rPr>
          <w:rFonts w:hint="eastAsia" w:ascii="宋体" w:hAnsi="宋体" w:eastAsia="宋体" w:cs="宋体"/>
          <w:sz w:val="24"/>
          <w:szCs w:val="24"/>
          <w:lang w:val="en-US" w:eastAsia="zh-CN"/>
        </w:rPr>
        <w:t>2250</w:t>
      </w:r>
      <w:r>
        <w:rPr>
          <w:rFonts w:hint="eastAsia" w:ascii="宋体" w:hAnsi="宋体" w:eastAsia="宋体" w:cs="宋体"/>
          <w:sz w:val="24"/>
          <w:szCs w:val="24"/>
        </w:rPr>
        <w:t>kW。</w:t>
      </w:r>
    </w:p>
    <w:p w14:paraId="68C45E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.4 水轮机转轮直径D</w:t>
      </w:r>
      <w:r>
        <w:rPr>
          <w:rFonts w:hint="eastAsia" w:ascii="宋体" w:hAnsi="宋体" w:eastAsia="宋体" w:cs="宋体"/>
          <w:sz w:val="24"/>
          <w:szCs w:val="24"/>
          <w:vertAlign w:val="subscript"/>
        </w:rPr>
        <w:t>1</w:t>
      </w:r>
      <w:r>
        <w:rPr>
          <w:rFonts w:hint="eastAsia" w:ascii="宋体" w:hAnsi="宋体" w:eastAsia="宋体" w:cs="宋体"/>
          <w:sz w:val="24"/>
          <w:szCs w:val="24"/>
        </w:rPr>
        <w:t>为</w:t>
      </w:r>
      <w:r>
        <w:rPr>
          <w:rFonts w:hint="eastAsia" w:ascii="宋体" w:hAnsi="宋体" w:eastAsia="宋体" w:cs="宋体"/>
          <w:sz w:val="24"/>
          <w:szCs w:val="24"/>
          <w:lang w:val="en-US" w:eastAsia="zh-CN"/>
        </w:rPr>
        <w:t>73</w:t>
      </w:r>
      <w:r>
        <w:rPr>
          <w:rFonts w:hint="eastAsia" w:ascii="宋体" w:hAnsi="宋体" w:eastAsia="宋体" w:cs="宋体"/>
          <w:sz w:val="24"/>
          <w:szCs w:val="24"/>
        </w:rPr>
        <w:t>cm。</w:t>
      </w:r>
    </w:p>
    <w:p w14:paraId="551C804E">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.5 水轮机模型转轮型号为</w:t>
      </w:r>
      <w:r>
        <w:rPr>
          <w:rFonts w:hint="eastAsia" w:ascii="宋体" w:hAnsi="宋体" w:eastAsia="宋体" w:cs="宋体"/>
          <w:sz w:val="24"/>
          <w:szCs w:val="24"/>
          <w:lang w:val="en-US" w:eastAsia="zh-CN"/>
        </w:rPr>
        <w:t>投标转轮的型号。</w:t>
      </w:r>
    </w:p>
    <w:p w14:paraId="70FBC53F">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bookmarkStart w:id="208" w:name="_Toc137136173"/>
      <w:bookmarkEnd w:id="208"/>
      <w:bookmarkStart w:id="209" w:name="_Toc137135234"/>
      <w:r>
        <w:rPr>
          <w:rFonts w:hint="eastAsia" w:ascii="宋体" w:hAnsi="宋体" w:eastAsia="宋体" w:cs="宋体"/>
          <w:bCs/>
          <w:sz w:val="28"/>
          <w:szCs w:val="28"/>
        </w:rPr>
        <w:t>2.</w:t>
      </w:r>
      <w:bookmarkEnd w:id="209"/>
      <w:r>
        <w:rPr>
          <w:rFonts w:hint="eastAsia" w:ascii="宋体" w:hAnsi="宋体" w:eastAsia="宋体" w:cs="宋体"/>
          <w:bCs/>
          <w:sz w:val="28"/>
          <w:szCs w:val="28"/>
        </w:rPr>
        <w:t>6 性能保证</w:t>
      </w:r>
    </w:p>
    <w:p w14:paraId="0D431F6F">
      <w:pPr>
        <w:spacing w:line="360" w:lineRule="auto"/>
        <w:ind w:firstLine="480" w:firstLineChars="200"/>
        <w:rPr>
          <w:rFonts w:hint="eastAsia" w:ascii="宋体" w:hAnsi="宋体" w:eastAsia="宋体" w:cs="宋体"/>
          <w:sz w:val="24"/>
          <w:szCs w:val="24"/>
        </w:rPr>
      </w:pPr>
      <w:bookmarkStart w:id="210" w:name="_Toc93994331"/>
      <w:bookmarkEnd w:id="210"/>
      <w:r>
        <w:rPr>
          <w:rFonts w:hint="eastAsia" w:ascii="宋体" w:hAnsi="宋体" w:eastAsia="宋体" w:cs="宋体"/>
          <w:kern w:val="0"/>
          <w:sz w:val="24"/>
          <w:szCs w:val="24"/>
        </w:rPr>
        <w:t>2</w:t>
      </w:r>
      <w:r>
        <w:rPr>
          <w:rFonts w:hint="eastAsia" w:ascii="宋体" w:hAnsi="宋体" w:eastAsia="宋体" w:cs="宋体"/>
          <w:sz w:val="24"/>
          <w:szCs w:val="24"/>
        </w:rPr>
        <w:t>.6.1 概述</w:t>
      </w:r>
    </w:p>
    <w:p w14:paraId="6C4B47ED">
      <w:pPr>
        <w:spacing w:line="360" w:lineRule="auto"/>
        <w:ind w:firstLine="480" w:firstLineChars="200"/>
        <w:rPr>
          <w:rFonts w:hint="eastAsia" w:ascii="宋体" w:hAnsi="宋体" w:eastAsia="宋体" w:cs="宋体"/>
          <w:sz w:val="24"/>
          <w:szCs w:val="24"/>
        </w:rPr>
      </w:pPr>
      <w:bookmarkStart w:id="211" w:name="_Toc93994332"/>
      <w:bookmarkEnd w:id="211"/>
      <w:r>
        <w:rPr>
          <w:rFonts w:hint="eastAsia" w:ascii="宋体" w:hAnsi="宋体" w:eastAsia="宋体" w:cs="宋体"/>
          <w:sz w:val="24"/>
          <w:szCs w:val="24"/>
        </w:rPr>
        <w:t>承包人要保证合同设备运行安全可靠，并满足合同文件中所保证的各项性能保证值。若合同设备不能满足所保证的要求，发包人有权要求承包人免费修改设备，或根据合同条款中的相关规定进行处理。</w:t>
      </w:r>
    </w:p>
    <w:p w14:paraId="016D3A0F">
      <w:pPr>
        <w:spacing w:line="360" w:lineRule="auto"/>
        <w:ind w:firstLine="480" w:firstLineChars="200"/>
        <w:rPr>
          <w:rFonts w:hint="eastAsia" w:ascii="宋体" w:hAnsi="宋体" w:eastAsia="宋体" w:cs="宋体"/>
          <w:sz w:val="24"/>
          <w:szCs w:val="24"/>
        </w:rPr>
      </w:pPr>
      <w:bookmarkStart w:id="212" w:name="_Toc93994333"/>
      <w:bookmarkEnd w:id="212"/>
      <w:r>
        <w:rPr>
          <w:rFonts w:hint="eastAsia" w:ascii="宋体" w:hAnsi="宋体" w:eastAsia="宋体" w:cs="宋体"/>
          <w:sz w:val="24"/>
          <w:szCs w:val="24"/>
        </w:rPr>
        <w:t>2.6.2 水轮机运行工况</w:t>
      </w:r>
    </w:p>
    <w:p w14:paraId="32D9BC40">
      <w:pPr>
        <w:spacing w:line="360" w:lineRule="auto"/>
        <w:ind w:firstLine="480" w:firstLineChars="200"/>
        <w:rPr>
          <w:rFonts w:hint="eastAsia" w:ascii="宋体" w:hAnsi="宋体" w:eastAsia="宋体" w:cs="宋体"/>
          <w:sz w:val="24"/>
          <w:szCs w:val="24"/>
        </w:rPr>
      </w:pPr>
      <w:bookmarkStart w:id="213" w:name="_Toc93994334"/>
      <w:bookmarkEnd w:id="213"/>
      <w:r>
        <w:rPr>
          <w:rFonts w:hint="eastAsia" w:ascii="宋体" w:hAnsi="宋体" w:eastAsia="宋体" w:cs="宋体"/>
          <w:sz w:val="24"/>
          <w:szCs w:val="24"/>
        </w:rPr>
        <w:t>2.6.2.1 在2.5所规定的水头范围，水轮机在空载和相应水头下45％～100％额定功率范围内甩负荷以及飞逸等各种工况下运行时，水轮机各部件均不得产生各种形式的共振。承包人应提交机组固有频率和各种可能共振频率的分析结果供承包人审查。</w:t>
      </w:r>
    </w:p>
    <w:p w14:paraId="475A526D">
      <w:pPr>
        <w:spacing w:line="360" w:lineRule="auto"/>
        <w:ind w:firstLine="480" w:firstLineChars="200"/>
        <w:rPr>
          <w:rFonts w:hint="eastAsia" w:ascii="宋体" w:hAnsi="宋体" w:eastAsia="宋体" w:cs="宋体"/>
          <w:sz w:val="24"/>
          <w:szCs w:val="24"/>
        </w:rPr>
      </w:pPr>
      <w:bookmarkStart w:id="214" w:name="_Toc93994335"/>
      <w:bookmarkEnd w:id="214"/>
      <w:r>
        <w:rPr>
          <w:rFonts w:hint="eastAsia" w:ascii="宋体" w:hAnsi="宋体" w:eastAsia="宋体" w:cs="宋体"/>
          <w:sz w:val="24"/>
          <w:szCs w:val="24"/>
        </w:rPr>
        <w:t>2.6.2.2 在规定的水头范围和功率范围内，水轮机均可连续安全稳定运行。水轮机应能在启动和甩负荷的过渡过程工况及所有规定的运行工况下，不产生有害的压力脉动、振动、噪音和超过规定的空蚀，在运行的各种工况下，应不出现功率摆动现象。</w:t>
      </w:r>
    </w:p>
    <w:p w14:paraId="119A38C5">
      <w:pPr>
        <w:spacing w:line="360" w:lineRule="auto"/>
        <w:ind w:firstLine="480" w:firstLineChars="200"/>
        <w:rPr>
          <w:rFonts w:hint="eastAsia" w:ascii="宋体" w:hAnsi="宋体" w:eastAsia="宋体" w:cs="宋体"/>
          <w:sz w:val="24"/>
          <w:szCs w:val="24"/>
        </w:rPr>
      </w:pPr>
      <w:bookmarkStart w:id="215" w:name="_Toc93994336"/>
      <w:bookmarkEnd w:id="215"/>
      <w:r>
        <w:rPr>
          <w:rFonts w:hint="eastAsia" w:ascii="宋体" w:hAnsi="宋体" w:eastAsia="宋体" w:cs="宋体"/>
          <w:sz w:val="24"/>
          <w:szCs w:val="24"/>
        </w:rPr>
        <w:t>2.6.3 调节保证</w:t>
      </w:r>
    </w:p>
    <w:p w14:paraId="43436D31">
      <w:pPr>
        <w:spacing w:line="360" w:lineRule="auto"/>
        <w:ind w:firstLine="480" w:firstLineChars="200"/>
        <w:rPr>
          <w:rFonts w:hint="eastAsia" w:ascii="宋体" w:hAnsi="宋体" w:eastAsia="宋体" w:cs="宋体"/>
          <w:sz w:val="24"/>
          <w:szCs w:val="24"/>
        </w:rPr>
      </w:pPr>
      <w:bookmarkStart w:id="216" w:name="_Toc93994337"/>
      <w:bookmarkEnd w:id="216"/>
      <w:r>
        <w:rPr>
          <w:rFonts w:hint="eastAsia" w:ascii="宋体" w:hAnsi="宋体" w:eastAsia="宋体" w:cs="宋体"/>
          <w:sz w:val="24"/>
          <w:szCs w:val="24"/>
        </w:rPr>
        <w:t>2.6.3.1 基本资料</w:t>
      </w:r>
    </w:p>
    <w:p w14:paraId="507796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电站发电引水系统参数详见1.2；电气主接线采用两机一变；发电机转动惯量GD</w:t>
      </w:r>
      <w:r>
        <w:rPr>
          <w:rFonts w:hint="eastAsia" w:ascii="宋体" w:hAnsi="宋体" w:eastAsia="宋体" w:cs="宋体"/>
          <w:sz w:val="24"/>
          <w:szCs w:val="24"/>
          <w:vertAlign w:val="superscript"/>
        </w:rPr>
        <w:t>2</w:t>
      </w:r>
      <w:r>
        <w:rPr>
          <w:rFonts w:hint="eastAsia" w:ascii="宋体" w:hAnsi="宋体" w:eastAsia="宋体" w:cs="宋体"/>
          <w:sz w:val="24"/>
          <w:szCs w:val="24"/>
        </w:rPr>
        <w:t>不小于</w:t>
      </w:r>
      <w:r>
        <w:rPr>
          <w:rFonts w:hint="eastAsia" w:ascii="宋体" w:hAnsi="宋体" w:eastAsia="宋体" w:cs="宋体"/>
          <w:sz w:val="24"/>
          <w:szCs w:val="24"/>
          <w:lang w:val="en-US" w:eastAsia="zh-CN"/>
        </w:rPr>
        <w:t xml:space="preserve">4.64 </w:t>
      </w:r>
      <w:r>
        <w:rPr>
          <w:rFonts w:hint="eastAsia" w:ascii="宋体" w:hAnsi="宋体" w:eastAsia="宋体" w:cs="宋体"/>
          <w:sz w:val="24"/>
          <w:szCs w:val="24"/>
        </w:rPr>
        <w:t>t.m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332631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2.6.3.2 过渡过程计算工况</w:t>
      </w:r>
    </w:p>
    <w:p w14:paraId="7D8D45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至少应对以下工况进行计算：1）2台水轮机在额定水头和额定输出功率下运行，机组同时突然甩全负荷工况；2）2台水轮机在最大水头和额定输出功率下运行，机组同时突然甩全负荷工况；3）小波动稳定分析。</w:t>
      </w:r>
    </w:p>
    <w:p w14:paraId="49B033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2.6.3.3 计算参数限定值</w:t>
      </w:r>
    </w:p>
    <w:p w14:paraId="62B35CA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机组最大转速上升值不应超过额定转速的60%；蜗壳进口最大压力不超过</w:t>
      </w:r>
      <w:r>
        <w:rPr>
          <w:rFonts w:hint="eastAsia" w:ascii="宋体" w:hAnsi="宋体" w:eastAsia="宋体" w:cs="宋体"/>
          <w:sz w:val="24"/>
          <w:szCs w:val="24"/>
          <w:lang w:val="en-US" w:eastAsia="zh-CN"/>
        </w:rPr>
        <w:t>74</w:t>
      </w:r>
      <w:r>
        <w:rPr>
          <w:rFonts w:hint="eastAsia" w:ascii="宋体" w:hAnsi="宋体" w:eastAsia="宋体" w:cs="宋体"/>
          <w:sz w:val="24"/>
          <w:szCs w:val="24"/>
        </w:rPr>
        <w:t>m；尾水管进口处真空度不超过8m水柱。</w:t>
      </w:r>
    </w:p>
    <w:p w14:paraId="7F2C01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2.6.3.4 </w:t>
      </w:r>
      <w:bookmarkStart w:id="217" w:name="_Toc93994339"/>
      <w:bookmarkEnd w:id="217"/>
      <w:r>
        <w:rPr>
          <w:rFonts w:hint="eastAsia" w:ascii="宋体" w:hAnsi="宋体" w:eastAsia="宋体" w:cs="宋体"/>
          <w:sz w:val="24"/>
          <w:szCs w:val="24"/>
        </w:rPr>
        <w:t>承包人应根据上述条件进行水力过渡过程计算，并提交计算分析方法和成果，同时说明导叶关闭时间和规律、尾水管压力、机组转速和蜗壳压力的变化值。</w:t>
      </w:r>
    </w:p>
    <w:p w14:paraId="4D08E058">
      <w:pPr>
        <w:spacing w:line="360" w:lineRule="auto"/>
        <w:ind w:firstLine="480" w:firstLineChars="200"/>
        <w:rPr>
          <w:rFonts w:hint="eastAsia" w:ascii="宋体" w:hAnsi="宋体" w:eastAsia="宋体" w:cs="宋体"/>
          <w:sz w:val="24"/>
          <w:szCs w:val="24"/>
        </w:rPr>
      </w:pPr>
      <w:bookmarkStart w:id="218" w:name="_Toc93994340"/>
      <w:bookmarkEnd w:id="218"/>
      <w:r>
        <w:rPr>
          <w:rFonts w:hint="eastAsia" w:ascii="宋体" w:hAnsi="宋体" w:eastAsia="宋体" w:cs="宋体"/>
          <w:sz w:val="24"/>
          <w:szCs w:val="24"/>
        </w:rPr>
        <w:t>2.6.4 功率</w:t>
      </w:r>
    </w:p>
    <w:p w14:paraId="44C4BDFE">
      <w:pPr>
        <w:spacing w:line="360" w:lineRule="auto"/>
        <w:ind w:firstLine="480" w:firstLineChars="200"/>
        <w:rPr>
          <w:rFonts w:hint="eastAsia" w:ascii="宋体" w:hAnsi="宋体" w:eastAsia="宋体" w:cs="宋体"/>
          <w:sz w:val="24"/>
          <w:szCs w:val="24"/>
        </w:rPr>
      </w:pPr>
      <w:bookmarkStart w:id="219" w:name="_Toc93994342"/>
      <w:bookmarkEnd w:id="219"/>
      <w:r>
        <w:rPr>
          <w:rFonts w:hint="eastAsia" w:ascii="宋体" w:hAnsi="宋体" w:eastAsia="宋体" w:cs="宋体"/>
          <w:sz w:val="24"/>
          <w:szCs w:val="24"/>
        </w:rPr>
        <w:t>2.6.4.1 水轮机在额定水头</w:t>
      </w:r>
      <w:r>
        <w:rPr>
          <w:rFonts w:hint="eastAsia" w:ascii="宋体" w:hAnsi="宋体" w:eastAsia="宋体" w:cs="宋体"/>
          <w:sz w:val="24"/>
          <w:szCs w:val="24"/>
          <w:lang w:val="en-US" w:eastAsia="zh-CN"/>
        </w:rPr>
        <w:t>55.45</w:t>
      </w:r>
      <w:r>
        <w:rPr>
          <w:rFonts w:hint="eastAsia" w:ascii="宋体" w:hAnsi="宋体" w:eastAsia="宋体" w:cs="宋体"/>
          <w:sz w:val="24"/>
          <w:szCs w:val="24"/>
        </w:rPr>
        <w:t>m、额定转速下运转时，其额定功率为</w:t>
      </w:r>
      <w:r>
        <w:rPr>
          <w:rFonts w:hint="eastAsia" w:ascii="宋体" w:hAnsi="宋体" w:eastAsia="宋体" w:cs="宋体"/>
          <w:sz w:val="24"/>
          <w:szCs w:val="24"/>
          <w:lang w:eastAsia="zh-CN"/>
        </w:rPr>
        <w:t>2400</w:t>
      </w:r>
      <w:r>
        <w:rPr>
          <w:rFonts w:hint="eastAsia" w:ascii="宋体" w:hAnsi="宋体" w:eastAsia="宋体" w:cs="宋体"/>
          <w:sz w:val="24"/>
          <w:szCs w:val="24"/>
        </w:rPr>
        <w:t>kW。在发电机功率因数为1.0时，允许水轮机短时（8000h运行小时内不超过100h）运行最大功率</w:t>
      </w:r>
      <w:r>
        <w:rPr>
          <w:rFonts w:hint="eastAsia" w:ascii="宋体" w:hAnsi="宋体" w:eastAsia="宋体" w:cs="宋体"/>
          <w:sz w:val="24"/>
          <w:szCs w:val="24"/>
          <w:lang w:eastAsia="zh-CN"/>
        </w:rPr>
        <w:t>2400</w:t>
      </w:r>
      <w:r>
        <w:rPr>
          <w:rFonts w:hint="eastAsia" w:ascii="宋体" w:hAnsi="宋体" w:eastAsia="宋体" w:cs="宋体"/>
          <w:sz w:val="24"/>
          <w:szCs w:val="24"/>
        </w:rPr>
        <w:t>kW。</w:t>
      </w:r>
    </w:p>
    <w:p w14:paraId="420E3EF8">
      <w:pPr>
        <w:spacing w:line="360" w:lineRule="auto"/>
        <w:ind w:firstLine="480" w:firstLineChars="200"/>
        <w:rPr>
          <w:rFonts w:hint="eastAsia" w:ascii="宋体" w:hAnsi="宋体" w:eastAsia="宋体" w:cs="宋体"/>
          <w:kern w:val="0"/>
          <w:sz w:val="24"/>
          <w:szCs w:val="24"/>
        </w:rPr>
      </w:pPr>
      <w:bookmarkStart w:id="220" w:name="_Toc93994343"/>
      <w:bookmarkEnd w:id="220"/>
      <w:r>
        <w:rPr>
          <w:rFonts w:hint="eastAsia" w:ascii="宋体" w:hAnsi="宋体" w:eastAsia="宋体" w:cs="宋体"/>
          <w:sz w:val="24"/>
          <w:szCs w:val="24"/>
        </w:rPr>
        <w:t>2.6.4.2 在下列水头条件下，水轮机在额定转速运行，空化系数、空蚀及磨损在保证值范围内，水轮机功率保证值不应低于表2.7-1中的数值。另外，相邻两点的连接直线构成水轮机的功率保证线，功率保证线上的值为各水头下的功率保证值。</w:t>
      </w:r>
    </w:p>
    <w:p w14:paraId="5753E727">
      <w:pPr>
        <w:autoSpaceDE w:val="0"/>
        <w:autoSpaceDN w:val="0"/>
        <w:adjustRightInd w:val="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表2.7-1  水轮机功率</w:t>
      </w:r>
    </w:p>
    <w:tbl>
      <w:tblPr>
        <w:tblStyle w:val="65"/>
        <w:tblW w:w="4683"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8"/>
        <w:gridCol w:w="3978"/>
      </w:tblGrid>
      <w:tr w14:paraId="0468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tcBorders>
              <w:top w:val="single" w:color="000000" w:sz="4" w:space="0"/>
              <w:left w:val="single" w:color="000000" w:sz="4" w:space="0"/>
              <w:bottom w:val="single" w:color="000000" w:sz="4" w:space="0"/>
              <w:right w:val="single" w:color="000000" w:sz="4" w:space="0"/>
            </w:tcBorders>
            <w:noWrap w:val="0"/>
            <w:vAlign w:val="top"/>
          </w:tcPr>
          <w:p w14:paraId="21B30F46">
            <w:pPr>
              <w:autoSpaceDE w:val="0"/>
              <w:autoSpaceDN w:val="0"/>
              <w:adjustRightInd w:val="0"/>
              <w:snapToGrid w:val="0"/>
              <w:spacing w:line="3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水轮机水头</w:t>
            </w:r>
          </w:p>
        </w:tc>
        <w:tc>
          <w:tcPr>
            <w:tcW w:w="3978" w:type="dxa"/>
            <w:tcBorders>
              <w:top w:val="single" w:color="000000" w:sz="4" w:space="0"/>
              <w:left w:val="single" w:color="000000" w:sz="4" w:space="0"/>
              <w:bottom w:val="single" w:color="000000" w:sz="4" w:space="0"/>
              <w:right w:val="single" w:color="000000" w:sz="4" w:space="0"/>
            </w:tcBorders>
            <w:noWrap w:val="0"/>
            <w:vAlign w:val="top"/>
          </w:tcPr>
          <w:p w14:paraId="2FE193B7">
            <w:pPr>
              <w:autoSpaceDE w:val="0"/>
              <w:autoSpaceDN w:val="0"/>
              <w:adjustRightInd w:val="0"/>
              <w:snapToGrid w:val="0"/>
              <w:spacing w:line="3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水轮机功率（kW）</w:t>
            </w:r>
          </w:p>
        </w:tc>
      </w:tr>
      <w:tr w14:paraId="3A12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tcBorders>
              <w:top w:val="single" w:color="000000" w:sz="4" w:space="0"/>
              <w:left w:val="single" w:color="000000" w:sz="4" w:space="0"/>
              <w:bottom w:val="single" w:color="000000" w:sz="4" w:space="0"/>
              <w:right w:val="single" w:color="000000" w:sz="4" w:space="0"/>
            </w:tcBorders>
            <w:noWrap w:val="0"/>
            <w:vAlign w:val="top"/>
          </w:tcPr>
          <w:p w14:paraId="68A3EA49">
            <w:pPr>
              <w:autoSpaceDE w:val="0"/>
              <w:autoSpaceDN w:val="0"/>
              <w:adjustRightInd w:val="0"/>
              <w:snapToGrid w:val="0"/>
              <w:spacing w:line="3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最大水头</w:t>
            </w:r>
            <w:r>
              <w:rPr>
                <w:rFonts w:hint="eastAsia" w:ascii="宋体" w:hAnsi="宋体" w:eastAsia="宋体" w:cs="宋体"/>
                <w:kern w:val="0"/>
                <w:szCs w:val="21"/>
                <w:lang w:val="en-US" w:eastAsia="zh-CN"/>
              </w:rPr>
              <w:t>57</w:t>
            </w:r>
            <w:r>
              <w:rPr>
                <w:rFonts w:hint="eastAsia" w:ascii="宋体" w:hAnsi="宋体" w:eastAsia="宋体" w:cs="宋体"/>
                <w:kern w:val="0"/>
                <w:szCs w:val="21"/>
              </w:rPr>
              <w:t>m</w:t>
            </w:r>
          </w:p>
        </w:tc>
        <w:tc>
          <w:tcPr>
            <w:tcW w:w="3978" w:type="dxa"/>
            <w:tcBorders>
              <w:top w:val="single" w:color="000000" w:sz="4" w:space="0"/>
              <w:left w:val="single" w:color="000000" w:sz="4" w:space="0"/>
              <w:bottom w:val="single" w:color="000000" w:sz="4" w:space="0"/>
              <w:right w:val="single" w:color="000000" w:sz="4" w:space="0"/>
            </w:tcBorders>
            <w:noWrap w:val="0"/>
            <w:vAlign w:val="top"/>
          </w:tcPr>
          <w:p w14:paraId="78BDEEE3">
            <w:pPr>
              <w:autoSpaceDE w:val="0"/>
              <w:autoSpaceDN w:val="0"/>
              <w:adjustRightInd w:val="0"/>
              <w:snapToGrid w:val="0"/>
              <w:spacing w:line="360" w:lineRule="exact"/>
              <w:jc w:val="center"/>
              <w:textAlignment w:val="baseline"/>
              <w:rPr>
                <w:rFonts w:hint="eastAsia" w:ascii="宋体" w:hAnsi="宋体" w:eastAsia="宋体" w:cs="宋体"/>
                <w:kern w:val="0"/>
                <w:szCs w:val="21"/>
                <w:lang w:eastAsia="zh-CN"/>
              </w:rPr>
            </w:pPr>
            <w:r>
              <w:rPr>
                <w:rFonts w:hint="eastAsia" w:ascii="宋体" w:hAnsi="宋体" w:eastAsia="宋体" w:cs="宋体"/>
                <w:kern w:val="0"/>
                <w:szCs w:val="21"/>
              </w:rPr>
              <w:t>≥</w:t>
            </w:r>
            <w:r>
              <w:rPr>
                <w:rFonts w:hint="eastAsia" w:ascii="宋体" w:hAnsi="宋体" w:eastAsia="宋体" w:cs="宋体"/>
                <w:kern w:val="0"/>
                <w:sz w:val="24"/>
                <w:szCs w:val="24"/>
                <w:lang w:eastAsia="zh-CN"/>
              </w:rPr>
              <w:t>2400</w:t>
            </w:r>
          </w:p>
        </w:tc>
      </w:tr>
      <w:tr w14:paraId="1465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tcBorders>
              <w:top w:val="single" w:color="000000" w:sz="4" w:space="0"/>
              <w:left w:val="single" w:color="000000" w:sz="4" w:space="0"/>
              <w:bottom w:val="single" w:color="000000" w:sz="4" w:space="0"/>
              <w:right w:val="single" w:color="000000" w:sz="4" w:space="0"/>
            </w:tcBorders>
            <w:noWrap w:val="0"/>
            <w:vAlign w:val="top"/>
          </w:tcPr>
          <w:p w14:paraId="2A088D58">
            <w:pPr>
              <w:autoSpaceDE w:val="0"/>
              <w:autoSpaceDN w:val="0"/>
              <w:adjustRightInd w:val="0"/>
              <w:snapToGrid w:val="0"/>
              <w:spacing w:line="3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加权平均水头</w:t>
            </w:r>
            <w:r>
              <w:rPr>
                <w:rFonts w:hint="eastAsia" w:ascii="宋体" w:hAnsi="宋体" w:eastAsia="宋体" w:cs="宋体"/>
                <w:kern w:val="0"/>
                <w:szCs w:val="21"/>
                <w:lang w:val="en-US" w:eastAsia="zh-CN"/>
              </w:rPr>
              <w:t>55.88</w:t>
            </w:r>
            <w:r>
              <w:rPr>
                <w:rFonts w:hint="eastAsia" w:ascii="宋体" w:hAnsi="宋体" w:eastAsia="宋体" w:cs="宋体"/>
                <w:kern w:val="0"/>
                <w:szCs w:val="21"/>
              </w:rPr>
              <w:t>m</w:t>
            </w:r>
          </w:p>
        </w:tc>
        <w:tc>
          <w:tcPr>
            <w:tcW w:w="3978" w:type="dxa"/>
            <w:tcBorders>
              <w:top w:val="single" w:color="000000" w:sz="4" w:space="0"/>
              <w:left w:val="single" w:color="000000" w:sz="4" w:space="0"/>
              <w:bottom w:val="single" w:color="000000" w:sz="4" w:space="0"/>
              <w:right w:val="single" w:color="000000" w:sz="4" w:space="0"/>
            </w:tcBorders>
            <w:noWrap w:val="0"/>
            <w:vAlign w:val="top"/>
          </w:tcPr>
          <w:p w14:paraId="7F1C7D7D">
            <w:pPr>
              <w:autoSpaceDE w:val="0"/>
              <w:autoSpaceDN w:val="0"/>
              <w:adjustRightInd w:val="0"/>
              <w:snapToGrid w:val="0"/>
              <w:spacing w:line="360" w:lineRule="exact"/>
              <w:jc w:val="center"/>
              <w:textAlignment w:val="baseline"/>
              <w:rPr>
                <w:rFonts w:hint="eastAsia" w:ascii="宋体" w:hAnsi="宋体" w:eastAsia="宋体" w:cs="宋体"/>
                <w:kern w:val="0"/>
                <w:szCs w:val="21"/>
                <w:lang w:eastAsia="zh-CN"/>
              </w:rPr>
            </w:pPr>
            <w:r>
              <w:rPr>
                <w:rFonts w:hint="eastAsia" w:ascii="宋体" w:hAnsi="宋体" w:eastAsia="宋体" w:cs="宋体"/>
                <w:kern w:val="0"/>
                <w:szCs w:val="21"/>
              </w:rPr>
              <w:t>≥</w:t>
            </w:r>
            <w:r>
              <w:rPr>
                <w:rFonts w:hint="eastAsia" w:ascii="宋体" w:hAnsi="宋体" w:eastAsia="宋体" w:cs="宋体"/>
                <w:kern w:val="0"/>
                <w:sz w:val="24"/>
                <w:szCs w:val="24"/>
                <w:lang w:eastAsia="zh-CN"/>
              </w:rPr>
              <w:t>2400</w:t>
            </w:r>
          </w:p>
        </w:tc>
      </w:tr>
      <w:tr w14:paraId="10F3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tcBorders>
              <w:top w:val="single" w:color="000000" w:sz="4" w:space="0"/>
              <w:left w:val="single" w:color="000000" w:sz="4" w:space="0"/>
              <w:bottom w:val="single" w:color="000000" w:sz="4" w:space="0"/>
              <w:right w:val="single" w:color="000000" w:sz="4" w:space="0"/>
            </w:tcBorders>
            <w:noWrap w:val="0"/>
            <w:vAlign w:val="top"/>
          </w:tcPr>
          <w:p w14:paraId="4CF77BC1">
            <w:pPr>
              <w:autoSpaceDE w:val="0"/>
              <w:autoSpaceDN w:val="0"/>
              <w:adjustRightInd w:val="0"/>
              <w:snapToGrid w:val="0"/>
              <w:spacing w:line="3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额定水头</w:t>
            </w:r>
            <w:r>
              <w:rPr>
                <w:rFonts w:hint="eastAsia" w:ascii="宋体" w:hAnsi="宋体" w:eastAsia="宋体" w:cs="宋体"/>
                <w:kern w:val="0"/>
                <w:szCs w:val="21"/>
                <w:lang w:eastAsia="zh-CN"/>
              </w:rPr>
              <w:t>55.45</w:t>
            </w:r>
            <w:r>
              <w:rPr>
                <w:rFonts w:hint="eastAsia" w:ascii="宋体" w:hAnsi="宋体" w:eastAsia="宋体" w:cs="宋体"/>
                <w:kern w:val="0"/>
                <w:szCs w:val="21"/>
              </w:rPr>
              <w:t>m</w:t>
            </w:r>
          </w:p>
        </w:tc>
        <w:tc>
          <w:tcPr>
            <w:tcW w:w="3978" w:type="dxa"/>
            <w:tcBorders>
              <w:top w:val="single" w:color="000000" w:sz="4" w:space="0"/>
              <w:left w:val="single" w:color="000000" w:sz="4" w:space="0"/>
              <w:bottom w:val="single" w:color="000000" w:sz="4" w:space="0"/>
              <w:right w:val="single" w:color="000000" w:sz="4" w:space="0"/>
            </w:tcBorders>
            <w:noWrap w:val="0"/>
            <w:vAlign w:val="top"/>
          </w:tcPr>
          <w:p w14:paraId="2A91F9B1">
            <w:pPr>
              <w:autoSpaceDE w:val="0"/>
              <w:autoSpaceDN w:val="0"/>
              <w:adjustRightInd w:val="0"/>
              <w:snapToGrid w:val="0"/>
              <w:spacing w:line="360" w:lineRule="exact"/>
              <w:jc w:val="center"/>
              <w:textAlignment w:val="baseline"/>
              <w:rPr>
                <w:rFonts w:hint="eastAsia" w:ascii="宋体" w:hAnsi="宋体" w:eastAsia="宋体" w:cs="宋体"/>
                <w:kern w:val="0"/>
                <w:szCs w:val="21"/>
                <w:lang w:eastAsia="zh-CN"/>
              </w:rPr>
            </w:pPr>
            <w:r>
              <w:rPr>
                <w:rFonts w:hint="eastAsia" w:ascii="宋体" w:hAnsi="宋体" w:eastAsia="宋体" w:cs="宋体"/>
                <w:kern w:val="0"/>
                <w:szCs w:val="21"/>
              </w:rPr>
              <w:t>≥</w:t>
            </w:r>
            <w:r>
              <w:rPr>
                <w:rFonts w:hint="eastAsia" w:ascii="宋体" w:hAnsi="宋体" w:eastAsia="宋体" w:cs="宋体"/>
                <w:kern w:val="0"/>
                <w:sz w:val="24"/>
                <w:szCs w:val="24"/>
                <w:lang w:eastAsia="zh-CN"/>
              </w:rPr>
              <w:t>2400</w:t>
            </w:r>
          </w:p>
        </w:tc>
      </w:tr>
      <w:tr w14:paraId="758C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tcBorders>
              <w:top w:val="single" w:color="000000" w:sz="4" w:space="0"/>
              <w:left w:val="single" w:color="000000" w:sz="4" w:space="0"/>
              <w:bottom w:val="single" w:color="000000" w:sz="4" w:space="0"/>
              <w:right w:val="single" w:color="000000" w:sz="4" w:space="0"/>
            </w:tcBorders>
            <w:noWrap w:val="0"/>
            <w:vAlign w:val="top"/>
          </w:tcPr>
          <w:p w14:paraId="679FF0EA">
            <w:pPr>
              <w:autoSpaceDE w:val="0"/>
              <w:autoSpaceDN w:val="0"/>
              <w:adjustRightInd w:val="0"/>
              <w:snapToGrid w:val="0"/>
              <w:spacing w:line="3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最小水头</w:t>
            </w:r>
            <w:r>
              <w:rPr>
                <w:rFonts w:hint="eastAsia" w:ascii="宋体" w:hAnsi="宋体" w:eastAsia="宋体" w:cs="宋体"/>
                <w:kern w:val="0"/>
                <w:szCs w:val="21"/>
                <w:lang w:val="en-US" w:eastAsia="zh-CN"/>
              </w:rPr>
              <w:t>53</w:t>
            </w:r>
            <w:r>
              <w:rPr>
                <w:rFonts w:hint="eastAsia" w:ascii="宋体" w:hAnsi="宋体" w:eastAsia="宋体" w:cs="宋体"/>
                <w:kern w:val="0"/>
                <w:szCs w:val="21"/>
              </w:rPr>
              <w:t>m</w:t>
            </w:r>
          </w:p>
        </w:tc>
        <w:tc>
          <w:tcPr>
            <w:tcW w:w="3978" w:type="dxa"/>
            <w:tcBorders>
              <w:top w:val="single" w:color="000000" w:sz="4" w:space="0"/>
              <w:left w:val="single" w:color="000000" w:sz="4" w:space="0"/>
              <w:bottom w:val="single" w:color="000000" w:sz="4" w:space="0"/>
              <w:right w:val="single" w:color="000000" w:sz="4" w:space="0"/>
            </w:tcBorders>
            <w:noWrap w:val="0"/>
            <w:vAlign w:val="top"/>
          </w:tcPr>
          <w:p w14:paraId="71066622">
            <w:pPr>
              <w:autoSpaceDE w:val="0"/>
              <w:autoSpaceDN w:val="0"/>
              <w:adjustRightInd w:val="0"/>
              <w:snapToGrid w:val="0"/>
              <w:spacing w:line="360" w:lineRule="exact"/>
              <w:jc w:val="center"/>
              <w:textAlignment w:val="baseline"/>
              <w:rPr>
                <w:rFonts w:hint="default" w:ascii="宋体" w:hAnsi="宋体" w:eastAsia="宋体" w:cs="宋体"/>
                <w:kern w:val="0"/>
                <w:szCs w:val="21"/>
                <w:lang w:val="en-US" w:eastAsia="zh-CN"/>
              </w:rPr>
            </w:pPr>
            <w:r>
              <w:rPr>
                <w:rFonts w:hint="eastAsia" w:ascii="宋体" w:hAnsi="宋体" w:eastAsia="宋体" w:cs="宋体"/>
                <w:kern w:val="0"/>
                <w:szCs w:val="21"/>
              </w:rPr>
              <w:t>≥</w:t>
            </w:r>
            <w:r>
              <w:rPr>
                <w:rFonts w:hint="eastAsia" w:ascii="宋体" w:hAnsi="宋体" w:eastAsia="宋体" w:cs="宋体"/>
                <w:kern w:val="0"/>
                <w:szCs w:val="21"/>
                <w:lang w:val="en-US" w:eastAsia="zh-CN"/>
              </w:rPr>
              <w:t>2250</w:t>
            </w:r>
          </w:p>
        </w:tc>
      </w:tr>
    </w:tbl>
    <w:p w14:paraId="3197A14E">
      <w:pPr>
        <w:spacing w:line="360" w:lineRule="auto"/>
        <w:ind w:firstLine="480" w:firstLineChars="200"/>
        <w:rPr>
          <w:rFonts w:hint="eastAsia" w:ascii="宋体" w:hAnsi="宋体" w:eastAsia="宋体" w:cs="宋体"/>
          <w:sz w:val="24"/>
          <w:szCs w:val="24"/>
        </w:rPr>
      </w:pPr>
      <w:bookmarkStart w:id="221" w:name="_Toc93994344"/>
      <w:bookmarkEnd w:id="221"/>
      <w:r>
        <w:rPr>
          <w:rFonts w:hint="eastAsia" w:ascii="宋体" w:hAnsi="宋体" w:eastAsia="宋体" w:cs="宋体"/>
          <w:sz w:val="24"/>
          <w:szCs w:val="24"/>
        </w:rPr>
        <w:t>2.6.5 效率</w:t>
      </w:r>
    </w:p>
    <w:p w14:paraId="161955B6">
      <w:pPr>
        <w:spacing w:line="360" w:lineRule="auto"/>
        <w:ind w:firstLine="480" w:firstLineChars="200"/>
        <w:rPr>
          <w:rFonts w:hint="eastAsia" w:ascii="宋体" w:hAnsi="宋体" w:eastAsia="宋体" w:cs="宋体"/>
          <w:sz w:val="24"/>
          <w:szCs w:val="24"/>
        </w:rPr>
      </w:pPr>
      <w:bookmarkStart w:id="222" w:name="_Toc93994345"/>
      <w:bookmarkEnd w:id="222"/>
      <w:r>
        <w:rPr>
          <w:rFonts w:hint="eastAsia" w:ascii="宋体" w:hAnsi="宋体" w:eastAsia="宋体" w:cs="宋体"/>
          <w:sz w:val="24"/>
          <w:szCs w:val="24"/>
        </w:rPr>
        <w:t>2.6.5.1 模型水轮机与原型水轮机效率应按下列公式计算效率修正值，效率修正值为一个常量加于模型水轮机效率，以求得原型水轮机效率。</w:t>
      </w:r>
    </w:p>
    <w:p w14:paraId="4159269A">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η</w:t>
      </w:r>
      <w:r>
        <w:rPr>
          <w:rFonts w:hint="eastAsia" w:ascii="宋体" w:hAnsi="宋体" w:eastAsia="宋体" w:cs="宋体"/>
          <w:sz w:val="24"/>
          <w:szCs w:val="24"/>
          <w:vertAlign w:val="subscript"/>
        </w:rPr>
        <w:t>T</w:t>
      </w:r>
      <w:r>
        <w:rPr>
          <w:rFonts w:hint="eastAsia" w:ascii="宋体" w:hAnsi="宋体" w:eastAsia="宋体" w:cs="宋体"/>
          <w:sz w:val="24"/>
          <w:szCs w:val="24"/>
        </w:rPr>
        <w:t>=η</w:t>
      </w:r>
      <w:r>
        <w:rPr>
          <w:rFonts w:hint="eastAsia" w:ascii="宋体" w:hAnsi="宋体" w:eastAsia="宋体" w:cs="宋体"/>
          <w:sz w:val="24"/>
          <w:szCs w:val="24"/>
          <w:vertAlign w:val="subscript"/>
        </w:rPr>
        <w:t>M</w:t>
      </w:r>
      <w:r>
        <w:rPr>
          <w:rFonts w:hint="eastAsia" w:ascii="宋体" w:hAnsi="宋体" w:eastAsia="宋体" w:cs="宋体"/>
          <w:sz w:val="24"/>
          <w:szCs w:val="24"/>
        </w:rPr>
        <w:t xml:space="preserve">+△η </w:t>
      </w:r>
    </w:p>
    <w:p w14:paraId="4A41D9C8">
      <w:pPr>
        <w:spacing w:line="480" w:lineRule="exact"/>
        <w:rPr>
          <w:rFonts w:hint="eastAsia" w:ascii="宋体" w:hAnsi="宋体" w:eastAsia="宋体" w:cs="宋体"/>
          <w:sz w:val="24"/>
          <w:szCs w:val="24"/>
          <w:vertAlign w:val="superscript"/>
        </w:rPr>
      </w:pPr>
      <w:r>
        <w:rPr>
          <w:rFonts w:hint="eastAsia" w:ascii="宋体" w:hAnsi="宋体" w:eastAsia="宋体" w:cs="宋体"/>
          <w:sz w:val="24"/>
          <w:szCs w:val="24"/>
        </w:rPr>
        <w:t xml:space="preserve">   △η=0.6(1-η</w:t>
      </w:r>
      <w:r>
        <w:rPr>
          <w:rFonts w:hint="eastAsia" w:ascii="宋体" w:hAnsi="宋体" w:eastAsia="宋体" w:cs="宋体"/>
          <w:sz w:val="24"/>
          <w:szCs w:val="24"/>
          <w:vertAlign w:val="subscript"/>
        </w:rPr>
        <w:t>M max</w:t>
      </w:r>
      <w:r>
        <w:rPr>
          <w:rFonts w:hint="eastAsia" w:ascii="宋体" w:hAnsi="宋体" w:eastAsia="宋体" w:cs="宋体"/>
          <w:sz w:val="24"/>
          <w:szCs w:val="24"/>
        </w:rPr>
        <w:t>)（1- D</w:t>
      </w:r>
      <w:r>
        <w:rPr>
          <w:rFonts w:hint="eastAsia" w:ascii="宋体" w:hAnsi="宋体" w:eastAsia="宋体" w:cs="宋体"/>
          <w:sz w:val="24"/>
          <w:szCs w:val="24"/>
          <w:vertAlign w:val="subscript"/>
        </w:rPr>
        <w:t>1M</w:t>
      </w:r>
      <w:r>
        <w:rPr>
          <w:rFonts w:hint="eastAsia" w:ascii="宋体" w:hAnsi="宋体" w:eastAsia="宋体" w:cs="宋体"/>
          <w:sz w:val="24"/>
          <w:szCs w:val="24"/>
        </w:rPr>
        <w:t>/ D</w:t>
      </w:r>
      <w:r>
        <w:rPr>
          <w:rFonts w:hint="eastAsia" w:ascii="宋体" w:hAnsi="宋体" w:eastAsia="宋体" w:cs="宋体"/>
          <w:sz w:val="24"/>
          <w:szCs w:val="24"/>
          <w:vertAlign w:val="subscript"/>
        </w:rPr>
        <w:t>1T</w:t>
      </w:r>
      <w:r>
        <w:rPr>
          <w:rFonts w:hint="eastAsia" w:ascii="宋体" w:hAnsi="宋体" w:eastAsia="宋体" w:cs="宋体"/>
          <w:sz w:val="24"/>
          <w:szCs w:val="24"/>
        </w:rPr>
        <w:t>）</w:t>
      </w:r>
      <w:r>
        <w:rPr>
          <w:rFonts w:hint="eastAsia" w:ascii="宋体" w:hAnsi="宋体" w:eastAsia="宋体" w:cs="宋体"/>
          <w:sz w:val="24"/>
          <w:szCs w:val="24"/>
          <w:vertAlign w:val="superscript"/>
        </w:rPr>
        <w:t>0.2</w:t>
      </w:r>
    </w:p>
    <w:p w14:paraId="5C52E60B">
      <w:pPr>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式中：</w:t>
      </w:r>
    </w:p>
    <w:p w14:paraId="39302A5C">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η</w:t>
      </w:r>
      <w:r>
        <w:rPr>
          <w:rFonts w:hint="eastAsia" w:ascii="宋体" w:hAnsi="宋体" w:eastAsia="宋体" w:cs="宋体"/>
          <w:sz w:val="24"/>
          <w:szCs w:val="24"/>
          <w:vertAlign w:val="subscript"/>
        </w:rPr>
        <w:t>T</w:t>
      </w:r>
      <w:r>
        <w:rPr>
          <w:rFonts w:hint="eastAsia" w:ascii="宋体" w:hAnsi="宋体" w:eastAsia="宋体" w:cs="宋体"/>
          <w:sz w:val="24"/>
          <w:szCs w:val="24"/>
        </w:rPr>
        <w:t>——原型水轮机效率计算值</w:t>
      </w:r>
    </w:p>
    <w:p w14:paraId="2287E8F3">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η</w:t>
      </w:r>
      <w:r>
        <w:rPr>
          <w:rFonts w:hint="eastAsia" w:ascii="宋体" w:hAnsi="宋体" w:eastAsia="宋体" w:cs="宋体"/>
          <w:sz w:val="24"/>
          <w:szCs w:val="24"/>
          <w:vertAlign w:val="subscript"/>
        </w:rPr>
        <w:t>M</w:t>
      </w:r>
      <w:r>
        <w:rPr>
          <w:rFonts w:hint="eastAsia" w:ascii="宋体" w:hAnsi="宋体" w:eastAsia="宋体" w:cs="宋体"/>
          <w:sz w:val="24"/>
          <w:szCs w:val="24"/>
        </w:rPr>
        <w:t>——模型水轮机效率</w:t>
      </w:r>
    </w:p>
    <w:p w14:paraId="493337DC">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η</w:t>
      </w:r>
      <w:r>
        <w:rPr>
          <w:rFonts w:hint="eastAsia" w:ascii="宋体" w:hAnsi="宋体" w:eastAsia="宋体" w:cs="宋体"/>
          <w:sz w:val="24"/>
          <w:szCs w:val="24"/>
          <w:vertAlign w:val="subscript"/>
        </w:rPr>
        <w:t>M max</w:t>
      </w:r>
      <w:r>
        <w:rPr>
          <w:rFonts w:hint="eastAsia" w:ascii="宋体" w:hAnsi="宋体" w:eastAsia="宋体" w:cs="宋体"/>
          <w:sz w:val="24"/>
          <w:szCs w:val="24"/>
        </w:rPr>
        <w:t>——模型水轮机最高效率</w:t>
      </w:r>
    </w:p>
    <w:p w14:paraId="5BA7971D">
      <w:pPr>
        <w:spacing w:line="4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vertAlign w:val="subscript"/>
        </w:rPr>
        <w:t>1T</w:t>
      </w:r>
      <w:r>
        <w:rPr>
          <w:rFonts w:hint="eastAsia" w:ascii="宋体" w:hAnsi="宋体" w:eastAsia="宋体" w:cs="宋体"/>
          <w:sz w:val="24"/>
          <w:szCs w:val="24"/>
        </w:rPr>
        <w:t>——原型水轮机转轮公称直径</w:t>
      </w:r>
    </w:p>
    <w:p w14:paraId="4F91B38C">
      <w:pPr>
        <w:spacing w:line="4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vertAlign w:val="subscript"/>
        </w:rPr>
        <w:t>1M</w:t>
      </w:r>
      <w:r>
        <w:rPr>
          <w:rFonts w:hint="eastAsia" w:ascii="宋体" w:hAnsi="宋体" w:eastAsia="宋体" w:cs="宋体"/>
          <w:sz w:val="24"/>
          <w:szCs w:val="24"/>
        </w:rPr>
        <w:t>——模型水轮机转轮公称直径</w:t>
      </w:r>
    </w:p>
    <w:p w14:paraId="399F572D">
      <w:pPr>
        <w:numPr>
          <w:ilvl w:val="0"/>
          <w:numId w:val="3"/>
        </w:numPr>
        <w:spacing w:line="480" w:lineRule="exact"/>
        <w:rPr>
          <w:rFonts w:hint="eastAsia" w:ascii="宋体" w:hAnsi="宋体" w:eastAsia="宋体" w:cs="宋体"/>
          <w:sz w:val="24"/>
          <w:szCs w:val="24"/>
        </w:rPr>
      </w:pPr>
      <w:r>
        <w:rPr>
          <w:rFonts w:hint="eastAsia" w:ascii="宋体" w:hAnsi="宋体" w:eastAsia="宋体" w:cs="宋体"/>
          <w:sz w:val="24"/>
          <w:szCs w:val="24"/>
        </w:rPr>
        <w:t>η——效率修正值（常量）</w:t>
      </w:r>
    </w:p>
    <w:p w14:paraId="2EB467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2.6.5.2 水轮机在规定水头范围内和导叶开度较宽广的范围内具有较高的效率，且效率曲线变化平缓。</w:t>
      </w:r>
    </w:p>
    <w:p w14:paraId="33159C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2.6.5.3 水轮机在额定水头</w:t>
      </w:r>
      <w:r>
        <w:rPr>
          <w:rFonts w:hint="eastAsia" w:ascii="宋体" w:hAnsi="宋体" w:eastAsia="宋体" w:cs="宋体"/>
          <w:sz w:val="24"/>
          <w:szCs w:val="24"/>
          <w:lang w:eastAsia="zh-CN"/>
        </w:rPr>
        <w:t>55.45</w:t>
      </w:r>
      <w:r>
        <w:rPr>
          <w:rFonts w:hint="eastAsia" w:ascii="宋体" w:hAnsi="宋体" w:eastAsia="宋体" w:cs="宋体"/>
          <w:sz w:val="24"/>
          <w:szCs w:val="24"/>
        </w:rPr>
        <w:t>m、额定功率</w:t>
      </w:r>
      <w:r>
        <w:rPr>
          <w:rFonts w:hint="eastAsia" w:ascii="宋体" w:hAnsi="宋体" w:eastAsia="宋体" w:cs="宋体"/>
          <w:sz w:val="24"/>
          <w:szCs w:val="24"/>
          <w:lang w:eastAsia="zh-CN"/>
        </w:rPr>
        <w:t>2400</w:t>
      </w:r>
      <w:r>
        <w:rPr>
          <w:rFonts w:hint="eastAsia" w:ascii="宋体" w:hAnsi="宋体" w:eastAsia="宋体" w:cs="宋体"/>
          <w:sz w:val="24"/>
          <w:szCs w:val="24"/>
        </w:rPr>
        <w:t>kW时的效率保证值不应低于90%；在最大水头</w:t>
      </w:r>
      <w:r>
        <w:rPr>
          <w:rFonts w:hint="eastAsia" w:ascii="宋体" w:hAnsi="宋体" w:eastAsia="宋体" w:cs="宋体"/>
          <w:sz w:val="24"/>
          <w:szCs w:val="24"/>
          <w:lang w:val="en-US" w:eastAsia="zh-CN"/>
        </w:rPr>
        <w:t>57</w:t>
      </w:r>
      <w:r>
        <w:rPr>
          <w:rFonts w:hint="eastAsia" w:ascii="宋体" w:hAnsi="宋体" w:eastAsia="宋体" w:cs="宋体"/>
          <w:sz w:val="24"/>
          <w:szCs w:val="24"/>
        </w:rPr>
        <w:t>m、额定功率</w:t>
      </w:r>
      <w:r>
        <w:rPr>
          <w:rFonts w:hint="eastAsia" w:ascii="宋体" w:hAnsi="宋体" w:eastAsia="宋体" w:cs="宋体"/>
          <w:sz w:val="24"/>
          <w:szCs w:val="24"/>
          <w:lang w:eastAsia="zh-CN"/>
        </w:rPr>
        <w:t>2400</w:t>
      </w:r>
      <w:r>
        <w:rPr>
          <w:rFonts w:hint="eastAsia" w:ascii="宋体" w:hAnsi="宋体" w:eastAsia="宋体" w:cs="宋体"/>
          <w:sz w:val="24"/>
          <w:szCs w:val="24"/>
        </w:rPr>
        <w:t>kW时的效率保证值不应低于91%；在最小水头</w:t>
      </w:r>
      <w:r>
        <w:rPr>
          <w:rFonts w:hint="eastAsia" w:ascii="宋体" w:hAnsi="宋体" w:eastAsia="宋体" w:cs="宋体"/>
          <w:sz w:val="24"/>
          <w:szCs w:val="24"/>
          <w:lang w:val="en-US" w:eastAsia="zh-CN"/>
        </w:rPr>
        <w:t>53</w:t>
      </w:r>
      <w:r>
        <w:rPr>
          <w:rFonts w:hint="eastAsia" w:ascii="宋体" w:hAnsi="宋体" w:eastAsia="宋体" w:cs="宋体"/>
          <w:sz w:val="24"/>
          <w:szCs w:val="24"/>
        </w:rPr>
        <w:t>m、最大功率2</w:t>
      </w:r>
      <w:r>
        <w:rPr>
          <w:rFonts w:hint="eastAsia" w:ascii="宋体" w:hAnsi="宋体" w:eastAsia="宋体" w:cs="宋体"/>
          <w:sz w:val="24"/>
          <w:szCs w:val="24"/>
          <w:lang w:val="en-US" w:eastAsia="zh-CN"/>
        </w:rPr>
        <w:t>250</w:t>
      </w:r>
      <w:r>
        <w:rPr>
          <w:rFonts w:hint="eastAsia" w:ascii="宋体" w:hAnsi="宋体" w:eastAsia="宋体" w:cs="宋体"/>
          <w:sz w:val="24"/>
          <w:szCs w:val="24"/>
        </w:rPr>
        <w:t>kW时的效率保证值不应低于90%。</w:t>
      </w:r>
    </w:p>
    <w:p w14:paraId="75F9DA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2.6.5.4 在全部运行范围内，水轮机最高效率保证值不应低于91%。</w:t>
      </w:r>
    </w:p>
    <w:p w14:paraId="399520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2.6.6 性能曲线</w:t>
      </w:r>
    </w:p>
    <w:p w14:paraId="0721DD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2.6.6.1 应随投标文件提交模型水轮机综合特性曲线和原型水轮机运转特性曲线。</w:t>
      </w:r>
    </w:p>
    <w:p w14:paraId="010C489B">
      <w:pPr>
        <w:spacing w:line="360" w:lineRule="auto"/>
        <w:ind w:firstLine="480" w:firstLineChars="200"/>
        <w:rPr>
          <w:rFonts w:hint="eastAsia" w:ascii="宋体" w:hAnsi="宋体" w:eastAsia="宋体" w:cs="宋体"/>
          <w:sz w:val="24"/>
          <w:szCs w:val="24"/>
        </w:rPr>
      </w:pPr>
      <w:bookmarkStart w:id="223" w:name="_Toc93994361"/>
      <w:bookmarkEnd w:id="223"/>
      <w:r>
        <w:rPr>
          <w:rFonts w:hint="eastAsia" w:ascii="宋体" w:hAnsi="宋体" w:eastAsia="宋体" w:cs="宋体"/>
          <w:sz w:val="24"/>
          <w:szCs w:val="24"/>
        </w:rPr>
        <w:t>2.6.6.2 模型水轮机综合特性曲线以单位转速、单位流量为坐标，曲线应包括等效率线、等导叶开度线、等空化系数线，尾水管、蜗壳进口压力脉动时域峰峰值等值曲线，特殊压力脉动区（如果有）。</w:t>
      </w:r>
    </w:p>
    <w:p w14:paraId="4E276198">
      <w:pPr>
        <w:spacing w:line="360" w:lineRule="auto"/>
        <w:ind w:firstLine="480" w:firstLineChars="200"/>
        <w:rPr>
          <w:rFonts w:hint="eastAsia" w:ascii="宋体" w:hAnsi="宋体" w:eastAsia="宋体" w:cs="宋体"/>
          <w:sz w:val="24"/>
          <w:szCs w:val="24"/>
        </w:rPr>
      </w:pPr>
      <w:bookmarkStart w:id="224" w:name="_Toc93994362"/>
      <w:bookmarkEnd w:id="224"/>
      <w:r>
        <w:rPr>
          <w:rFonts w:hint="eastAsia" w:ascii="宋体" w:hAnsi="宋体" w:eastAsia="宋体" w:cs="宋体"/>
          <w:sz w:val="24"/>
          <w:szCs w:val="24"/>
        </w:rPr>
        <w:t>2.6.6.3 提供全部运行水头范围、以水轮机水头和水轮机功率为坐标的原型水轮机运转特性曲线，曲线应标明等效率线、等导叶开度线、等吸出高度线、尾水管压力脉动等值线、叶片正压面和负压面空化起始线、尾水管压力脉动范围、水轮机运行范围及承包人保证的稳定运行范围等。</w:t>
      </w:r>
    </w:p>
    <w:p w14:paraId="6F7C5116">
      <w:pPr>
        <w:spacing w:line="360" w:lineRule="auto"/>
        <w:ind w:firstLine="480" w:firstLineChars="200"/>
        <w:rPr>
          <w:rFonts w:hint="eastAsia" w:ascii="宋体" w:hAnsi="宋体" w:eastAsia="宋体" w:cs="宋体"/>
          <w:sz w:val="24"/>
          <w:szCs w:val="24"/>
        </w:rPr>
      </w:pPr>
      <w:bookmarkStart w:id="225" w:name="_Toc93994363"/>
      <w:bookmarkEnd w:id="225"/>
      <w:r>
        <w:rPr>
          <w:rFonts w:hint="eastAsia" w:ascii="宋体" w:hAnsi="宋体" w:eastAsia="宋体" w:cs="宋体"/>
          <w:sz w:val="24"/>
          <w:szCs w:val="24"/>
        </w:rPr>
        <w:t>2.6.6.4 提供以单位转速、单位流量为坐标的飞逸特性曲线（曲线的单位转速和单位流量起始值均应为零），并注明导叶开度。</w:t>
      </w:r>
    </w:p>
    <w:p w14:paraId="34F4D8AF">
      <w:pPr>
        <w:spacing w:line="360" w:lineRule="auto"/>
        <w:ind w:firstLine="480" w:firstLineChars="200"/>
        <w:rPr>
          <w:rFonts w:hint="eastAsia" w:ascii="宋体" w:hAnsi="宋体" w:eastAsia="宋体" w:cs="宋体"/>
          <w:sz w:val="24"/>
          <w:szCs w:val="24"/>
        </w:rPr>
      </w:pPr>
      <w:bookmarkStart w:id="226" w:name="_Toc93994365"/>
      <w:bookmarkEnd w:id="226"/>
      <w:r>
        <w:rPr>
          <w:rFonts w:hint="eastAsia" w:ascii="宋体" w:hAnsi="宋体" w:eastAsia="宋体" w:cs="宋体"/>
          <w:sz w:val="24"/>
          <w:szCs w:val="24"/>
        </w:rPr>
        <w:t>2.6.7 轴向水推力</w:t>
      </w:r>
    </w:p>
    <w:p w14:paraId="6D50F90F">
      <w:pPr>
        <w:spacing w:line="360" w:lineRule="auto"/>
        <w:ind w:firstLine="480" w:firstLineChars="200"/>
        <w:rPr>
          <w:rFonts w:hint="eastAsia" w:ascii="宋体" w:hAnsi="宋体" w:eastAsia="宋体" w:cs="宋体"/>
          <w:sz w:val="24"/>
          <w:szCs w:val="24"/>
        </w:rPr>
      </w:pPr>
      <w:bookmarkStart w:id="227" w:name="_Toc93994366"/>
      <w:bookmarkEnd w:id="227"/>
      <w:r>
        <w:rPr>
          <w:rFonts w:hint="eastAsia" w:ascii="宋体" w:hAnsi="宋体" w:eastAsia="宋体" w:cs="宋体"/>
          <w:sz w:val="24"/>
          <w:szCs w:val="24"/>
        </w:rPr>
        <w:t>2.6.7.1 在最不利运行工况下的水轮机最大轴向水推力应尽可能小。</w:t>
      </w:r>
    </w:p>
    <w:p w14:paraId="61CCEF0D">
      <w:pPr>
        <w:spacing w:line="360" w:lineRule="auto"/>
        <w:ind w:firstLine="480" w:firstLineChars="200"/>
        <w:rPr>
          <w:rFonts w:hint="eastAsia" w:ascii="宋体" w:hAnsi="宋体" w:eastAsia="宋体" w:cs="宋体"/>
          <w:sz w:val="24"/>
          <w:szCs w:val="24"/>
        </w:rPr>
      </w:pPr>
      <w:bookmarkStart w:id="228" w:name="_Toc93994367"/>
      <w:bookmarkEnd w:id="228"/>
      <w:r>
        <w:rPr>
          <w:rFonts w:hint="eastAsia" w:ascii="宋体" w:hAnsi="宋体" w:eastAsia="宋体" w:cs="宋体"/>
          <w:sz w:val="24"/>
          <w:szCs w:val="24"/>
        </w:rPr>
        <w:t>2.6.7.2 在最不利运行条件包括紧急停机等过渡工况下，最大反向水推力不得超过机组转动部分重量，不允许产生抬机现象。</w:t>
      </w:r>
    </w:p>
    <w:p w14:paraId="0FDA4B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2.6.8 水力稳定性</w:t>
      </w:r>
    </w:p>
    <w:p w14:paraId="32F689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2.6.8.1 尾水管管壁压力脉动值（双振幅△H），在额定功率运行时△H/H不大于3%；在部分负荷运行时△H/H最大不超过7%（H为运行水头）。</w:t>
      </w:r>
    </w:p>
    <w:p w14:paraId="1F618B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2.6.8.2 </w:t>
      </w:r>
      <w:bookmarkStart w:id="229" w:name="_Toc93994382"/>
      <w:bookmarkEnd w:id="229"/>
      <w:r>
        <w:rPr>
          <w:rFonts w:hint="eastAsia" w:ascii="宋体" w:hAnsi="宋体" w:eastAsia="宋体" w:cs="宋体"/>
          <w:sz w:val="24"/>
          <w:szCs w:val="24"/>
        </w:rPr>
        <w:t>水轮机应能够在开停机、空载、甩负荷、飞逸等工况安全运行，在规定的水头和功率范围内，水轮机能安全稳定运行，没有共振或有害的振动。</w:t>
      </w:r>
    </w:p>
    <w:p w14:paraId="5CDAFBDE">
      <w:pPr>
        <w:spacing w:line="360" w:lineRule="auto"/>
        <w:ind w:firstLine="480" w:firstLineChars="200"/>
        <w:rPr>
          <w:rFonts w:hint="eastAsia" w:ascii="宋体" w:hAnsi="宋体" w:eastAsia="宋体" w:cs="宋体"/>
          <w:sz w:val="24"/>
          <w:szCs w:val="24"/>
        </w:rPr>
      </w:pPr>
      <w:bookmarkStart w:id="230" w:name="_Toc93994387"/>
      <w:bookmarkEnd w:id="230"/>
      <w:r>
        <w:rPr>
          <w:rFonts w:hint="eastAsia" w:ascii="宋体" w:hAnsi="宋体" w:eastAsia="宋体" w:cs="宋体"/>
          <w:sz w:val="24"/>
          <w:szCs w:val="24"/>
        </w:rPr>
        <w:t>2.6.9 振动和主轴摆度</w:t>
      </w:r>
    </w:p>
    <w:p w14:paraId="64C9D4B5">
      <w:pPr>
        <w:spacing w:line="360" w:lineRule="auto"/>
        <w:ind w:firstLine="480" w:firstLineChars="200"/>
        <w:rPr>
          <w:rFonts w:hint="eastAsia" w:ascii="宋体" w:hAnsi="宋体" w:eastAsia="宋体" w:cs="宋体"/>
          <w:sz w:val="24"/>
          <w:szCs w:val="24"/>
        </w:rPr>
      </w:pPr>
      <w:bookmarkStart w:id="231" w:name="_Toc93994391"/>
      <w:bookmarkEnd w:id="231"/>
      <w:r>
        <w:rPr>
          <w:rFonts w:hint="eastAsia" w:ascii="宋体" w:hAnsi="宋体" w:eastAsia="宋体" w:cs="宋体"/>
          <w:sz w:val="24"/>
          <w:szCs w:val="24"/>
        </w:rPr>
        <w:t>顶盖垂直振动值、水导轴承水平振动值和水导摆度应符合GB8564《水轮发电机组安装技术规范》中的有关规定。振动的测量方法和测点位置按GB/T17189《水力机械振动和脉动现场测试规程》执行。</w:t>
      </w:r>
    </w:p>
    <w:p w14:paraId="58E426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2.6.10 飞逸转速</w:t>
      </w:r>
    </w:p>
    <w:p w14:paraId="4FFC2704">
      <w:pPr>
        <w:spacing w:line="360" w:lineRule="auto"/>
        <w:ind w:firstLine="480" w:firstLineChars="200"/>
        <w:rPr>
          <w:rFonts w:hint="eastAsia" w:ascii="宋体" w:hAnsi="宋体" w:eastAsia="宋体" w:cs="宋体"/>
          <w:sz w:val="24"/>
          <w:szCs w:val="24"/>
        </w:rPr>
      </w:pPr>
      <w:bookmarkStart w:id="232" w:name="_Toc93994392"/>
      <w:bookmarkEnd w:id="232"/>
      <w:r>
        <w:rPr>
          <w:rFonts w:hint="eastAsia" w:ascii="宋体" w:hAnsi="宋体" w:eastAsia="宋体" w:cs="宋体"/>
          <w:sz w:val="24"/>
          <w:szCs w:val="24"/>
        </w:rPr>
        <w:t>在最大水头下，发电机无负荷，励磁不投入的情况下，原型水轮机的最高飞逸转速不应超过</w:t>
      </w:r>
      <w:r>
        <w:rPr>
          <w:rFonts w:hint="eastAsia" w:ascii="宋体" w:hAnsi="宋体" w:eastAsia="宋体" w:cs="宋体"/>
          <w:sz w:val="24"/>
          <w:szCs w:val="24"/>
          <w:lang w:eastAsia="zh-CN"/>
        </w:rPr>
        <w:t>1650</w:t>
      </w:r>
      <w:r>
        <w:rPr>
          <w:rFonts w:hint="eastAsia" w:ascii="宋体" w:hAnsi="宋体" w:eastAsia="宋体" w:cs="宋体"/>
          <w:sz w:val="24"/>
          <w:szCs w:val="24"/>
        </w:rPr>
        <w:t>r/min，水轮机所有部件能安全承受在最高飞逸转速下连续运行至少5min所产生的应力、温度、变形、振动和磨损。</w:t>
      </w:r>
    </w:p>
    <w:p w14:paraId="4CA22973">
      <w:pPr>
        <w:spacing w:line="360" w:lineRule="auto"/>
        <w:ind w:firstLine="480" w:firstLineChars="200"/>
        <w:rPr>
          <w:rFonts w:hint="eastAsia" w:ascii="宋体" w:hAnsi="宋体" w:eastAsia="宋体" w:cs="宋体"/>
          <w:sz w:val="24"/>
          <w:szCs w:val="24"/>
        </w:rPr>
      </w:pPr>
      <w:bookmarkStart w:id="233" w:name="_Toc93994393"/>
      <w:bookmarkEnd w:id="233"/>
      <w:r>
        <w:rPr>
          <w:rFonts w:hint="eastAsia" w:ascii="宋体" w:hAnsi="宋体" w:eastAsia="宋体" w:cs="宋体"/>
          <w:sz w:val="24"/>
          <w:szCs w:val="24"/>
        </w:rPr>
        <w:t>2.6.11 噪音</w:t>
      </w:r>
    </w:p>
    <w:p w14:paraId="0DC6DE64">
      <w:pPr>
        <w:spacing w:line="360" w:lineRule="auto"/>
        <w:ind w:firstLine="480" w:firstLineChars="200"/>
        <w:rPr>
          <w:rFonts w:hint="eastAsia" w:ascii="宋体" w:hAnsi="宋体" w:eastAsia="宋体" w:cs="宋体"/>
          <w:sz w:val="24"/>
          <w:szCs w:val="24"/>
        </w:rPr>
      </w:pPr>
      <w:bookmarkStart w:id="234" w:name="_Toc93994394"/>
      <w:bookmarkEnd w:id="234"/>
      <w:r>
        <w:rPr>
          <w:rFonts w:hint="eastAsia" w:ascii="宋体" w:hAnsi="宋体" w:eastAsia="宋体" w:cs="宋体"/>
          <w:sz w:val="24"/>
          <w:szCs w:val="24"/>
        </w:rPr>
        <w:t>在各种工况下，水轮机顶盖上方1.0m处测得的噪声不超过90dB（A）。</w:t>
      </w:r>
      <w:bookmarkStart w:id="235" w:name="_Toc93994395"/>
      <w:bookmarkEnd w:id="235"/>
      <w:r>
        <w:rPr>
          <w:rFonts w:hint="eastAsia" w:ascii="宋体" w:hAnsi="宋体" w:eastAsia="宋体" w:cs="宋体"/>
          <w:sz w:val="24"/>
          <w:szCs w:val="24"/>
        </w:rPr>
        <w:t>距尾水管和蜗壳进人门1m处的噪声不大于95dB（A）。</w:t>
      </w:r>
    </w:p>
    <w:p w14:paraId="0C01462F">
      <w:pPr>
        <w:spacing w:line="360" w:lineRule="auto"/>
        <w:ind w:firstLine="480" w:firstLineChars="200"/>
        <w:rPr>
          <w:rFonts w:hint="eastAsia" w:ascii="宋体" w:hAnsi="宋体" w:eastAsia="宋体" w:cs="宋体"/>
          <w:sz w:val="24"/>
          <w:szCs w:val="24"/>
        </w:rPr>
      </w:pPr>
      <w:bookmarkStart w:id="236" w:name="_Toc93994396"/>
      <w:bookmarkEnd w:id="236"/>
      <w:r>
        <w:rPr>
          <w:rFonts w:hint="eastAsia" w:ascii="宋体" w:hAnsi="宋体" w:eastAsia="宋体" w:cs="宋体"/>
          <w:sz w:val="24"/>
          <w:szCs w:val="24"/>
        </w:rPr>
        <w:t>2.6.12 空蚀磨损保证</w:t>
      </w:r>
    </w:p>
    <w:p w14:paraId="2343A6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2.6.12.1 水轮机空蚀保证是指在规定的水质、泥沙特性条件下，水头及尾水位在规定范围内，自投入商业运行之日算起，运行8000h内，其中出力小于45%额定功率运行时间不大于800h，允许超负荷运行时间不大于100h的情况下：</w:t>
      </w:r>
    </w:p>
    <w:p w14:paraId="69B392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1）转轮失重量不超过0.8D</w:t>
      </w:r>
      <w:r>
        <w:rPr>
          <w:rFonts w:hint="eastAsia" w:ascii="宋体" w:hAnsi="宋体" w:eastAsia="宋体" w:cs="宋体"/>
          <w:sz w:val="24"/>
          <w:szCs w:val="24"/>
          <w:vertAlign w:val="subscript"/>
        </w:rPr>
        <w:t>1</w:t>
      </w:r>
      <w:r>
        <w:rPr>
          <w:rFonts w:hint="eastAsia" w:ascii="宋体" w:hAnsi="宋体" w:eastAsia="宋体" w:cs="宋体"/>
          <w:sz w:val="24"/>
          <w:szCs w:val="24"/>
          <w:vertAlign w:val="superscript"/>
        </w:rPr>
        <w:t>2</w:t>
      </w:r>
      <w:r>
        <w:rPr>
          <w:rFonts w:hint="eastAsia" w:ascii="宋体" w:hAnsi="宋体" w:eastAsia="宋体" w:cs="宋体"/>
          <w:sz w:val="24"/>
          <w:szCs w:val="24"/>
        </w:rPr>
        <w:t xml:space="preserve"> kg。</w:t>
      </w:r>
    </w:p>
    <w:p w14:paraId="5B834A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2）叶片任何点允许的剥落深度不超过3D</w:t>
      </w:r>
      <w:r>
        <w:rPr>
          <w:rFonts w:hint="eastAsia" w:ascii="宋体" w:hAnsi="宋体" w:eastAsia="宋体" w:cs="宋体"/>
          <w:sz w:val="24"/>
          <w:szCs w:val="24"/>
          <w:vertAlign w:val="subscript"/>
        </w:rPr>
        <w:t>1</w:t>
      </w:r>
      <w:r>
        <w:rPr>
          <w:rFonts w:hint="eastAsia" w:ascii="宋体" w:hAnsi="宋体" w:eastAsia="宋体" w:cs="宋体"/>
          <w:sz w:val="24"/>
          <w:szCs w:val="24"/>
          <w:vertAlign w:val="superscript"/>
        </w:rPr>
        <w:t>2</w:t>
      </w:r>
      <w:r>
        <w:rPr>
          <w:rFonts w:hint="eastAsia" w:ascii="宋体" w:hAnsi="宋体" w:eastAsia="宋体" w:cs="宋体"/>
          <w:sz w:val="24"/>
          <w:szCs w:val="24"/>
        </w:rPr>
        <w:t>/3mm，面积不超过300D</w:t>
      </w:r>
      <w:r>
        <w:rPr>
          <w:rFonts w:hint="eastAsia" w:ascii="宋体" w:hAnsi="宋体" w:eastAsia="宋体" w:cs="宋体"/>
          <w:sz w:val="24"/>
          <w:szCs w:val="24"/>
          <w:vertAlign w:val="subscript"/>
        </w:rPr>
        <w:t>1</w:t>
      </w:r>
      <w:r>
        <w:rPr>
          <w:rFonts w:hint="eastAsia" w:ascii="宋体" w:hAnsi="宋体" w:eastAsia="宋体" w:cs="宋体"/>
          <w:sz w:val="24"/>
          <w:szCs w:val="24"/>
          <w:vertAlign w:val="superscript"/>
        </w:rPr>
        <w:t>5</w:t>
      </w:r>
      <w:r>
        <w:rPr>
          <w:rFonts w:hint="eastAsia" w:ascii="宋体" w:hAnsi="宋体" w:eastAsia="宋体" w:cs="宋体"/>
          <w:sz w:val="24"/>
          <w:szCs w:val="24"/>
        </w:rPr>
        <w:t>/3cm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0DD3DD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3）导水机构与尾水管里衬的失重量之和不超过0.266D</w:t>
      </w:r>
      <w:r>
        <w:rPr>
          <w:rFonts w:hint="eastAsia" w:ascii="宋体" w:hAnsi="宋体" w:eastAsia="宋体" w:cs="宋体"/>
          <w:sz w:val="24"/>
          <w:szCs w:val="24"/>
          <w:vertAlign w:val="subscript"/>
        </w:rPr>
        <w:t>1</w:t>
      </w:r>
      <w:r>
        <w:rPr>
          <w:rFonts w:hint="eastAsia" w:ascii="宋体" w:hAnsi="宋体" w:eastAsia="宋体" w:cs="宋体"/>
          <w:sz w:val="24"/>
          <w:szCs w:val="24"/>
          <w:vertAlign w:val="superscript"/>
        </w:rPr>
        <w:t>2</w:t>
      </w:r>
      <w:r>
        <w:rPr>
          <w:rFonts w:hint="eastAsia" w:ascii="宋体" w:hAnsi="宋体" w:eastAsia="宋体" w:cs="宋体"/>
          <w:sz w:val="24"/>
          <w:szCs w:val="24"/>
        </w:rPr>
        <w:t>kg。</w:t>
      </w:r>
    </w:p>
    <w:p w14:paraId="607CD6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2.6.13.2 如空蚀损坏超过保证值，承包人应在保证期内负责修复，补焊后表面应打磨光滑，符合样板型线。如因叶片型线不良或部件质量不好造成过量空蚀损坏，承包人应负责改善，水轮机经修复并初步验收合格后，应重新开始空蚀保证期。由于上述原因引起的费用，由承包人承担。</w:t>
      </w:r>
    </w:p>
    <w:p w14:paraId="2BBB61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2.6.13.3 空蚀损坏的测量和计算按《水轮机、蓄能泵和水泵水轮机空蚀评定第一部分：反击式水轮机的空蚀评定》GB15469.1规定的方法执行。</w:t>
      </w:r>
    </w:p>
    <w:p w14:paraId="6C12C319">
      <w:pPr>
        <w:spacing w:line="360" w:lineRule="auto"/>
        <w:ind w:firstLine="480" w:firstLineChars="200"/>
        <w:rPr>
          <w:rFonts w:hint="eastAsia" w:ascii="宋体" w:hAnsi="宋体" w:eastAsia="宋体" w:cs="宋体"/>
          <w:sz w:val="24"/>
          <w:szCs w:val="24"/>
        </w:rPr>
      </w:pPr>
      <w:bookmarkStart w:id="237" w:name="_Toc93994416"/>
      <w:bookmarkEnd w:id="237"/>
      <w:r>
        <w:rPr>
          <w:rFonts w:hint="eastAsia" w:ascii="宋体" w:hAnsi="宋体" w:eastAsia="宋体" w:cs="宋体"/>
          <w:sz w:val="24"/>
          <w:szCs w:val="24"/>
        </w:rPr>
        <w:t>2.6.14 裂纹保证</w:t>
      </w:r>
    </w:p>
    <w:p w14:paraId="783EAA0E">
      <w:pPr>
        <w:spacing w:line="360" w:lineRule="auto"/>
        <w:ind w:firstLine="480" w:firstLineChars="200"/>
        <w:rPr>
          <w:rFonts w:hint="eastAsia" w:ascii="宋体" w:hAnsi="宋体" w:eastAsia="宋体" w:cs="宋体"/>
          <w:sz w:val="24"/>
          <w:szCs w:val="24"/>
        </w:rPr>
      </w:pPr>
      <w:bookmarkStart w:id="238" w:name="_Toc93994417"/>
      <w:bookmarkEnd w:id="238"/>
      <w:r>
        <w:rPr>
          <w:rFonts w:hint="eastAsia" w:ascii="宋体" w:hAnsi="宋体" w:eastAsia="宋体" w:cs="宋体"/>
          <w:sz w:val="24"/>
          <w:szCs w:val="24"/>
        </w:rPr>
        <w:t>2.6.14.1 在规定的质量保证期内，承包人应保证转轮叶片不产生裂纹、断裂或有害变形。</w:t>
      </w:r>
    </w:p>
    <w:p w14:paraId="36C708E5">
      <w:pPr>
        <w:spacing w:line="360" w:lineRule="auto"/>
        <w:ind w:firstLine="480" w:firstLineChars="200"/>
        <w:rPr>
          <w:rFonts w:hint="eastAsia" w:ascii="宋体" w:hAnsi="宋体" w:eastAsia="宋体" w:cs="宋体"/>
          <w:sz w:val="24"/>
          <w:szCs w:val="24"/>
        </w:rPr>
      </w:pPr>
      <w:bookmarkStart w:id="239" w:name="_Toc93994418"/>
      <w:bookmarkEnd w:id="239"/>
      <w:r>
        <w:rPr>
          <w:rFonts w:hint="eastAsia" w:ascii="宋体" w:hAnsi="宋体" w:eastAsia="宋体" w:cs="宋体"/>
          <w:sz w:val="24"/>
          <w:szCs w:val="24"/>
        </w:rPr>
        <w:t>2.6.14.2 裂纹采用超声波和/或着色探伤检查，验收标准与转轮制造所用的标准相同。保证期内产生的裂纹，承包人应免费修复，并重新开始保证期。如果同一转轮叶片上出现需要修复的裂纹，且经承包人三次修复无效，则发包人有权要求承包人免费提供新转轮。</w:t>
      </w:r>
    </w:p>
    <w:p w14:paraId="520CFE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2.6.15 轴承温升</w:t>
      </w:r>
    </w:p>
    <w:p w14:paraId="51BBB9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在规定运行范围内连续运转的条件下，冷却水进水温度不超过28℃时，水轮机导轴承的轴瓦温度不超过65℃，油温不超过60℃。</w:t>
      </w:r>
    </w:p>
    <w:p w14:paraId="4ABD44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2.6.16 可靠性指标</w:t>
      </w:r>
    </w:p>
    <w:p w14:paraId="6B84BD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在规定的运行工况下，水轮机可靠性指标指定如下：</w:t>
      </w:r>
    </w:p>
    <w:p w14:paraId="2E7338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1）水轮机大修间隔期不小于5年；</w:t>
      </w:r>
    </w:p>
    <w:p w14:paraId="3D30C8F1">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2）水轮机使用寿命不小于40年。</w:t>
      </w:r>
    </w:p>
    <w:p w14:paraId="4950F03C">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bookmarkStart w:id="240" w:name="_Toc137136174"/>
      <w:bookmarkEnd w:id="240"/>
      <w:bookmarkStart w:id="241" w:name="_Toc137135235"/>
      <w:r>
        <w:rPr>
          <w:rFonts w:hint="eastAsia" w:ascii="宋体" w:hAnsi="宋体" w:eastAsia="宋体" w:cs="宋体"/>
          <w:bCs/>
          <w:sz w:val="28"/>
          <w:szCs w:val="28"/>
        </w:rPr>
        <w:t>2.</w:t>
      </w:r>
      <w:bookmarkEnd w:id="241"/>
      <w:r>
        <w:rPr>
          <w:rFonts w:hint="eastAsia" w:ascii="宋体" w:hAnsi="宋体" w:eastAsia="宋体" w:cs="宋体"/>
          <w:bCs/>
          <w:sz w:val="28"/>
          <w:szCs w:val="28"/>
        </w:rPr>
        <w:t>7 主要部件技术要求</w:t>
      </w:r>
    </w:p>
    <w:p w14:paraId="34B1216C">
      <w:pPr>
        <w:spacing w:line="360" w:lineRule="auto"/>
        <w:rPr>
          <w:rFonts w:hint="eastAsia" w:ascii="宋体" w:hAnsi="宋体" w:eastAsia="宋体" w:cs="宋体"/>
          <w:b/>
          <w:bCs/>
          <w:sz w:val="24"/>
          <w:szCs w:val="24"/>
        </w:rPr>
      </w:pPr>
      <w:bookmarkStart w:id="242" w:name="_Toc137136175"/>
      <w:bookmarkEnd w:id="242"/>
      <w:bookmarkStart w:id="243" w:name="_Toc137135236"/>
      <w:r>
        <w:rPr>
          <w:rFonts w:hint="eastAsia" w:ascii="宋体" w:hAnsi="宋体" w:eastAsia="宋体" w:cs="宋体"/>
          <w:b/>
          <w:bCs/>
          <w:sz w:val="24"/>
          <w:szCs w:val="24"/>
        </w:rPr>
        <w:t xml:space="preserve">2.7.1 </w:t>
      </w:r>
      <w:bookmarkEnd w:id="243"/>
      <w:r>
        <w:rPr>
          <w:rFonts w:hint="eastAsia" w:ascii="宋体" w:hAnsi="宋体" w:eastAsia="宋体" w:cs="宋体"/>
          <w:b/>
          <w:bCs/>
          <w:sz w:val="24"/>
          <w:szCs w:val="24"/>
        </w:rPr>
        <w:t>转轮</w:t>
      </w:r>
    </w:p>
    <w:p w14:paraId="3043E4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2.7.1.1 转轮应采用抗空蚀、抗磨蚀性能和焊接性能良好的镍铬不锈钢材料，转轮上冠、下环材质选用ZG00Cr16Ni5Mo或ZG06Cr13Ni4Mo，叶片材质选用ZG00Cr16Ni5Mo或ZG06Cr13Ni4Mo （或经电站运行证明抗空蚀性能更好的不锈钢材料）。</w:t>
      </w:r>
    </w:p>
    <w:p w14:paraId="5EC036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2.7.1.2 转轮采用铸焊结构，并应具有足够的强度和刚度，能够承受任何可能产生的作用在转轮上的最大水压力、离心力和压力脉动，退役前在周期性变动负荷作用下不发生裂纹、断裂或有害变形。</w:t>
      </w:r>
    </w:p>
    <w:p w14:paraId="219CAB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2.7.1.3 转轮叶片采用采用AOD精炼铸造或模压成型，表面宜采用五轴数控加工。</w:t>
      </w:r>
    </w:p>
    <w:p w14:paraId="568E10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2.7.1.4 转轮铸件应按CCH-70-3《水力机械铸钢件检查规程》的要求进行无损检测，并符合质量要求。</w:t>
      </w:r>
    </w:p>
    <w:p w14:paraId="38BFB0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2.7.1.5 原型水轮机转轮的过流部分应保证与模型水轮机转轮几何相似，转轮表面波浪度、粗造度和叶片几何型线、流道尺寸应符合GB/T10969《水轮机、蓄能泵和水泵水轮机通流部件技术条件》的要求。过流表面应光滑，呈流线型，无裂纹或凸凹不平等缺陷。</w:t>
      </w:r>
    </w:p>
    <w:p w14:paraId="1FE6D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2.7.1.6 承包人应计算转轮叶片的自振频率，避免机组与厂房结构产生共振。</w:t>
      </w:r>
    </w:p>
    <w:p w14:paraId="6D3F94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2.7.1.7 转轮和主轴采用螺栓连接，可按摩擦传递力矩设计（或采用其它力矩传递方式）。承包人应提供主轴法兰连接螺栓防护罩，并应提供拧紧螺栓的工具和检测螺栓应力的测量仪表。</w:t>
      </w:r>
    </w:p>
    <w:p w14:paraId="1B1648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2.7.1.8 承包人应提供至少进、出口各3个断面上的转轮叶片型线检查样板，以供检查和修复时使用。</w:t>
      </w:r>
    </w:p>
    <w:p w14:paraId="71672B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2.7.1.9 在转轮上冠设置适当孔径的泄压孔或采用别的泄压措施以减少对顶盖的压力。</w:t>
      </w:r>
    </w:p>
    <w:p w14:paraId="38AE53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2.7.1.10 转轮上冠和下环应设置止漏环，以保证间隙漏水量尽可能小，止漏环间隙应均匀，且应不超过模型间隙的比例尺寸，止漏环应具有好的抗腐蚀和抗磨蚀性能，其硬度值应比相对应的顶盖和底环上相匹配的固定止漏环硬度高HB30，且不低于HB320。</w:t>
      </w:r>
    </w:p>
    <w:p w14:paraId="2346A0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2.7.1.11 转轮上冠、叶片和下环组焊完成后，应进行应力释放热处理，整个转轮进行100%磁粉或着色检测，所有焊缝进行无损检测。</w:t>
      </w:r>
    </w:p>
    <w:p w14:paraId="48DABA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2.7.1.12 转轮加工完成后，应同上、下止漏环一起在工厂车间进行静平衡试验。配重用塞孔必须设在不靠过流表面处。</w:t>
      </w:r>
    </w:p>
    <w:p w14:paraId="327846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2.7.1.13 转轮在本电站水流泥沙含量情况下，应能满足2.7.13空蚀磨损保证的要求，否则应考虑采用其他适当的保证措施，包括在过流表面覆盖抗磨涂层。</w:t>
      </w:r>
    </w:p>
    <w:p w14:paraId="79B8D6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2.7.1.14 当水轮机主轴与转轮采用摩擦传动时，转轮应能互换。</w:t>
      </w:r>
    </w:p>
    <w:p w14:paraId="1B0A4DA8">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2.7.</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导水机构</w:t>
      </w:r>
    </w:p>
    <w:p w14:paraId="2D659B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2.7.2</w:t>
      </w:r>
      <w:r>
        <w:rPr>
          <w:rFonts w:hint="eastAsia" w:ascii="宋体" w:hAnsi="宋体" w:eastAsia="宋体" w:cs="宋体"/>
          <w:sz w:val="24"/>
          <w:szCs w:val="24"/>
        </w:rPr>
        <w:t>.1  导叶宜采用抗空蚀性能良好的材料制造。过流表面型线、波浪度和粗糙度应符合GB/T10969 的规定。</w:t>
      </w:r>
    </w:p>
    <w:p w14:paraId="01AF37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2.7.2</w:t>
      </w:r>
      <w:r>
        <w:rPr>
          <w:rFonts w:hint="eastAsia" w:ascii="宋体" w:hAnsi="宋体" w:eastAsia="宋体" w:cs="宋体"/>
          <w:sz w:val="24"/>
          <w:szCs w:val="24"/>
        </w:rPr>
        <w:t>.2  在顶盖和底环对应导叶活动的范围的过流面宜设置不锈钢抗磨板或其他的抗磨蚀材料进行防护。</w:t>
      </w:r>
    </w:p>
    <w:p w14:paraId="14CF80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2.7.2</w:t>
      </w:r>
      <w:r>
        <w:rPr>
          <w:rFonts w:hint="eastAsia" w:ascii="宋体" w:hAnsi="宋体" w:eastAsia="宋体" w:cs="宋体"/>
          <w:sz w:val="24"/>
          <w:szCs w:val="24"/>
        </w:rPr>
        <w:t>.3  混流式水轮机，在顶盖和底环与转轮止漏环对应处宜装不锈钢固定止漏环。</w:t>
      </w:r>
    </w:p>
    <w:p w14:paraId="1156C7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2.7.2</w:t>
      </w:r>
      <w:r>
        <w:rPr>
          <w:rFonts w:hint="eastAsia" w:ascii="宋体" w:hAnsi="宋体" w:eastAsia="宋体" w:cs="宋体"/>
          <w:sz w:val="24"/>
          <w:szCs w:val="24"/>
        </w:rPr>
        <w:t>.4  导水机构中所有轴套应采用自润滑材料制造。底环轴套孔应与顶盖上的轴套孔同心。</w:t>
      </w:r>
    </w:p>
    <w:p w14:paraId="3765CB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2.7.2</w:t>
      </w:r>
      <w:r>
        <w:rPr>
          <w:rFonts w:hint="eastAsia" w:ascii="宋体" w:hAnsi="宋体" w:eastAsia="宋体" w:cs="宋体"/>
          <w:sz w:val="24"/>
          <w:szCs w:val="24"/>
        </w:rPr>
        <w:t>.5  导水机构应在制造厂内进行预装，并做控制环行程与导叶开度关系的试验。导水叶全关时，立面间隙和端面间隙应达到 GB/T8564的要求。</w:t>
      </w:r>
    </w:p>
    <w:p w14:paraId="2D777B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2.7.2</w:t>
      </w:r>
      <w:r>
        <w:rPr>
          <w:rFonts w:hint="eastAsia" w:ascii="宋体" w:hAnsi="宋体" w:eastAsia="宋体" w:cs="宋体"/>
          <w:sz w:val="24"/>
          <w:szCs w:val="24"/>
        </w:rPr>
        <w:t>.6  应装设导叶限位装置。</w:t>
      </w:r>
    </w:p>
    <w:p w14:paraId="33308004">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 xml:space="preserve">2.7.3 </w:t>
      </w:r>
      <w:r>
        <w:rPr>
          <w:rFonts w:hint="eastAsia" w:ascii="宋体" w:hAnsi="宋体" w:eastAsia="宋体" w:cs="宋体"/>
          <w:b/>
          <w:bCs/>
          <w:sz w:val="24"/>
          <w:szCs w:val="24"/>
          <w:lang w:val="en-US" w:eastAsia="zh-CN"/>
        </w:rPr>
        <w:t>水导轴承</w:t>
      </w:r>
    </w:p>
    <w:p w14:paraId="6367B38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2.7.3.1  轴承结构应安全可靠和便于检修，机组从最大飞逸转速惯性滑行直到停机的全部过程中，应安全承受。</w:t>
      </w:r>
    </w:p>
    <w:p w14:paraId="7AF5B03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2.7.3.2  稀油润滑轴承宜采用自循环方式，运行时应保证不漏油，不甩油。对于高速机组，轴承的油槽应采取防甩油和防油雾密封措施。</w:t>
      </w:r>
    </w:p>
    <w:p w14:paraId="419CEE38">
      <w:pPr>
        <w:spacing w:line="360" w:lineRule="auto"/>
        <w:rPr>
          <w:rFonts w:hint="eastAsia" w:ascii="宋体" w:hAnsi="宋体" w:eastAsia="宋体" w:cs="宋体"/>
          <w:b/>
          <w:bCs/>
          <w:sz w:val="24"/>
          <w:szCs w:val="24"/>
        </w:rPr>
      </w:pPr>
      <w:bookmarkStart w:id="244" w:name="_Toc137135237"/>
      <w:bookmarkEnd w:id="244"/>
      <w:bookmarkStart w:id="245" w:name="_Toc137135238"/>
      <w:bookmarkEnd w:id="245"/>
      <w:bookmarkStart w:id="246" w:name="_Toc137136177"/>
      <w:r>
        <w:rPr>
          <w:rFonts w:hint="eastAsia" w:ascii="宋体" w:hAnsi="宋体" w:eastAsia="宋体" w:cs="宋体"/>
          <w:b/>
          <w:bCs/>
          <w:sz w:val="24"/>
          <w:szCs w:val="24"/>
        </w:rPr>
        <w:t>2.7.</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 </w:t>
      </w:r>
      <w:bookmarkEnd w:id="246"/>
      <w:r>
        <w:rPr>
          <w:rFonts w:hint="eastAsia" w:ascii="宋体" w:hAnsi="宋体" w:eastAsia="宋体" w:cs="宋体"/>
          <w:b/>
          <w:bCs/>
          <w:sz w:val="24"/>
          <w:szCs w:val="24"/>
        </w:rPr>
        <w:t>主轴</w:t>
      </w:r>
    </w:p>
    <w:p w14:paraId="4D2A35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4</w:t>
      </w:r>
      <w:r>
        <w:rPr>
          <w:rFonts w:hint="eastAsia" w:ascii="宋体" w:hAnsi="宋体" w:eastAsia="宋体" w:cs="宋体"/>
          <w:sz w:val="24"/>
          <w:szCs w:val="24"/>
        </w:rPr>
        <w:t>.1 由于主轴密封改造和转轮更换，因此主轴需要返厂对进行处理，同时转轮螺栓孔需要与主轴同镗加工。</w:t>
      </w:r>
    </w:p>
    <w:p w14:paraId="106C99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4</w:t>
      </w:r>
      <w:r>
        <w:rPr>
          <w:rFonts w:hint="eastAsia" w:ascii="宋体" w:hAnsi="宋体" w:eastAsia="宋体" w:cs="宋体"/>
          <w:sz w:val="24"/>
          <w:szCs w:val="24"/>
        </w:rPr>
        <w:t>.2 主轴应全部精加工，与轴承配合表面应抛光。其粗糙度不超过Ra0.8μm。</w:t>
      </w:r>
    </w:p>
    <w:p w14:paraId="65DBC8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4</w:t>
      </w:r>
      <w:r>
        <w:rPr>
          <w:rFonts w:hint="eastAsia" w:ascii="宋体" w:hAnsi="宋体" w:eastAsia="宋体" w:cs="宋体"/>
          <w:sz w:val="24"/>
          <w:szCs w:val="24"/>
        </w:rPr>
        <w:t>.3 主轴出厂前应进行超声波无损探伤检测。</w:t>
      </w:r>
    </w:p>
    <w:p w14:paraId="4ADB7C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4</w:t>
      </w:r>
      <w:r>
        <w:rPr>
          <w:rFonts w:hint="eastAsia" w:ascii="宋体" w:hAnsi="宋体" w:eastAsia="宋体" w:cs="宋体"/>
          <w:sz w:val="24"/>
          <w:szCs w:val="24"/>
        </w:rPr>
        <w:t>.4 水轮机主轴与发电机主轴的连接采用磨擦传动（或其它方式）。</w:t>
      </w:r>
    </w:p>
    <w:p w14:paraId="28761D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4</w:t>
      </w:r>
      <w:r>
        <w:rPr>
          <w:rFonts w:hint="eastAsia" w:ascii="宋体" w:hAnsi="宋体" w:eastAsia="宋体" w:cs="宋体"/>
          <w:sz w:val="24"/>
          <w:szCs w:val="24"/>
        </w:rPr>
        <w:t>.5 当水轮机主轴与转轮、发电机主轴采用摩擦传动时，水轮机主轴应能互换。</w:t>
      </w:r>
    </w:p>
    <w:p w14:paraId="27D74D0D">
      <w:pPr>
        <w:spacing w:line="360" w:lineRule="auto"/>
        <w:rPr>
          <w:rFonts w:hint="eastAsia" w:ascii="宋体" w:hAnsi="宋体" w:eastAsia="宋体" w:cs="宋体"/>
          <w:b/>
          <w:bCs/>
          <w:sz w:val="24"/>
          <w:szCs w:val="24"/>
        </w:rPr>
      </w:pPr>
      <w:bookmarkStart w:id="247" w:name="_Toc137135239"/>
      <w:bookmarkEnd w:id="247"/>
      <w:bookmarkStart w:id="248" w:name="_Toc137136178"/>
      <w:r>
        <w:rPr>
          <w:rFonts w:hint="eastAsia" w:ascii="宋体" w:hAnsi="宋体" w:eastAsia="宋体" w:cs="宋体"/>
          <w:b/>
          <w:bCs/>
          <w:sz w:val="24"/>
          <w:szCs w:val="24"/>
        </w:rPr>
        <w:t>2.7.</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 </w:t>
      </w:r>
      <w:bookmarkEnd w:id="248"/>
      <w:r>
        <w:rPr>
          <w:rFonts w:hint="eastAsia" w:ascii="宋体" w:hAnsi="宋体" w:eastAsia="宋体" w:cs="宋体"/>
          <w:b/>
          <w:bCs/>
          <w:sz w:val="24"/>
          <w:szCs w:val="24"/>
        </w:rPr>
        <w:t>主轴密封</w:t>
      </w:r>
    </w:p>
    <w:p w14:paraId="0310EB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5</w:t>
      </w:r>
      <w:r>
        <w:rPr>
          <w:rFonts w:hint="eastAsia" w:ascii="宋体" w:hAnsi="宋体" w:eastAsia="宋体" w:cs="宋体"/>
          <w:sz w:val="24"/>
          <w:szCs w:val="24"/>
        </w:rPr>
        <w:t>.1 在电站运行过程中主轴密封的漏水量较大，本次改造结合电站的特点，主轴工作密封建议采用无接触泵板密封方式（是否具备条件，需后续拆机现场确定，暂定采用无接触泵板密封），检修密封建议采用“心”型空气围带的密封方式。</w:t>
      </w:r>
    </w:p>
    <w:p w14:paraId="33A5F3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5</w:t>
      </w:r>
      <w:r>
        <w:rPr>
          <w:rFonts w:hint="eastAsia" w:ascii="宋体" w:hAnsi="宋体" w:eastAsia="宋体" w:cs="宋体"/>
          <w:sz w:val="24"/>
          <w:szCs w:val="24"/>
        </w:rPr>
        <w:t>.2 工作密封应能保证密封面的良好配合和密封性能，并设水压自动平衡装置以使机组运行中能够自动调整。密封元件应有足够的强度和耐磨性能。工作密封至少能运行一个大修周期后方需更换。</w:t>
      </w:r>
    </w:p>
    <w:p w14:paraId="5B32CE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5</w:t>
      </w:r>
      <w:r>
        <w:rPr>
          <w:rFonts w:hint="eastAsia" w:ascii="宋体" w:hAnsi="宋体" w:eastAsia="宋体" w:cs="宋体"/>
          <w:sz w:val="24"/>
          <w:szCs w:val="24"/>
        </w:rPr>
        <w:t>.3 当工作密封采用径向方式时，在主轴上需有一个可更换的不锈钢衬套，避免主轴磨损。工作密封应是自补偿型的，在运行中，对密封元件的磨损可进行自动调整。</w:t>
      </w:r>
    </w:p>
    <w:p w14:paraId="47723E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5</w:t>
      </w:r>
      <w:r>
        <w:rPr>
          <w:rFonts w:hint="eastAsia" w:ascii="宋体" w:hAnsi="宋体" w:eastAsia="宋体" w:cs="宋体"/>
          <w:sz w:val="24"/>
          <w:szCs w:val="24"/>
        </w:rPr>
        <w:t>.4 工作密封应设计成可用水润滑与冷却，承包人应提供管道、阀门及主备用清洁水精密过滤器、仪表和附件。</w:t>
      </w:r>
    </w:p>
    <w:p w14:paraId="42BC5A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5</w:t>
      </w:r>
      <w:r>
        <w:rPr>
          <w:rFonts w:hint="eastAsia" w:ascii="宋体" w:hAnsi="宋体" w:eastAsia="宋体" w:cs="宋体"/>
          <w:sz w:val="24"/>
          <w:szCs w:val="24"/>
        </w:rPr>
        <w:t>.5 当转轮直径和转速合适时，主轴工作密封宜采用无接触泵板密封。</w:t>
      </w:r>
    </w:p>
    <w:p w14:paraId="14B33B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5</w:t>
      </w:r>
      <w:r>
        <w:rPr>
          <w:rFonts w:hint="eastAsia" w:ascii="宋体" w:hAnsi="宋体" w:eastAsia="宋体" w:cs="宋体"/>
          <w:sz w:val="24"/>
          <w:szCs w:val="24"/>
        </w:rPr>
        <w:t>.6 在工作密封下方应设置检修密封，检修密封采用压缩空气充气的实心心形橡胶密封或其它结构形式，应能在不吊出顶盖的条件下更换。由电站压缩空气系统供给压力为0.5～0.7MPa的压缩空气，承包人应提供相应的管道、仪表、阀门及其它附件等。并应设置一个带警报的联锁装置，以防止水轮机运转时带动静止密封。</w:t>
      </w:r>
    </w:p>
    <w:p w14:paraId="3FC5B5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5</w:t>
      </w:r>
      <w:r>
        <w:rPr>
          <w:rFonts w:hint="eastAsia" w:ascii="宋体" w:hAnsi="宋体" w:eastAsia="宋体" w:cs="宋体"/>
          <w:sz w:val="24"/>
          <w:szCs w:val="24"/>
        </w:rPr>
        <w:t>.7 所有紧固工作密封和检修密封用压板工具、螺栓、螺母等均采用不锈钢材料制成。</w:t>
      </w:r>
    </w:p>
    <w:p w14:paraId="0E11392D">
      <w:pPr>
        <w:pStyle w:val="4"/>
        <w:keepLines w:val="0"/>
        <w:autoSpaceDE w:val="0"/>
        <w:autoSpaceDN w:val="0"/>
        <w:adjustRightInd w:val="0"/>
        <w:spacing w:before="0" w:after="0"/>
        <w:jc w:val="left"/>
        <w:textAlignment w:val="baseline"/>
        <w:rPr>
          <w:rFonts w:hint="eastAsia" w:ascii="宋体" w:hAnsi="宋体" w:eastAsia="宋体" w:cs="宋体"/>
          <w:sz w:val="28"/>
          <w:szCs w:val="28"/>
        </w:rPr>
      </w:pPr>
      <w:bookmarkStart w:id="249" w:name="_Toc137136179"/>
      <w:bookmarkEnd w:id="249"/>
      <w:bookmarkStart w:id="250" w:name="_Toc137136183"/>
      <w:bookmarkEnd w:id="250"/>
      <w:bookmarkStart w:id="251" w:name="_Toc137135242"/>
      <w:bookmarkEnd w:id="251"/>
      <w:bookmarkStart w:id="252" w:name="_Toc137136189"/>
      <w:bookmarkEnd w:id="252"/>
      <w:bookmarkStart w:id="253" w:name="_Toc137136192"/>
      <w:bookmarkEnd w:id="253"/>
      <w:bookmarkStart w:id="254" w:name="_Toc137135251"/>
      <w:bookmarkEnd w:id="254"/>
      <w:bookmarkStart w:id="255" w:name="_Toc137136191"/>
      <w:bookmarkEnd w:id="255"/>
      <w:bookmarkStart w:id="256" w:name="_Toc137135241"/>
      <w:bookmarkEnd w:id="256"/>
      <w:bookmarkStart w:id="257" w:name="_Toc137135256"/>
      <w:bookmarkEnd w:id="257"/>
      <w:bookmarkStart w:id="258" w:name="_Toc137135246"/>
      <w:bookmarkEnd w:id="258"/>
      <w:bookmarkStart w:id="259" w:name="_Toc137135243"/>
      <w:bookmarkEnd w:id="259"/>
      <w:bookmarkStart w:id="260" w:name="_Toc137135245"/>
      <w:bookmarkEnd w:id="260"/>
      <w:bookmarkStart w:id="261" w:name="_Toc137136195"/>
      <w:r>
        <w:rPr>
          <w:rFonts w:hint="eastAsia" w:ascii="宋体" w:hAnsi="宋体" w:eastAsia="宋体" w:cs="宋体"/>
          <w:bCs/>
          <w:sz w:val="28"/>
          <w:szCs w:val="28"/>
        </w:rPr>
        <w:t xml:space="preserve">2.8 </w:t>
      </w:r>
      <w:bookmarkEnd w:id="261"/>
      <w:r>
        <w:rPr>
          <w:rFonts w:hint="eastAsia" w:ascii="宋体" w:hAnsi="宋体" w:eastAsia="宋体" w:cs="宋体"/>
          <w:bCs/>
          <w:sz w:val="28"/>
          <w:szCs w:val="28"/>
        </w:rPr>
        <w:t>工厂质量检查、装配和试验</w:t>
      </w:r>
    </w:p>
    <w:p w14:paraId="552935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2.8.1 为检验水轮机设计、制造质量，除了采用合理结构、工艺和合格材料、严格控制加工精度、尺寸公差和热处理工艺外，在出厂前必需对水轮机主要部件进行试验和检查。</w:t>
      </w:r>
    </w:p>
    <w:p w14:paraId="20254C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2.8.2 各项试验应符合合同要求，若合同无具体规定时，按照符合GB、NB、SL、JB以及国际相关标准中较高要求执行。</w:t>
      </w:r>
    </w:p>
    <w:p w14:paraId="2D82BD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2.8.3 承包人应提供工厂试验项目、计划安排及试验大纲，各项试验的试验报告、照片、记录、有关文件资料及合格证必须完备，并随时供买受人或工程师检查和审核。凡规定必须有发包人代表参加的试验项目，必须按规定提前15天通知发包人参加，并提供全部文件资料。</w:t>
      </w:r>
    </w:p>
    <w:p w14:paraId="7C61AA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2.8.4 承受水压、油压、气压的设备部件除在工地进行组焊外均应按GB规定在厂内进行强度耐压试验。强度耐压试验压力为1.5倍工作压力，试验时间为30min，受压部件不得有渗漏等异常现象。压力容器的耐压试验按照《钢制压力容器》与《压力容器安全技术监察规程》的规定执行。</w:t>
      </w:r>
    </w:p>
    <w:p w14:paraId="1908E3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2.8.5 工厂试验项目见2.8-1。</w:t>
      </w:r>
    </w:p>
    <w:p w14:paraId="442AF53B">
      <w:pPr>
        <w:adjustRightInd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表2.8-1 混流式水轮机工厂质量检查、装配和试验项目表</w:t>
      </w:r>
    </w:p>
    <w:tbl>
      <w:tblPr>
        <w:tblStyle w:val="6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391"/>
        <w:gridCol w:w="1349"/>
        <w:gridCol w:w="419"/>
        <w:gridCol w:w="509"/>
        <w:gridCol w:w="509"/>
        <w:gridCol w:w="524"/>
        <w:gridCol w:w="509"/>
        <w:gridCol w:w="509"/>
        <w:gridCol w:w="509"/>
        <w:gridCol w:w="515"/>
        <w:gridCol w:w="902"/>
        <w:gridCol w:w="1690"/>
      </w:tblGrid>
      <w:tr w14:paraId="124E0F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91" w:hRule="atLeast"/>
          <w:jc w:val="center"/>
        </w:trPr>
        <w:tc>
          <w:tcPr>
            <w:tcW w:w="391" w:type="dxa"/>
            <w:vMerge w:val="restart"/>
            <w:tcBorders>
              <w:top w:val="single" w:color="000000" w:sz="8" w:space="0"/>
              <w:left w:val="single" w:color="000000" w:sz="8" w:space="0"/>
              <w:bottom w:val="single" w:color="000000" w:sz="6" w:space="0"/>
              <w:right w:val="single" w:color="000000" w:sz="6" w:space="0"/>
            </w:tcBorders>
            <w:noWrap w:val="0"/>
            <w:vAlign w:val="center"/>
          </w:tcPr>
          <w:p w14:paraId="59A9DDB1">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349" w:type="dxa"/>
            <w:vMerge w:val="restart"/>
            <w:tcBorders>
              <w:top w:val="single" w:color="000000" w:sz="8" w:space="0"/>
              <w:left w:val="single" w:color="000000" w:sz="6" w:space="0"/>
              <w:bottom w:val="single" w:color="000000" w:sz="6" w:space="0"/>
              <w:right w:val="single" w:color="000000" w:sz="6" w:space="0"/>
            </w:tcBorders>
            <w:noWrap w:val="0"/>
            <w:vAlign w:val="center"/>
          </w:tcPr>
          <w:p w14:paraId="2B50FCB6">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名称</w:t>
            </w:r>
          </w:p>
        </w:tc>
        <w:tc>
          <w:tcPr>
            <w:tcW w:w="1961" w:type="dxa"/>
            <w:gridSpan w:val="4"/>
            <w:tcBorders>
              <w:top w:val="single" w:color="000000" w:sz="8" w:space="0"/>
              <w:left w:val="single" w:color="000000" w:sz="6" w:space="0"/>
              <w:bottom w:val="single" w:color="000000" w:sz="6" w:space="0"/>
              <w:right w:val="single" w:color="000000" w:sz="6" w:space="0"/>
            </w:tcBorders>
            <w:noWrap w:val="0"/>
            <w:vAlign w:val="center"/>
          </w:tcPr>
          <w:p w14:paraId="29493A8D">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材料检验</w:t>
            </w:r>
          </w:p>
        </w:tc>
        <w:tc>
          <w:tcPr>
            <w:tcW w:w="2042" w:type="dxa"/>
            <w:gridSpan w:val="4"/>
            <w:tcBorders>
              <w:top w:val="single" w:color="000000" w:sz="8" w:space="0"/>
              <w:left w:val="single" w:color="000000" w:sz="6" w:space="0"/>
              <w:bottom w:val="single" w:color="000000" w:sz="6" w:space="0"/>
              <w:right w:val="single" w:color="000000" w:sz="6" w:space="0"/>
            </w:tcBorders>
            <w:noWrap w:val="0"/>
            <w:vAlign w:val="center"/>
          </w:tcPr>
          <w:p w14:paraId="3ECF6D08">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制造过程和最终检验</w:t>
            </w:r>
          </w:p>
        </w:tc>
        <w:tc>
          <w:tcPr>
            <w:tcW w:w="902" w:type="dxa"/>
            <w:vMerge w:val="restart"/>
            <w:tcBorders>
              <w:top w:val="single" w:color="000000" w:sz="8" w:space="0"/>
              <w:left w:val="single" w:color="000000" w:sz="6" w:space="0"/>
              <w:bottom w:val="single" w:color="000000" w:sz="6" w:space="0"/>
              <w:right w:val="single" w:color="000000" w:sz="6" w:space="0"/>
            </w:tcBorders>
            <w:noWrap w:val="0"/>
            <w:vAlign w:val="center"/>
          </w:tcPr>
          <w:p w14:paraId="00B10A5F">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耐压及取样试验</w:t>
            </w:r>
          </w:p>
        </w:tc>
        <w:tc>
          <w:tcPr>
            <w:tcW w:w="1690" w:type="dxa"/>
            <w:vMerge w:val="restart"/>
            <w:tcBorders>
              <w:top w:val="single" w:color="000000" w:sz="8" w:space="0"/>
              <w:left w:val="single" w:color="000000" w:sz="6" w:space="0"/>
              <w:bottom w:val="single" w:color="000000" w:sz="6" w:space="0"/>
              <w:right w:val="single" w:color="000000" w:sz="8" w:space="0"/>
            </w:tcBorders>
            <w:noWrap w:val="0"/>
            <w:vAlign w:val="center"/>
          </w:tcPr>
          <w:p w14:paraId="19773089">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其它检验项目及备注</w:t>
            </w:r>
          </w:p>
        </w:tc>
      </w:tr>
      <w:tr w14:paraId="78599D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jc w:val="center"/>
        </w:trPr>
        <w:tc>
          <w:tcPr>
            <w:tcW w:w="391" w:type="dxa"/>
            <w:vMerge w:val="continue"/>
            <w:tcBorders>
              <w:top w:val="single" w:color="000000" w:sz="8" w:space="0"/>
              <w:left w:val="single" w:color="000000" w:sz="8" w:space="0"/>
              <w:bottom w:val="single" w:color="000000" w:sz="6" w:space="0"/>
              <w:right w:val="single" w:color="000000" w:sz="6" w:space="0"/>
            </w:tcBorders>
            <w:noWrap w:val="0"/>
            <w:vAlign w:val="center"/>
          </w:tcPr>
          <w:p w14:paraId="7C44CD1F">
            <w:pPr>
              <w:widowControl/>
              <w:jc w:val="left"/>
              <w:rPr>
                <w:rFonts w:hint="eastAsia" w:ascii="宋体" w:hAnsi="宋体" w:eastAsia="宋体" w:cs="宋体"/>
                <w:kern w:val="0"/>
                <w:sz w:val="18"/>
                <w:szCs w:val="18"/>
              </w:rPr>
            </w:pPr>
          </w:p>
        </w:tc>
        <w:tc>
          <w:tcPr>
            <w:tcW w:w="1349" w:type="dxa"/>
            <w:vMerge w:val="continue"/>
            <w:tcBorders>
              <w:top w:val="single" w:color="000000" w:sz="8" w:space="0"/>
              <w:left w:val="single" w:color="000000" w:sz="6" w:space="0"/>
              <w:bottom w:val="single" w:color="000000" w:sz="6" w:space="0"/>
              <w:right w:val="single" w:color="000000" w:sz="6" w:space="0"/>
            </w:tcBorders>
            <w:noWrap w:val="0"/>
            <w:vAlign w:val="center"/>
          </w:tcPr>
          <w:p w14:paraId="74642A9C">
            <w:pPr>
              <w:widowControl/>
              <w:jc w:val="left"/>
              <w:rPr>
                <w:rFonts w:hint="eastAsia" w:ascii="宋体" w:hAnsi="宋体" w:eastAsia="宋体" w:cs="宋体"/>
                <w:kern w:val="0"/>
                <w:sz w:val="18"/>
                <w:szCs w:val="18"/>
              </w:rPr>
            </w:pPr>
          </w:p>
        </w:tc>
        <w:tc>
          <w:tcPr>
            <w:tcW w:w="419" w:type="dxa"/>
            <w:tcBorders>
              <w:top w:val="single" w:color="000000" w:sz="6" w:space="0"/>
              <w:left w:val="single" w:color="000000" w:sz="6" w:space="0"/>
              <w:bottom w:val="single" w:color="000000" w:sz="6" w:space="0"/>
              <w:right w:val="single" w:color="000000" w:sz="6" w:space="0"/>
            </w:tcBorders>
            <w:noWrap w:val="0"/>
            <w:vAlign w:val="center"/>
          </w:tcPr>
          <w:p w14:paraId="4439C460">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力学性能</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185F6C5D">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化学成分</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10287BBD">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无损检测</w:t>
            </w:r>
          </w:p>
        </w:tc>
        <w:tc>
          <w:tcPr>
            <w:tcW w:w="524" w:type="dxa"/>
            <w:tcBorders>
              <w:top w:val="single" w:color="000000" w:sz="6" w:space="0"/>
              <w:left w:val="single" w:color="000000" w:sz="6" w:space="0"/>
              <w:bottom w:val="single" w:color="000000" w:sz="6" w:space="0"/>
              <w:right w:val="single" w:color="000000" w:sz="6" w:space="0"/>
            </w:tcBorders>
            <w:noWrap w:val="0"/>
            <w:vAlign w:val="center"/>
          </w:tcPr>
          <w:p w14:paraId="7F142BA5">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硬度试验</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5CDD184D">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无损检测</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1C610247">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外观检查</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7AC62EA0">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尺寸检查</w:t>
            </w:r>
          </w:p>
        </w:tc>
        <w:tc>
          <w:tcPr>
            <w:tcW w:w="515" w:type="dxa"/>
            <w:tcBorders>
              <w:top w:val="single" w:color="000000" w:sz="6" w:space="0"/>
              <w:left w:val="single" w:color="000000" w:sz="6" w:space="0"/>
              <w:bottom w:val="single" w:color="000000" w:sz="6" w:space="0"/>
              <w:right w:val="single" w:color="000000" w:sz="6" w:space="0"/>
            </w:tcBorders>
            <w:noWrap w:val="0"/>
            <w:vAlign w:val="center"/>
          </w:tcPr>
          <w:p w14:paraId="1FC0EE4C">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动作试验</w:t>
            </w:r>
          </w:p>
        </w:tc>
        <w:tc>
          <w:tcPr>
            <w:tcW w:w="902" w:type="dxa"/>
            <w:vMerge w:val="continue"/>
            <w:tcBorders>
              <w:top w:val="single" w:color="000000" w:sz="8" w:space="0"/>
              <w:left w:val="single" w:color="000000" w:sz="6" w:space="0"/>
              <w:bottom w:val="single" w:color="000000" w:sz="6" w:space="0"/>
              <w:right w:val="single" w:color="000000" w:sz="6" w:space="0"/>
            </w:tcBorders>
            <w:noWrap w:val="0"/>
            <w:vAlign w:val="center"/>
          </w:tcPr>
          <w:p w14:paraId="5985B5EC">
            <w:pPr>
              <w:widowControl/>
              <w:jc w:val="left"/>
              <w:rPr>
                <w:rFonts w:hint="eastAsia" w:ascii="宋体" w:hAnsi="宋体" w:eastAsia="宋体" w:cs="宋体"/>
                <w:kern w:val="0"/>
                <w:sz w:val="18"/>
                <w:szCs w:val="18"/>
              </w:rPr>
            </w:pPr>
          </w:p>
        </w:tc>
        <w:tc>
          <w:tcPr>
            <w:tcW w:w="1690" w:type="dxa"/>
            <w:vMerge w:val="continue"/>
            <w:tcBorders>
              <w:top w:val="single" w:color="000000" w:sz="8" w:space="0"/>
              <w:left w:val="single" w:color="000000" w:sz="6" w:space="0"/>
              <w:bottom w:val="single" w:color="000000" w:sz="6" w:space="0"/>
              <w:right w:val="single" w:color="000000" w:sz="8" w:space="0"/>
            </w:tcBorders>
            <w:noWrap w:val="0"/>
            <w:vAlign w:val="center"/>
          </w:tcPr>
          <w:p w14:paraId="0775337C">
            <w:pPr>
              <w:widowControl/>
              <w:jc w:val="left"/>
              <w:rPr>
                <w:rFonts w:hint="eastAsia" w:ascii="宋体" w:hAnsi="宋体" w:eastAsia="宋体" w:cs="宋体"/>
                <w:kern w:val="0"/>
                <w:sz w:val="18"/>
                <w:szCs w:val="18"/>
              </w:rPr>
            </w:pPr>
          </w:p>
        </w:tc>
      </w:tr>
      <w:tr w14:paraId="558579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391" w:type="dxa"/>
            <w:tcBorders>
              <w:top w:val="single" w:color="000000" w:sz="6" w:space="0"/>
              <w:left w:val="single" w:color="000000" w:sz="8" w:space="0"/>
              <w:bottom w:val="single" w:color="000000" w:sz="6" w:space="0"/>
              <w:right w:val="single" w:color="000000" w:sz="6" w:space="0"/>
            </w:tcBorders>
            <w:noWrap w:val="0"/>
            <w:vAlign w:val="center"/>
          </w:tcPr>
          <w:p w14:paraId="45BB60C6">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49" w:type="dxa"/>
            <w:tcBorders>
              <w:top w:val="single" w:color="000000" w:sz="6" w:space="0"/>
              <w:left w:val="single" w:color="000000" w:sz="6" w:space="0"/>
              <w:bottom w:val="single" w:color="000000" w:sz="6" w:space="0"/>
              <w:right w:val="single" w:color="000000" w:sz="6" w:space="0"/>
            </w:tcBorders>
            <w:noWrap w:val="0"/>
            <w:vAlign w:val="center"/>
          </w:tcPr>
          <w:p w14:paraId="3D5FCA34">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转轮</w:t>
            </w:r>
          </w:p>
        </w:tc>
        <w:tc>
          <w:tcPr>
            <w:tcW w:w="419" w:type="dxa"/>
            <w:tcBorders>
              <w:top w:val="single" w:color="000000" w:sz="6" w:space="0"/>
              <w:left w:val="single" w:color="000000" w:sz="6" w:space="0"/>
              <w:bottom w:val="single" w:color="000000" w:sz="6" w:space="0"/>
              <w:right w:val="single" w:color="000000" w:sz="6" w:space="0"/>
            </w:tcBorders>
            <w:noWrap w:val="0"/>
            <w:vAlign w:val="center"/>
          </w:tcPr>
          <w:p w14:paraId="1B9A36C4">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29613DC7">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630340AB">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24" w:type="dxa"/>
            <w:tcBorders>
              <w:top w:val="single" w:color="000000" w:sz="6" w:space="0"/>
              <w:left w:val="single" w:color="000000" w:sz="6" w:space="0"/>
              <w:bottom w:val="single" w:color="000000" w:sz="6" w:space="0"/>
              <w:right w:val="single" w:color="000000" w:sz="6" w:space="0"/>
            </w:tcBorders>
            <w:noWrap w:val="0"/>
            <w:vAlign w:val="center"/>
          </w:tcPr>
          <w:p w14:paraId="0DAC3E95">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6E7A071D">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13619215">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74F8F6A0">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15" w:type="dxa"/>
            <w:tcBorders>
              <w:top w:val="single" w:color="000000" w:sz="6" w:space="0"/>
              <w:left w:val="single" w:color="000000" w:sz="6" w:space="0"/>
              <w:bottom w:val="single" w:color="000000" w:sz="6" w:space="0"/>
              <w:right w:val="single" w:color="000000" w:sz="6" w:space="0"/>
            </w:tcBorders>
            <w:noWrap w:val="0"/>
            <w:vAlign w:val="center"/>
          </w:tcPr>
          <w:p w14:paraId="32B63281">
            <w:pPr>
              <w:adjustRightInd w:val="0"/>
              <w:spacing w:before="100" w:after="100" w:line="180" w:lineRule="exact"/>
              <w:jc w:val="center"/>
              <w:textAlignment w:val="baseline"/>
              <w:rPr>
                <w:rFonts w:hint="eastAsia" w:ascii="宋体" w:hAnsi="宋体" w:eastAsia="宋体" w:cs="宋体"/>
                <w:b/>
                <w:kern w:val="0"/>
                <w:sz w:val="18"/>
                <w:szCs w:val="18"/>
              </w:rPr>
            </w:pPr>
          </w:p>
        </w:tc>
        <w:tc>
          <w:tcPr>
            <w:tcW w:w="902" w:type="dxa"/>
            <w:tcBorders>
              <w:top w:val="single" w:color="000000" w:sz="6" w:space="0"/>
              <w:left w:val="single" w:color="000000" w:sz="6" w:space="0"/>
              <w:bottom w:val="single" w:color="000000" w:sz="6" w:space="0"/>
              <w:right w:val="single" w:color="000000" w:sz="6" w:space="0"/>
            </w:tcBorders>
            <w:noWrap w:val="0"/>
            <w:vAlign w:val="center"/>
          </w:tcPr>
          <w:p w14:paraId="19ABE4E1">
            <w:pPr>
              <w:adjustRightInd w:val="0"/>
              <w:spacing w:before="100" w:after="100" w:line="180" w:lineRule="exact"/>
              <w:jc w:val="center"/>
              <w:textAlignment w:val="baseline"/>
              <w:rPr>
                <w:rFonts w:hint="eastAsia" w:ascii="宋体" w:hAnsi="宋体" w:eastAsia="宋体" w:cs="宋体"/>
                <w:kern w:val="0"/>
                <w:sz w:val="18"/>
                <w:szCs w:val="18"/>
              </w:rPr>
            </w:pPr>
          </w:p>
        </w:tc>
        <w:tc>
          <w:tcPr>
            <w:tcW w:w="1690" w:type="dxa"/>
            <w:tcBorders>
              <w:top w:val="single" w:color="000000" w:sz="6" w:space="0"/>
              <w:left w:val="single" w:color="000000" w:sz="6" w:space="0"/>
              <w:bottom w:val="single" w:color="000000" w:sz="6" w:space="0"/>
              <w:right w:val="single" w:color="000000" w:sz="8" w:space="0"/>
            </w:tcBorders>
            <w:noWrap w:val="0"/>
            <w:vAlign w:val="center"/>
          </w:tcPr>
          <w:p w14:paraId="475E2D7A">
            <w:pPr>
              <w:adjustRightInd w:val="0"/>
              <w:spacing w:before="100" w:after="100" w:line="180" w:lineRule="exact"/>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叶型、表面粗糙度检查及静平衡</w:t>
            </w:r>
          </w:p>
        </w:tc>
      </w:tr>
      <w:tr w14:paraId="782345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391" w:type="dxa"/>
            <w:tcBorders>
              <w:top w:val="single" w:color="000000" w:sz="6" w:space="0"/>
              <w:left w:val="single" w:color="000000" w:sz="8" w:space="0"/>
              <w:bottom w:val="single" w:color="000000" w:sz="6" w:space="0"/>
              <w:right w:val="single" w:color="000000" w:sz="6" w:space="0"/>
            </w:tcBorders>
            <w:noWrap w:val="0"/>
            <w:vAlign w:val="center"/>
          </w:tcPr>
          <w:p w14:paraId="74958852">
            <w:pPr>
              <w:adjustRightInd w:val="0"/>
              <w:spacing w:before="100" w:after="100" w:line="180" w:lineRule="exact"/>
              <w:jc w:val="center"/>
              <w:textAlignment w:val="baseline"/>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1349" w:type="dxa"/>
            <w:tcBorders>
              <w:top w:val="single" w:color="000000" w:sz="6" w:space="0"/>
              <w:left w:val="single" w:color="000000" w:sz="6" w:space="0"/>
              <w:bottom w:val="single" w:color="000000" w:sz="6" w:space="0"/>
              <w:right w:val="single" w:color="000000" w:sz="6" w:space="0"/>
            </w:tcBorders>
            <w:noWrap w:val="0"/>
            <w:vAlign w:val="center"/>
          </w:tcPr>
          <w:p w14:paraId="72F721B0">
            <w:pPr>
              <w:adjustRightInd w:val="0"/>
              <w:spacing w:before="100" w:after="100" w:line="180" w:lineRule="exact"/>
              <w:jc w:val="center"/>
              <w:textAlignment w:val="baseline"/>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导水机构</w:t>
            </w:r>
          </w:p>
        </w:tc>
        <w:tc>
          <w:tcPr>
            <w:tcW w:w="419" w:type="dxa"/>
            <w:tcBorders>
              <w:top w:val="single" w:color="000000" w:sz="6" w:space="0"/>
              <w:left w:val="single" w:color="000000" w:sz="6" w:space="0"/>
              <w:bottom w:val="single" w:color="000000" w:sz="6" w:space="0"/>
              <w:right w:val="single" w:color="000000" w:sz="6" w:space="0"/>
            </w:tcBorders>
            <w:noWrap w:val="0"/>
            <w:vAlign w:val="center"/>
          </w:tcPr>
          <w:p w14:paraId="3B014ABD">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47DAD401">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4C0EB603">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w:t>
            </w:r>
          </w:p>
        </w:tc>
        <w:tc>
          <w:tcPr>
            <w:tcW w:w="524" w:type="dxa"/>
            <w:tcBorders>
              <w:top w:val="single" w:color="000000" w:sz="6" w:space="0"/>
              <w:left w:val="single" w:color="000000" w:sz="6" w:space="0"/>
              <w:bottom w:val="single" w:color="000000" w:sz="6" w:space="0"/>
              <w:right w:val="single" w:color="000000" w:sz="6" w:space="0"/>
            </w:tcBorders>
            <w:noWrap w:val="0"/>
            <w:vAlign w:val="center"/>
          </w:tcPr>
          <w:p w14:paraId="4259A9E5">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5AB93708">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24348DD6">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2B33D3CF">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w:t>
            </w:r>
          </w:p>
        </w:tc>
        <w:tc>
          <w:tcPr>
            <w:tcW w:w="515" w:type="dxa"/>
            <w:tcBorders>
              <w:top w:val="single" w:color="000000" w:sz="6" w:space="0"/>
              <w:left w:val="single" w:color="000000" w:sz="6" w:space="0"/>
              <w:bottom w:val="single" w:color="000000" w:sz="6" w:space="0"/>
              <w:right w:val="single" w:color="000000" w:sz="6" w:space="0"/>
            </w:tcBorders>
            <w:noWrap w:val="0"/>
            <w:vAlign w:val="center"/>
          </w:tcPr>
          <w:p w14:paraId="6F8BE12F">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902" w:type="dxa"/>
            <w:tcBorders>
              <w:top w:val="single" w:color="000000" w:sz="6" w:space="0"/>
              <w:left w:val="single" w:color="000000" w:sz="6" w:space="0"/>
              <w:bottom w:val="single" w:color="000000" w:sz="6" w:space="0"/>
              <w:right w:val="single" w:color="000000" w:sz="6" w:space="0"/>
            </w:tcBorders>
            <w:noWrap w:val="0"/>
            <w:vAlign w:val="center"/>
          </w:tcPr>
          <w:p w14:paraId="09B5B37F">
            <w:pPr>
              <w:adjustRightInd w:val="0"/>
              <w:spacing w:before="100" w:after="100" w:line="180" w:lineRule="exact"/>
              <w:jc w:val="center"/>
              <w:textAlignment w:val="baseline"/>
              <w:rPr>
                <w:rFonts w:hint="eastAsia" w:ascii="宋体" w:hAnsi="宋体" w:eastAsia="宋体" w:cs="宋体"/>
                <w:kern w:val="0"/>
                <w:sz w:val="18"/>
                <w:szCs w:val="18"/>
              </w:rPr>
            </w:pPr>
          </w:p>
        </w:tc>
        <w:tc>
          <w:tcPr>
            <w:tcW w:w="1690" w:type="dxa"/>
            <w:tcBorders>
              <w:top w:val="single" w:color="000000" w:sz="6" w:space="0"/>
              <w:left w:val="single" w:color="000000" w:sz="6" w:space="0"/>
              <w:bottom w:val="single" w:color="000000" w:sz="6" w:space="0"/>
              <w:right w:val="single" w:color="000000" w:sz="8" w:space="0"/>
            </w:tcBorders>
            <w:noWrap w:val="0"/>
            <w:vAlign w:val="center"/>
          </w:tcPr>
          <w:p w14:paraId="6D3D5426">
            <w:pPr>
              <w:adjustRightInd w:val="0"/>
              <w:spacing w:before="100" w:after="100" w:line="180" w:lineRule="exact"/>
              <w:textAlignment w:val="baseline"/>
              <w:rPr>
                <w:rFonts w:hint="eastAsia" w:ascii="宋体" w:hAnsi="宋体" w:eastAsia="宋体" w:cs="宋体"/>
                <w:kern w:val="0"/>
                <w:sz w:val="18"/>
                <w:szCs w:val="18"/>
              </w:rPr>
            </w:pPr>
          </w:p>
        </w:tc>
      </w:tr>
      <w:tr w14:paraId="04C393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391" w:type="dxa"/>
            <w:tcBorders>
              <w:top w:val="single" w:color="000000" w:sz="6" w:space="0"/>
              <w:left w:val="single" w:color="000000" w:sz="8" w:space="0"/>
              <w:bottom w:val="single" w:color="000000" w:sz="6" w:space="0"/>
              <w:right w:val="single" w:color="000000" w:sz="6" w:space="0"/>
            </w:tcBorders>
            <w:noWrap w:val="0"/>
            <w:vAlign w:val="center"/>
          </w:tcPr>
          <w:p w14:paraId="79BEB30B">
            <w:pPr>
              <w:adjustRightInd w:val="0"/>
              <w:spacing w:before="100" w:after="100" w:line="180" w:lineRule="exact"/>
              <w:jc w:val="center"/>
              <w:textAlignment w:val="baseline"/>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5</w:t>
            </w:r>
          </w:p>
        </w:tc>
        <w:tc>
          <w:tcPr>
            <w:tcW w:w="1349" w:type="dxa"/>
            <w:tcBorders>
              <w:top w:val="single" w:color="000000" w:sz="6" w:space="0"/>
              <w:left w:val="single" w:color="000000" w:sz="6" w:space="0"/>
              <w:bottom w:val="single" w:color="000000" w:sz="6" w:space="0"/>
              <w:right w:val="single" w:color="000000" w:sz="6" w:space="0"/>
            </w:tcBorders>
            <w:noWrap w:val="0"/>
            <w:vAlign w:val="center"/>
          </w:tcPr>
          <w:p w14:paraId="4F5A14F3">
            <w:pPr>
              <w:adjustRightInd w:val="0"/>
              <w:spacing w:before="100" w:after="100" w:line="180" w:lineRule="exact"/>
              <w:jc w:val="center"/>
              <w:textAlignment w:val="baseline"/>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水导轴承</w:t>
            </w:r>
          </w:p>
        </w:tc>
        <w:tc>
          <w:tcPr>
            <w:tcW w:w="419" w:type="dxa"/>
            <w:tcBorders>
              <w:top w:val="single" w:color="000000" w:sz="6" w:space="0"/>
              <w:left w:val="single" w:color="000000" w:sz="6" w:space="0"/>
              <w:bottom w:val="single" w:color="000000" w:sz="6" w:space="0"/>
              <w:right w:val="single" w:color="000000" w:sz="6" w:space="0"/>
            </w:tcBorders>
            <w:noWrap w:val="0"/>
            <w:vAlign w:val="center"/>
          </w:tcPr>
          <w:p w14:paraId="1D6A8F49">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5EDC89DE">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4C92C4F8">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p>
        </w:tc>
        <w:tc>
          <w:tcPr>
            <w:tcW w:w="524" w:type="dxa"/>
            <w:tcBorders>
              <w:top w:val="single" w:color="000000" w:sz="6" w:space="0"/>
              <w:left w:val="single" w:color="000000" w:sz="6" w:space="0"/>
              <w:bottom w:val="single" w:color="000000" w:sz="6" w:space="0"/>
              <w:right w:val="single" w:color="000000" w:sz="6" w:space="0"/>
            </w:tcBorders>
            <w:noWrap w:val="0"/>
            <w:vAlign w:val="center"/>
          </w:tcPr>
          <w:p w14:paraId="295F98FD">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5E5763F3">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77033292">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13C82850">
            <w:pPr>
              <w:adjustRightInd w:val="0"/>
              <w:spacing w:before="100" w:after="100" w:line="180" w:lineRule="exact"/>
              <w:jc w:val="center"/>
              <w:textAlignment w:val="baseline"/>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w:t>
            </w:r>
          </w:p>
        </w:tc>
        <w:tc>
          <w:tcPr>
            <w:tcW w:w="515" w:type="dxa"/>
            <w:tcBorders>
              <w:top w:val="single" w:color="000000" w:sz="6" w:space="0"/>
              <w:left w:val="single" w:color="000000" w:sz="6" w:space="0"/>
              <w:bottom w:val="single" w:color="000000" w:sz="6" w:space="0"/>
              <w:right w:val="single" w:color="000000" w:sz="6" w:space="0"/>
            </w:tcBorders>
            <w:noWrap w:val="0"/>
            <w:vAlign w:val="center"/>
          </w:tcPr>
          <w:p w14:paraId="746AB03C">
            <w:pPr>
              <w:adjustRightInd w:val="0"/>
              <w:spacing w:before="100" w:after="100" w:line="180" w:lineRule="exact"/>
              <w:jc w:val="center"/>
              <w:textAlignment w:val="baseline"/>
              <w:rPr>
                <w:rFonts w:hint="eastAsia" w:ascii="宋体" w:hAnsi="宋体" w:eastAsia="宋体" w:cs="宋体"/>
                <w:b/>
                <w:kern w:val="0"/>
                <w:sz w:val="18"/>
                <w:szCs w:val="18"/>
              </w:rPr>
            </w:pPr>
          </w:p>
        </w:tc>
        <w:tc>
          <w:tcPr>
            <w:tcW w:w="902" w:type="dxa"/>
            <w:tcBorders>
              <w:top w:val="single" w:color="000000" w:sz="6" w:space="0"/>
              <w:left w:val="single" w:color="000000" w:sz="6" w:space="0"/>
              <w:bottom w:val="single" w:color="000000" w:sz="6" w:space="0"/>
              <w:right w:val="single" w:color="000000" w:sz="6" w:space="0"/>
            </w:tcBorders>
            <w:noWrap w:val="0"/>
            <w:vAlign w:val="center"/>
          </w:tcPr>
          <w:p w14:paraId="4A7B7427">
            <w:pPr>
              <w:adjustRightInd w:val="0"/>
              <w:spacing w:before="100" w:after="100" w:line="180" w:lineRule="exact"/>
              <w:jc w:val="center"/>
              <w:textAlignment w:val="baseline"/>
              <w:rPr>
                <w:rFonts w:hint="eastAsia" w:ascii="宋体" w:hAnsi="宋体" w:eastAsia="宋体" w:cs="宋体"/>
                <w:kern w:val="0"/>
                <w:sz w:val="18"/>
                <w:szCs w:val="18"/>
              </w:rPr>
            </w:pPr>
          </w:p>
        </w:tc>
        <w:tc>
          <w:tcPr>
            <w:tcW w:w="1690" w:type="dxa"/>
            <w:tcBorders>
              <w:top w:val="single" w:color="000000" w:sz="6" w:space="0"/>
              <w:left w:val="single" w:color="000000" w:sz="6" w:space="0"/>
              <w:bottom w:val="single" w:color="000000" w:sz="6" w:space="0"/>
              <w:right w:val="single" w:color="000000" w:sz="8" w:space="0"/>
            </w:tcBorders>
            <w:noWrap w:val="0"/>
            <w:vAlign w:val="center"/>
          </w:tcPr>
          <w:p w14:paraId="1B800045">
            <w:pPr>
              <w:adjustRightInd w:val="0"/>
              <w:spacing w:before="100" w:after="100" w:line="180" w:lineRule="exact"/>
              <w:textAlignment w:val="baseline"/>
              <w:rPr>
                <w:rFonts w:hint="eastAsia" w:ascii="宋体" w:hAnsi="宋体" w:eastAsia="宋体" w:cs="宋体"/>
                <w:kern w:val="0"/>
                <w:sz w:val="18"/>
                <w:szCs w:val="18"/>
              </w:rPr>
            </w:pPr>
          </w:p>
        </w:tc>
      </w:tr>
      <w:tr w14:paraId="27922A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391" w:type="dxa"/>
            <w:tcBorders>
              <w:top w:val="single" w:color="000000" w:sz="6" w:space="0"/>
              <w:left w:val="single" w:color="000000" w:sz="8" w:space="0"/>
              <w:bottom w:val="single" w:color="000000" w:sz="6" w:space="0"/>
              <w:right w:val="single" w:color="000000" w:sz="6" w:space="0"/>
            </w:tcBorders>
            <w:noWrap w:val="0"/>
            <w:vAlign w:val="center"/>
          </w:tcPr>
          <w:p w14:paraId="703180B8">
            <w:pPr>
              <w:adjustRightInd w:val="0"/>
              <w:spacing w:before="100" w:after="100" w:line="180" w:lineRule="exact"/>
              <w:jc w:val="center"/>
              <w:textAlignment w:val="baseline"/>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349" w:type="dxa"/>
            <w:tcBorders>
              <w:top w:val="single" w:color="000000" w:sz="6" w:space="0"/>
              <w:left w:val="single" w:color="000000" w:sz="6" w:space="0"/>
              <w:bottom w:val="single" w:color="000000" w:sz="6" w:space="0"/>
              <w:right w:val="single" w:color="000000" w:sz="6" w:space="0"/>
            </w:tcBorders>
            <w:noWrap w:val="0"/>
            <w:vAlign w:val="center"/>
          </w:tcPr>
          <w:p w14:paraId="2CB07E6A">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主轴</w:t>
            </w:r>
          </w:p>
        </w:tc>
        <w:tc>
          <w:tcPr>
            <w:tcW w:w="419" w:type="dxa"/>
            <w:tcBorders>
              <w:top w:val="single" w:color="000000" w:sz="6" w:space="0"/>
              <w:left w:val="single" w:color="000000" w:sz="6" w:space="0"/>
              <w:bottom w:val="single" w:color="000000" w:sz="6" w:space="0"/>
              <w:right w:val="single" w:color="000000" w:sz="6" w:space="0"/>
            </w:tcBorders>
            <w:noWrap w:val="0"/>
            <w:vAlign w:val="center"/>
          </w:tcPr>
          <w:p w14:paraId="7AB195F1">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74BAA129">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1A8E089C">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24" w:type="dxa"/>
            <w:tcBorders>
              <w:top w:val="single" w:color="000000" w:sz="6" w:space="0"/>
              <w:left w:val="single" w:color="000000" w:sz="6" w:space="0"/>
              <w:bottom w:val="single" w:color="000000" w:sz="6" w:space="0"/>
              <w:right w:val="single" w:color="000000" w:sz="6" w:space="0"/>
            </w:tcBorders>
            <w:noWrap w:val="0"/>
            <w:vAlign w:val="center"/>
          </w:tcPr>
          <w:p w14:paraId="487A44C7">
            <w:pPr>
              <w:adjustRightInd w:val="0"/>
              <w:spacing w:before="100" w:after="100" w:line="180" w:lineRule="exact"/>
              <w:jc w:val="center"/>
              <w:textAlignment w:val="baseline"/>
              <w:rPr>
                <w:rFonts w:hint="eastAsia" w:ascii="宋体" w:hAnsi="宋体" w:eastAsia="宋体" w:cs="宋体"/>
                <w:b/>
                <w:kern w:val="0"/>
                <w:sz w:val="18"/>
                <w:szCs w:val="18"/>
              </w:rPr>
            </w:pP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6C014170">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4CA2888B">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069FDB6A">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15" w:type="dxa"/>
            <w:tcBorders>
              <w:top w:val="single" w:color="000000" w:sz="6" w:space="0"/>
              <w:left w:val="single" w:color="000000" w:sz="6" w:space="0"/>
              <w:bottom w:val="single" w:color="000000" w:sz="6" w:space="0"/>
              <w:right w:val="single" w:color="000000" w:sz="6" w:space="0"/>
            </w:tcBorders>
            <w:noWrap w:val="0"/>
            <w:vAlign w:val="center"/>
          </w:tcPr>
          <w:p w14:paraId="77ED994C">
            <w:pPr>
              <w:adjustRightInd w:val="0"/>
              <w:spacing w:before="100" w:after="100" w:line="180" w:lineRule="exact"/>
              <w:jc w:val="center"/>
              <w:textAlignment w:val="baseline"/>
              <w:rPr>
                <w:rFonts w:hint="eastAsia" w:ascii="宋体" w:hAnsi="宋体" w:eastAsia="宋体" w:cs="宋体"/>
                <w:b/>
                <w:kern w:val="0"/>
                <w:sz w:val="18"/>
                <w:szCs w:val="18"/>
              </w:rPr>
            </w:pPr>
          </w:p>
        </w:tc>
        <w:tc>
          <w:tcPr>
            <w:tcW w:w="902" w:type="dxa"/>
            <w:tcBorders>
              <w:top w:val="single" w:color="000000" w:sz="6" w:space="0"/>
              <w:left w:val="single" w:color="000000" w:sz="6" w:space="0"/>
              <w:bottom w:val="single" w:color="000000" w:sz="6" w:space="0"/>
              <w:right w:val="single" w:color="000000" w:sz="6" w:space="0"/>
            </w:tcBorders>
            <w:noWrap w:val="0"/>
            <w:vAlign w:val="center"/>
          </w:tcPr>
          <w:p w14:paraId="2EE4D440">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钻孔取样</w:t>
            </w:r>
          </w:p>
        </w:tc>
        <w:tc>
          <w:tcPr>
            <w:tcW w:w="1690" w:type="dxa"/>
            <w:tcBorders>
              <w:top w:val="single" w:color="000000" w:sz="6" w:space="0"/>
              <w:left w:val="single" w:color="000000" w:sz="6" w:space="0"/>
              <w:bottom w:val="single" w:color="000000" w:sz="6" w:space="0"/>
              <w:right w:val="single" w:color="000000" w:sz="8" w:space="0"/>
            </w:tcBorders>
            <w:noWrap w:val="0"/>
            <w:vAlign w:val="center"/>
          </w:tcPr>
          <w:p w14:paraId="5DADF4CE">
            <w:pPr>
              <w:adjustRightInd w:val="0"/>
              <w:spacing w:before="100" w:after="100" w:line="180" w:lineRule="exact"/>
              <w:textAlignment w:val="baseline"/>
              <w:rPr>
                <w:rFonts w:hint="eastAsia" w:ascii="宋体" w:hAnsi="宋体" w:eastAsia="宋体" w:cs="宋体"/>
                <w:kern w:val="0"/>
                <w:sz w:val="18"/>
                <w:szCs w:val="18"/>
              </w:rPr>
            </w:pPr>
            <w:r>
              <w:rPr>
                <w:rFonts w:hint="eastAsia" w:ascii="宋体" w:hAnsi="宋体" w:eastAsia="宋体" w:cs="宋体"/>
                <w:kern w:val="0"/>
                <w:sz w:val="18"/>
                <w:szCs w:val="18"/>
              </w:rPr>
              <w:t>法兰间平行度、同心度、主轴法兰垂直度*</w:t>
            </w:r>
          </w:p>
        </w:tc>
      </w:tr>
      <w:tr w14:paraId="4A1DC6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391" w:type="dxa"/>
            <w:tcBorders>
              <w:top w:val="single" w:color="000000" w:sz="6" w:space="0"/>
              <w:left w:val="single" w:color="000000" w:sz="8" w:space="0"/>
              <w:bottom w:val="single" w:color="000000" w:sz="6" w:space="0"/>
              <w:right w:val="single" w:color="000000" w:sz="6" w:space="0"/>
            </w:tcBorders>
            <w:noWrap w:val="0"/>
            <w:vAlign w:val="center"/>
          </w:tcPr>
          <w:p w14:paraId="795F01E8">
            <w:pPr>
              <w:adjustRightInd w:val="0"/>
              <w:spacing w:before="100" w:after="100" w:line="180" w:lineRule="exact"/>
              <w:jc w:val="center"/>
              <w:textAlignment w:val="baseline"/>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49" w:type="dxa"/>
            <w:tcBorders>
              <w:top w:val="single" w:color="000000" w:sz="6" w:space="0"/>
              <w:left w:val="single" w:color="000000" w:sz="6" w:space="0"/>
              <w:bottom w:val="single" w:color="000000" w:sz="6" w:space="0"/>
              <w:right w:val="single" w:color="000000" w:sz="6" w:space="0"/>
            </w:tcBorders>
            <w:noWrap w:val="0"/>
            <w:vAlign w:val="center"/>
          </w:tcPr>
          <w:p w14:paraId="409E01C0">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主轴密封</w:t>
            </w:r>
          </w:p>
        </w:tc>
        <w:tc>
          <w:tcPr>
            <w:tcW w:w="419" w:type="dxa"/>
            <w:tcBorders>
              <w:top w:val="single" w:color="000000" w:sz="6" w:space="0"/>
              <w:left w:val="single" w:color="000000" w:sz="6" w:space="0"/>
              <w:bottom w:val="single" w:color="000000" w:sz="6" w:space="0"/>
              <w:right w:val="single" w:color="000000" w:sz="6" w:space="0"/>
            </w:tcBorders>
            <w:noWrap w:val="0"/>
            <w:vAlign w:val="center"/>
          </w:tcPr>
          <w:p w14:paraId="0C9ADFBE">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22977956">
            <w:pPr>
              <w:adjustRightInd w:val="0"/>
              <w:spacing w:before="100" w:after="100" w:line="180" w:lineRule="exact"/>
              <w:jc w:val="center"/>
              <w:textAlignment w:val="baseline"/>
              <w:rPr>
                <w:rFonts w:hint="eastAsia" w:ascii="宋体" w:hAnsi="宋体" w:eastAsia="宋体" w:cs="宋体"/>
                <w:b/>
                <w:kern w:val="0"/>
                <w:sz w:val="18"/>
                <w:szCs w:val="18"/>
              </w:rPr>
            </w:pP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4E9780C6">
            <w:pPr>
              <w:adjustRightInd w:val="0"/>
              <w:spacing w:before="100" w:after="100" w:line="180" w:lineRule="exact"/>
              <w:jc w:val="center"/>
              <w:textAlignment w:val="baseline"/>
              <w:rPr>
                <w:rFonts w:hint="eastAsia" w:ascii="宋体" w:hAnsi="宋体" w:eastAsia="宋体" w:cs="宋体"/>
                <w:b/>
                <w:kern w:val="0"/>
                <w:sz w:val="18"/>
                <w:szCs w:val="18"/>
              </w:rPr>
            </w:pPr>
          </w:p>
        </w:tc>
        <w:tc>
          <w:tcPr>
            <w:tcW w:w="524" w:type="dxa"/>
            <w:tcBorders>
              <w:top w:val="single" w:color="000000" w:sz="6" w:space="0"/>
              <w:left w:val="single" w:color="000000" w:sz="6" w:space="0"/>
              <w:bottom w:val="single" w:color="000000" w:sz="6" w:space="0"/>
              <w:right w:val="single" w:color="000000" w:sz="6" w:space="0"/>
            </w:tcBorders>
            <w:noWrap w:val="0"/>
            <w:vAlign w:val="center"/>
          </w:tcPr>
          <w:p w14:paraId="5E9642D6">
            <w:pPr>
              <w:adjustRightInd w:val="0"/>
              <w:spacing w:before="100" w:after="100" w:line="180" w:lineRule="exact"/>
              <w:jc w:val="center"/>
              <w:textAlignment w:val="baseline"/>
              <w:rPr>
                <w:rFonts w:hint="eastAsia" w:ascii="宋体" w:hAnsi="宋体" w:eastAsia="宋体" w:cs="宋体"/>
                <w:b/>
                <w:kern w:val="0"/>
                <w:sz w:val="18"/>
                <w:szCs w:val="18"/>
              </w:rPr>
            </w:pP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5615CB4B">
            <w:pPr>
              <w:adjustRightInd w:val="0"/>
              <w:spacing w:before="100" w:after="100" w:line="180" w:lineRule="exact"/>
              <w:jc w:val="center"/>
              <w:textAlignment w:val="baseline"/>
              <w:rPr>
                <w:rFonts w:hint="eastAsia" w:ascii="宋体" w:hAnsi="宋体" w:eastAsia="宋体" w:cs="宋体"/>
                <w:b/>
                <w:kern w:val="0"/>
                <w:sz w:val="18"/>
                <w:szCs w:val="18"/>
              </w:rPr>
            </w:pP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7C2EB259">
            <w:pPr>
              <w:adjustRightInd w:val="0"/>
              <w:spacing w:before="100" w:after="100" w:line="180" w:lineRule="exact"/>
              <w:jc w:val="center"/>
              <w:textAlignment w:val="baseline"/>
              <w:rPr>
                <w:rFonts w:hint="eastAsia" w:ascii="宋体" w:hAnsi="宋体" w:eastAsia="宋体" w:cs="宋体"/>
                <w:b/>
                <w:kern w:val="0"/>
                <w:sz w:val="18"/>
                <w:szCs w:val="18"/>
              </w:rPr>
            </w:pPr>
          </w:p>
        </w:tc>
        <w:tc>
          <w:tcPr>
            <w:tcW w:w="509" w:type="dxa"/>
            <w:tcBorders>
              <w:top w:val="single" w:color="000000" w:sz="6" w:space="0"/>
              <w:left w:val="single" w:color="000000" w:sz="6" w:space="0"/>
              <w:bottom w:val="single" w:color="000000" w:sz="6" w:space="0"/>
              <w:right w:val="single" w:color="000000" w:sz="6" w:space="0"/>
            </w:tcBorders>
            <w:noWrap w:val="0"/>
            <w:vAlign w:val="center"/>
          </w:tcPr>
          <w:p w14:paraId="20328E21">
            <w:pPr>
              <w:adjustRightInd w:val="0"/>
              <w:spacing w:before="100" w:after="100" w:line="180" w:lineRule="exact"/>
              <w:jc w:val="center"/>
              <w:textAlignment w:val="baseline"/>
              <w:rPr>
                <w:rFonts w:hint="eastAsia" w:ascii="宋体" w:hAnsi="宋体" w:eastAsia="宋体" w:cs="宋体"/>
                <w:b/>
                <w:kern w:val="0"/>
                <w:sz w:val="18"/>
                <w:szCs w:val="18"/>
              </w:rPr>
            </w:pPr>
            <w:r>
              <w:rPr>
                <w:rFonts w:hint="eastAsia" w:ascii="宋体" w:hAnsi="宋体" w:eastAsia="宋体" w:cs="宋体"/>
                <w:b/>
                <w:kern w:val="0"/>
                <w:sz w:val="18"/>
                <w:szCs w:val="18"/>
              </w:rPr>
              <w:t>√</w:t>
            </w:r>
          </w:p>
        </w:tc>
        <w:tc>
          <w:tcPr>
            <w:tcW w:w="515" w:type="dxa"/>
            <w:tcBorders>
              <w:top w:val="single" w:color="000000" w:sz="6" w:space="0"/>
              <w:left w:val="single" w:color="000000" w:sz="6" w:space="0"/>
              <w:bottom w:val="single" w:color="000000" w:sz="6" w:space="0"/>
              <w:right w:val="single" w:color="000000" w:sz="6" w:space="0"/>
            </w:tcBorders>
            <w:noWrap w:val="0"/>
            <w:vAlign w:val="center"/>
          </w:tcPr>
          <w:p w14:paraId="1E699DA1">
            <w:pPr>
              <w:adjustRightInd w:val="0"/>
              <w:spacing w:before="100" w:after="100" w:line="180" w:lineRule="exact"/>
              <w:jc w:val="center"/>
              <w:textAlignment w:val="baseline"/>
              <w:rPr>
                <w:rFonts w:hint="eastAsia" w:ascii="宋体" w:hAnsi="宋体" w:eastAsia="宋体" w:cs="宋体"/>
                <w:b/>
                <w:kern w:val="0"/>
                <w:sz w:val="18"/>
                <w:szCs w:val="18"/>
              </w:rPr>
            </w:pPr>
          </w:p>
        </w:tc>
        <w:tc>
          <w:tcPr>
            <w:tcW w:w="902" w:type="dxa"/>
            <w:tcBorders>
              <w:top w:val="single" w:color="000000" w:sz="6" w:space="0"/>
              <w:left w:val="single" w:color="000000" w:sz="6" w:space="0"/>
              <w:bottom w:val="single" w:color="000000" w:sz="6" w:space="0"/>
              <w:right w:val="single" w:color="000000" w:sz="6" w:space="0"/>
            </w:tcBorders>
            <w:noWrap w:val="0"/>
            <w:vAlign w:val="center"/>
          </w:tcPr>
          <w:p w14:paraId="615190A5">
            <w:pPr>
              <w:adjustRightInd w:val="0"/>
              <w:spacing w:before="100" w:after="100" w:line="180" w:lineRule="exact"/>
              <w:jc w:val="center"/>
              <w:textAlignment w:val="baseline"/>
              <w:rPr>
                <w:rFonts w:hint="eastAsia" w:ascii="宋体" w:hAnsi="宋体" w:eastAsia="宋体" w:cs="宋体"/>
                <w:kern w:val="0"/>
                <w:sz w:val="18"/>
                <w:szCs w:val="18"/>
              </w:rPr>
            </w:pPr>
          </w:p>
        </w:tc>
        <w:tc>
          <w:tcPr>
            <w:tcW w:w="1690" w:type="dxa"/>
            <w:tcBorders>
              <w:top w:val="single" w:color="000000" w:sz="6" w:space="0"/>
              <w:left w:val="single" w:color="000000" w:sz="6" w:space="0"/>
              <w:bottom w:val="single" w:color="000000" w:sz="6" w:space="0"/>
              <w:right w:val="single" w:color="000000" w:sz="8" w:space="0"/>
            </w:tcBorders>
            <w:noWrap w:val="0"/>
            <w:vAlign w:val="center"/>
          </w:tcPr>
          <w:p w14:paraId="6CC2410D">
            <w:pPr>
              <w:adjustRightInd w:val="0"/>
              <w:spacing w:before="100" w:after="100" w:line="180" w:lineRule="exact"/>
              <w:jc w:val="center"/>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局部装配*</w:t>
            </w:r>
          </w:p>
        </w:tc>
      </w:tr>
    </w:tbl>
    <w:p w14:paraId="7F2D32AE">
      <w:pPr>
        <w:adjustRightInd w:val="0"/>
        <w:snapToGrid w:val="0"/>
        <w:spacing w:before="120" w:line="360" w:lineRule="auto"/>
        <w:ind w:firstLine="420"/>
        <w:jc w:val="left"/>
        <w:textAlignment w:val="baseline"/>
        <w:rPr>
          <w:rFonts w:hint="eastAsia" w:ascii="宋体" w:hAnsi="宋体" w:eastAsia="宋体" w:cs="宋体"/>
          <w:kern w:val="0"/>
          <w:sz w:val="24"/>
          <w:szCs w:val="24"/>
        </w:rPr>
      </w:pPr>
      <w:r>
        <w:rPr>
          <w:rFonts w:hint="eastAsia" w:ascii="宋体" w:hAnsi="宋体" w:eastAsia="宋体" w:cs="宋体"/>
          <w:kern w:val="0"/>
        </w:rPr>
        <w:t>注：“√”为厂内试验项目； * 为发包人到工厂见证和检查项目。</w:t>
      </w:r>
    </w:p>
    <w:p w14:paraId="612CD005">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bookmarkStart w:id="262" w:name="_Toc137135257"/>
      <w:bookmarkEnd w:id="262"/>
      <w:bookmarkStart w:id="263" w:name="_Toc137136196"/>
      <w:r>
        <w:rPr>
          <w:rFonts w:hint="eastAsia" w:ascii="宋体" w:hAnsi="宋体" w:eastAsia="宋体" w:cs="宋体"/>
          <w:bCs/>
          <w:sz w:val="28"/>
          <w:szCs w:val="28"/>
        </w:rPr>
        <w:t>2.</w:t>
      </w:r>
      <w:bookmarkEnd w:id="263"/>
      <w:r>
        <w:rPr>
          <w:rFonts w:hint="eastAsia" w:ascii="宋体" w:hAnsi="宋体" w:eastAsia="宋体" w:cs="宋体"/>
          <w:bCs/>
          <w:sz w:val="28"/>
          <w:szCs w:val="28"/>
        </w:rPr>
        <w:t>9 现场试验</w:t>
      </w:r>
    </w:p>
    <w:p w14:paraId="148227BB">
      <w:pPr>
        <w:spacing w:line="360" w:lineRule="auto"/>
        <w:rPr>
          <w:rFonts w:hint="eastAsia" w:ascii="宋体" w:hAnsi="宋体" w:eastAsia="宋体" w:cs="宋体"/>
          <w:b/>
          <w:bCs/>
          <w:sz w:val="24"/>
          <w:szCs w:val="24"/>
        </w:rPr>
      </w:pPr>
      <w:bookmarkStart w:id="264" w:name="_Toc137136197"/>
      <w:bookmarkEnd w:id="264"/>
      <w:bookmarkStart w:id="265" w:name="_Toc137135258"/>
      <w:r>
        <w:rPr>
          <w:rFonts w:hint="eastAsia" w:ascii="宋体" w:hAnsi="宋体" w:eastAsia="宋体" w:cs="宋体"/>
          <w:b/>
          <w:bCs/>
          <w:sz w:val="24"/>
          <w:szCs w:val="24"/>
        </w:rPr>
        <w:t xml:space="preserve">2.9.1 </w:t>
      </w:r>
      <w:bookmarkEnd w:id="265"/>
      <w:r>
        <w:rPr>
          <w:rFonts w:hint="eastAsia" w:ascii="宋体" w:hAnsi="宋体" w:eastAsia="宋体" w:cs="宋体"/>
          <w:b/>
          <w:bCs/>
          <w:sz w:val="24"/>
          <w:szCs w:val="24"/>
        </w:rPr>
        <w:t>概述</w:t>
      </w:r>
    </w:p>
    <w:p w14:paraId="629F69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2.9.1.1 每台机组安装完毕后，应进行各项现场试验、试运行和验收，以验证设备性能和质量是否符合合同要求。</w:t>
      </w:r>
    </w:p>
    <w:p w14:paraId="76F2B9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2.9.1.2 现场试验由发包人主持，并组织现场领导小组负责对试验结果进行鉴定，承包人应对试验程序和方法负责，并指导试验。承包人应提供现场试验所需的特殊设备和仪表。</w:t>
      </w:r>
    </w:p>
    <w:p w14:paraId="5D3A40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试验大纲应由承包人配合安装单位根据工程进度，在开始试验前一个月提出，经发包人（或工程师）核准后执行。</w:t>
      </w:r>
    </w:p>
    <w:p w14:paraId="020834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试验大纲应包括试验项目、试验准备、试验方法、试验程序、检验标准和试验时间及进度等。</w:t>
      </w:r>
    </w:p>
    <w:p w14:paraId="3C935DF6">
      <w:pPr>
        <w:spacing w:line="360" w:lineRule="auto"/>
        <w:rPr>
          <w:rFonts w:hint="eastAsia" w:ascii="宋体" w:hAnsi="宋体" w:eastAsia="宋体" w:cs="宋体"/>
          <w:b/>
          <w:bCs/>
          <w:sz w:val="24"/>
          <w:szCs w:val="24"/>
        </w:rPr>
      </w:pPr>
      <w:bookmarkStart w:id="266" w:name="_Toc137136198"/>
      <w:bookmarkEnd w:id="266"/>
      <w:bookmarkStart w:id="267" w:name="_Toc137135259"/>
      <w:r>
        <w:rPr>
          <w:rFonts w:hint="eastAsia" w:ascii="宋体" w:hAnsi="宋体" w:eastAsia="宋体" w:cs="宋体"/>
          <w:b/>
          <w:bCs/>
          <w:sz w:val="24"/>
          <w:szCs w:val="24"/>
        </w:rPr>
        <w:t xml:space="preserve">2.9.2 </w:t>
      </w:r>
      <w:bookmarkEnd w:id="267"/>
      <w:r>
        <w:rPr>
          <w:rFonts w:hint="eastAsia" w:ascii="宋体" w:hAnsi="宋体" w:eastAsia="宋体" w:cs="宋体"/>
          <w:b/>
          <w:bCs/>
          <w:sz w:val="24"/>
          <w:szCs w:val="24"/>
        </w:rPr>
        <w:t>水轮机现场安装试验</w:t>
      </w:r>
    </w:p>
    <w:p w14:paraId="0CB3E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2.9.2.21水轮机与发电机主轴安装连轴后，在承包人指导下，由安装单位进行盘车检查，摆度值应符合GB8564《水轮发电机组安装技术规范》中的有关规定，并由工程师用书面形式予以审定。</w:t>
      </w:r>
    </w:p>
    <w:p w14:paraId="1CBE32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2.9.2.2 所有油、气、水系统的管路均应进行耐压试验，并应符合GB8564《水轮发电机组安装技术规范》中的有关规定。</w:t>
      </w:r>
    </w:p>
    <w:p w14:paraId="3B83E8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2.9.2.3 操作、控制、保护和指示装置应进行模拟试验，要求动作准确、可靠。</w:t>
      </w:r>
    </w:p>
    <w:p w14:paraId="2F186D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2.9.2.4 机组的动平衡试验。</w:t>
      </w:r>
    </w:p>
    <w:p w14:paraId="070527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2.9.2.5 其它试验项目由合同双方协商确定。</w:t>
      </w:r>
    </w:p>
    <w:p w14:paraId="69DB3FE0">
      <w:pPr>
        <w:spacing w:line="360" w:lineRule="auto"/>
        <w:rPr>
          <w:rFonts w:hint="eastAsia" w:ascii="宋体" w:hAnsi="宋体" w:eastAsia="宋体" w:cs="宋体"/>
          <w:b/>
          <w:bCs/>
          <w:sz w:val="24"/>
          <w:szCs w:val="24"/>
        </w:rPr>
      </w:pPr>
      <w:bookmarkStart w:id="268" w:name="_Toc137136199"/>
      <w:bookmarkEnd w:id="268"/>
      <w:bookmarkStart w:id="269" w:name="_Toc137135260"/>
      <w:r>
        <w:rPr>
          <w:rFonts w:hint="eastAsia" w:ascii="宋体" w:hAnsi="宋体" w:eastAsia="宋体" w:cs="宋体"/>
          <w:b/>
          <w:bCs/>
          <w:sz w:val="24"/>
          <w:szCs w:val="24"/>
        </w:rPr>
        <w:t xml:space="preserve">2.9.3 </w:t>
      </w:r>
      <w:bookmarkEnd w:id="269"/>
      <w:r>
        <w:rPr>
          <w:rFonts w:hint="eastAsia" w:ascii="宋体" w:hAnsi="宋体" w:eastAsia="宋体" w:cs="宋体"/>
          <w:b/>
          <w:bCs/>
          <w:sz w:val="24"/>
          <w:szCs w:val="24"/>
        </w:rPr>
        <w:t>试运行</w:t>
      </w:r>
    </w:p>
    <w:p w14:paraId="392C04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2.9.3.1 在设备安装完毕，经现场试验，检查合格后，应进行机组试运行，以检验设备技术性能和保证值是否满足和符合合同文件的规定。</w:t>
      </w:r>
    </w:p>
    <w:p w14:paraId="4B83F9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2.9.3.2 试运行期间，由安装单位操作设备，承包人应对其设备和操作方法负责并进行指导。</w:t>
      </w:r>
    </w:p>
    <w:p w14:paraId="31A900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2.9.3.3 试运行工作将按GB8564《水轮发电机组安装技术规范》及DL507《水轮发电机组起动试验规程》中的有关规定进行。</w:t>
      </w:r>
    </w:p>
    <w:p w14:paraId="22CC31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2.9.3.4 机组经72h试运行合格，并按签发初步验收证书后，由发包人负责开始商业运行。</w:t>
      </w:r>
    </w:p>
    <w:p w14:paraId="025A399C">
      <w:pPr>
        <w:spacing w:line="360" w:lineRule="auto"/>
        <w:rPr>
          <w:rFonts w:hint="eastAsia" w:ascii="宋体" w:hAnsi="宋体" w:eastAsia="宋体" w:cs="宋体"/>
          <w:b/>
          <w:bCs/>
          <w:sz w:val="24"/>
          <w:szCs w:val="24"/>
        </w:rPr>
      </w:pPr>
      <w:bookmarkStart w:id="270" w:name="_Toc137135261"/>
      <w:bookmarkEnd w:id="270"/>
      <w:bookmarkStart w:id="271" w:name="_Toc137136200"/>
      <w:r>
        <w:rPr>
          <w:rFonts w:hint="eastAsia" w:ascii="宋体" w:hAnsi="宋体" w:eastAsia="宋体" w:cs="宋体"/>
          <w:b/>
          <w:bCs/>
          <w:sz w:val="24"/>
          <w:szCs w:val="24"/>
        </w:rPr>
        <w:t xml:space="preserve">2.9.4 </w:t>
      </w:r>
      <w:bookmarkEnd w:id="271"/>
      <w:r>
        <w:rPr>
          <w:rFonts w:hint="eastAsia" w:ascii="宋体" w:hAnsi="宋体" w:eastAsia="宋体" w:cs="宋体"/>
          <w:b/>
          <w:bCs/>
          <w:sz w:val="24"/>
          <w:szCs w:val="24"/>
        </w:rPr>
        <w:t>特性验收试验</w:t>
      </w:r>
    </w:p>
    <w:p w14:paraId="21AC50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机组试验运行合格并投入商业运行后，根据需要进行水轮机特性试验，以检验设备是否满足合同文件和保证值。试验在承包人指导下进行。</w:t>
      </w:r>
    </w:p>
    <w:p w14:paraId="25929C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特性试验项目包括：水轮机出力试验、效率试验及空蚀损坏检测等。</w:t>
      </w:r>
    </w:p>
    <w:p w14:paraId="35B3D1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水轮机出力试验：每台机组均做出力指标试验，以检验输出功率是否达到功率保证值；同时测定出力特性曲线。</w:t>
      </w:r>
    </w:p>
    <w:p w14:paraId="1CA5A7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水轮机效率试验：在机组保证期内，经合同双方协商可在1台或2台机组上进行效率试验，以检查是否达到保证值。</w:t>
      </w:r>
    </w:p>
    <w:p w14:paraId="44180BE1">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空蚀损坏检测：在机组运行时间达到8000h时，应由合同双方协商在适当的时间共同进行水轮机空蚀损坏检测，以检查是否达到保证值。</w:t>
      </w:r>
    </w:p>
    <w:bookmarkEnd w:id="58"/>
    <w:p w14:paraId="1E83E06D">
      <w:pPr>
        <w:keepNext/>
        <w:jc w:val="center"/>
        <w:outlineLvl w:val="1"/>
        <w:rPr>
          <w:rFonts w:hint="eastAsia" w:ascii="宋体" w:hAnsi="宋体" w:eastAsia="宋体" w:cs="宋体"/>
          <w:sz w:val="28"/>
          <w:szCs w:val="28"/>
        </w:rPr>
      </w:pPr>
      <w:bookmarkStart w:id="272" w:name="_Toc18335628"/>
      <w:bookmarkStart w:id="273" w:name="_Toc466793690"/>
      <w:r>
        <w:rPr>
          <w:rFonts w:hint="eastAsia" w:ascii="宋体" w:hAnsi="宋体" w:eastAsia="宋体" w:cs="宋体"/>
          <w:sz w:val="28"/>
          <w:szCs w:val="28"/>
        </w:rPr>
        <w:t>第3章 水轮发电机改造技术要求</w:t>
      </w:r>
      <w:bookmarkEnd w:id="272"/>
    </w:p>
    <w:p w14:paraId="573767A5">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3.1 概述</w:t>
      </w:r>
    </w:p>
    <w:p w14:paraId="1FBC65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3.1.1 本节适用于×台立轴式水轮发电机及其附属设备的设计、制造、装配、工厂试验、交付、现场安装及现场试验的技术要求。</w:t>
      </w:r>
    </w:p>
    <w:p w14:paraId="2A6BB7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3.1.2 本技术条款未说明，但又与设计、制造、安装、试验、运输、包装、保管和运行维护等有关的技术要求，按有关标准执行。</w:t>
      </w:r>
    </w:p>
    <w:p w14:paraId="2C58B4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3.1.3 发电机设计、制造、试验、供货和服务等除满足本节要求外，还应满足“一般规定和规范”的要求。发电机制造质量应满足NB/T 42096《小型水轮发电机产品质量控制规范》的要求。</w:t>
      </w:r>
    </w:p>
    <w:p w14:paraId="0B37AF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3.1.4 立轴式水轮发电机及其附属设备的安装、调试将在承包人服务人员的技术指导下，由其他承包商完成。</w:t>
      </w:r>
    </w:p>
    <w:p w14:paraId="002250CE">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r>
        <w:rPr>
          <w:rFonts w:hint="eastAsia" w:ascii="宋体" w:hAnsi="宋体" w:eastAsia="宋体" w:cs="宋体"/>
          <w:bCs/>
          <w:sz w:val="28"/>
          <w:szCs w:val="28"/>
        </w:rPr>
        <w:t>3.2 工作内容</w:t>
      </w:r>
    </w:p>
    <w:p w14:paraId="23EEE92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3.2.1 工作范围</w:t>
      </w:r>
    </w:p>
    <w:p w14:paraId="49D20B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同2.2.1节“工作范围”内容。</w:t>
      </w:r>
    </w:p>
    <w:p w14:paraId="2EE4D27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3.2.2 供货范围</w:t>
      </w:r>
    </w:p>
    <w:p w14:paraId="6C6A30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1）水轮发电机</w:t>
      </w:r>
    </w:p>
    <w:p w14:paraId="5F6CE8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2台套额定容量为</w:t>
      </w:r>
      <w:r>
        <w:rPr>
          <w:rFonts w:hint="eastAsia" w:ascii="宋体" w:hAnsi="宋体" w:eastAsia="宋体" w:cs="宋体"/>
          <w:sz w:val="24"/>
          <w:szCs w:val="24"/>
          <w:lang w:eastAsia="zh-CN"/>
        </w:rPr>
        <w:t>2250</w:t>
      </w:r>
      <w:r>
        <w:rPr>
          <w:rFonts w:hint="eastAsia" w:ascii="宋体" w:hAnsi="宋体" w:eastAsia="宋体" w:cs="宋体"/>
          <w:sz w:val="24"/>
          <w:szCs w:val="24"/>
        </w:rPr>
        <w:t>kW/</w:t>
      </w:r>
      <w:r>
        <w:rPr>
          <w:rFonts w:hint="eastAsia" w:ascii="宋体" w:hAnsi="宋体" w:eastAsia="宋体" w:cs="宋体"/>
          <w:sz w:val="24"/>
          <w:szCs w:val="24"/>
          <w:lang w:eastAsia="zh-CN"/>
        </w:rPr>
        <w:t>2800</w:t>
      </w:r>
      <w:r>
        <w:rPr>
          <w:rFonts w:hint="eastAsia" w:ascii="宋体" w:hAnsi="宋体" w:eastAsia="宋体" w:cs="宋体"/>
          <w:sz w:val="24"/>
          <w:szCs w:val="24"/>
        </w:rPr>
        <w:t>kVA，额定转速为750r/min的立轴、悬式、密闭循环空冷三相同步水轮发电机，每台发电机及其附属设备必须是完整成套配备，并至少应带有下列设备和工作：</w:t>
      </w:r>
    </w:p>
    <w:p w14:paraId="56A02A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—定子机座</w:t>
      </w:r>
      <w:r>
        <w:rPr>
          <w:rFonts w:hint="eastAsia" w:ascii="宋体" w:hAnsi="宋体" w:eastAsia="宋体" w:cs="宋体"/>
          <w:sz w:val="24"/>
          <w:szCs w:val="24"/>
          <w:lang w:val="en-US" w:eastAsia="zh-CN"/>
        </w:rPr>
        <w:t>和定子铁芯</w:t>
      </w:r>
      <w:r>
        <w:rPr>
          <w:rFonts w:hint="eastAsia" w:ascii="宋体" w:hAnsi="宋体" w:eastAsia="宋体" w:cs="宋体"/>
          <w:sz w:val="24"/>
          <w:szCs w:val="24"/>
        </w:rPr>
        <w:t>保留（视情况加固处理）、更换定子绕组</w:t>
      </w:r>
    </w:p>
    <w:p w14:paraId="373AFC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—转子更换磁极线圈，保留磁轭</w:t>
      </w:r>
      <w:r>
        <w:rPr>
          <w:rFonts w:hint="eastAsia" w:ascii="宋体" w:hAnsi="宋体" w:eastAsia="宋体" w:cs="宋体"/>
          <w:sz w:val="24"/>
          <w:szCs w:val="24"/>
          <w:lang w:eastAsia="zh-CN"/>
        </w:rPr>
        <w:t>、</w:t>
      </w:r>
      <w:r>
        <w:rPr>
          <w:rFonts w:hint="eastAsia" w:ascii="宋体" w:hAnsi="宋体" w:eastAsia="宋体" w:cs="宋体"/>
          <w:sz w:val="24"/>
          <w:szCs w:val="24"/>
        </w:rPr>
        <w:t>主轴</w:t>
      </w:r>
      <w:r>
        <w:rPr>
          <w:rFonts w:hint="eastAsia" w:ascii="宋体" w:hAnsi="宋体" w:eastAsia="宋体" w:cs="宋体"/>
          <w:sz w:val="24"/>
          <w:szCs w:val="24"/>
          <w:lang w:val="en-US" w:eastAsia="zh-CN"/>
        </w:rPr>
        <w:t>和</w:t>
      </w:r>
      <w:r>
        <w:rPr>
          <w:rFonts w:hint="eastAsia" w:ascii="宋体" w:hAnsi="宋体" w:eastAsia="宋体" w:cs="宋体"/>
          <w:sz w:val="24"/>
          <w:szCs w:val="24"/>
        </w:rPr>
        <w:t>磁极</w:t>
      </w:r>
      <w:r>
        <w:rPr>
          <w:rFonts w:hint="eastAsia" w:ascii="宋体" w:hAnsi="宋体" w:eastAsia="宋体" w:cs="宋体"/>
          <w:sz w:val="24"/>
          <w:szCs w:val="24"/>
          <w:lang w:val="en-US" w:eastAsia="zh-CN"/>
        </w:rPr>
        <w:t>铁芯</w:t>
      </w:r>
      <w:r>
        <w:rPr>
          <w:rFonts w:hint="eastAsia" w:ascii="宋体" w:hAnsi="宋体" w:eastAsia="宋体" w:cs="宋体"/>
          <w:sz w:val="24"/>
          <w:szCs w:val="24"/>
        </w:rPr>
        <w:t>厂内组装成一个完整的转子</w:t>
      </w:r>
    </w:p>
    <w:p w14:paraId="4BB583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—保留上机架本体，保留推力头和镜板。更换推力轴承、上导轴承、上导油冷却器，密封盖改造成无间隙接触密封。</w:t>
      </w:r>
    </w:p>
    <w:p w14:paraId="3D479B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更换</w:t>
      </w:r>
      <w:r>
        <w:rPr>
          <w:rFonts w:hint="eastAsia" w:ascii="宋体" w:hAnsi="宋体" w:eastAsia="宋体" w:cs="宋体"/>
          <w:sz w:val="24"/>
          <w:szCs w:val="24"/>
        </w:rPr>
        <w:t>下机架本体，更换下导轴承、下导油冷却器，密封盖改造成无间隙接触密封。</w:t>
      </w:r>
    </w:p>
    <w:p w14:paraId="3C136F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—制动器及制动器管路更新。制动器采取高耐磨的制动块。</w:t>
      </w:r>
    </w:p>
    <w:p w14:paraId="56A3D8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—集电环及刷架更新</w:t>
      </w:r>
    </w:p>
    <w:p w14:paraId="79C32A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—油、气、水的管路更新</w:t>
      </w:r>
    </w:p>
    <w:p w14:paraId="512C4A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—自动化元件更新或新增</w:t>
      </w:r>
    </w:p>
    <w:p w14:paraId="108A05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—机械过速保护及齿盘测速装置所有表计、盘柜、电缆、导线</w:t>
      </w:r>
    </w:p>
    <w:p w14:paraId="1C4CAF3C">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—转速信号器（带齿盘）</w:t>
      </w:r>
    </w:p>
    <w:p w14:paraId="22FFE0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2）规定的发电机备品备件</w:t>
      </w:r>
    </w:p>
    <w:p w14:paraId="5CE04B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任何上述1）-2）项中未列上，但又是保证发电机安全、稳定、正常运行和维护、检修所必须的设备、元器件及零部件。</w:t>
      </w:r>
    </w:p>
    <w:p w14:paraId="26A7E42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3.2.3 供货界面</w:t>
      </w:r>
    </w:p>
    <w:p w14:paraId="21B575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主引出线侧——供货至机坑墙外400mm，包括穿机坑引线的密封件、支撑和对钢筋发热的保护措施，但不包括电流互感器；</w:t>
      </w:r>
    </w:p>
    <w:p w14:paraId="55DADA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中性点——包括中性点引出线，供货至机坑墙外400mm，还包括穿机坑引线的密封件、支撑和对钢筋发热的保护措施；</w:t>
      </w:r>
    </w:p>
    <w:p w14:paraId="6380BA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控制及电气系统——供货至承包人提供的盘柜端子；</w:t>
      </w:r>
    </w:p>
    <w:p w14:paraId="3A2177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油、气、水系统——供货至机墩外第一对法兰处（如阀门、自动化元件布置在机墩外，则应包括这些阀门、自动化元件）；</w:t>
      </w:r>
    </w:p>
    <w:p w14:paraId="0C0572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承包人提供的成套设备之间的机械和电气连接均属承包人的供货范围。</w:t>
      </w:r>
    </w:p>
    <w:p w14:paraId="0E8CBCB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3.2.4 技术资料</w:t>
      </w:r>
    </w:p>
    <w:p w14:paraId="1B538C85">
      <w:pPr>
        <w:autoSpaceDE w:val="0"/>
        <w:autoSpaceDN w:val="0"/>
        <w:adjustRightInd w:val="0"/>
        <w:ind w:firstLine="494" w:firstLineChars="206"/>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承包人在各阶段应提供表3.2-1所列的技术资料。</w:t>
      </w:r>
    </w:p>
    <w:p w14:paraId="381EAFE3">
      <w:pPr>
        <w:autoSpaceDE w:val="0"/>
        <w:autoSpaceDN w:val="0"/>
        <w:adjustRightInd w:val="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表3.2-1  提供的技术资料清单</w:t>
      </w:r>
    </w:p>
    <w:tbl>
      <w:tblPr>
        <w:tblStyle w:val="65"/>
        <w:tblW w:w="48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3510"/>
        <w:gridCol w:w="1326"/>
        <w:gridCol w:w="1520"/>
        <w:gridCol w:w="1264"/>
      </w:tblGrid>
      <w:tr w14:paraId="4431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5EBCA4A8">
            <w:pPr>
              <w:spacing w:line="360" w:lineRule="exact"/>
              <w:jc w:val="center"/>
              <w:rPr>
                <w:rFonts w:hint="eastAsia" w:ascii="宋体" w:hAnsi="宋体" w:eastAsia="宋体" w:cs="宋体"/>
                <w:szCs w:val="21"/>
              </w:rPr>
            </w:pPr>
            <w:r>
              <w:rPr>
                <w:rFonts w:hint="eastAsia" w:ascii="宋体" w:hAnsi="宋体" w:eastAsia="宋体" w:cs="宋体"/>
              </w:rPr>
              <w:t>序号</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42B65261">
            <w:pPr>
              <w:spacing w:line="360" w:lineRule="exact"/>
              <w:jc w:val="center"/>
              <w:rPr>
                <w:rFonts w:hint="eastAsia" w:ascii="宋体" w:hAnsi="宋体" w:eastAsia="宋体" w:cs="宋体"/>
              </w:rPr>
            </w:pPr>
            <w:r>
              <w:rPr>
                <w:rFonts w:hint="eastAsia" w:ascii="宋体" w:hAnsi="宋体" w:eastAsia="宋体" w:cs="宋体"/>
              </w:rPr>
              <w:t>图纸名称</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6C10FBEC">
            <w:pPr>
              <w:spacing w:line="360" w:lineRule="exact"/>
              <w:jc w:val="center"/>
              <w:rPr>
                <w:rFonts w:hint="eastAsia" w:ascii="宋体" w:hAnsi="宋体" w:eastAsia="宋体" w:cs="宋体"/>
              </w:rPr>
            </w:pPr>
            <w:r>
              <w:rPr>
                <w:rFonts w:hint="eastAsia" w:ascii="宋体" w:hAnsi="宋体" w:eastAsia="宋体" w:cs="宋体"/>
              </w:rPr>
              <w:t>联络会资料</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10CAC22E">
            <w:pPr>
              <w:spacing w:line="360" w:lineRule="exact"/>
              <w:jc w:val="center"/>
              <w:rPr>
                <w:rFonts w:hint="eastAsia" w:ascii="宋体" w:hAnsi="宋体" w:eastAsia="宋体" w:cs="宋体"/>
              </w:rPr>
            </w:pPr>
            <w:r>
              <w:rPr>
                <w:rFonts w:hint="eastAsia" w:ascii="宋体" w:hAnsi="宋体" w:eastAsia="宋体" w:cs="宋体"/>
              </w:rPr>
              <w:t>正式资料</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1403E3F4">
            <w:pPr>
              <w:spacing w:line="360" w:lineRule="exact"/>
              <w:jc w:val="center"/>
              <w:rPr>
                <w:rFonts w:hint="eastAsia" w:ascii="宋体" w:hAnsi="宋体" w:eastAsia="宋体" w:cs="宋体"/>
              </w:rPr>
            </w:pPr>
            <w:r>
              <w:rPr>
                <w:rFonts w:hint="eastAsia" w:ascii="宋体" w:hAnsi="宋体" w:eastAsia="宋体" w:cs="宋体"/>
              </w:rPr>
              <w:t>随机资料</w:t>
            </w:r>
          </w:p>
        </w:tc>
      </w:tr>
      <w:tr w14:paraId="4753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672350D1">
            <w:pPr>
              <w:spacing w:line="360" w:lineRule="exact"/>
              <w:jc w:val="center"/>
              <w:rPr>
                <w:rFonts w:hint="eastAsia" w:ascii="宋体" w:hAnsi="宋体" w:eastAsia="宋体" w:cs="宋体"/>
              </w:rPr>
            </w:pPr>
            <w:r>
              <w:rPr>
                <w:rFonts w:hint="eastAsia" w:ascii="宋体" w:hAnsi="宋体" w:eastAsia="宋体" w:cs="宋体"/>
              </w:rPr>
              <w:t>1</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6C83D186">
            <w:pPr>
              <w:spacing w:line="360" w:lineRule="exact"/>
              <w:rPr>
                <w:rFonts w:hint="eastAsia" w:ascii="宋体" w:hAnsi="宋体" w:eastAsia="宋体" w:cs="宋体"/>
              </w:rPr>
            </w:pPr>
            <w:r>
              <w:rPr>
                <w:rFonts w:hint="eastAsia" w:ascii="宋体" w:hAnsi="宋体" w:eastAsia="宋体" w:cs="宋体"/>
              </w:rPr>
              <w:t>水轮发电机剖面图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4B1F1936">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4FB39530">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049800B6">
            <w:pPr>
              <w:spacing w:line="360" w:lineRule="exact"/>
              <w:jc w:val="center"/>
              <w:rPr>
                <w:rFonts w:hint="eastAsia" w:ascii="宋体" w:hAnsi="宋体" w:eastAsia="宋体" w:cs="宋体"/>
              </w:rPr>
            </w:pPr>
            <w:r>
              <w:rPr>
                <w:rFonts w:hint="eastAsia" w:ascii="宋体" w:hAnsi="宋体" w:eastAsia="宋体" w:cs="宋体"/>
              </w:rPr>
              <w:t>√</w:t>
            </w:r>
          </w:p>
        </w:tc>
      </w:tr>
      <w:tr w14:paraId="7B1F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39866200">
            <w:pPr>
              <w:spacing w:line="360" w:lineRule="exact"/>
              <w:jc w:val="center"/>
              <w:rPr>
                <w:rFonts w:hint="eastAsia" w:ascii="宋体" w:hAnsi="宋体" w:eastAsia="宋体" w:cs="宋体"/>
              </w:rPr>
            </w:pPr>
            <w:r>
              <w:rPr>
                <w:rFonts w:hint="eastAsia" w:ascii="宋体" w:hAnsi="宋体" w:eastAsia="宋体" w:cs="宋体"/>
              </w:rPr>
              <w:t>2</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354C4E27">
            <w:pPr>
              <w:spacing w:line="360" w:lineRule="exact"/>
              <w:rPr>
                <w:rFonts w:hint="eastAsia" w:ascii="宋体" w:hAnsi="宋体" w:eastAsia="宋体" w:cs="宋体"/>
              </w:rPr>
            </w:pPr>
            <w:r>
              <w:rPr>
                <w:rFonts w:hint="eastAsia" w:ascii="宋体" w:hAnsi="宋体" w:eastAsia="宋体" w:cs="宋体"/>
              </w:rPr>
              <w:t>大件运输尺寸和重量</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63C7577D">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1A8BD42F">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6C1F3E92">
            <w:pPr>
              <w:spacing w:line="360" w:lineRule="exact"/>
              <w:jc w:val="center"/>
              <w:rPr>
                <w:rFonts w:hint="eastAsia" w:ascii="宋体" w:hAnsi="宋体" w:eastAsia="宋体" w:cs="宋体"/>
              </w:rPr>
            </w:pPr>
            <w:r>
              <w:rPr>
                <w:rFonts w:hint="eastAsia" w:ascii="宋体" w:hAnsi="宋体" w:eastAsia="宋体" w:cs="宋体"/>
              </w:rPr>
              <w:t>√</w:t>
            </w:r>
          </w:p>
        </w:tc>
      </w:tr>
      <w:tr w14:paraId="3CEB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3E6ABF74">
            <w:pPr>
              <w:spacing w:line="360" w:lineRule="exact"/>
              <w:jc w:val="center"/>
              <w:rPr>
                <w:rFonts w:hint="eastAsia" w:ascii="宋体" w:hAnsi="宋体" w:eastAsia="宋体" w:cs="宋体"/>
              </w:rPr>
            </w:pPr>
            <w:r>
              <w:rPr>
                <w:rFonts w:hint="eastAsia" w:ascii="宋体" w:hAnsi="宋体" w:eastAsia="宋体" w:cs="宋体"/>
              </w:rPr>
              <w:t>3</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6DF3FDF0">
            <w:pPr>
              <w:spacing w:line="360" w:lineRule="exact"/>
              <w:rPr>
                <w:rFonts w:hint="eastAsia" w:ascii="宋体" w:hAnsi="宋体" w:eastAsia="宋体" w:cs="宋体"/>
              </w:rPr>
            </w:pPr>
            <w:r>
              <w:rPr>
                <w:rFonts w:hint="eastAsia" w:ascii="宋体" w:hAnsi="宋体" w:eastAsia="宋体" w:cs="宋体"/>
              </w:rPr>
              <w:t>发电机外形图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33D32A83">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096CFBD1">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6586EE93">
            <w:pPr>
              <w:spacing w:line="360" w:lineRule="exact"/>
              <w:jc w:val="center"/>
              <w:rPr>
                <w:rFonts w:hint="eastAsia" w:ascii="宋体" w:hAnsi="宋体" w:eastAsia="宋体" w:cs="宋体"/>
              </w:rPr>
            </w:pPr>
            <w:r>
              <w:rPr>
                <w:rFonts w:hint="eastAsia" w:ascii="宋体" w:hAnsi="宋体" w:eastAsia="宋体" w:cs="宋体"/>
              </w:rPr>
              <w:t>√</w:t>
            </w:r>
          </w:p>
        </w:tc>
      </w:tr>
      <w:tr w14:paraId="6831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32AFCC6E">
            <w:pPr>
              <w:spacing w:line="360" w:lineRule="exact"/>
              <w:jc w:val="center"/>
              <w:rPr>
                <w:rFonts w:hint="eastAsia" w:ascii="宋体" w:hAnsi="宋体" w:eastAsia="宋体" w:cs="宋体"/>
              </w:rPr>
            </w:pPr>
            <w:r>
              <w:rPr>
                <w:rFonts w:hint="eastAsia" w:ascii="宋体" w:hAnsi="宋体" w:eastAsia="宋体" w:cs="宋体"/>
              </w:rPr>
              <w:t>4</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162CE9E5">
            <w:pPr>
              <w:spacing w:line="360" w:lineRule="exact"/>
              <w:rPr>
                <w:rFonts w:hint="eastAsia" w:ascii="宋体" w:hAnsi="宋体" w:eastAsia="宋体" w:cs="宋体"/>
              </w:rPr>
            </w:pPr>
            <w:r>
              <w:rPr>
                <w:rFonts w:hint="eastAsia" w:ascii="宋体" w:hAnsi="宋体" w:eastAsia="宋体" w:cs="宋体"/>
              </w:rPr>
              <w:t>发电机基础图和载荷图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66E9B867">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2791E90A">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445D605A">
            <w:pPr>
              <w:spacing w:line="360" w:lineRule="exact"/>
              <w:jc w:val="center"/>
              <w:rPr>
                <w:rFonts w:hint="eastAsia" w:ascii="宋体" w:hAnsi="宋体" w:eastAsia="宋体" w:cs="宋体"/>
              </w:rPr>
            </w:pPr>
            <w:r>
              <w:rPr>
                <w:rFonts w:hint="eastAsia" w:ascii="宋体" w:hAnsi="宋体" w:eastAsia="宋体" w:cs="宋体"/>
              </w:rPr>
              <w:t>√</w:t>
            </w:r>
          </w:p>
        </w:tc>
      </w:tr>
      <w:tr w14:paraId="59EC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1032EDF7">
            <w:pPr>
              <w:spacing w:line="360" w:lineRule="exact"/>
              <w:jc w:val="center"/>
              <w:rPr>
                <w:rFonts w:hint="eastAsia" w:ascii="宋体" w:hAnsi="宋体" w:eastAsia="宋体" w:cs="宋体"/>
              </w:rPr>
            </w:pPr>
            <w:r>
              <w:rPr>
                <w:rFonts w:hint="eastAsia" w:ascii="宋体" w:hAnsi="宋体" w:eastAsia="宋体" w:cs="宋体"/>
              </w:rPr>
              <w:t>5</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2235985C">
            <w:pPr>
              <w:spacing w:line="360" w:lineRule="exact"/>
              <w:rPr>
                <w:rFonts w:hint="eastAsia" w:ascii="宋体" w:hAnsi="宋体" w:eastAsia="宋体" w:cs="宋体"/>
              </w:rPr>
            </w:pPr>
            <w:r>
              <w:rPr>
                <w:rFonts w:hint="eastAsia" w:ascii="宋体" w:hAnsi="宋体" w:eastAsia="宋体" w:cs="宋体"/>
              </w:rPr>
              <w:t>发电机油、气、水系统管路布置图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120DB408">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724290CF">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42D477E4">
            <w:pPr>
              <w:spacing w:line="360" w:lineRule="exact"/>
              <w:jc w:val="center"/>
              <w:rPr>
                <w:rFonts w:hint="eastAsia" w:ascii="宋体" w:hAnsi="宋体" w:eastAsia="宋体" w:cs="宋体"/>
              </w:rPr>
            </w:pPr>
          </w:p>
        </w:tc>
      </w:tr>
      <w:tr w14:paraId="4716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41CC326A">
            <w:pPr>
              <w:spacing w:line="360" w:lineRule="exact"/>
              <w:jc w:val="center"/>
              <w:rPr>
                <w:rFonts w:hint="eastAsia" w:ascii="宋体" w:hAnsi="宋体" w:eastAsia="宋体" w:cs="宋体"/>
              </w:rPr>
            </w:pPr>
            <w:r>
              <w:rPr>
                <w:rFonts w:hint="eastAsia" w:ascii="宋体" w:hAnsi="宋体" w:eastAsia="宋体" w:cs="宋体"/>
              </w:rPr>
              <w:t>6</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1CAA19EC">
            <w:pPr>
              <w:spacing w:line="360" w:lineRule="exact"/>
              <w:rPr>
                <w:rFonts w:hint="eastAsia" w:ascii="宋体" w:hAnsi="宋体" w:eastAsia="宋体" w:cs="宋体"/>
              </w:rPr>
            </w:pPr>
            <w:r>
              <w:rPr>
                <w:rFonts w:hint="eastAsia" w:ascii="宋体" w:hAnsi="宋体" w:eastAsia="宋体" w:cs="宋体"/>
              </w:rPr>
              <w:t>发电机油气水用量及压力</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2E66A395">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003432DB">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27B84D99">
            <w:pPr>
              <w:spacing w:line="360" w:lineRule="exact"/>
              <w:jc w:val="center"/>
              <w:rPr>
                <w:rFonts w:hint="eastAsia" w:ascii="宋体" w:hAnsi="宋体" w:eastAsia="宋体" w:cs="宋体"/>
              </w:rPr>
            </w:pPr>
            <w:r>
              <w:rPr>
                <w:rFonts w:hint="eastAsia" w:ascii="宋体" w:hAnsi="宋体" w:eastAsia="宋体" w:cs="宋体"/>
              </w:rPr>
              <w:t>√</w:t>
            </w:r>
          </w:p>
        </w:tc>
      </w:tr>
      <w:tr w14:paraId="0229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529FB0F6">
            <w:pPr>
              <w:spacing w:line="360" w:lineRule="exact"/>
              <w:jc w:val="center"/>
              <w:rPr>
                <w:rFonts w:hint="eastAsia" w:ascii="宋体" w:hAnsi="宋体" w:eastAsia="宋体" w:cs="宋体"/>
              </w:rPr>
            </w:pPr>
            <w:r>
              <w:rPr>
                <w:rFonts w:hint="eastAsia" w:ascii="宋体" w:hAnsi="宋体" w:eastAsia="宋体" w:cs="宋体"/>
              </w:rPr>
              <w:t>7</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4E7E1206">
            <w:pPr>
              <w:spacing w:line="360" w:lineRule="exact"/>
              <w:rPr>
                <w:rFonts w:hint="eastAsia" w:ascii="宋体" w:hAnsi="宋体" w:eastAsia="宋体" w:cs="宋体"/>
              </w:rPr>
            </w:pPr>
            <w:r>
              <w:rPr>
                <w:rFonts w:hint="eastAsia" w:ascii="宋体" w:hAnsi="宋体" w:eastAsia="宋体" w:cs="宋体"/>
              </w:rPr>
              <w:t>空气冷却器外形及管路接口尺寸图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7132975C">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7FA4F469">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3D022EB7">
            <w:pPr>
              <w:spacing w:line="360" w:lineRule="exact"/>
              <w:jc w:val="center"/>
              <w:rPr>
                <w:rFonts w:hint="eastAsia" w:ascii="宋体" w:hAnsi="宋体" w:eastAsia="宋体" w:cs="宋体"/>
              </w:rPr>
            </w:pPr>
            <w:r>
              <w:rPr>
                <w:rFonts w:hint="eastAsia" w:ascii="宋体" w:hAnsi="宋体" w:eastAsia="宋体" w:cs="宋体"/>
              </w:rPr>
              <w:t>√</w:t>
            </w:r>
          </w:p>
        </w:tc>
      </w:tr>
      <w:tr w14:paraId="7BF6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7323F86E">
            <w:pPr>
              <w:spacing w:line="360" w:lineRule="exact"/>
              <w:jc w:val="center"/>
              <w:rPr>
                <w:rFonts w:hint="eastAsia" w:ascii="宋体" w:hAnsi="宋体" w:eastAsia="宋体" w:cs="宋体"/>
              </w:rPr>
            </w:pPr>
            <w:r>
              <w:rPr>
                <w:rFonts w:hint="eastAsia" w:ascii="宋体" w:hAnsi="宋体" w:eastAsia="宋体" w:cs="宋体"/>
              </w:rPr>
              <w:t>8</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7EA8F8B9">
            <w:pPr>
              <w:spacing w:line="360" w:lineRule="exact"/>
              <w:rPr>
                <w:rFonts w:hint="eastAsia" w:ascii="宋体" w:hAnsi="宋体" w:eastAsia="宋体" w:cs="宋体"/>
              </w:rPr>
            </w:pPr>
            <w:r>
              <w:rPr>
                <w:rFonts w:hint="eastAsia" w:ascii="宋体" w:hAnsi="宋体" w:eastAsia="宋体" w:cs="宋体"/>
              </w:rPr>
              <w:t>高压油顶起及制动管路布置图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58D672B4">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2E25C369">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66C03158">
            <w:pPr>
              <w:spacing w:line="360" w:lineRule="exact"/>
              <w:jc w:val="center"/>
              <w:rPr>
                <w:rFonts w:hint="eastAsia" w:ascii="宋体" w:hAnsi="宋体" w:eastAsia="宋体" w:cs="宋体"/>
              </w:rPr>
            </w:pPr>
            <w:r>
              <w:rPr>
                <w:rFonts w:hint="eastAsia" w:ascii="宋体" w:hAnsi="宋体" w:eastAsia="宋体" w:cs="宋体"/>
              </w:rPr>
              <w:t>√</w:t>
            </w:r>
          </w:p>
        </w:tc>
      </w:tr>
      <w:tr w14:paraId="3641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0F32DA3D">
            <w:pPr>
              <w:spacing w:line="360" w:lineRule="exact"/>
              <w:jc w:val="center"/>
              <w:rPr>
                <w:rFonts w:hint="eastAsia" w:ascii="宋体" w:hAnsi="宋体" w:eastAsia="宋体" w:cs="宋体"/>
              </w:rPr>
            </w:pPr>
            <w:r>
              <w:rPr>
                <w:rFonts w:hint="eastAsia" w:ascii="宋体" w:hAnsi="宋体" w:eastAsia="宋体" w:cs="宋体"/>
              </w:rPr>
              <w:t>9</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2C48E166">
            <w:pPr>
              <w:spacing w:line="360" w:lineRule="exact"/>
              <w:rPr>
                <w:rFonts w:hint="eastAsia" w:ascii="宋体" w:hAnsi="宋体" w:eastAsia="宋体" w:cs="宋体"/>
              </w:rPr>
            </w:pPr>
            <w:r>
              <w:rPr>
                <w:rFonts w:hint="eastAsia" w:ascii="宋体" w:hAnsi="宋体" w:eastAsia="宋体" w:cs="宋体"/>
              </w:rPr>
              <w:t>发电机定子装配图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6190A9DB">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38A8838A">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434956AA">
            <w:pPr>
              <w:spacing w:line="360" w:lineRule="exact"/>
              <w:jc w:val="center"/>
              <w:rPr>
                <w:rFonts w:hint="eastAsia" w:ascii="宋体" w:hAnsi="宋体" w:eastAsia="宋体" w:cs="宋体"/>
              </w:rPr>
            </w:pPr>
            <w:r>
              <w:rPr>
                <w:rFonts w:hint="eastAsia" w:ascii="宋体" w:hAnsi="宋体" w:eastAsia="宋体" w:cs="宋体"/>
              </w:rPr>
              <w:t>√</w:t>
            </w:r>
          </w:p>
        </w:tc>
      </w:tr>
      <w:tr w14:paraId="3725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2E7999C2">
            <w:pPr>
              <w:spacing w:line="360" w:lineRule="exact"/>
              <w:jc w:val="center"/>
              <w:rPr>
                <w:rFonts w:hint="eastAsia" w:ascii="宋体" w:hAnsi="宋体" w:eastAsia="宋体" w:cs="宋体"/>
              </w:rPr>
            </w:pPr>
            <w:r>
              <w:rPr>
                <w:rFonts w:hint="eastAsia" w:ascii="宋体" w:hAnsi="宋体" w:eastAsia="宋体" w:cs="宋体"/>
              </w:rPr>
              <w:t>10</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7A54F9DE">
            <w:pPr>
              <w:spacing w:line="360" w:lineRule="exact"/>
              <w:rPr>
                <w:rFonts w:hint="eastAsia" w:ascii="宋体" w:hAnsi="宋体" w:eastAsia="宋体" w:cs="宋体"/>
              </w:rPr>
            </w:pPr>
            <w:r>
              <w:rPr>
                <w:rFonts w:hint="eastAsia" w:ascii="宋体" w:hAnsi="宋体" w:eastAsia="宋体" w:cs="宋体"/>
              </w:rPr>
              <w:t>发电机转子装配图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2634C6A2">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05A6A1C4">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64607012">
            <w:pPr>
              <w:spacing w:line="360" w:lineRule="exact"/>
              <w:jc w:val="center"/>
              <w:rPr>
                <w:rFonts w:hint="eastAsia" w:ascii="宋体" w:hAnsi="宋体" w:eastAsia="宋体" w:cs="宋体"/>
              </w:rPr>
            </w:pPr>
            <w:r>
              <w:rPr>
                <w:rFonts w:hint="eastAsia" w:ascii="宋体" w:hAnsi="宋体" w:eastAsia="宋体" w:cs="宋体"/>
              </w:rPr>
              <w:t>√</w:t>
            </w:r>
          </w:p>
        </w:tc>
      </w:tr>
      <w:tr w14:paraId="2D28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7B4CBAD5">
            <w:pPr>
              <w:spacing w:line="360" w:lineRule="exact"/>
              <w:jc w:val="center"/>
              <w:rPr>
                <w:rFonts w:hint="eastAsia" w:ascii="宋体" w:hAnsi="宋体" w:eastAsia="宋体" w:cs="宋体"/>
              </w:rPr>
            </w:pPr>
            <w:r>
              <w:rPr>
                <w:rFonts w:hint="eastAsia" w:ascii="宋体" w:hAnsi="宋体" w:eastAsia="宋体" w:cs="宋体"/>
              </w:rPr>
              <w:t>11</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60F3B2D9">
            <w:pPr>
              <w:spacing w:line="360" w:lineRule="exact"/>
              <w:rPr>
                <w:rFonts w:hint="eastAsia" w:ascii="宋体" w:hAnsi="宋体" w:eastAsia="宋体" w:cs="宋体"/>
              </w:rPr>
            </w:pPr>
            <w:r>
              <w:rPr>
                <w:rFonts w:hint="eastAsia" w:ascii="宋体" w:hAnsi="宋体" w:eastAsia="宋体" w:cs="宋体"/>
              </w:rPr>
              <w:t>发电机总装配图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54161E8F">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57775A8A">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5D54CD24">
            <w:pPr>
              <w:spacing w:line="360" w:lineRule="exact"/>
              <w:jc w:val="center"/>
              <w:rPr>
                <w:rFonts w:hint="eastAsia" w:ascii="宋体" w:hAnsi="宋体" w:eastAsia="宋体" w:cs="宋体"/>
              </w:rPr>
            </w:pPr>
            <w:r>
              <w:rPr>
                <w:rFonts w:hint="eastAsia" w:ascii="宋体" w:hAnsi="宋体" w:eastAsia="宋体" w:cs="宋体"/>
              </w:rPr>
              <w:t>√</w:t>
            </w:r>
          </w:p>
        </w:tc>
      </w:tr>
      <w:tr w14:paraId="2164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21844567">
            <w:pPr>
              <w:spacing w:line="360" w:lineRule="exact"/>
              <w:jc w:val="center"/>
              <w:rPr>
                <w:rFonts w:hint="eastAsia" w:ascii="宋体" w:hAnsi="宋体" w:eastAsia="宋体" w:cs="宋体"/>
              </w:rPr>
            </w:pPr>
            <w:r>
              <w:rPr>
                <w:rFonts w:hint="eastAsia" w:ascii="宋体" w:hAnsi="宋体" w:eastAsia="宋体" w:cs="宋体"/>
              </w:rPr>
              <w:t>12</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737B8C16">
            <w:pPr>
              <w:spacing w:line="360" w:lineRule="exact"/>
              <w:rPr>
                <w:rFonts w:hint="eastAsia" w:ascii="宋体" w:hAnsi="宋体" w:eastAsia="宋体" w:cs="宋体"/>
              </w:rPr>
            </w:pPr>
            <w:r>
              <w:rPr>
                <w:rFonts w:hint="eastAsia" w:ascii="宋体" w:hAnsi="宋体" w:eastAsia="宋体" w:cs="宋体"/>
              </w:rPr>
              <w:t>发电机集电环装配图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4A44C33A">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7D565008">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46503C27">
            <w:pPr>
              <w:spacing w:line="360" w:lineRule="exact"/>
              <w:jc w:val="center"/>
              <w:rPr>
                <w:rFonts w:hint="eastAsia" w:ascii="宋体" w:hAnsi="宋体" w:eastAsia="宋体" w:cs="宋体"/>
              </w:rPr>
            </w:pPr>
            <w:r>
              <w:rPr>
                <w:rFonts w:hint="eastAsia" w:ascii="宋体" w:hAnsi="宋体" w:eastAsia="宋体" w:cs="宋体"/>
              </w:rPr>
              <w:t>√</w:t>
            </w:r>
          </w:p>
        </w:tc>
      </w:tr>
      <w:tr w14:paraId="160E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01A7CA1F">
            <w:pPr>
              <w:spacing w:line="360" w:lineRule="exact"/>
              <w:jc w:val="center"/>
              <w:rPr>
                <w:rFonts w:hint="eastAsia" w:ascii="宋体" w:hAnsi="宋体" w:eastAsia="宋体" w:cs="宋体"/>
              </w:rPr>
            </w:pPr>
            <w:r>
              <w:rPr>
                <w:rFonts w:hint="eastAsia" w:ascii="宋体" w:hAnsi="宋体" w:eastAsia="宋体" w:cs="宋体"/>
              </w:rPr>
              <w:t>13</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303B64B5">
            <w:pPr>
              <w:spacing w:line="360" w:lineRule="exact"/>
              <w:rPr>
                <w:rFonts w:hint="eastAsia" w:ascii="宋体" w:hAnsi="宋体" w:eastAsia="宋体" w:cs="宋体"/>
              </w:rPr>
            </w:pPr>
            <w:r>
              <w:rPr>
                <w:rFonts w:hint="eastAsia" w:ascii="宋体" w:hAnsi="宋体" w:eastAsia="宋体" w:cs="宋体"/>
              </w:rPr>
              <w:t>发电机制动器装配图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361CA536">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01584D99">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5F43447A">
            <w:pPr>
              <w:spacing w:line="360" w:lineRule="exact"/>
              <w:jc w:val="center"/>
              <w:rPr>
                <w:rFonts w:hint="eastAsia" w:ascii="宋体" w:hAnsi="宋体" w:eastAsia="宋体" w:cs="宋体"/>
              </w:rPr>
            </w:pPr>
            <w:r>
              <w:rPr>
                <w:rFonts w:hint="eastAsia" w:ascii="宋体" w:hAnsi="宋体" w:eastAsia="宋体" w:cs="宋体"/>
              </w:rPr>
              <w:t>√</w:t>
            </w:r>
          </w:p>
        </w:tc>
      </w:tr>
      <w:tr w14:paraId="76B8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4F10CB3D">
            <w:pPr>
              <w:spacing w:line="360" w:lineRule="exact"/>
              <w:jc w:val="center"/>
              <w:rPr>
                <w:rFonts w:hint="eastAsia" w:ascii="宋体" w:hAnsi="宋体" w:eastAsia="宋体" w:cs="宋体"/>
              </w:rPr>
            </w:pPr>
            <w:r>
              <w:rPr>
                <w:rFonts w:hint="eastAsia" w:ascii="宋体" w:hAnsi="宋体" w:eastAsia="宋体" w:cs="宋体"/>
              </w:rPr>
              <w:t>14</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3EEEA847">
            <w:pPr>
              <w:spacing w:line="360" w:lineRule="exact"/>
              <w:rPr>
                <w:rFonts w:hint="eastAsia" w:ascii="宋体" w:hAnsi="宋体" w:eastAsia="宋体" w:cs="宋体"/>
              </w:rPr>
            </w:pPr>
            <w:r>
              <w:rPr>
                <w:rFonts w:hint="eastAsia" w:ascii="宋体" w:hAnsi="宋体" w:eastAsia="宋体" w:cs="宋体"/>
              </w:rPr>
              <w:t>发电机上导推力轴承装配图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009E3DEF">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5D5C01D2">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4417273E">
            <w:pPr>
              <w:spacing w:line="360" w:lineRule="exact"/>
              <w:jc w:val="center"/>
              <w:rPr>
                <w:rFonts w:hint="eastAsia" w:ascii="宋体" w:hAnsi="宋体" w:eastAsia="宋体" w:cs="宋体"/>
              </w:rPr>
            </w:pPr>
            <w:r>
              <w:rPr>
                <w:rFonts w:hint="eastAsia" w:ascii="宋体" w:hAnsi="宋体" w:eastAsia="宋体" w:cs="宋体"/>
              </w:rPr>
              <w:t>√</w:t>
            </w:r>
          </w:p>
        </w:tc>
      </w:tr>
      <w:tr w14:paraId="011F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3A30B611">
            <w:pPr>
              <w:spacing w:line="360" w:lineRule="exact"/>
              <w:jc w:val="center"/>
              <w:rPr>
                <w:rFonts w:hint="eastAsia" w:ascii="宋体" w:hAnsi="宋体" w:eastAsia="宋体" w:cs="宋体"/>
              </w:rPr>
            </w:pPr>
            <w:r>
              <w:rPr>
                <w:rFonts w:hint="eastAsia" w:ascii="宋体" w:hAnsi="宋体" w:eastAsia="宋体" w:cs="宋体"/>
              </w:rPr>
              <w:t>15</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25C59E1D">
            <w:pPr>
              <w:spacing w:line="360" w:lineRule="exact"/>
              <w:rPr>
                <w:rFonts w:hint="eastAsia" w:ascii="宋体" w:hAnsi="宋体" w:eastAsia="宋体" w:cs="宋体"/>
              </w:rPr>
            </w:pPr>
            <w:r>
              <w:rPr>
                <w:rFonts w:hint="eastAsia" w:ascii="宋体" w:hAnsi="宋体" w:eastAsia="宋体" w:cs="宋体"/>
              </w:rPr>
              <w:t>发电机下导轴承装配图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03B6B441">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49FF3EEB">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0874BC6D">
            <w:pPr>
              <w:spacing w:line="360" w:lineRule="exact"/>
              <w:jc w:val="center"/>
              <w:rPr>
                <w:rFonts w:hint="eastAsia" w:ascii="宋体" w:hAnsi="宋体" w:eastAsia="宋体" w:cs="宋体"/>
              </w:rPr>
            </w:pPr>
            <w:r>
              <w:rPr>
                <w:rFonts w:hint="eastAsia" w:ascii="宋体" w:hAnsi="宋体" w:eastAsia="宋体" w:cs="宋体"/>
              </w:rPr>
              <w:t>√</w:t>
            </w:r>
          </w:p>
        </w:tc>
      </w:tr>
      <w:tr w14:paraId="0C19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6EBE0AE9">
            <w:pPr>
              <w:spacing w:line="360" w:lineRule="exact"/>
              <w:jc w:val="center"/>
              <w:rPr>
                <w:rFonts w:hint="eastAsia" w:ascii="宋体" w:hAnsi="宋体" w:eastAsia="宋体" w:cs="宋体"/>
              </w:rPr>
            </w:pPr>
            <w:r>
              <w:rPr>
                <w:rFonts w:hint="eastAsia" w:ascii="宋体" w:hAnsi="宋体" w:eastAsia="宋体" w:cs="宋体"/>
              </w:rPr>
              <w:t>16</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114DE081">
            <w:pPr>
              <w:spacing w:line="360" w:lineRule="exact"/>
              <w:rPr>
                <w:rFonts w:hint="eastAsia" w:ascii="宋体" w:hAnsi="宋体" w:eastAsia="宋体" w:cs="宋体"/>
              </w:rPr>
            </w:pPr>
            <w:r>
              <w:rPr>
                <w:rFonts w:hint="eastAsia" w:ascii="宋体" w:hAnsi="宋体" w:eastAsia="宋体" w:cs="宋体"/>
              </w:rPr>
              <w:t>主引出线和中性点引出线布置图</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56F50AAE">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6B2A745B">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6F268574">
            <w:pPr>
              <w:spacing w:line="360" w:lineRule="exact"/>
              <w:jc w:val="center"/>
              <w:rPr>
                <w:rFonts w:hint="eastAsia" w:ascii="宋体" w:hAnsi="宋体" w:eastAsia="宋体" w:cs="宋体"/>
              </w:rPr>
            </w:pPr>
            <w:r>
              <w:rPr>
                <w:rFonts w:hint="eastAsia" w:ascii="宋体" w:hAnsi="宋体" w:eastAsia="宋体" w:cs="宋体"/>
              </w:rPr>
              <w:t>√</w:t>
            </w:r>
          </w:p>
        </w:tc>
      </w:tr>
      <w:tr w14:paraId="4492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181BF645">
            <w:pPr>
              <w:spacing w:line="360" w:lineRule="exact"/>
              <w:jc w:val="center"/>
              <w:rPr>
                <w:rFonts w:hint="eastAsia" w:ascii="宋体" w:hAnsi="宋体" w:eastAsia="宋体" w:cs="宋体"/>
              </w:rPr>
            </w:pPr>
            <w:r>
              <w:rPr>
                <w:rFonts w:hint="eastAsia" w:ascii="宋体" w:hAnsi="宋体" w:eastAsia="宋体" w:cs="宋体"/>
              </w:rPr>
              <w:t>17</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753041F7">
            <w:pPr>
              <w:spacing w:line="360" w:lineRule="exact"/>
              <w:rPr>
                <w:rFonts w:hint="eastAsia" w:ascii="宋体" w:hAnsi="宋体" w:eastAsia="宋体" w:cs="宋体"/>
              </w:rPr>
            </w:pPr>
            <w:r>
              <w:rPr>
                <w:rFonts w:hint="eastAsia" w:ascii="宋体" w:hAnsi="宋体" w:eastAsia="宋体" w:cs="宋体"/>
              </w:rPr>
              <w:t>发电机电磁计算成果</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379B73CA">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065651A4">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1AB734B9">
            <w:pPr>
              <w:spacing w:line="360" w:lineRule="exact"/>
              <w:jc w:val="center"/>
              <w:rPr>
                <w:rFonts w:hint="eastAsia" w:ascii="宋体" w:hAnsi="宋体" w:eastAsia="宋体" w:cs="宋体"/>
              </w:rPr>
            </w:pPr>
            <w:r>
              <w:rPr>
                <w:rFonts w:hint="eastAsia" w:ascii="宋体" w:hAnsi="宋体" w:eastAsia="宋体" w:cs="宋体"/>
              </w:rPr>
              <w:t>√</w:t>
            </w:r>
          </w:p>
        </w:tc>
      </w:tr>
      <w:tr w14:paraId="3315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7BFD9DFB">
            <w:pPr>
              <w:spacing w:line="360" w:lineRule="exact"/>
              <w:jc w:val="center"/>
              <w:rPr>
                <w:rFonts w:hint="eastAsia" w:ascii="宋体" w:hAnsi="宋体" w:eastAsia="宋体" w:cs="宋体"/>
              </w:rPr>
            </w:pPr>
            <w:r>
              <w:rPr>
                <w:rFonts w:hint="eastAsia" w:ascii="宋体" w:hAnsi="宋体" w:eastAsia="宋体" w:cs="宋体"/>
              </w:rPr>
              <w:t>18</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50CC08B6">
            <w:pPr>
              <w:spacing w:line="360" w:lineRule="exact"/>
              <w:rPr>
                <w:rFonts w:hint="eastAsia" w:ascii="宋体" w:hAnsi="宋体" w:eastAsia="宋体" w:cs="宋体"/>
              </w:rPr>
            </w:pPr>
            <w:r>
              <w:rPr>
                <w:rFonts w:hint="eastAsia" w:ascii="宋体" w:hAnsi="宋体" w:eastAsia="宋体" w:cs="宋体"/>
              </w:rPr>
              <w:t>发电机功率及运行特性曲线</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2B912B07">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457DCD49">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78A51EAB">
            <w:pPr>
              <w:spacing w:line="360" w:lineRule="exact"/>
              <w:jc w:val="center"/>
              <w:rPr>
                <w:rFonts w:hint="eastAsia" w:ascii="宋体" w:hAnsi="宋体" w:eastAsia="宋体" w:cs="宋体"/>
              </w:rPr>
            </w:pPr>
            <w:r>
              <w:rPr>
                <w:rFonts w:hint="eastAsia" w:ascii="宋体" w:hAnsi="宋体" w:eastAsia="宋体" w:cs="宋体"/>
              </w:rPr>
              <w:t>√</w:t>
            </w:r>
          </w:p>
        </w:tc>
      </w:tr>
      <w:tr w14:paraId="0B1B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04736671">
            <w:pPr>
              <w:spacing w:line="360" w:lineRule="exact"/>
              <w:jc w:val="center"/>
              <w:rPr>
                <w:rFonts w:hint="eastAsia" w:ascii="宋体" w:hAnsi="宋体" w:eastAsia="宋体" w:cs="宋体"/>
              </w:rPr>
            </w:pPr>
            <w:r>
              <w:rPr>
                <w:rFonts w:hint="eastAsia" w:ascii="宋体" w:hAnsi="宋体" w:eastAsia="宋体" w:cs="宋体"/>
              </w:rPr>
              <w:t>19</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64F4C490">
            <w:pPr>
              <w:spacing w:line="360" w:lineRule="exact"/>
              <w:rPr>
                <w:rFonts w:hint="eastAsia" w:ascii="宋体" w:hAnsi="宋体" w:eastAsia="宋体" w:cs="宋体"/>
              </w:rPr>
            </w:pPr>
            <w:r>
              <w:rPr>
                <w:rFonts w:hint="eastAsia" w:ascii="宋体" w:hAnsi="宋体" w:eastAsia="宋体" w:cs="宋体"/>
              </w:rPr>
              <w:t>发电机产品技术条件及说明书</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7F293221">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7E259526">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5174AF95">
            <w:pPr>
              <w:spacing w:line="360" w:lineRule="exact"/>
              <w:jc w:val="center"/>
              <w:rPr>
                <w:rFonts w:hint="eastAsia" w:ascii="宋体" w:hAnsi="宋体" w:eastAsia="宋体" w:cs="宋体"/>
              </w:rPr>
            </w:pPr>
            <w:r>
              <w:rPr>
                <w:rFonts w:hint="eastAsia" w:ascii="宋体" w:hAnsi="宋体" w:eastAsia="宋体" w:cs="宋体"/>
              </w:rPr>
              <w:t>√</w:t>
            </w:r>
          </w:p>
        </w:tc>
      </w:tr>
      <w:tr w14:paraId="5AA7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43265EE6">
            <w:pPr>
              <w:spacing w:line="360" w:lineRule="exact"/>
              <w:jc w:val="center"/>
              <w:rPr>
                <w:rFonts w:hint="eastAsia" w:ascii="宋体" w:hAnsi="宋体" w:eastAsia="宋体" w:cs="宋体"/>
              </w:rPr>
            </w:pPr>
            <w:r>
              <w:rPr>
                <w:rFonts w:hint="eastAsia" w:ascii="宋体" w:hAnsi="宋体" w:eastAsia="宋体" w:cs="宋体"/>
              </w:rPr>
              <w:t>20</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3E2D5546">
            <w:pPr>
              <w:spacing w:line="360" w:lineRule="exact"/>
              <w:rPr>
                <w:rFonts w:hint="eastAsia" w:ascii="宋体" w:hAnsi="宋体" w:eastAsia="宋体" w:cs="宋体"/>
              </w:rPr>
            </w:pPr>
            <w:r>
              <w:rPr>
                <w:rFonts w:hint="eastAsia" w:ascii="宋体" w:hAnsi="宋体" w:eastAsia="宋体" w:cs="宋体"/>
              </w:rPr>
              <w:t>发电机空载和短路特性曲线</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58C905FB">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0E06E134">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030E3E58">
            <w:pPr>
              <w:spacing w:line="360" w:lineRule="exact"/>
              <w:jc w:val="center"/>
              <w:rPr>
                <w:rFonts w:hint="eastAsia" w:ascii="宋体" w:hAnsi="宋体" w:eastAsia="宋体" w:cs="宋体"/>
              </w:rPr>
            </w:pPr>
            <w:r>
              <w:rPr>
                <w:rFonts w:hint="eastAsia" w:ascii="宋体" w:hAnsi="宋体" w:eastAsia="宋体" w:cs="宋体"/>
              </w:rPr>
              <w:t>√</w:t>
            </w:r>
          </w:p>
        </w:tc>
      </w:tr>
      <w:tr w14:paraId="6EEC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2B957E67">
            <w:pPr>
              <w:spacing w:line="360" w:lineRule="exact"/>
              <w:jc w:val="center"/>
              <w:rPr>
                <w:rFonts w:hint="eastAsia" w:ascii="宋体" w:hAnsi="宋体" w:eastAsia="宋体" w:cs="宋体"/>
              </w:rPr>
            </w:pPr>
            <w:r>
              <w:rPr>
                <w:rFonts w:hint="eastAsia" w:ascii="宋体" w:hAnsi="宋体" w:eastAsia="宋体" w:cs="宋体"/>
              </w:rPr>
              <w:t>21</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6FBBAB83">
            <w:pPr>
              <w:spacing w:line="360" w:lineRule="exact"/>
              <w:rPr>
                <w:rFonts w:hint="eastAsia" w:ascii="宋体" w:hAnsi="宋体" w:eastAsia="宋体" w:cs="宋体"/>
              </w:rPr>
            </w:pPr>
            <w:r>
              <w:rPr>
                <w:rFonts w:hint="eastAsia" w:ascii="宋体" w:hAnsi="宋体" w:eastAsia="宋体" w:cs="宋体"/>
              </w:rPr>
              <w:t>发电机安装使用维护说明书</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685BF885">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4D495BEA">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7FF0EFDB">
            <w:pPr>
              <w:spacing w:line="360" w:lineRule="exact"/>
              <w:jc w:val="center"/>
              <w:rPr>
                <w:rFonts w:hint="eastAsia" w:ascii="宋体" w:hAnsi="宋体" w:eastAsia="宋体" w:cs="宋体"/>
              </w:rPr>
            </w:pPr>
            <w:r>
              <w:rPr>
                <w:rFonts w:hint="eastAsia" w:ascii="宋体" w:hAnsi="宋体" w:eastAsia="宋体" w:cs="宋体"/>
              </w:rPr>
              <w:t>√</w:t>
            </w:r>
          </w:p>
        </w:tc>
      </w:tr>
      <w:tr w14:paraId="0899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2DBA3276">
            <w:pPr>
              <w:spacing w:line="360" w:lineRule="exact"/>
              <w:jc w:val="center"/>
              <w:rPr>
                <w:rFonts w:hint="eastAsia" w:ascii="宋体" w:hAnsi="宋体" w:eastAsia="宋体" w:cs="宋体"/>
              </w:rPr>
            </w:pPr>
            <w:r>
              <w:rPr>
                <w:rFonts w:hint="eastAsia" w:ascii="宋体" w:hAnsi="宋体" w:eastAsia="宋体" w:cs="宋体"/>
              </w:rPr>
              <w:t>22</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7F2B8370">
            <w:pPr>
              <w:spacing w:line="360" w:lineRule="exact"/>
              <w:rPr>
                <w:rFonts w:hint="eastAsia" w:ascii="宋体" w:hAnsi="宋体" w:eastAsia="宋体" w:cs="宋体"/>
              </w:rPr>
            </w:pPr>
            <w:r>
              <w:rPr>
                <w:rFonts w:hint="eastAsia" w:ascii="宋体" w:hAnsi="宋体" w:eastAsia="宋体" w:cs="宋体"/>
              </w:rPr>
              <w:t>厂内产品检查及试验记录</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6DCA4D4A">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4062EC26">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1BB5186F">
            <w:pPr>
              <w:spacing w:line="360" w:lineRule="exact"/>
              <w:jc w:val="center"/>
              <w:rPr>
                <w:rFonts w:hint="eastAsia" w:ascii="宋体" w:hAnsi="宋体" w:eastAsia="宋体" w:cs="宋体"/>
              </w:rPr>
            </w:pPr>
            <w:r>
              <w:rPr>
                <w:rFonts w:hint="eastAsia" w:ascii="宋体" w:hAnsi="宋体" w:eastAsia="宋体" w:cs="宋体"/>
              </w:rPr>
              <w:t>√</w:t>
            </w:r>
          </w:p>
        </w:tc>
      </w:tr>
      <w:tr w14:paraId="3374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7114C551">
            <w:pPr>
              <w:spacing w:line="360" w:lineRule="exact"/>
              <w:jc w:val="center"/>
              <w:rPr>
                <w:rFonts w:hint="eastAsia" w:ascii="宋体" w:hAnsi="宋体" w:eastAsia="宋体" w:cs="宋体"/>
              </w:rPr>
            </w:pPr>
            <w:r>
              <w:rPr>
                <w:rFonts w:hint="eastAsia" w:ascii="宋体" w:hAnsi="宋体" w:eastAsia="宋体" w:cs="宋体"/>
              </w:rPr>
              <w:t>23</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2117B283">
            <w:pPr>
              <w:spacing w:line="360" w:lineRule="exact"/>
              <w:rPr>
                <w:rFonts w:hint="eastAsia" w:ascii="宋体" w:hAnsi="宋体" w:eastAsia="宋体" w:cs="宋体"/>
              </w:rPr>
            </w:pPr>
            <w:r>
              <w:rPr>
                <w:rFonts w:hint="eastAsia" w:ascii="宋体" w:hAnsi="宋体" w:eastAsia="宋体" w:cs="宋体"/>
              </w:rPr>
              <w:t>需要提供的其它随机图纸</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13476E0B">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7E14F927">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42047239">
            <w:pPr>
              <w:spacing w:line="360" w:lineRule="exact"/>
              <w:jc w:val="center"/>
              <w:rPr>
                <w:rFonts w:hint="eastAsia" w:ascii="宋体" w:hAnsi="宋体" w:eastAsia="宋体" w:cs="宋体"/>
              </w:rPr>
            </w:pPr>
            <w:r>
              <w:rPr>
                <w:rFonts w:hint="eastAsia" w:ascii="宋体" w:hAnsi="宋体" w:eastAsia="宋体" w:cs="宋体"/>
              </w:rPr>
              <w:t>√</w:t>
            </w:r>
          </w:p>
        </w:tc>
      </w:tr>
      <w:tr w14:paraId="7F29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noWrap w:val="0"/>
            <w:vAlign w:val="top"/>
          </w:tcPr>
          <w:p w14:paraId="76F419D6">
            <w:pPr>
              <w:spacing w:line="360" w:lineRule="exact"/>
              <w:jc w:val="center"/>
              <w:rPr>
                <w:rFonts w:hint="eastAsia" w:ascii="宋体" w:hAnsi="宋体" w:eastAsia="宋体" w:cs="宋体"/>
              </w:rPr>
            </w:pPr>
            <w:r>
              <w:rPr>
                <w:rFonts w:hint="eastAsia" w:ascii="宋体" w:hAnsi="宋体" w:eastAsia="宋体" w:cs="宋体"/>
              </w:rPr>
              <w:t>24</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4EB4AAA1">
            <w:pPr>
              <w:spacing w:line="360" w:lineRule="exact"/>
              <w:rPr>
                <w:rFonts w:hint="eastAsia" w:ascii="宋体" w:hAnsi="宋体" w:eastAsia="宋体" w:cs="宋体"/>
              </w:rPr>
            </w:pPr>
            <w:r>
              <w:rPr>
                <w:rFonts w:hint="eastAsia" w:ascii="宋体" w:hAnsi="宋体" w:eastAsia="宋体" w:cs="宋体"/>
              </w:rPr>
              <w:t>图纸资料目录</w:t>
            </w:r>
          </w:p>
        </w:tc>
        <w:tc>
          <w:tcPr>
            <w:tcW w:w="1326" w:type="dxa"/>
            <w:tcBorders>
              <w:top w:val="single" w:color="auto" w:sz="4" w:space="0"/>
              <w:left w:val="single" w:color="auto" w:sz="4" w:space="0"/>
              <w:bottom w:val="single" w:color="auto" w:sz="4" w:space="0"/>
              <w:right w:val="single" w:color="auto" w:sz="4" w:space="0"/>
            </w:tcBorders>
            <w:noWrap w:val="0"/>
            <w:vAlign w:val="top"/>
          </w:tcPr>
          <w:p w14:paraId="6E15F8F1">
            <w:pPr>
              <w:spacing w:line="360" w:lineRule="exact"/>
              <w:jc w:val="center"/>
              <w:rPr>
                <w:rFonts w:hint="eastAsia" w:ascii="宋体" w:hAnsi="宋体" w:eastAsia="宋体" w:cs="宋体"/>
              </w:rPr>
            </w:pPr>
            <w:r>
              <w:rPr>
                <w:rFonts w:hint="eastAsia" w:ascii="宋体" w:hAnsi="宋体" w:eastAsia="宋体" w:cs="宋体"/>
              </w:rPr>
              <w:t>√</w:t>
            </w:r>
          </w:p>
        </w:tc>
        <w:tc>
          <w:tcPr>
            <w:tcW w:w="1520" w:type="dxa"/>
            <w:tcBorders>
              <w:top w:val="single" w:color="auto" w:sz="4" w:space="0"/>
              <w:left w:val="single" w:color="auto" w:sz="4" w:space="0"/>
              <w:bottom w:val="single" w:color="auto" w:sz="4" w:space="0"/>
              <w:right w:val="single" w:color="auto" w:sz="4" w:space="0"/>
            </w:tcBorders>
            <w:noWrap w:val="0"/>
            <w:vAlign w:val="top"/>
          </w:tcPr>
          <w:p w14:paraId="1346567C">
            <w:pPr>
              <w:spacing w:line="360" w:lineRule="exact"/>
              <w:jc w:val="center"/>
              <w:rPr>
                <w:rFonts w:hint="eastAsia" w:ascii="宋体" w:hAnsi="宋体" w:eastAsia="宋体" w:cs="宋体"/>
              </w:rPr>
            </w:pPr>
            <w:r>
              <w:rPr>
                <w:rFonts w:hint="eastAsia" w:ascii="宋体" w:hAnsi="宋体" w:eastAsia="宋体" w:cs="宋体"/>
              </w:rPr>
              <w:t>√</w:t>
            </w:r>
          </w:p>
        </w:tc>
        <w:tc>
          <w:tcPr>
            <w:tcW w:w="1264" w:type="dxa"/>
            <w:tcBorders>
              <w:top w:val="single" w:color="auto" w:sz="4" w:space="0"/>
              <w:left w:val="single" w:color="auto" w:sz="4" w:space="0"/>
              <w:bottom w:val="single" w:color="auto" w:sz="4" w:space="0"/>
              <w:right w:val="single" w:color="auto" w:sz="4" w:space="0"/>
            </w:tcBorders>
            <w:noWrap w:val="0"/>
            <w:vAlign w:val="top"/>
          </w:tcPr>
          <w:p w14:paraId="5BFE492B">
            <w:pPr>
              <w:spacing w:line="360" w:lineRule="exact"/>
              <w:jc w:val="center"/>
              <w:rPr>
                <w:rFonts w:hint="eastAsia" w:ascii="宋体" w:hAnsi="宋体" w:eastAsia="宋体" w:cs="宋体"/>
              </w:rPr>
            </w:pPr>
            <w:r>
              <w:rPr>
                <w:rFonts w:hint="eastAsia" w:ascii="宋体" w:hAnsi="宋体" w:eastAsia="宋体" w:cs="宋体"/>
              </w:rPr>
              <w:t>√</w:t>
            </w:r>
          </w:p>
        </w:tc>
      </w:tr>
    </w:tbl>
    <w:p w14:paraId="6E5553D4">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r>
        <w:rPr>
          <w:rFonts w:hint="eastAsia" w:ascii="宋体" w:hAnsi="宋体" w:eastAsia="宋体" w:cs="宋体"/>
          <w:bCs/>
          <w:sz w:val="28"/>
          <w:szCs w:val="28"/>
        </w:rPr>
        <w:t>3.3 标准</w:t>
      </w:r>
    </w:p>
    <w:p w14:paraId="2AFFB401">
      <w:pPr>
        <w:autoSpaceDE w:val="0"/>
        <w:autoSpaceDN w:val="0"/>
        <w:adjustRightInd w:val="0"/>
        <w:ind w:firstLine="494" w:firstLineChars="206"/>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发电机设计、制造、安装、调试等应满足以下标准规范要求（不限于）。</w:t>
      </w:r>
    </w:p>
    <w:tbl>
      <w:tblPr>
        <w:tblStyle w:val="65"/>
        <w:tblW w:w="5003" w:type="pct"/>
        <w:tblInd w:w="4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7" w:type="dxa"/>
          <w:bottom w:w="0" w:type="dxa"/>
          <w:right w:w="57" w:type="dxa"/>
        </w:tblCellMar>
      </w:tblPr>
      <w:tblGrid>
        <w:gridCol w:w="2032"/>
        <w:gridCol w:w="6366"/>
      </w:tblGrid>
      <w:tr w14:paraId="0E808F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4" w:space="0"/>
              <w:left w:val="single" w:color="auto" w:sz="4" w:space="0"/>
              <w:bottom w:val="single" w:color="auto" w:sz="6" w:space="0"/>
              <w:right w:val="single" w:color="auto" w:sz="6" w:space="0"/>
            </w:tcBorders>
            <w:noWrap w:val="0"/>
            <w:vAlign w:val="center"/>
          </w:tcPr>
          <w:p w14:paraId="6E5CBFA6">
            <w:pPr>
              <w:widowControl/>
              <w:snapToGrid w:val="0"/>
              <w:jc w:val="left"/>
              <w:rPr>
                <w:rFonts w:hint="eastAsia" w:ascii="宋体" w:hAnsi="宋体" w:eastAsia="宋体" w:cs="宋体"/>
                <w:kern w:val="0"/>
                <w:szCs w:val="21"/>
              </w:rPr>
            </w:pPr>
            <w:r>
              <w:rPr>
                <w:rFonts w:hint="eastAsia" w:ascii="宋体" w:hAnsi="宋体" w:eastAsia="宋体" w:cs="宋体"/>
                <w:kern w:val="0"/>
              </w:rPr>
              <w:t>NB/T10878</w:t>
            </w:r>
          </w:p>
        </w:tc>
        <w:tc>
          <w:tcPr>
            <w:tcW w:w="6363" w:type="dxa"/>
            <w:tcBorders>
              <w:top w:val="single" w:color="auto" w:sz="4" w:space="0"/>
              <w:left w:val="single" w:color="auto" w:sz="6" w:space="0"/>
              <w:bottom w:val="single" w:color="auto" w:sz="6" w:space="0"/>
              <w:right w:val="single" w:color="auto" w:sz="4" w:space="0"/>
            </w:tcBorders>
            <w:noWrap w:val="0"/>
            <w:vAlign w:val="center"/>
          </w:tcPr>
          <w:p w14:paraId="7848A392">
            <w:pPr>
              <w:widowControl/>
              <w:snapToGrid w:val="0"/>
              <w:jc w:val="left"/>
              <w:rPr>
                <w:rFonts w:hint="eastAsia" w:ascii="宋体" w:hAnsi="宋体" w:eastAsia="宋体" w:cs="宋体"/>
                <w:kern w:val="0"/>
              </w:rPr>
            </w:pPr>
            <w:r>
              <w:rPr>
                <w:rFonts w:hint="eastAsia" w:ascii="宋体" w:hAnsi="宋体" w:eastAsia="宋体" w:cs="宋体"/>
                <w:kern w:val="0"/>
              </w:rPr>
              <w:t>水力发电厂机电设计规范</w:t>
            </w:r>
          </w:p>
        </w:tc>
      </w:tr>
      <w:tr w14:paraId="7C190D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52F8E50B">
            <w:pPr>
              <w:widowControl/>
              <w:snapToGrid w:val="0"/>
              <w:jc w:val="left"/>
              <w:rPr>
                <w:rFonts w:hint="eastAsia" w:ascii="宋体" w:hAnsi="宋体" w:eastAsia="宋体" w:cs="宋体"/>
                <w:kern w:val="0"/>
              </w:rPr>
            </w:pPr>
            <w:r>
              <w:rPr>
                <w:rFonts w:hint="eastAsia" w:ascii="宋体" w:hAnsi="宋体" w:eastAsia="宋体" w:cs="宋体"/>
                <w:kern w:val="0"/>
              </w:rPr>
              <w:t>NB/T35088</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361327FF">
            <w:pPr>
              <w:widowControl/>
              <w:snapToGrid w:val="0"/>
              <w:jc w:val="left"/>
              <w:rPr>
                <w:rFonts w:hint="eastAsia" w:ascii="宋体" w:hAnsi="宋体" w:eastAsia="宋体" w:cs="宋体"/>
                <w:kern w:val="0"/>
              </w:rPr>
            </w:pPr>
            <w:r>
              <w:rPr>
                <w:rFonts w:hint="eastAsia" w:ascii="宋体" w:hAnsi="宋体" w:eastAsia="宋体" w:cs="宋体"/>
                <w:kern w:val="0"/>
              </w:rPr>
              <w:t>水电机组机械液压过速保护装置基本技术条件</w:t>
            </w:r>
          </w:p>
        </w:tc>
      </w:tr>
      <w:tr w14:paraId="739D4D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43D33F23">
            <w:pPr>
              <w:widowControl/>
              <w:snapToGrid w:val="0"/>
              <w:jc w:val="left"/>
              <w:rPr>
                <w:rFonts w:hint="eastAsia" w:ascii="宋体" w:hAnsi="宋体" w:eastAsia="宋体" w:cs="宋体"/>
                <w:kern w:val="0"/>
              </w:rPr>
            </w:pPr>
            <w:r>
              <w:rPr>
                <w:rFonts w:hint="eastAsia" w:ascii="宋体" w:hAnsi="宋体" w:eastAsia="宋体" w:cs="宋体"/>
                <w:kern w:val="0"/>
              </w:rPr>
              <w:t>GB/T28570</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671A82C0">
            <w:pPr>
              <w:widowControl/>
              <w:snapToGrid w:val="0"/>
              <w:jc w:val="left"/>
              <w:rPr>
                <w:rFonts w:hint="eastAsia" w:ascii="宋体" w:hAnsi="宋体" w:eastAsia="宋体" w:cs="宋体"/>
                <w:kern w:val="0"/>
              </w:rPr>
            </w:pPr>
            <w:r>
              <w:rPr>
                <w:rFonts w:hint="eastAsia" w:ascii="宋体" w:hAnsi="宋体" w:eastAsia="宋体" w:cs="宋体"/>
                <w:kern w:val="0"/>
              </w:rPr>
              <w:t>水轮发电机组状态在线监测系统技术导则</w:t>
            </w:r>
          </w:p>
        </w:tc>
      </w:tr>
      <w:tr w14:paraId="077BC1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19F75702">
            <w:pPr>
              <w:widowControl/>
              <w:snapToGrid w:val="0"/>
              <w:jc w:val="left"/>
              <w:rPr>
                <w:rFonts w:hint="eastAsia" w:ascii="宋体" w:hAnsi="宋体" w:eastAsia="宋体" w:cs="宋体"/>
                <w:kern w:val="0"/>
              </w:rPr>
            </w:pPr>
            <w:r>
              <w:rPr>
                <w:rFonts w:hint="eastAsia" w:ascii="宋体" w:hAnsi="宋体" w:eastAsia="宋体" w:cs="宋体"/>
                <w:kern w:val="0"/>
              </w:rPr>
              <w:t>GB/T7894</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00B9CE2E">
            <w:pPr>
              <w:widowControl/>
              <w:snapToGrid w:val="0"/>
              <w:jc w:val="left"/>
              <w:rPr>
                <w:rFonts w:hint="eastAsia" w:ascii="宋体" w:hAnsi="宋体" w:eastAsia="宋体" w:cs="宋体"/>
                <w:kern w:val="0"/>
              </w:rPr>
            </w:pPr>
            <w:r>
              <w:rPr>
                <w:rFonts w:hint="eastAsia" w:ascii="宋体" w:hAnsi="宋体" w:eastAsia="宋体" w:cs="宋体"/>
                <w:kern w:val="0"/>
              </w:rPr>
              <w:t>水轮发电机基本技术条件</w:t>
            </w:r>
          </w:p>
        </w:tc>
      </w:tr>
      <w:tr w14:paraId="1B26E1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49AB26C1">
            <w:pPr>
              <w:widowControl/>
              <w:snapToGrid w:val="0"/>
              <w:jc w:val="left"/>
              <w:rPr>
                <w:rFonts w:hint="eastAsia" w:ascii="宋体" w:hAnsi="宋体" w:eastAsia="宋体" w:cs="宋体"/>
                <w:kern w:val="0"/>
              </w:rPr>
            </w:pPr>
            <w:r>
              <w:rPr>
                <w:rFonts w:hint="eastAsia" w:ascii="宋体" w:hAnsi="宋体" w:eastAsia="宋体" w:cs="宋体"/>
              </w:rPr>
              <w:t>SL668</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59C96763">
            <w:pPr>
              <w:widowControl/>
              <w:snapToGrid w:val="0"/>
              <w:jc w:val="left"/>
              <w:rPr>
                <w:rFonts w:hint="eastAsia" w:ascii="宋体" w:hAnsi="宋体" w:eastAsia="宋体" w:cs="宋体"/>
                <w:kern w:val="0"/>
              </w:rPr>
            </w:pPr>
            <w:r>
              <w:rPr>
                <w:rFonts w:hint="eastAsia" w:ascii="宋体" w:hAnsi="宋体" w:eastAsia="宋体" w:cs="宋体"/>
              </w:rPr>
              <w:t>水轮发电机组推力轴承、导轴承安装调整工艺导则</w:t>
            </w:r>
          </w:p>
        </w:tc>
      </w:tr>
      <w:tr w14:paraId="392738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55AFA7A4">
            <w:pPr>
              <w:widowControl/>
              <w:snapToGrid w:val="0"/>
              <w:jc w:val="left"/>
              <w:rPr>
                <w:rFonts w:hint="eastAsia" w:ascii="宋体" w:hAnsi="宋体" w:eastAsia="宋体" w:cs="宋体"/>
                <w:kern w:val="0"/>
              </w:rPr>
            </w:pPr>
            <w:r>
              <w:rPr>
                <w:rFonts w:hint="eastAsia" w:ascii="宋体" w:hAnsi="宋体" w:eastAsia="宋体" w:cs="宋体"/>
              </w:rPr>
              <w:t>GB/T8564</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2EB7E5E0">
            <w:pPr>
              <w:widowControl/>
              <w:snapToGrid w:val="0"/>
              <w:jc w:val="left"/>
              <w:rPr>
                <w:rFonts w:hint="eastAsia" w:ascii="宋体" w:hAnsi="宋体" w:eastAsia="宋体" w:cs="宋体"/>
                <w:kern w:val="0"/>
              </w:rPr>
            </w:pPr>
            <w:r>
              <w:rPr>
                <w:rFonts w:hint="eastAsia" w:ascii="宋体" w:hAnsi="宋体" w:eastAsia="宋体" w:cs="宋体"/>
              </w:rPr>
              <w:t>水轮发电机组安装技术规范</w:t>
            </w:r>
          </w:p>
        </w:tc>
      </w:tr>
      <w:tr w14:paraId="4D0E79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0A96A585">
            <w:pPr>
              <w:widowControl/>
              <w:snapToGrid w:val="0"/>
              <w:jc w:val="left"/>
              <w:rPr>
                <w:rFonts w:hint="eastAsia" w:ascii="宋体" w:hAnsi="宋体" w:eastAsia="宋体" w:cs="宋体"/>
                <w:kern w:val="0"/>
              </w:rPr>
            </w:pPr>
            <w:r>
              <w:rPr>
                <w:rFonts w:hint="eastAsia" w:ascii="宋体" w:hAnsi="宋体" w:eastAsia="宋体" w:cs="宋体"/>
                <w:kern w:val="0"/>
              </w:rPr>
              <w:t>NB/T35004</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3A2C1087">
            <w:pPr>
              <w:widowControl/>
              <w:snapToGrid w:val="0"/>
              <w:jc w:val="left"/>
              <w:rPr>
                <w:rFonts w:hint="eastAsia" w:ascii="宋体" w:hAnsi="宋体" w:eastAsia="宋体" w:cs="宋体"/>
                <w:kern w:val="0"/>
              </w:rPr>
            </w:pPr>
            <w:r>
              <w:rPr>
                <w:rFonts w:hint="eastAsia" w:ascii="宋体" w:hAnsi="宋体" w:eastAsia="宋体" w:cs="宋体"/>
                <w:kern w:val="0"/>
              </w:rPr>
              <w:t>水力发电厂自动化设计技术规范</w:t>
            </w:r>
          </w:p>
        </w:tc>
      </w:tr>
      <w:tr w14:paraId="6E0424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586D9961">
            <w:pPr>
              <w:widowControl/>
              <w:snapToGrid w:val="0"/>
              <w:jc w:val="left"/>
              <w:rPr>
                <w:rFonts w:hint="eastAsia" w:ascii="宋体" w:hAnsi="宋体" w:eastAsia="宋体" w:cs="宋体"/>
                <w:kern w:val="0"/>
              </w:rPr>
            </w:pPr>
            <w:r>
              <w:rPr>
                <w:rFonts w:hint="eastAsia" w:ascii="宋体" w:hAnsi="宋体" w:eastAsia="宋体" w:cs="宋体"/>
              </w:rPr>
              <w:t>NB/T42052</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122D914C">
            <w:pPr>
              <w:widowControl/>
              <w:snapToGrid w:val="0"/>
              <w:jc w:val="left"/>
              <w:rPr>
                <w:rFonts w:hint="eastAsia" w:ascii="宋体" w:hAnsi="宋体" w:eastAsia="宋体" w:cs="宋体"/>
                <w:kern w:val="0"/>
              </w:rPr>
            </w:pPr>
            <w:r>
              <w:rPr>
                <w:rFonts w:hint="eastAsia" w:ascii="宋体" w:hAnsi="宋体" w:eastAsia="宋体" w:cs="宋体"/>
              </w:rPr>
              <w:t>小水电机组启动试验规程</w:t>
            </w:r>
          </w:p>
        </w:tc>
      </w:tr>
      <w:tr w14:paraId="2A0687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32ECFF12">
            <w:pPr>
              <w:widowControl/>
              <w:snapToGrid w:val="0"/>
              <w:jc w:val="left"/>
              <w:rPr>
                <w:rFonts w:hint="eastAsia" w:ascii="宋体" w:hAnsi="宋体" w:eastAsia="宋体" w:cs="宋体"/>
                <w:kern w:val="0"/>
              </w:rPr>
            </w:pPr>
            <w:r>
              <w:rPr>
                <w:rFonts w:hint="eastAsia" w:ascii="宋体" w:hAnsi="宋体" w:eastAsia="宋体" w:cs="宋体"/>
                <w:color w:val="000000"/>
                <w:kern w:val="0"/>
              </w:rPr>
              <w:t>NB/T 42096</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60FD859C">
            <w:pPr>
              <w:widowControl/>
              <w:snapToGrid w:val="0"/>
              <w:jc w:val="left"/>
              <w:rPr>
                <w:rFonts w:hint="eastAsia" w:ascii="宋体" w:hAnsi="宋体" w:eastAsia="宋体" w:cs="宋体"/>
                <w:kern w:val="0"/>
              </w:rPr>
            </w:pPr>
            <w:r>
              <w:rPr>
                <w:rFonts w:hint="eastAsia" w:ascii="宋体" w:hAnsi="宋体" w:eastAsia="宋体" w:cs="宋体"/>
                <w:color w:val="000000"/>
                <w:kern w:val="0"/>
              </w:rPr>
              <w:t>小型水轮发电机产品质量控制规范</w:t>
            </w:r>
          </w:p>
        </w:tc>
      </w:tr>
      <w:tr w14:paraId="777A31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37D7229B">
            <w:pPr>
              <w:widowControl/>
              <w:snapToGrid w:val="0"/>
              <w:jc w:val="left"/>
              <w:rPr>
                <w:rFonts w:hint="eastAsia" w:ascii="宋体" w:hAnsi="宋体" w:eastAsia="宋体" w:cs="宋体"/>
              </w:rPr>
            </w:pPr>
            <w:r>
              <w:rPr>
                <w:rFonts w:hint="eastAsia" w:ascii="宋体" w:hAnsi="宋体" w:eastAsia="宋体" w:cs="宋体"/>
              </w:rPr>
              <w:t>JB/T1270</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5EC1CAAB">
            <w:pPr>
              <w:widowControl/>
              <w:snapToGrid w:val="0"/>
              <w:jc w:val="left"/>
              <w:rPr>
                <w:rFonts w:hint="eastAsia" w:ascii="宋体" w:hAnsi="宋体" w:eastAsia="宋体" w:cs="宋体"/>
              </w:rPr>
            </w:pPr>
            <w:r>
              <w:rPr>
                <w:rFonts w:hint="eastAsia" w:ascii="宋体" w:hAnsi="宋体" w:eastAsia="宋体" w:cs="宋体"/>
              </w:rPr>
              <w:t>水轮机、发电机大轴锻件技术条件</w:t>
            </w:r>
          </w:p>
        </w:tc>
      </w:tr>
      <w:tr w14:paraId="5D8ACC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0DD7F636">
            <w:pPr>
              <w:widowControl/>
              <w:snapToGrid w:val="0"/>
              <w:jc w:val="left"/>
              <w:rPr>
                <w:rFonts w:hint="eastAsia" w:ascii="宋体" w:hAnsi="宋体" w:eastAsia="宋体" w:cs="宋体"/>
              </w:rPr>
            </w:pPr>
            <w:r>
              <w:rPr>
                <w:rFonts w:hint="eastAsia" w:ascii="宋体" w:hAnsi="宋体" w:eastAsia="宋体" w:cs="宋体"/>
              </w:rPr>
              <w:t>GB/T 7064</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40A185C7">
            <w:pPr>
              <w:widowControl/>
              <w:snapToGrid w:val="0"/>
              <w:jc w:val="left"/>
              <w:rPr>
                <w:rFonts w:hint="eastAsia" w:ascii="宋体" w:hAnsi="宋体" w:eastAsia="宋体" w:cs="宋体"/>
              </w:rPr>
            </w:pPr>
            <w:r>
              <w:rPr>
                <w:rFonts w:hint="eastAsia" w:ascii="宋体" w:hAnsi="宋体" w:eastAsia="宋体" w:cs="宋体"/>
              </w:rPr>
              <w:t>隐极同步发电机技术要求</w:t>
            </w:r>
          </w:p>
        </w:tc>
      </w:tr>
      <w:tr w14:paraId="129ACA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2D7F1482">
            <w:pPr>
              <w:widowControl/>
              <w:snapToGrid w:val="0"/>
              <w:jc w:val="left"/>
              <w:rPr>
                <w:rFonts w:hint="eastAsia" w:ascii="宋体" w:hAnsi="宋体" w:eastAsia="宋体" w:cs="宋体"/>
              </w:rPr>
            </w:pPr>
            <w:r>
              <w:rPr>
                <w:rFonts w:hint="eastAsia" w:ascii="宋体" w:hAnsi="宋体" w:eastAsia="宋体" w:cs="宋体"/>
              </w:rPr>
              <w:t>SL600</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525DE817">
            <w:pPr>
              <w:widowControl/>
              <w:snapToGrid w:val="0"/>
              <w:jc w:val="left"/>
              <w:rPr>
                <w:rFonts w:hint="eastAsia" w:ascii="宋体" w:hAnsi="宋体" w:eastAsia="宋体" w:cs="宋体"/>
              </w:rPr>
            </w:pPr>
            <w:r>
              <w:rPr>
                <w:rFonts w:hint="eastAsia" w:ascii="宋体" w:hAnsi="宋体" w:eastAsia="宋体" w:cs="宋体"/>
              </w:rPr>
              <w:t>水轮发电机定子现场装配工艺导则</w:t>
            </w:r>
          </w:p>
        </w:tc>
      </w:tr>
      <w:tr w14:paraId="4B5AE0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4FDB1294">
            <w:pPr>
              <w:widowControl/>
              <w:snapToGrid w:val="0"/>
              <w:jc w:val="left"/>
              <w:rPr>
                <w:rFonts w:hint="eastAsia" w:ascii="宋体" w:hAnsi="宋体" w:eastAsia="宋体" w:cs="宋体"/>
              </w:rPr>
            </w:pPr>
            <w:r>
              <w:rPr>
                <w:rFonts w:hint="eastAsia" w:ascii="宋体" w:hAnsi="宋体" w:eastAsia="宋体" w:cs="宋体"/>
              </w:rPr>
              <w:t>JB/T 3334.1</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05580185">
            <w:pPr>
              <w:widowControl/>
              <w:snapToGrid w:val="0"/>
              <w:jc w:val="left"/>
              <w:rPr>
                <w:rFonts w:hint="eastAsia" w:ascii="宋体" w:hAnsi="宋体" w:eastAsia="宋体" w:cs="宋体"/>
              </w:rPr>
            </w:pPr>
            <w:r>
              <w:rPr>
                <w:rFonts w:hint="eastAsia" w:ascii="宋体" w:hAnsi="宋体" w:eastAsia="宋体" w:cs="宋体"/>
              </w:rPr>
              <w:t>水轮发电机用制动器第1部分：立式水轮发电机用制动器</w:t>
            </w:r>
          </w:p>
        </w:tc>
      </w:tr>
      <w:tr w14:paraId="2B1EEB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061CF6A6">
            <w:pPr>
              <w:widowControl/>
              <w:snapToGrid w:val="0"/>
              <w:jc w:val="left"/>
              <w:rPr>
                <w:rFonts w:hint="eastAsia" w:ascii="宋体" w:hAnsi="宋体" w:eastAsia="宋体" w:cs="宋体"/>
              </w:rPr>
            </w:pPr>
            <w:r>
              <w:rPr>
                <w:rFonts w:hint="eastAsia" w:ascii="宋体" w:hAnsi="宋体" w:eastAsia="宋体" w:cs="宋体"/>
              </w:rPr>
              <w:t>JB/T 10265</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174091A0">
            <w:pPr>
              <w:widowControl/>
              <w:snapToGrid w:val="0"/>
              <w:jc w:val="left"/>
              <w:rPr>
                <w:rFonts w:hint="eastAsia" w:ascii="宋体" w:hAnsi="宋体" w:eastAsia="宋体" w:cs="宋体"/>
              </w:rPr>
            </w:pPr>
            <w:r>
              <w:rPr>
                <w:rFonts w:hint="eastAsia" w:ascii="宋体" w:hAnsi="宋体" w:eastAsia="宋体" w:cs="宋体"/>
              </w:rPr>
              <w:t>水轮发电机用上下圆盘锻件技术条件</w:t>
            </w:r>
          </w:p>
        </w:tc>
      </w:tr>
      <w:tr w14:paraId="159C05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3BFC8C23">
            <w:pPr>
              <w:widowControl/>
              <w:snapToGrid w:val="0"/>
              <w:jc w:val="left"/>
              <w:rPr>
                <w:rFonts w:hint="eastAsia" w:ascii="宋体" w:hAnsi="宋体" w:eastAsia="宋体" w:cs="宋体"/>
              </w:rPr>
            </w:pPr>
            <w:r>
              <w:rPr>
                <w:rFonts w:hint="eastAsia" w:ascii="宋体" w:hAnsi="宋体" w:eastAsia="宋体" w:cs="宋体"/>
              </w:rPr>
              <w:t>JB/T 4058</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41D5CB65">
            <w:pPr>
              <w:widowControl/>
              <w:snapToGrid w:val="0"/>
              <w:jc w:val="left"/>
              <w:rPr>
                <w:rFonts w:hint="eastAsia" w:ascii="宋体" w:hAnsi="宋体" w:eastAsia="宋体" w:cs="宋体"/>
              </w:rPr>
            </w:pPr>
            <w:r>
              <w:rPr>
                <w:rFonts w:hint="eastAsia" w:ascii="宋体" w:hAnsi="宋体" w:eastAsia="宋体" w:cs="宋体"/>
              </w:rPr>
              <w:t>汽轮机清洁度</w:t>
            </w:r>
          </w:p>
        </w:tc>
      </w:tr>
      <w:tr w14:paraId="0A56AF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3296067B">
            <w:pPr>
              <w:widowControl/>
              <w:snapToGrid w:val="0"/>
              <w:jc w:val="left"/>
              <w:rPr>
                <w:rFonts w:hint="eastAsia" w:ascii="宋体" w:hAnsi="宋体" w:eastAsia="宋体" w:cs="宋体"/>
              </w:rPr>
            </w:pPr>
            <w:r>
              <w:rPr>
                <w:rFonts w:hint="eastAsia" w:ascii="宋体" w:hAnsi="宋体" w:eastAsia="宋体" w:cs="宋体"/>
              </w:rPr>
              <w:t>GB/T 11348.3</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01BDA3CA">
            <w:pPr>
              <w:widowControl/>
              <w:snapToGrid w:val="0"/>
              <w:jc w:val="left"/>
              <w:rPr>
                <w:rFonts w:hint="eastAsia" w:ascii="宋体" w:hAnsi="宋体" w:eastAsia="宋体" w:cs="宋体"/>
              </w:rPr>
            </w:pPr>
            <w:r>
              <w:rPr>
                <w:rFonts w:hint="eastAsia" w:ascii="宋体" w:hAnsi="宋体" w:eastAsia="宋体" w:cs="宋体"/>
              </w:rPr>
              <w:t>旋转机械转轴径向振动的测量和评定第3部分</w:t>
            </w:r>
          </w:p>
        </w:tc>
      </w:tr>
      <w:tr w14:paraId="65C3C2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6FD7ED7A">
            <w:pPr>
              <w:widowControl/>
              <w:snapToGrid w:val="0"/>
              <w:jc w:val="left"/>
              <w:rPr>
                <w:rFonts w:hint="eastAsia" w:ascii="宋体" w:hAnsi="宋体" w:eastAsia="宋体" w:cs="宋体"/>
              </w:rPr>
            </w:pPr>
            <w:r>
              <w:rPr>
                <w:rFonts w:hint="eastAsia" w:ascii="宋体" w:hAnsi="宋体" w:eastAsia="宋体" w:cs="宋体"/>
              </w:rPr>
              <w:t>GB/T 699</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525865A0">
            <w:pPr>
              <w:widowControl/>
              <w:snapToGrid w:val="0"/>
              <w:jc w:val="left"/>
              <w:rPr>
                <w:rFonts w:hint="eastAsia" w:ascii="宋体" w:hAnsi="宋体" w:eastAsia="宋体" w:cs="宋体"/>
              </w:rPr>
            </w:pPr>
            <w:r>
              <w:rPr>
                <w:rFonts w:hint="eastAsia" w:ascii="宋体" w:hAnsi="宋体" w:eastAsia="宋体" w:cs="宋体"/>
              </w:rPr>
              <w:t>优质碳素结构钢</w:t>
            </w:r>
          </w:p>
        </w:tc>
      </w:tr>
      <w:tr w14:paraId="692B7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35392EEE">
            <w:pPr>
              <w:widowControl/>
              <w:snapToGrid w:val="0"/>
              <w:jc w:val="left"/>
              <w:rPr>
                <w:rFonts w:hint="eastAsia" w:ascii="宋体" w:hAnsi="宋体" w:eastAsia="宋体" w:cs="宋体"/>
              </w:rPr>
            </w:pPr>
            <w:r>
              <w:rPr>
                <w:rFonts w:hint="eastAsia" w:ascii="宋体" w:hAnsi="宋体" w:eastAsia="宋体" w:cs="宋体"/>
              </w:rPr>
              <w:t>GB/T 700</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2BD944B2">
            <w:pPr>
              <w:widowControl/>
              <w:snapToGrid w:val="0"/>
              <w:jc w:val="left"/>
              <w:rPr>
                <w:rFonts w:hint="eastAsia" w:ascii="宋体" w:hAnsi="宋体" w:eastAsia="宋体" w:cs="宋体"/>
              </w:rPr>
            </w:pPr>
            <w:r>
              <w:rPr>
                <w:rFonts w:hint="eastAsia" w:ascii="宋体" w:hAnsi="宋体" w:eastAsia="宋体" w:cs="宋体"/>
              </w:rPr>
              <w:t>碳素结构钢</w:t>
            </w:r>
          </w:p>
        </w:tc>
      </w:tr>
      <w:tr w14:paraId="588422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182167FF">
            <w:pPr>
              <w:widowControl/>
              <w:snapToGrid w:val="0"/>
              <w:jc w:val="left"/>
              <w:rPr>
                <w:rFonts w:hint="eastAsia" w:ascii="宋体" w:hAnsi="宋体" w:eastAsia="宋体" w:cs="宋体"/>
              </w:rPr>
            </w:pPr>
            <w:r>
              <w:rPr>
                <w:rFonts w:hint="eastAsia" w:ascii="宋体" w:hAnsi="宋体" w:eastAsia="宋体" w:cs="宋体"/>
              </w:rPr>
              <w:t>GB/T 3077</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67FD802A">
            <w:pPr>
              <w:widowControl/>
              <w:snapToGrid w:val="0"/>
              <w:jc w:val="left"/>
              <w:rPr>
                <w:rFonts w:hint="eastAsia" w:ascii="宋体" w:hAnsi="宋体" w:eastAsia="宋体" w:cs="宋体"/>
              </w:rPr>
            </w:pPr>
            <w:r>
              <w:rPr>
                <w:rFonts w:hint="eastAsia" w:ascii="宋体" w:hAnsi="宋体" w:eastAsia="宋体" w:cs="宋体"/>
              </w:rPr>
              <w:t>合金结构钢</w:t>
            </w:r>
          </w:p>
        </w:tc>
      </w:tr>
      <w:tr w14:paraId="0298C9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0E7B7E3A">
            <w:pPr>
              <w:widowControl/>
              <w:snapToGrid w:val="0"/>
              <w:jc w:val="left"/>
              <w:rPr>
                <w:rFonts w:hint="eastAsia" w:ascii="宋体" w:hAnsi="宋体" w:eastAsia="宋体" w:cs="宋体"/>
              </w:rPr>
            </w:pPr>
            <w:r>
              <w:rPr>
                <w:rFonts w:hint="eastAsia" w:ascii="宋体" w:hAnsi="宋体" w:eastAsia="宋体" w:cs="宋体"/>
              </w:rPr>
              <w:t>GB/T 6402</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6CD567E9">
            <w:pPr>
              <w:widowControl/>
              <w:snapToGrid w:val="0"/>
              <w:jc w:val="left"/>
              <w:rPr>
                <w:rFonts w:hint="eastAsia" w:ascii="宋体" w:hAnsi="宋体" w:eastAsia="宋体" w:cs="宋体"/>
              </w:rPr>
            </w:pPr>
            <w:r>
              <w:rPr>
                <w:rFonts w:hint="eastAsia" w:ascii="宋体" w:hAnsi="宋体" w:eastAsia="宋体" w:cs="宋体"/>
              </w:rPr>
              <w:t>钢锻件超声检测方法</w:t>
            </w:r>
          </w:p>
        </w:tc>
      </w:tr>
      <w:tr w14:paraId="59C2DA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1373E6C2">
            <w:pPr>
              <w:widowControl/>
              <w:snapToGrid w:val="0"/>
              <w:jc w:val="left"/>
              <w:rPr>
                <w:rFonts w:hint="eastAsia" w:ascii="宋体" w:hAnsi="宋体" w:eastAsia="宋体" w:cs="宋体"/>
              </w:rPr>
            </w:pPr>
            <w:r>
              <w:rPr>
                <w:rFonts w:hint="eastAsia" w:ascii="宋体" w:hAnsi="宋体" w:eastAsia="宋体" w:cs="宋体"/>
              </w:rPr>
              <w:t>GB/T 6967</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0351D4F3">
            <w:pPr>
              <w:widowControl/>
              <w:snapToGrid w:val="0"/>
              <w:jc w:val="left"/>
              <w:rPr>
                <w:rFonts w:hint="eastAsia" w:ascii="宋体" w:hAnsi="宋体" w:eastAsia="宋体" w:cs="宋体"/>
              </w:rPr>
            </w:pPr>
            <w:r>
              <w:rPr>
                <w:rFonts w:hint="eastAsia" w:ascii="宋体" w:hAnsi="宋体" w:eastAsia="宋体" w:cs="宋体"/>
              </w:rPr>
              <w:t>工程结构用中、高强度不锈钢铸件</w:t>
            </w:r>
          </w:p>
        </w:tc>
      </w:tr>
      <w:tr w14:paraId="5388A7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4E1E16B8">
            <w:pPr>
              <w:widowControl/>
              <w:snapToGrid w:val="0"/>
              <w:jc w:val="left"/>
              <w:rPr>
                <w:rFonts w:hint="eastAsia" w:ascii="宋体" w:hAnsi="宋体" w:eastAsia="宋体" w:cs="宋体"/>
              </w:rPr>
            </w:pPr>
            <w:r>
              <w:rPr>
                <w:rFonts w:hint="eastAsia" w:ascii="宋体" w:hAnsi="宋体" w:eastAsia="宋体" w:cs="宋体"/>
              </w:rPr>
              <w:t>GB/T 7233.1</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7A91297F">
            <w:pPr>
              <w:widowControl/>
              <w:snapToGrid w:val="0"/>
              <w:jc w:val="left"/>
              <w:rPr>
                <w:rFonts w:hint="eastAsia" w:ascii="宋体" w:hAnsi="宋体" w:eastAsia="宋体" w:cs="宋体"/>
              </w:rPr>
            </w:pPr>
            <w:r>
              <w:rPr>
                <w:rFonts w:hint="eastAsia" w:ascii="宋体" w:hAnsi="宋体" w:eastAsia="宋体" w:cs="宋体"/>
              </w:rPr>
              <w:t>铸钢件 超声检测第1部分：一般用途铸钢件</w:t>
            </w:r>
          </w:p>
        </w:tc>
      </w:tr>
      <w:tr w14:paraId="3B62D7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506BDD4C">
            <w:pPr>
              <w:widowControl/>
              <w:snapToGrid w:val="0"/>
              <w:jc w:val="left"/>
              <w:rPr>
                <w:rFonts w:hint="eastAsia" w:ascii="宋体" w:hAnsi="宋体" w:eastAsia="宋体" w:cs="宋体"/>
              </w:rPr>
            </w:pPr>
            <w:r>
              <w:rPr>
                <w:rFonts w:hint="eastAsia" w:ascii="宋体" w:hAnsi="宋体" w:eastAsia="宋体" w:cs="宋体"/>
              </w:rPr>
              <w:t>GB/T 9443</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480C5BCB">
            <w:pPr>
              <w:widowControl/>
              <w:snapToGrid w:val="0"/>
              <w:jc w:val="left"/>
              <w:rPr>
                <w:rFonts w:hint="eastAsia" w:ascii="宋体" w:hAnsi="宋体" w:eastAsia="宋体" w:cs="宋体"/>
              </w:rPr>
            </w:pPr>
            <w:r>
              <w:rPr>
                <w:rFonts w:hint="eastAsia" w:ascii="宋体" w:hAnsi="宋体" w:eastAsia="宋体" w:cs="宋体"/>
              </w:rPr>
              <w:t>铸钢件渗透检测</w:t>
            </w:r>
          </w:p>
        </w:tc>
      </w:tr>
      <w:tr w14:paraId="6E0488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30DC94FA">
            <w:pPr>
              <w:widowControl/>
              <w:snapToGrid w:val="0"/>
              <w:jc w:val="left"/>
              <w:rPr>
                <w:rFonts w:hint="eastAsia" w:ascii="宋体" w:hAnsi="宋体" w:eastAsia="宋体" w:cs="宋体"/>
              </w:rPr>
            </w:pPr>
            <w:r>
              <w:rPr>
                <w:rFonts w:hint="eastAsia" w:ascii="宋体" w:hAnsi="宋体" w:eastAsia="宋体" w:cs="宋体"/>
              </w:rPr>
              <w:t>GB/T 9444</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3C34BFD3">
            <w:pPr>
              <w:widowControl/>
              <w:snapToGrid w:val="0"/>
              <w:jc w:val="left"/>
              <w:rPr>
                <w:rFonts w:hint="eastAsia" w:ascii="宋体" w:hAnsi="宋体" w:eastAsia="宋体" w:cs="宋体"/>
              </w:rPr>
            </w:pPr>
            <w:r>
              <w:rPr>
                <w:rFonts w:hint="eastAsia" w:ascii="宋体" w:hAnsi="宋体" w:eastAsia="宋体" w:cs="宋体"/>
              </w:rPr>
              <w:t>铸钢件磁粉检测</w:t>
            </w:r>
          </w:p>
        </w:tc>
      </w:tr>
      <w:tr w14:paraId="45A303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2E00E3AB">
            <w:pPr>
              <w:widowControl/>
              <w:snapToGrid w:val="0"/>
              <w:jc w:val="left"/>
              <w:rPr>
                <w:rFonts w:hint="eastAsia" w:ascii="宋体" w:hAnsi="宋体" w:eastAsia="宋体" w:cs="宋体"/>
              </w:rPr>
            </w:pPr>
            <w:r>
              <w:rPr>
                <w:rFonts w:hint="eastAsia" w:ascii="宋体" w:hAnsi="宋体" w:eastAsia="宋体" w:cs="宋体"/>
              </w:rPr>
              <w:t>GB/T 11345</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68E27DD1">
            <w:pPr>
              <w:widowControl/>
              <w:snapToGrid w:val="0"/>
              <w:jc w:val="left"/>
              <w:rPr>
                <w:rFonts w:hint="eastAsia" w:ascii="宋体" w:hAnsi="宋体" w:eastAsia="宋体" w:cs="宋体"/>
              </w:rPr>
            </w:pPr>
            <w:r>
              <w:rPr>
                <w:rFonts w:hint="eastAsia" w:ascii="宋体" w:hAnsi="宋体" w:eastAsia="宋体" w:cs="宋体"/>
              </w:rPr>
              <w:t>钢焊缝手工超声波探伤方法和探伤结果分级</w:t>
            </w:r>
          </w:p>
        </w:tc>
      </w:tr>
      <w:tr w14:paraId="19C269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4784DB3A">
            <w:pPr>
              <w:widowControl/>
              <w:snapToGrid w:val="0"/>
              <w:jc w:val="left"/>
              <w:rPr>
                <w:rFonts w:hint="eastAsia" w:ascii="宋体" w:hAnsi="宋体" w:eastAsia="宋体" w:cs="宋体"/>
              </w:rPr>
            </w:pPr>
            <w:r>
              <w:rPr>
                <w:rFonts w:hint="eastAsia" w:ascii="宋体" w:hAnsi="宋体" w:eastAsia="宋体" w:cs="宋体"/>
              </w:rPr>
              <w:t>GB/T 11352</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5C03ED5F">
            <w:pPr>
              <w:widowControl/>
              <w:snapToGrid w:val="0"/>
              <w:jc w:val="left"/>
              <w:rPr>
                <w:rFonts w:hint="eastAsia" w:ascii="宋体" w:hAnsi="宋体" w:eastAsia="宋体" w:cs="宋体"/>
              </w:rPr>
            </w:pPr>
            <w:r>
              <w:rPr>
                <w:rFonts w:hint="eastAsia" w:ascii="宋体" w:hAnsi="宋体" w:eastAsia="宋体" w:cs="宋体"/>
              </w:rPr>
              <w:t>一般工程用铸造碳钢件</w:t>
            </w:r>
          </w:p>
        </w:tc>
      </w:tr>
      <w:tr w14:paraId="59198C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45D66CE5">
            <w:pPr>
              <w:widowControl/>
              <w:snapToGrid w:val="0"/>
              <w:jc w:val="left"/>
              <w:rPr>
                <w:rFonts w:hint="eastAsia" w:ascii="宋体" w:hAnsi="宋体" w:eastAsia="宋体" w:cs="宋体"/>
              </w:rPr>
            </w:pPr>
            <w:r>
              <w:rPr>
                <w:rFonts w:hint="eastAsia" w:ascii="宋体" w:hAnsi="宋体" w:eastAsia="宋体" w:cs="宋体"/>
              </w:rPr>
              <w:t>GB/T 26951</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71F3EC41">
            <w:pPr>
              <w:widowControl/>
              <w:snapToGrid w:val="0"/>
              <w:jc w:val="left"/>
              <w:rPr>
                <w:rFonts w:hint="eastAsia" w:ascii="宋体" w:hAnsi="宋体" w:eastAsia="宋体" w:cs="宋体"/>
              </w:rPr>
            </w:pPr>
            <w:r>
              <w:rPr>
                <w:rFonts w:hint="eastAsia" w:ascii="宋体" w:hAnsi="宋体" w:eastAsia="宋体" w:cs="宋体"/>
              </w:rPr>
              <w:t>焊缝无损检测 磁粉检测</w:t>
            </w:r>
          </w:p>
        </w:tc>
      </w:tr>
      <w:tr w14:paraId="22A28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0D32FC49">
            <w:pPr>
              <w:widowControl/>
              <w:snapToGrid w:val="0"/>
              <w:jc w:val="left"/>
              <w:rPr>
                <w:rFonts w:hint="eastAsia" w:ascii="宋体" w:hAnsi="宋体" w:eastAsia="宋体" w:cs="宋体"/>
              </w:rPr>
            </w:pPr>
            <w:r>
              <w:rPr>
                <w:rFonts w:hint="eastAsia" w:ascii="宋体" w:hAnsi="宋体" w:eastAsia="宋体" w:cs="宋体"/>
              </w:rPr>
              <w:t>GB/T 26952</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6293F518">
            <w:pPr>
              <w:widowControl/>
              <w:snapToGrid w:val="0"/>
              <w:jc w:val="left"/>
              <w:rPr>
                <w:rFonts w:hint="eastAsia" w:ascii="宋体" w:hAnsi="宋体" w:eastAsia="宋体" w:cs="宋体"/>
              </w:rPr>
            </w:pPr>
            <w:r>
              <w:rPr>
                <w:rFonts w:hint="eastAsia" w:ascii="宋体" w:hAnsi="宋体" w:eastAsia="宋体" w:cs="宋体"/>
              </w:rPr>
              <w:t>焊缝无损检测 磁粉检测 验收等级</w:t>
            </w:r>
          </w:p>
        </w:tc>
      </w:tr>
      <w:tr w14:paraId="54A594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4FA4A7A9">
            <w:pPr>
              <w:widowControl/>
              <w:snapToGrid w:val="0"/>
              <w:jc w:val="left"/>
              <w:rPr>
                <w:rFonts w:hint="eastAsia" w:ascii="宋体" w:hAnsi="宋体" w:eastAsia="宋体" w:cs="宋体"/>
              </w:rPr>
            </w:pPr>
            <w:r>
              <w:rPr>
                <w:rFonts w:hint="eastAsia" w:ascii="宋体" w:hAnsi="宋体" w:eastAsia="宋体" w:cs="宋体"/>
              </w:rPr>
              <w:t>GB/T 26953</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08783857">
            <w:pPr>
              <w:widowControl/>
              <w:snapToGrid w:val="0"/>
              <w:jc w:val="left"/>
              <w:rPr>
                <w:rFonts w:hint="eastAsia" w:ascii="宋体" w:hAnsi="宋体" w:eastAsia="宋体" w:cs="宋体"/>
              </w:rPr>
            </w:pPr>
            <w:r>
              <w:rPr>
                <w:rFonts w:hint="eastAsia" w:ascii="宋体" w:hAnsi="宋体" w:eastAsia="宋体" w:cs="宋体"/>
              </w:rPr>
              <w:t>焊缝无损检测 焊缝渗透检测 验收等级</w:t>
            </w:r>
          </w:p>
        </w:tc>
      </w:tr>
      <w:tr w14:paraId="06C54C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073E07AC">
            <w:pPr>
              <w:widowControl/>
              <w:snapToGrid w:val="0"/>
              <w:jc w:val="left"/>
              <w:rPr>
                <w:rFonts w:hint="eastAsia" w:ascii="宋体" w:hAnsi="宋体" w:eastAsia="宋体" w:cs="宋体"/>
              </w:rPr>
            </w:pPr>
            <w:r>
              <w:rPr>
                <w:rFonts w:hint="eastAsia" w:ascii="宋体" w:hAnsi="宋体" w:eastAsia="宋体" w:cs="宋体"/>
              </w:rPr>
              <w:t>JB/T 6402</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08418197">
            <w:pPr>
              <w:widowControl/>
              <w:snapToGrid w:val="0"/>
              <w:jc w:val="left"/>
              <w:rPr>
                <w:rFonts w:hint="eastAsia" w:ascii="宋体" w:hAnsi="宋体" w:eastAsia="宋体" w:cs="宋体"/>
              </w:rPr>
            </w:pPr>
            <w:r>
              <w:rPr>
                <w:rFonts w:hint="eastAsia" w:ascii="宋体" w:hAnsi="宋体" w:eastAsia="宋体" w:cs="宋体"/>
              </w:rPr>
              <w:t>大型低合金钢铸件</w:t>
            </w:r>
          </w:p>
        </w:tc>
      </w:tr>
      <w:tr w14:paraId="746212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6FAB8EB8">
            <w:pPr>
              <w:widowControl/>
              <w:snapToGrid w:val="0"/>
              <w:jc w:val="left"/>
              <w:rPr>
                <w:rFonts w:hint="eastAsia" w:ascii="宋体" w:hAnsi="宋体" w:eastAsia="宋体" w:cs="宋体"/>
              </w:rPr>
            </w:pPr>
            <w:r>
              <w:rPr>
                <w:rFonts w:hint="eastAsia" w:ascii="宋体" w:hAnsi="宋体" w:eastAsia="宋体" w:cs="宋体"/>
              </w:rPr>
              <w:t>JB/T 6396</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4E4D6AB4">
            <w:pPr>
              <w:widowControl/>
              <w:snapToGrid w:val="0"/>
              <w:jc w:val="left"/>
              <w:rPr>
                <w:rFonts w:hint="eastAsia" w:ascii="宋体" w:hAnsi="宋体" w:eastAsia="宋体" w:cs="宋体"/>
              </w:rPr>
            </w:pPr>
            <w:r>
              <w:rPr>
                <w:rFonts w:hint="eastAsia" w:ascii="宋体" w:hAnsi="宋体" w:eastAsia="宋体" w:cs="宋体"/>
              </w:rPr>
              <w:t>大型合金结构钢锻件</w:t>
            </w:r>
          </w:p>
        </w:tc>
      </w:tr>
      <w:tr w14:paraId="5DD4E0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6DD1940B">
            <w:pPr>
              <w:widowControl/>
              <w:snapToGrid w:val="0"/>
              <w:jc w:val="left"/>
              <w:rPr>
                <w:rFonts w:hint="eastAsia" w:ascii="宋体" w:hAnsi="宋体" w:eastAsia="宋体" w:cs="宋体"/>
              </w:rPr>
            </w:pPr>
            <w:r>
              <w:rPr>
                <w:rFonts w:hint="eastAsia" w:ascii="宋体" w:hAnsi="宋体" w:eastAsia="宋体" w:cs="宋体"/>
              </w:rPr>
              <w:t>JB/T 6397</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29549AE7">
            <w:pPr>
              <w:widowControl/>
              <w:snapToGrid w:val="0"/>
              <w:jc w:val="left"/>
              <w:rPr>
                <w:rFonts w:hint="eastAsia" w:ascii="宋体" w:hAnsi="宋体" w:eastAsia="宋体" w:cs="宋体"/>
              </w:rPr>
            </w:pPr>
            <w:r>
              <w:rPr>
                <w:rFonts w:hint="eastAsia" w:ascii="宋体" w:hAnsi="宋体" w:eastAsia="宋体" w:cs="宋体"/>
              </w:rPr>
              <w:t>大型碳素结构钢锻件 技术条件</w:t>
            </w:r>
          </w:p>
        </w:tc>
      </w:tr>
      <w:tr w14:paraId="1630F7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2AE671AB">
            <w:pPr>
              <w:widowControl/>
              <w:snapToGrid w:val="0"/>
              <w:jc w:val="left"/>
              <w:rPr>
                <w:rFonts w:hint="eastAsia" w:ascii="宋体" w:hAnsi="宋体" w:eastAsia="宋体" w:cs="宋体"/>
              </w:rPr>
            </w:pPr>
            <w:r>
              <w:rPr>
                <w:rFonts w:hint="eastAsia" w:ascii="宋体" w:hAnsi="宋体" w:eastAsia="宋体" w:cs="宋体"/>
              </w:rPr>
              <w:t>JB/T 7023</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618C2EED">
            <w:pPr>
              <w:widowControl/>
              <w:snapToGrid w:val="0"/>
              <w:jc w:val="left"/>
              <w:rPr>
                <w:rFonts w:hint="eastAsia" w:ascii="宋体" w:hAnsi="宋体" w:eastAsia="宋体" w:cs="宋体"/>
              </w:rPr>
            </w:pPr>
            <w:r>
              <w:rPr>
                <w:rFonts w:hint="eastAsia" w:ascii="宋体" w:hAnsi="宋体" w:eastAsia="宋体" w:cs="宋体"/>
              </w:rPr>
              <w:t>水轮发电机镜板锻件技术条件</w:t>
            </w:r>
          </w:p>
        </w:tc>
      </w:tr>
      <w:tr w14:paraId="67FA7B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423FF8BD">
            <w:pPr>
              <w:widowControl/>
              <w:snapToGrid w:val="0"/>
              <w:jc w:val="left"/>
              <w:rPr>
                <w:rFonts w:hint="eastAsia" w:ascii="宋体" w:hAnsi="宋体" w:eastAsia="宋体" w:cs="宋体"/>
              </w:rPr>
            </w:pPr>
            <w:r>
              <w:rPr>
                <w:rFonts w:hint="eastAsia" w:ascii="宋体" w:hAnsi="宋体" w:eastAsia="宋体" w:cs="宋体"/>
              </w:rPr>
              <w:t>JB/T 10180</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68717AC0">
            <w:pPr>
              <w:widowControl/>
              <w:snapToGrid w:val="0"/>
              <w:jc w:val="left"/>
              <w:rPr>
                <w:rFonts w:hint="eastAsia" w:ascii="宋体" w:hAnsi="宋体" w:eastAsia="宋体" w:cs="宋体"/>
              </w:rPr>
            </w:pPr>
            <w:r>
              <w:rPr>
                <w:rFonts w:hint="eastAsia" w:ascii="宋体" w:hAnsi="宋体" w:eastAsia="宋体" w:cs="宋体"/>
              </w:rPr>
              <w:t>水轮发电机推力轴承弹性金属塑料瓦技术条件</w:t>
            </w:r>
          </w:p>
        </w:tc>
      </w:tr>
      <w:tr w14:paraId="2F3C79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418EA9CA">
            <w:pPr>
              <w:widowControl/>
              <w:snapToGrid w:val="0"/>
              <w:jc w:val="left"/>
              <w:rPr>
                <w:rFonts w:hint="eastAsia" w:ascii="宋体" w:hAnsi="宋体" w:eastAsia="宋体" w:cs="宋体"/>
              </w:rPr>
            </w:pPr>
            <w:r>
              <w:rPr>
                <w:rFonts w:hint="eastAsia" w:ascii="宋体" w:hAnsi="宋体" w:eastAsia="宋体" w:cs="宋体"/>
              </w:rPr>
              <w:t>JB/T 8467</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22E4F404">
            <w:pPr>
              <w:widowControl/>
              <w:snapToGrid w:val="0"/>
              <w:jc w:val="left"/>
              <w:rPr>
                <w:rFonts w:hint="eastAsia" w:ascii="宋体" w:hAnsi="宋体" w:eastAsia="宋体" w:cs="宋体"/>
              </w:rPr>
            </w:pPr>
            <w:r>
              <w:rPr>
                <w:rFonts w:hint="eastAsia" w:ascii="宋体" w:hAnsi="宋体" w:eastAsia="宋体" w:cs="宋体"/>
              </w:rPr>
              <w:t>锻钢件超声波探伤方法</w:t>
            </w:r>
          </w:p>
        </w:tc>
      </w:tr>
      <w:tr w14:paraId="24721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2ACB75DC">
            <w:pPr>
              <w:widowControl/>
              <w:snapToGrid w:val="0"/>
              <w:jc w:val="left"/>
              <w:rPr>
                <w:rFonts w:hint="eastAsia" w:ascii="宋体" w:hAnsi="宋体" w:eastAsia="宋体" w:cs="宋体"/>
              </w:rPr>
            </w:pPr>
            <w:r>
              <w:rPr>
                <w:rFonts w:hint="eastAsia" w:ascii="宋体" w:hAnsi="宋体" w:eastAsia="宋体" w:cs="宋体"/>
              </w:rPr>
              <w:t>JB/T 8468</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730981A7">
            <w:pPr>
              <w:widowControl/>
              <w:snapToGrid w:val="0"/>
              <w:jc w:val="left"/>
              <w:rPr>
                <w:rFonts w:hint="eastAsia" w:ascii="宋体" w:hAnsi="宋体" w:eastAsia="宋体" w:cs="宋体"/>
              </w:rPr>
            </w:pPr>
            <w:r>
              <w:rPr>
                <w:rFonts w:hint="eastAsia" w:ascii="宋体" w:hAnsi="宋体" w:eastAsia="宋体" w:cs="宋体"/>
              </w:rPr>
              <w:t>锻钢件磁粉检验方法</w:t>
            </w:r>
          </w:p>
        </w:tc>
      </w:tr>
      <w:tr w14:paraId="51E890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48E0E642">
            <w:pPr>
              <w:widowControl/>
              <w:snapToGrid w:val="0"/>
              <w:jc w:val="left"/>
              <w:rPr>
                <w:rFonts w:hint="eastAsia" w:ascii="宋体" w:hAnsi="宋体" w:eastAsia="宋体" w:cs="宋体"/>
              </w:rPr>
            </w:pPr>
            <w:r>
              <w:rPr>
                <w:rFonts w:hint="eastAsia" w:ascii="宋体" w:hAnsi="宋体" w:eastAsia="宋体" w:cs="宋体"/>
              </w:rPr>
              <w:t>GB/T 8162</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73709190">
            <w:pPr>
              <w:widowControl/>
              <w:snapToGrid w:val="0"/>
              <w:jc w:val="left"/>
              <w:rPr>
                <w:rFonts w:hint="eastAsia" w:ascii="宋体" w:hAnsi="宋体" w:eastAsia="宋体" w:cs="宋体"/>
              </w:rPr>
            </w:pPr>
            <w:r>
              <w:rPr>
                <w:rFonts w:hint="eastAsia" w:ascii="宋体" w:hAnsi="宋体" w:eastAsia="宋体" w:cs="宋体"/>
              </w:rPr>
              <w:t>结构用无缝钢管</w:t>
            </w:r>
          </w:p>
        </w:tc>
      </w:tr>
      <w:tr w14:paraId="0931B2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6" w:space="0"/>
              <w:right w:val="single" w:color="auto" w:sz="6" w:space="0"/>
            </w:tcBorders>
            <w:noWrap w:val="0"/>
            <w:vAlign w:val="center"/>
          </w:tcPr>
          <w:p w14:paraId="491BB287">
            <w:pPr>
              <w:widowControl/>
              <w:snapToGrid w:val="0"/>
              <w:jc w:val="left"/>
              <w:rPr>
                <w:rFonts w:hint="eastAsia" w:ascii="宋体" w:hAnsi="宋体" w:eastAsia="宋体" w:cs="宋体"/>
              </w:rPr>
            </w:pPr>
            <w:r>
              <w:rPr>
                <w:rFonts w:hint="eastAsia" w:ascii="宋体" w:hAnsi="宋体" w:eastAsia="宋体" w:cs="宋体"/>
              </w:rPr>
              <w:t>GB/T 8163</w:t>
            </w:r>
          </w:p>
        </w:tc>
        <w:tc>
          <w:tcPr>
            <w:tcW w:w="6363" w:type="dxa"/>
            <w:tcBorders>
              <w:top w:val="single" w:color="auto" w:sz="6" w:space="0"/>
              <w:left w:val="single" w:color="auto" w:sz="6" w:space="0"/>
              <w:bottom w:val="single" w:color="auto" w:sz="6" w:space="0"/>
              <w:right w:val="single" w:color="auto" w:sz="4" w:space="0"/>
            </w:tcBorders>
            <w:noWrap w:val="0"/>
            <w:vAlign w:val="center"/>
          </w:tcPr>
          <w:p w14:paraId="7AA59CF2">
            <w:pPr>
              <w:widowControl/>
              <w:snapToGrid w:val="0"/>
              <w:jc w:val="left"/>
              <w:rPr>
                <w:rFonts w:hint="eastAsia" w:ascii="宋体" w:hAnsi="宋体" w:eastAsia="宋体" w:cs="宋体"/>
              </w:rPr>
            </w:pPr>
            <w:r>
              <w:rPr>
                <w:rFonts w:hint="eastAsia" w:ascii="宋体" w:hAnsi="宋体" w:eastAsia="宋体" w:cs="宋体"/>
              </w:rPr>
              <w:t>输送流体用无缝钢管</w:t>
            </w:r>
          </w:p>
        </w:tc>
      </w:tr>
      <w:tr w14:paraId="0E764C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2031" w:type="dxa"/>
            <w:tcBorders>
              <w:top w:val="single" w:color="auto" w:sz="6" w:space="0"/>
              <w:left w:val="single" w:color="auto" w:sz="4" w:space="0"/>
              <w:bottom w:val="single" w:color="auto" w:sz="4" w:space="0"/>
              <w:right w:val="single" w:color="auto" w:sz="6" w:space="0"/>
            </w:tcBorders>
            <w:noWrap w:val="0"/>
            <w:vAlign w:val="center"/>
          </w:tcPr>
          <w:p w14:paraId="37EA34B7">
            <w:pPr>
              <w:widowControl/>
              <w:snapToGrid w:val="0"/>
              <w:jc w:val="left"/>
              <w:rPr>
                <w:rFonts w:hint="eastAsia" w:ascii="宋体" w:hAnsi="宋体" w:eastAsia="宋体" w:cs="宋体"/>
              </w:rPr>
            </w:pPr>
            <w:r>
              <w:rPr>
                <w:rFonts w:hint="eastAsia" w:ascii="宋体" w:hAnsi="宋体" w:eastAsia="宋体" w:cs="宋体"/>
              </w:rPr>
              <w:t>CCH―70―3</w:t>
            </w:r>
          </w:p>
        </w:tc>
        <w:tc>
          <w:tcPr>
            <w:tcW w:w="6363" w:type="dxa"/>
            <w:tcBorders>
              <w:top w:val="single" w:color="auto" w:sz="6" w:space="0"/>
              <w:left w:val="single" w:color="auto" w:sz="6" w:space="0"/>
              <w:bottom w:val="single" w:color="auto" w:sz="4" w:space="0"/>
              <w:right w:val="single" w:color="auto" w:sz="4" w:space="0"/>
            </w:tcBorders>
            <w:noWrap w:val="0"/>
            <w:vAlign w:val="center"/>
          </w:tcPr>
          <w:p w14:paraId="7CA407F7">
            <w:pPr>
              <w:widowControl/>
              <w:snapToGrid w:val="0"/>
              <w:jc w:val="left"/>
              <w:rPr>
                <w:rFonts w:hint="eastAsia" w:ascii="宋体" w:hAnsi="宋体" w:eastAsia="宋体" w:cs="宋体"/>
              </w:rPr>
            </w:pPr>
            <w:r>
              <w:rPr>
                <w:rFonts w:hint="eastAsia" w:ascii="宋体" w:hAnsi="宋体" w:eastAsia="宋体" w:cs="宋体"/>
              </w:rPr>
              <w:t>水力机械铸钢件检查规程</w:t>
            </w:r>
          </w:p>
        </w:tc>
      </w:tr>
    </w:tbl>
    <w:p w14:paraId="2D4CB8F2">
      <w:pPr>
        <w:pStyle w:val="17"/>
        <w:ind w:firstLine="480"/>
        <w:rPr>
          <w:rFonts w:hint="eastAsia" w:ascii="宋体" w:hAnsi="宋体" w:eastAsia="宋体" w:cs="宋体"/>
          <w:kern w:val="0"/>
          <w:sz w:val="24"/>
        </w:rPr>
      </w:pPr>
      <w:r>
        <w:rPr>
          <w:rFonts w:hint="eastAsia" w:ascii="宋体" w:hAnsi="宋体" w:eastAsia="宋体" w:cs="宋体"/>
          <w:sz w:val="24"/>
        </w:rPr>
        <w:t xml:space="preserve"> </w:t>
      </w:r>
    </w:p>
    <w:p w14:paraId="15F70B3A">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bookmarkStart w:id="274" w:name="_Toc137135270"/>
      <w:bookmarkEnd w:id="274"/>
      <w:bookmarkStart w:id="275" w:name="_Toc137136209"/>
      <w:r>
        <w:rPr>
          <w:rFonts w:hint="eastAsia" w:ascii="宋体" w:hAnsi="宋体" w:eastAsia="宋体" w:cs="宋体"/>
          <w:bCs/>
          <w:sz w:val="28"/>
          <w:szCs w:val="28"/>
        </w:rPr>
        <w:t xml:space="preserve">3.4 </w:t>
      </w:r>
      <w:bookmarkEnd w:id="275"/>
      <w:r>
        <w:rPr>
          <w:rFonts w:hint="eastAsia" w:ascii="宋体" w:hAnsi="宋体" w:eastAsia="宋体" w:cs="宋体"/>
          <w:bCs/>
          <w:sz w:val="28"/>
          <w:szCs w:val="28"/>
        </w:rPr>
        <w:t>型式和额定值</w:t>
      </w:r>
    </w:p>
    <w:p w14:paraId="73036711">
      <w:pPr>
        <w:spacing w:line="360" w:lineRule="auto"/>
        <w:rPr>
          <w:rFonts w:hint="eastAsia" w:ascii="宋体" w:hAnsi="宋体" w:eastAsia="宋体" w:cs="宋体"/>
          <w:b/>
          <w:bCs/>
          <w:sz w:val="24"/>
          <w:szCs w:val="24"/>
        </w:rPr>
      </w:pPr>
      <w:bookmarkStart w:id="276" w:name="_Toc137135271"/>
      <w:bookmarkEnd w:id="276"/>
      <w:bookmarkStart w:id="277" w:name="_Toc137136210"/>
      <w:r>
        <w:rPr>
          <w:rFonts w:hint="eastAsia" w:ascii="宋体" w:hAnsi="宋体" w:eastAsia="宋体" w:cs="宋体"/>
          <w:b/>
          <w:bCs/>
          <w:sz w:val="24"/>
          <w:szCs w:val="24"/>
        </w:rPr>
        <w:t>3</w:t>
      </w:r>
      <w:bookmarkEnd w:id="277"/>
      <w:r>
        <w:rPr>
          <w:rFonts w:hint="eastAsia" w:ascii="宋体" w:hAnsi="宋体" w:eastAsia="宋体" w:cs="宋体"/>
          <w:b/>
          <w:bCs/>
          <w:sz w:val="24"/>
          <w:szCs w:val="24"/>
        </w:rPr>
        <w:t>.4.1 型式</w:t>
      </w:r>
    </w:p>
    <w:p w14:paraId="5CFA95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发电机为立轴、三相、空冷同步发电机，结构型式为悬式。</w:t>
      </w:r>
    </w:p>
    <w:p w14:paraId="1B1E36D1">
      <w:pPr>
        <w:spacing w:line="360" w:lineRule="auto"/>
        <w:rPr>
          <w:rFonts w:hint="eastAsia" w:ascii="宋体" w:hAnsi="宋体" w:eastAsia="宋体" w:cs="宋体"/>
          <w:b/>
          <w:bCs/>
          <w:sz w:val="24"/>
          <w:szCs w:val="24"/>
        </w:rPr>
      </w:pPr>
      <w:bookmarkStart w:id="278" w:name="_Toc137136211"/>
      <w:bookmarkEnd w:id="278"/>
      <w:bookmarkStart w:id="279" w:name="_Toc137135272"/>
      <w:r>
        <w:rPr>
          <w:rFonts w:hint="eastAsia" w:ascii="宋体" w:hAnsi="宋体" w:eastAsia="宋体" w:cs="宋体"/>
          <w:b/>
          <w:bCs/>
          <w:sz w:val="24"/>
          <w:szCs w:val="24"/>
        </w:rPr>
        <w:t>3</w:t>
      </w:r>
      <w:bookmarkEnd w:id="279"/>
      <w:r>
        <w:rPr>
          <w:rFonts w:hint="eastAsia" w:ascii="宋体" w:hAnsi="宋体" w:eastAsia="宋体" w:cs="宋体"/>
          <w:b/>
          <w:bCs/>
          <w:sz w:val="24"/>
          <w:szCs w:val="24"/>
        </w:rPr>
        <w:t>.4.2 额定值</w:t>
      </w:r>
    </w:p>
    <w:p w14:paraId="40798A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额定容量          </w:t>
      </w:r>
      <w:r>
        <w:rPr>
          <w:rFonts w:hint="eastAsia" w:ascii="宋体" w:hAnsi="宋体" w:eastAsia="宋体" w:cs="宋体"/>
          <w:sz w:val="24"/>
          <w:szCs w:val="24"/>
          <w:lang w:eastAsia="zh-CN"/>
        </w:rPr>
        <w:t>2250</w:t>
      </w:r>
      <w:r>
        <w:rPr>
          <w:rFonts w:hint="eastAsia" w:ascii="宋体" w:hAnsi="宋体" w:eastAsia="宋体" w:cs="宋体"/>
          <w:sz w:val="24"/>
          <w:szCs w:val="24"/>
        </w:rPr>
        <w:t xml:space="preserve">kW/ </w:t>
      </w:r>
      <w:r>
        <w:rPr>
          <w:rFonts w:hint="eastAsia" w:ascii="宋体" w:hAnsi="宋体" w:eastAsia="宋体" w:cs="宋体"/>
          <w:sz w:val="24"/>
          <w:szCs w:val="24"/>
          <w:lang w:eastAsia="zh-CN"/>
        </w:rPr>
        <w:t>2800</w:t>
      </w:r>
      <w:r>
        <w:rPr>
          <w:rFonts w:hint="eastAsia" w:ascii="宋体" w:hAnsi="宋体" w:eastAsia="宋体" w:cs="宋体"/>
          <w:sz w:val="24"/>
          <w:szCs w:val="24"/>
        </w:rPr>
        <w:t>kVA</w:t>
      </w:r>
    </w:p>
    <w:p w14:paraId="594093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额定电压          6.3kV</w:t>
      </w:r>
    </w:p>
    <w:p w14:paraId="430FFD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额定功率因数      0.8（滞后）</w:t>
      </w:r>
    </w:p>
    <w:p w14:paraId="55B067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额定转速          750r/min</w:t>
      </w:r>
    </w:p>
    <w:p w14:paraId="775A54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额定频率          50Hz</w:t>
      </w:r>
    </w:p>
    <w:p w14:paraId="4C545E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相    数          三相</w:t>
      </w:r>
    </w:p>
    <w:p w14:paraId="60760716">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bookmarkStart w:id="280" w:name="_Toc137135273"/>
      <w:bookmarkEnd w:id="280"/>
      <w:bookmarkStart w:id="281" w:name="_Toc137136212"/>
      <w:r>
        <w:rPr>
          <w:rFonts w:hint="eastAsia" w:ascii="宋体" w:hAnsi="宋体" w:eastAsia="宋体" w:cs="宋体"/>
          <w:bCs/>
          <w:sz w:val="28"/>
          <w:szCs w:val="28"/>
        </w:rPr>
        <w:t>3</w:t>
      </w:r>
      <w:bookmarkEnd w:id="281"/>
      <w:r>
        <w:rPr>
          <w:rFonts w:hint="eastAsia" w:ascii="宋体" w:hAnsi="宋体" w:eastAsia="宋体" w:cs="宋体"/>
          <w:bCs/>
          <w:sz w:val="28"/>
          <w:szCs w:val="28"/>
        </w:rPr>
        <w:t>.5 主要参数及性能保证</w:t>
      </w:r>
    </w:p>
    <w:p w14:paraId="6950BAFC">
      <w:pPr>
        <w:spacing w:line="360" w:lineRule="auto"/>
        <w:rPr>
          <w:rFonts w:hint="eastAsia" w:ascii="宋体" w:hAnsi="宋体" w:eastAsia="宋体" w:cs="宋体"/>
          <w:b/>
          <w:bCs/>
          <w:sz w:val="24"/>
          <w:szCs w:val="24"/>
        </w:rPr>
      </w:pPr>
      <w:bookmarkStart w:id="282" w:name="_Toc137135274"/>
      <w:bookmarkEnd w:id="282"/>
      <w:bookmarkStart w:id="283" w:name="_Toc137136213"/>
      <w:r>
        <w:rPr>
          <w:rFonts w:hint="eastAsia" w:ascii="宋体" w:hAnsi="宋体" w:eastAsia="宋体" w:cs="宋体"/>
          <w:b/>
          <w:bCs/>
          <w:sz w:val="24"/>
          <w:szCs w:val="24"/>
        </w:rPr>
        <w:t>3</w:t>
      </w:r>
      <w:bookmarkEnd w:id="283"/>
      <w:r>
        <w:rPr>
          <w:rFonts w:hint="eastAsia" w:ascii="宋体" w:hAnsi="宋体" w:eastAsia="宋体" w:cs="宋体"/>
          <w:b/>
          <w:bCs/>
          <w:sz w:val="24"/>
          <w:szCs w:val="24"/>
        </w:rPr>
        <w:t>.5.1 电气特性</w:t>
      </w:r>
    </w:p>
    <w:p w14:paraId="09964B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3.5.1.1 电抗（以额定电压和额定容量为基准）</w:t>
      </w:r>
    </w:p>
    <w:p w14:paraId="688260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1）纵轴同步电抗Xd（不饱和值）不大于1.0（标么值）；</w:t>
      </w:r>
    </w:p>
    <w:p w14:paraId="1D5A51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纵轴瞬态电抗Xd＇（饱和值）不大于0.28（标么值）；</w:t>
      </w:r>
    </w:p>
    <w:p w14:paraId="61147D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纵轴超瞬态电抗Xd "（饱和值）不小于0.18（标么值）；</w:t>
      </w:r>
    </w:p>
    <w:p w14:paraId="413B3B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4）横轴超瞬态电抗值与纵轴超瞬态电抗值Xq "和Xd "之比值应尽可能接近于1。</w:t>
      </w:r>
    </w:p>
    <w:p w14:paraId="537945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3.5.1.2 短路比（试验值）不小于1.0。</w:t>
      </w:r>
    </w:p>
    <w:p w14:paraId="12B8CB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3.5.1.3 发电机在空载额定电压和额定转速时，线电压的电话谐波因数（THF）不应超过1.5%。</w:t>
      </w:r>
    </w:p>
    <w:p w14:paraId="418CC6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3.5.1.4 发电机定子绕组接成正常工作接法时，在空载额定电压下，线电压波形正弦性畸变率不大于5%。</w:t>
      </w:r>
    </w:p>
    <w:p w14:paraId="1AFE3D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3.5.1.5 在下列情况下，发电机应能连续输出额定容量：</w:t>
      </w:r>
    </w:p>
    <w:p w14:paraId="5F0FED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1）空气冷却器、油冷却器的进水温度不超过28℃，冷却空气温度不超过40℃；</w:t>
      </w:r>
    </w:p>
    <w:p w14:paraId="7C93CA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2）在额定转速及额定功率因数时，电压与其额定值的偏差不超过±5%；</w:t>
      </w:r>
    </w:p>
    <w:p w14:paraId="45AE58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3）在额定电压和额定功率因数时，频率与其额定值的偏差不超过±1%；</w:t>
      </w:r>
    </w:p>
    <w:p w14:paraId="5B45EA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4）在额定功率因数时，当电压与频率同时偏差（两者分别不超过±5%和±1%）且均为正偏差时，两者偏差之和不超过6%；若两者偏差均为负偏差或电压和频率不同时为正偏差时，两者偏差的绝对值之和不超过5%。</w:t>
      </w:r>
    </w:p>
    <w:p w14:paraId="5DA52E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当电压与频率偏差超过上述规定时应能连续运行，此时输出功率以励磁电流不超过额定值，定子电流不超过额定值的105%为限。</w:t>
      </w:r>
    </w:p>
    <w:p w14:paraId="75FFDB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5）发电机应能在功率因数为1.0时以××kW出力长期安全稳定运行。</w:t>
      </w:r>
    </w:p>
    <w:p w14:paraId="49CF76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3.5.1.6 发电机在进相深度为0.95时应能长期安全稳定运行。</w:t>
      </w:r>
    </w:p>
    <w:p w14:paraId="6CF3B5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3.5.1.7 定子绕组Y形接线，中性点不接地（暂定）。</w:t>
      </w:r>
    </w:p>
    <w:p w14:paraId="6C06223F">
      <w:pPr>
        <w:spacing w:line="360" w:lineRule="auto"/>
        <w:rPr>
          <w:rFonts w:hint="eastAsia" w:ascii="宋体" w:hAnsi="宋体" w:eastAsia="宋体" w:cs="宋体"/>
          <w:b/>
          <w:bCs/>
          <w:sz w:val="24"/>
          <w:szCs w:val="24"/>
        </w:rPr>
      </w:pPr>
      <w:bookmarkStart w:id="284" w:name="_Toc137136214"/>
      <w:bookmarkEnd w:id="284"/>
      <w:bookmarkStart w:id="285" w:name="_Toc137135275"/>
      <w:r>
        <w:rPr>
          <w:rFonts w:hint="eastAsia" w:ascii="宋体" w:hAnsi="宋体" w:eastAsia="宋体" w:cs="宋体"/>
          <w:b/>
          <w:bCs/>
          <w:sz w:val="24"/>
          <w:szCs w:val="24"/>
        </w:rPr>
        <w:t>3.5.2</w:t>
      </w:r>
      <w:bookmarkEnd w:id="285"/>
      <w:r>
        <w:rPr>
          <w:rFonts w:hint="eastAsia" w:ascii="宋体" w:hAnsi="宋体" w:eastAsia="宋体" w:cs="宋体"/>
          <w:b/>
          <w:bCs/>
          <w:sz w:val="24"/>
          <w:szCs w:val="24"/>
        </w:rPr>
        <w:t xml:space="preserve"> 效率</w:t>
      </w:r>
    </w:p>
    <w:p w14:paraId="2B1193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发电机在额定容量、额定功率因数、额定电压及额定频率时的效率应不小于96%。</w:t>
      </w:r>
    </w:p>
    <w:p w14:paraId="16B361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计算效率时发电机损耗包括：</w:t>
      </w:r>
    </w:p>
    <w:p w14:paraId="3F4A5F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1）定子绕组损耗（80℃）</w:t>
      </w:r>
    </w:p>
    <w:p w14:paraId="110E15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2）转子绕组损耗（90℃）</w:t>
      </w:r>
    </w:p>
    <w:p w14:paraId="485CB6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3）铁心损耗</w:t>
      </w:r>
    </w:p>
    <w:p w14:paraId="10BEFE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4）风损和摩擦损耗</w:t>
      </w:r>
    </w:p>
    <w:p w14:paraId="454AD8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5）推力轴承损耗（发电机分担部分）</w:t>
      </w:r>
    </w:p>
    <w:p w14:paraId="052260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6）导轴承损耗、电刷摩擦损耗</w:t>
      </w:r>
    </w:p>
    <w:p w14:paraId="38CFF9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7）杂散损耗</w:t>
      </w:r>
    </w:p>
    <w:p w14:paraId="114E29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8）励磁系统（包括励磁变压器、整流器等）损耗</w:t>
      </w:r>
    </w:p>
    <w:p w14:paraId="3005A0F3">
      <w:pPr>
        <w:spacing w:line="360" w:lineRule="auto"/>
        <w:rPr>
          <w:rFonts w:hint="eastAsia" w:ascii="宋体" w:hAnsi="宋体" w:eastAsia="宋体" w:cs="宋体"/>
          <w:b/>
          <w:bCs/>
          <w:sz w:val="24"/>
          <w:szCs w:val="24"/>
        </w:rPr>
      </w:pPr>
      <w:bookmarkStart w:id="286" w:name="_Toc137135276"/>
      <w:bookmarkEnd w:id="286"/>
      <w:bookmarkStart w:id="287" w:name="_Toc137136215"/>
      <w:r>
        <w:rPr>
          <w:rFonts w:hint="eastAsia" w:ascii="宋体" w:hAnsi="宋体" w:eastAsia="宋体" w:cs="宋体"/>
          <w:b/>
          <w:bCs/>
          <w:sz w:val="24"/>
          <w:szCs w:val="24"/>
        </w:rPr>
        <w:t>3.5.3</w:t>
      </w:r>
      <w:bookmarkEnd w:id="287"/>
      <w:r>
        <w:rPr>
          <w:rFonts w:hint="eastAsia" w:ascii="宋体" w:hAnsi="宋体" w:eastAsia="宋体" w:cs="宋体"/>
          <w:b/>
          <w:bCs/>
          <w:sz w:val="24"/>
          <w:szCs w:val="24"/>
        </w:rPr>
        <w:t xml:space="preserve"> 绝缘</w:t>
      </w:r>
    </w:p>
    <w:p w14:paraId="72DD38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3.5.3.1 定子、转子绕组和定子铁心绝缘等级为F级。</w:t>
      </w:r>
    </w:p>
    <w:p w14:paraId="02110B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3.5.3.2 定子线棒绝缘的工频击穿电压应大于62kV，并应对每台机组抽取3根定子线棒通过抽样试验验证。</w:t>
      </w:r>
    </w:p>
    <w:p w14:paraId="0EF852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3.5.3.3 定子安装完成后，在进行交流绝缘介电强度试验前，应对定子绕组进行3倍额定电压的直流绝缘强度试验和泄漏电流测定。试验时按每级0.5倍额定电压分阶段升高，每阶段停留1min，其泄漏电流应不随时间延长而增大。各相泄漏电流的差别应不大于最小值的50%。</w:t>
      </w:r>
    </w:p>
    <w:p w14:paraId="303963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3.5.3.4 发电机绕组对机壳及各相绕组间的绝缘应能承受表3.5-2中所规定的50Hz（波形为实际正弦波）交流介电强度试验，历时1min不得有任何损坏。</w:t>
      </w:r>
    </w:p>
    <w:p w14:paraId="7155D2E1">
      <w:pPr>
        <w:autoSpaceDE w:val="0"/>
        <w:autoSpaceDN w:val="0"/>
        <w:adjustRightInd w:val="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表3.5-2  发电机绝缘介电强度试验标准</w:t>
      </w:r>
    </w:p>
    <w:tbl>
      <w:tblPr>
        <w:tblStyle w:val="6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61"/>
        <w:gridCol w:w="753"/>
        <w:gridCol w:w="3440"/>
        <w:gridCol w:w="3441"/>
      </w:tblGrid>
      <w:tr w14:paraId="368B7B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1" w:type="dxa"/>
            <w:tcBorders>
              <w:top w:val="single" w:color="auto" w:sz="8" w:space="0"/>
              <w:left w:val="single" w:color="auto" w:sz="8" w:space="0"/>
              <w:bottom w:val="single" w:color="auto" w:sz="6" w:space="0"/>
              <w:right w:val="single" w:color="auto" w:sz="6" w:space="0"/>
            </w:tcBorders>
            <w:noWrap w:val="0"/>
            <w:vAlign w:val="center"/>
          </w:tcPr>
          <w:p w14:paraId="069DBC0E">
            <w:pPr>
              <w:adjustRightInd w:val="0"/>
              <w:spacing w:before="100" w:after="100" w:line="360" w:lineRule="exact"/>
              <w:jc w:val="center"/>
              <w:textAlignment w:val="baseline"/>
              <w:rPr>
                <w:rFonts w:hint="eastAsia" w:ascii="宋体" w:hAnsi="宋体" w:eastAsia="宋体" w:cs="宋体"/>
                <w:color w:val="000000"/>
                <w:kern w:val="0"/>
                <w:szCs w:val="21"/>
              </w:rPr>
            </w:pPr>
            <w:r>
              <w:rPr>
                <w:rFonts w:hint="eastAsia" w:ascii="宋体" w:hAnsi="宋体" w:eastAsia="宋体" w:cs="宋体"/>
                <w:color w:val="000000"/>
                <w:kern w:val="0"/>
              </w:rPr>
              <w:t>序号</w:t>
            </w:r>
          </w:p>
        </w:tc>
        <w:tc>
          <w:tcPr>
            <w:tcW w:w="4193" w:type="dxa"/>
            <w:gridSpan w:val="2"/>
            <w:tcBorders>
              <w:top w:val="single" w:color="auto" w:sz="8" w:space="0"/>
              <w:left w:val="single" w:color="auto" w:sz="6" w:space="0"/>
              <w:bottom w:val="single" w:color="auto" w:sz="6" w:space="0"/>
              <w:right w:val="single" w:color="auto" w:sz="6" w:space="0"/>
            </w:tcBorders>
            <w:noWrap w:val="0"/>
            <w:vAlign w:val="center"/>
          </w:tcPr>
          <w:p w14:paraId="7332CB83">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发电机部件</w:t>
            </w:r>
          </w:p>
        </w:tc>
        <w:tc>
          <w:tcPr>
            <w:tcW w:w="3441" w:type="dxa"/>
            <w:tcBorders>
              <w:top w:val="single" w:color="auto" w:sz="8" w:space="0"/>
              <w:left w:val="single" w:color="auto" w:sz="6" w:space="0"/>
              <w:bottom w:val="single" w:color="auto" w:sz="6" w:space="0"/>
              <w:right w:val="single" w:color="auto" w:sz="8" w:space="0"/>
            </w:tcBorders>
            <w:noWrap w:val="0"/>
            <w:vAlign w:val="center"/>
          </w:tcPr>
          <w:p w14:paraId="4E6ACF7F">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试验电压</w:t>
            </w:r>
          </w:p>
        </w:tc>
      </w:tr>
      <w:tr w14:paraId="650AF4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1" w:type="dxa"/>
            <w:tcBorders>
              <w:top w:val="single" w:color="auto" w:sz="6" w:space="0"/>
              <w:left w:val="single" w:color="auto" w:sz="8" w:space="0"/>
              <w:bottom w:val="single" w:color="auto" w:sz="6" w:space="0"/>
              <w:right w:val="single" w:color="auto" w:sz="6" w:space="0"/>
            </w:tcBorders>
            <w:noWrap w:val="0"/>
            <w:vAlign w:val="center"/>
          </w:tcPr>
          <w:p w14:paraId="3A8DF104">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1</w:t>
            </w:r>
          </w:p>
        </w:tc>
        <w:tc>
          <w:tcPr>
            <w:tcW w:w="753" w:type="dxa"/>
            <w:vMerge w:val="restart"/>
            <w:tcBorders>
              <w:top w:val="single" w:color="auto" w:sz="6" w:space="0"/>
              <w:left w:val="single" w:color="auto" w:sz="6" w:space="0"/>
              <w:bottom w:val="single" w:color="auto" w:sz="6" w:space="0"/>
              <w:right w:val="single" w:color="auto" w:sz="6" w:space="0"/>
            </w:tcBorders>
            <w:noWrap w:val="0"/>
            <w:vAlign w:val="center"/>
          </w:tcPr>
          <w:p w14:paraId="588728BF">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定子绕组</w:t>
            </w:r>
          </w:p>
        </w:tc>
        <w:tc>
          <w:tcPr>
            <w:tcW w:w="3440" w:type="dxa"/>
            <w:tcBorders>
              <w:top w:val="single" w:color="auto" w:sz="6" w:space="0"/>
              <w:left w:val="single" w:color="auto" w:sz="6" w:space="0"/>
              <w:bottom w:val="single" w:color="auto" w:sz="6" w:space="0"/>
              <w:right w:val="single" w:color="auto" w:sz="6" w:space="0"/>
            </w:tcBorders>
            <w:noWrap w:val="0"/>
            <w:vAlign w:val="center"/>
          </w:tcPr>
          <w:p w14:paraId="1B870D1E">
            <w:pPr>
              <w:adjustRightInd w:val="0"/>
              <w:spacing w:before="100" w:after="100" w:line="360" w:lineRule="exact"/>
              <w:textAlignment w:val="baseline"/>
              <w:rPr>
                <w:rFonts w:hint="eastAsia" w:ascii="宋体" w:hAnsi="宋体" w:eastAsia="宋体" w:cs="宋体"/>
                <w:color w:val="000000"/>
                <w:kern w:val="0"/>
              </w:rPr>
            </w:pPr>
            <w:r>
              <w:rPr>
                <w:rFonts w:hint="eastAsia" w:ascii="宋体" w:hAnsi="宋体" w:eastAsia="宋体" w:cs="宋体"/>
                <w:color w:val="000000"/>
                <w:kern w:val="0"/>
              </w:rPr>
              <w:t>定子成品线圈</w:t>
            </w:r>
          </w:p>
        </w:tc>
        <w:tc>
          <w:tcPr>
            <w:tcW w:w="3441" w:type="dxa"/>
            <w:tcBorders>
              <w:top w:val="single" w:color="auto" w:sz="6" w:space="0"/>
              <w:left w:val="single" w:color="auto" w:sz="6" w:space="0"/>
              <w:bottom w:val="single" w:color="auto" w:sz="6" w:space="0"/>
              <w:right w:val="single" w:color="auto" w:sz="8" w:space="0"/>
            </w:tcBorders>
            <w:noWrap w:val="0"/>
            <w:vAlign w:val="center"/>
          </w:tcPr>
          <w:p w14:paraId="7AB3DD51">
            <w:pPr>
              <w:adjustRightInd w:val="0"/>
              <w:spacing w:before="100" w:after="100" w:line="360" w:lineRule="exact"/>
              <w:textAlignment w:val="baseline"/>
              <w:rPr>
                <w:rFonts w:hint="eastAsia" w:ascii="宋体" w:hAnsi="宋体" w:eastAsia="宋体" w:cs="宋体"/>
                <w:color w:val="000000"/>
                <w:kern w:val="0"/>
              </w:rPr>
            </w:pPr>
            <w:r>
              <w:rPr>
                <w:rFonts w:hint="eastAsia" w:ascii="宋体" w:hAnsi="宋体" w:eastAsia="宋体" w:cs="宋体"/>
                <w:color w:val="000000"/>
                <w:kern w:val="0"/>
              </w:rPr>
              <w:t>2.75U</w:t>
            </w:r>
            <w:r>
              <w:rPr>
                <w:rFonts w:hint="eastAsia" w:ascii="宋体" w:hAnsi="宋体" w:eastAsia="宋体" w:cs="宋体"/>
                <w:color w:val="000000"/>
                <w:kern w:val="0"/>
                <w:vertAlign w:val="subscript"/>
              </w:rPr>
              <w:t>N</w:t>
            </w:r>
            <w:r>
              <w:rPr>
                <w:rFonts w:hint="eastAsia" w:ascii="宋体" w:hAnsi="宋体" w:eastAsia="宋体" w:cs="宋体"/>
                <w:color w:val="000000"/>
                <w:kern w:val="0"/>
              </w:rPr>
              <w:t>+6.5kV</w:t>
            </w:r>
          </w:p>
        </w:tc>
      </w:tr>
      <w:tr w14:paraId="610554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1" w:type="dxa"/>
            <w:tcBorders>
              <w:top w:val="single" w:color="auto" w:sz="6" w:space="0"/>
              <w:left w:val="single" w:color="auto" w:sz="8" w:space="0"/>
              <w:bottom w:val="single" w:color="auto" w:sz="6" w:space="0"/>
              <w:right w:val="single" w:color="auto" w:sz="6" w:space="0"/>
            </w:tcBorders>
            <w:noWrap w:val="0"/>
            <w:vAlign w:val="center"/>
          </w:tcPr>
          <w:p w14:paraId="23C05548">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2</w:t>
            </w:r>
          </w:p>
        </w:tc>
        <w:tc>
          <w:tcPr>
            <w:tcW w:w="753" w:type="dxa"/>
            <w:vMerge w:val="continue"/>
            <w:tcBorders>
              <w:top w:val="single" w:color="auto" w:sz="6" w:space="0"/>
              <w:left w:val="single" w:color="auto" w:sz="6" w:space="0"/>
              <w:bottom w:val="single" w:color="auto" w:sz="6" w:space="0"/>
              <w:right w:val="single" w:color="auto" w:sz="6" w:space="0"/>
            </w:tcBorders>
            <w:noWrap w:val="0"/>
            <w:vAlign w:val="center"/>
          </w:tcPr>
          <w:p w14:paraId="64D3DA9B">
            <w:pPr>
              <w:widowControl/>
              <w:jc w:val="left"/>
              <w:rPr>
                <w:rFonts w:hint="eastAsia" w:ascii="宋体" w:hAnsi="宋体" w:eastAsia="宋体" w:cs="宋体"/>
                <w:color w:val="000000"/>
                <w:kern w:val="0"/>
                <w:szCs w:val="21"/>
              </w:rPr>
            </w:pPr>
          </w:p>
        </w:tc>
        <w:tc>
          <w:tcPr>
            <w:tcW w:w="3440" w:type="dxa"/>
            <w:tcBorders>
              <w:top w:val="single" w:color="auto" w:sz="6" w:space="0"/>
              <w:left w:val="single" w:color="auto" w:sz="6" w:space="0"/>
              <w:bottom w:val="single" w:color="auto" w:sz="6" w:space="0"/>
              <w:right w:val="single" w:color="auto" w:sz="6" w:space="0"/>
            </w:tcBorders>
            <w:noWrap w:val="0"/>
            <w:vAlign w:val="center"/>
          </w:tcPr>
          <w:p w14:paraId="4BB2724C">
            <w:pPr>
              <w:adjustRightInd w:val="0"/>
              <w:spacing w:before="100" w:after="100" w:line="360" w:lineRule="exact"/>
              <w:textAlignment w:val="baseline"/>
              <w:rPr>
                <w:rFonts w:hint="eastAsia" w:ascii="宋体" w:hAnsi="宋体" w:eastAsia="宋体" w:cs="宋体"/>
                <w:color w:val="000000"/>
                <w:kern w:val="0"/>
              </w:rPr>
            </w:pPr>
            <w:r>
              <w:rPr>
                <w:rFonts w:hint="eastAsia" w:ascii="宋体" w:hAnsi="宋体" w:eastAsia="宋体" w:cs="宋体"/>
                <w:color w:val="000000"/>
                <w:kern w:val="0"/>
              </w:rPr>
              <w:t>定子线圈在工地嵌装前</w:t>
            </w:r>
          </w:p>
        </w:tc>
        <w:tc>
          <w:tcPr>
            <w:tcW w:w="3441" w:type="dxa"/>
            <w:tcBorders>
              <w:top w:val="single" w:color="auto" w:sz="6" w:space="0"/>
              <w:left w:val="single" w:color="auto" w:sz="6" w:space="0"/>
              <w:bottom w:val="single" w:color="auto" w:sz="6" w:space="0"/>
              <w:right w:val="single" w:color="auto" w:sz="8" w:space="0"/>
            </w:tcBorders>
            <w:noWrap w:val="0"/>
            <w:vAlign w:val="center"/>
          </w:tcPr>
          <w:p w14:paraId="25FF7356">
            <w:pPr>
              <w:adjustRightInd w:val="0"/>
              <w:spacing w:before="100" w:after="100" w:line="360" w:lineRule="exact"/>
              <w:textAlignment w:val="baseline"/>
              <w:rPr>
                <w:rFonts w:hint="eastAsia" w:ascii="宋体" w:hAnsi="宋体" w:eastAsia="宋体" w:cs="宋体"/>
                <w:color w:val="000000"/>
                <w:kern w:val="0"/>
              </w:rPr>
            </w:pPr>
            <w:r>
              <w:rPr>
                <w:rFonts w:hint="eastAsia" w:ascii="宋体" w:hAnsi="宋体" w:eastAsia="宋体" w:cs="宋体"/>
                <w:color w:val="000000"/>
                <w:kern w:val="0"/>
              </w:rPr>
              <w:t>2.75U</w:t>
            </w:r>
            <w:r>
              <w:rPr>
                <w:rFonts w:hint="eastAsia" w:ascii="宋体" w:hAnsi="宋体" w:eastAsia="宋体" w:cs="宋体"/>
                <w:color w:val="000000"/>
                <w:kern w:val="0"/>
                <w:vertAlign w:val="subscript"/>
              </w:rPr>
              <w:t>N</w:t>
            </w:r>
            <w:r>
              <w:rPr>
                <w:rFonts w:hint="eastAsia" w:ascii="宋体" w:hAnsi="宋体" w:eastAsia="宋体" w:cs="宋体"/>
                <w:color w:val="000000"/>
                <w:kern w:val="0"/>
              </w:rPr>
              <w:t>+2.5kV</w:t>
            </w:r>
          </w:p>
        </w:tc>
      </w:tr>
      <w:tr w14:paraId="3AF6B4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1" w:type="dxa"/>
            <w:tcBorders>
              <w:top w:val="single" w:color="auto" w:sz="6" w:space="0"/>
              <w:left w:val="single" w:color="auto" w:sz="8" w:space="0"/>
              <w:bottom w:val="single" w:color="auto" w:sz="6" w:space="0"/>
              <w:right w:val="single" w:color="auto" w:sz="6" w:space="0"/>
            </w:tcBorders>
            <w:noWrap w:val="0"/>
            <w:vAlign w:val="center"/>
          </w:tcPr>
          <w:p w14:paraId="23028A98">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3</w:t>
            </w:r>
          </w:p>
        </w:tc>
        <w:tc>
          <w:tcPr>
            <w:tcW w:w="753" w:type="dxa"/>
            <w:vMerge w:val="continue"/>
            <w:tcBorders>
              <w:top w:val="single" w:color="auto" w:sz="6" w:space="0"/>
              <w:left w:val="single" w:color="auto" w:sz="6" w:space="0"/>
              <w:bottom w:val="single" w:color="auto" w:sz="6" w:space="0"/>
              <w:right w:val="single" w:color="auto" w:sz="6" w:space="0"/>
            </w:tcBorders>
            <w:noWrap w:val="0"/>
            <w:vAlign w:val="center"/>
          </w:tcPr>
          <w:p w14:paraId="35357440">
            <w:pPr>
              <w:widowControl/>
              <w:jc w:val="left"/>
              <w:rPr>
                <w:rFonts w:hint="eastAsia" w:ascii="宋体" w:hAnsi="宋体" w:eastAsia="宋体" w:cs="宋体"/>
                <w:color w:val="000000"/>
                <w:kern w:val="0"/>
                <w:szCs w:val="21"/>
              </w:rPr>
            </w:pPr>
          </w:p>
        </w:tc>
        <w:tc>
          <w:tcPr>
            <w:tcW w:w="3440" w:type="dxa"/>
            <w:tcBorders>
              <w:top w:val="single" w:color="auto" w:sz="6" w:space="0"/>
              <w:left w:val="single" w:color="auto" w:sz="6" w:space="0"/>
              <w:bottom w:val="single" w:color="auto" w:sz="6" w:space="0"/>
              <w:right w:val="single" w:color="auto" w:sz="6" w:space="0"/>
            </w:tcBorders>
            <w:noWrap w:val="0"/>
            <w:vAlign w:val="center"/>
          </w:tcPr>
          <w:p w14:paraId="288EB6CE">
            <w:pPr>
              <w:adjustRightInd w:val="0"/>
              <w:spacing w:before="100" w:after="100" w:line="360" w:lineRule="exact"/>
              <w:textAlignment w:val="baseline"/>
              <w:rPr>
                <w:rFonts w:hint="eastAsia" w:ascii="宋体" w:hAnsi="宋体" w:eastAsia="宋体" w:cs="宋体"/>
                <w:color w:val="000000"/>
                <w:kern w:val="0"/>
              </w:rPr>
            </w:pPr>
            <w:r>
              <w:rPr>
                <w:rFonts w:hint="eastAsia" w:ascii="宋体" w:hAnsi="宋体" w:eastAsia="宋体" w:cs="宋体"/>
                <w:color w:val="000000"/>
                <w:kern w:val="0"/>
              </w:rPr>
              <w:t>定子安装完成后</w:t>
            </w:r>
          </w:p>
        </w:tc>
        <w:tc>
          <w:tcPr>
            <w:tcW w:w="3441" w:type="dxa"/>
            <w:tcBorders>
              <w:top w:val="single" w:color="auto" w:sz="6" w:space="0"/>
              <w:left w:val="single" w:color="auto" w:sz="6" w:space="0"/>
              <w:bottom w:val="single" w:color="auto" w:sz="6" w:space="0"/>
              <w:right w:val="single" w:color="auto" w:sz="8" w:space="0"/>
            </w:tcBorders>
            <w:noWrap w:val="0"/>
            <w:vAlign w:val="center"/>
          </w:tcPr>
          <w:p w14:paraId="1B13B0DB">
            <w:pPr>
              <w:adjustRightInd w:val="0"/>
              <w:spacing w:before="100" w:after="100" w:line="360" w:lineRule="exact"/>
              <w:textAlignment w:val="baseline"/>
              <w:rPr>
                <w:rFonts w:hint="eastAsia" w:ascii="宋体" w:hAnsi="宋体" w:eastAsia="宋体" w:cs="宋体"/>
                <w:color w:val="000000"/>
                <w:kern w:val="0"/>
              </w:rPr>
            </w:pPr>
            <w:r>
              <w:rPr>
                <w:rFonts w:hint="eastAsia" w:ascii="宋体" w:hAnsi="宋体" w:eastAsia="宋体" w:cs="宋体"/>
                <w:color w:val="000000"/>
                <w:kern w:val="0"/>
              </w:rPr>
              <w:t>2U</w:t>
            </w:r>
            <w:r>
              <w:rPr>
                <w:rFonts w:hint="eastAsia" w:ascii="宋体" w:hAnsi="宋体" w:eastAsia="宋体" w:cs="宋体"/>
                <w:color w:val="000000"/>
                <w:kern w:val="0"/>
                <w:vertAlign w:val="subscript"/>
              </w:rPr>
              <w:t>N</w:t>
            </w:r>
            <w:r>
              <w:rPr>
                <w:rFonts w:hint="eastAsia" w:ascii="宋体" w:hAnsi="宋体" w:eastAsia="宋体" w:cs="宋体"/>
                <w:color w:val="000000"/>
                <w:kern w:val="0"/>
              </w:rPr>
              <w:t>+1kV</w:t>
            </w:r>
          </w:p>
        </w:tc>
      </w:tr>
      <w:tr w14:paraId="53AB1C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1" w:type="dxa"/>
            <w:vMerge w:val="restart"/>
            <w:tcBorders>
              <w:top w:val="single" w:color="auto" w:sz="6" w:space="0"/>
              <w:left w:val="single" w:color="auto" w:sz="8" w:space="0"/>
              <w:bottom w:val="single" w:color="auto" w:sz="6" w:space="0"/>
              <w:right w:val="single" w:color="auto" w:sz="6" w:space="0"/>
            </w:tcBorders>
            <w:noWrap w:val="0"/>
            <w:vAlign w:val="center"/>
          </w:tcPr>
          <w:p w14:paraId="19649FA7">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4</w:t>
            </w:r>
          </w:p>
        </w:tc>
        <w:tc>
          <w:tcPr>
            <w:tcW w:w="753" w:type="dxa"/>
            <w:vMerge w:val="restart"/>
            <w:tcBorders>
              <w:top w:val="single" w:color="auto" w:sz="6" w:space="0"/>
              <w:left w:val="single" w:color="auto" w:sz="6" w:space="0"/>
              <w:bottom w:val="single" w:color="auto" w:sz="6" w:space="0"/>
              <w:right w:val="single" w:color="auto" w:sz="6" w:space="0"/>
            </w:tcBorders>
            <w:noWrap w:val="0"/>
            <w:vAlign w:val="center"/>
          </w:tcPr>
          <w:p w14:paraId="6629D30F">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转子绕组</w:t>
            </w:r>
          </w:p>
        </w:tc>
        <w:tc>
          <w:tcPr>
            <w:tcW w:w="3440" w:type="dxa"/>
            <w:tcBorders>
              <w:top w:val="single" w:color="auto" w:sz="6" w:space="0"/>
              <w:left w:val="single" w:color="auto" w:sz="6" w:space="0"/>
              <w:bottom w:val="single" w:color="auto" w:sz="6" w:space="0"/>
              <w:right w:val="single" w:color="auto" w:sz="6" w:space="0"/>
            </w:tcBorders>
            <w:noWrap w:val="0"/>
            <w:vAlign w:val="center"/>
          </w:tcPr>
          <w:p w14:paraId="1C4C020B">
            <w:pPr>
              <w:adjustRightInd w:val="0"/>
              <w:spacing w:before="100" w:after="100" w:line="360" w:lineRule="exact"/>
              <w:textAlignment w:val="baseline"/>
              <w:rPr>
                <w:rFonts w:hint="eastAsia" w:ascii="宋体" w:hAnsi="宋体" w:eastAsia="宋体" w:cs="宋体"/>
                <w:color w:val="000000"/>
                <w:kern w:val="0"/>
              </w:rPr>
            </w:pPr>
            <w:r>
              <w:rPr>
                <w:rFonts w:hint="eastAsia" w:ascii="宋体" w:hAnsi="宋体" w:eastAsia="宋体" w:cs="宋体"/>
                <w:color w:val="000000"/>
                <w:kern w:val="0"/>
              </w:rPr>
              <w:t>额定励磁电压500V及以下</w:t>
            </w:r>
          </w:p>
        </w:tc>
        <w:tc>
          <w:tcPr>
            <w:tcW w:w="3441" w:type="dxa"/>
            <w:tcBorders>
              <w:top w:val="single" w:color="auto" w:sz="6" w:space="0"/>
              <w:left w:val="single" w:color="auto" w:sz="6" w:space="0"/>
              <w:bottom w:val="single" w:color="auto" w:sz="6" w:space="0"/>
              <w:right w:val="single" w:color="auto" w:sz="8" w:space="0"/>
            </w:tcBorders>
            <w:noWrap w:val="0"/>
            <w:vAlign w:val="center"/>
          </w:tcPr>
          <w:p w14:paraId="01DD7C65">
            <w:pPr>
              <w:adjustRightInd w:val="0"/>
              <w:spacing w:before="100" w:after="100" w:line="360" w:lineRule="exact"/>
              <w:textAlignment w:val="baseline"/>
              <w:rPr>
                <w:rFonts w:hint="eastAsia" w:ascii="宋体" w:hAnsi="宋体" w:eastAsia="宋体" w:cs="宋体"/>
                <w:color w:val="000000"/>
                <w:kern w:val="0"/>
              </w:rPr>
            </w:pPr>
            <w:r>
              <w:rPr>
                <w:rFonts w:hint="eastAsia" w:ascii="宋体" w:hAnsi="宋体" w:eastAsia="宋体" w:cs="宋体"/>
                <w:color w:val="000000"/>
                <w:kern w:val="0"/>
              </w:rPr>
              <w:t>10倍额定励磁电压（但最低不低于1500V）</w:t>
            </w:r>
          </w:p>
        </w:tc>
      </w:tr>
      <w:tr w14:paraId="4A0F7A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1" w:type="dxa"/>
            <w:vMerge w:val="continue"/>
            <w:tcBorders>
              <w:top w:val="single" w:color="auto" w:sz="6" w:space="0"/>
              <w:left w:val="single" w:color="auto" w:sz="8" w:space="0"/>
              <w:bottom w:val="single" w:color="auto" w:sz="6" w:space="0"/>
              <w:right w:val="single" w:color="auto" w:sz="6" w:space="0"/>
            </w:tcBorders>
            <w:noWrap w:val="0"/>
            <w:vAlign w:val="center"/>
          </w:tcPr>
          <w:p w14:paraId="31C5E8DF">
            <w:pPr>
              <w:widowControl/>
              <w:jc w:val="left"/>
              <w:rPr>
                <w:rFonts w:hint="eastAsia" w:ascii="宋体" w:hAnsi="宋体" w:eastAsia="宋体" w:cs="宋体"/>
                <w:color w:val="000000"/>
                <w:kern w:val="0"/>
                <w:szCs w:val="21"/>
              </w:rPr>
            </w:pPr>
          </w:p>
        </w:tc>
        <w:tc>
          <w:tcPr>
            <w:tcW w:w="753" w:type="dxa"/>
            <w:vMerge w:val="continue"/>
            <w:tcBorders>
              <w:top w:val="single" w:color="auto" w:sz="6" w:space="0"/>
              <w:left w:val="single" w:color="auto" w:sz="6" w:space="0"/>
              <w:bottom w:val="single" w:color="auto" w:sz="6" w:space="0"/>
              <w:right w:val="single" w:color="auto" w:sz="6" w:space="0"/>
            </w:tcBorders>
            <w:noWrap w:val="0"/>
            <w:vAlign w:val="center"/>
          </w:tcPr>
          <w:p w14:paraId="7990DC96">
            <w:pPr>
              <w:widowControl/>
              <w:jc w:val="left"/>
              <w:rPr>
                <w:rFonts w:hint="eastAsia" w:ascii="宋体" w:hAnsi="宋体" w:eastAsia="宋体" w:cs="宋体"/>
                <w:color w:val="000000"/>
                <w:kern w:val="0"/>
                <w:szCs w:val="21"/>
              </w:rPr>
            </w:pPr>
          </w:p>
        </w:tc>
        <w:tc>
          <w:tcPr>
            <w:tcW w:w="3440" w:type="dxa"/>
            <w:tcBorders>
              <w:top w:val="single" w:color="auto" w:sz="6" w:space="0"/>
              <w:left w:val="single" w:color="auto" w:sz="6" w:space="0"/>
              <w:bottom w:val="single" w:color="auto" w:sz="8" w:space="0"/>
              <w:right w:val="single" w:color="auto" w:sz="6" w:space="0"/>
            </w:tcBorders>
            <w:noWrap w:val="0"/>
            <w:vAlign w:val="center"/>
          </w:tcPr>
          <w:p w14:paraId="517A6714">
            <w:pPr>
              <w:adjustRightInd w:val="0"/>
              <w:spacing w:before="100" w:after="100" w:line="360" w:lineRule="exact"/>
              <w:textAlignment w:val="baseline"/>
              <w:rPr>
                <w:rFonts w:hint="eastAsia" w:ascii="宋体" w:hAnsi="宋体" w:eastAsia="宋体" w:cs="宋体"/>
                <w:color w:val="000000"/>
                <w:kern w:val="0"/>
              </w:rPr>
            </w:pPr>
            <w:r>
              <w:rPr>
                <w:rFonts w:hint="eastAsia" w:ascii="宋体" w:hAnsi="宋体" w:eastAsia="宋体" w:cs="宋体"/>
                <w:color w:val="000000"/>
                <w:kern w:val="0"/>
              </w:rPr>
              <w:t>额定励磁电压500V及上</w:t>
            </w:r>
          </w:p>
        </w:tc>
        <w:tc>
          <w:tcPr>
            <w:tcW w:w="3441" w:type="dxa"/>
            <w:tcBorders>
              <w:top w:val="single" w:color="auto" w:sz="6" w:space="0"/>
              <w:left w:val="single" w:color="auto" w:sz="6" w:space="0"/>
              <w:bottom w:val="single" w:color="auto" w:sz="8" w:space="0"/>
              <w:right w:val="single" w:color="auto" w:sz="8" w:space="0"/>
            </w:tcBorders>
            <w:noWrap w:val="0"/>
            <w:vAlign w:val="center"/>
          </w:tcPr>
          <w:p w14:paraId="4D072A31">
            <w:pPr>
              <w:adjustRightInd w:val="0"/>
              <w:spacing w:before="100" w:after="100" w:line="360" w:lineRule="exact"/>
              <w:textAlignment w:val="baseline"/>
              <w:rPr>
                <w:rFonts w:hint="eastAsia" w:ascii="宋体" w:hAnsi="宋体" w:eastAsia="宋体" w:cs="宋体"/>
                <w:color w:val="000000"/>
                <w:kern w:val="0"/>
              </w:rPr>
            </w:pPr>
            <w:r>
              <w:rPr>
                <w:rFonts w:hint="eastAsia" w:ascii="宋体" w:hAnsi="宋体" w:eastAsia="宋体" w:cs="宋体"/>
                <w:color w:val="000000"/>
                <w:kern w:val="0"/>
              </w:rPr>
              <w:t>2倍额定励磁电压+4000V</w:t>
            </w:r>
          </w:p>
        </w:tc>
      </w:tr>
    </w:tbl>
    <w:p w14:paraId="4D1A3465">
      <w:pPr>
        <w:autoSpaceDE w:val="0"/>
        <w:autoSpaceDN w:val="0"/>
        <w:adjustRightInd w:val="0"/>
        <w:ind w:firstLine="432" w:firstLineChars="206"/>
        <w:textAlignment w:val="baseline"/>
        <w:rPr>
          <w:rFonts w:hint="eastAsia" w:ascii="宋体" w:hAnsi="宋体" w:eastAsia="宋体" w:cs="宋体"/>
          <w:color w:val="000000"/>
          <w:kern w:val="0"/>
          <w:szCs w:val="21"/>
        </w:rPr>
      </w:pPr>
      <w:r>
        <w:rPr>
          <w:rFonts w:hint="eastAsia" w:ascii="宋体" w:hAnsi="宋体" w:eastAsia="宋体" w:cs="宋体"/>
          <w:kern w:val="0"/>
        </w:rPr>
        <w:t>注：1、表中U</w:t>
      </w:r>
      <w:r>
        <w:rPr>
          <w:rFonts w:hint="eastAsia" w:ascii="宋体" w:hAnsi="宋体" w:eastAsia="宋体" w:cs="宋体"/>
          <w:kern w:val="0"/>
          <w:vertAlign w:val="subscript"/>
        </w:rPr>
        <w:t>N</w:t>
      </w:r>
      <w:r>
        <w:rPr>
          <w:rFonts w:hint="eastAsia" w:ascii="宋体" w:hAnsi="宋体" w:eastAsia="宋体" w:cs="宋体"/>
          <w:kern w:val="0"/>
        </w:rPr>
        <w:t>为发电机额定线电压10.5kV（有效值）。2、转子绕组试验电压值为转子装配完成后的耐压值。</w:t>
      </w:r>
    </w:p>
    <w:p w14:paraId="2A74E3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3.5.3.5 起晕电压：定子绕组单个线棒应在1.5倍额定线电压下不起晕。整机耐压时，在1.05倍额定线电压下，端部应无明显晕带和连续的金黄色亮点。定子绕组在1.3倍额定相电压下进行整体电晕试验时，应无持续可见电晕。</w:t>
      </w:r>
    </w:p>
    <w:p w14:paraId="3C6148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3.5.3.6 定子线棒介质损失角正切值（tgδ）及其增量(△tgδ)的指标应满足表3.5-3中的规定。</w:t>
      </w:r>
    </w:p>
    <w:p w14:paraId="01326A5C">
      <w:pPr>
        <w:autoSpaceDE w:val="0"/>
        <w:autoSpaceDN w:val="0"/>
        <w:adjustRightInd w:val="0"/>
        <w:ind w:firstLine="494" w:firstLineChars="206"/>
        <w:textAlignment w:val="baseline"/>
        <w:rPr>
          <w:rFonts w:hint="eastAsia" w:ascii="宋体" w:hAnsi="宋体" w:eastAsia="宋体" w:cs="宋体"/>
          <w:kern w:val="0"/>
          <w:sz w:val="24"/>
          <w:szCs w:val="24"/>
        </w:rPr>
      </w:pPr>
      <w:r>
        <w:rPr>
          <w:rFonts w:hint="eastAsia" w:ascii="宋体" w:hAnsi="宋体" w:eastAsia="宋体" w:cs="宋体"/>
          <w:kern w:val="0"/>
          <w:sz w:val="24"/>
          <w:szCs w:val="24"/>
        </w:rPr>
        <w:t xml:space="preserve"> 表3.5-3 定子线棒介质损失角正切值（tgδ）及其增量（△tgδ）指标（%）</w:t>
      </w:r>
    </w:p>
    <w:tbl>
      <w:tblPr>
        <w:tblStyle w:val="6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627"/>
        <w:gridCol w:w="1354"/>
        <w:gridCol w:w="1086"/>
        <w:gridCol w:w="3428"/>
      </w:tblGrid>
      <w:tr w14:paraId="7E1D29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627" w:type="dxa"/>
            <w:tcBorders>
              <w:top w:val="single" w:color="auto" w:sz="8" w:space="0"/>
              <w:left w:val="single" w:color="auto" w:sz="8" w:space="0"/>
              <w:bottom w:val="single" w:color="auto" w:sz="6" w:space="0"/>
              <w:right w:val="single" w:color="auto" w:sz="6" w:space="0"/>
            </w:tcBorders>
            <w:noWrap w:val="0"/>
            <w:vAlign w:val="center"/>
          </w:tcPr>
          <w:p w14:paraId="56F04B08">
            <w:pPr>
              <w:adjustRightInd w:val="0"/>
              <w:spacing w:before="100" w:after="100" w:line="360" w:lineRule="exact"/>
              <w:jc w:val="center"/>
              <w:textAlignment w:val="baseline"/>
              <w:rPr>
                <w:rFonts w:hint="eastAsia" w:ascii="宋体" w:hAnsi="宋体" w:eastAsia="宋体" w:cs="宋体"/>
                <w:color w:val="000000"/>
                <w:kern w:val="0"/>
                <w:szCs w:val="21"/>
              </w:rPr>
            </w:pPr>
            <w:r>
              <w:rPr>
                <w:rFonts w:hint="eastAsia" w:ascii="宋体" w:hAnsi="宋体" w:eastAsia="宋体" w:cs="宋体"/>
                <w:color w:val="000000"/>
                <w:kern w:val="0"/>
              </w:rPr>
              <w:t>试验检查项目</w:t>
            </w:r>
          </w:p>
        </w:tc>
        <w:tc>
          <w:tcPr>
            <w:tcW w:w="1354" w:type="dxa"/>
            <w:tcBorders>
              <w:top w:val="single" w:color="auto" w:sz="8" w:space="0"/>
              <w:left w:val="single" w:color="auto" w:sz="6" w:space="0"/>
              <w:bottom w:val="single" w:color="auto" w:sz="6" w:space="0"/>
              <w:right w:val="single" w:color="auto" w:sz="6" w:space="0"/>
            </w:tcBorders>
            <w:noWrap w:val="0"/>
            <w:vAlign w:val="center"/>
          </w:tcPr>
          <w:p w14:paraId="1522BB59">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试验电压</w:t>
            </w:r>
          </w:p>
        </w:tc>
        <w:tc>
          <w:tcPr>
            <w:tcW w:w="1086" w:type="dxa"/>
            <w:tcBorders>
              <w:top w:val="single" w:color="auto" w:sz="8" w:space="0"/>
              <w:left w:val="single" w:color="auto" w:sz="6" w:space="0"/>
              <w:bottom w:val="single" w:color="auto" w:sz="6" w:space="0"/>
              <w:right w:val="single" w:color="auto" w:sz="6" w:space="0"/>
            </w:tcBorders>
            <w:noWrap w:val="0"/>
            <w:vAlign w:val="center"/>
          </w:tcPr>
          <w:p w14:paraId="76DF0A91">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指标（%）</w:t>
            </w:r>
          </w:p>
        </w:tc>
        <w:tc>
          <w:tcPr>
            <w:tcW w:w="3429" w:type="dxa"/>
            <w:tcBorders>
              <w:top w:val="single" w:color="auto" w:sz="8" w:space="0"/>
              <w:left w:val="single" w:color="auto" w:sz="6" w:space="0"/>
              <w:bottom w:val="single" w:color="auto" w:sz="6" w:space="0"/>
              <w:right w:val="single" w:color="auto" w:sz="8" w:space="0"/>
            </w:tcBorders>
            <w:noWrap w:val="0"/>
            <w:vAlign w:val="center"/>
          </w:tcPr>
          <w:p w14:paraId="07CA7384">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备注</w:t>
            </w:r>
          </w:p>
        </w:tc>
      </w:tr>
      <w:tr w14:paraId="54CBB1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627" w:type="dxa"/>
            <w:tcBorders>
              <w:top w:val="single" w:color="auto" w:sz="6" w:space="0"/>
              <w:left w:val="single" w:color="auto" w:sz="8" w:space="0"/>
              <w:bottom w:val="single" w:color="auto" w:sz="6" w:space="0"/>
              <w:right w:val="single" w:color="auto" w:sz="6" w:space="0"/>
            </w:tcBorders>
            <w:noWrap w:val="0"/>
            <w:vAlign w:val="center"/>
          </w:tcPr>
          <w:p w14:paraId="5A3ADCB6">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tgd0.2U</w:t>
            </w:r>
            <w:r>
              <w:rPr>
                <w:rFonts w:hint="eastAsia" w:ascii="宋体" w:hAnsi="宋体" w:eastAsia="宋体" w:cs="宋体"/>
                <w:color w:val="000000"/>
                <w:kern w:val="0"/>
                <w:vertAlign w:val="subscript"/>
              </w:rPr>
              <w:t>N</w:t>
            </w:r>
          </w:p>
        </w:tc>
        <w:tc>
          <w:tcPr>
            <w:tcW w:w="1354" w:type="dxa"/>
            <w:tcBorders>
              <w:top w:val="single" w:color="auto" w:sz="6" w:space="0"/>
              <w:left w:val="single" w:color="auto" w:sz="6" w:space="0"/>
              <w:bottom w:val="single" w:color="auto" w:sz="6" w:space="0"/>
              <w:right w:val="single" w:color="auto" w:sz="6" w:space="0"/>
            </w:tcBorders>
            <w:noWrap w:val="0"/>
            <w:vAlign w:val="center"/>
          </w:tcPr>
          <w:p w14:paraId="716BC7BF">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0.2U</w:t>
            </w:r>
            <w:r>
              <w:rPr>
                <w:rFonts w:hint="eastAsia" w:ascii="宋体" w:hAnsi="宋体" w:eastAsia="宋体" w:cs="宋体"/>
                <w:color w:val="000000"/>
                <w:kern w:val="0"/>
                <w:vertAlign w:val="subscript"/>
              </w:rPr>
              <w:t>N</w:t>
            </w:r>
          </w:p>
        </w:tc>
        <w:tc>
          <w:tcPr>
            <w:tcW w:w="1086" w:type="dxa"/>
            <w:tcBorders>
              <w:top w:val="single" w:color="auto" w:sz="6" w:space="0"/>
              <w:left w:val="single" w:color="auto" w:sz="6" w:space="0"/>
              <w:bottom w:val="single" w:color="auto" w:sz="6" w:space="0"/>
              <w:right w:val="single" w:color="auto" w:sz="6" w:space="0"/>
            </w:tcBorders>
            <w:noWrap w:val="0"/>
            <w:vAlign w:val="center"/>
          </w:tcPr>
          <w:p w14:paraId="5F4455D7">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£2</w:t>
            </w:r>
          </w:p>
        </w:tc>
        <w:tc>
          <w:tcPr>
            <w:tcW w:w="3429" w:type="dxa"/>
            <w:tcBorders>
              <w:top w:val="single" w:color="auto" w:sz="6" w:space="0"/>
              <w:left w:val="single" w:color="auto" w:sz="6" w:space="0"/>
              <w:bottom w:val="single" w:color="auto" w:sz="6" w:space="0"/>
              <w:right w:val="single" w:color="auto" w:sz="8" w:space="0"/>
            </w:tcBorders>
            <w:noWrap w:val="0"/>
            <w:vAlign w:val="center"/>
          </w:tcPr>
          <w:p w14:paraId="689D690F">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每台按3%抽检，如不合格，则加倍抽检</w:t>
            </w:r>
          </w:p>
        </w:tc>
      </w:tr>
      <w:tr w14:paraId="218E86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627" w:type="dxa"/>
            <w:tcBorders>
              <w:top w:val="single" w:color="auto" w:sz="6" w:space="0"/>
              <w:left w:val="single" w:color="auto" w:sz="8" w:space="0"/>
              <w:bottom w:val="single" w:color="auto" w:sz="8" w:space="0"/>
              <w:right w:val="single" w:color="auto" w:sz="6" w:space="0"/>
            </w:tcBorders>
            <w:noWrap w:val="0"/>
            <w:vAlign w:val="center"/>
          </w:tcPr>
          <w:p w14:paraId="13414CC5">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Dtgd=tgd0.6U</w:t>
            </w:r>
            <w:r>
              <w:rPr>
                <w:rFonts w:hint="eastAsia" w:ascii="宋体" w:hAnsi="宋体" w:eastAsia="宋体" w:cs="宋体"/>
                <w:color w:val="000000"/>
                <w:kern w:val="0"/>
                <w:vertAlign w:val="subscript"/>
              </w:rPr>
              <w:t>N</w:t>
            </w:r>
            <w:r>
              <w:rPr>
                <w:rFonts w:hint="eastAsia" w:ascii="宋体" w:hAnsi="宋体" w:eastAsia="宋体" w:cs="宋体"/>
                <w:color w:val="000000"/>
                <w:kern w:val="0"/>
              </w:rPr>
              <w:t>-tgd0.2U</w:t>
            </w:r>
            <w:r>
              <w:rPr>
                <w:rFonts w:hint="eastAsia" w:ascii="宋体" w:hAnsi="宋体" w:eastAsia="宋体" w:cs="宋体"/>
                <w:color w:val="000000"/>
                <w:kern w:val="0"/>
                <w:vertAlign w:val="subscript"/>
              </w:rPr>
              <w:t>N</w:t>
            </w:r>
          </w:p>
        </w:tc>
        <w:tc>
          <w:tcPr>
            <w:tcW w:w="1354" w:type="dxa"/>
            <w:tcBorders>
              <w:top w:val="single" w:color="auto" w:sz="6" w:space="0"/>
              <w:left w:val="single" w:color="auto" w:sz="6" w:space="0"/>
              <w:bottom w:val="single" w:color="auto" w:sz="8" w:space="0"/>
              <w:right w:val="single" w:color="auto" w:sz="6" w:space="0"/>
            </w:tcBorders>
            <w:noWrap w:val="0"/>
            <w:vAlign w:val="center"/>
          </w:tcPr>
          <w:p w14:paraId="70CB4794">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0.2U</w:t>
            </w:r>
            <w:r>
              <w:rPr>
                <w:rFonts w:hint="eastAsia" w:ascii="宋体" w:hAnsi="宋体" w:eastAsia="宋体" w:cs="宋体"/>
                <w:color w:val="000000"/>
                <w:kern w:val="0"/>
                <w:vertAlign w:val="subscript"/>
              </w:rPr>
              <w:t>N</w:t>
            </w:r>
            <w:r>
              <w:rPr>
                <w:rFonts w:hint="eastAsia" w:ascii="宋体" w:hAnsi="宋体" w:eastAsia="宋体" w:cs="宋体"/>
                <w:color w:val="000000"/>
                <w:kern w:val="0"/>
              </w:rPr>
              <w:t>～0.6U</w:t>
            </w:r>
            <w:r>
              <w:rPr>
                <w:rFonts w:hint="eastAsia" w:ascii="宋体" w:hAnsi="宋体" w:eastAsia="宋体" w:cs="宋体"/>
                <w:color w:val="000000"/>
                <w:kern w:val="0"/>
                <w:vertAlign w:val="subscript"/>
              </w:rPr>
              <w:t>N</w:t>
            </w:r>
          </w:p>
        </w:tc>
        <w:tc>
          <w:tcPr>
            <w:tcW w:w="1086" w:type="dxa"/>
            <w:tcBorders>
              <w:top w:val="single" w:color="auto" w:sz="6" w:space="0"/>
              <w:left w:val="single" w:color="auto" w:sz="6" w:space="0"/>
              <w:bottom w:val="single" w:color="auto" w:sz="8" w:space="0"/>
              <w:right w:val="single" w:color="auto" w:sz="6" w:space="0"/>
            </w:tcBorders>
            <w:noWrap w:val="0"/>
            <w:vAlign w:val="center"/>
          </w:tcPr>
          <w:p w14:paraId="2AE924E6">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£1</w:t>
            </w:r>
          </w:p>
        </w:tc>
        <w:tc>
          <w:tcPr>
            <w:tcW w:w="3429" w:type="dxa"/>
            <w:tcBorders>
              <w:top w:val="single" w:color="auto" w:sz="6" w:space="0"/>
              <w:left w:val="single" w:color="auto" w:sz="6" w:space="0"/>
              <w:bottom w:val="single" w:color="auto" w:sz="8" w:space="0"/>
              <w:right w:val="single" w:color="auto" w:sz="8" w:space="0"/>
            </w:tcBorders>
            <w:noWrap w:val="0"/>
            <w:vAlign w:val="center"/>
          </w:tcPr>
          <w:p w14:paraId="6EE8DE30">
            <w:pPr>
              <w:adjustRightInd w:val="0"/>
              <w:spacing w:before="100" w:after="100" w:line="36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同上</w:t>
            </w:r>
          </w:p>
        </w:tc>
      </w:tr>
    </w:tbl>
    <w:p w14:paraId="7D1CFF11">
      <w:pPr>
        <w:autoSpaceDE w:val="0"/>
        <w:autoSpaceDN w:val="0"/>
        <w:adjustRightInd w:val="0"/>
        <w:ind w:firstLine="432" w:firstLineChars="206"/>
        <w:textAlignment w:val="baseline"/>
        <w:rPr>
          <w:rFonts w:hint="eastAsia" w:ascii="宋体" w:hAnsi="宋体" w:eastAsia="宋体" w:cs="宋体"/>
          <w:kern w:val="0"/>
          <w:szCs w:val="21"/>
        </w:rPr>
      </w:pPr>
      <w:r>
        <w:rPr>
          <w:rFonts w:hint="eastAsia" w:ascii="宋体" w:hAnsi="宋体" w:eastAsia="宋体" w:cs="宋体"/>
          <w:kern w:val="0"/>
        </w:rPr>
        <w:t>注：U</w:t>
      </w:r>
      <w:r>
        <w:rPr>
          <w:rFonts w:hint="eastAsia" w:ascii="宋体" w:hAnsi="宋体" w:eastAsia="宋体" w:cs="宋体"/>
          <w:kern w:val="0"/>
          <w:vertAlign w:val="subscript"/>
        </w:rPr>
        <w:t>n</w:t>
      </w:r>
      <w:r>
        <w:rPr>
          <w:rFonts w:hint="eastAsia" w:ascii="宋体" w:hAnsi="宋体" w:eastAsia="宋体" w:cs="宋体"/>
          <w:kern w:val="0"/>
        </w:rPr>
        <w:t>—发电机额定线电压（10.5kV）</w:t>
      </w:r>
    </w:p>
    <w:p w14:paraId="73DB47E5">
      <w:pPr>
        <w:spacing w:line="360" w:lineRule="auto"/>
        <w:rPr>
          <w:rFonts w:hint="eastAsia" w:ascii="宋体" w:hAnsi="宋体" w:eastAsia="宋体" w:cs="宋体"/>
          <w:sz w:val="28"/>
          <w:szCs w:val="28"/>
        </w:rPr>
      </w:pPr>
      <w:bookmarkStart w:id="288" w:name="_Toc137136216"/>
      <w:bookmarkEnd w:id="288"/>
      <w:bookmarkStart w:id="289" w:name="_Toc137135277"/>
      <w:r>
        <w:rPr>
          <w:rFonts w:hint="eastAsia" w:ascii="宋体" w:hAnsi="宋体" w:eastAsia="宋体" w:cs="宋体"/>
          <w:b/>
          <w:bCs/>
          <w:sz w:val="24"/>
          <w:szCs w:val="24"/>
        </w:rPr>
        <w:t>3.5.4</w:t>
      </w:r>
      <w:bookmarkEnd w:id="289"/>
      <w:r>
        <w:rPr>
          <w:rFonts w:hint="eastAsia" w:ascii="宋体" w:hAnsi="宋体" w:eastAsia="宋体" w:cs="宋体"/>
          <w:b/>
          <w:bCs/>
          <w:sz w:val="24"/>
          <w:szCs w:val="24"/>
        </w:rPr>
        <w:t xml:space="preserve"> 温升</w:t>
      </w:r>
    </w:p>
    <w:p w14:paraId="57DB5A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3.5.4.1 在额定功率因数和额定转速、电压与额定值偏差在100±5%范围内长期连续额定容量运行时，且空气冷却器的进水温度不超过28℃、空气冷却器出口冷却空气不超过40℃的环境条件下，主要部件温升限值应不超过表3.5-4规定。</w:t>
      </w:r>
    </w:p>
    <w:p w14:paraId="325AF799">
      <w:pPr>
        <w:autoSpaceDE w:val="0"/>
        <w:autoSpaceDN w:val="0"/>
        <w:adjustRightInd w:val="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表3.5-4  发电机各部件允许温升限值</w:t>
      </w:r>
    </w:p>
    <w:tbl>
      <w:tblPr>
        <w:tblStyle w:val="6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1092"/>
        <w:gridCol w:w="1504"/>
        <w:gridCol w:w="1640"/>
        <w:gridCol w:w="1640"/>
        <w:gridCol w:w="2459"/>
      </w:tblGrid>
      <w:tr w14:paraId="4122F5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92" w:type="dxa"/>
            <w:vMerge w:val="restart"/>
            <w:tcBorders>
              <w:top w:val="single" w:color="auto" w:sz="8" w:space="0"/>
              <w:left w:val="single" w:color="auto" w:sz="8" w:space="0"/>
              <w:bottom w:val="single" w:color="auto" w:sz="6" w:space="0"/>
              <w:right w:val="single" w:color="auto" w:sz="6" w:space="0"/>
            </w:tcBorders>
            <w:noWrap w:val="0"/>
            <w:vAlign w:val="center"/>
          </w:tcPr>
          <w:p w14:paraId="63E14A64">
            <w:pPr>
              <w:adjustRightInd w:val="0"/>
              <w:spacing w:before="100" w:after="100" w:line="320" w:lineRule="exact"/>
              <w:jc w:val="center"/>
              <w:textAlignment w:val="baseline"/>
              <w:rPr>
                <w:rFonts w:hint="eastAsia" w:ascii="宋体" w:hAnsi="宋体" w:eastAsia="宋体" w:cs="宋体"/>
                <w:color w:val="000000"/>
                <w:kern w:val="0"/>
                <w:szCs w:val="21"/>
              </w:rPr>
            </w:pPr>
            <w:r>
              <w:rPr>
                <w:rFonts w:hint="eastAsia" w:ascii="宋体" w:hAnsi="宋体" w:eastAsia="宋体" w:cs="宋体"/>
                <w:color w:val="000000"/>
                <w:kern w:val="0"/>
              </w:rPr>
              <w:t>序号</w:t>
            </w:r>
          </w:p>
        </w:tc>
        <w:tc>
          <w:tcPr>
            <w:tcW w:w="1504" w:type="dxa"/>
            <w:vMerge w:val="restart"/>
            <w:tcBorders>
              <w:top w:val="single" w:color="auto" w:sz="8" w:space="0"/>
              <w:left w:val="single" w:color="auto" w:sz="6" w:space="0"/>
              <w:bottom w:val="single" w:color="auto" w:sz="6" w:space="0"/>
              <w:right w:val="single" w:color="auto" w:sz="6" w:space="0"/>
            </w:tcBorders>
            <w:noWrap w:val="0"/>
            <w:vAlign w:val="center"/>
          </w:tcPr>
          <w:p w14:paraId="08A64003">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发电机部件</w:t>
            </w:r>
          </w:p>
        </w:tc>
        <w:tc>
          <w:tcPr>
            <w:tcW w:w="5739" w:type="dxa"/>
            <w:gridSpan w:val="3"/>
            <w:tcBorders>
              <w:top w:val="single" w:color="auto" w:sz="8" w:space="0"/>
              <w:left w:val="single" w:color="auto" w:sz="6" w:space="0"/>
              <w:bottom w:val="single" w:color="auto" w:sz="6" w:space="0"/>
              <w:right w:val="single" w:color="auto" w:sz="8" w:space="0"/>
            </w:tcBorders>
            <w:noWrap w:val="0"/>
            <w:vAlign w:val="center"/>
          </w:tcPr>
          <w:p w14:paraId="07216AF6">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最高允许温升限值（K）</w:t>
            </w:r>
          </w:p>
        </w:tc>
      </w:tr>
      <w:tr w14:paraId="7DE4C0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92" w:type="dxa"/>
            <w:vMerge w:val="continue"/>
            <w:tcBorders>
              <w:top w:val="single" w:color="auto" w:sz="8" w:space="0"/>
              <w:left w:val="single" w:color="auto" w:sz="8" w:space="0"/>
              <w:bottom w:val="single" w:color="auto" w:sz="6" w:space="0"/>
              <w:right w:val="single" w:color="auto" w:sz="6" w:space="0"/>
            </w:tcBorders>
            <w:noWrap w:val="0"/>
            <w:vAlign w:val="center"/>
          </w:tcPr>
          <w:p w14:paraId="61063181">
            <w:pPr>
              <w:widowControl/>
              <w:jc w:val="left"/>
              <w:rPr>
                <w:rFonts w:hint="eastAsia" w:ascii="宋体" w:hAnsi="宋体" w:eastAsia="宋体" w:cs="宋体"/>
                <w:color w:val="000000"/>
                <w:kern w:val="0"/>
                <w:szCs w:val="21"/>
              </w:rPr>
            </w:pPr>
          </w:p>
        </w:tc>
        <w:tc>
          <w:tcPr>
            <w:tcW w:w="1504" w:type="dxa"/>
            <w:vMerge w:val="continue"/>
            <w:tcBorders>
              <w:top w:val="single" w:color="auto" w:sz="8" w:space="0"/>
              <w:left w:val="single" w:color="auto" w:sz="6" w:space="0"/>
              <w:bottom w:val="single" w:color="auto" w:sz="6" w:space="0"/>
              <w:right w:val="single" w:color="auto" w:sz="6" w:space="0"/>
            </w:tcBorders>
            <w:noWrap w:val="0"/>
            <w:vAlign w:val="center"/>
          </w:tcPr>
          <w:p w14:paraId="2325FCDB">
            <w:pPr>
              <w:widowControl/>
              <w:jc w:val="left"/>
              <w:rPr>
                <w:rFonts w:hint="eastAsia" w:ascii="宋体" w:hAnsi="宋体" w:eastAsia="宋体" w:cs="宋体"/>
                <w:color w:val="000000"/>
                <w:kern w:val="0"/>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14:paraId="0603DE4E">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温度计法</w:t>
            </w:r>
          </w:p>
        </w:tc>
        <w:tc>
          <w:tcPr>
            <w:tcW w:w="1640" w:type="dxa"/>
            <w:tcBorders>
              <w:top w:val="single" w:color="auto" w:sz="6" w:space="0"/>
              <w:left w:val="single" w:color="auto" w:sz="6" w:space="0"/>
              <w:bottom w:val="single" w:color="auto" w:sz="6" w:space="0"/>
              <w:right w:val="single" w:color="auto" w:sz="6" w:space="0"/>
            </w:tcBorders>
            <w:noWrap w:val="0"/>
            <w:vAlign w:val="center"/>
          </w:tcPr>
          <w:p w14:paraId="35E64B92">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电阻法</w:t>
            </w:r>
          </w:p>
        </w:tc>
        <w:tc>
          <w:tcPr>
            <w:tcW w:w="2459" w:type="dxa"/>
            <w:tcBorders>
              <w:top w:val="single" w:color="auto" w:sz="6" w:space="0"/>
              <w:left w:val="single" w:color="auto" w:sz="6" w:space="0"/>
              <w:bottom w:val="single" w:color="auto" w:sz="6" w:space="0"/>
              <w:right w:val="single" w:color="auto" w:sz="8" w:space="0"/>
            </w:tcBorders>
            <w:noWrap w:val="0"/>
            <w:vAlign w:val="center"/>
          </w:tcPr>
          <w:p w14:paraId="6EDD0BBE">
            <w:pPr>
              <w:adjustRightInd w:val="0"/>
              <w:spacing w:before="100" w:after="100" w:line="320" w:lineRule="exact"/>
              <w:ind w:firstLine="120"/>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检温计法（ETD）</w:t>
            </w:r>
          </w:p>
        </w:tc>
      </w:tr>
      <w:tr w14:paraId="75DDB2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92" w:type="dxa"/>
            <w:tcBorders>
              <w:top w:val="single" w:color="auto" w:sz="6" w:space="0"/>
              <w:left w:val="single" w:color="auto" w:sz="8" w:space="0"/>
              <w:bottom w:val="single" w:color="auto" w:sz="6" w:space="0"/>
              <w:right w:val="single" w:color="auto" w:sz="6" w:space="0"/>
            </w:tcBorders>
            <w:noWrap w:val="0"/>
            <w:vAlign w:val="center"/>
          </w:tcPr>
          <w:p w14:paraId="4AE351E1">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1</w:t>
            </w:r>
          </w:p>
        </w:tc>
        <w:tc>
          <w:tcPr>
            <w:tcW w:w="1504" w:type="dxa"/>
            <w:tcBorders>
              <w:top w:val="single" w:color="auto" w:sz="6" w:space="0"/>
              <w:left w:val="single" w:color="auto" w:sz="6" w:space="0"/>
              <w:bottom w:val="single" w:color="auto" w:sz="6" w:space="0"/>
              <w:right w:val="single" w:color="auto" w:sz="6" w:space="0"/>
            </w:tcBorders>
            <w:noWrap w:val="0"/>
            <w:vAlign w:val="center"/>
          </w:tcPr>
          <w:p w14:paraId="59AFC930">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定子绕组</w:t>
            </w:r>
          </w:p>
        </w:tc>
        <w:tc>
          <w:tcPr>
            <w:tcW w:w="1640" w:type="dxa"/>
            <w:tcBorders>
              <w:top w:val="single" w:color="auto" w:sz="6" w:space="0"/>
              <w:left w:val="single" w:color="auto" w:sz="6" w:space="0"/>
              <w:bottom w:val="single" w:color="auto" w:sz="6" w:space="0"/>
              <w:right w:val="single" w:color="auto" w:sz="6" w:space="0"/>
            </w:tcBorders>
            <w:noWrap w:val="0"/>
            <w:vAlign w:val="center"/>
          </w:tcPr>
          <w:p w14:paraId="35ABDC8E">
            <w:pPr>
              <w:adjustRightInd w:val="0"/>
              <w:spacing w:before="100" w:after="100" w:line="320" w:lineRule="exact"/>
              <w:jc w:val="center"/>
              <w:textAlignment w:val="baseline"/>
              <w:rPr>
                <w:rFonts w:hint="eastAsia" w:ascii="宋体" w:hAnsi="宋体" w:eastAsia="宋体" w:cs="宋体"/>
                <w:color w:val="000000"/>
                <w:kern w:val="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14:paraId="3D6DC57A">
            <w:pPr>
              <w:adjustRightInd w:val="0"/>
              <w:spacing w:before="100" w:after="100" w:line="320" w:lineRule="exact"/>
              <w:jc w:val="center"/>
              <w:textAlignment w:val="baseline"/>
              <w:rPr>
                <w:rFonts w:hint="eastAsia" w:ascii="宋体" w:hAnsi="宋体" w:eastAsia="宋体" w:cs="宋体"/>
                <w:color w:val="000000"/>
                <w:kern w:val="0"/>
              </w:rPr>
            </w:pPr>
          </w:p>
        </w:tc>
        <w:tc>
          <w:tcPr>
            <w:tcW w:w="2459" w:type="dxa"/>
            <w:tcBorders>
              <w:top w:val="single" w:color="auto" w:sz="6" w:space="0"/>
              <w:left w:val="single" w:color="auto" w:sz="6" w:space="0"/>
              <w:bottom w:val="single" w:color="auto" w:sz="6" w:space="0"/>
              <w:right w:val="single" w:color="auto" w:sz="8" w:space="0"/>
            </w:tcBorders>
            <w:noWrap w:val="0"/>
            <w:vAlign w:val="center"/>
          </w:tcPr>
          <w:p w14:paraId="6F56F887">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80</w:t>
            </w:r>
          </w:p>
        </w:tc>
      </w:tr>
      <w:tr w14:paraId="063B0B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92" w:type="dxa"/>
            <w:tcBorders>
              <w:top w:val="single" w:color="auto" w:sz="6" w:space="0"/>
              <w:left w:val="single" w:color="auto" w:sz="8" w:space="0"/>
              <w:bottom w:val="single" w:color="auto" w:sz="6" w:space="0"/>
              <w:right w:val="single" w:color="auto" w:sz="6" w:space="0"/>
            </w:tcBorders>
            <w:noWrap w:val="0"/>
            <w:vAlign w:val="center"/>
          </w:tcPr>
          <w:p w14:paraId="42DA756D">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2</w:t>
            </w:r>
          </w:p>
        </w:tc>
        <w:tc>
          <w:tcPr>
            <w:tcW w:w="1504" w:type="dxa"/>
            <w:tcBorders>
              <w:top w:val="single" w:color="auto" w:sz="6" w:space="0"/>
              <w:left w:val="single" w:color="auto" w:sz="6" w:space="0"/>
              <w:bottom w:val="single" w:color="auto" w:sz="6" w:space="0"/>
              <w:right w:val="single" w:color="auto" w:sz="6" w:space="0"/>
            </w:tcBorders>
            <w:noWrap w:val="0"/>
            <w:vAlign w:val="center"/>
          </w:tcPr>
          <w:p w14:paraId="37995C0B">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定子铁心</w:t>
            </w:r>
          </w:p>
        </w:tc>
        <w:tc>
          <w:tcPr>
            <w:tcW w:w="1640" w:type="dxa"/>
            <w:tcBorders>
              <w:top w:val="single" w:color="auto" w:sz="6" w:space="0"/>
              <w:left w:val="single" w:color="auto" w:sz="6" w:space="0"/>
              <w:bottom w:val="single" w:color="auto" w:sz="6" w:space="0"/>
              <w:right w:val="single" w:color="auto" w:sz="6" w:space="0"/>
            </w:tcBorders>
            <w:noWrap w:val="0"/>
            <w:vAlign w:val="center"/>
          </w:tcPr>
          <w:p w14:paraId="11A7B18E">
            <w:pPr>
              <w:adjustRightInd w:val="0"/>
              <w:spacing w:before="100" w:after="100" w:line="320" w:lineRule="exact"/>
              <w:jc w:val="center"/>
              <w:textAlignment w:val="baseline"/>
              <w:rPr>
                <w:rFonts w:hint="eastAsia" w:ascii="宋体" w:hAnsi="宋体" w:eastAsia="宋体" w:cs="宋体"/>
                <w:color w:val="000000"/>
                <w:kern w:val="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14:paraId="71FC93A6">
            <w:pPr>
              <w:adjustRightInd w:val="0"/>
              <w:spacing w:before="100" w:after="100" w:line="320" w:lineRule="exact"/>
              <w:jc w:val="center"/>
              <w:textAlignment w:val="baseline"/>
              <w:rPr>
                <w:rFonts w:hint="eastAsia" w:ascii="宋体" w:hAnsi="宋体" w:eastAsia="宋体" w:cs="宋体"/>
                <w:color w:val="000000"/>
                <w:kern w:val="0"/>
              </w:rPr>
            </w:pPr>
          </w:p>
        </w:tc>
        <w:tc>
          <w:tcPr>
            <w:tcW w:w="2459" w:type="dxa"/>
            <w:tcBorders>
              <w:top w:val="single" w:color="auto" w:sz="6" w:space="0"/>
              <w:left w:val="single" w:color="auto" w:sz="6" w:space="0"/>
              <w:bottom w:val="single" w:color="auto" w:sz="6" w:space="0"/>
              <w:right w:val="single" w:color="auto" w:sz="8" w:space="0"/>
            </w:tcBorders>
            <w:noWrap w:val="0"/>
            <w:vAlign w:val="center"/>
          </w:tcPr>
          <w:p w14:paraId="42EF055B">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85</w:t>
            </w:r>
          </w:p>
        </w:tc>
      </w:tr>
      <w:tr w14:paraId="41C0C8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92" w:type="dxa"/>
            <w:tcBorders>
              <w:top w:val="single" w:color="auto" w:sz="6" w:space="0"/>
              <w:left w:val="single" w:color="auto" w:sz="8" w:space="0"/>
              <w:bottom w:val="single" w:color="auto" w:sz="6" w:space="0"/>
              <w:right w:val="single" w:color="auto" w:sz="6" w:space="0"/>
            </w:tcBorders>
            <w:noWrap w:val="0"/>
            <w:vAlign w:val="center"/>
          </w:tcPr>
          <w:p w14:paraId="1A402D59">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3</w:t>
            </w:r>
          </w:p>
        </w:tc>
        <w:tc>
          <w:tcPr>
            <w:tcW w:w="1504" w:type="dxa"/>
            <w:tcBorders>
              <w:top w:val="single" w:color="auto" w:sz="6" w:space="0"/>
              <w:left w:val="single" w:color="auto" w:sz="6" w:space="0"/>
              <w:bottom w:val="single" w:color="auto" w:sz="6" w:space="0"/>
              <w:right w:val="single" w:color="auto" w:sz="6" w:space="0"/>
            </w:tcBorders>
            <w:noWrap w:val="0"/>
            <w:vAlign w:val="center"/>
          </w:tcPr>
          <w:p w14:paraId="491FBDB9">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转子绕组</w:t>
            </w:r>
          </w:p>
        </w:tc>
        <w:tc>
          <w:tcPr>
            <w:tcW w:w="1640" w:type="dxa"/>
            <w:tcBorders>
              <w:top w:val="single" w:color="auto" w:sz="6" w:space="0"/>
              <w:left w:val="single" w:color="auto" w:sz="6" w:space="0"/>
              <w:bottom w:val="single" w:color="auto" w:sz="6" w:space="0"/>
              <w:right w:val="single" w:color="auto" w:sz="6" w:space="0"/>
            </w:tcBorders>
            <w:noWrap w:val="0"/>
            <w:vAlign w:val="center"/>
          </w:tcPr>
          <w:p w14:paraId="2EB10A52">
            <w:pPr>
              <w:adjustRightInd w:val="0"/>
              <w:spacing w:before="100" w:after="100" w:line="320" w:lineRule="exact"/>
              <w:jc w:val="center"/>
              <w:textAlignment w:val="baseline"/>
              <w:rPr>
                <w:rFonts w:hint="eastAsia" w:ascii="宋体" w:hAnsi="宋体" w:eastAsia="宋体" w:cs="宋体"/>
                <w:color w:val="000000"/>
                <w:kern w:val="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14:paraId="0300DF8D">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90</w:t>
            </w:r>
          </w:p>
        </w:tc>
        <w:tc>
          <w:tcPr>
            <w:tcW w:w="2459" w:type="dxa"/>
            <w:tcBorders>
              <w:top w:val="single" w:color="auto" w:sz="6" w:space="0"/>
              <w:left w:val="single" w:color="auto" w:sz="6" w:space="0"/>
              <w:bottom w:val="single" w:color="auto" w:sz="6" w:space="0"/>
              <w:right w:val="single" w:color="auto" w:sz="8" w:space="0"/>
            </w:tcBorders>
            <w:noWrap w:val="0"/>
            <w:vAlign w:val="center"/>
          </w:tcPr>
          <w:p w14:paraId="15D34BDF">
            <w:pPr>
              <w:adjustRightInd w:val="0"/>
              <w:spacing w:before="100" w:after="100" w:line="320" w:lineRule="exact"/>
              <w:jc w:val="center"/>
              <w:textAlignment w:val="baseline"/>
              <w:rPr>
                <w:rFonts w:hint="eastAsia" w:ascii="宋体" w:hAnsi="宋体" w:eastAsia="宋体" w:cs="宋体"/>
                <w:color w:val="000000"/>
                <w:kern w:val="0"/>
              </w:rPr>
            </w:pPr>
          </w:p>
        </w:tc>
      </w:tr>
      <w:tr w14:paraId="1E50E7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1092" w:type="dxa"/>
            <w:tcBorders>
              <w:top w:val="single" w:color="auto" w:sz="6" w:space="0"/>
              <w:left w:val="single" w:color="auto" w:sz="8" w:space="0"/>
              <w:bottom w:val="single" w:color="auto" w:sz="8" w:space="0"/>
              <w:right w:val="single" w:color="auto" w:sz="6" w:space="0"/>
            </w:tcBorders>
            <w:noWrap w:val="0"/>
            <w:vAlign w:val="center"/>
          </w:tcPr>
          <w:p w14:paraId="2F05E103">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4</w:t>
            </w:r>
          </w:p>
        </w:tc>
        <w:tc>
          <w:tcPr>
            <w:tcW w:w="1504" w:type="dxa"/>
            <w:tcBorders>
              <w:top w:val="single" w:color="auto" w:sz="6" w:space="0"/>
              <w:left w:val="single" w:color="auto" w:sz="6" w:space="0"/>
              <w:bottom w:val="single" w:color="auto" w:sz="8" w:space="0"/>
              <w:right w:val="single" w:color="auto" w:sz="6" w:space="0"/>
            </w:tcBorders>
            <w:noWrap w:val="0"/>
            <w:vAlign w:val="center"/>
          </w:tcPr>
          <w:p w14:paraId="403D9BC8">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集电环</w:t>
            </w:r>
          </w:p>
        </w:tc>
        <w:tc>
          <w:tcPr>
            <w:tcW w:w="1640" w:type="dxa"/>
            <w:tcBorders>
              <w:top w:val="single" w:color="auto" w:sz="6" w:space="0"/>
              <w:left w:val="single" w:color="auto" w:sz="6" w:space="0"/>
              <w:bottom w:val="single" w:color="auto" w:sz="8" w:space="0"/>
              <w:right w:val="single" w:color="auto" w:sz="6" w:space="0"/>
            </w:tcBorders>
            <w:noWrap w:val="0"/>
            <w:vAlign w:val="center"/>
          </w:tcPr>
          <w:p w14:paraId="03D6E6BC">
            <w:pPr>
              <w:adjustRightInd w:val="0"/>
              <w:spacing w:before="100" w:after="100" w:line="320" w:lineRule="exact"/>
              <w:jc w:val="center"/>
              <w:textAlignment w:val="baseline"/>
              <w:rPr>
                <w:rFonts w:hint="eastAsia" w:ascii="宋体" w:hAnsi="宋体" w:eastAsia="宋体" w:cs="宋体"/>
                <w:color w:val="000000"/>
                <w:kern w:val="0"/>
              </w:rPr>
            </w:pPr>
            <w:r>
              <w:rPr>
                <w:rFonts w:hint="eastAsia" w:ascii="宋体" w:hAnsi="宋体" w:eastAsia="宋体" w:cs="宋体"/>
                <w:color w:val="000000"/>
                <w:kern w:val="0"/>
              </w:rPr>
              <w:t>75</w:t>
            </w:r>
          </w:p>
        </w:tc>
        <w:tc>
          <w:tcPr>
            <w:tcW w:w="1640" w:type="dxa"/>
            <w:tcBorders>
              <w:top w:val="single" w:color="auto" w:sz="6" w:space="0"/>
              <w:left w:val="single" w:color="auto" w:sz="6" w:space="0"/>
              <w:bottom w:val="single" w:color="auto" w:sz="8" w:space="0"/>
              <w:right w:val="single" w:color="auto" w:sz="6" w:space="0"/>
            </w:tcBorders>
            <w:noWrap w:val="0"/>
            <w:vAlign w:val="center"/>
          </w:tcPr>
          <w:p w14:paraId="7E89AB52">
            <w:pPr>
              <w:adjustRightInd w:val="0"/>
              <w:spacing w:before="100" w:after="100" w:line="320" w:lineRule="exact"/>
              <w:jc w:val="center"/>
              <w:textAlignment w:val="baseline"/>
              <w:rPr>
                <w:rFonts w:hint="eastAsia" w:ascii="宋体" w:hAnsi="宋体" w:eastAsia="宋体" w:cs="宋体"/>
                <w:color w:val="000000"/>
                <w:kern w:val="0"/>
              </w:rPr>
            </w:pPr>
          </w:p>
        </w:tc>
        <w:tc>
          <w:tcPr>
            <w:tcW w:w="2459" w:type="dxa"/>
            <w:tcBorders>
              <w:top w:val="single" w:color="auto" w:sz="6" w:space="0"/>
              <w:left w:val="single" w:color="auto" w:sz="6" w:space="0"/>
              <w:bottom w:val="single" w:color="auto" w:sz="8" w:space="0"/>
              <w:right w:val="single" w:color="auto" w:sz="8" w:space="0"/>
            </w:tcBorders>
            <w:noWrap w:val="0"/>
            <w:vAlign w:val="center"/>
          </w:tcPr>
          <w:p w14:paraId="5946A655">
            <w:pPr>
              <w:adjustRightInd w:val="0"/>
              <w:spacing w:before="100" w:after="100" w:line="320" w:lineRule="exact"/>
              <w:jc w:val="center"/>
              <w:textAlignment w:val="baseline"/>
              <w:rPr>
                <w:rFonts w:hint="eastAsia" w:ascii="宋体" w:hAnsi="宋体" w:eastAsia="宋体" w:cs="宋体"/>
                <w:color w:val="000000"/>
                <w:kern w:val="0"/>
              </w:rPr>
            </w:pPr>
          </w:p>
        </w:tc>
      </w:tr>
    </w:tbl>
    <w:p w14:paraId="721692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3.5.4.2 在电压与额定值偏差在100±5%范围内、额定转速、额定功率因数，且在额定容量运行，油冷却器的进水温度不超过28℃时，采用埋置检温计法（ETD）测量，推力油槽内热油温度不超过50℃，推力瓦瓦体温度不超过55℃，导轴承轴瓦最高温度不大于70℃。</w:t>
      </w:r>
    </w:p>
    <w:p w14:paraId="408F2658">
      <w:pPr>
        <w:spacing w:line="360" w:lineRule="auto"/>
        <w:rPr>
          <w:rFonts w:hint="eastAsia" w:ascii="宋体" w:hAnsi="宋体" w:eastAsia="宋体" w:cs="宋体"/>
          <w:b/>
          <w:bCs/>
          <w:sz w:val="24"/>
          <w:szCs w:val="24"/>
        </w:rPr>
      </w:pPr>
      <w:bookmarkStart w:id="290" w:name="_Toc137135278"/>
      <w:bookmarkEnd w:id="290"/>
      <w:bookmarkStart w:id="291" w:name="_Toc137136217"/>
      <w:r>
        <w:rPr>
          <w:rFonts w:hint="eastAsia" w:ascii="宋体" w:hAnsi="宋体" w:eastAsia="宋体" w:cs="宋体"/>
          <w:b/>
          <w:bCs/>
          <w:sz w:val="24"/>
          <w:szCs w:val="24"/>
        </w:rPr>
        <w:t>3.5</w:t>
      </w:r>
      <w:bookmarkEnd w:id="291"/>
      <w:r>
        <w:rPr>
          <w:rFonts w:hint="eastAsia" w:ascii="宋体" w:hAnsi="宋体" w:eastAsia="宋体" w:cs="宋体"/>
          <w:b/>
          <w:bCs/>
          <w:sz w:val="24"/>
          <w:szCs w:val="24"/>
        </w:rPr>
        <w:t>.5  特殊要求</w:t>
      </w:r>
    </w:p>
    <w:p w14:paraId="2616E4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3.5.5.1 发电机在不对称系统中运行时，如任一相电流不超过额定值，且其负序电流与额定电流之比不超过12%，应能长期运行。</w:t>
      </w:r>
    </w:p>
    <w:p w14:paraId="1E90B8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3.5.5.2 在不对称故障时，短时间允许的不平衡电流值，其负序电流I2与额定电流之比（标么值）的平方与允许不对称运行时间t(s)的乘积（I2/IN）2×t不小于40s。</w:t>
      </w:r>
    </w:p>
    <w:p w14:paraId="1FCF99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3.5.5.3 发电机在热状态下应能承受150%额定电流历时2min而不发生有害变形及接头开焊等情况，此时电压应尽可能接近额定值。</w:t>
      </w:r>
    </w:p>
    <w:p w14:paraId="2094DA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3.5.5.4 转子绕组的设计应能安全地承受2倍额定励磁电流历时不小于50s。</w:t>
      </w:r>
    </w:p>
    <w:p w14:paraId="06DD9EF3">
      <w:pPr>
        <w:spacing w:line="360" w:lineRule="auto"/>
        <w:rPr>
          <w:rFonts w:hint="eastAsia" w:ascii="宋体" w:hAnsi="宋体" w:eastAsia="宋体" w:cs="宋体"/>
          <w:b/>
          <w:bCs/>
          <w:sz w:val="24"/>
          <w:szCs w:val="24"/>
        </w:rPr>
      </w:pPr>
      <w:bookmarkStart w:id="292" w:name="_Toc137136218"/>
      <w:bookmarkEnd w:id="292"/>
      <w:bookmarkStart w:id="293" w:name="_Toc137135279"/>
      <w:r>
        <w:rPr>
          <w:rFonts w:hint="eastAsia" w:ascii="宋体" w:hAnsi="宋体" w:eastAsia="宋体" w:cs="宋体"/>
          <w:b/>
          <w:bCs/>
          <w:sz w:val="24"/>
          <w:szCs w:val="24"/>
        </w:rPr>
        <w:t xml:space="preserve">3.5.6 </w:t>
      </w:r>
      <w:bookmarkEnd w:id="293"/>
      <w:r>
        <w:rPr>
          <w:rFonts w:hint="eastAsia" w:ascii="宋体" w:hAnsi="宋体" w:eastAsia="宋体" w:cs="宋体"/>
          <w:b/>
          <w:bCs/>
          <w:sz w:val="24"/>
          <w:szCs w:val="24"/>
        </w:rPr>
        <w:t>机械特性</w:t>
      </w:r>
    </w:p>
    <w:p w14:paraId="61E04B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3.5.6.1 发电机旋转方向为俯视顺时针。</w:t>
      </w:r>
    </w:p>
    <w:p w14:paraId="2EBDE4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3.5.6.2 发电机应能在最高飞逸转速下历时5min而不产生有害变形和损坏。此时转子材料的计算应力不超过屈服点的2/3。在水轮发电机甩100%额定负荷、调速系统正常工作条件下，应允许机组不经任何检查即可并入系统。</w:t>
      </w:r>
    </w:p>
    <w:p w14:paraId="40EF98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3.5.6.3 发电机转动惯量GD</w:t>
      </w:r>
      <w:r>
        <w:rPr>
          <w:rFonts w:hint="eastAsia" w:ascii="宋体" w:hAnsi="宋体" w:eastAsia="宋体" w:cs="宋体"/>
          <w:sz w:val="24"/>
          <w:szCs w:val="24"/>
          <w:vertAlign w:val="superscript"/>
        </w:rPr>
        <w:t>2</w:t>
      </w:r>
      <w:r>
        <w:rPr>
          <w:rFonts w:hint="eastAsia" w:ascii="宋体" w:hAnsi="宋体" w:eastAsia="宋体" w:cs="宋体"/>
          <w:sz w:val="24"/>
          <w:szCs w:val="24"/>
        </w:rPr>
        <w:t>不小于10.71t·m</w:t>
      </w:r>
      <w:r>
        <w:rPr>
          <w:rFonts w:hint="eastAsia" w:ascii="宋体" w:hAnsi="宋体" w:eastAsia="宋体" w:cs="宋体"/>
          <w:sz w:val="24"/>
          <w:szCs w:val="24"/>
          <w:vertAlign w:val="superscript"/>
        </w:rPr>
        <w:t>2</w:t>
      </w:r>
      <w:r>
        <w:rPr>
          <w:rFonts w:hint="eastAsia" w:ascii="宋体" w:hAnsi="宋体" w:eastAsia="宋体" w:cs="宋体"/>
          <w:sz w:val="24"/>
          <w:szCs w:val="24"/>
        </w:rPr>
        <w:t>，并满足电站调节保证的要求。</w:t>
      </w:r>
    </w:p>
    <w:p w14:paraId="2D836E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3.5.6.4 发电机各部分结构强度应能承受在额定负荷及端电压为105%额定电压下，定子出口突然发生对称或不对称短路历时3s而不发生有害变形和损坏。同时，还应能承受在额定容量、额定功率因数和105%额定电压及稳定励磁条件下运行时，历时30s的短路故障而无有害变形和损坏。</w:t>
      </w:r>
    </w:p>
    <w:p w14:paraId="4103DD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3.5.6.5 发电机的所有部件及结构（包括导轴承）应能承受因半数磁极短路产生的不平衡拉力而不产生有害变形和不稳定，发电机结构刚度应能承受基本烈度Ⅷ度地震的考验而不产生有害变形和破坏性损坏。</w:t>
      </w:r>
    </w:p>
    <w:p w14:paraId="1D75F9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3.5.6.6 发电机的噪音应限制在其风洞上盖板外侧1m及距地面1m高处测量时不大于85dB（A）。</w:t>
      </w:r>
    </w:p>
    <w:p w14:paraId="547BD3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3.5.6.7 在各种正常情况下，发电机推力轴承和发电机导轴承支架的水平双幅振动量应符合GB/T8564《水轮发电机组安装技术规范》的要求。</w:t>
      </w:r>
    </w:p>
    <w:p w14:paraId="4BED8E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3.5.6.8 定子和转子组装完成后，定子内圆和转子外圆半径的最大值和最小值分别与其平均半径之差不大于设计空气间隙的±4%；定子和转子间的气隙，其最大值或最小值与其平均值之差不应超过平均值的±8%。</w:t>
      </w:r>
    </w:p>
    <w:p w14:paraId="62789B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3.5.6.9 发电机与水轮机组装后的转动部分的第一阶临界速度应不小于最大飞逸速度的120%。</w:t>
      </w:r>
    </w:p>
    <w:p w14:paraId="130A00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3.5.6.10 发电机在设计时应考虑到水轮机的振动特性并避免与之发生共振。在对称负荷工况下，定子铁芯的100Hz双幅振动量不应大于0.03mm。在其它运行工况下亦应无明显的振动。</w:t>
      </w:r>
    </w:p>
    <w:p w14:paraId="6401FE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3.5.6.11 在最大轴向负荷时，上机架垂直挠度应不大于1.5mm。</w:t>
      </w:r>
    </w:p>
    <w:p w14:paraId="4DDFD654">
      <w:pPr>
        <w:spacing w:line="360" w:lineRule="auto"/>
        <w:rPr>
          <w:rFonts w:hint="eastAsia" w:ascii="宋体" w:hAnsi="宋体" w:eastAsia="宋体" w:cs="宋体"/>
          <w:b/>
          <w:bCs/>
          <w:sz w:val="24"/>
          <w:szCs w:val="24"/>
        </w:rPr>
      </w:pPr>
      <w:bookmarkStart w:id="294" w:name="_Toc137136219"/>
      <w:bookmarkEnd w:id="294"/>
      <w:bookmarkStart w:id="295" w:name="_Toc137135280"/>
      <w:r>
        <w:rPr>
          <w:rFonts w:hint="eastAsia" w:ascii="宋体" w:hAnsi="宋体" w:eastAsia="宋体" w:cs="宋体"/>
          <w:b/>
          <w:bCs/>
          <w:sz w:val="24"/>
          <w:szCs w:val="24"/>
        </w:rPr>
        <w:t xml:space="preserve">3.5.7 </w:t>
      </w:r>
      <w:bookmarkEnd w:id="295"/>
      <w:r>
        <w:rPr>
          <w:rFonts w:hint="eastAsia" w:ascii="宋体" w:hAnsi="宋体" w:eastAsia="宋体" w:cs="宋体"/>
          <w:b/>
          <w:bCs/>
          <w:sz w:val="24"/>
          <w:szCs w:val="24"/>
        </w:rPr>
        <w:t>可靠性指标</w:t>
      </w:r>
    </w:p>
    <w:p w14:paraId="6107A0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在本合同规定的运行条件下，发电机可靠性指标规定如下：</w:t>
      </w:r>
    </w:p>
    <w:p w14:paraId="772FF8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1）强迫停机率≤0.5%。</w:t>
      </w:r>
    </w:p>
    <w:p w14:paraId="59AD5D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2）无故障连续运行时间大于16000h</w:t>
      </w:r>
    </w:p>
    <w:p w14:paraId="085365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3）大修间隔时间6年。</w:t>
      </w:r>
    </w:p>
    <w:p w14:paraId="3FBB05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4）退役前的使用年限40年。</w:t>
      </w:r>
    </w:p>
    <w:bookmarkEnd w:id="273"/>
    <w:p w14:paraId="3D648488">
      <w:pPr>
        <w:tabs>
          <w:tab w:val="left" w:pos="442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由于发电机仅部分部件进行了改造更新，上述发电机的可靠性指标规定是针对全新发电机的要求，故承包人可参照执行，如有意见可提出，由发包人确定并在后续设计联络会及技术协议等环节进行确定。</w:t>
      </w:r>
    </w:p>
    <w:p w14:paraId="6DA0732B">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bookmarkStart w:id="296" w:name="_Toc456475289"/>
      <w:bookmarkStart w:id="297" w:name="_Toc109786738"/>
      <w:bookmarkStart w:id="298" w:name="_Toc402163534"/>
      <w:r>
        <w:rPr>
          <w:rFonts w:hint="eastAsia" w:ascii="宋体" w:hAnsi="宋体" w:eastAsia="宋体" w:cs="宋体"/>
          <w:bCs/>
          <w:sz w:val="28"/>
          <w:szCs w:val="28"/>
        </w:rPr>
        <w:t>3.6 发电机（技术改造后）本体结构</w:t>
      </w:r>
    </w:p>
    <w:p w14:paraId="6243152C">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3.6.1 概述</w:t>
      </w:r>
    </w:p>
    <w:p w14:paraId="39D9D0E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3.6.1.1 发电机及其所有部件除应具有良好的技术特性外，还必须满足强度和刚度要求，使之在正常与非正常运行情况下，其整体和所有部件的挠度、振动和安全系数均在允许范围内。所谓非正常运行情况指的是对称与不对称短路、飞逸转速下运行、过电压、转子半数磁极短路、地震等。</w:t>
      </w:r>
    </w:p>
    <w:p w14:paraId="3D89FB7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3.6.1.2 发电机整体及其所有部件的结构应设计成便于运输、安装、维护和检修。</w:t>
      </w:r>
    </w:p>
    <w:p w14:paraId="5E0D464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3.6.1.3 发电机应采用先进的、成熟的结构、材料和工艺。如果采用新的结构应有验证试验。</w:t>
      </w:r>
    </w:p>
    <w:p w14:paraId="3C8D667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3.6.1.4 发电机集电环、导轴承和推力轴承的结构应设计成不影响转子和相关部件情况下，便于装拆、更换、维修。</w:t>
      </w:r>
    </w:p>
    <w:p w14:paraId="3520A0B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3.6.1.5 发电机各轴承支架、基础板及结构部件应避免与水轮机固有频率发生有害的谐振。</w:t>
      </w:r>
    </w:p>
    <w:p w14:paraId="54537A4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3.6.1.6 在所有运动部件和带电部分周围应装设合适防护设施。</w:t>
      </w:r>
    </w:p>
    <w:p w14:paraId="25D39AD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3.6.1.7 当用液压顶起装置顶起转动部件时，应满足检查或检修推力轴承的要求，但不得超过机组容许的顶起值。</w:t>
      </w:r>
    </w:p>
    <w:p w14:paraId="3597286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3.6.1.8 采取有效措施，防止轴电流对推力轴承和导轴承的危害，并设置轴电流监测设备。</w:t>
      </w:r>
    </w:p>
    <w:p w14:paraId="608B6CF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3.6.2 定子</w:t>
      </w:r>
    </w:p>
    <w:p w14:paraId="1B14886A">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定子改造范围：定子机座</w:t>
      </w:r>
      <w:r>
        <w:rPr>
          <w:rFonts w:hint="eastAsia" w:ascii="宋体" w:hAnsi="宋体" w:cs="宋体"/>
          <w:b/>
          <w:bCs/>
          <w:color w:val="auto"/>
          <w:sz w:val="24"/>
          <w:szCs w:val="24"/>
          <w:highlight w:val="none"/>
          <w:lang w:val="en-US" w:eastAsia="zh-CN"/>
        </w:rPr>
        <w:t>和铁艺</w:t>
      </w:r>
      <w:r>
        <w:rPr>
          <w:rFonts w:hint="eastAsia" w:ascii="宋体" w:hAnsi="宋体" w:eastAsia="宋体" w:cs="宋体"/>
          <w:b/>
          <w:bCs/>
          <w:color w:val="auto"/>
          <w:sz w:val="24"/>
          <w:szCs w:val="24"/>
          <w:highlight w:val="none"/>
        </w:rPr>
        <w:t>保留，视情况作加固处理，定子返厂更换绕组。</w:t>
      </w:r>
    </w:p>
    <w:p w14:paraId="590FE47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3.6.2.1 如果运输条件允许，定子须在厂内装配、试验完成后整体运至工地。如果受运输条件限制，定子采用分瓣结构，厂内整圆装压铁心、分瓣下线、分瓣运输。在工地由承包人整圆组合，下合缝线圈，运输中应采取必要措施保证定子的圆度和线棒绝缘不受损伤。分瓣定子组合后，应符合下列要求：</w:t>
      </w:r>
    </w:p>
    <w:p w14:paraId="2D4CBDE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1）机座组合缝间用0.05mm塞尺检查，在螺栓及定位销周围不应通过。</w:t>
      </w:r>
    </w:p>
    <w:p w14:paraId="0099A74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2）铁心合缝处加垫后不应有超出标准要求的空隙。</w:t>
      </w:r>
    </w:p>
    <w:p w14:paraId="3306D1A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3）铁心合缝处槽底部的径向错牙不应大于0.3mm。</w:t>
      </w:r>
    </w:p>
    <w:p w14:paraId="73B7DDD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4）分瓣组合后定子圆度，各实测半径与平均半径之差应不大于设计空气间隙值的4%。</w:t>
      </w:r>
    </w:p>
    <w:p w14:paraId="761940A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3.6.2.2 机座应采用钢板焊接结构，并应具有足够的强度和刚度，以承受各种运行情况下包括短路、半数磁极绕组短路等引起的各种力的作用而不发生损害和超过允许的变形。机座应设计成能适应定子铁心的热变形，以防止铁心松动、翘曲；还应考虑能承受运输、安装、运行时各种力的作用而不产生损害和超过允许的变形。</w:t>
      </w:r>
    </w:p>
    <w:p w14:paraId="23B2AB3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3.6.2.3 机座设计应为定子铁心、定子绕组的通风考虑合适的风路。</w:t>
      </w:r>
    </w:p>
    <w:p w14:paraId="23C8CE2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3.6.2.4 定子铁心应采用低损耗、高质量、高导磁率、无时效、厚度不大于0.5mm的优质冷轧硅钢片叠成。每片叠片应除去毛刺，硅钢片的两面应涂F级绝缘漆或其它相当的绝缘材料，使其涡流损耗减至最小。绝缘漆的耐温水平应不低于定子绕组的水平。定子铁心叠片应交错叠制。应采用多段分层压紧法，以形成一个整体、紧固的铁心。</w:t>
      </w:r>
    </w:p>
    <w:p w14:paraId="229FCD1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3.6.2.5 绕组绝缘采用F级，绝缘应能经加热产生适量的弹性，使线棒（线圈）具有无损伤地放入线槽或取出的性能。绕组绝缘应具有良好的电气性能、机械性能、抗老化性能、耐潮性能和具有不燃或难燃特性。每个线棒（线圈）应采用罗倍尔换位或其它更佳的换位方式，以减少附加损耗和股间温差。</w:t>
      </w:r>
    </w:p>
    <w:p w14:paraId="3157F94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3.6.2.6 绕组的端部、槽部、槽口和连接线应牢固地支撑和固定，使之在频繁起动以及和各种工况下不产生振动、位移和变形。槽部和端部的支持结构，除要求有足够的机械强度外，对端部还要求与齿压板等金属部件有足够的绝缘距离。定子绕组的端箍应采用非磁性材料。所有的接头和连接应采用银—铜焊接工艺，接头处的载流能力不得低于同回路的其它部位。端部绝缘、定子槽楔及垫条的绝缘等级应为F级。</w:t>
      </w:r>
    </w:p>
    <w:p w14:paraId="27EE3F2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3.6.2.7 绕组应具有良好的防电晕和耐电腐蚀性能，在槽部、端部等部位应采取防晕措施。定子绕组端部绝缘应采用防晕层与主绝缘一次成型的结构。</w:t>
      </w:r>
    </w:p>
    <w:p w14:paraId="3598CE1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3.6.2.8 所有用螺栓连接的母线接头，表面均应镀银。螺栓应采用非磁性材料制成。</w:t>
      </w:r>
    </w:p>
    <w:p w14:paraId="18F7F30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3.6.2.9 从发电机定子槽引出至其机座出线孔口之间的主引线和中性点引线，其绝缘强度应等同于发电机绕组的绝缘强度，最大温升不超过规定值。</w:t>
      </w:r>
    </w:p>
    <w:p w14:paraId="67E4DB9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3.6.2.10 定子绕组为波绕组，Y形接线。三相的相序为俯视逆时针，U，V，W。</w:t>
      </w:r>
    </w:p>
    <w:p w14:paraId="3BD27C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3.6.2.11 定子绕组在实际状态下，直流电阻在最大与最小两相间的差值，在校正由于引线长度不同引起的误差后不应超过最小值的2%。</w:t>
      </w:r>
    </w:p>
    <w:p w14:paraId="1928FAA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3.6.2.12 主引出线应有三个引出端，在风洞内有可拆卸的连接装置，以便将引出线和外部连接断开供试验、检修等用。取下可拆式的连接头，母线端头之间应有300mm的间距，连接端头应镀银，并确保多次拆接的需要。</w:t>
      </w:r>
    </w:p>
    <w:p w14:paraId="4BD985B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3.6.2.13 为把定子铁心的扭曲变形降至最小，定子机座、机架及铁心设计时应考虑其热膨胀因素。</w:t>
      </w:r>
    </w:p>
    <w:p w14:paraId="57D8C50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3.6.2.14 定子和转子组装后，定子内圆和转子外圆半径的最大或最小值分别与其设计平均半径之差不大于设计间隙的±4%。定、转子间最大气隙或最小气隙与其平均值之差，不得超过其平均值的±8%。</w:t>
      </w:r>
    </w:p>
    <w:p w14:paraId="50C645D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3.6.2.15 定子绕组在整个定子圆周上分布及其相角、电压相序应当完全对称而均等。</w:t>
      </w:r>
    </w:p>
    <w:p w14:paraId="05E2494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3.6.3 转子</w:t>
      </w:r>
    </w:p>
    <w:p w14:paraId="483D8685">
      <w:pPr>
        <w:pStyle w:val="17"/>
        <w:ind w:firstLine="482"/>
        <w:rPr>
          <w:rFonts w:hint="eastAsia" w:ascii="宋体" w:hAnsi="宋体" w:eastAsia="宋体" w:cs="宋体"/>
        </w:rPr>
      </w:pPr>
      <w:r>
        <w:rPr>
          <w:rFonts w:hint="eastAsia" w:ascii="宋体" w:hAnsi="宋体" w:eastAsia="宋体" w:cs="宋体"/>
          <w:b/>
          <w:bCs/>
          <w:sz w:val="24"/>
        </w:rPr>
        <w:t>转子改造范围：保留磁轭及主轴，转子更换磁极线圈，厂内组装成一个完整的转子。</w:t>
      </w:r>
    </w:p>
    <w:p w14:paraId="602F689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3.6.3.1 转子由主轴、磁轭和磁极等部件组成，转子采用整体结构。</w:t>
      </w:r>
    </w:p>
    <w:p w14:paraId="64C5954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3.6.3.2 转子应具有足够的刚度和强度，在飞逸转速时不应发生有害的变形，在任何工况下不得失去稳定，并应做到结构合理，且具有良好的电磁性能和通风性能，各紧固件连接牢靠。发电机转子在制造厂内作静平衡试验。</w:t>
      </w:r>
    </w:p>
    <w:p w14:paraId="771D13F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3.6.3.3 磁极采用鸠尾键和相配合的槽固定在磁轭上。磁极铁心应采用高强度薄钢板冲片，压板材料应采用锻钢。</w:t>
      </w:r>
    </w:p>
    <w:p w14:paraId="4B3E817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3.6.3.4 磁极线圈应用铜带扁向绕制而成，使用F级绝缘。磁极线圈接头及极间连接应可靠，能承受运行时的振动、热变形，飞逸时的离心力及电气短路、频繁起停等产生的应力，不发生变形、裂缝和滑动。极间连接应有防松动措施，且便于拆卸和检修。磁极线圈接头应布置在转子上方。</w:t>
      </w:r>
    </w:p>
    <w:p w14:paraId="09420EB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3.6.3.5 转子上应装设纵、横阻尼绕组。用银铜焊将阻尼条与阻尼环连接紧固。阻尼环间采用多层紫铜片制成的连接片柔性连接，用螺栓紧固。阻尼绕组应安装牢固，以防由于振动及最大飞逸转速下的热位移和热应力而造成机械故障。阻尼绕组应具有承受短路和不平衡电流的能力。 </w:t>
      </w:r>
    </w:p>
    <w:p w14:paraId="55E1F4A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3.6.3.6 磁轭由磁轭键、卡键等紧固在转子主轴上，磁轭外缘设有键槽，用于固定磁极。</w:t>
      </w:r>
    </w:p>
    <w:p w14:paraId="6640625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3.6.3.7 磁轭冲片应采用高强度的优质钢板，以满足在最高飞逸转速下磁轭断面上产生的平均拉应力（计算值）不大于材料的屈服应力的2/3。磁轭冲片应平整、除锈、去毛刺、尺寸符合精度要求。应采取各种措施，确保磁轭的叠装质量及整体性。磁轭设计时，应考虑具有良好的径向通风性能。</w:t>
      </w:r>
    </w:p>
    <w:p w14:paraId="49099C2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3.6.3.8 制动环固定在转子磁轭上，对于制动时所产生的热量及制动环的热膨胀应采取有效措施。</w:t>
      </w:r>
    </w:p>
    <w:p w14:paraId="3DC0336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3.6.3.9 发电机和水轮机安装完毕后，作过速试验前，应按国家标准规定的方法检查其动平衡，承包人应考虑动平衡块的焊装位置，并负责安装技术指导及提供动平衡配重块。动平衡试验由安装承包人完成。</w:t>
      </w:r>
    </w:p>
    <w:p w14:paraId="25CD5E6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3.6.5 机架</w:t>
      </w:r>
    </w:p>
    <w:p w14:paraId="71E7B784">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保留上机架本体，保留推力头和镜板。更换推力轴承、上导轴承、上导油冷却器，密封盖改造成无间隙接触密封。</w:t>
      </w:r>
    </w:p>
    <w:p w14:paraId="3E67FE49">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更换</w:t>
      </w:r>
      <w:r>
        <w:rPr>
          <w:rFonts w:hint="eastAsia" w:ascii="宋体" w:hAnsi="宋体" w:eastAsia="宋体" w:cs="宋体"/>
          <w:b/>
          <w:bCs/>
          <w:sz w:val="24"/>
          <w:szCs w:val="24"/>
        </w:rPr>
        <w:t>下机架本体，更换下导轴承、下导油冷却器，密封盖改造成无间隙接触密封。</w:t>
      </w:r>
    </w:p>
    <w:p w14:paraId="7B297B5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3.6.5.1 上机架应能承受水轮机/发电机的所有转动部分的重量和水轮机最大水推力的组合轴向荷载。并能与下机架一起安全地承受作用于水轮机转轮上的不平衡水推力以及由于绕组短路包括半数磁极短路引起的不平衡力且不发生有害变形。</w:t>
      </w:r>
    </w:p>
    <w:p w14:paraId="7CA08CB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3.6.5.2 下机架应能通过定子内径吊出。上机架应设计成不需要取出集电环就可以取出上导轴承和油冷却器。</w:t>
      </w:r>
    </w:p>
    <w:p w14:paraId="02DD47D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3.6.5.3 上机架应采用适应热变形的结构。</w:t>
      </w:r>
    </w:p>
    <w:p w14:paraId="2301B1E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3.6.5.4 上机架支臂传力的设计，应保证在事故情况下（半数磁极短路、发电机出口短路时）发电机的稳定性；尽可能地将单边磁拉力的径向力转变为切向力传至发电机风洞混凝土围墙，或采用联合受力的方法，既保证机组稳定又尽可能少地将径向力全部传至风洞混凝土围墙。</w:t>
      </w:r>
    </w:p>
    <w:p w14:paraId="19F7661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3.6.5.5 上、下机架的结构应能承受各种运行工况的应力而安全运行，应为轴承、制动器等的维修提供足够的空间和通道。</w:t>
      </w:r>
    </w:p>
    <w:p w14:paraId="58459D3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3.6.6 轴承</w:t>
      </w:r>
    </w:p>
    <w:p w14:paraId="4E1C8F2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3.6.6.1 一般要求</w:t>
      </w:r>
    </w:p>
    <w:p w14:paraId="4E4BD55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1）轴承和轴承支架应设计成能在各种运行工况下安全运行。</w:t>
      </w:r>
    </w:p>
    <w:p w14:paraId="65EDBB7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发电机推力轴承和导轴承在冷却水中断后机组应能安全停机。当冷却水中断时应允许机组在正常转速下带额定负荷，至少运行15min，在飞逸转速情况下，至少运行5min，推力轴承和导轴承不应有任何损坏，轴承温度不应超过允许最高值。</w:t>
      </w:r>
    </w:p>
    <w:p w14:paraId="7C22DCD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3）在推力轴承和导轴承油温不低于5℃时，应允许机组起动；应允许机组在停机后立即启动；在紧急事故且制动失灵的情况下不制动停机（包括机组从飞逸转速不制动停机）。在以上情况下均应保证轴瓦不损坏。</w:t>
      </w:r>
    </w:p>
    <w:p w14:paraId="1246521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4）应采取有效措施防止轴承油雾逸出和其润滑系统甩油。</w:t>
      </w:r>
    </w:p>
    <w:p w14:paraId="530ECE8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5）在连续运行条件下，冷却水最高温度为28℃时，导轴承轴瓦的最高温度应不超过65℃，油温不超过60℃。推力轴承轴瓦最高温度应不超过55℃。</w:t>
      </w:r>
    </w:p>
    <w:p w14:paraId="1F80B80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3.6.6.2 推力轴承</w:t>
      </w:r>
    </w:p>
    <w:p w14:paraId="4E89649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1）推力轴承应设计成能承受发电机和水轮机转动部分的总重量和水轮机转轮的最大水推力的综合负载。</w:t>
      </w:r>
    </w:p>
    <w:p w14:paraId="49F9BF8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2）推力轴承的支撑结构应具有弹性、能向推力瓦提供扩散和均匀的支撑，并使其具有平衡瓦间负荷的平衡能力。</w:t>
      </w:r>
    </w:p>
    <w:p w14:paraId="4DC05D6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3）推力轴承应制成平整的，带有倾斜面的轴瓦，为自调或弹簧支承轴瓦式或其它有成功应用实例的结构。</w:t>
      </w:r>
    </w:p>
    <w:p w14:paraId="70E12B4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推力轴瓦采用弹性金属塑料推力轴瓦。推力轴瓦的弹性金属塑料复合层所用的氟塑料要整块浇灌，不允许采用拼凑方式。弹性金属塑料复合层与推力轴瓦的钢制瓦坯应焊接牢固，无分层和脱壳现象。瓦面在工厂一次加工抛光，在现场安装、检修维护时不需进行刮、研瓦面。</w:t>
      </w:r>
    </w:p>
    <w:p w14:paraId="340E974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5）推力轴承应采用推力头与镜板一体式结构。</w:t>
      </w:r>
    </w:p>
    <w:p w14:paraId="625B033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6）镜板工作面粗糙度不大于0.4μm，背面粗糙度不大于1.6μm，镜板硬度不低于HB 200，镜板硬度差值不大于HB 30，内外圆粗糙度不大于3.2μm，镜板平面不平度不大于0.02mm，两平面不平行度不大于0.03mm。</w:t>
      </w:r>
    </w:p>
    <w:p w14:paraId="7213B82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3.6.6.3 导轴承</w:t>
      </w:r>
    </w:p>
    <w:p w14:paraId="08245C1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导轴承应为油浸自润滑巴氏合金型，采用分块的、可调的轴承套和轴承支撑。应采取足够的措施防止油或油气溢出油箱，进入发电机冷却系统和散入大气。导轴承的拆装、更换和检修应不影响推力轴承或发电机转子。</w:t>
      </w:r>
    </w:p>
    <w:p w14:paraId="0865171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2）导轴承结构应设计成能承受各种运行工况下加于它的径向机械和电磁不平衡力。</w:t>
      </w:r>
    </w:p>
    <w:p w14:paraId="4A2B5FA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3）导轴承具有足够的油膜厚度，油路循环畅通，满足润滑冷却的要求。</w:t>
      </w:r>
    </w:p>
    <w:p w14:paraId="6CCBBC9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3.6.7 集电装置</w:t>
      </w:r>
    </w:p>
    <w:p w14:paraId="3DD3CE4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3.6.7.1 集电装置由集电环和碳刷组成。集电环采用支架式整圆结构，并有单独罩子保护。集电环应采用高抗磨材料，应采取措施严防粉尘对定、转子绕组的污染。</w:t>
      </w:r>
    </w:p>
    <w:p w14:paraId="1901550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3.6.7.2 电刷的布置应考虑便于维修、更换，能够在发电机运转中直观检视，而不需要移去罩子，刷握应布置得易于装入电刷，电刷压力应在其磨损前后保持一致，滑环装配应便于就地重新抛光其表面。</w:t>
      </w:r>
    </w:p>
    <w:p w14:paraId="7623C9B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3.6.7.3 集电环和引线的绝缘应能抗油和抗潮，每只电刷的引线应采用不少于两根银焊铜编织线。励磁回路导体截面至少应是能承受最大励磁电流所需铜截面的130%。</w:t>
      </w:r>
    </w:p>
    <w:p w14:paraId="17AC213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3.6.8 引出线</w:t>
      </w:r>
    </w:p>
    <w:p w14:paraId="621B119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3.6.8.1 主引线和中性点引线均应为线电压级全绝缘。</w:t>
      </w:r>
    </w:p>
    <w:p w14:paraId="73D94B2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3.6.8.2 主引线3个，引出方向为+Y偏-X 15°（暂定）。中性点引出线为3个，引出方向为+X偏+Y 15°（暂定，具体以电站现状实际出现为准）。</w:t>
      </w:r>
    </w:p>
    <w:p w14:paraId="0A4C3D5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3.6.8.3风罩内侧定子引线绝缘铜排，由承包人按发包人提供的长度和形状制造。为了方便试验，在每相绕组主引出线端和中性线端在机壳处应有可拆卸的连接装置，以便把各相与附属设备及外部连接断开，当连接装置拆卸后，相邻的断口之间应有不小于300mm的距离。连接端头应加厚镀银，以确保定期试验多次拆接的需要。</w:t>
      </w:r>
    </w:p>
    <w:p w14:paraId="2D0C6B1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3.6.8.4 发电机风洞内主引线及中性点引线四周应装有可拆卸式隔栏，确保在机组运行时的人身安全。</w:t>
      </w:r>
    </w:p>
    <w:p w14:paraId="0BDFFF34">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r>
        <w:rPr>
          <w:rFonts w:hint="eastAsia" w:ascii="宋体" w:hAnsi="宋体" w:eastAsia="宋体" w:cs="宋体"/>
          <w:bCs/>
          <w:sz w:val="28"/>
          <w:szCs w:val="28"/>
        </w:rPr>
        <w:t>3.7 附属设备</w:t>
      </w:r>
    </w:p>
    <w:p w14:paraId="40F10DD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3.7.1 制动和顶起装置</w:t>
      </w:r>
    </w:p>
    <w:p w14:paraId="125B71B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制动器及制动器管路更新。制动器采取高耐磨的制动块。</w:t>
      </w:r>
    </w:p>
    <w:p w14:paraId="0917A2F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3.7.1.1 制动块应有坚固的，耐磨的，可更换的摩擦表面，其表面不会在制动过程中因发热而损坏，也不会因摩擦粘住或卡住，制动块和耐磨面将用螺栓或其它方式可靠地固定到液压顶起的活塞上且便于更换，制动器的空气管路应有足够的尺寸，并设置气复归装置，在制动周期完成后毫无限制地让制动块完全松开，每个制动块应配有1~2个行程开关，指示制动块已投入或已松开复位，并以复位信号作为开机的一个必要条件。</w:t>
      </w:r>
    </w:p>
    <w:p w14:paraId="4681792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3.7.1.2 制动系统包括发电机内部用的压缩空气管路、阀门、配件、制动屏和高压油泵。以及其他用于1个完整系统的所有设备与附件。</w:t>
      </w:r>
    </w:p>
    <w:p w14:paraId="78C96E9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3.7.2 干燥器（电加热器）</w:t>
      </w:r>
    </w:p>
    <w:p w14:paraId="1C2DD36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3.7.2.1 应配有足够数量的电气干燥器，均匀布置在发电机风洞内，以保证发电机停机情况下其绝缘所吸收的潮气仍能满足发电机运行标准要求。使发电机随时可以投入运行，干燥器运行时应保证不损坏发电机的绝缘和其它任何部件。</w:t>
      </w:r>
    </w:p>
    <w:p w14:paraId="1C414DD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3.7.2.2 干燥器采用380V、50Hz三相4线制供电，应配置有恒温控制器和控制箱，在允许的、可以接近的地点装设干燥器控制箱，控制方式为三种：手动、自动、远方。</w:t>
      </w:r>
    </w:p>
    <w:p w14:paraId="7F140EA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3.7.3 轴电流防止</w:t>
      </w:r>
    </w:p>
    <w:p w14:paraId="7E07B7F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3.7.3.1 每台发电机的导轴以及埋入检温计均应对地绝缘，用1000V兆欧表测量其总绝缘电阻不小于10MΩ，绝缘垫应有足够的爬距，并有必要的机械强度，能承受各处相应的机械荷载而不至于损坏。</w:t>
      </w:r>
    </w:p>
    <w:p w14:paraId="7FDD2A6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3.7.3.2 每个绝缘垫两侧金属部位都有导线引接到发电机端子箱以便测试绝缘，导线及其连接均由承包人提供。</w:t>
      </w:r>
    </w:p>
    <w:p w14:paraId="00913EE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3.7.3.3 在轴承适当位置应设置接地碳刷，并配有必需的连接线等零部件。</w:t>
      </w:r>
    </w:p>
    <w:p w14:paraId="562C8CAA">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r>
        <w:rPr>
          <w:rFonts w:hint="eastAsia" w:ascii="宋体" w:hAnsi="宋体" w:eastAsia="宋体" w:cs="宋体"/>
          <w:bCs/>
          <w:sz w:val="28"/>
          <w:szCs w:val="28"/>
        </w:rPr>
        <w:t>3.8 备品备件</w:t>
      </w:r>
    </w:p>
    <w:p w14:paraId="094862A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承包人应提供1套2台发电机所需的备品备件见表3.8-1，表中所列的备品备件应随第2台机供货时交付。</w:t>
      </w:r>
    </w:p>
    <w:p w14:paraId="72F21BDE">
      <w:pPr>
        <w:autoSpaceDE w:val="0"/>
        <w:autoSpaceDN w:val="0"/>
        <w:adjustRightInd w:val="0"/>
        <w:ind w:firstLine="576" w:firstLineChars="206"/>
        <w:jc w:val="center"/>
        <w:textAlignment w:val="baseline"/>
        <w:rPr>
          <w:rFonts w:hint="eastAsia" w:ascii="宋体" w:hAnsi="宋体" w:eastAsia="宋体" w:cs="宋体"/>
          <w:sz w:val="28"/>
          <w:szCs w:val="28"/>
        </w:rPr>
      </w:pPr>
      <w:r>
        <w:rPr>
          <w:rFonts w:hint="eastAsia" w:ascii="宋体" w:hAnsi="宋体" w:eastAsia="宋体" w:cs="宋体"/>
          <w:sz w:val="28"/>
          <w:szCs w:val="28"/>
        </w:rPr>
        <w:t>表3.8-1 水轮发电机备品备件表</w:t>
      </w:r>
    </w:p>
    <w:tbl>
      <w:tblPr>
        <w:tblStyle w:val="65"/>
        <w:tblW w:w="458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996"/>
        <w:gridCol w:w="887"/>
        <w:gridCol w:w="2098"/>
      </w:tblGrid>
      <w:tr w14:paraId="694E8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1" w:type="dxa"/>
            <w:noWrap w:val="0"/>
            <w:vAlign w:val="center"/>
          </w:tcPr>
          <w:p w14:paraId="7BD0B789">
            <w:pPr>
              <w:jc w:val="center"/>
              <w:rPr>
                <w:rFonts w:hint="eastAsia" w:ascii="宋体" w:hAnsi="宋体" w:eastAsia="宋体" w:cs="宋体"/>
                <w:snapToGrid w:val="0"/>
              </w:rPr>
            </w:pPr>
            <w:r>
              <w:rPr>
                <w:rFonts w:hint="eastAsia" w:ascii="宋体" w:hAnsi="宋体" w:eastAsia="宋体" w:cs="宋体"/>
                <w:snapToGrid w:val="0"/>
              </w:rPr>
              <w:t>序号</w:t>
            </w:r>
          </w:p>
        </w:tc>
        <w:tc>
          <w:tcPr>
            <w:tcW w:w="3996" w:type="dxa"/>
            <w:noWrap w:val="0"/>
            <w:vAlign w:val="center"/>
          </w:tcPr>
          <w:p w14:paraId="7D6B4A2E">
            <w:pPr>
              <w:rPr>
                <w:rFonts w:hint="eastAsia" w:ascii="宋体" w:hAnsi="宋体" w:eastAsia="宋体" w:cs="宋体"/>
                <w:snapToGrid w:val="0"/>
              </w:rPr>
            </w:pPr>
            <w:r>
              <w:rPr>
                <w:rFonts w:hint="eastAsia" w:ascii="宋体" w:hAnsi="宋体" w:eastAsia="宋体" w:cs="宋体"/>
                <w:snapToGrid w:val="0"/>
              </w:rPr>
              <w:t>名      称</w:t>
            </w:r>
          </w:p>
        </w:tc>
        <w:tc>
          <w:tcPr>
            <w:tcW w:w="887" w:type="dxa"/>
            <w:noWrap w:val="0"/>
            <w:vAlign w:val="center"/>
          </w:tcPr>
          <w:p w14:paraId="66A5F9F4">
            <w:pPr>
              <w:rPr>
                <w:rFonts w:hint="eastAsia" w:ascii="宋体" w:hAnsi="宋体" w:eastAsia="宋体" w:cs="宋体"/>
                <w:snapToGrid w:val="0"/>
              </w:rPr>
            </w:pPr>
            <w:r>
              <w:rPr>
                <w:rFonts w:hint="eastAsia" w:ascii="宋体" w:hAnsi="宋体" w:eastAsia="宋体" w:cs="宋体"/>
                <w:snapToGrid w:val="0"/>
              </w:rPr>
              <w:t>单位</w:t>
            </w:r>
          </w:p>
        </w:tc>
        <w:tc>
          <w:tcPr>
            <w:tcW w:w="2098" w:type="dxa"/>
            <w:noWrap w:val="0"/>
            <w:vAlign w:val="center"/>
          </w:tcPr>
          <w:p w14:paraId="101E888B">
            <w:pPr>
              <w:rPr>
                <w:rFonts w:hint="eastAsia" w:ascii="宋体" w:hAnsi="宋体" w:eastAsia="宋体" w:cs="宋体"/>
                <w:snapToGrid w:val="0"/>
              </w:rPr>
            </w:pPr>
            <w:r>
              <w:rPr>
                <w:rFonts w:hint="eastAsia" w:ascii="宋体" w:hAnsi="宋体" w:eastAsia="宋体" w:cs="宋体"/>
                <w:snapToGrid w:val="0"/>
              </w:rPr>
              <w:t>数量</w:t>
            </w:r>
          </w:p>
        </w:tc>
      </w:tr>
      <w:tr w14:paraId="63DE7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1" w:type="dxa"/>
            <w:noWrap w:val="0"/>
            <w:vAlign w:val="center"/>
          </w:tcPr>
          <w:p w14:paraId="7D31B79D">
            <w:pPr>
              <w:jc w:val="center"/>
              <w:rPr>
                <w:rFonts w:hint="eastAsia" w:ascii="宋体" w:hAnsi="宋体" w:eastAsia="宋体" w:cs="宋体"/>
                <w:snapToGrid w:val="0"/>
              </w:rPr>
            </w:pPr>
            <w:r>
              <w:rPr>
                <w:rFonts w:hint="eastAsia" w:ascii="宋体" w:hAnsi="宋体" w:eastAsia="宋体" w:cs="宋体"/>
                <w:snapToGrid w:val="0"/>
              </w:rPr>
              <w:t>1</w:t>
            </w:r>
          </w:p>
        </w:tc>
        <w:tc>
          <w:tcPr>
            <w:tcW w:w="3996" w:type="dxa"/>
            <w:noWrap w:val="0"/>
            <w:vAlign w:val="center"/>
          </w:tcPr>
          <w:p w14:paraId="708F0F94">
            <w:pPr>
              <w:rPr>
                <w:rFonts w:hint="eastAsia" w:ascii="宋体" w:hAnsi="宋体" w:eastAsia="宋体" w:cs="宋体"/>
                <w:snapToGrid w:val="0"/>
              </w:rPr>
            </w:pPr>
            <w:r>
              <w:rPr>
                <w:rFonts w:hint="eastAsia" w:ascii="宋体" w:hAnsi="宋体" w:eastAsia="宋体" w:cs="宋体"/>
                <w:snapToGrid w:val="0"/>
              </w:rPr>
              <w:t>定子槽楔</w:t>
            </w:r>
          </w:p>
        </w:tc>
        <w:tc>
          <w:tcPr>
            <w:tcW w:w="887" w:type="dxa"/>
            <w:noWrap w:val="0"/>
            <w:vAlign w:val="center"/>
          </w:tcPr>
          <w:p w14:paraId="398FC0C8">
            <w:pPr>
              <w:rPr>
                <w:rFonts w:hint="eastAsia" w:ascii="宋体" w:hAnsi="宋体" w:eastAsia="宋体" w:cs="宋体"/>
                <w:snapToGrid w:val="0"/>
              </w:rPr>
            </w:pPr>
          </w:p>
        </w:tc>
        <w:tc>
          <w:tcPr>
            <w:tcW w:w="2098" w:type="dxa"/>
            <w:noWrap w:val="0"/>
            <w:vAlign w:val="center"/>
          </w:tcPr>
          <w:p w14:paraId="79CFD1B8">
            <w:pPr>
              <w:jc w:val="center"/>
              <w:rPr>
                <w:rFonts w:hint="eastAsia" w:ascii="宋体" w:hAnsi="宋体" w:eastAsia="宋体" w:cs="宋体"/>
                <w:snapToGrid w:val="0"/>
              </w:rPr>
            </w:pPr>
            <w:r>
              <w:rPr>
                <w:rFonts w:hint="eastAsia" w:ascii="宋体" w:hAnsi="宋体" w:eastAsia="宋体" w:cs="宋体"/>
                <w:snapToGrid w:val="0"/>
              </w:rPr>
              <w:t>上层线棒备用量的1/3</w:t>
            </w:r>
          </w:p>
        </w:tc>
      </w:tr>
      <w:tr w14:paraId="1CDCA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1" w:type="dxa"/>
            <w:noWrap w:val="0"/>
            <w:vAlign w:val="center"/>
          </w:tcPr>
          <w:p w14:paraId="25A64CF9">
            <w:pPr>
              <w:jc w:val="center"/>
              <w:rPr>
                <w:rFonts w:hint="eastAsia" w:ascii="宋体" w:hAnsi="宋体" w:eastAsia="宋体" w:cs="宋体"/>
                <w:snapToGrid w:val="0"/>
              </w:rPr>
            </w:pPr>
            <w:r>
              <w:rPr>
                <w:rFonts w:hint="eastAsia" w:ascii="宋体" w:hAnsi="宋体" w:eastAsia="宋体" w:cs="宋体"/>
                <w:snapToGrid w:val="0"/>
              </w:rPr>
              <w:t>2</w:t>
            </w:r>
          </w:p>
        </w:tc>
        <w:tc>
          <w:tcPr>
            <w:tcW w:w="3996" w:type="dxa"/>
            <w:noWrap w:val="0"/>
            <w:vAlign w:val="center"/>
          </w:tcPr>
          <w:p w14:paraId="7268282E">
            <w:pPr>
              <w:rPr>
                <w:rFonts w:hint="eastAsia" w:ascii="宋体" w:hAnsi="宋体" w:eastAsia="宋体" w:cs="宋体"/>
                <w:snapToGrid w:val="0"/>
              </w:rPr>
            </w:pPr>
            <w:r>
              <w:rPr>
                <w:rFonts w:hint="eastAsia" w:ascii="宋体" w:hAnsi="宋体" w:eastAsia="宋体" w:cs="宋体"/>
                <w:szCs w:val="21"/>
              </w:rPr>
              <w:t>定子多匝叠绕线圈</w:t>
            </w:r>
          </w:p>
        </w:tc>
        <w:tc>
          <w:tcPr>
            <w:tcW w:w="887" w:type="dxa"/>
            <w:noWrap w:val="0"/>
            <w:vAlign w:val="center"/>
          </w:tcPr>
          <w:p w14:paraId="312DF760">
            <w:pPr>
              <w:rPr>
                <w:rFonts w:hint="eastAsia" w:ascii="宋体" w:hAnsi="宋体" w:eastAsia="宋体" w:cs="宋体"/>
                <w:snapToGrid w:val="0"/>
              </w:rPr>
            </w:pPr>
            <w:r>
              <w:rPr>
                <w:rFonts w:hint="eastAsia" w:ascii="宋体" w:hAnsi="宋体" w:eastAsia="宋体" w:cs="宋体"/>
                <w:snapToGrid w:val="0"/>
              </w:rPr>
              <w:t>台份</w:t>
            </w:r>
          </w:p>
        </w:tc>
        <w:tc>
          <w:tcPr>
            <w:tcW w:w="2098" w:type="dxa"/>
            <w:noWrap w:val="0"/>
            <w:vAlign w:val="center"/>
          </w:tcPr>
          <w:p w14:paraId="45BC6237">
            <w:pPr>
              <w:jc w:val="center"/>
              <w:rPr>
                <w:rFonts w:hint="eastAsia" w:ascii="宋体" w:hAnsi="宋体" w:eastAsia="宋体" w:cs="宋体"/>
                <w:snapToGrid w:val="0"/>
              </w:rPr>
            </w:pPr>
            <w:r>
              <w:rPr>
                <w:rFonts w:hint="eastAsia" w:ascii="宋体" w:hAnsi="宋体" w:eastAsia="宋体" w:cs="宋体"/>
                <w:snapToGrid w:val="0"/>
              </w:rPr>
              <w:t>1/15</w:t>
            </w:r>
          </w:p>
        </w:tc>
      </w:tr>
      <w:tr w14:paraId="570BA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1" w:type="dxa"/>
            <w:noWrap w:val="0"/>
            <w:vAlign w:val="center"/>
          </w:tcPr>
          <w:p w14:paraId="09B328F2">
            <w:pPr>
              <w:jc w:val="center"/>
              <w:rPr>
                <w:rFonts w:hint="eastAsia" w:ascii="宋体" w:hAnsi="宋体" w:eastAsia="宋体" w:cs="宋体"/>
                <w:snapToGrid w:val="0"/>
              </w:rPr>
            </w:pPr>
            <w:r>
              <w:rPr>
                <w:rFonts w:hint="eastAsia" w:ascii="宋体" w:hAnsi="宋体" w:eastAsia="宋体" w:cs="宋体"/>
                <w:snapToGrid w:val="0"/>
              </w:rPr>
              <w:t>3</w:t>
            </w:r>
          </w:p>
        </w:tc>
        <w:tc>
          <w:tcPr>
            <w:tcW w:w="3996" w:type="dxa"/>
            <w:noWrap w:val="0"/>
            <w:vAlign w:val="center"/>
          </w:tcPr>
          <w:p w14:paraId="21A28D03">
            <w:pPr>
              <w:rPr>
                <w:rFonts w:hint="eastAsia" w:ascii="宋体" w:hAnsi="宋体" w:eastAsia="宋体" w:cs="宋体"/>
                <w:snapToGrid w:val="0"/>
              </w:rPr>
            </w:pPr>
            <w:r>
              <w:rPr>
                <w:rFonts w:hint="eastAsia" w:ascii="宋体" w:hAnsi="宋体" w:eastAsia="宋体" w:cs="宋体"/>
                <w:snapToGrid w:val="0"/>
              </w:rPr>
              <w:t>电阻温度计、电阻测温元件</w:t>
            </w:r>
          </w:p>
        </w:tc>
        <w:tc>
          <w:tcPr>
            <w:tcW w:w="887" w:type="dxa"/>
            <w:noWrap w:val="0"/>
            <w:vAlign w:val="center"/>
          </w:tcPr>
          <w:p w14:paraId="36084B5D">
            <w:pPr>
              <w:rPr>
                <w:rFonts w:hint="eastAsia" w:ascii="宋体" w:hAnsi="宋体" w:eastAsia="宋体" w:cs="宋体"/>
                <w:snapToGrid w:val="0"/>
              </w:rPr>
            </w:pPr>
            <w:r>
              <w:rPr>
                <w:rFonts w:hint="eastAsia" w:ascii="宋体" w:hAnsi="宋体" w:eastAsia="宋体" w:cs="宋体"/>
                <w:snapToGrid w:val="0"/>
              </w:rPr>
              <w:t>个</w:t>
            </w:r>
          </w:p>
        </w:tc>
        <w:tc>
          <w:tcPr>
            <w:tcW w:w="2098" w:type="dxa"/>
            <w:noWrap w:val="0"/>
            <w:vAlign w:val="center"/>
          </w:tcPr>
          <w:p w14:paraId="38691DF4">
            <w:pPr>
              <w:jc w:val="center"/>
              <w:rPr>
                <w:rFonts w:hint="eastAsia" w:ascii="宋体" w:hAnsi="宋体" w:eastAsia="宋体" w:cs="宋体"/>
                <w:snapToGrid w:val="0"/>
              </w:rPr>
            </w:pPr>
            <w:r>
              <w:rPr>
                <w:rFonts w:hint="eastAsia" w:ascii="宋体" w:hAnsi="宋体" w:eastAsia="宋体" w:cs="宋体"/>
                <w:snapToGrid w:val="0"/>
              </w:rPr>
              <w:t>每台机各类型2个</w:t>
            </w:r>
          </w:p>
        </w:tc>
      </w:tr>
      <w:tr w14:paraId="278C4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1" w:type="dxa"/>
            <w:noWrap w:val="0"/>
            <w:vAlign w:val="center"/>
          </w:tcPr>
          <w:p w14:paraId="6B98D756">
            <w:pPr>
              <w:jc w:val="center"/>
              <w:rPr>
                <w:rFonts w:hint="eastAsia" w:ascii="宋体" w:hAnsi="宋体" w:eastAsia="宋体" w:cs="宋体"/>
                <w:snapToGrid w:val="0"/>
              </w:rPr>
            </w:pPr>
          </w:p>
        </w:tc>
        <w:tc>
          <w:tcPr>
            <w:tcW w:w="3996" w:type="dxa"/>
            <w:noWrap w:val="0"/>
            <w:vAlign w:val="center"/>
          </w:tcPr>
          <w:p w14:paraId="779F3B1E">
            <w:pPr>
              <w:rPr>
                <w:rFonts w:hint="eastAsia" w:ascii="宋体" w:hAnsi="宋体" w:eastAsia="宋体" w:cs="宋体"/>
                <w:snapToGrid w:val="0"/>
              </w:rPr>
            </w:pPr>
            <w:r>
              <w:rPr>
                <w:rFonts w:hint="eastAsia" w:ascii="宋体" w:hAnsi="宋体" w:eastAsia="宋体" w:cs="宋体"/>
                <w:snapToGrid w:val="0"/>
              </w:rPr>
              <w:t>注1：“台份”系指每台机所需的份数（或数量）。</w:t>
            </w:r>
          </w:p>
        </w:tc>
        <w:tc>
          <w:tcPr>
            <w:tcW w:w="887" w:type="dxa"/>
            <w:noWrap w:val="0"/>
            <w:vAlign w:val="center"/>
          </w:tcPr>
          <w:p w14:paraId="5FD8A91A">
            <w:pPr>
              <w:rPr>
                <w:rFonts w:hint="eastAsia" w:ascii="宋体" w:hAnsi="宋体" w:eastAsia="宋体" w:cs="宋体"/>
                <w:snapToGrid w:val="0"/>
              </w:rPr>
            </w:pPr>
          </w:p>
        </w:tc>
        <w:tc>
          <w:tcPr>
            <w:tcW w:w="2098" w:type="dxa"/>
            <w:noWrap w:val="0"/>
            <w:vAlign w:val="center"/>
          </w:tcPr>
          <w:p w14:paraId="0E5C327F">
            <w:pPr>
              <w:jc w:val="center"/>
              <w:rPr>
                <w:rFonts w:hint="eastAsia" w:ascii="宋体" w:hAnsi="宋体" w:eastAsia="宋体" w:cs="宋体"/>
                <w:snapToGrid w:val="0"/>
              </w:rPr>
            </w:pPr>
          </w:p>
        </w:tc>
      </w:tr>
    </w:tbl>
    <w:p w14:paraId="147C84E7">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r>
        <w:rPr>
          <w:rFonts w:hint="eastAsia" w:ascii="宋体" w:hAnsi="宋体" w:eastAsia="宋体" w:cs="宋体"/>
          <w:bCs/>
          <w:sz w:val="28"/>
          <w:szCs w:val="28"/>
        </w:rPr>
        <w:t>3.9 工厂装配和试验</w:t>
      </w:r>
    </w:p>
    <w:p w14:paraId="1F81212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3.9.1概  述</w:t>
      </w:r>
    </w:p>
    <w:p w14:paraId="1772526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3.9.1.1 承包人应随投标文件递交一份工厂装配和试验的计划。</w:t>
      </w:r>
    </w:p>
    <w:p w14:paraId="3B34FD0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3.9.1.2 承包人应在工厂试验前60天，将工厂试验计划通知发包人，并交一个书面文件给发包人，以便发包人参加试验见证。承包人应提交试验结果合格的文件和有用的特性曲线。</w:t>
      </w:r>
    </w:p>
    <w:p w14:paraId="59ABE04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3.9.1.3 放弃试验或放弃发包人的试验见证，并不免除合同规定的承包人所负的责任。</w:t>
      </w:r>
    </w:p>
    <w:p w14:paraId="18CBE3D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3.9.2 发电机试验项目</w:t>
      </w:r>
    </w:p>
    <w:p w14:paraId="09AD055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3.9.2.1 工厂试验应包括以下内容</w:t>
      </w:r>
    </w:p>
    <w:p w14:paraId="73CBAF1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1）材料试验：用于发电机部件上的所有材料，均应对其机械性能和化学成分进行分析，承包人应提供主轴、磁榫叠片，转子磁轭叠片以及主要部件材料试验报告和转子支架、定子机座焊接检查报告。</w:t>
      </w:r>
    </w:p>
    <w:p w14:paraId="1C363DB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2）主轴、推力轴承，镜板、发电机转子，各导轴承等各部件公差检查纪录及光洁度检验。</w:t>
      </w:r>
    </w:p>
    <w:p w14:paraId="51A59D8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3）主轴连轴检查。</w:t>
      </w:r>
    </w:p>
    <w:p w14:paraId="664E516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4）油、气、水系统设备及管路的压力试验(包括各种冷却器)。</w:t>
      </w:r>
    </w:p>
    <w:p w14:paraId="45D1330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5）定子单根线棒介损试验，介质损失角tgδ增量测量。</w:t>
      </w:r>
    </w:p>
    <w:p w14:paraId="2550A42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6）定子单根线棒绝缘击穿试验(采取抽样试验方法)。</w:t>
      </w:r>
    </w:p>
    <w:p w14:paraId="0C73FC9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7）定子单根线棒1.5倍线电压下的起晕电压试验及测定。</w:t>
      </w:r>
    </w:p>
    <w:p w14:paraId="5274778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8）定子单根线棒股间绝缘试验。</w:t>
      </w:r>
    </w:p>
    <w:p w14:paraId="78ED6EE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9）发电机定子铁心损耗试验，原材料饱和曲线试验。</w:t>
      </w:r>
    </w:p>
    <w:p w14:paraId="6D0058F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10）各自动化元件入厂检查。</w:t>
      </w:r>
    </w:p>
    <w:p w14:paraId="48F6AFC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11）定子铁心叠压紧测定。</w:t>
      </w:r>
    </w:p>
    <w:p w14:paraId="1E23568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12）定子铁心损耗试验及铁心磁化试验。</w:t>
      </w:r>
    </w:p>
    <w:p w14:paraId="3115ECF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3.9.2.2 型式试验</w:t>
      </w:r>
    </w:p>
    <w:p w14:paraId="5A68671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根据标准及设计规定进行。</w:t>
      </w:r>
    </w:p>
    <w:p w14:paraId="663E5B2D">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r>
        <w:rPr>
          <w:rFonts w:hint="eastAsia" w:ascii="宋体" w:hAnsi="宋体" w:eastAsia="宋体" w:cs="宋体"/>
          <w:bCs/>
          <w:sz w:val="28"/>
          <w:szCs w:val="28"/>
        </w:rPr>
        <w:t>3.10 现场试验</w:t>
      </w:r>
    </w:p>
    <w:p w14:paraId="7C4D0EE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现场试验除按2.13规定外，水轮发电机现场试验项目如下：</w:t>
      </w:r>
    </w:p>
    <w:p w14:paraId="4B0FA37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1）相序检查，极性测定。</w:t>
      </w:r>
    </w:p>
    <w:p w14:paraId="7B95DF2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2）定子、转子圆度校验、定转子气隙测定。转子动平衡校准。</w:t>
      </w:r>
    </w:p>
    <w:p w14:paraId="4778F4F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3）各部分绝缘电阻测定，包括定子、转子绕组、轴承和各测温元件绝缘电阻测定。</w:t>
      </w:r>
    </w:p>
    <w:p w14:paraId="013BB24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4）定子整机起晕电压试验。</w:t>
      </w:r>
    </w:p>
    <w:p w14:paraId="61EA468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5）定子绕组直流耐压及泄漏电流测量和交流耐压试验。</w:t>
      </w:r>
    </w:p>
    <w:p w14:paraId="09D0F4E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6）定子槽电位测定，定子对地电容电流测定。</w:t>
      </w:r>
    </w:p>
    <w:p w14:paraId="7DD7135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7）定子、转子绕组电阻测定。</w:t>
      </w:r>
    </w:p>
    <w:p w14:paraId="75A37EE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8）转子绕组耐压试验。</w:t>
      </w:r>
    </w:p>
    <w:p w14:paraId="7AEFD8D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9）转子磁极交流阻抗测定。</w:t>
      </w:r>
    </w:p>
    <w:p w14:paraId="3EACF95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10）定子匝间绝缘试验。</w:t>
      </w:r>
    </w:p>
    <w:p w14:paraId="6F14E3F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11）发电机空载特性试验。</w:t>
      </w:r>
    </w:p>
    <w:p w14:paraId="326F724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12）三相稳定短路试验。</w:t>
      </w:r>
    </w:p>
    <w:p w14:paraId="0429D3A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13）电压波形畸变率及电话谐波因素测定。</w:t>
      </w:r>
    </w:p>
    <w:p w14:paraId="09EEBB9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14）每个合缝定子线棒焊接接头的电阻测量。</w:t>
      </w:r>
    </w:p>
    <w:p w14:paraId="48A1288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15）定子、转子绕组温升测定。</w:t>
      </w:r>
    </w:p>
    <w:p w14:paraId="3ED8346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16）开路饱和曲线试验。</w:t>
      </w:r>
    </w:p>
    <w:p w14:paraId="7554467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17）各部振动、摆度测定、各轴承温升测定。</w:t>
      </w:r>
    </w:p>
    <w:p w14:paraId="79775C1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18）甩负荷试验(25%、50%、75%、100%额定负荷)。</w:t>
      </w:r>
    </w:p>
    <w:p w14:paraId="3EEA556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19）润滑油系统检查。</w:t>
      </w:r>
    </w:p>
    <w:p w14:paraId="6E498F8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20）冷却系统压力试验。</w:t>
      </w:r>
    </w:p>
    <w:p w14:paraId="38071CF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21）制动系统和顶起系统试验。</w:t>
      </w:r>
    </w:p>
    <w:p w14:paraId="4DFD635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22）灭火系统试验（只作功能模拟试验）。</w:t>
      </w:r>
    </w:p>
    <w:p w14:paraId="3AB3312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23）各种停机和起动试验。</w:t>
      </w:r>
    </w:p>
    <w:p w14:paraId="337412B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24）过速试验。</w:t>
      </w:r>
    </w:p>
    <w:p w14:paraId="6FAF52D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25）机组并列及带负荷试验。</w:t>
      </w:r>
    </w:p>
    <w:p w14:paraId="297FADC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26）性能保证试验。</w:t>
      </w:r>
    </w:p>
    <w:p w14:paraId="0E49F42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27）试运行试验。</w:t>
      </w:r>
    </w:p>
    <w:p w14:paraId="450621DF">
      <w:pPr>
        <w:snapToGrid w:val="0"/>
        <w:spacing w:line="360" w:lineRule="auto"/>
        <w:ind w:firstLine="480" w:firstLineChars="200"/>
        <w:rPr>
          <w:rFonts w:hint="eastAsia" w:ascii="宋体" w:hAnsi="宋体" w:eastAsia="宋体" w:cs="宋体"/>
          <w:sz w:val="24"/>
          <w:szCs w:val="24"/>
        </w:rPr>
      </w:pPr>
    </w:p>
    <w:p w14:paraId="04E4F6B0">
      <w:pPr>
        <w:snapToGrid w:val="0"/>
        <w:spacing w:line="360" w:lineRule="auto"/>
        <w:ind w:firstLine="480" w:firstLineChars="200"/>
        <w:rPr>
          <w:rFonts w:hint="eastAsia" w:ascii="宋体" w:hAnsi="宋体" w:eastAsia="宋体" w:cs="宋体"/>
          <w:sz w:val="24"/>
          <w:szCs w:val="24"/>
        </w:rPr>
      </w:pPr>
    </w:p>
    <w:p w14:paraId="1CBE5591">
      <w:pPr>
        <w:snapToGrid w:val="0"/>
        <w:spacing w:line="360" w:lineRule="auto"/>
        <w:ind w:firstLine="480" w:firstLineChars="200"/>
        <w:rPr>
          <w:rFonts w:hint="eastAsia" w:ascii="宋体" w:hAnsi="宋体" w:eastAsia="宋体" w:cs="宋体"/>
          <w:sz w:val="24"/>
          <w:szCs w:val="24"/>
        </w:rPr>
      </w:pPr>
    </w:p>
    <w:p w14:paraId="7C2FAE30">
      <w:pPr>
        <w:snapToGrid w:val="0"/>
        <w:spacing w:line="360" w:lineRule="auto"/>
        <w:ind w:firstLine="480" w:firstLineChars="200"/>
        <w:rPr>
          <w:rFonts w:hint="eastAsia" w:ascii="宋体" w:hAnsi="宋体" w:eastAsia="宋体" w:cs="宋体"/>
          <w:sz w:val="24"/>
          <w:szCs w:val="24"/>
        </w:rPr>
      </w:pPr>
    </w:p>
    <w:p w14:paraId="4791AE7C">
      <w:pPr>
        <w:snapToGrid w:val="0"/>
        <w:spacing w:line="360" w:lineRule="auto"/>
        <w:ind w:firstLine="480" w:firstLineChars="200"/>
        <w:rPr>
          <w:rFonts w:hint="eastAsia" w:ascii="宋体" w:hAnsi="宋体" w:eastAsia="宋体" w:cs="宋体"/>
          <w:sz w:val="24"/>
          <w:szCs w:val="24"/>
        </w:rPr>
      </w:pPr>
    </w:p>
    <w:p w14:paraId="72F91FC5">
      <w:pPr>
        <w:snapToGrid w:val="0"/>
        <w:spacing w:line="360" w:lineRule="auto"/>
        <w:ind w:firstLine="480" w:firstLineChars="200"/>
        <w:rPr>
          <w:rFonts w:hint="eastAsia" w:ascii="宋体" w:hAnsi="宋体" w:eastAsia="宋体" w:cs="宋体"/>
          <w:sz w:val="24"/>
          <w:szCs w:val="24"/>
        </w:rPr>
      </w:pPr>
    </w:p>
    <w:bookmarkEnd w:id="296"/>
    <w:bookmarkEnd w:id="297"/>
    <w:bookmarkEnd w:id="298"/>
    <w:p w14:paraId="66E1CAA7">
      <w:pPr>
        <w:keepNext/>
        <w:jc w:val="center"/>
        <w:outlineLvl w:val="1"/>
        <w:rPr>
          <w:rFonts w:hint="eastAsia" w:ascii="宋体" w:hAnsi="宋体" w:eastAsia="宋体" w:cs="宋体"/>
          <w:sz w:val="28"/>
          <w:szCs w:val="28"/>
        </w:rPr>
      </w:pPr>
      <w:r>
        <w:rPr>
          <w:rFonts w:hint="eastAsia" w:ascii="宋体" w:hAnsi="宋体" w:eastAsia="宋体" w:cs="宋体"/>
          <w:sz w:val="28"/>
          <w:szCs w:val="28"/>
        </w:rPr>
        <w:t>第4章  调速系统及其附属设备技术条款</w:t>
      </w:r>
    </w:p>
    <w:p w14:paraId="48B708F6">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4.1 概述</w:t>
      </w:r>
    </w:p>
    <w:p w14:paraId="0F24B0E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 本节规定了调速系统及其附属设备设计、制造、工厂试验、现场试验等的具体要求。技术条款按1台套调速系统及其附属设备编写，同样适合于承包人提供的所有调速系统设备。</w:t>
      </w:r>
    </w:p>
    <w:p w14:paraId="3BB5975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 调速系统的材料、设计、制造、试验、供货和服务等除满足本节要求外，还应满足“一般规定和规范”的要求。</w:t>
      </w:r>
    </w:p>
    <w:p w14:paraId="02CD127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4.1.3 调速系统及其附属设备的安装、调试将在承包人服务人员的技术指导下，由其他承包商完成。</w:t>
      </w:r>
    </w:p>
    <w:p w14:paraId="42795619">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4.2 工作内容</w:t>
      </w:r>
    </w:p>
    <w:p w14:paraId="0CC4B40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 工作范围</w:t>
      </w:r>
    </w:p>
    <w:p w14:paraId="0733385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4.2.1.1 承包人应完成本合同设备的设计、制造、工厂试验、包装、运输、交货、技术资料的提供、技术服务和交接验收，并对上述工作范围内的工作负全部责任。</w:t>
      </w:r>
    </w:p>
    <w:p w14:paraId="67CB87C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4.2.1.2 完成与电站设计有关的设计联络；接受发包人代表参加工厂检验、监造、见证工厂试验和参加工厂验收。</w:t>
      </w:r>
    </w:p>
    <w:p w14:paraId="02C5530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4.2.1.3 在工厂和现场对发包人相关人员进行合同设备性能、组装、试验、运行和维护等方面的培训。</w:t>
      </w:r>
    </w:p>
    <w:p w14:paraId="37C3C5B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4.2.1.4 完成与其他承包人的配合、协调工作，指导合同设备交货以后的保管和安装、调试等。</w:t>
      </w:r>
    </w:p>
    <w:p w14:paraId="438434D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4.2.1.5 本合同文件中未说明的但与设计、制造、工厂试验、包装、运输、保管、安装、现场试验和运行维护等相关的工作，均按相关标准执行。</w:t>
      </w:r>
    </w:p>
    <w:p w14:paraId="48E399C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4.2.2 供货范围</w:t>
      </w:r>
    </w:p>
    <w:p w14:paraId="0377F01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1）调速系统</w:t>
      </w:r>
    </w:p>
    <w:p w14:paraId="689D913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调速系统必须是完整的成套配备，并至少应带有下列设备和零部件：</w:t>
      </w:r>
    </w:p>
    <w:p w14:paraId="1038AA8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调速器及其油压装置</w:t>
      </w:r>
    </w:p>
    <w:p w14:paraId="7E7F4AD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油泵控制箱</w:t>
      </w:r>
    </w:p>
    <w:p w14:paraId="75CD8E4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调速系统配套的自动化元件、液压元件、仪表及控制装置</w:t>
      </w:r>
    </w:p>
    <w:p w14:paraId="4CF2356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调速系统与导叶接力器及成套元件之间所有的连接管路、阀门、管件、支撑等</w:t>
      </w:r>
    </w:p>
    <w:p w14:paraId="09F5224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上述设备之间的电气连接导线、电缆、保护、控制和信号装置</w:t>
      </w:r>
    </w:p>
    <w:p w14:paraId="56FDCE9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2）规定的专用工器具</w:t>
      </w:r>
    </w:p>
    <w:p w14:paraId="1F60194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3）规定的调速系统备品备件</w:t>
      </w:r>
    </w:p>
    <w:p w14:paraId="4236F2C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4）任何上述1）~3）项中未列上，但又是保证调速系统安全、稳定、正常运行和维护、检修所必须的设备、元器件及零部件。</w:t>
      </w:r>
    </w:p>
    <w:p w14:paraId="0F613BF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4.2.3 供货界面</w:t>
      </w:r>
    </w:p>
    <w:p w14:paraId="047337A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土建侧——供货至设备基础板、基础螺栓；</w:t>
      </w:r>
    </w:p>
    <w:p w14:paraId="2E53736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水轮机侧——供货至接力器出口第一个接头处；</w:t>
      </w:r>
    </w:p>
    <w:p w14:paraId="31EFAF7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电气及监控侧——电缆供货至承包人提供的盘柜端子；</w:t>
      </w:r>
    </w:p>
    <w:p w14:paraId="5DC2D03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承包人提供的成套设备之间的所有阀门、管道、管件、连接电缆、自动化元件等电气及机械连接均属承包人成套供货范围。</w:t>
      </w:r>
    </w:p>
    <w:p w14:paraId="54AAE11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4.2.4 技术资料</w:t>
      </w:r>
    </w:p>
    <w:p w14:paraId="24388511">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承包人在各阶段应提供表4.2-1所列的技术资料。</w:t>
      </w:r>
    </w:p>
    <w:p w14:paraId="06DFCCF8">
      <w:pPr>
        <w:autoSpaceDE w:val="0"/>
        <w:autoSpaceDN w:val="0"/>
        <w:adjustRightInd w:val="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表4.2-1  提供的技术资料清单</w:t>
      </w:r>
    </w:p>
    <w:tbl>
      <w:tblPr>
        <w:tblStyle w:val="65"/>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3511"/>
        <w:gridCol w:w="1704"/>
        <w:gridCol w:w="1393"/>
        <w:gridCol w:w="1266"/>
      </w:tblGrid>
      <w:tr w14:paraId="0420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center"/>
          </w:tcPr>
          <w:p w14:paraId="0EA9CE0F">
            <w:pPr>
              <w:spacing w:line="360" w:lineRule="exact"/>
              <w:jc w:val="center"/>
              <w:rPr>
                <w:rFonts w:hint="eastAsia" w:ascii="宋体" w:hAnsi="宋体" w:eastAsia="宋体" w:cs="宋体"/>
                <w:szCs w:val="21"/>
              </w:rPr>
            </w:pPr>
            <w:r>
              <w:rPr>
                <w:rFonts w:hint="eastAsia" w:ascii="宋体" w:hAnsi="宋体" w:eastAsia="宋体" w:cs="宋体"/>
              </w:rPr>
              <w:t>序号</w:t>
            </w:r>
          </w:p>
        </w:tc>
        <w:tc>
          <w:tcPr>
            <w:tcW w:w="3511" w:type="dxa"/>
            <w:tcBorders>
              <w:top w:val="single" w:color="auto" w:sz="4" w:space="0"/>
              <w:left w:val="single" w:color="auto" w:sz="4" w:space="0"/>
              <w:bottom w:val="single" w:color="auto" w:sz="4" w:space="0"/>
              <w:right w:val="single" w:color="auto" w:sz="4" w:space="0"/>
            </w:tcBorders>
            <w:noWrap w:val="0"/>
            <w:vAlign w:val="center"/>
          </w:tcPr>
          <w:p w14:paraId="3A2BBEF4">
            <w:pPr>
              <w:spacing w:line="360" w:lineRule="exact"/>
              <w:jc w:val="center"/>
              <w:rPr>
                <w:rFonts w:hint="eastAsia" w:ascii="宋体" w:hAnsi="宋体" w:eastAsia="宋体" w:cs="宋体"/>
              </w:rPr>
            </w:pPr>
            <w:r>
              <w:rPr>
                <w:rFonts w:hint="eastAsia" w:ascii="宋体" w:hAnsi="宋体" w:eastAsia="宋体" w:cs="宋体"/>
              </w:rPr>
              <w:t>图纸名称</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75E1E11">
            <w:pPr>
              <w:spacing w:line="360" w:lineRule="exact"/>
              <w:jc w:val="center"/>
              <w:rPr>
                <w:rFonts w:hint="eastAsia" w:ascii="宋体" w:hAnsi="宋体" w:eastAsia="宋体" w:cs="宋体"/>
              </w:rPr>
            </w:pPr>
            <w:r>
              <w:rPr>
                <w:rFonts w:hint="eastAsia" w:ascii="宋体" w:hAnsi="宋体" w:eastAsia="宋体" w:cs="宋体"/>
              </w:rPr>
              <w:t>联络会资料</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6A1B805">
            <w:pPr>
              <w:spacing w:line="360" w:lineRule="exact"/>
              <w:jc w:val="center"/>
              <w:rPr>
                <w:rFonts w:hint="eastAsia" w:ascii="宋体" w:hAnsi="宋体" w:eastAsia="宋体" w:cs="宋体"/>
              </w:rPr>
            </w:pPr>
            <w:r>
              <w:rPr>
                <w:rFonts w:hint="eastAsia" w:ascii="宋体" w:hAnsi="宋体" w:eastAsia="宋体" w:cs="宋体"/>
              </w:rPr>
              <w:t>正式资料</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782AC42">
            <w:pPr>
              <w:spacing w:line="360" w:lineRule="exact"/>
              <w:jc w:val="center"/>
              <w:rPr>
                <w:rFonts w:hint="eastAsia" w:ascii="宋体" w:hAnsi="宋体" w:eastAsia="宋体" w:cs="宋体"/>
              </w:rPr>
            </w:pPr>
            <w:r>
              <w:rPr>
                <w:rFonts w:hint="eastAsia" w:ascii="宋体" w:hAnsi="宋体" w:eastAsia="宋体" w:cs="宋体"/>
              </w:rPr>
              <w:t>随机资料</w:t>
            </w:r>
          </w:p>
        </w:tc>
      </w:tr>
      <w:tr w14:paraId="5851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top"/>
          </w:tcPr>
          <w:p w14:paraId="7D73BD7D">
            <w:pPr>
              <w:spacing w:line="360" w:lineRule="exact"/>
              <w:jc w:val="center"/>
              <w:rPr>
                <w:rFonts w:hint="eastAsia" w:ascii="宋体" w:hAnsi="宋体" w:eastAsia="宋体" w:cs="宋体"/>
              </w:rPr>
            </w:pPr>
            <w:r>
              <w:rPr>
                <w:rFonts w:hint="eastAsia" w:ascii="宋体" w:hAnsi="宋体" w:eastAsia="宋体" w:cs="宋体"/>
              </w:rPr>
              <w:t>1</w:t>
            </w:r>
          </w:p>
        </w:tc>
        <w:tc>
          <w:tcPr>
            <w:tcW w:w="3511" w:type="dxa"/>
            <w:tcBorders>
              <w:top w:val="single" w:color="auto" w:sz="4" w:space="0"/>
              <w:left w:val="single" w:color="auto" w:sz="4" w:space="0"/>
              <w:bottom w:val="single" w:color="auto" w:sz="4" w:space="0"/>
              <w:right w:val="single" w:color="auto" w:sz="4" w:space="0"/>
            </w:tcBorders>
            <w:noWrap w:val="0"/>
            <w:vAlign w:val="top"/>
          </w:tcPr>
          <w:p w14:paraId="628B00D7">
            <w:pPr>
              <w:spacing w:line="360" w:lineRule="exact"/>
              <w:rPr>
                <w:rFonts w:hint="eastAsia" w:ascii="宋体" w:hAnsi="宋体" w:eastAsia="宋体" w:cs="宋体"/>
              </w:rPr>
            </w:pPr>
            <w:r>
              <w:rPr>
                <w:rFonts w:hint="eastAsia" w:ascii="宋体" w:hAnsi="宋体" w:eastAsia="宋体" w:cs="宋体"/>
              </w:rPr>
              <w:t>调速系统设备选择计算</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81A52B8">
            <w:pPr>
              <w:spacing w:line="360" w:lineRule="exact"/>
              <w:jc w:val="center"/>
              <w:rPr>
                <w:rFonts w:hint="eastAsia" w:ascii="宋体" w:hAnsi="宋体" w:eastAsia="宋体" w:cs="宋体"/>
              </w:rPr>
            </w:pPr>
            <w:r>
              <w:rPr>
                <w:rFonts w:hint="eastAsia" w:ascii="宋体" w:hAnsi="宋体" w:eastAsia="宋体" w:cs="宋体"/>
              </w:rPr>
              <w:t>√</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20C37D1">
            <w:pPr>
              <w:spacing w:line="360" w:lineRule="exact"/>
              <w:jc w:val="center"/>
              <w:rPr>
                <w:rFonts w:hint="eastAsia" w:ascii="宋体" w:hAnsi="宋体" w:eastAsia="宋体" w:cs="宋体"/>
              </w:rPr>
            </w:pPr>
            <w:r>
              <w:rPr>
                <w:rFonts w:hint="eastAsia" w:ascii="宋体" w:hAnsi="宋体" w:eastAsia="宋体" w:cs="宋体"/>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1EDCA33">
            <w:pPr>
              <w:spacing w:line="360" w:lineRule="exact"/>
              <w:jc w:val="center"/>
              <w:rPr>
                <w:rFonts w:hint="eastAsia" w:ascii="宋体" w:hAnsi="宋体" w:eastAsia="宋体" w:cs="宋体"/>
              </w:rPr>
            </w:pPr>
            <w:r>
              <w:rPr>
                <w:rFonts w:hint="eastAsia" w:ascii="宋体" w:hAnsi="宋体" w:eastAsia="宋体" w:cs="宋体"/>
              </w:rPr>
              <w:t>√</w:t>
            </w:r>
          </w:p>
        </w:tc>
      </w:tr>
      <w:tr w14:paraId="04B9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top"/>
          </w:tcPr>
          <w:p w14:paraId="0273841D">
            <w:pPr>
              <w:spacing w:line="320" w:lineRule="exact"/>
              <w:jc w:val="center"/>
              <w:rPr>
                <w:rFonts w:hint="eastAsia" w:ascii="宋体" w:hAnsi="宋体" w:eastAsia="宋体" w:cs="宋体"/>
              </w:rPr>
            </w:pPr>
            <w:r>
              <w:rPr>
                <w:rFonts w:hint="eastAsia" w:ascii="宋体" w:hAnsi="宋体" w:eastAsia="宋体" w:cs="宋体"/>
              </w:rPr>
              <w:t>2</w:t>
            </w:r>
          </w:p>
        </w:tc>
        <w:tc>
          <w:tcPr>
            <w:tcW w:w="3511" w:type="dxa"/>
            <w:tcBorders>
              <w:top w:val="single" w:color="auto" w:sz="4" w:space="0"/>
              <w:left w:val="single" w:color="auto" w:sz="4" w:space="0"/>
              <w:bottom w:val="single" w:color="auto" w:sz="4" w:space="0"/>
              <w:right w:val="single" w:color="auto" w:sz="4" w:space="0"/>
            </w:tcBorders>
            <w:noWrap w:val="0"/>
            <w:vAlign w:val="top"/>
          </w:tcPr>
          <w:p w14:paraId="309F345F">
            <w:pPr>
              <w:spacing w:line="320" w:lineRule="exact"/>
              <w:rPr>
                <w:rFonts w:hint="eastAsia" w:ascii="宋体" w:hAnsi="宋体" w:eastAsia="宋体" w:cs="宋体"/>
              </w:rPr>
            </w:pPr>
            <w:r>
              <w:rPr>
                <w:rFonts w:hint="eastAsia" w:ascii="宋体" w:hAnsi="宋体" w:eastAsia="宋体" w:cs="宋体"/>
              </w:rPr>
              <w:t>调速系统各设备外形尺寸及总体布置图</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3D1E37B">
            <w:pPr>
              <w:spacing w:line="320" w:lineRule="exact"/>
              <w:jc w:val="center"/>
              <w:rPr>
                <w:rFonts w:hint="eastAsia" w:ascii="宋体" w:hAnsi="宋体" w:eastAsia="宋体" w:cs="宋体"/>
              </w:rPr>
            </w:pPr>
            <w:r>
              <w:rPr>
                <w:rFonts w:hint="eastAsia" w:ascii="宋体" w:hAnsi="宋体" w:eastAsia="宋体" w:cs="宋体"/>
              </w:rPr>
              <w:t>√</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BC5F7F0">
            <w:pPr>
              <w:spacing w:line="320" w:lineRule="exact"/>
              <w:jc w:val="center"/>
              <w:rPr>
                <w:rFonts w:hint="eastAsia" w:ascii="宋体" w:hAnsi="宋体" w:eastAsia="宋体" w:cs="宋体"/>
              </w:rPr>
            </w:pPr>
            <w:r>
              <w:rPr>
                <w:rFonts w:hint="eastAsia" w:ascii="宋体" w:hAnsi="宋体" w:eastAsia="宋体" w:cs="宋体"/>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E0C91EA">
            <w:pPr>
              <w:spacing w:line="320" w:lineRule="exact"/>
              <w:jc w:val="center"/>
              <w:rPr>
                <w:rFonts w:hint="eastAsia" w:ascii="宋体" w:hAnsi="宋体" w:eastAsia="宋体" w:cs="宋体"/>
              </w:rPr>
            </w:pPr>
            <w:r>
              <w:rPr>
                <w:rFonts w:hint="eastAsia" w:ascii="宋体" w:hAnsi="宋体" w:eastAsia="宋体" w:cs="宋体"/>
              </w:rPr>
              <w:t>√</w:t>
            </w:r>
          </w:p>
        </w:tc>
      </w:tr>
      <w:tr w14:paraId="4730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top"/>
          </w:tcPr>
          <w:p w14:paraId="686E6286">
            <w:pPr>
              <w:spacing w:line="360" w:lineRule="exact"/>
              <w:jc w:val="center"/>
              <w:rPr>
                <w:rFonts w:hint="eastAsia" w:ascii="宋体" w:hAnsi="宋体" w:eastAsia="宋体" w:cs="宋体"/>
              </w:rPr>
            </w:pPr>
            <w:r>
              <w:rPr>
                <w:rFonts w:hint="eastAsia" w:ascii="宋体" w:hAnsi="宋体" w:eastAsia="宋体" w:cs="宋体"/>
              </w:rPr>
              <w:t>3</w:t>
            </w:r>
          </w:p>
        </w:tc>
        <w:tc>
          <w:tcPr>
            <w:tcW w:w="3511" w:type="dxa"/>
            <w:tcBorders>
              <w:top w:val="single" w:color="auto" w:sz="4" w:space="0"/>
              <w:left w:val="single" w:color="auto" w:sz="4" w:space="0"/>
              <w:bottom w:val="single" w:color="auto" w:sz="4" w:space="0"/>
              <w:right w:val="single" w:color="auto" w:sz="4" w:space="0"/>
            </w:tcBorders>
            <w:noWrap w:val="0"/>
            <w:vAlign w:val="top"/>
          </w:tcPr>
          <w:p w14:paraId="446EBF09">
            <w:pPr>
              <w:spacing w:line="360" w:lineRule="exact"/>
              <w:rPr>
                <w:rFonts w:hint="eastAsia" w:ascii="宋体" w:hAnsi="宋体" w:eastAsia="宋体" w:cs="宋体"/>
              </w:rPr>
            </w:pPr>
            <w:r>
              <w:rPr>
                <w:rFonts w:hint="eastAsia" w:ascii="宋体" w:hAnsi="宋体" w:eastAsia="宋体" w:cs="宋体"/>
              </w:rPr>
              <w:t>调速器系统设备基础图</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56E9F73">
            <w:pPr>
              <w:spacing w:line="360" w:lineRule="exact"/>
              <w:jc w:val="center"/>
              <w:rPr>
                <w:rFonts w:hint="eastAsia" w:ascii="宋体" w:hAnsi="宋体" w:eastAsia="宋体" w:cs="宋体"/>
              </w:rPr>
            </w:pPr>
            <w:r>
              <w:rPr>
                <w:rFonts w:hint="eastAsia" w:ascii="宋体" w:hAnsi="宋体" w:eastAsia="宋体" w:cs="宋体"/>
              </w:rPr>
              <w:t>√</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642492D">
            <w:pPr>
              <w:spacing w:line="360" w:lineRule="exact"/>
              <w:jc w:val="center"/>
              <w:rPr>
                <w:rFonts w:hint="eastAsia" w:ascii="宋体" w:hAnsi="宋体" w:eastAsia="宋体" w:cs="宋体"/>
              </w:rPr>
            </w:pPr>
            <w:r>
              <w:rPr>
                <w:rFonts w:hint="eastAsia" w:ascii="宋体" w:hAnsi="宋体" w:eastAsia="宋体" w:cs="宋体"/>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EF7CE5F">
            <w:pPr>
              <w:spacing w:line="360" w:lineRule="exact"/>
              <w:jc w:val="center"/>
              <w:rPr>
                <w:rFonts w:hint="eastAsia" w:ascii="宋体" w:hAnsi="宋体" w:eastAsia="宋体" w:cs="宋体"/>
              </w:rPr>
            </w:pPr>
            <w:r>
              <w:rPr>
                <w:rFonts w:hint="eastAsia" w:ascii="宋体" w:hAnsi="宋体" w:eastAsia="宋体" w:cs="宋体"/>
              </w:rPr>
              <w:t>√</w:t>
            </w:r>
          </w:p>
        </w:tc>
      </w:tr>
      <w:tr w14:paraId="55CC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top"/>
          </w:tcPr>
          <w:p w14:paraId="12FD9370">
            <w:pPr>
              <w:spacing w:line="360" w:lineRule="exact"/>
              <w:jc w:val="center"/>
              <w:rPr>
                <w:rFonts w:hint="eastAsia" w:ascii="宋体" w:hAnsi="宋体" w:eastAsia="宋体" w:cs="宋体"/>
              </w:rPr>
            </w:pPr>
            <w:r>
              <w:rPr>
                <w:rFonts w:hint="eastAsia" w:ascii="宋体" w:hAnsi="宋体" w:eastAsia="宋体" w:cs="宋体"/>
              </w:rPr>
              <w:t>4</w:t>
            </w:r>
          </w:p>
        </w:tc>
        <w:tc>
          <w:tcPr>
            <w:tcW w:w="3511" w:type="dxa"/>
            <w:tcBorders>
              <w:top w:val="single" w:color="auto" w:sz="4" w:space="0"/>
              <w:left w:val="single" w:color="auto" w:sz="4" w:space="0"/>
              <w:bottom w:val="single" w:color="auto" w:sz="4" w:space="0"/>
              <w:right w:val="single" w:color="auto" w:sz="4" w:space="0"/>
            </w:tcBorders>
            <w:noWrap w:val="0"/>
            <w:vAlign w:val="top"/>
          </w:tcPr>
          <w:p w14:paraId="19E0E30F">
            <w:pPr>
              <w:spacing w:line="360" w:lineRule="exact"/>
              <w:rPr>
                <w:rFonts w:hint="eastAsia" w:ascii="宋体" w:hAnsi="宋体" w:eastAsia="宋体" w:cs="宋体"/>
              </w:rPr>
            </w:pPr>
            <w:r>
              <w:rPr>
                <w:rFonts w:hint="eastAsia" w:ascii="宋体" w:hAnsi="宋体" w:eastAsia="宋体" w:cs="宋体"/>
              </w:rPr>
              <w:t>调速系统用油量和油压</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3F35CE9">
            <w:pPr>
              <w:spacing w:line="360" w:lineRule="exact"/>
              <w:jc w:val="center"/>
              <w:rPr>
                <w:rFonts w:hint="eastAsia" w:ascii="宋体" w:hAnsi="宋体" w:eastAsia="宋体" w:cs="宋体"/>
              </w:rPr>
            </w:pPr>
            <w:r>
              <w:rPr>
                <w:rFonts w:hint="eastAsia" w:ascii="宋体" w:hAnsi="宋体" w:eastAsia="宋体" w:cs="宋体"/>
              </w:rPr>
              <w:t>√</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57FF82F7">
            <w:pPr>
              <w:spacing w:line="360" w:lineRule="exact"/>
              <w:jc w:val="center"/>
              <w:rPr>
                <w:rFonts w:hint="eastAsia" w:ascii="宋体" w:hAnsi="宋体" w:eastAsia="宋体" w:cs="宋体"/>
              </w:rPr>
            </w:pPr>
            <w:r>
              <w:rPr>
                <w:rFonts w:hint="eastAsia" w:ascii="宋体" w:hAnsi="宋体" w:eastAsia="宋体" w:cs="宋体"/>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621A8B2">
            <w:pPr>
              <w:spacing w:line="360" w:lineRule="exact"/>
              <w:jc w:val="center"/>
              <w:rPr>
                <w:rFonts w:hint="eastAsia" w:ascii="宋体" w:hAnsi="宋体" w:eastAsia="宋体" w:cs="宋体"/>
              </w:rPr>
            </w:pPr>
            <w:r>
              <w:rPr>
                <w:rFonts w:hint="eastAsia" w:ascii="宋体" w:hAnsi="宋体" w:eastAsia="宋体" w:cs="宋体"/>
              </w:rPr>
              <w:t>√</w:t>
            </w:r>
          </w:p>
        </w:tc>
      </w:tr>
      <w:tr w14:paraId="697A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top"/>
          </w:tcPr>
          <w:p w14:paraId="7C16323B">
            <w:pPr>
              <w:spacing w:line="360" w:lineRule="exact"/>
              <w:jc w:val="center"/>
              <w:rPr>
                <w:rFonts w:hint="eastAsia" w:ascii="宋体" w:hAnsi="宋体" w:eastAsia="宋体" w:cs="宋体"/>
              </w:rPr>
            </w:pPr>
            <w:r>
              <w:rPr>
                <w:rFonts w:hint="eastAsia" w:ascii="宋体" w:hAnsi="宋体" w:eastAsia="宋体" w:cs="宋体"/>
              </w:rPr>
              <w:t>5</w:t>
            </w:r>
          </w:p>
        </w:tc>
        <w:tc>
          <w:tcPr>
            <w:tcW w:w="3511" w:type="dxa"/>
            <w:tcBorders>
              <w:top w:val="single" w:color="auto" w:sz="4" w:space="0"/>
              <w:left w:val="single" w:color="auto" w:sz="4" w:space="0"/>
              <w:bottom w:val="single" w:color="auto" w:sz="4" w:space="0"/>
              <w:right w:val="single" w:color="auto" w:sz="4" w:space="0"/>
            </w:tcBorders>
            <w:noWrap w:val="0"/>
            <w:vAlign w:val="top"/>
          </w:tcPr>
          <w:p w14:paraId="67643837">
            <w:pPr>
              <w:spacing w:line="360" w:lineRule="exact"/>
              <w:rPr>
                <w:rFonts w:hint="eastAsia" w:ascii="宋体" w:hAnsi="宋体" w:eastAsia="宋体" w:cs="宋体"/>
              </w:rPr>
            </w:pPr>
            <w:r>
              <w:rPr>
                <w:rFonts w:hint="eastAsia" w:ascii="宋体" w:hAnsi="宋体" w:eastAsia="宋体" w:cs="宋体"/>
              </w:rPr>
              <w:t>调速器机械液压系统图及简要说明</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9B80E0F">
            <w:pPr>
              <w:spacing w:line="360" w:lineRule="exact"/>
              <w:jc w:val="center"/>
              <w:rPr>
                <w:rFonts w:hint="eastAsia" w:ascii="宋体" w:hAnsi="宋体" w:eastAsia="宋体" w:cs="宋体"/>
              </w:rPr>
            </w:pPr>
            <w:r>
              <w:rPr>
                <w:rFonts w:hint="eastAsia" w:ascii="宋体" w:hAnsi="宋体" w:eastAsia="宋体" w:cs="宋体"/>
              </w:rPr>
              <w:t>√</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41856774">
            <w:pPr>
              <w:spacing w:line="360" w:lineRule="exact"/>
              <w:jc w:val="center"/>
              <w:rPr>
                <w:rFonts w:hint="eastAsia" w:ascii="宋体" w:hAnsi="宋体" w:eastAsia="宋体" w:cs="宋体"/>
              </w:rPr>
            </w:pPr>
            <w:r>
              <w:rPr>
                <w:rFonts w:hint="eastAsia" w:ascii="宋体" w:hAnsi="宋体" w:eastAsia="宋体" w:cs="宋体"/>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CEA52CF">
            <w:pPr>
              <w:spacing w:line="360" w:lineRule="exact"/>
              <w:jc w:val="center"/>
              <w:rPr>
                <w:rFonts w:hint="eastAsia" w:ascii="宋体" w:hAnsi="宋体" w:eastAsia="宋体" w:cs="宋体"/>
              </w:rPr>
            </w:pPr>
            <w:r>
              <w:rPr>
                <w:rFonts w:hint="eastAsia" w:ascii="宋体" w:hAnsi="宋体" w:eastAsia="宋体" w:cs="宋体"/>
              </w:rPr>
              <w:t>√</w:t>
            </w:r>
          </w:p>
        </w:tc>
      </w:tr>
      <w:tr w14:paraId="29FF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top"/>
          </w:tcPr>
          <w:p w14:paraId="791CAA84">
            <w:pPr>
              <w:spacing w:line="320" w:lineRule="exact"/>
              <w:jc w:val="center"/>
              <w:rPr>
                <w:rFonts w:hint="eastAsia" w:ascii="宋体" w:hAnsi="宋体" w:eastAsia="宋体" w:cs="宋体"/>
              </w:rPr>
            </w:pPr>
            <w:r>
              <w:rPr>
                <w:rFonts w:hint="eastAsia" w:ascii="宋体" w:hAnsi="宋体" w:eastAsia="宋体" w:cs="宋体"/>
              </w:rPr>
              <w:t>6</w:t>
            </w:r>
          </w:p>
        </w:tc>
        <w:tc>
          <w:tcPr>
            <w:tcW w:w="3511" w:type="dxa"/>
            <w:tcBorders>
              <w:top w:val="single" w:color="auto" w:sz="4" w:space="0"/>
              <w:left w:val="single" w:color="auto" w:sz="4" w:space="0"/>
              <w:bottom w:val="single" w:color="auto" w:sz="4" w:space="0"/>
              <w:right w:val="single" w:color="auto" w:sz="4" w:space="0"/>
            </w:tcBorders>
            <w:noWrap w:val="0"/>
            <w:vAlign w:val="top"/>
          </w:tcPr>
          <w:p w14:paraId="5FF95F8A">
            <w:pPr>
              <w:spacing w:line="320" w:lineRule="exact"/>
              <w:rPr>
                <w:rFonts w:hint="eastAsia" w:ascii="宋体" w:hAnsi="宋体" w:eastAsia="宋体" w:cs="宋体"/>
              </w:rPr>
            </w:pPr>
            <w:r>
              <w:rPr>
                <w:rFonts w:hint="eastAsia" w:ascii="宋体" w:hAnsi="宋体" w:eastAsia="宋体" w:cs="宋体"/>
              </w:rPr>
              <w:t>调速器电气系统框图、电气原理图及简要说明</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BECC39B">
            <w:pPr>
              <w:spacing w:line="320" w:lineRule="exact"/>
              <w:jc w:val="center"/>
              <w:rPr>
                <w:rFonts w:hint="eastAsia" w:ascii="宋体" w:hAnsi="宋体" w:eastAsia="宋体" w:cs="宋体"/>
              </w:rPr>
            </w:pPr>
            <w:r>
              <w:rPr>
                <w:rFonts w:hint="eastAsia" w:ascii="宋体" w:hAnsi="宋体" w:eastAsia="宋体" w:cs="宋体"/>
              </w:rPr>
              <w:t>√</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CFA01B8">
            <w:pPr>
              <w:spacing w:line="320" w:lineRule="exact"/>
              <w:jc w:val="center"/>
              <w:rPr>
                <w:rFonts w:hint="eastAsia" w:ascii="宋体" w:hAnsi="宋体" w:eastAsia="宋体" w:cs="宋体"/>
              </w:rPr>
            </w:pPr>
            <w:r>
              <w:rPr>
                <w:rFonts w:hint="eastAsia" w:ascii="宋体" w:hAnsi="宋体" w:eastAsia="宋体" w:cs="宋体"/>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7130329">
            <w:pPr>
              <w:spacing w:line="320" w:lineRule="exact"/>
              <w:jc w:val="center"/>
              <w:rPr>
                <w:rFonts w:hint="eastAsia" w:ascii="宋体" w:hAnsi="宋体" w:eastAsia="宋体" w:cs="宋体"/>
              </w:rPr>
            </w:pPr>
            <w:r>
              <w:rPr>
                <w:rFonts w:hint="eastAsia" w:ascii="宋体" w:hAnsi="宋体" w:eastAsia="宋体" w:cs="宋体"/>
              </w:rPr>
              <w:t>√</w:t>
            </w:r>
          </w:p>
        </w:tc>
      </w:tr>
      <w:tr w14:paraId="29FE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top"/>
          </w:tcPr>
          <w:p w14:paraId="11933CCB">
            <w:pPr>
              <w:spacing w:line="320" w:lineRule="exact"/>
              <w:jc w:val="center"/>
              <w:rPr>
                <w:rFonts w:hint="eastAsia" w:ascii="宋体" w:hAnsi="宋体" w:eastAsia="宋体" w:cs="宋体"/>
              </w:rPr>
            </w:pPr>
            <w:r>
              <w:rPr>
                <w:rFonts w:hint="eastAsia" w:ascii="宋体" w:hAnsi="宋体" w:eastAsia="宋体" w:cs="宋体"/>
              </w:rPr>
              <w:t>7</w:t>
            </w:r>
          </w:p>
        </w:tc>
        <w:tc>
          <w:tcPr>
            <w:tcW w:w="3511" w:type="dxa"/>
            <w:tcBorders>
              <w:top w:val="single" w:color="auto" w:sz="4" w:space="0"/>
              <w:left w:val="single" w:color="auto" w:sz="4" w:space="0"/>
              <w:bottom w:val="single" w:color="auto" w:sz="4" w:space="0"/>
              <w:right w:val="single" w:color="auto" w:sz="4" w:space="0"/>
            </w:tcBorders>
            <w:noWrap w:val="0"/>
            <w:vAlign w:val="top"/>
          </w:tcPr>
          <w:p w14:paraId="5BB631E2">
            <w:pPr>
              <w:spacing w:line="320" w:lineRule="exact"/>
              <w:rPr>
                <w:rFonts w:hint="eastAsia" w:ascii="宋体" w:hAnsi="宋体" w:eastAsia="宋体" w:cs="宋体"/>
              </w:rPr>
            </w:pPr>
            <w:r>
              <w:rPr>
                <w:rFonts w:hint="eastAsia" w:ascii="宋体" w:hAnsi="宋体" w:eastAsia="宋体" w:cs="宋体"/>
              </w:rPr>
              <w:t>电气柜布置图、结构图、内部接线图、端子接线图及安装图</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82C24FD">
            <w:pPr>
              <w:spacing w:line="320" w:lineRule="exact"/>
              <w:jc w:val="center"/>
              <w:rPr>
                <w:rFonts w:hint="eastAsia" w:ascii="宋体" w:hAnsi="宋体" w:eastAsia="宋体" w:cs="宋体"/>
              </w:rPr>
            </w:pPr>
            <w:r>
              <w:rPr>
                <w:rFonts w:hint="eastAsia" w:ascii="宋体" w:hAnsi="宋体" w:eastAsia="宋体" w:cs="宋体"/>
              </w:rPr>
              <w:t>√</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4FD1FAEA">
            <w:pPr>
              <w:spacing w:line="320" w:lineRule="exact"/>
              <w:jc w:val="center"/>
              <w:rPr>
                <w:rFonts w:hint="eastAsia" w:ascii="宋体" w:hAnsi="宋体" w:eastAsia="宋体" w:cs="宋体"/>
              </w:rPr>
            </w:pPr>
            <w:r>
              <w:rPr>
                <w:rFonts w:hint="eastAsia" w:ascii="宋体" w:hAnsi="宋体" w:eastAsia="宋体" w:cs="宋体"/>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8DF9813">
            <w:pPr>
              <w:spacing w:line="320" w:lineRule="exact"/>
              <w:jc w:val="center"/>
              <w:rPr>
                <w:rFonts w:hint="eastAsia" w:ascii="宋体" w:hAnsi="宋体" w:eastAsia="宋体" w:cs="宋体"/>
              </w:rPr>
            </w:pPr>
            <w:r>
              <w:rPr>
                <w:rFonts w:hint="eastAsia" w:ascii="宋体" w:hAnsi="宋体" w:eastAsia="宋体" w:cs="宋体"/>
              </w:rPr>
              <w:t>√</w:t>
            </w:r>
          </w:p>
        </w:tc>
      </w:tr>
      <w:tr w14:paraId="7016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top"/>
          </w:tcPr>
          <w:p w14:paraId="6CD96E9E">
            <w:pPr>
              <w:spacing w:line="360" w:lineRule="exact"/>
              <w:jc w:val="center"/>
              <w:rPr>
                <w:rFonts w:hint="eastAsia" w:ascii="宋体" w:hAnsi="宋体" w:eastAsia="宋体" w:cs="宋体"/>
              </w:rPr>
            </w:pPr>
            <w:r>
              <w:rPr>
                <w:rFonts w:hint="eastAsia" w:ascii="宋体" w:hAnsi="宋体" w:eastAsia="宋体" w:cs="宋体"/>
              </w:rPr>
              <w:t>8</w:t>
            </w:r>
          </w:p>
        </w:tc>
        <w:tc>
          <w:tcPr>
            <w:tcW w:w="3511" w:type="dxa"/>
            <w:tcBorders>
              <w:top w:val="single" w:color="auto" w:sz="4" w:space="0"/>
              <w:left w:val="single" w:color="auto" w:sz="4" w:space="0"/>
              <w:bottom w:val="single" w:color="auto" w:sz="4" w:space="0"/>
              <w:right w:val="single" w:color="auto" w:sz="4" w:space="0"/>
            </w:tcBorders>
            <w:noWrap w:val="0"/>
            <w:vAlign w:val="top"/>
          </w:tcPr>
          <w:p w14:paraId="387613A6">
            <w:pPr>
              <w:spacing w:line="360" w:lineRule="exact"/>
              <w:rPr>
                <w:rFonts w:hint="eastAsia" w:ascii="宋体" w:hAnsi="宋体" w:eastAsia="宋体" w:cs="宋体"/>
              </w:rPr>
            </w:pPr>
            <w:r>
              <w:rPr>
                <w:rFonts w:hint="eastAsia" w:ascii="宋体" w:hAnsi="宋体" w:eastAsia="宋体" w:cs="宋体"/>
              </w:rPr>
              <w:t>调速器技术条件</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87993A">
            <w:pPr>
              <w:spacing w:line="360" w:lineRule="exact"/>
              <w:jc w:val="center"/>
              <w:rPr>
                <w:rFonts w:hint="eastAsia" w:ascii="宋体" w:hAnsi="宋体" w:eastAsia="宋体" w:cs="宋体"/>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68696D1">
            <w:pPr>
              <w:spacing w:line="360" w:lineRule="exact"/>
              <w:jc w:val="center"/>
              <w:rPr>
                <w:rFonts w:hint="eastAsia" w:ascii="宋体" w:hAnsi="宋体" w:eastAsia="宋体" w:cs="宋体"/>
              </w:rPr>
            </w:pPr>
            <w:r>
              <w:rPr>
                <w:rFonts w:hint="eastAsia" w:ascii="宋体" w:hAnsi="宋体" w:eastAsia="宋体" w:cs="宋体"/>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7184381">
            <w:pPr>
              <w:spacing w:line="360" w:lineRule="exact"/>
              <w:jc w:val="center"/>
              <w:rPr>
                <w:rFonts w:hint="eastAsia" w:ascii="宋体" w:hAnsi="宋体" w:eastAsia="宋体" w:cs="宋体"/>
              </w:rPr>
            </w:pPr>
            <w:r>
              <w:rPr>
                <w:rFonts w:hint="eastAsia" w:ascii="宋体" w:hAnsi="宋体" w:eastAsia="宋体" w:cs="宋体"/>
              </w:rPr>
              <w:t>√</w:t>
            </w:r>
          </w:p>
        </w:tc>
      </w:tr>
      <w:tr w14:paraId="4C0D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top"/>
          </w:tcPr>
          <w:p w14:paraId="0756C2A5">
            <w:pPr>
              <w:spacing w:line="360" w:lineRule="exact"/>
              <w:jc w:val="center"/>
              <w:rPr>
                <w:rFonts w:hint="eastAsia" w:ascii="宋体" w:hAnsi="宋体" w:eastAsia="宋体" w:cs="宋体"/>
              </w:rPr>
            </w:pPr>
            <w:r>
              <w:rPr>
                <w:rFonts w:hint="eastAsia" w:ascii="宋体" w:hAnsi="宋体" w:eastAsia="宋体" w:cs="宋体"/>
              </w:rPr>
              <w:t>9</w:t>
            </w:r>
          </w:p>
        </w:tc>
        <w:tc>
          <w:tcPr>
            <w:tcW w:w="3511" w:type="dxa"/>
            <w:tcBorders>
              <w:top w:val="single" w:color="auto" w:sz="4" w:space="0"/>
              <w:left w:val="single" w:color="auto" w:sz="4" w:space="0"/>
              <w:bottom w:val="single" w:color="auto" w:sz="4" w:space="0"/>
              <w:right w:val="single" w:color="auto" w:sz="4" w:space="0"/>
            </w:tcBorders>
            <w:noWrap w:val="0"/>
            <w:vAlign w:val="top"/>
          </w:tcPr>
          <w:p w14:paraId="42CEC392">
            <w:pPr>
              <w:spacing w:line="360" w:lineRule="exact"/>
              <w:rPr>
                <w:rFonts w:hint="eastAsia" w:ascii="宋体" w:hAnsi="宋体" w:eastAsia="宋体" w:cs="宋体"/>
              </w:rPr>
            </w:pPr>
            <w:r>
              <w:rPr>
                <w:rFonts w:hint="eastAsia" w:ascii="宋体" w:hAnsi="宋体" w:eastAsia="宋体" w:cs="宋体"/>
              </w:rPr>
              <w:t>调速器调试及使用说明书</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8243FE2">
            <w:pPr>
              <w:spacing w:line="360" w:lineRule="exact"/>
              <w:jc w:val="center"/>
              <w:rPr>
                <w:rFonts w:hint="eastAsia" w:ascii="宋体" w:hAnsi="宋体" w:eastAsia="宋体" w:cs="宋体"/>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33DCA1C">
            <w:pPr>
              <w:spacing w:line="360" w:lineRule="exact"/>
              <w:jc w:val="center"/>
              <w:rPr>
                <w:rFonts w:hint="eastAsia" w:ascii="宋体" w:hAnsi="宋体" w:eastAsia="宋体" w:cs="宋体"/>
              </w:rPr>
            </w:pPr>
            <w:r>
              <w:rPr>
                <w:rFonts w:hint="eastAsia" w:ascii="宋体" w:hAnsi="宋体" w:eastAsia="宋体" w:cs="宋体"/>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2FD5409">
            <w:pPr>
              <w:spacing w:line="360" w:lineRule="exact"/>
              <w:jc w:val="center"/>
              <w:rPr>
                <w:rFonts w:hint="eastAsia" w:ascii="宋体" w:hAnsi="宋体" w:eastAsia="宋体" w:cs="宋体"/>
              </w:rPr>
            </w:pPr>
            <w:r>
              <w:rPr>
                <w:rFonts w:hint="eastAsia" w:ascii="宋体" w:hAnsi="宋体" w:eastAsia="宋体" w:cs="宋体"/>
              </w:rPr>
              <w:t>√</w:t>
            </w:r>
          </w:p>
        </w:tc>
      </w:tr>
      <w:tr w14:paraId="25D6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top"/>
          </w:tcPr>
          <w:p w14:paraId="51F204C2">
            <w:pPr>
              <w:spacing w:line="360" w:lineRule="exact"/>
              <w:jc w:val="center"/>
              <w:rPr>
                <w:rFonts w:hint="eastAsia" w:ascii="宋体" w:hAnsi="宋体" w:eastAsia="宋体" w:cs="宋体"/>
              </w:rPr>
            </w:pPr>
            <w:r>
              <w:rPr>
                <w:rFonts w:hint="eastAsia" w:ascii="宋体" w:hAnsi="宋体" w:eastAsia="宋体" w:cs="宋体"/>
              </w:rPr>
              <w:t>10</w:t>
            </w:r>
          </w:p>
        </w:tc>
        <w:tc>
          <w:tcPr>
            <w:tcW w:w="3511" w:type="dxa"/>
            <w:tcBorders>
              <w:top w:val="single" w:color="auto" w:sz="4" w:space="0"/>
              <w:left w:val="single" w:color="auto" w:sz="4" w:space="0"/>
              <w:bottom w:val="single" w:color="auto" w:sz="4" w:space="0"/>
              <w:right w:val="single" w:color="auto" w:sz="4" w:space="0"/>
            </w:tcBorders>
            <w:noWrap w:val="0"/>
            <w:vAlign w:val="top"/>
          </w:tcPr>
          <w:p w14:paraId="5F047735">
            <w:pPr>
              <w:spacing w:line="360" w:lineRule="exact"/>
              <w:rPr>
                <w:rFonts w:hint="eastAsia" w:ascii="宋体" w:hAnsi="宋体" w:eastAsia="宋体" w:cs="宋体"/>
              </w:rPr>
            </w:pPr>
            <w:r>
              <w:rPr>
                <w:rFonts w:hint="eastAsia" w:ascii="宋体" w:hAnsi="宋体" w:eastAsia="宋体" w:cs="宋体"/>
              </w:rPr>
              <w:t>调速器厂内产品检查及试验记录卡</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0C8B9BE">
            <w:pPr>
              <w:spacing w:line="360" w:lineRule="exact"/>
              <w:jc w:val="center"/>
              <w:rPr>
                <w:rFonts w:hint="eastAsia" w:ascii="宋体" w:hAnsi="宋体" w:eastAsia="宋体" w:cs="宋体"/>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0B273CA">
            <w:pPr>
              <w:spacing w:line="360" w:lineRule="exact"/>
              <w:jc w:val="center"/>
              <w:rPr>
                <w:rFonts w:hint="eastAsia" w:ascii="宋体" w:hAnsi="宋体" w:eastAsia="宋体" w:cs="宋体"/>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E8B33CE">
            <w:pPr>
              <w:spacing w:line="360" w:lineRule="exact"/>
              <w:jc w:val="center"/>
              <w:rPr>
                <w:rFonts w:hint="eastAsia" w:ascii="宋体" w:hAnsi="宋体" w:eastAsia="宋体" w:cs="宋体"/>
              </w:rPr>
            </w:pPr>
            <w:r>
              <w:rPr>
                <w:rFonts w:hint="eastAsia" w:ascii="宋体" w:hAnsi="宋体" w:eastAsia="宋体" w:cs="宋体"/>
              </w:rPr>
              <w:t>√</w:t>
            </w:r>
          </w:p>
        </w:tc>
      </w:tr>
      <w:tr w14:paraId="5030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left w:val="single" w:color="auto" w:sz="4" w:space="0"/>
              <w:bottom w:val="single" w:color="auto" w:sz="4" w:space="0"/>
              <w:right w:val="single" w:color="auto" w:sz="4" w:space="0"/>
            </w:tcBorders>
            <w:noWrap w:val="0"/>
            <w:vAlign w:val="top"/>
          </w:tcPr>
          <w:p w14:paraId="1076ED2F">
            <w:pPr>
              <w:spacing w:line="360" w:lineRule="exact"/>
              <w:jc w:val="center"/>
              <w:rPr>
                <w:rFonts w:hint="eastAsia" w:ascii="宋体" w:hAnsi="宋体" w:eastAsia="宋体" w:cs="宋体"/>
              </w:rPr>
            </w:pPr>
            <w:r>
              <w:rPr>
                <w:rFonts w:hint="eastAsia" w:ascii="宋体" w:hAnsi="宋体" w:eastAsia="宋体" w:cs="宋体"/>
              </w:rPr>
              <w:t>11</w:t>
            </w:r>
          </w:p>
        </w:tc>
        <w:tc>
          <w:tcPr>
            <w:tcW w:w="3511" w:type="dxa"/>
            <w:tcBorders>
              <w:top w:val="single" w:color="auto" w:sz="4" w:space="0"/>
              <w:left w:val="single" w:color="auto" w:sz="4" w:space="0"/>
              <w:bottom w:val="single" w:color="auto" w:sz="4" w:space="0"/>
              <w:right w:val="single" w:color="auto" w:sz="4" w:space="0"/>
            </w:tcBorders>
            <w:noWrap w:val="0"/>
            <w:vAlign w:val="center"/>
          </w:tcPr>
          <w:p w14:paraId="05B5ADF4">
            <w:pPr>
              <w:spacing w:line="360" w:lineRule="exact"/>
              <w:rPr>
                <w:rFonts w:hint="eastAsia" w:ascii="宋体" w:hAnsi="宋体" w:eastAsia="宋体" w:cs="宋体"/>
              </w:rPr>
            </w:pPr>
            <w:r>
              <w:rPr>
                <w:rFonts w:hint="eastAsia" w:ascii="宋体" w:hAnsi="宋体" w:eastAsia="宋体" w:cs="宋体"/>
              </w:rPr>
              <w:t>图纸资料目录</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D57FA01">
            <w:pPr>
              <w:spacing w:line="360" w:lineRule="exact"/>
              <w:jc w:val="center"/>
              <w:rPr>
                <w:rFonts w:hint="eastAsia" w:ascii="宋体" w:hAnsi="宋体" w:eastAsia="宋体" w:cs="宋体"/>
              </w:rPr>
            </w:pPr>
            <w:r>
              <w:rPr>
                <w:rFonts w:hint="eastAsia" w:ascii="宋体" w:hAnsi="宋体" w:eastAsia="宋体" w:cs="宋体"/>
              </w:rPr>
              <w:t>√</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07C52024">
            <w:pPr>
              <w:spacing w:line="360" w:lineRule="exact"/>
              <w:jc w:val="center"/>
              <w:rPr>
                <w:rFonts w:hint="eastAsia" w:ascii="宋体" w:hAnsi="宋体" w:eastAsia="宋体" w:cs="宋体"/>
              </w:rPr>
            </w:pPr>
            <w:r>
              <w:rPr>
                <w:rFonts w:hint="eastAsia" w:ascii="宋体" w:hAnsi="宋体" w:eastAsia="宋体" w:cs="宋体"/>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7A1AD64">
            <w:pPr>
              <w:spacing w:line="360" w:lineRule="exact"/>
              <w:jc w:val="center"/>
              <w:rPr>
                <w:rFonts w:hint="eastAsia" w:ascii="宋体" w:hAnsi="宋体" w:eastAsia="宋体" w:cs="宋体"/>
              </w:rPr>
            </w:pPr>
            <w:r>
              <w:rPr>
                <w:rFonts w:hint="eastAsia" w:ascii="宋体" w:hAnsi="宋体" w:eastAsia="宋体" w:cs="宋体"/>
              </w:rPr>
              <w:t>√</w:t>
            </w:r>
          </w:p>
        </w:tc>
      </w:tr>
    </w:tbl>
    <w:p w14:paraId="31783151">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4.3 标准</w:t>
      </w:r>
    </w:p>
    <w:p w14:paraId="172E527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调速系统设计、制造、安装、调试等应满足以下标准规范要求（不限于）。</w:t>
      </w:r>
    </w:p>
    <w:tbl>
      <w:tblPr>
        <w:tblStyle w:val="65"/>
        <w:tblW w:w="5000"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029"/>
        <w:gridCol w:w="6364"/>
      </w:tblGrid>
      <w:tr w14:paraId="118F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467E1A3D">
            <w:pPr>
              <w:widowControl/>
              <w:snapToGrid w:val="0"/>
              <w:jc w:val="left"/>
              <w:rPr>
                <w:rFonts w:hint="eastAsia" w:ascii="宋体" w:hAnsi="宋体" w:eastAsia="宋体" w:cs="宋体"/>
                <w:szCs w:val="21"/>
              </w:rPr>
            </w:pPr>
            <w:r>
              <w:rPr>
                <w:rFonts w:hint="eastAsia" w:ascii="宋体" w:hAnsi="宋体" w:eastAsia="宋体" w:cs="宋体"/>
              </w:rPr>
              <w:t>GB/T9652.1</w:t>
            </w:r>
          </w:p>
        </w:tc>
        <w:tc>
          <w:tcPr>
            <w:tcW w:w="6364" w:type="dxa"/>
            <w:tcBorders>
              <w:top w:val="single" w:color="auto" w:sz="4" w:space="0"/>
              <w:left w:val="nil"/>
              <w:bottom w:val="single" w:color="auto" w:sz="4" w:space="0"/>
              <w:right w:val="single" w:color="auto" w:sz="4" w:space="0"/>
            </w:tcBorders>
            <w:noWrap w:val="0"/>
            <w:vAlign w:val="center"/>
          </w:tcPr>
          <w:p w14:paraId="5815A9ED">
            <w:pPr>
              <w:widowControl/>
              <w:snapToGrid w:val="0"/>
              <w:jc w:val="left"/>
              <w:rPr>
                <w:rFonts w:hint="eastAsia" w:ascii="宋体" w:hAnsi="宋体" w:eastAsia="宋体" w:cs="宋体"/>
              </w:rPr>
            </w:pPr>
            <w:r>
              <w:rPr>
                <w:rFonts w:hint="eastAsia" w:ascii="宋体" w:hAnsi="宋体" w:eastAsia="宋体" w:cs="宋体"/>
              </w:rPr>
              <w:t>水轮机调速系统技术条件</w:t>
            </w:r>
          </w:p>
        </w:tc>
      </w:tr>
      <w:tr w14:paraId="48C2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3C305FEF">
            <w:pPr>
              <w:widowControl/>
              <w:snapToGrid w:val="0"/>
              <w:jc w:val="left"/>
              <w:rPr>
                <w:rFonts w:hint="eastAsia" w:ascii="宋体" w:hAnsi="宋体" w:eastAsia="宋体" w:cs="宋体"/>
              </w:rPr>
            </w:pPr>
            <w:r>
              <w:rPr>
                <w:rFonts w:hint="eastAsia" w:ascii="宋体" w:hAnsi="宋体" w:eastAsia="宋体" w:cs="宋体"/>
                <w:kern w:val="0"/>
              </w:rPr>
              <w:t>GB/T9652.2</w:t>
            </w:r>
          </w:p>
        </w:tc>
        <w:tc>
          <w:tcPr>
            <w:tcW w:w="6364" w:type="dxa"/>
            <w:tcBorders>
              <w:top w:val="single" w:color="auto" w:sz="4" w:space="0"/>
              <w:left w:val="nil"/>
              <w:bottom w:val="single" w:color="auto" w:sz="4" w:space="0"/>
              <w:right w:val="single" w:color="auto" w:sz="4" w:space="0"/>
            </w:tcBorders>
            <w:noWrap w:val="0"/>
            <w:vAlign w:val="center"/>
          </w:tcPr>
          <w:p w14:paraId="2F76F163">
            <w:pPr>
              <w:widowControl/>
              <w:snapToGrid w:val="0"/>
              <w:jc w:val="left"/>
              <w:rPr>
                <w:rFonts w:hint="eastAsia" w:ascii="宋体" w:hAnsi="宋体" w:eastAsia="宋体" w:cs="宋体"/>
              </w:rPr>
            </w:pPr>
            <w:r>
              <w:rPr>
                <w:rFonts w:hint="eastAsia" w:ascii="宋体" w:hAnsi="宋体" w:eastAsia="宋体" w:cs="宋体"/>
                <w:kern w:val="0"/>
              </w:rPr>
              <w:t>水轮机调速系统试验</w:t>
            </w:r>
          </w:p>
        </w:tc>
      </w:tr>
      <w:tr w14:paraId="522E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156744D6">
            <w:pPr>
              <w:widowControl/>
              <w:snapToGrid w:val="0"/>
              <w:jc w:val="left"/>
              <w:rPr>
                <w:rFonts w:hint="eastAsia" w:ascii="宋体" w:hAnsi="宋体" w:eastAsia="宋体" w:cs="宋体"/>
                <w:kern w:val="0"/>
              </w:rPr>
            </w:pPr>
            <w:r>
              <w:rPr>
                <w:rFonts w:hint="eastAsia" w:ascii="宋体" w:hAnsi="宋体" w:eastAsia="宋体" w:cs="宋体"/>
              </w:rPr>
              <w:t>SL755</w:t>
            </w:r>
          </w:p>
        </w:tc>
        <w:tc>
          <w:tcPr>
            <w:tcW w:w="6364" w:type="dxa"/>
            <w:tcBorders>
              <w:top w:val="single" w:color="auto" w:sz="4" w:space="0"/>
              <w:left w:val="nil"/>
              <w:bottom w:val="single" w:color="auto" w:sz="4" w:space="0"/>
              <w:right w:val="single" w:color="auto" w:sz="4" w:space="0"/>
            </w:tcBorders>
            <w:noWrap w:val="0"/>
            <w:vAlign w:val="center"/>
          </w:tcPr>
          <w:p w14:paraId="1A51F49C">
            <w:pPr>
              <w:widowControl/>
              <w:snapToGrid w:val="0"/>
              <w:jc w:val="left"/>
              <w:rPr>
                <w:rFonts w:hint="eastAsia" w:ascii="宋体" w:hAnsi="宋体" w:eastAsia="宋体" w:cs="宋体"/>
                <w:kern w:val="0"/>
              </w:rPr>
            </w:pPr>
            <w:r>
              <w:rPr>
                <w:rFonts w:hint="eastAsia" w:ascii="宋体" w:hAnsi="宋体" w:eastAsia="宋体" w:cs="宋体"/>
              </w:rPr>
              <w:t>中小型水轮机调节系统技术规程</w:t>
            </w:r>
          </w:p>
        </w:tc>
      </w:tr>
      <w:tr w14:paraId="0D8F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38D681E3">
            <w:pPr>
              <w:widowControl/>
              <w:snapToGrid w:val="0"/>
              <w:jc w:val="left"/>
              <w:rPr>
                <w:rFonts w:hint="eastAsia" w:ascii="宋体" w:hAnsi="宋体" w:eastAsia="宋体" w:cs="宋体"/>
                <w:kern w:val="0"/>
              </w:rPr>
            </w:pPr>
            <w:r>
              <w:rPr>
                <w:rFonts w:hint="eastAsia" w:ascii="宋体" w:hAnsi="宋体" w:eastAsia="宋体" w:cs="宋体"/>
              </w:rPr>
              <w:t>SL615</w:t>
            </w:r>
          </w:p>
        </w:tc>
        <w:tc>
          <w:tcPr>
            <w:tcW w:w="6364" w:type="dxa"/>
            <w:tcBorders>
              <w:top w:val="single" w:color="auto" w:sz="4" w:space="0"/>
              <w:left w:val="nil"/>
              <w:bottom w:val="single" w:color="auto" w:sz="4" w:space="0"/>
              <w:right w:val="single" w:color="auto" w:sz="4" w:space="0"/>
            </w:tcBorders>
            <w:noWrap w:val="0"/>
            <w:vAlign w:val="center"/>
          </w:tcPr>
          <w:p w14:paraId="7C3E12F1">
            <w:pPr>
              <w:widowControl/>
              <w:snapToGrid w:val="0"/>
              <w:jc w:val="left"/>
              <w:rPr>
                <w:rFonts w:hint="eastAsia" w:ascii="宋体" w:hAnsi="宋体" w:eastAsia="宋体" w:cs="宋体"/>
                <w:kern w:val="0"/>
              </w:rPr>
            </w:pPr>
            <w:r>
              <w:rPr>
                <w:rFonts w:hint="eastAsia" w:ascii="宋体" w:hAnsi="宋体" w:eastAsia="宋体" w:cs="宋体"/>
              </w:rPr>
              <w:t>水轮机电液调节系统及装置基本技术条件</w:t>
            </w:r>
          </w:p>
        </w:tc>
      </w:tr>
      <w:tr w14:paraId="1893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6CDB75E6">
            <w:pPr>
              <w:widowControl/>
              <w:snapToGrid w:val="0"/>
              <w:jc w:val="left"/>
              <w:rPr>
                <w:rFonts w:hint="eastAsia" w:ascii="宋体" w:hAnsi="宋体" w:eastAsia="宋体" w:cs="宋体"/>
                <w:kern w:val="0"/>
              </w:rPr>
            </w:pPr>
            <w:r>
              <w:rPr>
                <w:rFonts w:hint="eastAsia" w:ascii="宋体" w:hAnsi="宋体" w:eastAsia="宋体" w:cs="宋体"/>
                <w:kern w:val="0"/>
              </w:rPr>
              <w:t>NB/T35004</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7D4317ED">
            <w:pPr>
              <w:widowControl/>
              <w:snapToGrid w:val="0"/>
              <w:jc w:val="left"/>
              <w:rPr>
                <w:rFonts w:hint="eastAsia" w:ascii="宋体" w:hAnsi="宋体" w:eastAsia="宋体" w:cs="宋体"/>
                <w:kern w:val="0"/>
              </w:rPr>
            </w:pPr>
            <w:r>
              <w:rPr>
                <w:rFonts w:hint="eastAsia" w:ascii="宋体" w:hAnsi="宋体" w:eastAsia="宋体" w:cs="宋体"/>
                <w:kern w:val="0"/>
              </w:rPr>
              <w:t>水力发电厂自动化设计技术规范</w:t>
            </w:r>
          </w:p>
        </w:tc>
      </w:tr>
      <w:tr w14:paraId="1B8A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04B35C76">
            <w:pPr>
              <w:widowControl/>
              <w:snapToGrid w:val="0"/>
              <w:jc w:val="left"/>
              <w:rPr>
                <w:rFonts w:hint="eastAsia" w:ascii="宋体" w:hAnsi="宋体" w:eastAsia="宋体" w:cs="宋体"/>
              </w:rPr>
            </w:pPr>
            <w:r>
              <w:rPr>
                <w:rFonts w:hint="eastAsia" w:ascii="宋体" w:hAnsi="宋体" w:eastAsia="宋体" w:cs="宋体"/>
                <w:kern w:val="0"/>
              </w:rPr>
              <w:t>NB/T10878</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12CF68AC">
            <w:pPr>
              <w:widowControl/>
              <w:snapToGrid w:val="0"/>
              <w:jc w:val="left"/>
              <w:rPr>
                <w:rFonts w:hint="eastAsia" w:ascii="宋体" w:hAnsi="宋体" w:eastAsia="宋体" w:cs="宋体"/>
              </w:rPr>
            </w:pPr>
            <w:r>
              <w:rPr>
                <w:rFonts w:hint="eastAsia" w:ascii="宋体" w:hAnsi="宋体" w:eastAsia="宋体" w:cs="宋体"/>
                <w:kern w:val="0"/>
              </w:rPr>
              <w:t>水力发电厂机电设计规范</w:t>
            </w:r>
          </w:p>
        </w:tc>
      </w:tr>
      <w:tr w14:paraId="18E1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19CE410E">
            <w:pPr>
              <w:widowControl/>
              <w:snapToGrid w:val="0"/>
              <w:jc w:val="left"/>
              <w:rPr>
                <w:rFonts w:hint="eastAsia" w:ascii="宋体" w:hAnsi="宋体" w:eastAsia="宋体" w:cs="宋体"/>
              </w:rPr>
            </w:pPr>
            <w:r>
              <w:rPr>
                <w:rFonts w:hint="eastAsia" w:ascii="宋体" w:hAnsi="宋体" w:eastAsia="宋体" w:cs="宋体"/>
                <w:kern w:val="0"/>
              </w:rPr>
              <w:t>NB/T35088</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07A07C7D">
            <w:pPr>
              <w:widowControl/>
              <w:snapToGrid w:val="0"/>
              <w:jc w:val="left"/>
              <w:rPr>
                <w:rFonts w:hint="eastAsia" w:ascii="宋体" w:hAnsi="宋体" w:eastAsia="宋体" w:cs="宋体"/>
              </w:rPr>
            </w:pPr>
            <w:r>
              <w:rPr>
                <w:rFonts w:hint="eastAsia" w:ascii="宋体" w:hAnsi="宋体" w:eastAsia="宋体" w:cs="宋体"/>
                <w:kern w:val="0"/>
              </w:rPr>
              <w:t>水电机组机械液压过速保护装置基本技术条件</w:t>
            </w:r>
          </w:p>
        </w:tc>
      </w:tr>
      <w:tr w14:paraId="7A0D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0DD436AB">
            <w:pPr>
              <w:widowControl/>
              <w:snapToGrid w:val="0"/>
              <w:jc w:val="left"/>
              <w:rPr>
                <w:rFonts w:hint="eastAsia" w:ascii="宋体" w:hAnsi="宋体" w:eastAsia="宋体" w:cs="宋体"/>
              </w:rPr>
            </w:pPr>
            <w:r>
              <w:rPr>
                <w:rFonts w:hint="eastAsia" w:ascii="宋体" w:hAnsi="宋体" w:eastAsia="宋体" w:cs="宋体"/>
              </w:rPr>
              <w:t>GB/T8564</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7B30EB21">
            <w:pPr>
              <w:widowControl/>
              <w:snapToGrid w:val="0"/>
              <w:jc w:val="left"/>
              <w:rPr>
                <w:rFonts w:hint="eastAsia" w:ascii="宋体" w:hAnsi="宋体" w:eastAsia="宋体" w:cs="宋体"/>
              </w:rPr>
            </w:pPr>
            <w:r>
              <w:rPr>
                <w:rFonts w:hint="eastAsia" w:ascii="宋体" w:hAnsi="宋体" w:eastAsia="宋体" w:cs="宋体"/>
              </w:rPr>
              <w:t>水轮发电机组安装技术规范</w:t>
            </w:r>
          </w:p>
        </w:tc>
      </w:tr>
      <w:tr w14:paraId="25EF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5475AE5A">
            <w:pPr>
              <w:widowControl/>
              <w:snapToGrid w:val="0"/>
              <w:jc w:val="left"/>
              <w:rPr>
                <w:rFonts w:hint="eastAsia" w:ascii="宋体" w:hAnsi="宋体" w:eastAsia="宋体" w:cs="宋体"/>
              </w:rPr>
            </w:pPr>
            <w:r>
              <w:rPr>
                <w:rFonts w:hint="eastAsia" w:ascii="宋体" w:hAnsi="宋体" w:eastAsia="宋体" w:cs="宋体"/>
              </w:rPr>
              <w:t>NB/T42052</w:t>
            </w:r>
          </w:p>
        </w:tc>
        <w:tc>
          <w:tcPr>
            <w:tcW w:w="6364" w:type="dxa"/>
            <w:tcBorders>
              <w:top w:val="single" w:color="auto" w:sz="4" w:space="0"/>
              <w:left w:val="single" w:color="auto" w:sz="4" w:space="0"/>
              <w:bottom w:val="single" w:color="auto" w:sz="4" w:space="0"/>
              <w:right w:val="single" w:color="auto" w:sz="4" w:space="0"/>
            </w:tcBorders>
            <w:noWrap w:val="0"/>
            <w:vAlign w:val="center"/>
          </w:tcPr>
          <w:p w14:paraId="3FBBA01B">
            <w:pPr>
              <w:widowControl/>
              <w:snapToGrid w:val="0"/>
              <w:jc w:val="left"/>
              <w:rPr>
                <w:rFonts w:hint="eastAsia" w:ascii="宋体" w:hAnsi="宋体" w:eastAsia="宋体" w:cs="宋体"/>
              </w:rPr>
            </w:pPr>
            <w:r>
              <w:rPr>
                <w:rFonts w:hint="eastAsia" w:ascii="宋体" w:hAnsi="宋体" w:eastAsia="宋体" w:cs="宋体"/>
              </w:rPr>
              <w:t>小水电机组启动试验规程</w:t>
            </w:r>
          </w:p>
        </w:tc>
      </w:tr>
      <w:tr w14:paraId="3EE4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239EE316">
            <w:pPr>
              <w:widowControl/>
              <w:snapToGrid w:val="0"/>
              <w:jc w:val="left"/>
              <w:rPr>
                <w:rFonts w:hint="eastAsia" w:ascii="宋体" w:hAnsi="宋体" w:eastAsia="宋体" w:cs="宋体"/>
              </w:rPr>
            </w:pPr>
            <w:r>
              <w:rPr>
                <w:rFonts w:hint="eastAsia" w:ascii="宋体" w:hAnsi="宋体" w:eastAsia="宋体" w:cs="宋体"/>
              </w:rPr>
              <w:t>GB/T 699</w:t>
            </w:r>
          </w:p>
        </w:tc>
        <w:tc>
          <w:tcPr>
            <w:tcW w:w="6364" w:type="dxa"/>
            <w:tcBorders>
              <w:top w:val="single" w:color="auto" w:sz="4" w:space="0"/>
              <w:left w:val="nil"/>
              <w:bottom w:val="single" w:color="auto" w:sz="4" w:space="0"/>
              <w:right w:val="single" w:color="auto" w:sz="4" w:space="0"/>
            </w:tcBorders>
            <w:noWrap w:val="0"/>
            <w:vAlign w:val="center"/>
          </w:tcPr>
          <w:p w14:paraId="46D106E7">
            <w:pPr>
              <w:widowControl/>
              <w:snapToGrid w:val="0"/>
              <w:jc w:val="left"/>
              <w:rPr>
                <w:rFonts w:hint="eastAsia" w:ascii="宋体" w:hAnsi="宋体" w:eastAsia="宋体" w:cs="宋体"/>
              </w:rPr>
            </w:pPr>
            <w:r>
              <w:rPr>
                <w:rFonts w:hint="eastAsia" w:ascii="宋体" w:hAnsi="宋体" w:eastAsia="宋体" w:cs="宋体"/>
              </w:rPr>
              <w:t>优质碳素结构钢</w:t>
            </w:r>
          </w:p>
        </w:tc>
      </w:tr>
      <w:tr w14:paraId="41EE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0C10ABE1">
            <w:pPr>
              <w:widowControl/>
              <w:snapToGrid w:val="0"/>
              <w:jc w:val="left"/>
              <w:rPr>
                <w:rFonts w:hint="eastAsia" w:ascii="宋体" w:hAnsi="宋体" w:eastAsia="宋体" w:cs="宋体"/>
              </w:rPr>
            </w:pPr>
            <w:r>
              <w:rPr>
                <w:rFonts w:hint="eastAsia" w:ascii="宋体" w:hAnsi="宋体" w:eastAsia="宋体" w:cs="宋体"/>
              </w:rPr>
              <w:t>GB/T 700</w:t>
            </w:r>
          </w:p>
        </w:tc>
        <w:tc>
          <w:tcPr>
            <w:tcW w:w="6364" w:type="dxa"/>
            <w:tcBorders>
              <w:top w:val="single" w:color="auto" w:sz="4" w:space="0"/>
              <w:left w:val="nil"/>
              <w:bottom w:val="single" w:color="auto" w:sz="4" w:space="0"/>
              <w:right w:val="single" w:color="auto" w:sz="4" w:space="0"/>
            </w:tcBorders>
            <w:noWrap w:val="0"/>
            <w:vAlign w:val="center"/>
          </w:tcPr>
          <w:p w14:paraId="5997EFEF">
            <w:pPr>
              <w:widowControl/>
              <w:snapToGrid w:val="0"/>
              <w:jc w:val="left"/>
              <w:rPr>
                <w:rFonts w:hint="eastAsia" w:ascii="宋体" w:hAnsi="宋体" w:eastAsia="宋体" w:cs="宋体"/>
              </w:rPr>
            </w:pPr>
            <w:r>
              <w:rPr>
                <w:rFonts w:hint="eastAsia" w:ascii="宋体" w:hAnsi="宋体" w:eastAsia="宋体" w:cs="宋体"/>
              </w:rPr>
              <w:t>碳素结构钢</w:t>
            </w:r>
          </w:p>
        </w:tc>
      </w:tr>
      <w:tr w14:paraId="3F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25340BEF">
            <w:pPr>
              <w:widowControl/>
              <w:snapToGrid w:val="0"/>
              <w:jc w:val="left"/>
              <w:rPr>
                <w:rFonts w:hint="eastAsia" w:ascii="宋体" w:hAnsi="宋体" w:eastAsia="宋体" w:cs="宋体"/>
              </w:rPr>
            </w:pPr>
            <w:r>
              <w:rPr>
                <w:rFonts w:hint="eastAsia" w:ascii="宋体" w:hAnsi="宋体" w:eastAsia="宋体" w:cs="宋体"/>
              </w:rPr>
              <w:t>GB/T 3077</w:t>
            </w:r>
          </w:p>
        </w:tc>
        <w:tc>
          <w:tcPr>
            <w:tcW w:w="6364" w:type="dxa"/>
            <w:tcBorders>
              <w:top w:val="single" w:color="auto" w:sz="4" w:space="0"/>
              <w:left w:val="nil"/>
              <w:bottom w:val="single" w:color="auto" w:sz="4" w:space="0"/>
              <w:right w:val="single" w:color="auto" w:sz="4" w:space="0"/>
            </w:tcBorders>
            <w:noWrap w:val="0"/>
            <w:vAlign w:val="center"/>
          </w:tcPr>
          <w:p w14:paraId="0023EC41">
            <w:pPr>
              <w:widowControl/>
              <w:snapToGrid w:val="0"/>
              <w:jc w:val="left"/>
              <w:rPr>
                <w:rFonts w:hint="eastAsia" w:ascii="宋体" w:hAnsi="宋体" w:eastAsia="宋体" w:cs="宋体"/>
              </w:rPr>
            </w:pPr>
            <w:r>
              <w:rPr>
                <w:rFonts w:hint="eastAsia" w:ascii="宋体" w:hAnsi="宋体" w:eastAsia="宋体" w:cs="宋体"/>
              </w:rPr>
              <w:t>合金结构钢</w:t>
            </w:r>
          </w:p>
        </w:tc>
      </w:tr>
      <w:tr w14:paraId="3528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7CB7B859">
            <w:pPr>
              <w:widowControl/>
              <w:snapToGrid w:val="0"/>
              <w:jc w:val="left"/>
              <w:rPr>
                <w:rFonts w:hint="eastAsia" w:ascii="宋体" w:hAnsi="宋体" w:eastAsia="宋体" w:cs="宋体"/>
              </w:rPr>
            </w:pPr>
            <w:r>
              <w:rPr>
                <w:rFonts w:hint="eastAsia" w:ascii="宋体" w:hAnsi="宋体" w:eastAsia="宋体" w:cs="宋体"/>
              </w:rPr>
              <w:t>GB/T 1348</w:t>
            </w:r>
          </w:p>
        </w:tc>
        <w:tc>
          <w:tcPr>
            <w:tcW w:w="6364" w:type="dxa"/>
            <w:tcBorders>
              <w:top w:val="single" w:color="auto" w:sz="4" w:space="0"/>
              <w:left w:val="nil"/>
              <w:bottom w:val="single" w:color="auto" w:sz="4" w:space="0"/>
              <w:right w:val="single" w:color="auto" w:sz="4" w:space="0"/>
            </w:tcBorders>
            <w:noWrap w:val="0"/>
            <w:vAlign w:val="center"/>
          </w:tcPr>
          <w:p w14:paraId="3B05081F">
            <w:pPr>
              <w:widowControl/>
              <w:snapToGrid w:val="0"/>
              <w:jc w:val="left"/>
              <w:rPr>
                <w:rFonts w:hint="eastAsia" w:ascii="宋体" w:hAnsi="宋体" w:eastAsia="宋体" w:cs="宋体"/>
              </w:rPr>
            </w:pPr>
            <w:r>
              <w:rPr>
                <w:rFonts w:hint="eastAsia" w:ascii="宋体" w:hAnsi="宋体" w:eastAsia="宋体" w:cs="宋体"/>
              </w:rPr>
              <w:t xml:space="preserve">球墨铸铁件 </w:t>
            </w:r>
          </w:p>
        </w:tc>
      </w:tr>
      <w:tr w14:paraId="0721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502971A7">
            <w:pPr>
              <w:widowControl/>
              <w:snapToGrid w:val="0"/>
              <w:jc w:val="left"/>
              <w:rPr>
                <w:rFonts w:hint="eastAsia" w:ascii="宋体" w:hAnsi="宋体" w:eastAsia="宋体" w:cs="宋体"/>
              </w:rPr>
            </w:pPr>
            <w:r>
              <w:rPr>
                <w:rFonts w:hint="eastAsia" w:ascii="宋体" w:hAnsi="宋体" w:eastAsia="宋体" w:cs="宋体"/>
              </w:rPr>
              <w:t>GB/T 6402</w:t>
            </w:r>
          </w:p>
        </w:tc>
        <w:tc>
          <w:tcPr>
            <w:tcW w:w="6364" w:type="dxa"/>
            <w:tcBorders>
              <w:top w:val="single" w:color="auto" w:sz="4" w:space="0"/>
              <w:left w:val="nil"/>
              <w:bottom w:val="single" w:color="auto" w:sz="4" w:space="0"/>
              <w:right w:val="single" w:color="auto" w:sz="4" w:space="0"/>
            </w:tcBorders>
            <w:noWrap w:val="0"/>
            <w:vAlign w:val="center"/>
          </w:tcPr>
          <w:p w14:paraId="32CFF768">
            <w:pPr>
              <w:widowControl/>
              <w:snapToGrid w:val="0"/>
              <w:jc w:val="left"/>
              <w:rPr>
                <w:rFonts w:hint="eastAsia" w:ascii="宋体" w:hAnsi="宋体" w:eastAsia="宋体" w:cs="宋体"/>
              </w:rPr>
            </w:pPr>
            <w:r>
              <w:rPr>
                <w:rFonts w:hint="eastAsia" w:ascii="宋体" w:hAnsi="宋体" w:eastAsia="宋体" w:cs="宋体"/>
              </w:rPr>
              <w:t>钢锻件超声检测方法</w:t>
            </w:r>
          </w:p>
        </w:tc>
      </w:tr>
      <w:tr w14:paraId="7E8C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0655F0D3">
            <w:pPr>
              <w:widowControl/>
              <w:snapToGrid w:val="0"/>
              <w:jc w:val="left"/>
              <w:rPr>
                <w:rFonts w:hint="eastAsia" w:ascii="宋体" w:hAnsi="宋体" w:eastAsia="宋体" w:cs="宋体"/>
              </w:rPr>
            </w:pPr>
            <w:r>
              <w:rPr>
                <w:rFonts w:hint="eastAsia" w:ascii="宋体" w:hAnsi="宋体" w:eastAsia="宋体" w:cs="宋体"/>
              </w:rPr>
              <w:t>JB/T 8468</w:t>
            </w:r>
          </w:p>
        </w:tc>
        <w:tc>
          <w:tcPr>
            <w:tcW w:w="6364" w:type="dxa"/>
            <w:tcBorders>
              <w:top w:val="single" w:color="auto" w:sz="4" w:space="0"/>
              <w:left w:val="nil"/>
              <w:bottom w:val="single" w:color="auto" w:sz="4" w:space="0"/>
              <w:right w:val="single" w:color="auto" w:sz="4" w:space="0"/>
            </w:tcBorders>
            <w:noWrap w:val="0"/>
            <w:vAlign w:val="center"/>
          </w:tcPr>
          <w:p w14:paraId="102F1D30">
            <w:pPr>
              <w:widowControl/>
              <w:snapToGrid w:val="0"/>
              <w:jc w:val="left"/>
              <w:rPr>
                <w:rFonts w:hint="eastAsia" w:ascii="宋体" w:hAnsi="宋体" w:eastAsia="宋体" w:cs="宋体"/>
              </w:rPr>
            </w:pPr>
            <w:r>
              <w:rPr>
                <w:rFonts w:hint="eastAsia" w:ascii="宋体" w:hAnsi="宋体" w:eastAsia="宋体" w:cs="宋体"/>
              </w:rPr>
              <w:t>锻钢件磁粉检验方法</w:t>
            </w:r>
          </w:p>
        </w:tc>
      </w:tr>
      <w:tr w14:paraId="2F2D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2632010A">
            <w:pPr>
              <w:widowControl/>
              <w:snapToGrid w:val="0"/>
              <w:jc w:val="left"/>
              <w:rPr>
                <w:rFonts w:hint="eastAsia" w:ascii="宋体" w:hAnsi="宋体" w:eastAsia="宋体" w:cs="宋体"/>
              </w:rPr>
            </w:pPr>
            <w:r>
              <w:rPr>
                <w:rFonts w:hint="eastAsia" w:ascii="宋体" w:hAnsi="宋体" w:eastAsia="宋体" w:cs="宋体"/>
              </w:rPr>
              <w:t>GB/T 8162</w:t>
            </w:r>
          </w:p>
        </w:tc>
        <w:tc>
          <w:tcPr>
            <w:tcW w:w="6364" w:type="dxa"/>
            <w:tcBorders>
              <w:top w:val="single" w:color="auto" w:sz="4" w:space="0"/>
              <w:left w:val="nil"/>
              <w:bottom w:val="single" w:color="auto" w:sz="4" w:space="0"/>
              <w:right w:val="single" w:color="auto" w:sz="4" w:space="0"/>
            </w:tcBorders>
            <w:noWrap w:val="0"/>
            <w:vAlign w:val="center"/>
          </w:tcPr>
          <w:p w14:paraId="300CD9A0">
            <w:pPr>
              <w:widowControl/>
              <w:snapToGrid w:val="0"/>
              <w:jc w:val="left"/>
              <w:rPr>
                <w:rFonts w:hint="eastAsia" w:ascii="宋体" w:hAnsi="宋体" w:eastAsia="宋体" w:cs="宋体"/>
              </w:rPr>
            </w:pPr>
            <w:r>
              <w:rPr>
                <w:rFonts w:hint="eastAsia" w:ascii="宋体" w:hAnsi="宋体" w:eastAsia="宋体" w:cs="宋体"/>
              </w:rPr>
              <w:t>结构用无缝钢管</w:t>
            </w:r>
          </w:p>
        </w:tc>
      </w:tr>
      <w:tr w14:paraId="34FA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39B98550">
            <w:pPr>
              <w:widowControl/>
              <w:snapToGrid w:val="0"/>
              <w:jc w:val="left"/>
              <w:rPr>
                <w:rFonts w:hint="eastAsia" w:ascii="宋体" w:hAnsi="宋体" w:eastAsia="宋体" w:cs="宋体"/>
              </w:rPr>
            </w:pPr>
            <w:r>
              <w:rPr>
                <w:rFonts w:hint="eastAsia" w:ascii="宋体" w:hAnsi="宋体" w:eastAsia="宋体" w:cs="宋体"/>
              </w:rPr>
              <w:t>GB/T 8163</w:t>
            </w:r>
          </w:p>
        </w:tc>
        <w:tc>
          <w:tcPr>
            <w:tcW w:w="6364" w:type="dxa"/>
            <w:tcBorders>
              <w:top w:val="single" w:color="auto" w:sz="4" w:space="0"/>
              <w:left w:val="nil"/>
              <w:bottom w:val="single" w:color="auto" w:sz="4" w:space="0"/>
              <w:right w:val="single" w:color="auto" w:sz="4" w:space="0"/>
            </w:tcBorders>
            <w:noWrap w:val="0"/>
            <w:vAlign w:val="center"/>
          </w:tcPr>
          <w:p w14:paraId="1663CC65">
            <w:pPr>
              <w:widowControl/>
              <w:snapToGrid w:val="0"/>
              <w:jc w:val="left"/>
              <w:rPr>
                <w:rFonts w:hint="eastAsia" w:ascii="宋体" w:hAnsi="宋体" w:eastAsia="宋体" w:cs="宋体"/>
              </w:rPr>
            </w:pPr>
            <w:r>
              <w:rPr>
                <w:rFonts w:hint="eastAsia" w:ascii="宋体" w:hAnsi="宋体" w:eastAsia="宋体" w:cs="宋体"/>
              </w:rPr>
              <w:t>输送流体用无缝钢管</w:t>
            </w:r>
          </w:p>
        </w:tc>
      </w:tr>
      <w:tr w14:paraId="0A8F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23AE97DE">
            <w:pPr>
              <w:widowControl/>
              <w:snapToGrid w:val="0"/>
              <w:jc w:val="left"/>
              <w:rPr>
                <w:rFonts w:hint="eastAsia" w:ascii="宋体" w:hAnsi="宋体" w:eastAsia="宋体" w:cs="宋体"/>
              </w:rPr>
            </w:pPr>
            <w:r>
              <w:rPr>
                <w:rFonts w:hint="eastAsia" w:ascii="宋体" w:hAnsi="宋体" w:eastAsia="宋体" w:cs="宋体"/>
              </w:rPr>
              <w:t>GB/T 26951</w:t>
            </w:r>
          </w:p>
        </w:tc>
        <w:tc>
          <w:tcPr>
            <w:tcW w:w="6364" w:type="dxa"/>
            <w:tcBorders>
              <w:top w:val="single" w:color="auto" w:sz="4" w:space="0"/>
              <w:left w:val="nil"/>
              <w:bottom w:val="single" w:color="auto" w:sz="4" w:space="0"/>
              <w:right w:val="single" w:color="auto" w:sz="4" w:space="0"/>
            </w:tcBorders>
            <w:noWrap w:val="0"/>
            <w:vAlign w:val="center"/>
          </w:tcPr>
          <w:p w14:paraId="21DDE706">
            <w:pPr>
              <w:widowControl/>
              <w:snapToGrid w:val="0"/>
              <w:jc w:val="left"/>
              <w:rPr>
                <w:rFonts w:hint="eastAsia" w:ascii="宋体" w:hAnsi="宋体" w:eastAsia="宋体" w:cs="宋体"/>
              </w:rPr>
            </w:pPr>
            <w:r>
              <w:rPr>
                <w:rFonts w:hint="eastAsia" w:ascii="宋体" w:hAnsi="宋体" w:eastAsia="宋体" w:cs="宋体"/>
              </w:rPr>
              <w:t>焊缝无损检测 磁粉检测</w:t>
            </w:r>
          </w:p>
        </w:tc>
      </w:tr>
      <w:tr w14:paraId="4E1C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53B4D392">
            <w:pPr>
              <w:widowControl/>
              <w:snapToGrid w:val="0"/>
              <w:jc w:val="left"/>
              <w:rPr>
                <w:rFonts w:hint="eastAsia" w:ascii="宋体" w:hAnsi="宋体" w:eastAsia="宋体" w:cs="宋体"/>
              </w:rPr>
            </w:pPr>
            <w:r>
              <w:rPr>
                <w:rFonts w:hint="eastAsia" w:ascii="宋体" w:hAnsi="宋体" w:eastAsia="宋体" w:cs="宋体"/>
              </w:rPr>
              <w:t>GB/T 26952</w:t>
            </w:r>
          </w:p>
        </w:tc>
        <w:tc>
          <w:tcPr>
            <w:tcW w:w="6364" w:type="dxa"/>
            <w:tcBorders>
              <w:top w:val="single" w:color="auto" w:sz="4" w:space="0"/>
              <w:left w:val="nil"/>
              <w:bottom w:val="single" w:color="auto" w:sz="4" w:space="0"/>
              <w:right w:val="single" w:color="auto" w:sz="4" w:space="0"/>
            </w:tcBorders>
            <w:noWrap w:val="0"/>
            <w:vAlign w:val="center"/>
          </w:tcPr>
          <w:p w14:paraId="517791F3">
            <w:pPr>
              <w:widowControl/>
              <w:snapToGrid w:val="0"/>
              <w:jc w:val="left"/>
              <w:rPr>
                <w:rFonts w:hint="eastAsia" w:ascii="宋体" w:hAnsi="宋体" w:eastAsia="宋体" w:cs="宋体"/>
              </w:rPr>
            </w:pPr>
            <w:r>
              <w:rPr>
                <w:rFonts w:hint="eastAsia" w:ascii="宋体" w:hAnsi="宋体" w:eastAsia="宋体" w:cs="宋体"/>
              </w:rPr>
              <w:t>焊缝无损检测 磁粉检测 验收等级</w:t>
            </w:r>
          </w:p>
        </w:tc>
      </w:tr>
      <w:tr w14:paraId="5883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14:paraId="122E41D8">
            <w:pPr>
              <w:widowControl/>
              <w:snapToGrid w:val="0"/>
              <w:jc w:val="left"/>
              <w:rPr>
                <w:rFonts w:hint="eastAsia" w:ascii="宋体" w:hAnsi="宋体" w:eastAsia="宋体" w:cs="宋体"/>
              </w:rPr>
            </w:pPr>
            <w:r>
              <w:rPr>
                <w:rFonts w:hint="eastAsia" w:ascii="宋体" w:hAnsi="宋体" w:eastAsia="宋体" w:cs="宋体"/>
              </w:rPr>
              <w:t>GB/T 26953</w:t>
            </w:r>
          </w:p>
        </w:tc>
        <w:tc>
          <w:tcPr>
            <w:tcW w:w="6364" w:type="dxa"/>
            <w:tcBorders>
              <w:top w:val="single" w:color="auto" w:sz="4" w:space="0"/>
              <w:left w:val="nil"/>
              <w:bottom w:val="single" w:color="auto" w:sz="4" w:space="0"/>
              <w:right w:val="single" w:color="auto" w:sz="4" w:space="0"/>
            </w:tcBorders>
            <w:noWrap w:val="0"/>
            <w:vAlign w:val="center"/>
          </w:tcPr>
          <w:p w14:paraId="7D828790">
            <w:pPr>
              <w:widowControl/>
              <w:snapToGrid w:val="0"/>
              <w:jc w:val="left"/>
              <w:rPr>
                <w:rFonts w:hint="eastAsia" w:ascii="宋体" w:hAnsi="宋体" w:eastAsia="宋体" w:cs="宋体"/>
              </w:rPr>
            </w:pPr>
            <w:r>
              <w:rPr>
                <w:rFonts w:hint="eastAsia" w:ascii="宋体" w:hAnsi="宋体" w:eastAsia="宋体" w:cs="宋体"/>
              </w:rPr>
              <w:t>焊缝无损检测 焊缝渗透检测 验收等级</w:t>
            </w:r>
          </w:p>
        </w:tc>
      </w:tr>
    </w:tbl>
    <w:p w14:paraId="34C508BA">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4.4  与调速系统相关的电站参数</w:t>
      </w:r>
    </w:p>
    <w:p w14:paraId="32E15ED5">
      <w:pPr>
        <w:pStyle w:val="4"/>
        <w:keepLines w:val="0"/>
        <w:autoSpaceDE w:val="0"/>
        <w:autoSpaceDN w:val="0"/>
        <w:adjustRightInd w:val="0"/>
        <w:spacing w:before="0" w:after="0"/>
        <w:jc w:val="left"/>
        <w:textAlignment w:val="baseline"/>
        <w:rPr>
          <w:rFonts w:hint="eastAsia" w:ascii="宋体" w:hAnsi="宋体" w:eastAsia="宋体" w:cs="宋体"/>
          <w:bCs/>
          <w:sz w:val="28"/>
          <w:szCs w:val="28"/>
        </w:rPr>
      </w:pPr>
      <w:r>
        <w:rPr>
          <w:rFonts w:hint="eastAsia" w:ascii="宋体" w:hAnsi="宋体" w:eastAsia="宋体" w:cs="宋体"/>
          <w:bCs/>
          <w:sz w:val="28"/>
          <w:szCs w:val="28"/>
        </w:rPr>
        <w:t>4.4.1 机组主要参数</w:t>
      </w:r>
    </w:p>
    <w:p w14:paraId="6C0853A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1）水轮机相关参数</w:t>
      </w:r>
    </w:p>
    <w:p w14:paraId="60126CB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水轮机型式                 立轴混流式</w:t>
      </w:r>
    </w:p>
    <w:p w14:paraId="50A47B41">
      <w:pPr>
        <w:spacing w:line="360" w:lineRule="auto"/>
        <w:ind w:left="4079" w:leftChars="228" w:hanging="3600" w:hangingChars="15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型号                         HL</w:t>
      </w:r>
      <w:r>
        <w:rPr>
          <w:rFonts w:hint="eastAsia" w:ascii="Times New Roman" w:hAnsi="Times New Roman" w:eastAsia="宋体" w:cs="Times New Roman"/>
          <w:sz w:val="24"/>
          <w:szCs w:val="24"/>
          <w:lang w:val="en-US" w:eastAsia="zh-CN"/>
        </w:rPr>
        <w:t>SH187</w:t>
      </w:r>
      <w:r>
        <w:rPr>
          <w:rFonts w:hint="eastAsia" w:ascii="Times New Roman" w:hAnsi="Times New Roman" w:eastAsia="宋体" w:cs="Times New Roman"/>
          <w:sz w:val="24"/>
          <w:szCs w:val="24"/>
        </w:rPr>
        <w:t>-LJ-</w:t>
      </w:r>
      <w:r>
        <w:rPr>
          <w:rFonts w:hint="eastAsia" w:ascii="Times New Roman" w:hAnsi="Times New Roman" w:eastAsia="宋体" w:cs="Times New Roman"/>
          <w:sz w:val="24"/>
          <w:szCs w:val="24"/>
          <w:lang w:val="en-US" w:eastAsia="zh-CN"/>
        </w:rPr>
        <w:t>73或其他型号转轮</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性能及参数不低</w:t>
      </w:r>
      <w:r>
        <w:rPr>
          <w:rFonts w:hint="eastAsia" w:ascii="Times New Roman" w:hAnsi="Times New Roman" w:eastAsia="宋体" w:cs="Times New Roman"/>
          <w:sz w:val="24"/>
          <w:szCs w:val="24"/>
        </w:rPr>
        <w:t>HL</w:t>
      </w:r>
      <w:r>
        <w:rPr>
          <w:rFonts w:hint="eastAsia" w:ascii="Times New Roman" w:hAnsi="Times New Roman" w:eastAsia="宋体" w:cs="Times New Roman"/>
          <w:sz w:val="24"/>
          <w:szCs w:val="24"/>
          <w:lang w:val="en-US" w:eastAsia="zh-CN"/>
        </w:rPr>
        <w:t>SH187</w:t>
      </w:r>
    </w:p>
    <w:p w14:paraId="4E7FF544">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转轮直径D</w:t>
      </w:r>
      <w:r>
        <w:rPr>
          <w:rFonts w:hint="eastAsia" w:ascii="Times New Roman" w:hAnsi="Times New Roman"/>
          <w:sz w:val="24"/>
          <w:szCs w:val="24"/>
          <w:vertAlign w:val="subscript"/>
        </w:rPr>
        <w:t>1</w:t>
      </w:r>
      <w:r>
        <w:rPr>
          <w:rFonts w:hint="eastAsia" w:ascii="Times New Roman" w:hAnsi="Times New Roman"/>
          <w:sz w:val="24"/>
          <w:szCs w:val="24"/>
        </w:rPr>
        <w:t xml:space="preserve">                    φ</w:t>
      </w:r>
      <w:r>
        <w:rPr>
          <w:rFonts w:hint="eastAsia" w:ascii="Times New Roman" w:hAnsi="Times New Roman"/>
          <w:sz w:val="24"/>
          <w:szCs w:val="24"/>
          <w:lang w:val="en-US" w:eastAsia="zh-CN"/>
        </w:rPr>
        <w:t>7</w:t>
      </w:r>
      <w:r>
        <w:rPr>
          <w:rFonts w:hint="eastAsia" w:ascii="Times New Roman" w:hAnsi="Times New Roman"/>
          <w:sz w:val="24"/>
          <w:szCs w:val="24"/>
        </w:rPr>
        <w:t>3cm</w:t>
      </w:r>
    </w:p>
    <w:p w14:paraId="3BECC7D3">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 xml:space="preserve">额定水头                      </w:t>
      </w:r>
      <w:r>
        <w:rPr>
          <w:rFonts w:hint="eastAsia" w:ascii="Times New Roman" w:hAnsi="Times New Roman"/>
          <w:sz w:val="24"/>
          <w:szCs w:val="24"/>
          <w:lang w:val="en-US" w:eastAsia="zh-CN"/>
        </w:rPr>
        <w:t>55.45</w:t>
      </w:r>
      <w:r>
        <w:rPr>
          <w:rFonts w:hint="eastAsia" w:ascii="Times New Roman" w:hAnsi="Times New Roman"/>
          <w:sz w:val="24"/>
          <w:szCs w:val="24"/>
        </w:rPr>
        <w:t>m</w:t>
      </w:r>
    </w:p>
    <w:p w14:paraId="3C240ABF">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最大水头                      </w:t>
      </w:r>
      <w:r>
        <w:rPr>
          <w:rFonts w:hint="eastAsia" w:ascii="Times New Roman" w:hAnsi="Times New Roman" w:eastAsia="宋体" w:cs="Times New Roman"/>
          <w:sz w:val="24"/>
          <w:szCs w:val="24"/>
          <w:lang w:val="en-US" w:eastAsia="zh-CN"/>
        </w:rPr>
        <w:t>57</w:t>
      </w:r>
      <w:r>
        <w:rPr>
          <w:rFonts w:hint="eastAsia" w:ascii="Times New Roman" w:hAnsi="Times New Roman" w:eastAsia="宋体" w:cs="Times New Roman"/>
          <w:sz w:val="24"/>
          <w:szCs w:val="24"/>
        </w:rPr>
        <w:t>m</w:t>
      </w:r>
    </w:p>
    <w:p w14:paraId="27C4C35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最小水头                      </w:t>
      </w:r>
      <w:r>
        <w:rPr>
          <w:rFonts w:hint="eastAsia" w:ascii="Times New Roman" w:hAnsi="Times New Roman" w:eastAsia="宋体" w:cs="Times New Roman"/>
          <w:sz w:val="24"/>
          <w:szCs w:val="24"/>
          <w:lang w:val="en-US" w:eastAsia="zh-CN"/>
        </w:rPr>
        <w:t>53</w:t>
      </w:r>
      <w:r>
        <w:rPr>
          <w:rFonts w:hint="eastAsia" w:ascii="Times New Roman" w:hAnsi="Times New Roman" w:eastAsia="宋体" w:cs="Times New Roman"/>
          <w:sz w:val="24"/>
          <w:szCs w:val="24"/>
        </w:rPr>
        <w:t>m</w:t>
      </w:r>
    </w:p>
    <w:p w14:paraId="7E95998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加权平均水头                  </w:t>
      </w:r>
      <w:r>
        <w:rPr>
          <w:rFonts w:hint="eastAsia" w:ascii="Times New Roman" w:hAnsi="Times New Roman" w:eastAsia="宋体" w:cs="Times New Roman"/>
          <w:sz w:val="24"/>
          <w:szCs w:val="24"/>
          <w:lang w:val="en-US" w:eastAsia="zh-CN"/>
        </w:rPr>
        <w:t>55.88</w:t>
      </w:r>
      <w:r>
        <w:rPr>
          <w:rFonts w:hint="eastAsia" w:ascii="Times New Roman" w:hAnsi="Times New Roman" w:eastAsia="宋体" w:cs="Times New Roman"/>
          <w:sz w:val="24"/>
          <w:szCs w:val="24"/>
        </w:rPr>
        <w:t>m</w:t>
      </w:r>
    </w:p>
    <w:p w14:paraId="3002085A">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额定出力                      </w:t>
      </w:r>
      <w:r>
        <w:rPr>
          <w:rFonts w:hint="eastAsia" w:ascii="Times New Roman" w:hAnsi="Times New Roman" w:eastAsia="宋体" w:cs="Times New Roman"/>
          <w:sz w:val="24"/>
          <w:szCs w:val="24"/>
          <w:lang w:val="en-US" w:eastAsia="zh-CN"/>
        </w:rPr>
        <w:t>2400</w:t>
      </w:r>
      <w:r>
        <w:rPr>
          <w:rFonts w:hint="eastAsia" w:ascii="Times New Roman" w:hAnsi="Times New Roman" w:eastAsia="宋体" w:cs="Times New Roman"/>
          <w:sz w:val="24"/>
          <w:szCs w:val="24"/>
        </w:rPr>
        <w:t>kW</w:t>
      </w:r>
    </w:p>
    <w:p w14:paraId="59473379">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额定流量                      </w:t>
      </w:r>
      <w:r>
        <w:rPr>
          <w:rFonts w:hint="eastAsia" w:ascii="Times New Roman" w:hAnsi="Times New Roman" w:eastAsia="宋体" w:cs="Times New Roman"/>
          <w:sz w:val="24"/>
          <w:szCs w:val="24"/>
          <w:lang w:val="en-US" w:eastAsia="zh-CN"/>
        </w:rPr>
        <w:t>4.84</w:t>
      </w:r>
      <w:r>
        <w:rPr>
          <w:rFonts w:hint="eastAsia" w:ascii="Times New Roman" w:hAnsi="Times New Roman" w:eastAsia="宋体" w:cs="Times New Roman"/>
          <w:sz w:val="24"/>
          <w:szCs w:val="24"/>
        </w:rPr>
        <w:t>m3/s</w:t>
      </w:r>
    </w:p>
    <w:p w14:paraId="0D8BB663">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额定转速                      750r/min</w:t>
      </w:r>
    </w:p>
    <w:p w14:paraId="1C5C582F">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额定效率                      9</w:t>
      </w:r>
      <w:r>
        <w:rPr>
          <w:rFonts w:hint="eastAsia" w:ascii="Times New Roman" w:hAnsi="Times New Roman" w:eastAsia="宋体" w:cs="Times New Roman"/>
          <w:sz w:val="24"/>
          <w:szCs w:val="24"/>
          <w:lang w:val="en-US" w:eastAsia="zh-CN"/>
        </w:rPr>
        <w:t>1.8</w:t>
      </w:r>
      <w:r>
        <w:rPr>
          <w:rFonts w:hint="eastAsia" w:ascii="Times New Roman" w:hAnsi="Times New Roman" w:eastAsia="宋体" w:cs="Times New Roman"/>
          <w:sz w:val="24"/>
          <w:szCs w:val="24"/>
        </w:rPr>
        <w:t>%</w:t>
      </w:r>
    </w:p>
    <w:p w14:paraId="1E2755A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飞逸转速                      1</w:t>
      </w:r>
      <w:r>
        <w:rPr>
          <w:rFonts w:hint="eastAsia" w:ascii="Times New Roman" w:hAnsi="Times New Roman" w:eastAsia="宋体" w:cs="Times New Roman"/>
          <w:sz w:val="24"/>
          <w:szCs w:val="24"/>
          <w:lang w:val="en-US" w:eastAsia="zh-CN"/>
        </w:rPr>
        <w:t>650</w:t>
      </w:r>
      <w:r>
        <w:rPr>
          <w:rFonts w:hint="eastAsia" w:ascii="Times New Roman" w:hAnsi="Times New Roman" w:eastAsia="宋体" w:cs="Times New Roman"/>
          <w:sz w:val="24"/>
          <w:szCs w:val="24"/>
        </w:rPr>
        <w:t>r/min</w:t>
      </w:r>
    </w:p>
    <w:p w14:paraId="4F308DDF">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允许吸出高度                  1.</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0m</w:t>
      </w:r>
    </w:p>
    <w:p w14:paraId="327F9344">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装机吸出高度                  -0.</w:t>
      </w:r>
      <w:r>
        <w:rPr>
          <w:rFonts w:hint="eastAsia"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rPr>
        <w:t>m</w:t>
      </w:r>
    </w:p>
    <w:p w14:paraId="27873B31">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水轮机安装高程                </w:t>
      </w:r>
      <w:r>
        <w:rPr>
          <w:rFonts w:hint="eastAsia" w:ascii="Times New Roman" w:hAnsi="Times New Roman" w:eastAsia="宋体" w:cs="Times New Roman"/>
          <w:sz w:val="24"/>
          <w:szCs w:val="24"/>
          <w:lang w:val="en-US" w:eastAsia="zh-CN"/>
        </w:rPr>
        <w:t>237.7</w:t>
      </w:r>
      <w:r>
        <w:rPr>
          <w:rFonts w:hint="eastAsia" w:ascii="Times New Roman" w:hAnsi="Times New Roman" w:eastAsia="宋体" w:cs="Times New Roman"/>
          <w:sz w:val="24"/>
          <w:szCs w:val="24"/>
        </w:rPr>
        <w:t>m</w:t>
      </w:r>
    </w:p>
    <w:p w14:paraId="6D6C1DA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2）发电机相关参数</w:t>
      </w:r>
    </w:p>
    <w:p w14:paraId="2465ACF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发电机转动惯量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4.64</w:t>
      </w:r>
      <w:r>
        <w:rPr>
          <w:rFonts w:hint="eastAsia" w:ascii="宋体" w:hAnsi="宋体" w:eastAsia="宋体" w:cs="宋体"/>
          <w:sz w:val="24"/>
          <w:szCs w:val="24"/>
        </w:rPr>
        <w:t>t-m</w:t>
      </w:r>
      <w:r>
        <w:rPr>
          <w:rFonts w:hint="eastAsia" w:ascii="宋体" w:hAnsi="宋体" w:eastAsia="宋体" w:cs="宋体"/>
          <w:sz w:val="24"/>
          <w:szCs w:val="24"/>
          <w:vertAlign w:val="superscript"/>
        </w:rPr>
        <w:t>2</w:t>
      </w:r>
    </w:p>
    <w:p w14:paraId="49464B2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机组惯性时间常数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3.51</w:t>
      </w:r>
      <w:r>
        <w:rPr>
          <w:rFonts w:hint="eastAsia" w:ascii="宋体" w:hAnsi="宋体" w:eastAsia="宋体" w:cs="宋体"/>
          <w:sz w:val="24"/>
          <w:szCs w:val="24"/>
        </w:rPr>
        <w:t>s</w:t>
      </w:r>
    </w:p>
    <w:p w14:paraId="67C3318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3）水轮机导叶接力器主要参数</w:t>
      </w:r>
    </w:p>
    <w:p w14:paraId="536D6E0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接力器活塞直径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××mm（由主机厂提供）</w:t>
      </w:r>
    </w:p>
    <w:p w14:paraId="5D73DA1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接力器最大行程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××mm（由主机厂提供）</w:t>
      </w:r>
    </w:p>
    <w:p w14:paraId="0ED29E0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额定操作油压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16MPa</w:t>
      </w:r>
    </w:p>
    <w:p w14:paraId="43FD96F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导叶接力器接力器个数（单机）</w:t>
      </w:r>
      <w:r>
        <w:rPr>
          <w:rFonts w:hint="eastAsia" w:ascii="宋体" w:hAnsi="宋体" w:eastAsia="宋体" w:cs="宋体"/>
          <w:sz w:val="24"/>
          <w:szCs w:val="24"/>
        </w:rPr>
        <w:tab/>
      </w:r>
      <w:r>
        <w:rPr>
          <w:rFonts w:hint="eastAsia" w:ascii="宋体" w:hAnsi="宋体" w:eastAsia="宋体" w:cs="宋体"/>
          <w:sz w:val="24"/>
          <w:szCs w:val="24"/>
        </w:rPr>
        <w:t>1</w:t>
      </w:r>
    </w:p>
    <w:p w14:paraId="3F72F703">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rPr>
        <w:t xml:space="preserve">单个导叶接力器容积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××L（由主机厂提供）</w:t>
      </w:r>
    </w:p>
    <w:p w14:paraId="426656AF">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r>
        <w:rPr>
          <w:rFonts w:hint="eastAsia" w:ascii="宋体" w:hAnsi="宋体" w:eastAsia="宋体" w:cs="宋体"/>
          <w:bCs/>
          <w:sz w:val="28"/>
          <w:szCs w:val="28"/>
        </w:rPr>
        <w:t>4.4.2 引水系统主要参数</w:t>
      </w:r>
    </w:p>
    <w:p w14:paraId="07A437A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1）发电引水系统水力损失          △h=</w:t>
      </w:r>
      <w:r>
        <w:rPr>
          <w:rFonts w:hint="eastAsia" w:ascii="宋体" w:hAnsi="宋体" w:eastAsia="宋体" w:cs="宋体"/>
        </w:rPr>
        <w:t xml:space="preserve"> </w:t>
      </w:r>
      <w:r>
        <w:rPr>
          <w:rFonts w:hint="eastAsia" w:ascii="宋体" w:hAnsi="宋体" w:eastAsia="宋体" w:cs="宋体"/>
          <w:sz w:val="24"/>
          <w:szCs w:val="24"/>
        </w:rPr>
        <w:t>0.0</w:t>
      </w:r>
      <w:r>
        <w:rPr>
          <w:rFonts w:hint="eastAsia" w:ascii="宋体" w:hAnsi="宋体" w:eastAsia="宋体" w:cs="宋体"/>
          <w:sz w:val="24"/>
          <w:szCs w:val="24"/>
          <w:lang w:val="en-US" w:eastAsia="zh-CN"/>
        </w:rPr>
        <w:t>8537</w:t>
      </w:r>
      <w:r>
        <w:rPr>
          <w:rFonts w:hint="eastAsia" w:ascii="宋体" w:hAnsi="宋体" w:eastAsia="宋体" w:cs="宋体"/>
          <w:sz w:val="24"/>
          <w:szCs w:val="24"/>
        </w:rPr>
        <w:t>Q2（注Q为单机流量）</w:t>
      </w:r>
    </w:p>
    <w:p w14:paraId="04FA597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2）引水系统∑L                        </w:t>
      </w:r>
      <w:r>
        <w:rPr>
          <w:rFonts w:hint="eastAsia" w:ascii="宋体" w:hAnsi="宋体" w:eastAsia="宋体" w:cs="宋体"/>
          <w:sz w:val="24"/>
          <w:szCs w:val="24"/>
          <w:lang w:val="en-US" w:eastAsia="zh-CN"/>
        </w:rPr>
        <w:t>152</w:t>
      </w:r>
      <w:r>
        <w:rPr>
          <w:rFonts w:hint="eastAsia" w:ascii="宋体" w:hAnsi="宋体" w:eastAsia="宋体" w:cs="宋体"/>
          <w:sz w:val="24"/>
          <w:szCs w:val="24"/>
        </w:rPr>
        <w:t>m</w:t>
      </w:r>
    </w:p>
    <w:p w14:paraId="6261A45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3）额定水头下×台机同时发额定功率工况</w:t>
      </w:r>
    </w:p>
    <w:p w14:paraId="1452568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水轮机单机流量                       </w:t>
      </w:r>
      <w:r>
        <w:rPr>
          <w:rFonts w:hint="eastAsia" w:ascii="宋体" w:hAnsi="宋体" w:eastAsia="宋体" w:cs="宋体"/>
          <w:sz w:val="24"/>
          <w:szCs w:val="24"/>
          <w:lang w:val="en-US" w:eastAsia="zh-CN"/>
        </w:rPr>
        <w:t>4.84</w:t>
      </w: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hint="eastAsia" w:ascii="宋体" w:hAnsi="宋体" w:eastAsia="宋体" w:cs="宋体"/>
          <w:sz w:val="24"/>
          <w:szCs w:val="24"/>
        </w:rPr>
        <w:t>/s</w:t>
      </w:r>
    </w:p>
    <w:p w14:paraId="1777F6D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引水系统∑LV                        </w:t>
      </w:r>
      <w:r>
        <w:rPr>
          <w:rFonts w:hint="eastAsia" w:ascii="宋体" w:hAnsi="宋体" w:eastAsia="宋体" w:cs="宋体"/>
          <w:sz w:val="24"/>
          <w:szCs w:val="24"/>
          <w:lang w:val="en-US" w:eastAsia="zh-CN"/>
        </w:rPr>
        <w:t>594</w:t>
      </w:r>
      <w:r>
        <w:rPr>
          <w:rFonts w:hint="eastAsia" w:ascii="宋体" w:hAnsi="宋体" w:eastAsia="宋体" w:cs="宋体"/>
          <w:sz w:val="24"/>
          <w:szCs w:val="24"/>
        </w:rPr>
        <w:t>m</w:t>
      </w:r>
      <w:r>
        <w:rPr>
          <w:rFonts w:hint="eastAsia" w:ascii="宋体" w:hAnsi="宋体" w:eastAsia="宋体" w:cs="宋体"/>
          <w:sz w:val="24"/>
          <w:szCs w:val="24"/>
          <w:vertAlign w:val="superscript"/>
        </w:rPr>
        <w:t>2</w:t>
      </w:r>
      <w:r>
        <w:rPr>
          <w:rFonts w:hint="eastAsia" w:ascii="宋体" w:hAnsi="宋体" w:eastAsia="宋体" w:cs="宋体"/>
          <w:sz w:val="24"/>
          <w:szCs w:val="24"/>
        </w:rPr>
        <w:t>/s</w:t>
      </w:r>
    </w:p>
    <w:p w14:paraId="47DC991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水流惯性时间常数                     </w:t>
      </w:r>
      <w:r>
        <w:rPr>
          <w:rFonts w:hint="eastAsia" w:ascii="宋体" w:hAnsi="宋体" w:eastAsia="宋体" w:cs="宋体"/>
          <w:sz w:val="24"/>
          <w:szCs w:val="24"/>
          <w:lang w:val="en-US" w:eastAsia="zh-CN"/>
        </w:rPr>
        <w:t>1.10</w:t>
      </w:r>
      <w:r>
        <w:rPr>
          <w:rFonts w:hint="eastAsia" w:ascii="宋体" w:hAnsi="宋体" w:eastAsia="宋体" w:cs="宋体"/>
          <w:sz w:val="24"/>
          <w:szCs w:val="24"/>
        </w:rPr>
        <w:t>s</w:t>
      </w:r>
    </w:p>
    <w:p w14:paraId="6C5C376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4）最大水头下×台机同时发额定功率工况</w:t>
      </w:r>
    </w:p>
    <w:p w14:paraId="7B0D1D3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水轮机单机流量                       </w:t>
      </w:r>
      <w:r>
        <w:rPr>
          <w:rFonts w:hint="eastAsia" w:ascii="宋体" w:hAnsi="宋体" w:eastAsia="宋体" w:cs="宋体"/>
          <w:sz w:val="24"/>
          <w:szCs w:val="24"/>
          <w:lang w:val="en-US" w:eastAsia="zh-CN"/>
        </w:rPr>
        <w:t>4.80</w:t>
      </w: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hint="eastAsia" w:ascii="宋体" w:hAnsi="宋体" w:eastAsia="宋体" w:cs="宋体"/>
          <w:sz w:val="24"/>
          <w:szCs w:val="24"/>
        </w:rPr>
        <w:t>/s</w:t>
      </w:r>
    </w:p>
    <w:p w14:paraId="74D1B39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引水系统∑LV                       1337.93m</w:t>
      </w:r>
      <w:r>
        <w:rPr>
          <w:rFonts w:hint="eastAsia" w:ascii="宋体" w:hAnsi="宋体" w:eastAsia="宋体" w:cs="宋体"/>
          <w:sz w:val="24"/>
          <w:szCs w:val="24"/>
          <w:vertAlign w:val="superscript"/>
        </w:rPr>
        <w:t>2</w:t>
      </w:r>
      <w:r>
        <w:rPr>
          <w:rFonts w:hint="eastAsia" w:ascii="宋体" w:hAnsi="宋体" w:eastAsia="宋体" w:cs="宋体"/>
          <w:sz w:val="24"/>
          <w:szCs w:val="24"/>
        </w:rPr>
        <w:t>/s</w:t>
      </w:r>
    </w:p>
    <w:p w14:paraId="0285D49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水流惯性时间常数                    </w:t>
      </w:r>
      <w:r>
        <w:rPr>
          <w:rFonts w:hint="eastAsia" w:ascii="宋体" w:hAnsi="宋体" w:eastAsia="宋体" w:cs="宋体"/>
          <w:sz w:val="24"/>
          <w:szCs w:val="24"/>
          <w:lang w:val="en-US" w:eastAsia="zh-CN"/>
        </w:rPr>
        <w:t>1.06</w:t>
      </w:r>
      <w:r>
        <w:rPr>
          <w:rFonts w:hint="eastAsia" w:ascii="宋体" w:hAnsi="宋体" w:eastAsia="宋体" w:cs="宋体"/>
          <w:sz w:val="24"/>
          <w:szCs w:val="24"/>
        </w:rPr>
        <w:t>s</w:t>
      </w:r>
    </w:p>
    <w:p w14:paraId="2BF16981">
      <w:pPr>
        <w:pStyle w:val="4"/>
        <w:keepLines w:val="0"/>
        <w:autoSpaceDE w:val="0"/>
        <w:autoSpaceDN w:val="0"/>
        <w:adjustRightInd w:val="0"/>
        <w:spacing w:before="0" w:after="0"/>
        <w:jc w:val="left"/>
        <w:textAlignment w:val="baseline"/>
        <w:rPr>
          <w:rFonts w:hint="eastAsia" w:ascii="宋体" w:hAnsi="宋体" w:eastAsia="宋体" w:cs="宋体"/>
          <w:kern w:val="2"/>
          <w:sz w:val="28"/>
          <w:szCs w:val="28"/>
        </w:rPr>
      </w:pPr>
      <w:r>
        <w:rPr>
          <w:rFonts w:hint="eastAsia" w:ascii="宋体" w:hAnsi="宋体" w:eastAsia="宋体" w:cs="宋体"/>
          <w:bCs/>
          <w:sz w:val="28"/>
          <w:szCs w:val="28"/>
        </w:rPr>
        <w:t>4.4.3 机组在电力系统中的运行方式</w:t>
      </w:r>
    </w:p>
    <w:p w14:paraId="4F69619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电站在电网中承担调峰任务。</w:t>
      </w:r>
    </w:p>
    <w:p w14:paraId="21F94BC4">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4.5 型式及总体要求</w:t>
      </w:r>
    </w:p>
    <w:p w14:paraId="5466D37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4.5.1 调速系统调速功为10000N. m，额定工作油压为16MPa。</w:t>
      </w:r>
    </w:p>
    <w:p w14:paraId="3163958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4.5.2 调速系统应是满足水轮机操作要求的PID数字式电液调速器，具有速度调节、功率调节、开度调节、正常开停机、事故停机、紧急停机、导叶开度限制、频率跟踪控制、在线自诊断及其处理、快速同步等功能。</w:t>
      </w:r>
    </w:p>
    <w:p w14:paraId="620124E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4.5.3 导叶接力器的全关和全开时间应能在2～25s范围内独立可调。</w:t>
      </w:r>
    </w:p>
    <w:p w14:paraId="12FFD11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4.5.4 调速系统应有足够的工作容量。在规定的最短时间内，在压力罐内操作油压为最低操作油压、作用在水轮机导叶上的反向力矩最大时，能操作导叶接力器全行程关闭。</w:t>
      </w:r>
    </w:p>
    <w:p w14:paraId="725646F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4.5.5 调速系统电气柜和机械液压部分单独设置。电气柜布置在厂房发电机层上游侧，应能容纳调速系统所有的电气部分，同时包括油压装置控制部分及与外部系统联系的端子和接口。机械液压部分与油压装置组成一体或分开布置。</w:t>
      </w:r>
    </w:p>
    <w:p w14:paraId="0B790D9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4.5.6 机械液压系统中应有合适的油过滤装置，液压部件的设计应有防震、防卡、防止油粘滞的措施，以保证机械液压部件能正常地工作。</w:t>
      </w:r>
    </w:p>
    <w:p w14:paraId="2EB57138">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4.5.7 调速系统应根据本技术条款、GB/T9652.1《水轮机调速系统技术条件》、 GB/T9652.2《水轮机调速系统试验》、IEEE、IEC61362-1998《水轮机控制技术规范导则》等标准的要求进行设计和试验。</w:t>
      </w:r>
    </w:p>
    <w:p w14:paraId="7167AD18">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4.6 功能及性能要求</w:t>
      </w:r>
    </w:p>
    <w:p w14:paraId="1D6B23A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4.6.1 调速系统应具有比例、积分、微分PID的调节规律，功率采用PI调节，速度采用PID调节。PID校正应具有足够的可调增益范围，并能适合被控系统的动态特性。</w:t>
      </w:r>
    </w:p>
    <w:p w14:paraId="7399F8A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4.6.2 当一种控制或操作方式需要进行正常运行或事故切换时，应能实现水轮机导叶或发电机负荷的无扰动切换。切换时导叶接力器行程变化不得超过全行程的±1%。调速器冗余电源系统切换时，引起导叶接力器行程变化不得超过全行程的±1%。</w:t>
      </w:r>
    </w:p>
    <w:p w14:paraId="78EF2AE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4.6.3 调速系统应设有导叶开度限制功能，可调的导叶开度限制应为电气型。导叶电气开度限制应能按水头限制功率。导叶开度限制可在现地、远方进行调整及数值显示。</w:t>
      </w:r>
    </w:p>
    <w:p w14:paraId="01831B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4.6.4 为便于实现机组与系统快速并网或缩短同期时间，调速器应设有电网频率跟踪装置，同期期间能跟踪电网频率，实现快速并网。</w:t>
      </w:r>
    </w:p>
    <w:p w14:paraId="69D3034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4.6.5 调速系统应能接受电站计算机监控系统的控制和调整命令，并向计算机监控系统提供所需的信息。</w:t>
      </w:r>
    </w:p>
    <w:p w14:paraId="26AE234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4.6.6 调速系统应具有在线自诊断和故障处理功能。故障通过电气柜上的指示灯或触摸屏指示。某些故障也可通过微机插件板上的指示灯指示。所有故障信息应提供给电站计算机监控系统，尤其对于每个动作于停机保护的重要故障信号需分别提供2对电气独立的接点。</w:t>
      </w:r>
    </w:p>
    <w:p w14:paraId="1C8C1C0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4.6.7 调速系统发生诸如CPU故障、输入输出通道故障、通讯模块故障、开度和功率反馈故障、电源故障等故障时，关机回路和开限应保持可操作性，调速器应维持导叶在故障前的位置，且调速器的任何故障应不影响机组必要的紧急停机操作。</w:t>
      </w:r>
    </w:p>
    <w:p w14:paraId="1083791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4.6.8 当机组在额定转速空载运行时，调速系统应能控制机组转速稳定运行。当机组与电站其它机组或电力系统并联运行时，调速系统也应能在零到最大功率范围内控制机组功率稳定运行。</w:t>
      </w:r>
    </w:p>
    <w:p w14:paraId="5005CC7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4.6.9 机组在额定转速手动空载运行时，由调速系统控制的机组转速摆动相对值不超过额定转速的0.1%，试验时，连续测量时间为3min。</w:t>
      </w:r>
    </w:p>
    <w:p w14:paraId="67FF12F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4.6.10 调速器的静态特性曲线应近似为直线。测至导叶接力器的转速死区不超过额定转速的0.02%。在水轮机静止及输入转速信号恒定的条件下，接力器摆动值不超过0.1%。</w:t>
      </w:r>
    </w:p>
    <w:p w14:paraId="24C6453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4.6.11 在空载工况自动运行时，施加一阶跃型转速指令信号，由调速系统控制的机组转速摆动相对值不超过额定转速的±0.25% 。机组启动开始至机组空载转速偏差小于同期带(+1%~-0.5%)的时间不大于从机组启动开始至机组转速达到80%额定转速时间的5倍。</w:t>
      </w:r>
    </w:p>
    <w:p w14:paraId="043FBFF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4.6.12 机组甩负荷后的动态品质应达到：甩100%额定负荷后，在转速变化过程中，超过稳态转速3%额定转速值以上的波峰不超过两次；从机组甩负荷时起，到机组转速相对偏差小于±1%为止的调整时间与从甩负荷开始至转速升至最高转速所经历时间的比值应不大于15。</w:t>
      </w:r>
    </w:p>
    <w:p w14:paraId="1C6E525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4.6.13 导叶接力器的不动时间不大于0.2s。</w:t>
      </w:r>
    </w:p>
    <w:p w14:paraId="0C153E1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4.6.14 参数可调范围：</w:t>
      </w:r>
    </w:p>
    <w:p w14:paraId="5D75F7A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1）永态转差系数：0～10%；</w:t>
      </w:r>
    </w:p>
    <w:p w14:paraId="3CF63E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2）暂态转差系数：0～100%；</w:t>
      </w:r>
    </w:p>
    <w:p w14:paraId="4F6BD99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3）缓冲时间常数：1～20s；</w:t>
      </w:r>
    </w:p>
    <w:p w14:paraId="3AF0AB7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4）比例增益kP：0.2～20；</w:t>
      </w:r>
    </w:p>
    <w:p w14:paraId="691391B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5）积分增益kI：0.05～10 s-1；</w:t>
      </w:r>
    </w:p>
    <w:p w14:paraId="32929A2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6）微分增益kD：0～5 s；</w:t>
      </w:r>
    </w:p>
    <w:p w14:paraId="321BCE9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7）人工频率失灵区：0～±1.0% nr；</w:t>
      </w:r>
    </w:p>
    <w:p w14:paraId="75A7A2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8）频率(转速)调整范围：45～55Hz；</w:t>
      </w:r>
    </w:p>
    <w:p w14:paraId="54CC3C6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9）功率给定值调整范围：0～120% Nr；</w:t>
      </w:r>
    </w:p>
    <w:p w14:paraId="1CCC85D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10）导叶开度给定范围：-1%~120%。其中，负值为导叶开度的压紧行程。</w:t>
      </w:r>
    </w:p>
    <w:p w14:paraId="55392C9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4.6.15 无论是速度控制方式还是功率控制方式，转速调整和功率给定值调整的变化速率是软件可调的，给定值从最大发电机功率减少到零功率（或相反）所需的时间应能在10s~80s之间调整。</w:t>
      </w:r>
    </w:p>
    <w:p w14:paraId="2C76075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4.6.16 调速器的综合漂移量折算为转速相对值不得超过0.6%。</w:t>
      </w:r>
    </w:p>
    <w:p w14:paraId="4B79AEE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4.6.17 速度监测装置在额定转速±10%范围内，静态特性曲线应近似为直线；在额定转速±2%范围内，其放大系数的实测值偏差不超过设计值的±5%。在设计范围内速度检测装置的精度应不低于0.05%。</w:t>
      </w:r>
    </w:p>
    <w:p w14:paraId="0C6BD70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4.6.18 调速系统的可靠性</w:t>
      </w:r>
    </w:p>
    <w:p w14:paraId="1A7AC05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1）强迫停机率≤0.5%。</w:t>
      </w:r>
    </w:p>
    <w:p w14:paraId="685784B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2）无故障连续运行时间大于16000h</w:t>
      </w:r>
    </w:p>
    <w:p w14:paraId="2AF0883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3）大修间隔时间6年。</w:t>
      </w:r>
    </w:p>
    <w:p w14:paraId="4FC08CA1">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4）退役前的使用年限40年。</w:t>
      </w:r>
    </w:p>
    <w:p w14:paraId="64436B7F">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4.7 运行要求</w:t>
      </w:r>
    </w:p>
    <w:p w14:paraId="3240409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4.7.1 调速系统应有远方和现地两种控制模式。当选择现地控制模式时，又有手动、自动、电手动方式三种控制模式可供选择。这些控制方式均可通过电气柜正面的操作旋钮进行切换。以上任何一种控制模式均可实现机组的开机、空载运行、并网运行、停机操作。</w:t>
      </w:r>
    </w:p>
    <w:p w14:paraId="0D05F63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4.7.2 调速系统应设有正常停机、事故停机和紧急停机三种停机方式。并在找到事故原因并加以消除以前，事故停机和紧急停机回路应一直保持闭锁状态，只有通过手动操作复归按钮或通过计算机复归命令才能解除闭锁。</w:t>
      </w:r>
    </w:p>
    <w:p w14:paraId="4B42243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4.7.3 导叶接力器上设有全关位置的自动锁定装置。锁定装置可由电磁液压阀或液控阀组成。在调速器的控制柜上应设有锁定投入和退出的按钮和状态指示灯，并通过独立的电气接点将锁定的状态信号送往电站计算机监控系统。锁定装置处于退出状态是机组启动的前提条件。</w:t>
      </w:r>
    </w:p>
    <w:p w14:paraId="2DA4BDD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4.7.4 调速器电气柜现地至少应能进行下列操作（但不限于），并有相应的指示</w:t>
      </w:r>
    </w:p>
    <w:p w14:paraId="59177E0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1）通过柜面上的开关和旋钮：</w:t>
      </w:r>
    </w:p>
    <w:p w14:paraId="47FA72F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（1）现地/远方方式切换；</w:t>
      </w:r>
    </w:p>
    <w:p w14:paraId="5467D4F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（2）手动/自动/电手动控制切换；</w:t>
      </w:r>
    </w:p>
    <w:p w14:paraId="0548F9A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（3）转速/有功/开度控制切换；</w:t>
      </w:r>
    </w:p>
    <w:p w14:paraId="6B8B49A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（4）转速/有功调整增减；</w:t>
      </w:r>
    </w:p>
    <w:p w14:paraId="5E67088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（5）导叶开度限制增/减；</w:t>
      </w:r>
    </w:p>
    <w:p w14:paraId="4559AEF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（6）事故紧急停机；</w:t>
      </w:r>
    </w:p>
    <w:p w14:paraId="47719F2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（7）导叶锁锭投/切操作。</w:t>
      </w:r>
    </w:p>
    <w:p w14:paraId="156BF1F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2）通过柜面上的人机界面（MHI）</w:t>
      </w:r>
    </w:p>
    <w:p w14:paraId="62C31E8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（1）人工频率失灵区投、切；</w:t>
      </w:r>
    </w:p>
    <w:p w14:paraId="4BE27CC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（2）频率跟踪功能投、切；</w:t>
      </w:r>
    </w:p>
    <w:p w14:paraId="1C91A21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（3）各种参数设定；</w:t>
      </w:r>
    </w:p>
    <w:p w14:paraId="18E31B6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（4）其它</w:t>
      </w:r>
    </w:p>
    <w:p w14:paraId="558E710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5.7.5 调速器也应能接受远方控制指令进行下列操作（但不限于）</w:t>
      </w:r>
    </w:p>
    <w:p w14:paraId="2A28036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（1）正常开、停机顺序控制；</w:t>
      </w:r>
    </w:p>
    <w:p w14:paraId="243E2A2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（2）事故停机、紧急停机顺序控制；</w:t>
      </w:r>
    </w:p>
    <w:p w14:paraId="4C03AB4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（3）转速给定增、减；</w:t>
      </w:r>
    </w:p>
    <w:p w14:paraId="069222A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（4）功率给定增、减；</w:t>
      </w:r>
    </w:p>
    <w:p w14:paraId="7A471B2D">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（5）导叶开度限制增、减；</w:t>
      </w:r>
    </w:p>
    <w:p w14:paraId="6FCFA038">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4.8 部件分项要求</w:t>
      </w:r>
    </w:p>
    <w:p w14:paraId="3EE97E3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每台调速器由机械液压柜、电气控制柜、油压装置及相应阀件、管路及电缆等组成。以下是对其中主要部件的要求。</w:t>
      </w:r>
    </w:p>
    <w:p w14:paraId="0EC133D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4.8.1 供电单元</w:t>
      </w:r>
    </w:p>
    <w:p w14:paraId="4AC978C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4.8.1.1 调速器微机系统应配备采用交、直流并列供电的带滤波器及抗干扰装置的冗余结构电源系统。冗余的电源系统交流或直流外供电源之一消失时、或2套电源中某1套电源退出时，均不影响调速系统正常工作。正常情况下，采用交流供电，直流供电备用。</w:t>
      </w:r>
    </w:p>
    <w:p w14:paraId="25B7585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4.8.1.2 微机控制系统、转速探测和速度监控系统及紧急停机操作系统等，应具有相互独立的AC/DC供电回路。</w:t>
      </w:r>
    </w:p>
    <w:p w14:paraId="68BDC3E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4.8.1.3 调速器电气柜、油压装置控制柜内应装设电源监视继电器，盘面装设电源投入信号指示灯，并提供独立的电源投入（常开接点）、电源消失（常闭接点）监视信号分别用于现地显示及传送至电站计算机监控系统。</w:t>
      </w:r>
    </w:p>
    <w:p w14:paraId="2B1BEBC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4.8.2 可编程控制器</w:t>
      </w:r>
    </w:p>
    <w:p w14:paraId="1E386B1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4.8.2.1 承包人可根据自己的经验推荐采用单套微机或双微机容错系统的调速器，也可同时对两种结构的系统分别报价和作技术说明。无论推荐采用何种系统结构，均应保证在调速器内部故障时，不造成机组运行状态的改变和出力波动，在外部系统事故要求停机时，能保证机组安全停机。</w:t>
      </w:r>
    </w:p>
    <w:p w14:paraId="177E5B7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4.8.2.1 可编程控制器应是高效和具有兼容性的数字控制系统。每套可编程控制器中应有高性能的CPU模块、通讯适配器和输入输出模块。CPU字长不低于32位，时钟频率不低于33MHz。可编程控制器应配备足够容量的内存贮器，以容纳各种系统软件和应用软件，并留足不少于100%的扩展容量。</w:t>
      </w:r>
    </w:p>
    <w:p w14:paraId="66CF043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4.8.2.3 每套可编程控制器系统应配备独立的插拔式输入输出模块(I／O模块)，并通过数据总线与可编程控制器相连。I／O模块与外部的I／O信号均应有光电隔离措施并应有发光二级管(LED)型指示灯以指示故障。各种型号的模拟输入输出及数字输入、输出通道数应根据本合同规定的性能要求配置并另留足25%的余量。</w:t>
      </w:r>
    </w:p>
    <w:p w14:paraId="16076CC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4.8.2.4 调速器应提供两种接口方式实现与电站计算机监控系统的信息传递。第1种是数字通讯方式，主要用于向计算机监控系统提供调节系统各种信息的PID参数、内部故障及其它诊断信息等。第2种是I／O接口方式（主要接口方式），调节系统与监控系统相关的所有重要信息以及计算机监控系统向调速系统下达的控制调节命令均以I／O接口方式实现。</w:t>
      </w:r>
    </w:p>
    <w:p w14:paraId="15576EC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4.8.2.5 当可编程控制器故障时，应提供2对独立的接点信号至监控系统，由监控系统发出事故停机指令。</w:t>
      </w:r>
    </w:p>
    <w:p w14:paraId="4C175F9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4.8.3 测频系统</w:t>
      </w:r>
    </w:p>
    <w:p w14:paraId="02C8FEC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4.8.3.1 调速器应设有3路测频回路，其中2路为机频，1路为网频。</w:t>
      </w:r>
    </w:p>
    <w:p w14:paraId="22C3DD0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4.8.3.2 两路机频中，一路由安装在发电机主轴上的齿盘和2个脉冲转速探测器及1套光电隔离单元组成，另一路采用残压测速方式，信号取自发电机端的电压互感器，两路测得的机频互为备用。调速器在并网后，网频也可作调速器的测频后备。三种测速信号同时送入调速器测频模块，由软件或人工确定在不同运行工况下采用何种测速方式。</w:t>
      </w:r>
    </w:p>
    <w:p w14:paraId="1D2C1D0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4.8.3.3 测频系统所提供的转速信号值与机组转速值之间应有良好的线性关系，转速测量精度应不低于0.05% 。</w:t>
      </w:r>
    </w:p>
    <w:p w14:paraId="51ABA00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4.8.3.4 转速探测器与其支架及机组旋转轴应完全电气隔离。承包人应协调齿盘和转速探测器的连接并负责连接设计。</w:t>
      </w:r>
    </w:p>
    <w:p w14:paraId="4D499E8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4.8.3.5 转速信号应可现地数字显示。</w:t>
      </w:r>
    </w:p>
    <w:p w14:paraId="641A365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4.8.4 导叶位置和功率反馈</w:t>
      </w:r>
    </w:p>
    <w:p w14:paraId="5E43377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4.8.4.1 导叶位置反馈采用电气反馈。位置传感器由水轮机承包人提供，输出4～20mA的模拟量信号和不少于4个开关量信号。在调速器电气柜上应以适当的方式显示导叶的位置。</w:t>
      </w:r>
    </w:p>
    <w:p w14:paraId="1366E74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4.8.4.2 调速系统所需机组有功功率信号由计算机监控系统功率变送器提供。</w:t>
      </w:r>
    </w:p>
    <w:p w14:paraId="44DBCBA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4.8.5 机械液压阀</w:t>
      </w:r>
    </w:p>
    <w:p w14:paraId="06E79AE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4.8.5.1 调速器机械液压操作系统由电液伺服阀、主配压阀、紧停电磁阀、事故配压阀、数字球阀和液控单向节流阀及相应压力信号器等组成。各液压元件和油路应采用组合式集成结构，其动作应可靠。</w:t>
      </w:r>
    </w:p>
    <w:p w14:paraId="52A6651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4.8.5.2 电液伺服阀应能正确可靠工作，并具有良好的抗油污能力和防止油粘滞的措施，能通过10µm的杂质。</w:t>
      </w:r>
    </w:p>
    <w:p w14:paraId="296BA68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4.8.5.3 主配压阀应采用比例阀，其动作应可靠。主配压阀主要零部件应采用耐磨、耐腐蚀性能好的材料，阀芯和阀壳均应采用锻件结构。</w:t>
      </w:r>
    </w:p>
    <w:p w14:paraId="3737551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4.8.5.4 当比例阀发生故障时，应可切换到另一组由数字球阀组成的操作回路来代替主配压阀的功能，实现水轮机调节。</w:t>
      </w:r>
    </w:p>
    <w:p w14:paraId="29FEBE2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4.8.5.5 液压操作系统中还应设有紧停电磁阀和事故配压阀，供紧急情况下快速关闭水轮机导叶使用。</w:t>
      </w:r>
    </w:p>
    <w:p w14:paraId="1FAFF38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4.8.6 油压装置</w:t>
      </w:r>
    </w:p>
    <w:p w14:paraId="4C5808C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4.8.6.1 压力油罐及附件</w:t>
      </w:r>
    </w:p>
    <w:p w14:paraId="61966CF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1）额定油压</w:t>
      </w:r>
    </w:p>
    <w:p w14:paraId="2AE8338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压力油罐的额定工作油压为16MPa，最大工作油压不超过额定工作油压的5%。压力油罐应为自蓄能型式，电站不设供气系统。</w:t>
      </w:r>
    </w:p>
    <w:p w14:paraId="7B91883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工作容积</w:t>
      </w:r>
    </w:p>
    <w:p w14:paraId="6F63A88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压力油罐应有足够的压力油工作容积，在正常工作油压下限和油泵不打油的情况下，压力油罐的可用油至少应能在完成3个导叶接力器全行程后，使罐内的油压仍高于允许的最小操作油压。</w:t>
      </w:r>
    </w:p>
    <w:p w14:paraId="0B1C11D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当压力油罐处于事故低油压时，油压和油量应能保证所有导叶从全开位置一直运行到全关位置一次。</w:t>
      </w:r>
    </w:p>
    <w:p w14:paraId="745CF6A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在最大工作油压时，压力油罐内的油量为压力油罐总容量的1/3~1/2，压力油罐容积计算时的油压变化应按绝热过程考虑。</w:t>
      </w:r>
    </w:p>
    <w:p w14:paraId="66B8AC8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3）结构</w:t>
      </w:r>
    </w:p>
    <w:p w14:paraId="765F475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压力罐应是钢板焊接结构，其设计、制造、试验、探伤、验收应符合国家颁发的《压力容器安全技术监察规程》、GB150、ASME的相关规定。其设计压力应不小于1.1倍最大工作压力。</w:t>
      </w:r>
    </w:p>
    <w:p w14:paraId="6A0594F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4）附件</w:t>
      </w:r>
    </w:p>
    <w:p w14:paraId="16646F7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压力油罐上应装有压力信号器，压力变送器、压力表等仪表和自动化元件，还应设有排油阀等。</w:t>
      </w:r>
    </w:p>
    <w:p w14:paraId="5DF9092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压力油罐上应设有供起吊用的吊耳，内部涂刷耐油漆。</w:t>
      </w:r>
    </w:p>
    <w:p w14:paraId="1839F9C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4.8.6.2 油泵电动机组及附件</w:t>
      </w:r>
    </w:p>
    <w:p w14:paraId="0366FEE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调速系统的油压装置设有不少于2台容量相同的油泵电动机组，每台油泵每分钟总容量应不小于1台水轮机导叶接力器有效容积。所有油泵为齿轮泵，在最大油压下能自吸，每台泵应直接与三相、低起动电流、50Hz、380V交流感应电动机相连，电动机应设计成全电压直接起动。但当单泵容量为22kV及以上时应设置软启动装置。</w:t>
      </w:r>
    </w:p>
    <w:p w14:paraId="20A40DB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每台油泵应装设具有卸荷阀、安全阀、止回阀功能的模块式阀组和电磁阀。油泵电动机的运行方式为非连续运行方式。当压力油罐压力低于正常工作压力下限，油泵向压力油罐输油；当压力油罐压力高于正常工作压力上限，油泵停止输油。每台油泵都应装设安全阀，当油压高于工作油压上限2%以上时，安全阀应开始排油；当油压高于工作油压上限10%以前，安全阀应全部开启，并使压力罐中油压不再升高。当油压低于工作油压下限0.1~0.15MPa时，备用油泵启动。另外应提供1套手动操作阀，以便使任何一台油泵检修或更换时与油压系统隔开而不影响系统运行。</w:t>
      </w:r>
    </w:p>
    <w:p w14:paraId="01D5EA6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承包人应随油压装置提供1套用于油泵操作的控制装置，该装置包括可编程控制器、操作油泵电机起动和停止的起动器、压力开关或压力传感器。可编程控制器依据压力开关或压力传感器的输出信号去控制油泵运行，控制装置应设有油泵正在运行时安全阀开启信号。控制装置应设计成能在所有运行工况下启动电动机，且能在电动机脱离电源之前使油泵卸荷。备用泵起动时，控制装置应有状态显示信号。油泵的运行状态信息应送入可编程控制器，以便送至电站计算机监控系统。2台油泵能单独运行或联合运行，且互为备用。</w:t>
      </w:r>
    </w:p>
    <w:p w14:paraId="6EAD63A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4）在每台油泵出口应配备可切换的双油过滤器，过滤精度为10μm；在每台油泵吸油侧应配备可更换的油过滤器。每个过滤器应设有堵塞信号装置用于报警指示并送入可编程控制器。各过滤器应易于拆卸清洗。</w:t>
      </w:r>
    </w:p>
    <w:p w14:paraId="6A3F93F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4.8.6.3 回油箱及附件</w:t>
      </w:r>
    </w:p>
    <w:p w14:paraId="0C89C75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1）回油箱应有足够的容积，其容积不应小于压力油罐的全部油量和依靠重力从调速系统返回回油箱的全部油量之和的1.2倍，并使油泵能在一个合适的工作油位范围内运行。</w:t>
      </w:r>
    </w:p>
    <w:p w14:paraId="1828A56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2）回油箱应有合适的、便于回油箱检修的进人门，并装有1个精密网状隔板过滤器，将油泵的吸油和回油分开。网状隔板过滤器应易于拆卸清洗，而不需排掉回油箱中的油。</w:t>
      </w:r>
    </w:p>
    <w:p w14:paraId="07B17F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3）回油箱应装设嵌入式磁翻转的油位指示器、油位开关、温度信号器、充油接口、呼吸器、排油接口及排油阀。</w:t>
      </w:r>
    </w:p>
    <w:p w14:paraId="6EF6AD8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回油箱应没有裂纹、明缝或盲孔，且箱内所有焊缝应连续。制成的回油箱应做热油渗漏试验。</w:t>
      </w:r>
    </w:p>
    <w:p w14:paraId="4736033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4.8.7 调速系统管路</w:t>
      </w:r>
    </w:p>
    <w:p w14:paraId="6694204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应提供调速器液压部分、压力油罐、回油箱、接力器及成套元件之间的全部管道和附件，包括1套完整的调速系统所必须的阀门、管接头、法兰、管路吊架及支撑架等。全部管道及管件应采用0Cr18Ni9不锈钢材料制造。这些管路还包括与接力器连接的高压软管及接头。</w:t>
      </w:r>
    </w:p>
    <w:p w14:paraId="1F70F00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4.8.8 控制装置和仪表</w:t>
      </w:r>
    </w:p>
    <w:p w14:paraId="2322A6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4.8.8.1 总则</w:t>
      </w:r>
    </w:p>
    <w:p w14:paraId="0631E4E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随调速器提供配套的控制装置和仪表，装在调速器的电气柜面板上和里侧。安装在柜面板上的控制装置、仪表和故障指示灯要便于观测且对称排列。所有的仪表、控制开关的尺寸和外观应协调相似。所有柜内设备应配线到附近的端子排上。</w:t>
      </w:r>
    </w:p>
    <w:p w14:paraId="3A8341F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4.8.8.2 仪表和装饰</w:t>
      </w:r>
    </w:p>
    <w:p w14:paraId="23D7278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仪表应为平装型，白盘、黑字和黑色指针，精度不低于1.5级。两指针表盘的第二根指针和数字应用红色或其它经许可的颜色。</w:t>
      </w:r>
    </w:p>
    <w:p w14:paraId="1BCD45F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所有柜体的尺寸和颜色将在设计联络会上确定。</w:t>
      </w:r>
    </w:p>
    <w:p w14:paraId="61D4171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4.8.8.3 调速器电气柜面板上的控制装置与仪表</w:t>
      </w:r>
    </w:p>
    <w:p w14:paraId="5665B66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调速器电气柜面板上应包括但不限于以下控制装置和指示仪表：</w:t>
      </w:r>
    </w:p>
    <w:p w14:paraId="201D32F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1）测量指示仪表：包括导叶开度／开度限制指示表、系统频率表、机组转速表、机组功率表、调速器油压表等；</w:t>
      </w:r>
    </w:p>
    <w:p w14:paraId="6FC685B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2）给定值显示仪表：频率给定指示表、功率给定指示表、开度／手动操作给定指示表等；</w:t>
      </w:r>
    </w:p>
    <w:p w14:paraId="20B24DC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3）故障及状态指示灯：电气柜面板上应有故障指示灯及标识牌。并有开机、停机、并网、接力器锁定投入／切除等红绿状态指示灯；</w:t>
      </w:r>
    </w:p>
    <w:p w14:paraId="52B28AE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4）操作选择旋钮：现地／远方控制方式选择、手动／自动／电手动运行方式选择等； </w:t>
      </w:r>
    </w:p>
    <w:p w14:paraId="3DEABD1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5）给定操作旋钮：开度限制增／减按纽、速度调整增／减按纽、功率增／减按纽、导叶开度增／减等；</w:t>
      </w:r>
    </w:p>
    <w:p w14:paraId="14C5EA3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6）操作按钮：紧急停机按钮、接力器锁定投入／切除按钮等；</w:t>
      </w:r>
    </w:p>
    <w:p w14:paraId="0EF3421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彩色液晶显示器；</w:t>
      </w:r>
    </w:p>
    <w:p w14:paraId="6DDF011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8）其他卖方认为需要装设的设备与仪表。</w:t>
      </w:r>
    </w:p>
    <w:p w14:paraId="6D11A14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4.8.8.4 油压装置控制部分的装置及指示</w:t>
      </w:r>
    </w:p>
    <w:p w14:paraId="2288207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油压装置控制采用独立的可编程控制器。可编程控制器应选用高可靠性、高性能产品，配备CPU模块、通讯模块和插拔式输入输出模块（I/O模块）等。I/O模块应根据本技术条款的规定的数据交换容量配置并留25%的余量。</w:t>
      </w:r>
    </w:p>
    <w:p w14:paraId="365FAAD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压力油罐上配有压力信号器、压力传感器和液位开关(如需)、液位传感器(如需)，这些压力信号、信息和液位信号、信息应接至油压装置监控系统的可编程控制器，用于油压装置油泵的正常控制。同时，油压装置监控系统还应提供2个压力开关信号，用于压力油罐处于低油压和高油压时闭合报警回路。另外，应向电站计算机监控系统提供2个独立的压力开关信号，用于压力油罐油压极低而机组在运行时，触发紧急停机回路进行紧急停机。</w:t>
      </w:r>
    </w:p>
    <w:p w14:paraId="3A019B1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3）油压装置控制系统工作电源应采用交直流复合供电方式。</w:t>
      </w:r>
    </w:p>
    <w:p w14:paraId="0DDA68D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油泵控制系统每台油泵1套，包括保护装置、磁力启动器和其它控制回路。当单泵容量为22kW及以上时，还应设置软启动装置。每台油泵的保护动作信号及运行状态信号，除提供现地显示接点外，应分别提供1对接点至电站计算机监控系统。</w:t>
      </w:r>
    </w:p>
    <w:p w14:paraId="2231DC2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5）油压装置控制部分的面板上应包括但不限于以下控制开关和指示仪表：</w:t>
      </w:r>
    </w:p>
    <w:p w14:paraId="27D0C10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控制选择开关：主工作泵运行方式选择开关，具有“自动选择/1#泵/2#泵”三个位置；油泵运行方式选择开关，具有“手动/自动”两个位置；</w:t>
      </w:r>
    </w:p>
    <w:p w14:paraId="14ED43F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（2）按钮：油泵启、停按钮等；</w:t>
      </w:r>
    </w:p>
    <w:p w14:paraId="2B9E936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（3）测量指示仪表：油泵电动机的交流电压表、油泵电动机的相电流表、气压表等；</w:t>
      </w:r>
    </w:p>
    <w:p w14:paraId="135390E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（4）有关故障或状态指示灯；</w:t>
      </w:r>
    </w:p>
    <w:p w14:paraId="6DCB86C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其他。</w:t>
      </w:r>
    </w:p>
    <w:p w14:paraId="2A3BE036">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4.8.9 调速系统与电站计算机监控系统的接口</w:t>
      </w:r>
      <w:r>
        <w:rPr>
          <w:rFonts w:hint="eastAsia" w:ascii="宋体" w:hAnsi="宋体" w:eastAsia="宋体" w:cs="宋体"/>
          <w:sz w:val="24"/>
          <w:szCs w:val="24"/>
          <w:lang w:eastAsia="zh-CN"/>
        </w:rPr>
        <w:t>。</w:t>
      </w:r>
    </w:p>
    <w:p w14:paraId="18ED83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4.8.9.1 调速系统以数字通信及I／O口两种接口方式与电站计算机系统进行接口。现地及远方控制方式，调速系统均应向电站计算机监控系统传送本技术条款所规定的调速系统有关的各种运行信息。</w:t>
      </w:r>
    </w:p>
    <w:p w14:paraId="0A2CF41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4.8.9.2 油压装置PLC通过数字通信和I／O方式实现与电站计算监控系统接口。</w:t>
      </w:r>
    </w:p>
    <w:p w14:paraId="6E6275B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4.8.9.3 接口要求由承包人与计算机监控系统承包商协商并在设计联络会上经发包人认可，接口要求包括接口通讯规约的型式、接口内容及技术要求等。接口应保证电站计算机监控系统对机组进行有效的监控。</w:t>
      </w:r>
    </w:p>
    <w:p w14:paraId="0BEF371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4.8.9.4 调速系统应同时以通讯及I／O接口两种方式向电站计算机监控系统提供下列信息：</w:t>
      </w:r>
    </w:p>
    <w:p w14:paraId="2865A1F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1）通过通讯接口向电站计算机监控系统提供的信息：PID参数、内部故障及其它诊断信息、状态信息及模拟量信号等。</w:t>
      </w:r>
    </w:p>
    <w:p w14:paraId="00ABCE0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2）从I／O接口（包括数字量和模拟量）向电站计算机监控系统提供的信息：内部故障、状态信息及与监控相关的所有重要信息。</w:t>
      </w:r>
    </w:p>
    <w:p w14:paraId="090FED2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3）电站计算机监控系统以数字通信和I／O接口方式向调速系统输送调整命令或控制指令及水头参数和机组输出功率。</w:t>
      </w:r>
    </w:p>
    <w:p w14:paraId="61A91413">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4.9 备品备件和专用工器具</w:t>
      </w:r>
    </w:p>
    <w:p w14:paraId="7CC8BE4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4.9.1 备品备件</w:t>
      </w:r>
    </w:p>
    <w:p w14:paraId="1985072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承包人应提供如表4.9-1所列的调速系统备品备件，价格应包括在投标总价中。备品备件应与相同用途部件具有相同的规格、材料和工艺，并具有互换性。</w:t>
      </w:r>
    </w:p>
    <w:p w14:paraId="30690A0A">
      <w:pPr>
        <w:autoSpaceDE w:val="0"/>
        <w:autoSpaceDN w:val="0"/>
        <w:adjustRightInd w:val="0"/>
        <w:jc w:val="center"/>
        <w:textAlignment w:val="baseline"/>
        <w:rPr>
          <w:rFonts w:hint="eastAsia" w:ascii="宋体" w:hAnsi="宋体" w:eastAsia="宋体" w:cs="宋体"/>
          <w:kern w:val="0"/>
          <w:szCs w:val="21"/>
        </w:rPr>
      </w:pPr>
      <w:r>
        <w:rPr>
          <w:rFonts w:hint="eastAsia" w:ascii="宋体" w:hAnsi="宋体" w:eastAsia="宋体" w:cs="宋体"/>
          <w:kern w:val="0"/>
          <w:sz w:val="24"/>
          <w:szCs w:val="24"/>
        </w:rPr>
        <w:t>表4.9-1  调速系统备品备件表</w:t>
      </w:r>
    </w:p>
    <w:tbl>
      <w:tblPr>
        <w:tblStyle w:val="65"/>
        <w:tblW w:w="521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82"/>
        <w:gridCol w:w="4333"/>
        <w:gridCol w:w="3573"/>
      </w:tblGrid>
      <w:tr w14:paraId="296EA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12" w:space="0"/>
              <w:left w:val="single" w:color="auto" w:sz="12" w:space="0"/>
              <w:bottom w:val="single" w:color="auto" w:sz="4" w:space="0"/>
              <w:right w:val="single" w:color="auto" w:sz="4" w:space="0"/>
            </w:tcBorders>
            <w:noWrap w:val="0"/>
            <w:vAlign w:val="center"/>
          </w:tcPr>
          <w:p w14:paraId="30AED46F">
            <w:pPr>
              <w:pStyle w:val="980"/>
              <w:adjustRightInd w:val="0"/>
              <w:spacing w:line="400" w:lineRule="exact"/>
              <w:rPr>
                <w:rFonts w:hint="eastAsia" w:ascii="宋体" w:hAnsi="宋体" w:eastAsia="宋体" w:cs="宋体"/>
                <w:kern w:val="0"/>
              </w:rPr>
            </w:pPr>
            <w:r>
              <w:rPr>
                <w:rFonts w:hint="eastAsia" w:ascii="宋体" w:hAnsi="宋体" w:eastAsia="宋体" w:cs="宋体"/>
                <w:kern w:val="0"/>
              </w:rPr>
              <w:t>序 号</w:t>
            </w:r>
          </w:p>
        </w:tc>
        <w:tc>
          <w:tcPr>
            <w:tcW w:w="4333" w:type="dxa"/>
            <w:tcBorders>
              <w:top w:val="single" w:color="auto" w:sz="12" w:space="0"/>
              <w:left w:val="single" w:color="auto" w:sz="4" w:space="0"/>
              <w:bottom w:val="single" w:color="auto" w:sz="4" w:space="0"/>
              <w:right w:val="single" w:color="auto" w:sz="4" w:space="0"/>
            </w:tcBorders>
            <w:noWrap w:val="0"/>
            <w:vAlign w:val="center"/>
          </w:tcPr>
          <w:p w14:paraId="3DCBFC18">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名       称</w:t>
            </w:r>
          </w:p>
        </w:tc>
        <w:tc>
          <w:tcPr>
            <w:tcW w:w="3573" w:type="dxa"/>
            <w:tcBorders>
              <w:top w:val="single" w:color="auto" w:sz="12" w:space="0"/>
              <w:left w:val="single" w:color="auto" w:sz="4" w:space="0"/>
              <w:bottom w:val="single" w:color="auto" w:sz="4" w:space="0"/>
              <w:right w:val="single" w:color="auto" w:sz="12" w:space="0"/>
            </w:tcBorders>
            <w:noWrap w:val="0"/>
            <w:vAlign w:val="center"/>
          </w:tcPr>
          <w:p w14:paraId="4EA5F232">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数  量</w:t>
            </w:r>
          </w:p>
        </w:tc>
      </w:tr>
      <w:tr w14:paraId="7EF20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25A9347B">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02DCE637">
            <w:pPr>
              <w:pStyle w:val="980"/>
              <w:adjustRightInd w:val="0"/>
              <w:spacing w:line="400" w:lineRule="exact"/>
              <w:rPr>
                <w:rFonts w:hint="eastAsia" w:ascii="宋体" w:hAnsi="宋体" w:eastAsia="宋体" w:cs="宋体"/>
                <w:kern w:val="0"/>
              </w:rPr>
            </w:pPr>
            <w:r>
              <w:rPr>
                <w:rFonts w:hint="eastAsia" w:ascii="宋体" w:hAnsi="宋体" w:eastAsia="宋体" w:cs="宋体"/>
                <w:kern w:val="0"/>
              </w:rPr>
              <w:t>电液伺服阀</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1CA8FA2B">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1台套</w:t>
            </w:r>
          </w:p>
        </w:tc>
      </w:tr>
      <w:tr w14:paraId="73EAF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223F9BF3">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2</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3228A56D">
            <w:pPr>
              <w:pStyle w:val="980"/>
              <w:adjustRightInd w:val="0"/>
              <w:spacing w:line="400" w:lineRule="exact"/>
              <w:rPr>
                <w:rFonts w:hint="eastAsia" w:ascii="宋体" w:hAnsi="宋体" w:eastAsia="宋体" w:cs="宋体"/>
                <w:kern w:val="0"/>
              </w:rPr>
            </w:pPr>
            <w:r>
              <w:rPr>
                <w:rFonts w:hint="eastAsia" w:ascii="宋体" w:hAnsi="宋体" w:eastAsia="宋体" w:cs="宋体"/>
                <w:kern w:val="0"/>
              </w:rPr>
              <w:t>各种尺寸的所有密封圈、垫圈和垫衬</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21996E7F">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2台套</w:t>
            </w:r>
          </w:p>
        </w:tc>
      </w:tr>
      <w:tr w14:paraId="14E90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5F6CDA7A">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3</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47063FB8">
            <w:pPr>
              <w:pStyle w:val="980"/>
              <w:adjustRightInd w:val="0"/>
              <w:spacing w:line="400" w:lineRule="exact"/>
              <w:rPr>
                <w:rFonts w:hint="eastAsia" w:ascii="宋体" w:hAnsi="宋体" w:eastAsia="宋体" w:cs="宋体"/>
                <w:kern w:val="0"/>
              </w:rPr>
            </w:pPr>
            <w:r>
              <w:rPr>
                <w:rFonts w:hint="eastAsia" w:ascii="宋体" w:hAnsi="宋体" w:eastAsia="宋体" w:cs="宋体"/>
                <w:kern w:val="0"/>
              </w:rPr>
              <w:t>全部灯泡、熔断丝和其他类型元件</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40F9C909">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2 台套</w:t>
            </w:r>
          </w:p>
        </w:tc>
      </w:tr>
      <w:tr w14:paraId="0CC2C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753D5776">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4</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6D903F6B">
            <w:pPr>
              <w:pStyle w:val="980"/>
              <w:adjustRightInd w:val="0"/>
              <w:spacing w:line="400" w:lineRule="exact"/>
              <w:rPr>
                <w:rFonts w:hint="eastAsia" w:ascii="宋体" w:hAnsi="宋体" w:eastAsia="宋体" w:cs="宋体"/>
                <w:kern w:val="0"/>
              </w:rPr>
            </w:pPr>
            <w:r>
              <w:rPr>
                <w:rFonts w:hint="eastAsia" w:ascii="宋体" w:hAnsi="宋体" w:eastAsia="宋体" w:cs="宋体"/>
                <w:kern w:val="0"/>
              </w:rPr>
              <w:t>调速系统使用的各种传感器</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42128F4B">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1台套</w:t>
            </w:r>
          </w:p>
        </w:tc>
      </w:tr>
      <w:tr w14:paraId="2FDEE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6364A8EE">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5</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2A01A636">
            <w:pPr>
              <w:pStyle w:val="980"/>
              <w:adjustRightInd w:val="0"/>
              <w:spacing w:line="400" w:lineRule="exact"/>
              <w:rPr>
                <w:rFonts w:hint="eastAsia" w:ascii="宋体" w:hAnsi="宋体" w:eastAsia="宋体" w:cs="宋体"/>
                <w:kern w:val="0"/>
              </w:rPr>
            </w:pPr>
            <w:r>
              <w:rPr>
                <w:rFonts w:hint="eastAsia" w:ascii="宋体" w:hAnsi="宋体" w:eastAsia="宋体" w:cs="宋体"/>
                <w:kern w:val="0"/>
              </w:rPr>
              <w:t>油泵及电动机、卸荷阀</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6D7A4AD8">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1套</w:t>
            </w:r>
          </w:p>
        </w:tc>
      </w:tr>
      <w:tr w14:paraId="0EDC2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787974D8">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6</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5DED6B9B">
            <w:pPr>
              <w:pStyle w:val="980"/>
              <w:adjustRightInd w:val="0"/>
              <w:spacing w:line="400" w:lineRule="exact"/>
              <w:rPr>
                <w:rFonts w:hint="eastAsia" w:ascii="宋体" w:hAnsi="宋体" w:eastAsia="宋体" w:cs="宋体"/>
                <w:kern w:val="0"/>
              </w:rPr>
            </w:pPr>
            <w:r>
              <w:rPr>
                <w:rFonts w:hint="eastAsia" w:ascii="宋体" w:hAnsi="宋体" w:eastAsia="宋体" w:cs="宋体"/>
                <w:kern w:val="0"/>
              </w:rPr>
              <w:t>所用压力开关和液位开关</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1D16C260">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1台套</w:t>
            </w:r>
          </w:p>
        </w:tc>
      </w:tr>
      <w:tr w14:paraId="5119E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01F7FD35">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7</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552B94C3">
            <w:pPr>
              <w:pStyle w:val="980"/>
              <w:adjustRightInd w:val="0"/>
              <w:spacing w:line="400" w:lineRule="exact"/>
              <w:rPr>
                <w:rFonts w:hint="eastAsia" w:ascii="宋体" w:hAnsi="宋体" w:eastAsia="宋体" w:cs="宋体"/>
                <w:kern w:val="0"/>
              </w:rPr>
            </w:pPr>
            <w:r>
              <w:rPr>
                <w:rFonts w:hint="eastAsia" w:ascii="宋体" w:hAnsi="宋体" w:eastAsia="宋体" w:cs="宋体"/>
                <w:kern w:val="0"/>
              </w:rPr>
              <w:t>调速器所用各种尺寸和型号的油过滤部件用滤芯</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2CB365B1">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1台套</w:t>
            </w:r>
          </w:p>
        </w:tc>
      </w:tr>
      <w:tr w14:paraId="39E2E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24B36B0A">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8</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122BD4B2">
            <w:pPr>
              <w:pStyle w:val="980"/>
              <w:adjustRightInd w:val="0"/>
              <w:spacing w:line="400" w:lineRule="exact"/>
              <w:rPr>
                <w:rFonts w:hint="eastAsia" w:ascii="宋体" w:hAnsi="宋体" w:eastAsia="宋体" w:cs="宋体"/>
                <w:kern w:val="0"/>
              </w:rPr>
            </w:pPr>
            <w:r>
              <w:rPr>
                <w:rFonts w:hint="eastAsia" w:ascii="宋体" w:hAnsi="宋体" w:eastAsia="宋体" w:cs="宋体"/>
                <w:kern w:val="0"/>
              </w:rPr>
              <w:t>模块化的液压连接件</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3828ADF3">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1台套</w:t>
            </w:r>
          </w:p>
        </w:tc>
      </w:tr>
      <w:tr w14:paraId="36DFD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6E869D50">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9</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71C770E0">
            <w:pPr>
              <w:pStyle w:val="980"/>
              <w:adjustRightInd w:val="0"/>
              <w:spacing w:line="400" w:lineRule="exact"/>
              <w:rPr>
                <w:rFonts w:hint="eastAsia" w:ascii="宋体" w:hAnsi="宋体" w:eastAsia="宋体" w:cs="宋体"/>
                <w:kern w:val="0"/>
              </w:rPr>
            </w:pPr>
            <w:r>
              <w:rPr>
                <w:rFonts w:hint="eastAsia" w:ascii="宋体" w:hAnsi="宋体" w:eastAsia="宋体" w:cs="宋体"/>
                <w:kern w:val="0"/>
              </w:rPr>
              <w:t>各种型号AC/DC，DC/DC电源变换单元</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0150A752">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1套</w:t>
            </w:r>
          </w:p>
        </w:tc>
      </w:tr>
      <w:tr w14:paraId="69F25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12BB1800">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10</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46A527B1">
            <w:pPr>
              <w:pStyle w:val="980"/>
              <w:adjustRightInd w:val="0"/>
              <w:spacing w:line="400" w:lineRule="exact"/>
              <w:rPr>
                <w:rFonts w:hint="eastAsia" w:ascii="宋体" w:hAnsi="宋体" w:eastAsia="宋体" w:cs="宋体"/>
                <w:kern w:val="0"/>
              </w:rPr>
            </w:pPr>
            <w:r>
              <w:rPr>
                <w:rFonts w:hint="eastAsia" w:ascii="宋体" w:hAnsi="宋体" w:eastAsia="宋体" w:cs="宋体"/>
                <w:kern w:val="0"/>
              </w:rPr>
              <w:t>各种继电器、按钮、指示灯等</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1BE3F026">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1台套</w:t>
            </w:r>
          </w:p>
        </w:tc>
      </w:tr>
      <w:tr w14:paraId="3C4FE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73DAE502">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11</w:t>
            </w:r>
          </w:p>
          <w:p w14:paraId="384E7CA3">
            <w:pPr>
              <w:pStyle w:val="980"/>
              <w:adjustRightInd w:val="0"/>
              <w:spacing w:line="400" w:lineRule="exact"/>
              <w:jc w:val="center"/>
              <w:rPr>
                <w:rFonts w:hint="eastAsia" w:ascii="宋体" w:hAnsi="宋体" w:eastAsia="宋体" w:cs="宋体"/>
                <w:kern w:val="0"/>
              </w:rPr>
            </w:pPr>
          </w:p>
        </w:tc>
        <w:tc>
          <w:tcPr>
            <w:tcW w:w="4333" w:type="dxa"/>
            <w:tcBorders>
              <w:top w:val="single" w:color="auto" w:sz="4" w:space="0"/>
              <w:left w:val="single" w:color="auto" w:sz="4" w:space="0"/>
              <w:bottom w:val="single" w:color="auto" w:sz="4" w:space="0"/>
              <w:right w:val="single" w:color="auto" w:sz="4" w:space="0"/>
            </w:tcBorders>
            <w:noWrap w:val="0"/>
            <w:vAlign w:val="center"/>
          </w:tcPr>
          <w:p w14:paraId="4FF0D326">
            <w:pPr>
              <w:pStyle w:val="980"/>
              <w:adjustRightInd w:val="0"/>
              <w:spacing w:line="400" w:lineRule="exact"/>
              <w:rPr>
                <w:rFonts w:hint="eastAsia" w:ascii="宋体" w:hAnsi="宋体" w:eastAsia="宋体" w:cs="宋体"/>
                <w:kern w:val="0"/>
              </w:rPr>
            </w:pPr>
            <w:r>
              <w:rPr>
                <w:rFonts w:hint="eastAsia" w:ascii="宋体" w:hAnsi="宋体" w:eastAsia="宋体" w:cs="宋体"/>
                <w:kern w:val="0"/>
              </w:rPr>
              <w:t>各种型号的转换开关、电源开关</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62DD0E70">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1台套</w:t>
            </w:r>
          </w:p>
        </w:tc>
      </w:tr>
      <w:tr w14:paraId="5893E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4" w:space="0"/>
              <w:right w:val="single" w:color="auto" w:sz="4" w:space="0"/>
            </w:tcBorders>
            <w:noWrap w:val="0"/>
            <w:vAlign w:val="center"/>
          </w:tcPr>
          <w:p w14:paraId="07E03310">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12</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7AD88EAB">
            <w:pPr>
              <w:pStyle w:val="980"/>
              <w:adjustRightInd w:val="0"/>
              <w:spacing w:line="400" w:lineRule="exact"/>
              <w:rPr>
                <w:rFonts w:hint="eastAsia" w:ascii="宋体" w:hAnsi="宋体" w:eastAsia="宋体" w:cs="宋体"/>
                <w:kern w:val="0"/>
              </w:rPr>
            </w:pPr>
            <w:r>
              <w:rPr>
                <w:rFonts w:hint="eastAsia" w:ascii="宋体" w:hAnsi="宋体" w:eastAsia="宋体" w:cs="宋体"/>
                <w:kern w:val="0"/>
              </w:rPr>
              <w:t>各种型号的显示表计</w:t>
            </w:r>
          </w:p>
        </w:tc>
        <w:tc>
          <w:tcPr>
            <w:tcW w:w="3573" w:type="dxa"/>
            <w:tcBorders>
              <w:top w:val="single" w:color="auto" w:sz="4" w:space="0"/>
              <w:left w:val="single" w:color="auto" w:sz="4" w:space="0"/>
              <w:bottom w:val="single" w:color="auto" w:sz="4" w:space="0"/>
              <w:right w:val="single" w:color="auto" w:sz="12" w:space="0"/>
            </w:tcBorders>
            <w:noWrap w:val="0"/>
            <w:vAlign w:val="center"/>
          </w:tcPr>
          <w:p w14:paraId="615FF7D3">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1台套</w:t>
            </w:r>
          </w:p>
        </w:tc>
      </w:tr>
      <w:tr w14:paraId="75833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2" w:type="dxa"/>
            <w:tcBorders>
              <w:top w:val="single" w:color="auto" w:sz="4" w:space="0"/>
              <w:left w:val="single" w:color="auto" w:sz="12" w:space="0"/>
              <w:bottom w:val="single" w:color="auto" w:sz="12" w:space="0"/>
              <w:right w:val="single" w:color="auto" w:sz="4" w:space="0"/>
            </w:tcBorders>
            <w:noWrap w:val="0"/>
            <w:vAlign w:val="center"/>
          </w:tcPr>
          <w:p w14:paraId="1EF44B72">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13</w:t>
            </w:r>
          </w:p>
        </w:tc>
        <w:tc>
          <w:tcPr>
            <w:tcW w:w="4333" w:type="dxa"/>
            <w:tcBorders>
              <w:top w:val="single" w:color="auto" w:sz="4" w:space="0"/>
              <w:left w:val="single" w:color="auto" w:sz="4" w:space="0"/>
              <w:bottom w:val="single" w:color="auto" w:sz="12" w:space="0"/>
              <w:right w:val="single" w:color="auto" w:sz="4" w:space="0"/>
            </w:tcBorders>
            <w:noWrap w:val="0"/>
            <w:vAlign w:val="center"/>
          </w:tcPr>
          <w:p w14:paraId="4056CAB9">
            <w:pPr>
              <w:pStyle w:val="980"/>
              <w:adjustRightInd w:val="0"/>
              <w:spacing w:line="400" w:lineRule="exact"/>
              <w:rPr>
                <w:rFonts w:hint="eastAsia" w:ascii="宋体" w:hAnsi="宋体" w:eastAsia="宋体" w:cs="宋体"/>
                <w:kern w:val="0"/>
              </w:rPr>
            </w:pPr>
            <w:r>
              <w:rPr>
                <w:rFonts w:hint="eastAsia" w:ascii="宋体" w:hAnsi="宋体" w:eastAsia="宋体" w:cs="宋体"/>
                <w:kern w:val="0"/>
              </w:rPr>
              <w:t>各种接触器</w:t>
            </w:r>
          </w:p>
        </w:tc>
        <w:tc>
          <w:tcPr>
            <w:tcW w:w="3573" w:type="dxa"/>
            <w:tcBorders>
              <w:top w:val="single" w:color="auto" w:sz="4" w:space="0"/>
              <w:left w:val="single" w:color="auto" w:sz="4" w:space="0"/>
              <w:bottom w:val="single" w:color="auto" w:sz="12" w:space="0"/>
              <w:right w:val="single" w:color="auto" w:sz="12" w:space="0"/>
            </w:tcBorders>
            <w:noWrap w:val="0"/>
            <w:vAlign w:val="center"/>
          </w:tcPr>
          <w:p w14:paraId="36E0E45B">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1台套</w:t>
            </w:r>
          </w:p>
        </w:tc>
      </w:tr>
    </w:tbl>
    <w:p w14:paraId="17D5D7A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4.9.2 专用工器具</w:t>
      </w:r>
    </w:p>
    <w:p w14:paraId="1ED4979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承包人应随第一台交货的调速器供给安装与检修用的专用工器具。全部工器具应打上标记以便识别并专项使用。承包人应提供的专用工器具如表4.9-2所列。</w:t>
      </w:r>
    </w:p>
    <w:p w14:paraId="53C6F2C7">
      <w:pPr>
        <w:autoSpaceDE w:val="0"/>
        <w:autoSpaceDN w:val="0"/>
        <w:adjustRightInd w:val="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表4.9-2  调速器专用工器具表</w:t>
      </w:r>
    </w:p>
    <w:tbl>
      <w:tblPr>
        <w:tblStyle w:val="6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83"/>
        <w:gridCol w:w="4334"/>
        <w:gridCol w:w="3218"/>
      </w:tblGrid>
      <w:tr w14:paraId="7C8E2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3" w:type="dxa"/>
            <w:tcBorders>
              <w:top w:val="single" w:color="auto" w:sz="12" w:space="0"/>
              <w:left w:val="single" w:color="auto" w:sz="12" w:space="0"/>
              <w:bottom w:val="single" w:color="auto" w:sz="4" w:space="0"/>
              <w:right w:val="single" w:color="auto" w:sz="4" w:space="0"/>
            </w:tcBorders>
            <w:noWrap w:val="0"/>
            <w:vAlign w:val="center"/>
          </w:tcPr>
          <w:p w14:paraId="75A30B08">
            <w:pPr>
              <w:pStyle w:val="980"/>
              <w:adjustRightInd w:val="0"/>
              <w:spacing w:line="400" w:lineRule="exact"/>
              <w:rPr>
                <w:rFonts w:hint="eastAsia" w:ascii="宋体" w:hAnsi="宋体" w:eastAsia="宋体" w:cs="宋体"/>
                <w:kern w:val="0"/>
                <w:szCs w:val="21"/>
              </w:rPr>
            </w:pPr>
            <w:r>
              <w:rPr>
                <w:rFonts w:hint="eastAsia" w:ascii="宋体" w:hAnsi="宋体" w:eastAsia="宋体" w:cs="宋体"/>
                <w:kern w:val="0"/>
              </w:rPr>
              <w:t>序 号</w:t>
            </w:r>
          </w:p>
        </w:tc>
        <w:tc>
          <w:tcPr>
            <w:tcW w:w="4334" w:type="dxa"/>
            <w:tcBorders>
              <w:top w:val="single" w:color="auto" w:sz="12" w:space="0"/>
              <w:left w:val="single" w:color="auto" w:sz="4" w:space="0"/>
              <w:bottom w:val="single" w:color="auto" w:sz="4" w:space="0"/>
              <w:right w:val="single" w:color="auto" w:sz="4" w:space="0"/>
            </w:tcBorders>
            <w:noWrap w:val="0"/>
            <w:vAlign w:val="center"/>
          </w:tcPr>
          <w:p w14:paraId="7981920F">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名       称</w:t>
            </w:r>
          </w:p>
        </w:tc>
        <w:tc>
          <w:tcPr>
            <w:tcW w:w="3218" w:type="dxa"/>
            <w:tcBorders>
              <w:top w:val="single" w:color="auto" w:sz="12" w:space="0"/>
              <w:left w:val="single" w:color="auto" w:sz="4" w:space="0"/>
              <w:bottom w:val="single" w:color="auto" w:sz="4" w:space="0"/>
              <w:right w:val="single" w:color="auto" w:sz="12" w:space="0"/>
            </w:tcBorders>
            <w:noWrap w:val="0"/>
            <w:vAlign w:val="center"/>
          </w:tcPr>
          <w:p w14:paraId="022748A0">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数  量</w:t>
            </w:r>
          </w:p>
        </w:tc>
      </w:tr>
      <w:tr w14:paraId="1AA08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3" w:type="dxa"/>
            <w:tcBorders>
              <w:top w:val="single" w:color="auto" w:sz="4" w:space="0"/>
              <w:left w:val="single" w:color="auto" w:sz="12" w:space="0"/>
              <w:bottom w:val="single" w:color="auto" w:sz="4" w:space="0"/>
              <w:right w:val="single" w:color="auto" w:sz="4" w:space="0"/>
            </w:tcBorders>
            <w:noWrap w:val="0"/>
            <w:vAlign w:val="center"/>
          </w:tcPr>
          <w:p w14:paraId="19240250">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w:t>
            </w:r>
          </w:p>
        </w:tc>
        <w:tc>
          <w:tcPr>
            <w:tcW w:w="4334" w:type="dxa"/>
            <w:tcBorders>
              <w:top w:val="single" w:color="auto" w:sz="4" w:space="0"/>
              <w:left w:val="single" w:color="auto" w:sz="4" w:space="0"/>
              <w:bottom w:val="single" w:color="auto" w:sz="4" w:space="0"/>
              <w:right w:val="single" w:color="auto" w:sz="4" w:space="0"/>
            </w:tcBorders>
            <w:noWrap w:val="0"/>
            <w:vAlign w:val="center"/>
          </w:tcPr>
          <w:p w14:paraId="6657B825">
            <w:pPr>
              <w:pStyle w:val="980"/>
              <w:adjustRightInd w:val="0"/>
              <w:spacing w:line="400" w:lineRule="exact"/>
              <w:rPr>
                <w:rFonts w:hint="eastAsia" w:ascii="宋体" w:hAnsi="宋体" w:eastAsia="宋体" w:cs="宋体"/>
                <w:kern w:val="0"/>
              </w:rPr>
            </w:pPr>
            <w:r>
              <w:rPr>
                <w:rFonts w:hint="eastAsia" w:ascii="宋体" w:hAnsi="宋体" w:eastAsia="宋体" w:cs="宋体"/>
                <w:kern w:val="0"/>
              </w:rPr>
              <w:t>调试终端(笔记本电脑 14” )</w:t>
            </w:r>
          </w:p>
        </w:tc>
        <w:tc>
          <w:tcPr>
            <w:tcW w:w="3218" w:type="dxa"/>
            <w:tcBorders>
              <w:top w:val="single" w:color="auto" w:sz="4" w:space="0"/>
              <w:left w:val="single" w:color="auto" w:sz="4" w:space="0"/>
              <w:bottom w:val="single" w:color="auto" w:sz="4" w:space="0"/>
              <w:right w:val="single" w:color="auto" w:sz="12" w:space="0"/>
            </w:tcBorders>
            <w:noWrap w:val="0"/>
            <w:vAlign w:val="top"/>
          </w:tcPr>
          <w:p w14:paraId="4247819B">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1套</w:t>
            </w:r>
          </w:p>
        </w:tc>
      </w:tr>
      <w:tr w14:paraId="3FBDC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3" w:type="dxa"/>
            <w:tcBorders>
              <w:top w:val="single" w:color="auto" w:sz="4" w:space="0"/>
              <w:left w:val="single" w:color="auto" w:sz="12" w:space="0"/>
              <w:bottom w:val="single" w:color="auto" w:sz="4" w:space="0"/>
              <w:right w:val="single" w:color="auto" w:sz="4" w:space="0"/>
            </w:tcBorders>
            <w:noWrap w:val="0"/>
            <w:vAlign w:val="center"/>
          </w:tcPr>
          <w:p w14:paraId="4A0AED7B">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2</w:t>
            </w:r>
          </w:p>
        </w:tc>
        <w:tc>
          <w:tcPr>
            <w:tcW w:w="4334" w:type="dxa"/>
            <w:tcBorders>
              <w:top w:val="single" w:color="auto" w:sz="4" w:space="0"/>
              <w:left w:val="single" w:color="auto" w:sz="4" w:space="0"/>
              <w:bottom w:val="single" w:color="auto" w:sz="4" w:space="0"/>
              <w:right w:val="single" w:color="auto" w:sz="4" w:space="0"/>
            </w:tcBorders>
            <w:noWrap w:val="0"/>
            <w:vAlign w:val="center"/>
          </w:tcPr>
          <w:p w14:paraId="64482F9C">
            <w:pPr>
              <w:pStyle w:val="980"/>
              <w:adjustRightInd w:val="0"/>
              <w:spacing w:line="400" w:lineRule="exact"/>
              <w:rPr>
                <w:rFonts w:hint="eastAsia" w:ascii="宋体" w:hAnsi="宋体" w:eastAsia="宋体" w:cs="宋体"/>
                <w:kern w:val="0"/>
              </w:rPr>
            </w:pPr>
            <w:r>
              <w:rPr>
                <w:rFonts w:hint="eastAsia" w:ascii="宋体" w:hAnsi="宋体" w:eastAsia="宋体" w:cs="宋体"/>
                <w:kern w:val="0"/>
              </w:rPr>
              <w:t xml:space="preserve">系统调试软件 </w:t>
            </w:r>
          </w:p>
        </w:tc>
        <w:tc>
          <w:tcPr>
            <w:tcW w:w="3218" w:type="dxa"/>
            <w:tcBorders>
              <w:top w:val="single" w:color="auto" w:sz="4" w:space="0"/>
              <w:left w:val="single" w:color="auto" w:sz="4" w:space="0"/>
              <w:bottom w:val="single" w:color="auto" w:sz="4" w:space="0"/>
              <w:right w:val="single" w:color="auto" w:sz="12" w:space="0"/>
            </w:tcBorders>
            <w:noWrap w:val="0"/>
            <w:vAlign w:val="top"/>
          </w:tcPr>
          <w:p w14:paraId="60B59950">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1套</w:t>
            </w:r>
          </w:p>
        </w:tc>
      </w:tr>
      <w:tr w14:paraId="2B03C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3" w:type="dxa"/>
            <w:tcBorders>
              <w:top w:val="single" w:color="auto" w:sz="4" w:space="0"/>
              <w:left w:val="single" w:color="auto" w:sz="12" w:space="0"/>
              <w:bottom w:val="single" w:color="auto" w:sz="4" w:space="0"/>
              <w:right w:val="single" w:color="auto" w:sz="4" w:space="0"/>
            </w:tcBorders>
            <w:noWrap w:val="0"/>
            <w:vAlign w:val="center"/>
          </w:tcPr>
          <w:p w14:paraId="514C1361">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3</w:t>
            </w:r>
          </w:p>
        </w:tc>
        <w:tc>
          <w:tcPr>
            <w:tcW w:w="4334" w:type="dxa"/>
            <w:tcBorders>
              <w:top w:val="single" w:color="auto" w:sz="4" w:space="0"/>
              <w:left w:val="single" w:color="auto" w:sz="4" w:space="0"/>
              <w:bottom w:val="single" w:color="auto" w:sz="4" w:space="0"/>
              <w:right w:val="single" w:color="auto" w:sz="4" w:space="0"/>
            </w:tcBorders>
            <w:noWrap w:val="0"/>
            <w:vAlign w:val="center"/>
          </w:tcPr>
          <w:p w14:paraId="1AE9FC0E">
            <w:pPr>
              <w:pStyle w:val="980"/>
              <w:adjustRightInd w:val="0"/>
              <w:spacing w:line="400" w:lineRule="exact"/>
              <w:rPr>
                <w:rFonts w:hint="eastAsia" w:ascii="宋体" w:hAnsi="宋体" w:eastAsia="宋体" w:cs="宋体"/>
                <w:kern w:val="0"/>
              </w:rPr>
            </w:pPr>
            <w:r>
              <w:rPr>
                <w:rFonts w:hint="eastAsia" w:ascii="宋体" w:hAnsi="宋体" w:eastAsia="宋体" w:cs="宋体"/>
                <w:kern w:val="0"/>
              </w:rPr>
              <w:t>各种特殊扳手</w:t>
            </w:r>
          </w:p>
        </w:tc>
        <w:tc>
          <w:tcPr>
            <w:tcW w:w="3218" w:type="dxa"/>
            <w:tcBorders>
              <w:top w:val="single" w:color="auto" w:sz="4" w:space="0"/>
              <w:left w:val="single" w:color="auto" w:sz="4" w:space="0"/>
              <w:bottom w:val="single" w:color="auto" w:sz="4" w:space="0"/>
              <w:right w:val="single" w:color="auto" w:sz="12" w:space="0"/>
            </w:tcBorders>
            <w:noWrap w:val="0"/>
            <w:vAlign w:val="top"/>
          </w:tcPr>
          <w:p w14:paraId="0351EB15">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1套</w:t>
            </w:r>
          </w:p>
        </w:tc>
      </w:tr>
      <w:tr w14:paraId="446F0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70" w:hRule="atLeast"/>
          <w:jc w:val="center"/>
        </w:trPr>
        <w:tc>
          <w:tcPr>
            <w:tcW w:w="783" w:type="dxa"/>
            <w:tcBorders>
              <w:top w:val="single" w:color="auto" w:sz="4" w:space="0"/>
              <w:left w:val="single" w:color="auto" w:sz="12" w:space="0"/>
              <w:bottom w:val="single" w:color="auto" w:sz="4" w:space="0"/>
              <w:right w:val="single" w:color="auto" w:sz="4" w:space="0"/>
            </w:tcBorders>
            <w:noWrap w:val="0"/>
            <w:vAlign w:val="center"/>
          </w:tcPr>
          <w:p w14:paraId="5EE47F66">
            <w:pPr>
              <w:pStyle w:val="980"/>
              <w:adjustRightInd w:val="0"/>
              <w:spacing w:line="320" w:lineRule="exact"/>
              <w:jc w:val="center"/>
              <w:rPr>
                <w:rFonts w:hint="eastAsia" w:ascii="宋体" w:hAnsi="宋体" w:eastAsia="宋体" w:cs="宋体"/>
                <w:kern w:val="0"/>
              </w:rPr>
            </w:pPr>
            <w:r>
              <w:rPr>
                <w:rFonts w:hint="eastAsia" w:ascii="宋体" w:hAnsi="宋体" w:eastAsia="宋体" w:cs="宋体"/>
                <w:kern w:val="0"/>
              </w:rPr>
              <w:t>4</w:t>
            </w:r>
          </w:p>
        </w:tc>
        <w:tc>
          <w:tcPr>
            <w:tcW w:w="4334" w:type="dxa"/>
            <w:tcBorders>
              <w:top w:val="single" w:color="auto" w:sz="4" w:space="0"/>
              <w:left w:val="single" w:color="auto" w:sz="4" w:space="0"/>
              <w:bottom w:val="single" w:color="auto" w:sz="4" w:space="0"/>
              <w:right w:val="single" w:color="auto" w:sz="4" w:space="0"/>
            </w:tcBorders>
            <w:noWrap w:val="0"/>
            <w:vAlign w:val="center"/>
          </w:tcPr>
          <w:p w14:paraId="51574929">
            <w:pPr>
              <w:pStyle w:val="980"/>
              <w:adjustRightInd w:val="0"/>
              <w:spacing w:line="320" w:lineRule="exact"/>
              <w:rPr>
                <w:rFonts w:hint="eastAsia" w:ascii="宋体" w:hAnsi="宋体" w:eastAsia="宋体" w:cs="宋体"/>
                <w:kern w:val="0"/>
              </w:rPr>
            </w:pPr>
            <w:r>
              <w:rPr>
                <w:rFonts w:hint="eastAsia" w:ascii="宋体" w:hAnsi="宋体" w:eastAsia="宋体" w:cs="宋体"/>
                <w:kern w:val="0"/>
              </w:rPr>
              <w:t>各种小器具、螺栓、填料、垫片等及上述未提到的所必须的特殊工具</w:t>
            </w:r>
          </w:p>
        </w:tc>
        <w:tc>
          <w:tcPr>
            <w:tcW w:w="3218" w:type="dxa"/>
            <w:tcBorders>
              <w:top w:val="single" w:color="auto" w:sz="4" w:space="0"/>
              <w:left w:val="single" w:color="auto" w:sz="4" w:space="0"/>
              <w:bottom w:val="single" w:color="auto" w:sz="4" w:space="0"/>
              <w:right w:val="single" w:color="auto" w:sz="12" w:space="0"/>
            </w:tcBorders>
            <w:noWrap w:val="0"/>
            <w:vAlign w:val="center"/>
          </w:tcPr>
          <w:p w14:paraId="3A783EC5">
            <w:pPr>
              <w:pStyle w:val="980"/>
              <w:adjustRightInd w:val="0"/>
              <w:spacing w:line="320" w:lineRule="exact"/>
              <w:jc w:val="center"/>
              <w:rPr>
                <w:rFonts w:hint="eastAsia" w:ascii="宋体" w:hAnsi="宋体" w:eastAsia="宋体" w:cs="宋体"/>
                <w:kern w:val="0"/>
              </w:rPr>
            </w:pPr>
            <w:r>
              <w:rPr>
                <w:rFonts w:hint="eastAsia" w:ascii="宋体" w:hAnsi="宋体" w:eastAsia="宋体" w:cs="宋体"/>
                <w:kern w:val="0"/>
              </w:rPr>
              <w:t>1套</w:t>
            </w:r>
          </w:p>
        </w:tc>
      </w:tr>
      <w:tr w14:paraId="34C84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83" w:type="dxa"/>
            <w:tcBorders>
              <w:top w:val="single" w:color="auto" w:sz="4" w:space="0"/>
              <w:left w:val="single" w:color="auto" w:sz="12" w:space="0"/>
              <w:bottom w:val="single" w:color="auto" w:sz="12" w:space="0"/>
              <w:right w:val="single" w:color="auto" w:sz="4" w:space="0"/>
            </w:tcBorders>
            <w:noWrap w:val="0"/>
            <w:vAlign w:val="center"/>
          </w:tcPr>
          <w:p w14:paraId="06945CAC">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5</w:t>
            </w:r>
          </w:p>
        </w:tc>
        <w:tc>
          <w:tcPr>
            <w:tcW w:w="4334" w:type="dxa"/>
            <w:tcBorders>
              <w:top w:val="single" w:color="auto" w:sz="4" w:space="0"/>
              <w:left w:val="single" w:color="auto" w:sz="4" w:space="0"/>
              <w:bottom w:val="single" w:color="auto" w:sz="12" w:space="0"/>
              <w:right w:val="single" w:color="auto" w:sz="4" w:space="0"/>
            </w:tcBorders>
            <w:noWrap w:val="0"/>
            <w:vAlign w:val="center"/>
          </w:tcPr>
          <w:p w14:paraId="02F6F7F8">
            <w:pPr>
              <w:pStyle w:val="980"/>
              <w:adjustRightInd w:val="0"/>
              <w:spacing w:line="400" w:lineRule="exact"/>
              <w:rPr>
                <w:rFonts w:hint="eastAsia" w:ascii="宋体" w:hAnsi="宋体" w:eastAsia="宋体" w:cs="宋体"/>
                <w:kern w:val="0"/>
              </w:rPr>
            </w:pPr>
            <w:r>
              <w:rPr>
                <w:rFonts w:hint="eastAsia" w:ascii="宋体" w:hAnsi="宋体" w:eastAsia="宋体" w:cs="宋体"/>
                <w:kern w:val="0"/>
              </w:rPr>
              <w:t>充氮工具</w:t>
            </w:r>
          </w:p>
        </w:tc>
        <w:tc>
          <w:tcPr>
            <w:tcW w:w="3218" w:type="dxa"/>
            <w:tcBorders>
              <w:top w:val="single" w:color="auto" w:sz="4" w:space="0"/>
              <w:left w:val="single" w:color="auto" w:sz="4" w:space="0"/>
              <w:bottom w:val="single" w:color="auto" w:sz="12" w:space="0"/>
              <w:right w:val="single" w:color="auto" w:sz="12" w:space="0"/>
            </w:tcBorders>
            <w:noWrap w:val="0"/>
            <w:vAlign w:val="top"/>
          </w:tcPr>
          <w:p w14:paraId="5690EF15">
            <w:pPr>
              <w:pStyle w:val="980"/>
              <w:adjustRightInd w:val="0"/>
              <w:spacing w:line="400" w:lineRule="exact"/>
              <w:jc w:val="center"/>
              <w:rPr>
                <w:rFonts w:hint="eastAsia" w:ascii="宋体" w:hAnsi="宋体" w:eastAsia="宋体" w:cs="宋体"/>
                <w:kern w:val="0"/>
              </w:rPr>
            </w:pPr>
            <w:r>
              <w:rPr>
                <w:rFonts w:hint="eastAsia" w:ascii="宋体" w:hAnsi="宋体" w:eastAsia="宋体" w:cs="宋体"/>
                <w:kern w:val="0"/>
              </w:rPr>
              <w:t>1套</w:t>
            </w:r>
          </w:p>
        </w:tc>
      </w:tr>
    </w:tbl>
    <w:p w14:paraId="29F706DE">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4.10 工厂试验</w:t>
      </w:r>
    </w:p>
    <w:p w14:paraId="387B25F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系统设备出厂前应组装并进行试验。压力油罐和调速系统管路应在车间按1.5倍的设计压力进行耐压试验。回油箱在涂漆之前，应用热油或其它批准的方法进行渗漏试验。调速系统应按GB/T9652.2《水轮机调速系统试验》中的规定进行机械、电气部分的试验。试验前15天，承包人应将试验内容、检验大纲和时间安排提交发包人认可。所有试验记录，于设备出厂前一并移交给发包人。</w:t>
      </w:r>
    </w:p>
    <w:p w14:paraId="72F95412">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4.11 现场试验</w:t>
      </w:r>
    </w:p>
    <w:p w14:paraId="34BAD84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4.11.1 概述</w:t>
      </w:r>
    </w:p>
    <w:p w14:paraId="09ADDCE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4.11.1.1 每台调速系统设备安装完毕后，应进行各项现场试验，试运行和验收试验，以验证设备性能各质量是否符合合同文件的要求。</w:t>
      </w:r>
    </w:p>
    <w:p w14:paraId="700F219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4.11.1.2 现场试验由发包人主持，并组织现场领导小组负责对试验结果进行鉴定，承包人应对试验程序和方法负责，并指导试验。承包人应提供现场试验所需的特殊设备和仪表。</w:t>
      </w:r>
    </w:p>
    <w:p w14:paraId="2C06321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4.11.1.3 试验大纲应由承包人——配合安装单位——根据工程进度，在开始试验前一个月提出，经发包人（或工程师）核准后执行。试验大纲应包括试验项目、试验准备、试验方法、试验程序、检验标准和试验时间及进度等。</w:t>
      </w:r>
    </w:p>
    <w:p w14:paraId="45F53DF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4.11.2 安装试验</w:t>
      </w:r>
    </w:p>
    <w:p w14:paraId="1E8F893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调速系统安装完毕后，应进行现场试验，以检验其是否满足本合同规定的要求。</w:t>
      </w:r>
    </w:p>
    <w:p w14:paraId="71B4F28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4.11.3 管道压力试验</w:t>
      </w:r>
    </w:p>
    <w:p w14:paraId="5D71D28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调速器系统液压油操作管路安装完毕后，应做耐压试验，试验压力不小于最大工作压力的1.5倍。静压试验时间不小于30分钟，以便能观察是否存在任何的渗漏或缺陷。</w:t>
      </w:r>
    </w:p>
    <w:p w14:paraId="1E77251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4.11.4 油泵试验及压力开关动作试验</w:t>
      </w:r>
    </w:p>
    <w:p w14:paraId="4EA3DA5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油泵安装后应进行油泵试验。在空载下运行1h，然后分别在25%、50%、75%额定油压下运行10min，再在额定油压下运行1h，油泵运转应平稳，输油量应不小于设计规定值，并且手、自动切换及自动控制动作符合设计要求。</w:t>
      </w:r>
    </w:p>
    <w:p w14:paraId="0861205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4.11.5 调速系统试验</w:t>
      </w:r>
    </w:p>
    <w:p w14:paraId="4060EB7A">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调速系统安装完毕后，应在无水状态下与导叶接力器一起进行现场试验，并录制接力器行程与导叶开度关系曲线、检查导叶的压紧行程，以及进行调速系统的试验。试验应按GB/T9652.1《水轮机调速系统技术条件》与GB/T9652.2《水轮机调速系统试验》等有关标准、规程的规定进行，以确信调速系统的性能满足合同和有关技术标准的要求。</w:t>
      </w:r>
    </w:p>
    <w:p w14:paraId="0074D098">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4.12 试运行</w:t>
      </w:r>
    </w:p>
    <w:p w14:paraId="7C8EB87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4.11.1 检查、调试和起动</w:t>
      </w:r>
    </w:p>
    <w:p w14:paraId="6B05DB5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通过电站试验和型式试验后，承包人要在安装承包商的帮助下进行试运行。水轮机要做起动试验、手、自动的空载稳定性试验、空载扰动试验、过速、低油压关机、带负荷和甩负荷试验，以便调整调速系统和有关保护装置。所有这些调整和有关的参数应记录下来并包括在现场试验报告中。</w:t>
      </w:r>
    </w:p>
    <w:p w14:paraId="31A35D1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4.12.2  72h试运行</w:t>
      </w:r>
    </w:p>
    <w:p w14:paraId="03B21BF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设备安装好后准备投入商业运行前，安装承包商应在调速系统和水轮机、发电机承包人指导下对每台机组进行试运行试验，以确认机组调速系统已正确安装、调试好了，并在连续运行条件下能够安全、正常地运行。试运行要在机组额定负荷（按实际水头条件确定）条件下，在无需人为调节和校正的自动控制状态下进行。试运行持续时间为72h。</w:t>
      </w:r>
    </w:p>
    <w:p w14:paraId="5E4442A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4.12.3 试验数据和报告</w:t>
      </w:r>
    </w:p>
    <w:p w14:paraId="606C8BC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试验报告应由发包人、承包人或现场试验领导小组委派的试验负责人编写，并送交合同双方或试验领导小组审查通过。</w:t>
      </w:r>
    </w:p>
    <w:p w14:paraId="48BF89CA">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试验报告应分项编制，其内容应包括试验项目、试验目的、试验人员名单、测量仪表的检验和率定、试验程序、试验表格、计算实例、计算过程使用的各种曲线、全部测量结果汇总、最终成果的修正和调整、测量综合误差说明以及试验结果的讨论意见和结论。</w:t>
      </w:r>
    </w:p>
    <w:p w14:paraId="697830C3">
      <w:pPr>
        <w:tabs>
          <w:tab w:val="left" w:pos="3060"/>
        </w:tabs>
        <w:snapToGrid w:val="0"/>
        <w:spacing w:line="360" w:lineRule="auto"/>
        <w:ind w:firstLine="480" w:firstLineChars="200"/>
        <w:rPr>
          <w:rFonts w:hint="eastAsia" w:ascii="宋体" w:hAnsi="宋体" w:eastAsia="宋体" w:cs="宋体"/>
          <w:sz w:val="24"/>
          <w:szCs w:val="24"/>
        </w:rPr>
      </w:pPr>
    </w:p>
    <w:p w14:paraId="6D7003A1">
      <w:pPr>
        <w:keepNext/>
        <w:numPr>
          <w:ilvl w:val="0"/>
          <w:numId w:val="4"/>
        </w:numPr>
        <w:jc w:val="center"/>
        <w:outlineLvl w:val="1"/>
        <w:rPr>
          <w:rFonts w:hint="eastAsia" w:ascii="宋体" w:hAnsi="宋体" w:eastAsia="宋体" w:cs="宋体"/>
          <w:sz w:val="28"/>
          <w:szCs w:val="28"/>
        </w:rPr>
      </w:pPr>
      <w:bookmarkStart w:id="299" w:name="_Hlt33843019"/>
      <w:bookmarkEnd w:id="299"/>
      <w:bookmarkStart w:id="300" w:name="_Toc18335634"/>
      <w:r>
        <w:rPr>
          <w:rFonts w:hint="eastAsia" w:ascii="宋体" w:hAnsi="宋体" w:eastAsia="宋体" w:cs="宋体"/>
          <w:sz w:val="28"/>
          <w:szCs w:val="28"/>
          <w:lang w:val="en-US" w:eastAsia="zh-CN"/>
        </w:rPr>
        <w:t>手</w:t>
      </w:r>
      <w:r>
        <w:rPr>
          <w:rFonts w:hint="eastAsia" w:ascii="宋体" w:hAnsi="宋体" w:eastAsia="宋体" w:cs="宋体"/>
          <w:sz w:val="28"/>
          <w:szCs w:val="28"/>
        </w:rPr>
        <w:t>动滤水器技术要求</w:t>
      </w:r>
    </w:p>
    <w:p w14:paraId="5411AFE2">
      <w:pPr>
        <w:keepNext/>
        <w:numPr>
          <w:ilvl w:val="0"/>
          <w:numId w:val="0"/>
        </w:numPr>
        <w:jc w:val="both"/>
        <w:outlineLvl w:val="1"/>
        <w:rPr>
          <w:rFonts w:hint="eastAsia" w:ascii="宋体" w:hAnsi="宋体" w:eastAsia="宋体" w:cs="宋体"/>
          <w:sz w:val="28"/>
          <w:szCs w:val="28"/>
        </w:rPr>
      </w:pPr>
    </w:p>
    <w:p w14:paraId="49BA9881">
      <w:pPr>
        <w:keepNext/>
        <w:keepLines/>
        <w:spacing w:before="60" w:after="60" w:line="360" w:lineRule="auto"/>
        <w:outlineLvl w:val="2"/>
        <w:rPr>
          <w:rFonts w:hint="eastAsia" w:ascii="宋体" w:hAnsi="宋体" w:eastAsia="宋体" w:cs="宋体"/>
          <w:b/>
          <w:sz w:val="24"/>
          <w:szCs w:val="24"/>
        </w:rPr>
      </w:pPr>
      <w:r>
        <w:rPr>
          <w:rFonts w:hint="eastAsia" w:ascii="宋体" w:hAnsi="宋体" w:eastAsia="宋体" w:cs="宋体"/>
          <w:b/>
          <w:sz w:val="24"/>
          <w:szCs w:val="24"/>
        </w:rPr>
        <w:t>5.1 供货及工作范围</w:t>
      </w:r>
    </w:p>
    <w:p w14:paraId="3B72717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承包人应负责本技术规范所列的</w:t>
      </w:r>
      <w:r>
        <w:rPr>
          <w:rFonts w:hint="eastAsia" w:ascii="宋体" w:hAnsi="宋体" w:cs="宋体"/>
          <w:sz w:val="24"/>
          <w:szCs w:val="24"/>
          <w:lang w:val="en-US" w:eastAsia="zh-CN"/>
        </w:rPr>
        <w:t>手动</w:t>
      </w:r>
      <w:r>
        <w:rPr>
          <w:rFonts w:hint="eastAsia" w:ascii="宋体" w:hAnsi="宋体" w:eastAsia="宋体" w:cs="宋体"/>
          <w:sz w:val="24"/>
          <w:szCs w:val="24"/>
        </w:rPr>
        <w:t>滤水器的成套，包括：设计、制造、试验、包装、运输、到指定地点的运输和保险、参加现场开箱检查；提供安装、调试指导及伴随服务；提供该设备安装及试验用的专用工具；规定的备品备件；提交安装、维护、运行使用说明书以及产品技术文件编制和提交合同规定的其他资料及设计联络。并应完全符合合同要求。</w:t>
      </w:r>
    </w:p>
    <w:p w14:paraId="7EBFE77B">
      <w:pPr>
        <w:tabs>
          <w:tab w:val="left" w:pos="709"/>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表2-2  滤水器供货表</w:t>
      </w:r>
    </w:p>
    <w:tbl>
      <w:tblPr>
        <w:tblStyle w:val="65"/>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69"/>
        <w:gridCol w:w="3231"/>
        <w:gridCol w:w="851"/>
        <w:gridCol w:w="850"/>
        <w:gridCol w:w="1338"/>
      </w:tblGrid>
      <w:tr w14:paraId="779C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noWrap w:val="0"/>
            <w:vAlign w:val="center"/>
          </w:tcPr>
          <w:p w14:paraId="17BDA6CC">
            <w:pPr>
              <w:rPr>
                <w:rFonts w:hint="eastAsia" w:ascii="宋体" w:hAnsi="宋体" w:eastAsia="宋体" w:cs="宋体"/>
                <w:sz w:val="24"/>
                <w:szCs w:val="24"/>
              </w:rPr>
            </w:pPr>
            <w:r>
              <w:rPr>
                <w:rFonts w:hint="eastAsia" w:ascii="宋体" w:hAnsi="宋体" w:eastAsia="宋体" w:cs="宋体"/>
                <w:sz w:val="24"/>
                <w:szCs w:val="24"/>
              </w:rPr>
              <w:t>序号</w:t>
            </w:r>
          </w:p>
        </w:tc>
        <w:tc>
          <w:tcPr>
            <w:tcW w:w="1969" w:type="dxa"/>
            <w:noWrap w:val="0"/>
            <w:vAlign w:val="center"/>
          </w:tcPr>
          <w:p w14:paraId="487AB70C">
            <w:pPr>
              <w:rPr>
                <w:rFonts w:hint="eastAsia" w:ascii="宋体" w:hAnsi="宋体" w:eastAsia="宋体" w:cs="宋体"/>
                <w:sz w:val="24"/>
                <w:szCs w:val="24"/>
              </w:rPr>
            </w:pPr>
            <w:r>
              <w:rPr>
                <w:rFonts w:hint="eastAsia" w:ascii="宋体" w:hAnsi="宋体" w:eastAsia="宋体" w:cs="宋体"/>
                <w:sz w:val="24"/>
                <w:szCs w:val="24"/>
              </w:rPr>
              <w:t>名称</w:t>
            </w:r>
          </w:p>
        </w:tc>
        <w:tc>
          <w:tcPr>
            <w:tcW w:w="3231" w:type="dxa"/>
            <w:noWrap w:val="0"/>
            <w:vAlign w:val="center"/>
          </w:tcPr>
          <w:p w14:paraId="6BF0D9A5">
            <w:pPr>
              <w:rPr>
                <w:rFonts w:hint="eastAsia" w:ascii="宋体" w:hAnsi="宋体" w:eastAsia="宋体" w:cs="宋体"/>
                <w:sz w:val="24"/>
                <w:szCs w:val="24"/>
              </w:rPr>
            </w:pPr>
            <w:r>
              <w:rPr>
                <w:rFonts w:hint="eastAsia" w:ascii="宋体" w:hAnsi="宋体" w:eastAsia="宋体" w:cs="宋体"/>
                <w:sz w:val="24"/>
                <w:szCs w:val="24"/>
              </w:rPr>
              <w:t>规格</w:t>
            </w:r>
          </w:p>
        </w:tc>
        <w:tc>
          <w:tcPr>
            <w:tcW w:w="851" w:type="dxa"/>
            <w:noWrap w:val="0"/>
            <w:vAlign w:val="center"/>
          </w:tcPr>
          <w:p w14:paraId="1AC92D4A">
            <w:pPr>
              <w:rPr>
                <w:rFonts w:hint="eastAsia" w:ascii="宋体" w:hAnsi="宋体" w:eastAsia="宋体" w:cs="宋体"/>
                <w:sz w:val="24"/>
                <w:szCs w:val="24"/>
              </w:rPr>
            </w:pPr>
            <w:r>
              <w:rPr>
                <w:rFonts w:hint="eastAsia" w:ascii="宋体" w:hAnsi="宋体" w:eastAsia="宋体" w:cs="宋体"/>
                <w:sz w:val="24"/>
                <w:szCs w:val="24"/>
              </w:rPr>
              <w:t>单位</w:t>
            </w:r>
          </w:p>
        </w:tc>
        <w:tc>
          <w:tcPr>
            <w:tcW w:w="850" w:type="dxa"/>
            <w:noWrap w:val="0"/>
            <w:vAlign w:val="center"/>
          </w:tcPr>
          <w:p w14:paraId="3BE68132">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noWrap w:val="0"/>
            <w:vAlign w:val="center"/>
          </w:tcPr>
          <w:p w14:paraId="06F73629">
            <w:pPr>
              <w:rPr>
                <w:rFonts w:hint="eastAsia" w:ascii="宋体" w:hAnsi="宋体" w:eastAsia="宋体" w:cs="宋体"/>
                <w:sz w:val="24"/>
                <w:szCs w:val="24"/>
              </w:rPr>
            </w:pPr>
            <w:r>
              <w:rPr>
                <w:rFonts w:hint="eastAsia" w:ascii="宋体" w:hAnsi="宋体" w:eastAsia="宋体" w:cs="宋体"/>
                <w:sz w:val="24"/>
                <w:szCs w:val="24"/>
              </w:rPr>
              <w:t>备注</w:t>
            </w:r>
          </w:p>
        </w:tc>
      </w:tr>
      <w:tr w14:paraId="1488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621AF61">
            <w:pPr>
              <w:rPr>
                <w:rFonts w:hint="eastAsia" w:ascii="宋体" w:hAnsi="宋体" w:eastAsia="宋体" w:cs="宋体"/>
                <w:sz w:val="24"/>
                <w:szCs w:val="24"/>
              </w:rPr>
            </w:pPr>
            <w:r>
              <w:rPr>
                <w:rFonts w:hint="eastAsia" w:ascii="宋体" w:hAnsi="宋体" w:eastAsia="宋体" w:cs="宋体"/>
                <w:sz w:val="24"/>
                <w:szCs w:val="24"/>
              </w:rPr>
              <w:t>1</w:t>
            </w:r>
          </w:p>
        </w:tc>
        <w:tc>
          <w:tcPr>
            <w:tcW w:w="1969" w:type="dxa"/>
            <w:noWrap w:val="0"/>
            <w:vAlign w:val="center"/>
          </w:tcPr>
          <w:p w14:paraId="6949F345">
            <w:pPr>
              <w:rPr>
                <w:rFonts w:hint="eastAsia" w:ascii="宋体" w:hAnsi="宋体" w:eastAsia="宋体" w:cs="宋体"/>
                <w:sz w:val="24"/>
                <w:szCs w:val="24"/>
              </w:rPr>
            </w:pPr>
            <w:r>
              <w:rPr>
                <w:rFonts w:hint="eastAsia" w:ascii="宋体" w:hAnsi="宋体" w:eastAsia="宋体" w:cs="宋体"/>
                <w:sz w:val="24"/>
                <w:szCs w:val="24"/>
                <w:lang w:val="en-US" w:eastAsia="zh-CN"/>
              </w:rPr>
              <w:t>手</w:t>
            </w:r>
            <w:r>
              <w:rPr>
                <w:rFonts w:hint="eastAsia" w:ascii="宋体" w:hAnsi="宋体" w:eastAsia="宋体" w:cs="宋体"/>
                <w:sz w:val="24"/>
                <w:szCs w:val="24"/>
              </w:rPr>
              <w:t>动滤水器</w:t>
            </w:r>
          </w:p>
        </w:tc>
        <w:tc>
          <w:tcPr>
            <w:tcW w:w="3231" w:type="dxa"/>
            <w:noWrap w:val="0"/>
            <w:vAlign w:val="center"/>
          </w:tcPr>
          <w:p w14:paraId="30B424FB">
            <w:pPr>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w:t>
            </w: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hint="eastAsia" w:ascii="宋体" w:hAnsi="宋体" w:eastAsia="宋体" w:cs="宋体"/>
                <w:sz w:val="24"/>
                <w:szCs w:val="24"/>
              </w:rPr>
              <w:t>/h，PN1.0MPa，DN1</w:t>
            </w:r>
            <w:r>
              <w:rPr>
                <w:rFonts w:hint="eastAsia" w:ascii="宋体" w:hAnsi="宋体" w:cs="宋体"/>
                <w:sz w:val="24"/>
                <w:szCs w:val="24"/>
                <w:lang w:val="en-US" w:eastAsia="zh-CN"/>
              </w:rPr>
              <w:t>0</w:t>
            </w:r>
            <w:r>
              <w:rPr>
                <w:rFonts w:hint="eastAsia" w:ascii="宋体" w:hAnsi="宋体" w:eastAsia="宋体" w:cs="宋体"/>
                <w:sz w:val="24"/>
                <w:szCs w:val="24"/>
              </w:rPr>
              <w:t>0，过滤精度2mm</w:t>
            </w:r>
          </w:p>
        </w:tc>
        <w:tc>
          <w:tcPr>
            <w:tcW w:w="851" w:type="dxa"/>
            <w:noWrap w:val="0"/>
            <w:vAlign w:val="center"/>
          </w:tcPr>
          <w:p w14:paraId="6B762219">
            <w:pPr>
              <w:rPr>
                <w:rFonts w:hint="eastAsia" w:ascii="宋体" w:hAnsi="宋体" w:eastAsia="宋体" w:cs="宋体"/>
                <w:sz w:val="24"/>
                <w:szCs w:val="24"/>
              </w:rPr>
            </w:pPr>
            <w:r>
              <w:rPr>
                <w:rFonts w:hint="eastAsia" w:ascii="宋体" w:hAnsi="宋体" w:eastAsia="宋体" w:cs="宋体"/>
                <w:sz w:val="24"/>
                <w:szCs w:val="24"/>
              </w:rPr>
              <w:t>台套</w:t>
            </w:r>
          </w:p>
        </w:tc>
        <w:tc>
          <w:tcPr>
            <w:tcW w:w="850" w:type="dxa"/>
            <w:noWrap w:val="0"/>
            <w:vAlign w:val="center"/>
          </w:tcPr>
          <w:p w14:paraId="08ACEC2E">
            <w:pPr>
              <w:rPr>
                <w:rFonts w:hint="eastAsia" w:ascii="宋体" w:hAnsi="宋体" w:eastAsia="宋体" w:cs="宋体"/>
                <w:sz w:val="24"/>
                <w:szCs w:val="24"/>
              </w:rPr>
            </w:pPr>
            <w:r>
              <w:rPr>
                <w:rFonts w:hint="eastAsia" w:ascii="宋体" w:hAnsi="宋体" w:eastAsia="宋体" w:cs="宋体"/>
                <w:sz w:val="24"/>
                <w:szCs w:val="24"/>
              </w:rPr>
              <w:t>2</w:t>
            </w:r>
          </w:p>
        </w:tc>
        <w:tc>
          <w:tcPr>
            <w:tcW w:w="1338" w:type="dxa"/>
            <w:noWrap w:val="0"/>
            <w:vAlign w:val="center"/>
          </w:tcPr>
          <w:p w14:paraId="74E924EC">
            <w:pPr>
              <w:rPr>
                <w:rFonts w:hint="eastAsia" w:ascii="宋体" w:hAnsi="宋体" w:eastAsia="宋体" w:cs="宋体"/>
                <w:sz w:val="24"/>
                <w:szCs w:val="24"/>
              </w:rPr>
            </w:pPr>
            <w:r>
              <w:rPr>
                <w:rFonts w:hint="eastAsia" w:ascii="宋体" w:hAnsi="宋体" w:eastAsia="宋体" w:cs="宋体"/>
                <w:sz w:val="24"/>
                <w:szCs w:val="24"/>
              </w:rPr>
              <w:t xml:space="preserve">上进下出快拆式 </w:t>
            </w:r>
          </w:p>
        </w:tc>
      </w:tr>
      <w:tr w14:paraId="1B53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531A62C0">
            <w:pPr>
              <w:rPr>
                <w:rFonts w:hint="eastAsia" w:ascii="宋体" w:hAnsi="宋体" w:eastAsia="宋体" w:cs="宋体"/>
                <w:sz w:val="24"/>
                <w:szCs w:val="24"/>
              </w:rPr>
            </w:pPr>
            <w:r>
              <w:rPr>
                <w:rFonts w:hint="eastAsia" w:ascii="宋体" w:hAnsi="宋体" w:eastAsia="宋体" w:cs="宋体"/>
                <w:sz w:val="24"/>
                <w:szCs w:val="24"/>
              </w:rPr>
              <w:t>2</w:t>
            </w:r>
          </w:p>
        </w:tc>
        <w:tc>
          <w:tcPr>
            <w:tcW w:w="1969" w:type="dxa"/>
            <w:noWrap w:val="0"/>
            <w:vAlign w:val="top"/>
          </w:tcPr>
          <w:p w14:paraId="16294A75">
            <w:pPr>
              <w:rPr>
                <w:rFonts w:hint="eastAsia" w:ascii="宋体" w:hAnsi="宋体" w:eastAsia="宋体" w:cs="宋体"/>
                <w:sz w:val="24"/>
                <w:szCs w:val="24"/>
              </w:rPr>
            </w:pPr>
            <w:r>
              <w:rPr>
                <w:rFonts w:hint="eastAsia" w:ascii="宋体" w:hAnsi="宋体" w:eastAsia="宋体" w:cs="宋体"/>
                <w:sz w:val="24"/>
                <w:szCs w:val="24"/>
              </w:rPr>
              <w:t>备品备件</w:t>
            </w:r>
          </w:p>
        </w:tc>
        <w:tc>
          <w:tcPr>
            <w:tcW w:w="3231" w:type="dxa"/>
            <w:noWrap w:val="0"/>
            <w:vAlign w:val="center"/>
          </w:tcPr>
          <w:p w14:paraId="0706A106">
            <w:pPr>
              <w:rPr>
                <w:rFonts w:hint="eastAsia" w:ascii="宋体" w:hAnsi="宋体" w:eastAsia="宋体" w:cs="宋体"/>
                <w:sz w:val="24"/>
                <w:szCs w:val="24"/>
              </w:rPr>
            </w:pPr>
          </w:p>
        </w:tc>
        <w:tc>
          <w:tcPr>
            <w:tcW w:w="851" w:type="dxa"/>
            <w:noWrap w:val="0"/>
            <w:vAlign w:val="center"/>
          </w:tcPr>
          <w:p w14:paraId="0631AB8F">
            <w:pPr>
              <w:rPr>
                <w:rFonts w:hint="eastAsia" w:ascii="宋体" w:hAnsi="宋体" w:eastAsia="宋体" w:cs="宋体"/>
                <w:sz w:val="24"/>
                <w:szCs w:val="24"/>
              </w:rPr>
            </w:pPr>
            <w:r>
              <w:rPr>
                <w:rFonts w:hint="eastAsia" w:ascii="宋体" w:hAnsi="宋体" w:eastAsia="宋体" w:cs="宋体"/>
                <w:sz w:val="24"/>
                <w:szCs w:val="24"/>
              </w:rPr>
              <w:t>项</w:t>
            </w:r>
          </w:p>
        </w:tc>
        <w:tc>
          <w:tcPr>
            <w:tcW w:w="850" w:type="dxa"/>
            <w:noWrap w:val="0"/>
            <w:vAlign w:val="center"/>
          </w:tcPr>
          <w:p w14:paraId="2A30D0E2">
            <w:pPr>
              <w:rPr>
                <w:rFonts w:hint="eastAsia" w:ascii="宋体" w:hAnsi="宋体" w:eastAsia="宋体" w:cs="宋体"/>
                <w:sz w:val="24"/>
                <w:szCs w:val="24"/>
              </w:rPr>
            </w:pPr>
            <w:r>
              <w:rPr>
                <w:rFonts w:hint="eastAsia" w:ascii="宋体" w:hAnsi="宋体" w:eastAsia="宋体" w:cs="宋体"/>
                <w:sz w:val="24"/>
                <w:szCs w:val="24"/>
              </w:rPr>
              <w:t>1</w:t>
            </w:r>
          </w:p>
        </w:tc>
        <w:tc>
          <w:tcPr>
            <w:tcW w:w="1338" w:type="dxa"/>
            <w:noWrap w:val="0"/>
            <w:vAlign w:val="top"/>
          </w:tcPr>
          <w:p w14:paraId="208DFDAA">
            <w:pPr>
              <w:rPr>
                <w:rFonts w:hint="eastAsia" w:ascii="宋体" w:hAnsi="宋体" w:eastAsia="宋体" w:cs="宋体"/>
                <w:sz w:val="24"/>
                <w:szCs w:val="24"/>
              </w:rPr>
            </w:pPr>
          </w:p>
        </w:tc>
      </w:tr>
      <w:tr w14:paraId="739A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1CF99E8">
            <w:pPr>
              <w:rPr>
                <w:rFonts w:hint="eastAsia" w:ascii="宋体" w:hAnsi="宋体" w:eastAsia="宋体" w:cs="宋体"/>
                <w:sz w:val="24"/>
                <w:szCs w:val="24"/>
              </w:rPr>
            </w:pPr>
            <w:r>
              <w:rPr>
                <w:rFonts w:hint="eastAsia" w:ascii="宋体" w:hAnsi="宋体" w:eastAsia="宋体" w:cs="宋体"/>
                <w:sz w:val="24"/>
                <w:szCs w:val="24"/>
              </w:rPr>
              <w:t>3</w:t>
            </w:r>
          </w:p>
        </w:tc>
        <w:tc>
          <w:tcPr>
            <w:tcW w:w="1969" w:type="dxa"/>
            <w:noWrap w:val="0"/>
            <w:vAlign w:val="top"/>
          </w:tcPr>
          <w:p w14:paraId="05BF4FD5">
            <w:pPr>
              <w:rPr>
                <w:rFonts w:hint="eastAsia" w:ascii="宋体" w:hAnsi="宋体" w:eastAsia="宋体" w:cs="宋体"/>
                <w:sz w:val="24"/>
                <w:szCs w:val="24"/>
              </w:rPr>
            </w:pPr>
            <w:r>
              <w:rPr>
                <w:rFonts w:hint="eastAsia" w:ascii="宋体" w:hAnsi="宋体" w:eastAsia="宋体" w:cs="宋体"/>
                <w:sz w:val="24"/>
                <w:szCs w:val="24"/>
              </w:rPr>
              <w:t>专用工具</w:t>
            </w:r>
          </w:p>
        </w:tc>
        <w:tc>
          <w:tcPr>
            <w:tcW w:w="3231" w:type="dxa"/>
            <w:noWrap w:val="0"/>
            <w:vAlign w:val="top"/>
          </w:tcPr>
          <w:p w14:paraId="0489A9AF">
            <w:pPr>
              <w:rPr>
                <w:rFonts w:hint="eastAsia" w:ascii="宋体" w:hAnsi="宋体" w:eastAsia="宋体" w:cs="宋体"/>
                <w:sz w:val="24"/>
                <w:szCs w:val="24"/>
              </w:rPr>
            </w:pPr>
          </w:p>
        </w:tc>
        <w:tc>
          <w:tcPr>
            <w:tcW w:w="851" w:type="dxa"/>
            <w:noWrap w:val="0"/>
            <w:vAlign w:val="center"/>
          </w:tcPr>
          <w:p w14:paraId="7E39567E">
            <w:pPr>
              <w:rPr>
                <w:rFonts w:hint="eastAsia" w:ascii="宋体" w:hAnsi="宋体" w:eastAsia="宋体" w:cs="宋体"/>
                <w:sz w:val="24"/>
                <w:szCs w:val="24"/>
              </w:rPr>
            </w:pPr>
            <w:r>
              <w:rPr>
                <w:rFonts w:hint="eastAsia" w:ascii="宋体" w:hAnsi="宋体" w:eastAsia="宋体" w:cs="宋体"/>
                <w:sz w:val="24"/>
                <w:szCs w:val="24"/>
              </w:rPr>
              <w:t>项</w:t>
            </w:r>
          </w:p>
        </w:tc>
        <w:tc>
          <w:tcPr>
            <w:tcW w:w="850" w:type="dxa"/>
            <w:noWrap w:val="0"/>
            <w:vAlign w:val="center"/>
          </w:tcPr>
          <w:p w14:paraId="7484533C">
            <w:pPr>
              <w:rPr>
                <w:rFonts w:hint="eastAsia" w:ascii="宋体" w:hAnsi="宋体" w:eastAsia="宋体" w:cs="宋体"/>
                <w:sz w:val="24"/>
                <w:szCs w:val="24"/>
              </w:rPr>
            </w:pPr>
            <w:r>
              <w:rPr>
                <w:rFonts w:hint="eastAsia" w:ascii="宋体" w:hAnsi="宋体" w:eastAsia="宋体" w:cs="宋体"/>
                <w:sz w:val="24"/>
                <w:szCs w:val="24"/>
              </w:rPr>
              <w:t>1</w:t>
            </w:r>
          </w:p>
        </w:tc>
        <w:tc>
          <w:tcPr>
            <w:tcW w:w="1338" w:type="dxa"/>
            <w:noWrap w:val="0"/>
            <w:vAlign w:val="top"/>
          </w:tcPr>
          <w:p w14:paraId="7071DD74">
            <w:pPr>
              <w:rPr>
                <w:rFonts w:hint="eastAsia" w:ascii="宋体" w:hAnsi="宋体" w:eastAsia="宋体" w:cs="宋体"/>
                <w:sz w:val="24"/>
                <w:szCs w:val="24"/>
              </w:rPr>
            </w:pPr>
          </w:p>
        </w:tc>
      </w:tr>
    </w:tbl>
    <w:p w14:paraId="0F2F27BF">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滤水器由壳体、过滤筒组、排污机构、检修手孔、放气阀、进出水管及排污管、进出口成对法兰、配套地脚螺栓等组成。具体如下：</w:t>
      </w:r>
    </w:p>
    <w:p w14:paraId="54216ABE">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（1）2台过滤精度为2.0mm的</w:t>
      </w:r>
      <w:r>
        <w:rPr>
          <w:rFonts w:hint="eastAsia" w:ascii="宋体" w:hAnsi="宋体" w:eastAsia="宋体" w:cs="宋体"/>
          <w:sz w:val="24"/>
          <w:szCs w:val="24"/>
          <w:lang w:val="en-US" w:eastAsia="zh-CN"/>
        </w:rPr>
        <w:t>手</w:t>
      </w:r>
      <w:r>
        <w:rPr>
          <w:rFonts w:hint="eastAsia" w:ascii="宋体" w:hAnsi="宋体" w:eastAsia="宋体" w:cs="宋体"/>
          <w:sz w:val="24"/>
          <w:szCs w:val="24"/>
        </w:rPr>
        <w:t>动滤水器（快拆式）；</w:t>
      </w:r>
    </w:p>
    <w:p w14:paraId="7E3FFA65">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（3）必须的备品备件</w:t>
      </w:r>
    </w:p>
    <w:p w14:paraId="6AD8644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（4）专用工具</w:t>
      </w:r>
    </w:p>
    <w:p w14:paraId="333E0F0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任何元件和装置，如果本技术要求中未专门提到，但它对于一个装置完整性和性能良好的设备是必不可少的，或者为保证设备安全运行必不可少的话，那么该元件和装置都应由承包人提供。</w:t>
      </w:r>
    </w:p>
    <w:p w14:paraId="2D420D35">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5</w:t>
      </w:r>
      <w:r>
        <w:rPr>
          <w:rFonts w:hint="eastAsia" w:ascii="宋体" w:hAnsi="宋体" w:eastAsia="宋体" w:cs="宋体"/>
          <w:b/>
          <w:sz w:val="24"/>
          <w:szCs w:val="24"/>
        </w:rPr>
        <w:t>.2 标准和规程</w:t>
      </w:r>
    </w:p>
    <w:p w14:paraId="2C547EC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合同设备的设计、制造、油漆、试验和包装至少应符合下列标准和规程的最新版本。标准和规程与合同文件有矛盾的地方，以要求高者为准。</w:t>
      </w:r>
    </w:p>
    <w:p w14:paraId="514E05FD">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铸件尺寸公差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GB6414</w:t>
      </w:r>
    </w:p>
    <w:p w14:paraId="46BDB6A2">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钢制管法兰、垫片、紧固件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HG20592~20635</w:t>
      </w:r>
    </w:p>
    <w:p w14:paraId="7F2FB80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碳钢技术规范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GB700</w:t>
      </w:r>
    </w:p>
    <w:p w14:paraId="5E12DB6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通用阀门供货要求                              GB/T12252</w:t>
      </w:r>
    </w:p>
    <w:p w14:paraId="015EEFC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通用阀门碳素钢铸件技术条件                    GB12229</w:t>
      </w:r>
    </w:p>
    <w:p w14:paraId="340AA44E">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通用阀门铜合金铸件技术条件                    GB12225</w:t>
      </w:r>
    </w:p>
    <w:p w14:paraId="4ED46FE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涂漆的一般技术要求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SDZ014</w:t>
      </w:r>
    </w:p>
    <w:p w14:paraId="426171DC">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涂漆前的锈蚀等级和钢材表面的除锈等级          GB/T8923</w:t>
      </w:r>
    </w:p>
    <w:p w14:paraId="24BB758E">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产品标牌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JB8</w:t>
      </w:r>
    </w:p>
    <w:p w14:paraId="32531CB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标牌                                          GB/T13306</w:t>
      </w:r>
    </w:p>
    <w:p w14:paraId="632EFE51">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钢制压力容器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GB150</w:t>
      </w:r>
    </w:p>
    <w:p w14:paraId="15C839B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工业用水自动反冲洗过滤器                      JB/T10410</w:t>
      </w:r>
    </w:p>
    <w:p w14:paraId="1DF16351">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压力容器无损监测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JB4730</w:t>
      </w:r>
    </w:p>
    <w:p w14:paraId="13335AAB">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机电产品包装通用技术条件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GB/T13384</w:t>
      </w:r>
    </w:p>
    <w:p w14:paraId="0871B4D7">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5</w:t>
      </w:r>
      <w:r>
        <w:rPr>
          <w:rFonts w:hint="eastAsia" w:ascii="宋体" w:hAnsi="宋体" w:eastAsia="宋体" w:cs="宋体"/>
          <w:b/>
          <w:sz w:val="24"/>
          <w:szCs w:val="24"/>
        </w:rPr>
        <w:t>.3设备用途及说明</w:t>
      </w:r>
    </w:p>
    <w:p w14:paraId="0804695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滤水器用于本电站机组技术供水。提供给水轮发电机空气冷却、机组各部轴承冷却用水。本电站共有两台机组，技术供水系统采用单元供水的形式，每台机组为一个单元，每个单元设1台自动滤水器(快拆式，过滤精度2mm)。</w:t>
      </w:r>
    </w:p>
    <w:p w14:paraId="1582939B">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承包人在滤水器的设计、材料选择及试验、制造、工厂验收及接收、包装等方面应符合本技术文件所列的相关标准和规范。</w:t>
      </w:r>
    </w:p>
    <w:p w14:paraId="3DC132B6">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5</w:t>
      </w:r>
      <w:r>
        <w:rPr>
          <w:rFonts w:hint="eastAsia" w:ascii="宋体" w:hAnsi="宋体" w:eastAsia="宋体" w:cs="宋体"/>
          <w:b/>
          <w:sz w:val="24"/>
          <w:szCs w:val="24"/>
        </w:rPr>
        <w:t>.4 技术要求</w:t>
      </w:r>
    </w:p>
    <w:p w14:paraId="7A43243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电站滤水器的总体功能是：在电站的技术供水系统中，滤水器应能够持续地过滤出水压、水量稳定的清洁水，以满足用水设备的要求，自动、及时、可靠地完成对滤水器过滤网的清洗并排出污物，保证电站技术供水系统的正常运行。</w:t>
      </w:r>
    </w:p>
    <w:p w14:paraId="1BF4086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（1）滤水器均为</w:t>
      </w:r>
      <w:r>
        <w:rPr>
          <w:rFonts w:hint="eastAsia" w:ascii="宋体" w:hAnsi="宋体" w:cs="宋体"/>
          <w:sz w:val="24"/>
          <w:szCs w:val="24"/>
          <w:lang w:val="en-US" w:eastAsia="zh-CN"/>
        </w:rPr>
        <w:t>手</w:t>
      </w:r>
      <w:r>
        <w:rPr>
          <w:rFonts w:hint="eastAsia" w:ascii="宋体" w:hAnsi="宋体" w:eastAsia="宋体" w:cs="宋体"/>
          <w:sz w:val="24"/>
          <w:szCs w:val="24"/>
        </w:rPr>
        <w:t>动清洗排污滤水器，钢板焊接结构。其进、出口水管及排污管与外部管路系统采用法兰联接。进、出水管和排污管的方位按本招标文件附图要求。</w:t>
      </w:r>
    </w:p>
    <w:p w14:paraId="11CEA50D">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（2）所有滤水器的过流量在滤网无污物时不小于191m</w:t>
      </w:r>
      <w:r>
        <w:rPr>
          <w:rFonts w:hint="eastAsia" w:ascii="宋体" w:hAnsi="宋体" w:eastAsia="宋体" w:cs="宋体"/>
          <w:sz w:val="24"/>
          <w:szCs w:val="24"/>
          <w:vertAlign w:val="superscript"/>
        </w:rPr>
        <w:t>3</w:t>
      </w:r>
      <w:r>
        <w:rPr>
          <w:rFonts w:hint="eastAsia" w:ascii="宋体" w:hAnsi="宋体" w:eastAsia="宋体" w:cs="宋体"/>
          <w:sz w:val="24"/>
          <w:szCs w:val="24"/>
        </w:rPr>
        <w:t>/h，在自动排污阀启动前(差压设定0.02~0.04MPa)不应小于150m</w:t>
      </w:r>
      <w:r>
        <w:rPr>
          <w:rFonts w:hint="eastAsia" w:ascii="宋体" w:hAnsi="宋体" w:eastAsia="宋体" w:cs="宋体"/>
          <w:sz w:val="24"/>
          <w:szCs w:val="24"/>
          <w:vertAlign w:val="superscript"/>
        </w:rPr>
        <w:t>3</w:t>
      </w:r>
      <w:r>
        <w:rPr>
          <w:rFonts w:hint="eastAsia" w:ascii="宋体" w:hAnsi="宋体" w:eastAsia="宋体" w:cs="宋体"/>
          <w:sz w:val="24"/>
          <w:szCs w:val="24"/>
        </w:rPr>
        <w:t>/h，设计压力1.0MPa。</w:t>
      </w:r>
    </w:p>
    <w:p w14:paraId="5D7FECD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（3）在滤水器滤网无污物、通过设计流量的条件下，滤水器的总水头损失不应大于0.03MPa。</w:t>
      </w:r>
    </w:p>
    <w:p w14:paraId="201C41B0">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（4）滤网采用多筒式结构，以便尽可能增加滤网的有效过滤面积，过滤精度为2.0mm。</w:t>
      </w:r>
    </w:p>
    <w:p w14:paraId="7A292A1F">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（5）滤水器壳体上应设置有过滤筒检修手孔，可方便地直接将每一个过滤筒取出进行清洗。其上、下轴承及密封结构设计应充分考虑防泥沙侵入而磨损轴承。</w:t>
      </w:r>
    </w:p>
    <w:p w14:paraId="7228B8F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滤网采用不锈钢材料，滤网的设计应具备有效的防阻塞性能，避免污物缠绕滤网。在介质与滤网界面，杂质污物应能被有效的收集和清除，特别是阻塞和粘附在滤网层的纤维化杂物，应能很充分的被反冲洗水冲洗干净。</w:t>
      </w:r>
    </w:p>
    <w:p w14:paraId="59CB5FDC">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）滤水器壳体上应设有可靠的手动排气阀，其动作及密封应简单可靠，应能保证在滤水器初次投运、检修后投运以及滤水器运行过程中随时自动排空壳体内的空气，保证滤水器过滤元件的有效使用。</w:t>
      </w:r>
    </w:p>
    <w:p w14:paraId="2F00D5EF">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滤水器差压测量系统应采用可靠的差压控制器作为测量元件。为了保证差压测量，在滤水器差压测量的高、低压取水口处，应分别设置较高过滤精度的滤网，避免测压孔堵塞导致差压测量失灵。另外，在滤水器进、出水管上应分别设置一只压力表，以便现场观察滤水器前后的压力变化。</w:t>
      </w:r>
    </w:p>
    <w:p w14:paraId="139CAB25">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5</w:t>
      </w:r>
      <w:r>
        <w:rPr>
          <w:rFonts w:hint="eastAsia" w:ascii="宋体" w:hAnsi="宋体" w:eastAsia="宋体" w:cs="宋体"/>
          <w:b/>
          <w:sz w:val="24"/>
          <w:szCs w:val="24"/>
        </w:rPr>
        <w:t>.5 结构和材料要求</w:t>
      </w:r>
    </w:p>
    <w:p w14:paraId="23A270A7">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（1）滤水器由滤水器本体、排气阀、差压控制器和前后压力表等组成。</w:t>
      </w:r>
    </w:p>
    <w:p w14:paraId="0DEEF36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（2）滤水器结构设计上应采取防止泥沙、污物堵塞的有效措施，以保证滤水器安全可靠运行。滤水器的结构应能使人工检修方便、快捷。</w:t>
      </w:r>
    </w:p>
    <w:p w14:paraId="78C17721">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（3）滤水器前后配置压力表和表阀，压力表应为充油防震型压力表。精度等级1.5级。配套的三通式表阀和螺纹转接头，采用不锈钢或黄铜制作。</w:t>
      </w:r>
    </w:p>
    <w:p w14:paraId="2F0B9A00">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（4）滤水器主要部件如滤网、主轴、排污装置采用不锈钢材料。滤水器主要部件材料不低于下表所列材料：</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207"/>
        <w:gridCol w:w="2050"/>
      </w:tblGrid>
      <w:tr w14:paraId="3ABD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noWrap w:val="0"/>
            <w:vAlign w:val="top"/>
          </w:tcPr>
          <w:p w14:paraId="657FF7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壳体</w:t>
            </w:r>
          </w:p>
        </w:tc>
        <w:tc>
          <w:tcPr>
            <w:tcW w:w="2207" w:type="dxa"/>
            <w:noWrap w:val="0"/>
            <w:vAlign w:val="top"/>
          </w:tcPr>
          <w:p w14:paraId="683901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滤网</w:t>
            </w:r>
          </w:p>
        </w:tc>
        <w:tc>
          <w:tcPr>
            <w:tcW w:w="2050" w:type="dxa"/>
            <w:noWrap w:val="0"/>
            <w:vAlign w:val="top"/>
          </w:tcPr>
          <w:p w14:paraId="6A0976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主轴</w:t>
            </w:r>
          </w:p>
        </w:tc>
      </w:tr>
      <w:tr w14:paraId="1DCD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5" w:type="dxa"/>
            <w:noWrap w:val="0"/>
            <w:vAlign w:val="top"/>
          </w:tcPr>
          <w:p w14:paraId="24BBAE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Q235</w:t>
            </w:r>
          </w:p>
        </w:tc>
        <w:tc>
          <w:tcPr>
            <w:tcW w:w="2207" w:type="dxa"/>
            <w:noWrap w:val="0"/>
            <w:vAlign w:val="top"/>
          </w:tcPr>
          <w:p w14:paraId="3605671E">
            <w:pPr>
              <w:spacing w:line="360" w:lineRule="auto"/>
              <w:rPr>
                <w:rFonts w:hint="eastAsia" w:ascii="宋体" w:hAnsi="宋体" w:eastAsia="宋体" w:cs="宋体"/>
                <w:sz w:val="24"/>
                <w:szCs w:val="24"/>
              </w:rPr>
            </w:pPr>
            <w:r>
              <w:rPr>
                <w:rFonts w:hint="eastAsia" w:ascii="宋体" w:hAnsi="宋体" w:eastAsia="宋体" w:cs="宋体"/>
                <w:sz w:val="24"/>
                <w:szCs w:val="24"/>
              </w:rPr>
              <w:t>不锈钢1Cr18Ni</w:t>
            </w:r>
          </w:p>
        </w:tc>
        <w:tc>
          <w:tcPr>
            <w:tcW w:w="2050" w:type="dxa"/>
            <w:noWrap w:val="0"/>
            <w:vAlign w:val="top"/>
          </w:tcPr>
          <w:p w14:paraId="2594E92E">
            <w:pPr>
              <w:spacing w:line="360" w:lineRule="auto"/>
              <w:rPr>
                <w:rFonts w:hint="eastAsia" w:ascii="宋体" w:hAnsi="宋体" w:eastAsia="宋体" w:cs="宋体"/>
                <w:sz w:val="24"/>
                <w:szCs w:val="24"/>
              </w:rPr>
            </w:pPr>
            <w:r>
              <w:rPr>
                <w:rFonts w:hint="eastAsia" w:ascii="宋体" w:hAnsi="宋体" w:eastAsia="宋体" w:cs="宋体"/>
                <w:sz w:val="24"/>
                <w:szCs w:val="24"/>
              </w:rPr>
              <w:t>不锈钢1Cr18Ni</w:t>
            </w:r>
          </w:p>
        </w:tc>
      </w:tr>
    </w:tbl>
    <w:p w14:paraId="0DDCBEA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（5）筒体内部流道应光滑并进行表面耐腐蚀、耐磨损的系列涂层处理。</w:t>
      </w:r>
    </w:p>
    <w:p w14:paraId="5E99020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（6）筒体转动部分应进行平衡检验。</w:t>
      </w:r>
    </w:p>
    <w:p w14:paraId="57569692">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（7）传动轴、转动装置的轴应进行校直处理，并消除其内部的拉制应力。</w:t>
      </w:r>
    </w:p>
    <w:p w14:paraId="35FAB9E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（8）滤水器应设置吊耳，以便于运输、吊装。考虑到滤水器为更新改造，建议滤水器采用</w:t>
      </w:r>
      <w:r>
        <w:rPr>
          <w:rFonts w:hint="eastAsia" w:ascii="宋体" w:hAnsi="宋体" w:eastAsia="宋体" w:cs="宋体"/>
          <w:b/>
          <w:sz w:val="24"/>
          <w:szCs w:val="24"/>
        </w:rPr>
        <w:t>膨胀螺栓</w:t>
      </w:r>
      <w:r>
        <w:rPr>
          <w:rFonts w:hint="eastAsia" w:ascii="宋体" w:hAnsi="宋体" w:eastAsia="宋体" w:cs="宋体"/>
          <w:sz w:val="24"/>
          <w:szCs w:val="24"/>
        </w:rPr>
        <w:t>固定，旋流器采用金属膨胀螺栓固定，承包人应提供相应的连接固定件。</w:t>
      </w:r>
    </w:p>
    <w:p w14:paraId="228248A9">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（9）滤水器底部应设放空管和球阀一只，顶部应设置放气阀一只。</w:t>
      </w:r>
    </w:p>
    <w:p w14:paraId="29182E6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（10）在全部运行工况下，滤芯不允许发生任何变形。</w:t>
      </w:r>
    </w:p>
    <w:p w14:paraId="307DD49E">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5</w:t>
      </w:r>
      <w:r>
        <w:rPr>
          <w:rFonts w:hint="eastAsia" w:ascii="宋体" w:hAnsi="宋体" w:eastAsia="宋体" w:cs="宋体"/>
          <w:b/>
          <w:sz w:val="24"/>
          <w:szCs w:val="24"/>
        </w:rPr>
        <w:t>.6 主要技术参数</w:t>
      </w:r>
    </w:p>
    <w:p w14:paraId="11C52A44">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手</w:t>
      </w:r>
      <w:r>
        <w:rPr>
          <w:rFonts w:hint="eastAsia" w:ascii="宋体" w:hAnsi="宋体" w:eastAsia="宋体" w:cs="宋体"/>
          <w:sz w:val="24"/>
          <w:szCs w:val="24"/>
        </w:rPr>
        <w:t>动滤水器主要技术参数如下：</w:t>
      </w:r>
    </w:p>
    <w:p w14:paraId="16C5384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数量                           2台</w:t>
      </w:r>
    </w:p>
    <w:p w14:paraId="77A51CB7">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型式                           滤网快拆型</w:t>
      </w:r>
    </w:p>
    <w:p w14:paraId="3F880AF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设计流量：                     1</w:t>
      </w:r>
      <w:r>
        <w:rPr>
          <w:rFonts w:hint="eastAsia" w:ascii="宋体" w:hAnsi="宋体" w:eastAsia="宋体" w:cs="宋体"/>
          <w:sz w:val="24"/>
          <w:szCs w:val="24"/>
          <w:lang w:val="en-US" w:eastAsia="zh-CN"/>
        </w:rPr>
        <w:t>50</w:t>
      </w: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hint="eastAsia" w:ascii="宋体" w:hAnsi="宋体" w:eastAsia="宋体" w:cs="宋体"/>
          <w:sz w:val="24"/>
          <w:szCs w:val="24"/>
        </w:rPr>
        <w:t>/h</w:t>
      </w:r>
    </w:p>
    <w:p w14:paraId="1D96FEDD">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过滤精度                       2mm</w:t>
      </w:r>
    </w:p>
    <w:p w14:paraId="2911EDAD">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设计压力：                     1.0MPa</w:t>
      </w:r>
    </w:p>
    <w:p w14:paraId="704372DD">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进口/出口直径：                φ1</w:t>
      </w:r>
      <w:r>
        <w:rPr>
          <w:rFonts w:hint="eastAsia" w:ascii="宋体" w:hAnsi="宋体" w:cs="宋体"/>
          <w:sz w:val="24"/>
          <w:szCs w:val="24"/>
          <w:lang w:val="en-US" w:eastAsia="zh-CN"/>
        </w:rPr>
        <w:t>0</w:t>
      </w:r>
      <w:r>
        <w:rPr>
          <w:rFonts w:hint="eastAsia" w:ascii="宋体" w:hAnsi="宋体" w:eastAsia="宋体" w:cs="宋体"/>
          <w:sz w:val="24"/>
          <w:szCs w:val="24"/>
        </w:rPr>
        <w:t>0/φ</w:t>
      </w:r>
      <w:r>
        <w:rPr>
          <w:rFonts w:hint="eastAsia" w:ascii="宋体" w:hAnsi="宋体" w:cs="宋体"/>
          <w:sz w:val="24"/>
          <w:szCs w:val="24"/>
          <w:lang w:val="en-US" w:eastAsia="zh-CN"/>
        </w:rPr>
        <w:t>10</w:t>
      </w:r>
      <w:r>
        <w:rPr>
          <w:rFonts w:hint="eastAsia" w:ascii="宋体" w:hAnsi="宋体" w:eastAsia="宋体" w:cs="宋体"/>
          <w:sz w:val="24"/>
          <w:szCs w:val="24"/>
        </w:rPr>
        <w:t>0mm</w:t>
      </w:r>
    </w:p>
    <w:p w14:paraId="6F72C0F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排污口径：                     φ50mm </w:t>
      </w:r>
    </w:p>
    <w:p w14:paraId="1256D94D">
      <w:pPr>
        <w:keepNext/>
        <w:keepLines/>
        <w:spacing w:before="60" w:after="60" w:line="360" w:lineRule="auto"/>
        <w:outlineLvl w:val="2"/>
        <w:rPr>
          <w:rFonts w:hint="eastAsia" w:ascii="宋体" w:hAnsi="宋体" w:eastAsia="宋体" w:cs="宋体"/>
          <w:sz w:val="24"/>
          <w:szCs w:val="24"/>
        </w:rPr>
      </w:pPr>
      <w:r>
        <w:rPr>
          <w:rFonts w:hint="eastAsia" w:ascii="宋体" w:hAnsi="宋体" w:cs="宋体"/>
          <w:b/>
          <w:sz w:val="24"/>
          <w:szCs w:val="24"/>
          <w:lang w:val="en-US" w:eastAsia="zh-CN"/>
        </w:rPr>
        <w:t>5</w:t>
      </w:r>
      <w:r>
        <w:rPr>
          <w:rFonts w:hint="eastAsia" w:ascii="宋体" w:hAnsi="宋体" w:eastAsia="宋体" w:cs="宋体"/>
          <w:b/>
          <w:sz w:val="24"/>
          <w:szCs w:val="24"/>
        </w:rPr>
        <w:t>.7备品备件及专用工具</w:t>
      </w:r>
    </w:p>
    <w:p w14:paraId="3BC1624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 备品备件</w:t>
      </w:r>
    </w:p>
    <w:p w14:paraId="4E4385A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承包人应提供规定的全部备品备件，此价格应包括在总价格中。承包人应在质保期内做好交接验收工作，在保修期过后，承包人应继续提供价格合理的设备备品备件。</w:t>
      </w:r>
    </w:p>
    <w:p w14:paraId="23CC28A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专用工具</w:t>
      </w:r>
    </w:p>
    <w:p w14:paraId="761A5165">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承包人应提供必要的专用安装、试验、维修工具。</w:t>
      </w:r>
    </w:p>
    <w:p w14:paraId="62BAFCD6">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5</w:t>
      </w:r>
      <w:r>
        <w:rPr>
          <w:rFonts w:hint="eastAsia" w:ascii="宋体" w:hAnsi="宋体" w:eastAsia="宋体" w:cs="宋体"/>
          <w:b/>
          <w:sz w:val="24"/>
          <w:szCs w:val="24"/>
        </w:rPr>
        <w:t>.8 安装及试验</w:t>
      </w:r>
    </w:p>
    <w:p w14:paraId="7F533671">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工厂试验</w:t>
      </w:r>
    </w:p>
    <w:p w14:paraId="497DFB3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（1）所有滤水器及其主要零部件，制造厂在出厂前必须进行测试检验，合格后方能出厂。</w:t>
      </w:r>
    </w:p>
    <w:p w14:paraId="070048D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（2）滤水器及其附件的承压部分均需在厂内分别进行强度试验，试验压力为额定工作压力的1.5倍，保压30分钟，以无渗漏水或结构损伤为合格。</w:t>
      </w:r>
    </w:p>
    <w:p w14:paraId="5B243DB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（3）滤水器总装后应进行密封性水压试验，试验压力取1.1倍额定工作压力，保压30分钟，以无渗漏现象为合格。</w:t>
      </w:r>
    </w:p>
    <w:p w14:paraId="1F4ED8F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（4）滤水器总装后应进行整体（包括机械与电气）动作试验。</w:t>
      </w:r>
    </w:p>
    <w:p w14:paraId="6161371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）现场试验</w:t>
      </w:r>
    </w:p>
    <w:p w14:paraId="0277734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滤水器在电站安装后应进行性能试验，并随整个冷却供水系统进行压水试验。</w:t>
      </w:r>
    </w:p>
    <w:p w14:paraId="249F1FCA">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5</w:t>
      </w:r>
      <w:r>
        <w:rPr>
          <w:rFonts w:hint="eastAsia" w:ascii="宋体" w:hAnsi="宋体" w:eastAsia="宋体" w:cs="宋体"/>
          <w:b/>
          <w:sz w:val="24"/>
          <w:szCs w:val="24"/>
        </w:rPr>
        <w:t>.9 质量保证</w:t>
      </w:r>
    </w:p>
    <w:p w14:paraId="5717843B">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符合本合同文件规定的水质、泥沙特性的要求，且用户恰当地遵守保管和使用规则条件下，货物在质保期内，产品因制造不良而发生损坏（包括磨蚀损坏或不能正常工作）时，承包人应免费为用户更换或修理产品和零件。</w:t>
      </w:r>
    </w:p>
    <w:p w14:paraId="1BA5E9C0">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5</w:t>
      </w:r>
      <w:r>
        <w:rPr>
          <w:rFonts w:hint="eastAsia" w:ascii="宋体" w:hAnsi="宋体" w:eastAsia="宋体" w:cs="宋体"/>
          <w:b/>
          <w:sz w:val="24"/>
          <w:szCs w:val="24"/>
        </w:rPr>
        <w:t>.10 提交的技术资料和图纸</w:t>
      </w:r>
    </w:p>
    <w:p w14:paraId="4126AFB1">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签订生效后，承包人应分阶段向发包人及设计单位提供以下有关正式的图纸、文件及相关软盘（包括CAD图、Office文件等）。除所列的图纸和资料外，如果承包人认为对保证工程的设计、施工、设备的安装、试验、运行及维护是必须的，或有助于发包人对所供设备有更深了解的话，承包人应补充需要增加的这些图纸和资料。</w:t>
      </w:r>
    </w:p>
    <w:p w14:paraId="648137D0">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（1）图纸包括滤水器总装配图，设备基础图，滤水器结构图，滤水器控制原理图等。</w:t>
      </w:r>
    </w:p>
    <w:p w14:paraId="4899095C">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（2）资料包括滤水器安装使用说明书，滤水器控制电路说明，控制箱要求的电源及容量等。</w:t>
      </w:r>
    </w:p>
    <w:bookmarkEnd w:id="300"/>
    <w:p w14:paraId="55D38ED4">
      <w:pPr>
        <w:tabs>
          <w:tab w:val="left" w:pos="709"/>
        </w:tabs>
        <w:spacing w:line="360" w:lineRule="auto"/>
        <w:rPr>
          <w:rFonts w:hint="eastAsia" w:ascii="宋体" w:hAnsi="宋体" w:eastAsia="宋体" w:cs="宋体"/>
          <w:sz w:val="24"/>
          <w:szCs w:val="24"/>
        </w:rPr>
      </w:pPr>
    </w:p>
    <w:p w14:paraId="4ABBAE23">
      <w:pPr>
        <w:tabs>
          <w:tab w:val="left" w:pos="709"/>
        </w:tabs>
        <w:spacing w:line="360" w:lineRule="auto"/>
        <w:rPr>
          <w:rFonts w:hint="eastAsia" w:ascii="宋体" w:hAnsi="宋体" w:eastAsia="宋体" w:cs="宋体"/>
          <w:sz w:val="24"/>
          <w:szCs w:val="24"/>
        </w:rPr>
      </w:pPr>
    </w:p>
    <w:p w14:paraId="5481C9EA">
      <w:pPr>
        <w:keepNext/>
        <w:jc w:val="center"/>
        <w:outlineLvl w:val="1"/>
        <w:rPr>
          <w:rFonts w:hint="eastAsia" w:ascii="宋体" w:hAnsi="宋体" w:eastAsia="宋体" w:cs="宋体"/>
          <w:sz w:val="28"/>
          <w:szCs w:val="28"/>
        </w:rPr>
      </w:pPr>
      <w:bookmarkStart w:id="301" w:name="_Toc395016379"/>
      <w:bookmarkStart w:id="302" w:name="_Toc395015776"/>
      <w:r>
        <w:rPr>
          <w:rFonts w:hint="eastAsia" w:ascii="宋体" w:hAnsi="宋体" w:eastAsia="宋体" w:cs="宋体"/>
          <w:sz w:val="28"/>
          <w:szCs w:val="28"/>
        </w:rPr>
        <w:t>第6章 压缩空气系统设备技术条款</w:t>
      </w:r>
      <w:bookmarkEnd w:id="301"/>
      <w:bookmarkEnd w:id="302"/>
    </w:p>
    <w:p w14:paraId="427A18A7">
      <w:pPr>
        <w:keepNext/>
        <w:keepLines/>
        <w:spacing w:before="60" w:after="60" w:line="360" w:lineRule="auto"/>
        <w:outlineLvl w:val="2"/>
        <w:rPr>
          <w:rFonts w:hint="eastAsia" w:ascii="宋体" w:hAnsi="宋体" w:eastAsia="宋体" w:cs="宋体"/>
          <w:b/>
          <w:sz w:val="24"/>
          <w:szCs w:val="24"/>
        </w:rPr>
      </w:pPr>
      <w:bookmarkStart w:id="303" w:name="_Toc395015777"/>
      <w:bookmarkStart w:id="304" w:name="_Toc395016380"/>
      <w:r>
        <w:rPr>
          <w:rFonts w:hint="eastAsia" w:ascii="宋体" w:hAnsi="宋体" w:eastAsia="宋体" w:cs="宋体"/>
          <w:b/>
          <w:sz w:val="24"/>
          <w:szCs w:val="24"/>
        </w:rPr>
        <w:t>6.1  概述</w:t>
      </w:r>
      <w:bookmarkEnd w:id="303"/>
      <w:bookmarkEnd w:id="304"/>
    </w:p>
    <w:p w14:paraId="48806BB9">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本工程低压压缩空气系统设备主要有空气压缩机和气水分离器</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14:paraId="70F84EF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厂用交流电源为三相四线制：AC380V、50HZ，电压范围-15%~+15%。</w:t>
      </w:r>
    </w:p>
    <w:p w14:paraId="24039D27">
      <w:pPr>
        <w:keepNext/>
        <w:keepLines/>
        <w:spacing w:before="60" w:after="60" w:line="360" w:lineRule="auto"/>
        <w:outlineLvl w:val="2"/>
        <w:rPr>
          <w:rFonts w:hint="eastAsia" w:ascii="宋体" w:hAnsi="宋体" w:eastAsia="宋体" w:cs="宋体"/>
          <w:b/>
          <w:sz w:val="24"/>
          <w:szCs w:val="24"/>
        </w:rPr>
      </w:pPr>
      <w:bookmarkStart w:id="305" w:name="_Toc395016381"/>
      <w:bookmarkStart w:id="306" w:name="_Toc395015778"/>
      <w:r>
        <w:rPr>
          <w:rFonts w:hint="eastAsia" w:ascii="宋体" w:hAnsi="宋体" w:eastAsia="宋体" w:cs="宋体"/>
          <w:b/>
          <w:sz w:val="24"/>
          <w:szCs w:val="24"/>
        </w:rPr>
        <w:t>6.2 供货范围</w:t>
      </w:r>
      <w:bookmarkEnd w:id="305"/>
      <w:bookmarkEnd w:id="306"/>
    </w:p>
    <w:p w14:paraId="62F6CFDF">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压缩空气系统设备供货范围如下：</w:t>
      </w:r>
    </w:p>
    <w:p w14:paraId="1BE1C7A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（1）2台排气量0.8m</w:t>
      </w:r>
      <w:r>
        <w:rPr>
          <w:rFonts w:hint="eastAsia" w:ascii="宋体" w:hAnsi="宋体" w:eastAsia="宋体" w:cs="宋体"/>
          <w:sz w:val="24"/>
          <w:szCs w:val="24"/>
          <w:vertAlign w:val="superscript"/>
        </w:rPr>
        <w:t>3</w:t>
      </w:r>
      <w:r>
        <w:rPr>
          <w:rFonts w:hint="eastAsia" w:ascii="宋体" w:hAnsi="宋体" w:eastAsia="宋体" w:cs="宋体"/>
          <w:sz w:val="24"/>
          <w:szCs w:val="24"/>
        </w:rPr>
        <w:t>/min、排气压力0.7MPa活塞式空气压缩机；</w:t>
      </w:r>
    </w:p>
    <w:p w14:paraId="46514D35">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）专用工具；</w:t>
      </w:r>
    </w:p>
    <w:p w14:paraId="5C84CECD">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）备品备件；</w:t>
      </w:r>
    </w:p>
    <w:p w14:paraId="67581E2F">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除以上供货范围外，还应包括：提供技术资料（含总装配图、安装图、基础图、易损件零件图）；现场服务及技术指导；从制造厂到工地现场的运输及保险等。</w:t>
      </w:r>
    </w:p>
    <w:p w14:paraId="266C567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但在执行合同过程中如发现有任何漏项和短缺，在发货清单中并未列入而且确实是承包人供货范围中应该有的，并且是满足合同设备的性能保证值要求所必需的，均应由承包人负责将所缺的设备、技术资料、专用工具及备品备件、服务及技术指导等补上，其费用已计入合同总价中。</w:t>
      </w:r>
    </w:p>
    <w:p w14:paraId="45EF71F9">
      <w:pPr>
        <w:keepNext/>
        <w:keepLines/>
        <w:spacing w:before="60" w:after="60" w:line="360" w:lineRule="auto"/>
        <w:outlineLvl w:val="2"/>
        <w:rPr>
          <w:rFonts w:hint="eastAsia" w:ascii="宋体" w:hAnsi="宋体" w:eastAsia="宋体" w:cs="宋体"/>
          <w:b/>
          <w:sz w:val="24"/>
          <w:szCs w:val="24"/>
        </w:rPr>
      </w:pPr>
      <w:bookmarkStart w:id="307" w:name="_Toc395015779"/>
      <w:bookmarkStart w:id="308" w:name="_Toc395016382"/>
      <w:r>
        <w:rPr>
          <w:rFonts w:hint="eastAsia" w:ascii="宋体" w:hAnsi="宋体" w:eastAsia="宋体" w:cs="宋体"/>
          <w:b/>
          <w:sz w:val="24"/>
          <w:szCs w:val="24"/>
        </w:rPr>
        <w:t>6.3 标准和规程</w:t>
      </w:r>
      <w:bookmarkEnd w:id="307"/>
      <w:bookmarkEnd w:id="308"/>
    </w:p>
    <w:p w14:paraId="67375E7F">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合同设备的设计、制造、油漆、试验和包装至少应符合下列标准和规程的最新版本。标准和规程与合同文件有矛盾的地方，以要求高者为准。</w:t>
      </w:r>
    </w:p>
    <w:p w14:paraId="548A7A29">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《微型往复活塞空气压缩机》GB/T13928 </w:t>
      </w:r>
    </w:p>
    <w:p w14:paraId="4E5DB8BC">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《容积式压缩机验收试验》GB/T3853</w:t>
      </w:r>
    </w:p>
    <w:p w14:paraId="1DF328E9">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《往复活塞压缩机机械振动测量与评价》GB/T7777</w:t>
      </w:r>
    </w:p>
    <w:p w14:paraId="3E3650B2">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《旋转电机定额和性能》GB755 </w:t>
      </w:r>
    </w:p>
    <w:p w14:paraId="61C5CDF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《输送流体用无缝钢管》GB/T8163 </w:t>
      </w:r>
    </w:p>
    <w:p w14:paraId="64832634">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《管壳式换热器》GB151 </w:t>
      </w:r>
    </w:p>
    <w:p w14:paraId="3854F750">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《机电产品包装通用技术要求》GB/T13384 </w:t>
      </w:r>
    </w:p>
    <w:p w14:paraId="532EB4D2">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《固定的空气压缩机安全规则和操作规程》GB10892</w:t>
      </w:r>
    </w:p>
    <w:p w14:paraId="468F025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《包装储运图示标志》GB191</w:t>
      </w:r>
    </w:p>
    <w:p w14:paraId="3693D40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《通用阀门碳素钢铸件技术条件》GB12229</w:t>
      </w:r>
    </w:p>
    <w:p w14:paraId="01A25534">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《整体铸铁管法兰》GB/T172416 </w:t>
      </w:r>
    </w:p>
    <w:p w14:paraId="458F8A7D">
      <w:pPr>
        <w:tabs>
          <w:tab w:val="left" w:pos="709"/>
        </w:tabs>
        <w:spacing w:line="360" w:lineRule="auto"/>
        <w:ind w:firstLine="480" w:firstLineChars="200"/>
        <w:rPr>
          <w:rFonts w:hint="eastAsia" w:ascii="宋体" w:hAnsi="宋体" w:eastAsia="宋体" w:cs="宋体"/>
          <w:snapToGrid w:val="0"/>
        </w:rPr>
      </w:pPr>
      <w:r>
        <w:rPr>
          <w:rFonts w:hint="eastAsia" w:ascii="宋体" w:hAnsi="宋体" w:eastAsia="宋体" w:cs="宋体"/>
          <w:sz w:val="24"/>
          <w:szCs w:val="24"/>
        </w:rPr>
        <w:t>《钢制法兰和型号》GB9112</w:t>
      </w:r>
    </w:p>
    <w:p w14:paraId="613E0010">
      <w:pPr>
        <w:keepNext/>
        <w:keepLines/>
        <w:spacing w:before="60" w:after="60" w:line="360" w:lineRule="auto"/>
        <w:outlineLvl w:val="2"/>
        <w:rPr>
          <w:rFonts w:hint="eastAsia" w:ascii="宋体" w:hAnsi="宋体" w:eastAsia="宋体" w:cs="宋体"/>
          <w:b/>
          <w:sz w:val="24"/>
          <w:szCs w:val="24"/>
        </w:rPr>
      </w:pPr>
      <w:bookmarkStart w:id="309" w:name="_Toc499084911"/>
      <w:bookmarkStart w:id="310" w:name="_Toc91403228"/>
      <w:bookmarkStart w:id="311" w:name="_Toc385164155"/>
      <w:bookmarkStart w:id="312" w:name="_Toc72142314"/>
      <w:bookmarkStart w:id="313" w:name="_Toc203561300"/>
      <w:bookmarkStart w:id="314" w:name="_Toc478547125"/>
      <w:bookmarkStart w:id="315" w:name="_Toc377370361"/>
      <w:bookmarkStart w:id="316" w:name="_Toc90717890"/>
      <w:bookmarkStart w:id="317" w:name="_Toc72139198"/>
      <w:bookmarkStart w:id="318" w:name="_Toc395015780"/>
      <w:bookmarkStart w:id="319" w:name="_Toc395016383"/>
      <w:r>
        <w:rPr>
          <w:rFonts w:hint="eastAsia" w:ascii="宋体" w:hAnsi="宋体" w:eastAsia="宋体" w:cs="宋体"/>
          <w:b/>
          <w:sz w:val="24"/>
          <w:szCs w:val="24"/>
        </w:rPr>
        <w:t>6.4 空压机</w:t>
      </w:r>
      <w:bookmarkEnd w:id="309"/>
      <w:bookmarkEnd w:id="310"/>
      <w:bookmarkEnd w:id="311"/>
      <w:bookmarkEnd w:id="312"/>
      <w:bookmarkEnd w:id="313"/>
      <w:bookmarkEnd w:id="314"/>
      <w:bookmarkEnd w:id="315"/>
      <w:bookmarkEnd w:id="316"/>
      <w:bookmarkEnd w:id="317"/>
      <w:r>
        <w:rPr>
          <w:rFonts w:hint="eastAsia" w:ascii="宋体" w:hAnsi="宋体" w:eastAsia="宋体" w:cs="宋体"/>
          <w:b/>
          <w:sz w:val="24"/>
          <w:szCs w:val="24"/>
        </w:rPr>
        <w:t>技术要求</w:t>
      </w:r>
      <w:bookmarkEnd w:id="318"/>
      <w:bookmarkEnd w:id="319"/>
    </w:p>
    <w:p w14:paraId="79EADCB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6.4.1 性能要求</w:t>
      </w:r>
    </w:p>
    <w:p w14:paraId="528D7E64">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应保证本项目设备的设计符合本工程使用条件，在规定的使用条件下低噪声、连续、平稳、安全、可靠运行，并满足本合同技术文件中所要求的性能指标。所提供的设备应是技术成熟的产品。性能要求如下：</w:t>
      </w:r>
    </w:p>
    <w:p w14:paraId="218F857F">
      <w:pPr>
        <w:ind w:firstLine="2730" w:firstLineChars="1300"/>
        <w:rPr>
          <w:rFonts w:hint="eastAsia" w:ascii="宋体" w:hAnsi="宋体" w:eastAsia="宋体" w:cs="宋体"/>
        </w:rPr>
      </w:pPr>
      <w:r>
        <w:rPr>
          <w:rFonts w:hint="eastAsia" w:ascii="宋体" w:hAnsi="宋体" w:eastAsia="宋体" w:cs="宋体"/>
        </w:rPr>
        <w:t>表6-1  空压机主要参数表</w:t>
      </w:r>
    </w:p>
    <w:tbl>
      <w:tblPr>
        <w:tblStyle w:val="65"/>
        <w:tblW w:w="6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773"/>
      </w:tblGrid>
      <w:tr w14:paraId="46CD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681DAA27">
            <w:pPr>
              <w:jc w:val="center"/>
              <w:rPr>
                <w:rFonts w:hint="eastAsia" w:ascii="宋体" w:hAnsi="宋体" w:eastAsia="宋体" w:cs="宋体"/>
              </w:rPr>
            </w:pPr>
            <w:r>
              <w:rPr>
                <w:rFonts w:hint="eastAsia" w:ascii="宋体" w:hAnsi="宋体" w:eastAsia="宋体" w:cs="宋体"/>
              </w:rPr>
              <w:t>空气压缩机</w:t>
            </w:r>
          </w:p>
        </w:tc>
        <w:tc>
          <w:tcPr>
            <w:tcW w:w="2773" w:type="dxa"/>
            <w:noWrap w:val="0"/>
            <w:vAlign w:val="center"/>
          </w:tcPr>
          <w:p w14:paraId="3FF6F88B">
            <w:pPr>
              <w:jc w:val="center"/>
              <w:rPr>
                <w:rFonts w:hint="eastAsia" w:ascii="宋体" w:hAnsi="宋体" w:eastAsia="宋体" w:cs="宋体"/>
              </w:rPr>
            </w:pPr>
            <w:r>
              <w:rPr>
                <w:rFonts w:hint="eastAsia" w:ascii="宋体" w:hAnsi="宋体" w:eastAsia="宋体" w:cs="宋体"/>
              </w:rPr>
              <w:t>活塞式空气压缩机</w:t>
            </w:r>
          </w:p>
        </w:tc>
      </w:tr>
      <w:tr w14:paraId="530E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00D0303D">
            <w:pPr>
              <w:jc w:val="center"/>
              <w:rPr>
                <w:rFonts w:hint="eastAsia" w:ascii="宋体" w:hAnsi="宋体" w:eastAsia="宋体" w:cs="宋体"/>
              </w:rPr>
            </w:pPr>
            <w:r>
              <w:rPr>
                <w:rFonts w:hint="eastAsia" w:ascii="宋体" w:hAnsi="宋体" w:eastAsia="宋体" w:cs="宋体"/>
              </w:rPr>
              <w:t>数量</w:t>
            </w:r>
          </w:p>
        </w:tc>
        <w:tc>
          <w:tcPr>
            <w:tcW w:w="2773" w:type="dxa"/>
            <w:noWrap w:val="0"/>
            <w:vAlign w:val="center"/>
          </w:tcPr>
          <w:p w14:paraId="5667E136">
            <w:pPr>
              <w:jc w:val="center"/>
              <w:rPr>
                <w:rFonts w:hint="eastAsia" w:ascii="宋体" w:hAnsi="宋体" w:eastAsia="宋体" w:cs="宋体"/>
              </w:rPr>
            </w:pPr>
            <w:r>
              <w:rPr>
                <w:rFonts w:hint="eastAsia" w:ascii="宋体" w:hAnsi="宋体" w:eastAsia="宋体" w:cs="宋体"/>
              </w:rPr>
              <w:t>2</w:t>
            </w:r>
          </w:p>
        </w:tc>
      </w:tr>
      <w:tr w14:paraId="1FA2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066AF1C9">
            <w:pPr>
              <w:jc w:val="center"/>
              <w:rPr>
                <w:rFonts w:hint="eastAsia" w:ascii="宋体" w:hAnsi="宋体" w:eastAsia="宋体" w:cs="宋体"/>
              </w:rPr>
            </w:pPr>
            <w:r>
              <w:rPr>
                <w:rFonts w:hint="eastAsia" w:ascii="宋体" w:hAnsi="宋体" w:eastAsia="宋体" w:cs="宋体"/>
              </w:rPr>
              <w:t>排气量</w:t>
            </w:r>
          </w:p>
        </w:tc>
        <w:tc>
          <w:tcPr>
            <w:tcW w:w="2773" w:type="dxa"/>
            <w:noWrap w:val="0"/>
            <w:vAlign w:val="center"/>
          </w:tcPr>
          <w:p w14:paraId="2DAF7662">
            <w:pPr>
              <w:jc w:val="center"/>
              <w:rPr>
                <w:rFonts w:hint="eastAsia" w:ascii="宋体" w:hAnsi="宋体" w:eastAsia="宋体" w:cs="宋体"/>
              </w:rPr>
            </w:pPr>
            <w:r>
              <w:rPr>
                <w:rFonts w:hint="eastAsia" w:ascii="宋体" w:hAnsi="宋体" w:eastAsia="宋体" w:cs="宋体"/>
              </w:rPr>
              <w:t>0.8m</w:t>
            </w:r>
            <w:r>
              <w:rPr>
                <w:rFonts w:hint="eastAsia" w:ascii="宋体" w:hAnsi="宋体" w:eastAsia="宋体" w:cs="宋体"/>
                <w:vertAlign w:val="superscript"/>
              </w:rPr>
              <w:t>3</w:t>
            </w:r>
            <w:r>
              <w:rPr>
                <w:rFonts w:hint="eastAsia" w:ascii="宋体" w:hAnsi="宋体" w:eastAsia="宋体" w:cs="宋体"/>
              </w:rPr>
              <w:t>/min</w:t>
            </w:r>
          </w:p>
        </w:tc>
      </w:tr>
      <w:tr w14:paraId="41D0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654A8583">
            <w:pPr>
              <w:jc w:val="center"/>
              <w:rPr>
                <w:rFonts w:hint="eastAsia" w:ascii="宋体" w:hAnsi="宋体" w:eastAsia="宋体" w:cs="宋体"/>
              </w:rPr>
            </w:pPr>
            <w:r>
              <w:rPr>
                <w:rFonts w:hint="eastAsia" w:ascii="宋体" w:hAnsi="宋体" w:eastAsia="宋体" w:cs="宋体"/>
              </w:rPr>
              <w:t>排气压力</w:t>
            </w:r>
          </w:p>
        </w:tc>
        <w:tc>
          <w:tcPr>
            <w:tcW w:w="2773" w:type="dxa"/>
            <w:noWrap w:val="0"/>
            <w:vAlign w:val="center"/>
          </w:tcPr>
          <w:p w14:paraId="5E3FE48D">
            <w:pPr>
              <w:jc w:val="center"/>
              <w:rPr>
                <w:rFonts w:hint="eastAsia" w:ascii="宋体" w:hAnsi="宋体" w:eastAsia="宋体" w:cs="宋体"/>
              </w:rPr>
            </w:pPr>
            <w:r>
              <w:rPr>
                <w:rFonts w:hint="eastAsia" w:ascii="宋体" w:hAnsi="宋体" w:eastAsia="宋体" w:cs="宋体"/>
              </w:rPr>
              <w:t>0.7MPa</w:t>
            </w:r>
          </w:p>
        </w:tc>
      </w:tr>
      <w:tr w14:paraId="525D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2087FCA1">
            <w:pPr>
              <w:jc w:val="center"/>
              <w:rPr>
                <w:rFonts w:hint="eastAsia" w:ascii="宋体" w:hAnsi="宋体" w:eastAsia="宋体" w:cs="宋体"/>
              </w:rPr>
            </w:pPr>
            <w:r>
              <w:rPr>
                <w:rFonts w:hint="eastAsia" w:ascii="宋体" w:hAnsi="宋体" w:eastAsia="宋体" w:cs="宋体"/>
              </w:rPr>
              <w:t>压缩介质</w:t>
            </w:r>
          </w:p>
        </w:tc>
        <w:tc>
          <w:tcPr>
            <w:tcW w:w="2773" w:type="dxa"/>
            <w:noWrap w:val="0"/>
            <w:vAlign w:val="center"/>
          </w:tcPr>
          <w:p w14:paraId="1E7AD149">
            <w:pPr>
              <w:jc w:val="center"/>
              <w:rPr>
                <w:rFonts w:hint="eastAsia" w:ascii="宋体" w:hAnsi="宋体" w:eastAsia="宋体" w:cs="宋体"/>
              </w:rPr>
            </w:pPr>
            <w:r>
              <w:rPr>
                <w:rFonts w:hint="eastAsia" w:ascii="宋体" w:hAnsi="宋体" w:eastAsia="宋体" w:cs="宋体"/>
              </w:rPr>
              <w:t>空气</w:t>
            </w:r>
          </w:p>
        </w:tc>
      </w:tr>
      <w:tr w14:paraId="3303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09EA1282">
            <w:pPr>
              <w:jc w:val="center"/>
              <w:rPr>
                <w:rFonts w:hint="eastAsia" w:ascii="宋体" w:hAnsi="宋体" w:eastAsia="宋体" w:cs="宋体"/>
              </w:rPr>
            </w:pPr>
            <w:r>
              <w:rPr>
                <w:rFonts w:hint="eastAsia" w:ascii="宋体" w:hAnsi="宋体" w:eastAsia="宋体" w:cs="宋体"/>
              </w:rPr>
              <w:t>冷却方式</w:t>
            </w:r>
          </w:p>
        </w:tc>
        <w:tc>
          <w:tcPr>
            <w:tcW w:w="2773" w:type="dxa"/>
            <w:noWrap w:val="0"/>
            <w:vAlign w:val="center"/>
          </w:tcPr>
          <w:p w14:paraId="4E9C3AE7">
            <w:pPr>
              <w:jc w:val="center"/>
              <w:rPr>
                <w:rFonts w:hint="eastAsia" w:ascii="宋体" w:hAnsi="宋体" w:eastAsia="宋体" w:cs="宋体"/>
              </w:rPr>
            </w:pPr>
            <w:r>
              <w:rPr>
                <w:rFonts w:hint="eastAsia" w:ascii="宋体" w:hAnsi="宋体" w:eastAsia="宋体" w:cs="宋体"/>
              </w:rPr>
              <w:t>风冷</w:t>
            </w:r>
          </w:p>
        </w:tc>
      </w:tr>
      <w:tr w14:paraId="0C67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7B2EFE16">
            <w:pPr>
              <w:jc w:val="center"/>
              <w:rPr>
                <w:rFonts w:hint="eastAsia" w:ascii="宋体" w:hAnsi="宋体" w:eastAsia="宋体" w:cs="宋体"/>
              </w:rPr>
            </w:pPr>
            <w:r>
              <w:rPr>
                <w:rFonts w:hint="eastAsia" w:ascii="宋体" w:hAnsi="宋体" w:eastAsia="宋体" w:cs="宋体"/>
              </w:rPr>
              <w:t>进气压力</w:t>
            </w:r>
          </w:p>
        </w:tc>
        <w:tc>
          <w:tcPr>
            <w:tcW w:w="2773" w:type="dxa"/>
            <w:noWrap w:val="0"/>
            <w:vAlign w:val="center"/>
          </w:tcPr>
          <w:p w14:paraId="11260BBA">
            <w:pPr>
              <w:jc w:val="center"/>
              <w:rPr>
                <w:rFonts w:hint="eastAsia" w:ascii="宋体" w:hAnsi="宋体" w:eastAsia="宋体" w:cs="宋体"/>
              </w:rPr>
            </w:pPr>
            <w:r>
              <w:rPr>
                <w:rFonts w:hint="eastAsia" w:ascii="宋体" w:hAnsi="宋体" w:eastAsia="宋体" w:cs="宋体"/>
              </w:rPr>
              <w:t>大气压力</w:t>
            </w:r>
          </w:p>
        </w:tc>
      </w:tr>
      <w:tr w14:paraId="49CA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604756D7">
            <w:pPr>
              <w:jc w:val="center"/>
              <w:rPr>
                <w:rFonts w:hint="eastAsia" w:ascii="宋体" w:hAnsi="宋体" w:eastAsia="宋体" w:cs="宋体"/>
              </w:rPr>
            </w:pPr>
            <w:r>
              <w:rPr>
                <w:rFonts w:hint="eastAsia" w:ascii="宋体" w:hAnsi="宋体" w:eastAsia="宋体" w:cs="宋体"/>
              </w:rPr>
              <w:t>进气温度</w:t>
            </w:r>
          </w:p>
        </w:tc>
        <w:tc>
          <w:tcPr>
            <w:tcW w:w="2773" w:type="dxa"/>
            <w:noWrap w:val="0"/>
            <w:vAlign w:val="center"/>
          </w:tcPr>
          <w:p w14:paraId="7284B140">
            <w:pPr>
              <w:jc w:val="center"/>
              <w:rPr>
                <w:rFonts w:hint="eastAsia" w:ascii="宋体" w:hAnsi="宋体" w:eastAsia="宋体" w:cs="宋体"/>
              </w:rPr>
            </w:pPr>
            <w:r>
              <w:rPr>
                <w:rFonts w:hint="eastAsia" w:ascii="宋体" w:hAnsi="宋体" w:eastAsia="宋体" w:cs="宋体"/>
              </w:rPr>
              <w:t>≤38℃</w:t>
            </w:r>
          </w:p>
        </w:tc>
      </w:tr>
      <w:tr w14:paraId="4C73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74B700D5">
            <w:pPr>
              <w:jc w:val="center"/>
              <w:rPr>
                <w:rFonts w:hint="eastAsia" w:ascii="宋体" w:hAnsi="宋体" w:eastAsia="宋体" w:cs="宋体"/>
              </w:rPr>
            </w:pPr>
            <w:r>
              <w:rPr>
                <w:rFonts w:hint="eastAsia" w:ascii="宋体" w:hAnsi="宋体" w:eastAsia="宋体" w:cs="宋体"/>
              </w:rPr>
              <w:t>排气温度</w:t>
            </w:r>
          </w:p>
        </w:tc>
        <w:tc>
          <w:tcPr>
            <w:tcW w:w="2773" w:type="dxa"/>
            <w:noWrap w:val="0"/>
            <w:vAlign w:val="center"/>
          </w:tcPr>
          <w:p w14:paraId="4D2095A7">
            <w:pPr>
              <w:jc w:val="center"/>
              <w:rPr>
                <w:rFonts w:hint="eastAsia" w:ascii="宋体" w:hAnsi="宋体" w:eastAsia="宋体" w:cs="宋体"/>
              </w:rPr>
            </w:pPr>
            <w:r>
              <w:rPr>
                <w:rFonts w:hint="eastAsia" w:ascii="宋体" w:hAnsi="宋体" w:eastAsia="宋体" w:cs="宋体"/>
              </w:rPr>
              <w:t>≤60℃</w:t>
            </w:r>
          </w:p>
        </w:tc>
      </w:tr>
      <w:tr w14:paraId="14C0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24D7FD46">
            <w:pPr>
              <w:jc w:val="center"/>
              <w:rPr>
                <w:rFonts w:hint="eastAsia" w:ascii="宋体" w:hAnsi="宋体" w:eastAsia="宋体" w:cs="宋体"/>
              </w:rPr>
            </w:pPr>
            <w:r>
              <w:rPr>
                <w:rFonts w:hint="eastAsia" w:ascii="宋体" w:hAnsi="宋体" w:eastAsia="宋体" w:cs="宋体"/>
              </w:rPr>
              <w:t>控制方式</w:t>
            </w:r>
          </w:p>
        </w:tc>
        <w:tc>
          <w:tcPr>
            <w:tcW w:w="2773" w:type="dxa"/>
            <w:noWrap w:val="0"/>
            <w:vAlign w:val="center"/>
          </w:tcPr>
          <w:p w14:paraId="40DF8703">
            <w:pPr>
              <w:jc w:val="center"/>
              <w:rPr>
                <w:rFonts w:hint="eastAsia" w:ascii="宋体" w:hAnsi="宋体" w:eastAsia="宋体" w:cs="宋体"/>
              </w:rPr>
            </w:pPr>
            <w:r>
              <w:rPr>
                <w:rFonts w:hint="eastAsia" w:ascii="宋体" w:hAnsi="宋体" w:eastAsia="宋体" w:cs="宋体"/>
              </w:rPr>
              <w:t>自动和手动</w:t>
            </w:r>
          </w:p>
        </w:tc>
      </w:tr>
      <w:tr w14:paraId="7D49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47165E80">
            <w:pPr>
              <w:jc w:val="center"/>
              <w:rPr>
                <w:rFonts w:hint="eastAsia" w:ascii="宋体" w:hAnsi="宋体" w:eastAsia="宋体" w:cs="宋体"/>
              </w:rPr>
            </w:pPr>
            <w:r>
              <w:rPr>
                <w:rFonts w:hint="eastAsia" w:ascii="宋体" w:hAnsi="宋体" w:eastAsia="宋体" w:cs="宋体"/>
              </w:rPr>
              <w:t>传动方式</w:t>
            </w:r>
          </w:p>
        </w:tc>
        <w:tc>
          <w:tcPr>
            <w:tcW w:w="2773" w:type="dxa"/>
            <w:noWrap w:val="0"/>
            <w:vAlign w:val="center"/>
          </w:tcPr>
          <w:p w14:paraId="4205C6CF">
            <w:pPr>
              <w:jc w:val="center"/>
              <w:rPr>
                <w:rFonts w:hint="eastAsia" w:ascii="宋体" w:hAnsi="宋体" w:eastAsia="宋体" w:cs="宋体"/>
              </w:rPr>
            </w:pPr>
            <w:r>
              <w:rPr>
                <w:rFonts w:hint="eastAsia" w:ascii="宋体" w:hAnsi="宋体" w:eastAsia="宋体" w:cs="宋体"/>
              </w:rPr>
              <w:t>联轴器直联</w:t>
            </w:r>
          </w:p>
        </w:tc>
      </w:tr>
      <w:tr w14:paraId="4591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240" w:type="dxa"/>
            <w:noWrap w:val="0"/>
            <w:vAlign w:val="center"/>
          </w:tcPr>
          <w:p w14:paraId="3A83C986">
            <w:pPr>
              <w:jc w:val="center"/>
              <w:rPr>
                <w:rFonts w:hint="eastAsia" w:ascii="宋体" w:hAnsi="宋体" w:eastAsia="宋体" w:cs="宋体"/>
              </w:rPr>
            </w:pPr>
            <w:r>
              <w:rPr>
                <w:rFonts w:hint="eastAsia" w:ascii="宋体" w:hAnsi="宋体" w:eastAsia="宋体" w:cs="宋体"/>
              </w:rPr>
              <w:t>传动方式</w:t>
            </w:r>
          </w:p>
        </w:tc>
        <w:tc>
          <w:tcPr>
            <w:tcW w:w="2773" w:type="dxa"/>
            <w:noWrap w:val="0"/>
            <w:vAlign w:val="center"/>
          </w:tcPr>
          <w:p w14:paraId="2C3CD3F7">
            <w:pPr>
              <w:jc w:val="center"/>
              <w:rPr>
                <w:rFonts w:hint="eastAsia" w:ascii="宋体" w:hAnsi="宋体" w:eastAsia="宋体" w:cs="宋体"/>
              </w:rPr>
            </w:pPr>
            <w:r>
              <w:rPr>
                <w:rFonts w:hint="eastAsia" w:ascii="宋体" w:hAnsi="宋体" w:eastAsia="宋体" w:cs="宋体"/>
              </w:rPr>
              <w:t>无基础</w:t>
            </w:r>
          </w:p>
        </w:tc>
      </w:tr>
    </w:tbl>
    <w:p w14:paraId="1F223C03">
      <w:pPr>
        <w:ind w:firstLine="926" w:firstLineChars="441"/>
        <w:rPr>
          <w:rFonts w:hint="eastAsia" w:ascii="宋体" w:hAnsi="宋体" w:eastAsia="宋体" w:cs="宋体"/>
        </w:rPr>
      </w:pPr>
    </w:p>
    <w:p w14:paraId="08B648CD">
      <w:pPr>
        <w:tabs>
          <w:tab w:val="left" w:pos="709"/>
        </w:tabs>
        <w:spacing w:line="360" w:lineRule="auto"/>
        <w:ind w:firstLine="480" w:firstLineChars="200"/>
        <w:rPr>
          <w:rFonts w:hint="eastAsia" w:ascii="宋体" w:hAnsi="宋体" w:eastAsia="宋体" w:cs="宋体"/>
          <w:sz w:val="24"/>
          <w:szCs w:val="24"/>
        </w:rPr>
      </w:pPr>
      <w:bookmarkStart w:id="320" w:name="_Toc203561304"/>
      <w:bookmarkStart w:id="321" w:name="_Toc72142318"/>
      <w:bookmarkStart w:id="322" w:name="_Toc478547129"/>
      <w:bookmarkStart w:id="323" w:name="_Toc499084915"/>
      <w:bookmarkStart w:id="324" w:name="_Toc90717894"/>
      <w:bookmarkStart w:id="325" w:name="_Toc91403232"/>
      <w:bookmarkStart w:id="326" w:name="_Toc72139202"/>
      <w:r>
        <w:rPr>
          <w:rFonts w:hint="eastAsia" w:ascii="宋体" w:hAnsi="宋体" w:eastAsia="宋体" w:cs="宋体"/>
          <w:sz w:val="24"/>
          <w:szCs w:val="24"/>
        </w:rPr>
        <w:t>4.4.2 空压机的结构要求</w:t>
      </w:r>
      <w:bookmarkEnd w:id="320"/>
      <w:bookmarkEnd w:id="321"/>
      <w:bookmarkEnd w:id="322"/>
      <w:bookmarkEnd w:id="323"/>
      <w:bookmarkEnd w:id="324"/>
      <w:bookmarkEnd w:id="325"/>
      <w:bookmarkEnd w:id="326"/>
    </w:p>
    <w:p w14:paraId="02142B47">
      <w:pPr>
        <w:tabs>
          <w:tab w:val="left" w:pos="709"/>
        </w:tabs>
        <w:spacing w:line="360" w:lineRule="auto"/>
        <w:ind w:firstLine="480" w:firstLineChars="200"/>
        <w:rPr>
          <w:rFonts w:hint="eastAsia" w:ascii="宋体" w:hAnsi="宋体" w:eastAsia="宋体" w:cs="宋体"/>
          <w:sz w:val="24"/>
          <w:szCs w:val="24"/>
        </w:rPr>
      </w:pPr>
      <w:bookmarkStart w:id="327" w:name="_Toc90717897"/>
      <w:bookmarkStart w:id="328" w:name="_Toc499084918"/>
      <w:bookmarkStart w:id="329" w:name="_Toc72139205"/>
      <w:bookmarkStart w:id="330" w:name="_Toc72142321"/>
      <w:bookmarkStart w:id="331" w:name="_Toc91403235"/>
      <w:r>
        <w:rPr>
          <w:rFonts w:hint="eastAsia" w:ascii="宋体" w:hAnsi="宋体" w:eastAsia="宋体" w:cs="宋体"/>
          <w:sz w:val="24"/>
          <w:szCs w:val="24"/>
        </w:rPr>
        <w:t>（1）组装后的空压机组为柜式结构，应至少包括螺杆空压机、驱动机、传动装置、启动设备、保护装置及空气滤清器、油冷却器、油气分离器及排气止回阀、出口软管等。以上所有设备集成为一个整体，固定在一个基座上。</w:t>
      </w:r>
    </w:p>
    <w:p w14:paraId="0B4E7A1E">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（2）空压机的吸气口应设有空气滤清器和消音器，保证吸入空气清洁。</w:t>
      </w:r>
    </w:p>
    <w:p w14:paraId="1BA0A62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（3）空压机的主要排气口应装设止回阀和减震软管，止回阀的启闭应灵敏、可靠。</w:t>
      </w:r>
    </w:p>
    <w:p w14:paraId="40C6B0C5">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空压机应设有油水分离器和自动排污装置。压缩空气经各级冷却后进入相应级的油水分离器，经自动排污系统定时将油水等污物排出，使进入储气罐的空气质量纯净。各级油水分离器上设有安全阀，安全阀应灵敏、动作可靠，确保运行安全。排污口端应装设排污电动阀、连接软管等，电动阀操作电源为AC220V。排污阀应具有手动和自动两种操作方式并可互相切换。</w:t>
      </w:r>
    </w:p>
    <w:p w14:paraId="2C7D6AB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（5）空压机起动时自动排污卸荷，使机组空载起动，空载启动一定时间后，电动阀自动关闭，停止排污，正常运行。每正常运行一定时间（约30分钟），使电磁阀自动断电30秒，实现周期排污。</w:t>
      </w:r>
    </w:p>
    <w:p w14:paraId="03416339">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（6）空压机冷却方式采用空气冷却，并应设置无基础机座、隔声罩。冷却器应采用高效传热、散热材料制成。</w:t>
      </w:r>
    </w:p>
    <w:p w14:paraId="5B2B9F94">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（7）排气温度低，末级排气温度不超过60℃</w:t>
      </w:r>
    </w:p>
    <w:p w14:paraId="262FA9A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（8）空压机应配置电机过载堵转保护，电源过压、低压、缺相保护及各级排气压力超高，排气温度超高报警和停机保护及相应指示。</w:t>
      </w:r>
    </w:p>
    <w:p w14:paraId="0BFA4720">
      <w:pPr>
        <w:tabs>
          <w:tab w:val="left" w:pos="709"/>
        </w:tabs>
        <w:spacing w:line="360" w:lineRule="auto"/>
        <w:ind w:firstLine="480" w:firstLineChars="200"/>
        <w:rPr>
          <w:rFonts w:hint="eastAsia" w:ascii="宋体" w:hAnsi="宋体" w:eastAsia="宋体" w:cs="宋体"/>
          <w:sz w:val="24"/>
          <w:szCs w:val="24"/>
        </w:rPr>
      </w:pPr>
      <w:bookmarkStart w:id="332" w:name="_Toc448494010"/>
      <w:bookmarkStart w:id="333" w:name="_Toc302054915"/>
      <w:bookmarkStart w:id="334" w:name="_Toc451520658"/>
      <w:r>
        <w:rPr>
          <w:rFonts w:hint="eastAsia" w:ascii="宋体" w:hAnsi="宋体" w:eastAsia="宋体" w:cs="宋体"/>
          <w:sz w:val="24"/>
          <w:szCs w:val="24"/>
        </w:rPr>
        <w:t>6.4.2 可靠性要求和保证期</w:t>
      </w:r>
      <w:bookmarkEnd w:id="332"/>
      <w:bookmarkEnd w:id="333"/>
      <w:bookmarkEnd w:id="334"/>
      <w:bookmarkStart w:id="335" w:name="_Toc451520149"/>
      <w:bookmarkEnd w:id="335"/>
      <w:bookmarkStart w:id="336" w:name="_Toc448783569"/>
      <w:bookmarkEnd w:id="336"/>
      <w:bookmarkStart w:id="337" w:name="_Toc451520659"/>
      <w:bookmarkEnd w:id="337"/>
      <w:bookmarkStart w:id="338" w:name="_Toc448710608"/>
      <w:bookmarkEnd w:id="338"/>
      <w:bookmarkStart w:id="339" w:name="_Toc448700872"/>
      <w:bookmarkEnd w:id="339"/>
      <w:bookmarkStart w:id="340" w:name="_Toc448707255"/>
      <w:bookmarkEnd w:id="340"/>
      <w:bookmarkStart w:id="341" w:name="_Toc448700990"/>
      <w:bookmarkEnd w:id="341"/>
      <w:bookmarkStart w:id="342" w:name="_Toc451520150"/>
      <w:bookmarkEnd w:id="342"/>
      <w:bookmarkStart w:id="343" w:name="_Toc448709571"/>
      <w:bookmarkEnd w:id="343"/>
      <w:bookmarkStart w:id="344" w:name="_Toc451520660"/>
      <w:bookmarkEnd w:id="344"/>
    </w:p>
    <w:p w14:paraId="0EB8EF3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整机使用寿命不小于20年</w:t>
      </w:r>
    </w:p>
    <w:p w14:paraId="69571AC2">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设备无故障运行时间不少于8000h，易损件的寿命大于8000h。</w:t>
      </w:r>
    </w:p>
    <w:p w14:paraId="329CA60D">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大修周期大于5年</w:t>
      </w:r>
    </w:p>
    <w:p w14:paraId="5B6C8CD2">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在质量保证期内承包人应负责对运行中发现不合格的零部件免费更换。</w:t>
      </w:r>
    </w:p>
    <w:p w14:paraId="63BC8C51">
      <w:pPr>
        <w:tabs>
          <w:tab w:val="left" w:pos="709"/>
        </w:tabs>
        <w:spacing w:line="360" w:lineRule="auto"/>
        <w:ind w:firstLine="480" w:firstLineChars="200"/>
        <w:rPr>
          <w:rFonts w:hint="eastAsia" w:ascii="宋体" w:hAnsi="宋体" w:eastAsia="宋体" w:cs="宋体"/>
        </w:rPr>
      </w:pPr>
      <w:r>
        <w:rPr>
          <w:rFonts w:hint="eastAsia" w:ascii="宋体" w:hAnsi="宋体" w:eastAsia="宋体" w:cs="宋体"/>
          <w:sz w:val="24"/>
          <w:szCs w:val="24"/>
        </w:rPr>
        <w:t>6.4.3 备品备件和专用工器具</w:t>
      </w:r>
    </w:p>
    <w:p w14:paraId="720C8798">
      <w:pPr>
        <w:jc w:val="center"/>
        <w:rPr>
          <w:rFonts w:hint="eastAsia" w:ascii="宋体" w:hAnsi="宋体" w:eastAsia="宋体" w:cs="宋体"/>
        </w:rPr>
      </w:pPr>
      <w:r>
        <w:rPr>
          <w:rFonts w:hint="eastAsia" w:ascii="宋体" w:hAnsi="宋体" w:eastAsia="宋体" w:cs="宋体"/>
        </w:rPr>
        <w:t>表6-2  备品备件</w:t>
      </w:r>
    </w:p>
    <w:tbl>
      <w:tblPr>
        <w:tblStyle w:val="65"/>
        <w:tblW w:w="8114" w:type="dxa"/>
        <w:jc w:val="center"/>
        <w:tblLayout w:type="fixed"/>
        <w:tblCellMar>
          <w:top w:w="0" w:type="dxa"/>
          <w:left w:w="0" w:type="dxa"/>
          <w:bottom w:w="0" w:type="dxa"/>
          <w:right w:w="0" w:type="dxa"/>
        </w:tblCellMar>
      </w:tblPr>
      <w:tblGrid>
        <w:gridCol w:w="738"/>
        <w:gridCol w:w="3320"/>
        <w:gridCol w:w="1613"/>
        <w:gridCol w:w="992"/>
        <w:gridCol w:w="1451"/>
      </w:tblGrid>
      <w:tr w14:paraId="2FA5F1BD">
        <w:tblPrEx>
          <w:tblCellMar>
            <w:top w:w="0" w:type="dxa"/>
            <w:left w:w="0" w:type="dxa"/>
            <w:bottom w:w="0" w:type="dxa"/>
            <w:right w:w="0" w:type="dxa"/>
          </w:tblCellMar>
        </w:tblPrEx>
        <w:trPr>
          <w:trHeight w:val="466" w:hRule="exact"/>
          <w:jc w:val="center"/>
        </w:trPr>
        <w:tc>
          <w:tcPr>
            <w:tcW w:w="738" w:type="dxa"/>
            <w:tcBorders>
              <w:top w:val="single" w:color="000000" w:sz="6" w:space="0"/>
              <w:left w:val="single" w:color="000000" w:sz="6" w:space="0"/>
              <w:bottom w:val="single" w:color="000000" w:sz="6" w:space="0"/>
              <w:right w:val="single" w:color="000000" w:sz="6" w:space="0"/>
            </w:tcBorders>
            <w:noWrap w:val="0"/>
            <w:vAlign w:val="center"/>
          </w:tcPr>
          <w:p w14:paraId="564EC889">
            <w:pPr>
              <w:jc w:val="center"/>
              <w:rPr>
                <w:rFonts w:hint="eastAsia" w:ascii="宋体" w:hAnsi="宋体" w:eastAsia="宋体" w:cs="宋体"/>
              </w:rPr>
            </w:pPr>
            <w:r>
              <w:rPr>
                <w:rFonts w:hint="eastAsia" w:ascii="宋体" w:hAnsi="宋体" w:eastAsia="宋体" w:cs="宋体"/>
              </w:rPr>
              <w:t>序号</w:t>
            </w:r>
          </w:p>
        </w:tc>
        <w:tc>
          <w:tcPr>
            <w:tcW w:w="3320" w:type="dxa"/>
            <w:tcBorders>
              <w:top w:val="single" w:color="000000" w:sz="6" w:space="0"/>
              <w:left w:val="single" w:color="000000" w:sz="6" w:space="0"/>
              <w:bottom w:val="single" w:color="000000" w:sz="6" w:space="0"/>
              <w:right w:val="single" w:color="000000" w:sz="6" w:space="0"/>
            </w:tcBorders>
            <w:noWrap w:val="0"/>
            <w:vAlign w:val="center"/>
          </w:tcPr>
          <w:p w14:paraId="133C030A">
            <w:pPr>
              <w:jc w:val="center"/>
              <w:rPr>
                <w:rFonts w:hint="eastAsia" w:ascii="宋体" w:hAnsi="宋体" w:eastAsia="宋体" w:cs="宋体"/>
              </w:rPr>
            </w:pPr>
            <w:r>
              <w:rPr>
                <w:rFonts w:hint="eastAsia" w:ascii="宋体" w:hAnsi="宋体" w:eastAsia="宋体" w:cs="宋体"/>
              </w:rPr>
              <w:t>项</w:t>
            </w:r>
            <w:r>
              <w:rPr>
                <w:rFonts w:hint="eastAsia" w:ascii="宋体" w:hAnsi="宋体" w:eastAsia="宋体" w:cs="宋体"/>
              </w:rPr>
              <w:tab/>
            </w:r>
            <w:r>
              <w:rPr>
                <w:rFonts w:hint="eastAsia" w:ascii="宋体" w:hAnsi="宋体" w:eastAsia="宋体" w:cs="宋体"/>
              </w:rPr>
              <w:t>目</w:t>
            </w:r>
          </w:p>
        </w:tc>
        <w:tc>
          <w:tcPr>
            <w:tcW w:w="1613" w:type="dxa"/>
            <w:tcBorders>
              <w:top w:val="single" w:color="000000" w:sz="6" w:space="0"/>
              <w:left w:val="single" w:color="000000" w:sz="6" w:space="0"/>
              <w:bottom w:val="single" w:color="000000" w:sz="6" w:space="0"/>
              <w:right w:val="single" w:color="000000" w:sz="6" w:space="0"/>
            </w:tcBorders>
            <w:noWrap w:val="0"/>
            <w:vAlign w:val="center"/>
          </w:tcPr>
          <w:p w14:paraId="6F5B0572">
            <w:pPr>
              <w:jc w:val="center"/>
              <w:rPr>
                <w:rFonts w:hint="eastAsia" w:ascii="宋体" w:hAnsi="宋体" w:eastAsia="宋体" w:cs="宋体"/>
              </w:rPr>
            </w:pPr>
            <w:r>
              <w:rPr>
                <w:rFonts w:hint="eastAsia" w:ascii="宋体" w:hAnsi="宋体" w:eastAsia="宋体" w:cs="宋体"/>
              </w:rPr>
              <w:t>单位</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FF8E4B5">
            <w:pPr>
              <w:jc w:val="center"/>
              <w:rPr>
                <w:rFonts w:hint="eastAsia" w:ascii="宋体" w:hAnsi="宋体" w:eastAsia="宋体" w:cs="宋体"/>
              </w:rPr>
            </w:pPr>
            <w:r>
              <w:rPr>
                <w:rFonts w:hint="eastAsia" w:ascii="宋体" w:hAnsi="宋体" w:eastAsia="宋体" w:cs="宋体"/>
              </w:rPr>
              <w:t xml:space="preserve">  数量</w:t>
            </w: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3CAE58C9">
            <w:pPr>
              <w:jc w:val="center"/>
              <w:rPr>
                <w:rFonts w:hint="eastAsia" w:ascii="宋体" w:hAnsi="宋体" w:eastAsia="宋体" w:cs="宋体"/>
              </w:rPr>
            </w:pPr>
            <w:r>
              <w:rPr>
                <w:rFonts w:hint="eastAsia" w:ascii="宋体" w:hAnsi="宋体" w:eastAsia="宋体" w:cs="宋体"/>
              </w:rPr>
              <w:t>备注</w:t>
            </w:r>
          </w:p>
        </w:tc>
      </w:tr>
      <w:tr w14:paraId="2B807E2B">
        <w:tblPrEx>
          <w:tblCellMar>
            <w:top w:w="0" w:type="dxa"/>
            <w:left w:w="0" w:type="dxa"/>
            <w:bottom w:w="0" w:type="dxa"/>
            <w:right w:w="0" w:type="dxa"/>
          </w:tblCellMar>
        </w:tblPrEx>
        <w:trPr>
          <w:trHeight w:val="480" w:hRule="exact"/>
          <w:jc w:val="center"/>
        </w:trPr>
        <w:tc>
          <w:tcPr>
            <w:tcW w:w="738" w:type="dxa"/>
            <w:tcBorders>
              <w:top w:val="single" w:color="000000" w:sz="6" w:space="0"/>
              <w:left w:val="single" w:color="000000" w:sz="6" w:space="0"/>
              <w:bottom w:val="single" w:color="000000" w:sz="6" w:space="0"/>
              <w:right w:val="single" w:color="000000" w:sz="6" w:space="0"/>
            </w:tcBorders>
            <w:noWrap w:val="0"/>
            <w:vAlign w:val="center"/>
          </w:tcPr>
          <w:p w14:paraId="1362FA9F">
            <w:pPr>
              <w:jc w:val="center"/>
              <w:rPr>
                <w:rFonts w:hint="eastAsia" w:ascii="宋体" w:hAnsi="宋体" w:eastAsia="宋体" w:cs="宋体"/>
              </w:rPr>
            </w:pPr>
            <w:r>
              <w:rPr>
                <w:rFonts w:hint="eastAsia" w:ascii="宋体" w:hAnsi="宋体" w:eastAsia="宋体" w:cs="宋体"/>
              </w:rPr>
              <w:t>1</w:t>
            </w:r>
          </w:p>
        </w:tc>
        <w:tc>
          <w:tcPr>
            <w:tcW w:w="3320" w:type="dxa"/>
            <w:tcBorders>
              <w:top w:val="single" w:color="000000" w:sz="6" w:space="0"/>
              <w:left w:val="single" w:color="000000" w:sz="6" w:space="0"/>
              <w:bottom w:val="single" w:color="000000" w:sz="6" w:space="0"/>
              <w:right w:val="single" w:color="000000" w:sz="6" w:space="0"/>
            </w:tcBorders>
            <w:noWrap w:val="0"/>
            <w:vAlign w:val="top"/>
          </w:tcPr>
          <w:p w14:paraId="4ABAA2BE">
            <w:pPr>
              <w:jc w:val="center"/>
              <w:rPr>
                <w:rFonts w:hint="eastAsia" w:ascii="宋体" w:hAnsi="宋体" w:eastAsia="宋体" w:cs="宋体"/>
              </w:rPr>
            </w:pPr>
            <w:r>
              <w:rPr>
                <w:rFonts w:hint="eastAsia" w:ascii="宋体" w:hAnsi="宋体" w:eastAsia="宋体" w:cs="宋体"/>
              </w:rPr>
              <w:t>滤芯</w:t>
            </w:r>
          </w:p>
        </w:tc>
        <w:tc>
          <w:tcPr>
            <w:tcW w:w="1613" w:type="dxa"/>
            <w:tcBorders>
              <w:top w:val="single" w:color="000000" w:sz="6" w:space="0"/>
              <w:left w:val="single" w:color="000000" w:sz="6" w:space="0"/>
              <w:bottom w:val="single" w:color="000000" w:sz="6" w:space="0"/>
              <w:right w:val="single" w:color="000000" w:sz="6" w:space="0"/>
            </w:tcBorders>
            <w:noWrap w:val="0"/>
            <w:vAlign w:val="top"/>
          </w:tcPr>
          <w:p w14:paraId="4897E32C">
            <w:pPr>
              <w:jc w:val="center"/>
              <w:rPr>
                <w:rFonts w:hint="eastAsia" w:ascii="宋体" w:hAnsi="宋体" w:eastAsia="宋体" w:cs="宋体"/>
              </w:rPr>
            </w:pPr>
            <w:r>
              <w:rPr>
                <w:rFonts w:hint="eastAsia" w:ascii="宋体" w:hAnsi="宋体" w:eastAsia="宋体" w:cs="宋体"/>
              </w:rPr>
              <w:t>台套</w:t>
            </w: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06086F47">
            <w:pPr>
              <w:jc w:val="center"/>
              <w:rPr>
                <w:rFonts w:hint="eastAsia" w:ascii="宋体" w:hAnsi="宋体" w:eastAsia="宋体" w:cs="宋体"/>
              </w:rPr>
            </w:pPr>
            <w:r>
              <w:rPr>
                <w:rFonts w:hint="eastAsia" w:ascii="宋体" w:hAnsi="宋体" w:eastAsia="宋体" w:cs="宋体"/>
              </w:rPr>
              <w:t>1</w:t>
            </w: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3774843C">
            <w:pPr>
              <w:jc w:val="center"/>
              <w:rPr>
                <w:rFonts w:hint="eastAsia" w:ascii="宋体" w:hAnsi="宋体" w:eastAsia="宋体" w:cs="宋体"/>
              </w:rPr>
            </w:pPr>
          </w:p>
        </w:tc>
      </w:tr>
    </w:tbl>
    <w:p w14:paraId="05B250B2">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6.4.4  工厂试验</w:t>
      </w:r>
    </w:p>
    <w:p w14:paraId="306219D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1）空压机及其附件制造厂在出厂前必须进行测试检验，合格后方能出厂。</w:t>
      </w:r>
    </w:p>
    <w:p w14:paraId="36BEDBF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2）空压机在工厂内的试验应包括，但不限于：</w:t>
      </w:r>
    </w:p>
    <w:p w14:paraId="32B1BEEF">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（1）设备总装后应进行整体（包括机械与电气）动作试验。</w:t>
      </w:r>
    </w:p>
    <w:p w14:paraId="6812CC2B">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（2）电动机应进行电气耐压试验及电动机直流电阻测定。</w:t>
      </w:r>
    </w:p>
    <w:p w14:paraId="735025A9">
      <w:pPr>
        <w:tabs>
          <w:tab w:val="left" w:pos="709"/>
        </w:tabs>
        <w:spacing w:line="360" w:lineRule="auto"/>
        <w:ind w:firstLine="480" w:firstLineChars="200"/>
        <w:rPr>
          <w:rFonts w:hint="eastAsia" w:ascii="宋体" w:hAnsi="宋体" w:eastAsia="宋体" w:cs="宋体"/>
          <w:sz w:val="24"/>
          <w:szCs w:val="24"/>
        </w:rPr>
      </w:pPr>
      <w:bookmarkStart w:id="345" w:name="_Toc203561307"/>
      <w:r>
        <w:rPr>
          <w:rFonts w:hint="eastAsia" w:ascii="宋体" w:hAnsi="宋体" w:eastAsia="宋体" w:cs="宋体"/>
          <w:sz w:val="24"/>
          <w:szCs w:val="24"/>
        </w:rPr>
        <w:t>6.4.5 空压机运行方式</w:t>
      </w:r>
      <w:bookmarkEnd w:id="327"/>
      <w:bookmarkEnd w:id="328"/>
      <w:bookmarkEnd w:id="329"/>
      <w:bookmarkEnd w:id="330"/>
      <w:bookmarkEnd w:id="331"/>
      <w:bookmarkEnd w:id="345"/>
    </w:p>
    <w:p w14:paraId="47C7617A">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压缩空气系统设有2台同型号空压机，其中1台作“工作”机运行，1台作“备用”机运行，2台空压机能自动或手动交替作为“工作”机运行。2台空压机均为自控机型，能通过发包人另备的联控柜单独运行或联合运行。</w:t>
      </w:r>
    </w:p>
    <w:p w14:paraId="366112D2">
      <w:pPr>
        <w:keepNext/>
        <w:jc w:val="center"/>
        <w:outlineLvl w:val="1"/>
        <w:rPr>
          <w:rFonts w:hint="eastAsia" w:ascii="宋体" w:hAnsi="宋体" w:eastAsia="宋体" w:cs="宋体"/>
          <w:sz w:val="28"/>
          <w:szCs w:val="28"/>
        </w:rPr>
      </w:pPr>
    </w:p>
    <w:p w14:paraId="0731449C">
      <w:pPr>
        <w:keepNext/>
        <w:jc w:val="center"/>
        <w:outlineLvl w:val="1"/>
        <w:rPr>
          <w:rFonts w:hint="eastAsia" w:ascii="宋体" w:hAnsi="宋体" w:eastAsia="宋体" w:cs="宋体"/>
          <w:sz w:val="28"/>
          <w:szCs w:val="28"/>
        </w:rPr>
      </w:pPr>
    </w:p>
    <w:p w14:paraId="21EC2EFA">
      <w:pPr>
        <w:keepNext/>
        <w:jc w:val="center"/>
        <w:outlineLvl w:val="1"/>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cs="宋体"/>
          <w:sz w:val="28"/>
          <w:szCs w:val="28"/>
          <w:lang w:val="en-US" w:eastAsia="zh-CN"/>
        </w:rPr>
        <w:t>7</w:t>
      </w:r>
      <w:r>
        <w:rPr>
          <w:rFonts w:hint="eastAsia" w:ascii="宋体" w:hAnsi="宋体" w:eastAsia="宋体" w:cs="宋体"/>
          <w:sz w:val="28"/>
          <w:szCs w:val="28"/>
        </w:rPr>
        <w:t xml:space="preserve">章 </w:t>
      </w:r>
      <w:r>
        <w:rPr>
          <w:rFonts w:hint="eastAsia" w:ascii="宋体" w:hAnsi="宋体" w:cs="宋体"/>
          <w:sz w:val="28"/>
          <w:szCs w:val="28"/>
          <w:lang w:val="en-US" w:eastAsia="zh-CN"/>
        </w:rPr>
        <w:t>电气</w:t>
      </w:r>
      <w:r>
        <w:rPr>
          <w:rFonts w:hint="eastAsia" w:ascii="宋体" w:hAnsi="宋体" w:eastAsia="宋体" w:cs="宋体"/>
          <w:sz w:val="28"/>
          <w:szCs w:val="28"/>
        </w:rPr>
        <w:t>设备技术条款</w:t>
      </w:r>
    </w:p>
    <w:p w14:paraId="5A817887">
      <w:pPr>
        <w:tabs>
          <w:tab w:val="left" w:pos="709"/>
        </w:tabs>
        <w:spacing w:line="360" w:lineRule="auto"/>
        <w:ind w:firstLine="480" w:firstLineChars="200"/>
        <w:rPr>
          <w:rFonts w:hint="eastAsia" w:ascii="宋体" w:hAnsi="宋体" w:eastAsia="宋体" w:cs="宋体"/>
          <w:sz w:val="24"/>
          <w:szCs w:val="24"/>
        </w:rPr>
      </w:pPr>
    </w:p>
    <w:p w14:paraId="1B5B1804">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.1  概述</w:t>
      </w:r>
    </w:p>
    <w:p w14:paraId="1B19337F">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本工程</w:t>
      </w:r>
      <w:r>
        <w:rPr>
          <w:rFonts w:hint="eastAsia" w:ascii="宋体" w:hAnsi="宋体" w:cs="宋体"/>
          <w:sz w:val="24"/>
          <w:szCs w:val="24"/>
          <w:lang w:val="en-US" w:eastAsia="zh-CN"/>
        </w:rPr>
        <w:t>电气设备主要35KV升压站设备、6.3KV设备、厂用电系统、励磁系统、二次回路、接地系统及旧设备拆除等。</w:t>
      </w:r>
    </w:p>
    <w:p w14:paraId="2C701741">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.2 供货范围</w:t>
      </w:r>
    </w:p>
    <w:p w14:paraId="50085B5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电气</w:t>
      </w:r>
      <w:r>
        <w:rPr>
          <w:rFonts w:hint="eastAsia" w:ascii="宋体" w:hAnsi="宋体" w:eastAsia="宋体" w:cs="宋体"/>
          <w:sz w:val="24"/>
          <w:szCs w:val="24"/>
        </w:rPr>
        <w:t>设备供货范围如下：</w:t>
      </w:r>
    </w:p>
    <w:p w14:paraId="5D1E920C">
      <w:pPr>
        <w:tabs>
          <w:tab w:val="left" w:pos="709"/>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35KV升压设备；35kV电流互感器、35kV电压互感器、35kV氧化锌避雷器、35kV限流熔断器、钢芯铝线LGJ-150及附件</w:t>
      </w:r>
    </w:p>
    <w:p w14:paraId="0C2ECEF7">
      <w:pPr>
        <w:tabs>
          <w:tab w:val="left" w:pos="709"/>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）6.3kV设备</w:t>
      </w:r>
      <w:r>
        <w:rPr>
          <w:rFonts w:hint="eastAsia" w:ascii="宋体" w:hAnsi="宋体" w:cs="宋体"/>
          <w:sz w:val="24"/>
          <w:szCs w:val="24"/>
          <w:lang w:eastAsia="zh-CN"/>
        </w:rPr>
        <w:t>：</w:t>
      </w:r>
      <w:r>
        <w:rPr>
          <w:rFonts w:hint="eastAsia" w:ascii="宋体" w:hAnsi="宋体" w:cs="宋体"/>
          <w:sz w:val="24"/>
          <w:szCs w:val="24"/>
          <w:lang w:val="en-US" w:eastAsia="zh-CN"/>
        </w:rPr>
        <w:t>1#、2#机6.3KV高压开关柜，1#、2#机6.3KV压变柜，6.3KV母线压变柜，主变低压侧柜，1#厂用变柜，铝母线，6.3kV电力电缆，6.3kV电流互感器等</w:t>
      </w:r>
    </w:p>
    <w:p w14:paraId="2A13F964">
      <w:pPr>
        <w:numPr>
          <w:ilvl w:val="0"/>
          <w:numId w:val="0"/>
        </w:numPr>
        <w:tabs>
          <w:tab w:val="left" w:pos="709"/>
        </w:tabs>
        <w:spacing w:line="360" w:lineRule="auto"/>
        <w:ind w:leftChars="0" w:firstLine="480" w:firstLineChars="200"/>
        <w:rPr>
          <w:rFonts w:hint="eastAsia" w:ascii="宋体" w:hAnsi="宋体" w:cs="宋体"/>
          <w:sz w:val="24"/>
          <w:szCs w:val="24"/>
          <w:lang w:eastAsia="zh-CN"/>
        </w:rPr>
      </w:pPr>
      <w:r>
        <w:rPr>
          <w:rFonts w:hint="eastAsia" w:ascii="宋体" w:hAnsi="宋体" w:cs="宋体"/>
          <w:sz w:val="24"/>
          <w:szCs w:val="24"/>
          <w:lang w:val="en-US" w:eastAsia="zh-CN"/>
        </w:rPr>
        <w:t>（3）厂用电系统</w:t>
      </w:r>
      <w:r>
        <w:rPr>
          <w:rFonts w:hint="eastAsia" w:ascii="宋体" w:hAnsi="宋体" w:eastAsia="宋体" w:cs="宋体"/>
          <w:sz w:val="24"/>
          <w:szCs w:val="24"/>
        </w:rPr>
        <w:t>；低压进线切换柜MNS</w:t>
      </w:r>
      <w:r>
        <w:rPr>
          <w:rFonts w:hint="eastAsia" w:ascii="宋体" w:hAnsi="宋体" w:cs="宋体"/>
          <w:sz w:val="24"/>
          <w:szCs w:val="24"/>
          <w:lang w:eastAsia="zh-CN"/>
        </w:rPr>
        <w:t>，低压馈电柜MNS，自动稳压器柜，1kV电力电缆。</w:t>
      </w:r>
    </w:p>
    <w:p w14:paraId="3AA2C9CD">
      <w:pPr>
        <w:numPr>
          <w:ilvl w:val="0"/>
          <w:numId w:val="0"/>
        </w:numPr>
        <w:tabs>
          <w:tab w:val="left" w:pos="709"/>
        </w:tabs>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4）励磁系统；励磁变压器，6.3kV电力电缆，1kV电力电缆。</w:t>
      </w:r>
    </w:p>
    <w:p w14:paraId="0839ECED">
      <w:pPr>
        <w:numPr>
          <w:ilvl w:val="0"/>
          <w:numId w:val="0"/>
        </w:numPr>
        <w:tabs>
          <w:tab w:val="left" w:pos="709"/>
        </w:tabs>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（5）二次回路屏蔽线及接线，</w:t>
      </w:r>
    </w:p>
    <w:p w14:paraId="628CC93C">
      <w:pPr>
        <w:numPr>
          <w:ilvl w:val="0"/>
          <w:numId w:val="0"/>
        </w:numPr>
        <w:tabs>
          <w:tab w:val="left" w:pos="709"/>
        </w:tabs>
        <w:spacing w:line="360" w:lineRule="auto"/>
        <w:ind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（6）接地系统改造</w:t>
      </w:r>
    </w:p>
    <w:p w14:paraId="03E49211">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除以上供货范围外，还应包括：提供技术资料（含总装配图、安装图、基础图、易损件零件图）；现场服务及技术指导；从制造厂到工地现场的运输及保险等。</w:t>
      </w:r>
    </w:p>
    <w:p w14:paraId="23FDC714">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但在执行合同过程中如发现有任何漏项和短缺，在发货清单中并未列入而且确实是承包人供货范围中应该有的，并且是满足合同设备的性能保证值要求所必需的，均应由承包人负责将所缺的设备、技术资料、专用工具及备品备件、服务及技术指导等补上，其费用已计入合同总价中。</w:t>
      </w:r>
    </w:p>
    <w:p w14:paraId="5B122EC4">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.3 标准和规程</w:t>
      </w:r>
    </w:p>
    <w:p w14:paraId="77713C29">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合同设备的设计、制造、油漆、试验和包装至少应符合下列标准和规程的最新版本。标准和规程与合同文件有矛盾的地方，以要求高者为准。</w:t>
      </w:r>
    </w:p>
    <w:p w14:paraId="1D38C6D2">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水力发电厂</w:t>
      </w:r>
      <w:r>
        <w:rPr>
          <w:rFonts w:hint="eastAsia" w:ascii="宋体" w:hAnsi="宋体" w:eastAsia="宋体" w:cs="宋体"/>
          <w:sz w:val="24"/>
          <w:szCs w:val="24"/>
        </w:rPr>
        <w:t>机电设计技术规范》（</w:t>
      </w:r>
      <w:r>
        <w:rPr>
          <w:rFonts w:hint="eastAsia" w:ascii="宋体" w:hAnsi="宋体" w:eastAsia="宋体" w:cs="宋体"/>
          <w:sz w:val="24"/>
          <w:szCs w:val="24"/>
          <w:lang w:val="en-US" w:eastAsia="zh-CN"/>
        </w:rPr>
        <w:t>NB/T10878-</w:t>
      </w: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eastAsia="宋体" w:cs="宋体"/>
          <w:sz w:val="24"/>
          <w:szCs w:val="24"/>
        </w:rPr>
        <w:t>1）；</w:t>
      </w:r>
    </w:p>
    <w:p w14:paraId="2670879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《水利水电工程自动化设计规范》（SL612-2013）；</w:t>
      </w:r>
    </w:p>
    <w:p w14:paraId="3FFA3BBF">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《水利水电工程过电压保护及绝缘配合设计规范》（SL/T781-2020）；</w:t>
      </w:r>
    </w:p>
    <w:p w14:paraId="193BAE5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《水利水电工程导体和电器选择设计规范》（SL561-2012）；</w:t>
      </w:r>
    </w:p>
    <w:p w14:paraId="600D0762">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《水利水电工程接地设计规范》（SL587-2012）；</w:t>
      </w:r>
    </w:p>
    <w:p w14:paraId="2C9696BC">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《水利水电工程通信设计技术规范》（SL517-2013）；</w:t>
      </w:r>
    </w:p>
    <w:p w14:paraId="6B73D12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《水利水电工程照明系统设计规范》（SL641-2014）；</w:t>
      </w:r>
    </w:p>
    <w:p w14:paraId="7B5E02D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《水利水电工程厂（站）用电系统设计规范》（SL485-2010）；</w:t>
      </w:r>
    </w:p>
    <w:p w14:paraId="08607C5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《农村水电站技术管理规程》（SL 529-2011）；</w:t>
      </w:r>
    </w:p>
    <w:p w14:paraId="2CFAE670">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《水力发电厂计算机监控系统设计规范》（NB/T 10879-2021）；</w:t>
      </w:r>
    </w:p>
    <w:p w14:paraId="3FA03390">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《电力工程直流电源系统设计技术规程》（DL/T5044-2014）；</w:t>
      </w:r>
    </w:p>
    <w:p w14:paraId="1A242A4E">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《交流电气装置的接地设计规范》（GB/T50065-2011）；</w:t>
      </w:r>
    </w:p>
    <w:p w14:paraId="143522AE">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《电力装置电测量仪表装置设计规范》（GB/T50063-2017）；</w:t>
      </w:r>
    </w:p>
    <w:p w14:paraId="36B551EF">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《消防应急照明和疏散指示系统技术标准》（GB51309-2018）；</w:t>
      </w:r>
    </w:p>
    <w:p w14:paraId="74ACD7DE">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《电力工程电缆设计标准》（GB50217-2018）；</w:t>
      </w:r>
    </w:p>
    <w:p w14:paraId="1F69BEBE">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《小型水电站技术改造规范》（GB/T 50700-20</w:t>
      </w:r>
      <w:r>
        <w:rPr>
          <w:rFonts w:hint="eastAsia" w:ascii="宋体" w:hAnsi="宋体" w:eastAsia="宋体" w:cs="宋体"/>
          <w:sz w:val="24"/>
          <w:szCs w:val="24"/>
          <w:lang w:val="en-US" w:eastAsia="zh-CN"/>
        </w:rPr>
        <w:t>22</w:t>
      </w:r>
      <w:r>
        <w:rPr>
          <w:rFonts w:hint="eastAsia" w:ascii="宋体" w:hAnsi="宋体" w:eastAsia="宋体" w:cs="宋体"/>
          <w:sz w:val="24"/>
          <w:szCs w:val="24"/>
        </w:rPr>
        <w:t>）；</w:t>
      </w:r>
    </w:p>
    <w:p w14:paraId="68A200A8">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《小型水电站机电设备报废条件》（GB/T 30951-2014）；</w:t>
      </w:r>
    </w:p>
    <w:p w14:paraId="66C20BA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《水轮机调速系统技术条件》（GB/T 9652.1-2019）；</w:t>
      </w:r>
    </w:p>
    <w:p w14:paraId="228EB7CD">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《大中型水轮机进水阀门基本技术条件》（GB/T 14478-2012）。</w:t>
      </w:r>
    </w:p>
    <w:p w14:paraId="0C6DAD79">
      <w:pPr>
        <w:keepNext/>
        <w:keepLines/>
        <w:spacing w:before="60" w:after="60" w:line="360" w:lineRule="auto"/>
        <w:outlineLvl w:val="2"/>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 xml:space="preserve">.4 </w:t>
      </w:r>
      <w:r>
        <w:rPr>
          <w:rFonts w:hint="eastAsia" w:ascii="宋体" w:hAnsi="宋体" w:cs="宋体"/>
          <w:b/>
          <w:sz w:val="24"/>
          <w:szCs w:val="24"/>
          <w:lang w:val="en-US" w:eastAsia="zh-CN"/>
        </w:rPr>
        <w:t>电气设备</w:t>
      </w:r>
      <w:r>
        <w:rPr>
          <w:rFonts w:hint="eastAsia" w:ascii="宋体" w:hAnsi="宋体" w:eastAsia="宋体" w:cs="宋体"/>
          <w:b/>
          <w:sz w:val="24"/>
          <w:szCs w:val="24"/>
        </w:rPr>
        <w:t>技术要求</w:t>
      </w:r>
    </w:p>
    <w:p w14:paraId="0F1AD9F0">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.4.1 性能要求</w:t>
      </w:r>
    </w:p>
    <w:p w14:paraId="51D0A2D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承包人应负责所有设备的设计、制造、出厂前试验、包装、发运、指定地点的车下交货、指导安装、参加开箱验收、安装阶段的质量检查、现场试验、试运行、交接、初步验收、最终验收和售后服务。</w:t>
      </w:r>
    </w:p>
    <w:p w14:paraId="35CC77EE">
      <w:pPr>
        <w:tabs>
          <w:tab w:val="left" w:pos="709"/>
        </w:tabs>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安装各试验</w:t>
      </w:r>
    </w:p>
    <w:p w14:paraId="4FA49ABE">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合同设备的安装、试验，包括旧设备的拆除，均由乙方负责。</w:t>
      </w:r>
    </w:p>
    <w:p w14:paraId="171B7EEB">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安装应由承包人委托有相应资质的单位完成。</w:t>
      </w:r>
    </w:p>
    <w:p w14:paraId="039E3CB6">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安装试验费用已包括在合同总价中。</w:t>
      </w:r>
    </w:p>
    <w:p w14:paraId="1949745D">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可靠性要求和保证期</w:t>
      </w:r>
    </w:p>
    <w:p w14:paraId="63E6554B">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整机使用寿命不小于20年</w:t>
      </w:r>
    </w:p>
    <w:p w14:paraId="25B64389">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设备无故障运行时间不少于8000h，易损件的寿命大于8000h。</w:t>
      </w:r>
    </w:p>
    <w:p w14:paraId="52B41443">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大修周期大于5年</w:t>
      </w:r>
    </w:p>
    <w:p w14:paraId="63BEC6EE">
      <w:pPr>
        <w:tabs>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在质量保证期内承包人应负责对运行中发现不合格的零部件免费更换。</w:t>
      </w:r>
    </w:p>
    <w:p w14:paraId="581A5EC5">
      <w:pPr>
        <w:tabs>
          <w:tab w:val="left" w:pos="709"/>
        </w:tabs>
        <w:spacing w:line="360" w:lineRule="auto"/>
        <w:ind w:firstLine="480" w:firstLineChars="200"/>
        <w:rPr>
          <w:rFonts w:hint="eastAsia" w:ascii="宋体" w:hAnsi="宋体" w:eastAsia="宋体" w:cs="宋体"/>
          <w:sz w:val="24"/>
          <w:szCs w:val="24"/>
        </w:rPr>
      </w:pPr>
    </w:p>
    <w:p w14:paraId="621E8E11">
      <w:pPr>
        <w:tabs>
          <w:tab w:val="left" w:pos="709"/>
        </w:tabs>
        <w:spacing w:line="360" w:lineRule="auto"/>
        <w:ind w:firstLine="480" w:firstLineChars="200"/>
        <w:rPr>
          <w:rFonts w:hint="eastAsia" w:ascii="宋体" w:hAnsi="宋体" w:eastAsia="宋体" w:cs="宋体"/>
          <w:sz w:val="24"/>
          <w:szCs w:val="24"/>
        </w:rPr>
      </w:pPr>
    </w:p>
    <w:p w14:paraId="7CFF630C">
      <w:pPr>
        <w:tabs>
          <w:tab w:val="left" w:pos="709"/>
        </w:tabs>
        <w:spacing w:line="360" w:lineRule="auto"/>
        <w:ind w:firstLine="480" w:firstLineChars="200"/>
        <w:rPr>
          <w:rFonts w:hint="eastAsia" w:ascii="宋体" w:hAnsi="宋体" w:eastAsia="宋体" w:cs="宋体"/>
          <w:sz w:val="24"/>
          <w:szCs w:val="24"/>
        </w:rPr>
      </w:pPr>
    </w:p>
    <w:p w14:paraId="1D45CC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二、商务及其他要求</w:t>
      </w:r>
    </w:p>
    <w:p w14:paraId="6401A0FD">
      <w:pPr>
        <w:bidi w:val="0"/>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项目工期要求：</w:t>
      </w:r>
      <w:r>
        <w:rPr>
          <w:rFonts w:hint="eastAsia" w:ascii="宋体" w:hAnsi="宋体" w:eastAsia="宋体" w:cs="宋体"/>
          <w:color w:val="auto"/>
          <w:sz w:val="24"/>
          <w:szCs w:val="32"/>
          <w:highlight w:val="none"/>
          <w:lang w:val="zh-CN"/>
        </w:rPr>
        <w:t>自签订合同之日起</w:t>
      </w:r>
      <w:r>
        <w:rPr>
          <w:rFonts w:hint="eastAsia" w:ascii="宋体" w:hAnsi="宋体" w:eastAsia="宋体" w:cs="宋体"/>
          <w:color w:val="auto"/>
          <w:sz w:val="24"/>
          <w:szCs w:val="32"/>
          <w:highlight w:val="none"/>
          <w:lang w:val="en-US" w:eastAsia="zh-CN"/>
        </w:rPr>
        <w:t>180</w:t>
      </w:r>
      <w:r>
        <w:rPr>
          <w:rFonts w:hint="eastAsia" w:ascii="宋体" w:hAnsi="宋体" w:eastAsia="宋体" w:cs="宋体"/>
          <w:color w:val="auto"/>
          <w:sz w:val="24"/>
          <w:szCs w:val="32"/>
          <w:highlight w:val="none"/>
          <w:lang w:val="zh-CN"/>
        </w:rPr>
        <w:t>天内完成项目产品供货、安装调试等所有服务。</w:t>
      </w:r>
    </w:p>
    <w:p w14:paraId="3290A101">
      <w:pPr>
        <w:bidi w:val="0"/>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lang w:val="zh-CN"/>
        </w:rPr>
        <w:t>项目款的结算:合同签订后一个月内支付合同价的</w:t>
      </w:r>
      <w:r>
        <w:rPr>
          <w:rFonts w:hint="eastAsia" w:ascii="宋体" w:hAnsi="宋体" w:eastAsia="宋体" w:cs="宋体"/>
          <w:color w:val="auto"/>
          <w:sz w:val="24"/>
          <w:szCs w:val="32"/>
          <w:highlight w:val="none"/>
          <w:lang w:val="en-US" w:eastAsia="zh-CN"/>
        </w:rPr>
        <w:t>20%作为预付款</w:t>
      </w:r>
      <w:r>
        <w:rPr>
          <w:rFonts w:hint="eastAsia" w:ascii="宋体" w:hAnsi="宋体" w:eastAsia="宋体" w:cs="宋体"/>
          <w:color w:val="auto"/>
          <w:sz w:val="24"/>
          <w:szCs w:val="32"/>
          <w:highlight w:val="none"/>
          <w:lang w:val="zh-CN"/>
        </w:rPr>
        <w:t>，安装完毕验收合格后支付至合同价的95%，余款质保期结束后一次性结清。</w:t>
      </w:r>
    </w:p>
    <w:p w14:paraId="69025D26">
      <w:pPr>
        <w:bidi w:val="0"/>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lang w:val="zh-CN"/>
        </w:rPr>
        <w:t>质保期：设备经试运行合格、投入商业运行后的</w:t>
      </w:r>
      <w:r>
        <w:rPr>
          <w:rFonts w:hint="eastAsia" w:ascii="宋体" w:hAnsi="宋体" w:eastAsia="宋体" w:cs="宋体"/>
          <w:color w:val="auto"/>
          <w:sz w:val="24"/>
          <w:szCs w:val="32"/>
          <w:highlight w:val="none"/>
          <w:lang w:val="en-US" w:eastAsia="zh-CN"/>
        </w:rPr>
        <w:t>1年</w:t>
      </w:r>
      <w:r>
        <w:rPr>
          <w:rFonts w:hint="eastAsia" w:ascii="宋体" w:hAnsi="宋体" w:eastAsia="宋体" w:cs="宋体"/>
          <w:color w:val="auto"/>
          <w:sz w:val="24"/>
          <w:szCs w:val="32"/>
          <w:highlight w:val="none"/>
          <w:lang w:val="zh-CN"/>
        </w:rPr>
        <w:t>为设备的质保期。</w:t>
      </w:r>
    </w:p>
    <w:p w14:paraId="11477C57">
      <w:pPr>
        <w:bidi w:val="0"/>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rPr>
        <w:t>中标单位需将安装施工交给有相关施工资质的单位实施。</w:t>
      </w:r>
    </w:p>
    <w:p w14:paraId="5C4D12E2">
      <w:pPr>
        <w:bidi w:val="0"/>
        <w:spacing w:line="360" w:lineRule="auto"/>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lang w:val="zh-CN"/>
        </w:rPr>
        <w:t>本次招标代理服务费由中标方承担，专家评审费用由采购方承担。</w:t>
      </w:r>
    </w:p>
    <w:p w14:paraId="59F6074E">
      <w:pPr>
        <w:pStyle w:val="82"/>
        <w:ind w:left="0" w:leftChars="0" w:firstLine="0" w:firstLineChars="0"/>
        <w:rPr>
          <w:rFonts w:hint="default"/>
          <w:lang w:val="en-US" w:eastAsia="zh-CN"/>
        </w:rPr>
      </w:pPr>
      <w:r>
        <w:rPr>
          <w:rFonts w:hint="eastAsia" w:ascii="宋体" w:hAnsi="宋体" w:eastAsia="宋体" w:cs="宋体"/>
          <w:b/>
          <w:color w:val="auto"/>
          <w:sz w:val="36"/>
          <w:szCs w:val="36"/>
          <w:highlight w:val="none"/>
        </w:rPr>
        <w:br w:type="page"/>
      </w:r>
    </w:p>
    <w:p w14:paraId="576251E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46" w:name="_Toc184314451"/>
      <w:bookmarkEnd w:id="346"/>
      <w:bookmarkStart w:id="347" w:name="_Toc184314452"/>
      <w:bookmarkEnd w:id="347"/>
      <w:bookmarkStart w:id="348" w:name="_Toc184312107"/>
      <w:bookmarkEnd w:id="348"/>
      <w:bookmarkStart w:id="349" w:name="_Toc184308044"/>
      <w:bookmarkEnd w:id="349"/>
      <w:bookmarkStart w:id="350" w:name="_Toc184312089"/>
      <w:bookmarkEnd w:id="350"/>
      <w:bookmarkStart w:id="351" w:name="_Toc184308095"/>
      <w:bookmarkEnd w:id="351"/>
      <w:bookmarkStart w:id="352" w:name="_Toc184310342"/>
      <w:bookmarkEnd w:id="352"/>
      <w:bookmarkStart w:id="353" w:name="_Toc184310287"/>
      <w:bookmarkEnd w:id="353"/>
      <w:bookmarkStart w:id="354" w:name="_Toc184313243"/>
      <w:bookmarkEnd w:id="354"/>
      <w:bookmarkStart w:id="355" w:name="_Toc184313266"/>
      <w:bookmarkEnd w:id="355"/>
      <w:bookmarkStart w:id="356" w:name="_Toc184312126"/>
      <w:bookmarkEnd w:id="356"/>
      <w:bookmarkStart w:id="357" w:name="_Toc184312114"/>
      <w:bookmarkEnd w:id="357"/>
      <w:bookmarkStart w:id="358" w:name="_Toc184313277"/>
      <w:bookmarkEnd w:id="358"/>
      <w:bookmarkStart w:id="359" w:name="_Toc184313240"/>
      <w:bookmarkEnd w:id="359"/>
      <w:bookmarkStart w:id="360" w:name="_Toc184313283"/>
      <w:bookmarkEnd w:id="360"/>
      <w:bookmarkStart w:id="361" w:name="_Toc184308078"/>
      <w:bookmarkEnd w:id="361"/>
      <w:bookmarkStart w:id="362" w:name="_Toc184314417"/>
      <w:bookmarkEnd w:id="362"/>
      <w:bookmarkStart w:id="363" w:name="_Toc184312136"/>
      <w:bookmarkEnd w:id="363"/>
      <w:bookmarkStart w:id="364" w:name="_Toc184308108"/>
      <w:bookmarkEnd w:id="364"/>
      <w:bookmarkStart w:id="365" w:name="_Toc184313304"/>
      <w:bookmarkEnd w:id="365"/>
      <w:bookmarkStart w:id="366" w:name="_Toc184310290"/>
      <w:bookmarkEnd w:id="366"/>
      <w:bookmarkStart w:id="367" w:name="_Toc184310316"/>
      <w:bookmarkEnd w:id="367"/>
      <w:bookmarkStart w:id="368" w:name="_Toc184313293"/>
      <w:bookmarkEnd w:id="368"/>
      <w:bookmarkStart w:id="369" w:name="_Toc184308043"/>
      <w:bookmarkEnd w:id="369"/>
      <w:bookmarkStart w:id="370" w:name="_Toc184312082"/>
      <w:bookmarkEnd w:id="370"/>
      <w:bookmarkStart w:id="371" w:name="_Toc184310292"/>
      <w:bookmarkEnd w:id="371"/>
      <w:bookmarkStart w:id="372" w:name="_Toc184308057"/>
      <w:bookmarkEnd w:id="372"/>
      <w:bookmarkStart w:id="373" w:name="_Toc184314440"/>
      <w:bookmarkEnd w:id="373"/>
      <w:bookmarkStart w:id="374" w:name="_Toc184310304"/>
      <w:bookmarkEnd w:id="374"/>
      <w:bookmarkStart w:id="375" w:name="_Toc184314472"/>
      <w:bookmarkEnd w:id="375"/>
      <w:bookmarkStart w:id="376" w:name="_Toc184310284"/>
      <w:bookmarkEnd w:id="376"/>
      <w:bookmarkStart w:id="377" w:name="_Toc184313261"/>
      <w:bookmarkEnd w:id="377"/>
      <w:bookmarkStart w:id="378" w:name="_Toc184312070"/>
      <w:bookmarkEnd w:id="378"/>
      <w:bookmarkStart w:id="379" w:name="_Toc184310330"/>
      <w:bookmarkEnd w:id="379"/>
      <w:bookmarkStart w:id="380" w:name="_Toc184314415"/>
      <w:bookmarkEnd w:id="380"/>
      <w:bookmarkStart w:id="381" w:name="_Toc184308084"/>
      <w:bookmarkEnd w:id="381"/>
      <w:bookmarkStart w:id="382" w:name="_Toc184312100"/>
      <w:bookmarkEnd w:id="382"/>
      <w:bookmarkStart w:id="383" w:name="_Toc184308085"/>
      <w:bookmarkEnd w:id="383"/>
      <w:bookmarkStart w:id="384" w:name="_Toc184308063"/>
      <w:bookmarkEnd w:id="384"/>
      <w:bookmarkStart w:id="385" w:name="_Toc184313298"/>
      <w:bookmarkEnd w:id="385"/>
      <w:bookmarkStart w:id="386" w:name="_Toc184313239"/>
      <w:bookmarkEnd w:id="386"/>
      <w:bookmarkStart w:id="387" w:name="_Toc184314474"/>
      <w:bookmarkEnd w:id="387"/>
      <w:bookmarkStart w:id="388" w:name="_Toc184313264"/>
      <w:bookmarkEnd w:id="388"/>
      <w:bookmarkStart w:id="389" w:name="_Toc184314426"/>
      <w:bookmarkEnd w:id="389"/>
      <w:bookmarkStart w:id="390" w:name="_Toc184308064"/>
      <w:bookmarkEnd w:id="390"/>
      <w:bookmarkStart w:id="391" w:name="_Toc184313253"/>
      <w:bookmarkEnd w:id="391"/>
      <w:bookmarkStart w:id="392" w:name="_Toc184310318"/>
      <w:bookmarkEnd w:id="392"/>
      <w:bookmarkStart w:id="393" w:name="_Toc184308061"/>
      <w:bookmarkEnd w:id="393"/>
      <w:bookmarkStart w:id="394" w:name="_Toc184308089"/>
      <w:bookmarkEnd w:id="394"/>
      <w:bookmarkStart w:id="395" w:name="_Toc184308086"/>
      <w:bookmarkEnd w:id="395"/>
      <w:bookmarkStart w:id="396" w:name="_Toc184310314"/>
      <w:bookmarkEnd w:id="396"/>
      <w:bookmarkStart w:id="397" w:name="_Toc184310275"/>
      <w:bookmarkEnd w:id="397"/>
      <w:bookmarkStart w:id="398" w:name="_Toc184308042"/>
      <w:bookmarkEnd w:id="398"/>
      <w:bookmarkStart w:id="399" w:name="_Toc184314418"/>
      <w:bookmarkEnd w:id="399"/>
      <w:bookmarkStart w:id="400" w:name="_Toc184313257"/>
      <w:bookmarkEnd w:id="400"/>
      <w:bookmarkStart w:id="401" w:name="_Toc184314435"/>
      <w:bookmarkEnd w:id="401"/>
      <w:bookmarkStart w:id="402" w:name="_Toc184312098"/>
      <w:bookmarkEnd w:id="402"/>
      <w:bookmarkStart w:id="403" w:name="_Toc184312094"/>
      <w:bookmarkEnd w:id="403"/>
      <w:bookmarkStart w:id="404" w:name="_Toc184312091"/>
      <w:bookmarkEnd w:id="404"/>
      <w:bookmarkStart w:id="405" w:name="_Toc184312110"/>
      <w:bookmarkEnd w:id="405"/>
      <w:bookmarkStart w:id="406" w:name="_Toc184313285"/>
      <w:bookmarkEnd w:id="406"/>
      <w:bookmarkStart w:id="407" w:name="_Toc184314450"/>
      <w:bookmarkEnd w:id="407"/>
      <w:bookmarkStart w:id="408" w:name="_Toc184312123"/>
      <w:bookmarkEnd w:id="408"/>
      <w:bookmarkStart w:id="409" w:name="_Toc184314466"/>
      <w:bookmarkEnd w:id="409"/>
      <w:bookmarkStart w:id="410" w:name="_Toc184312078"/>
      <w:bookmarkEnd w:id="410"/>
      <w:bookmarkStart w:id="411" w:name="_Toc184310313"/>
      <w:bookmarkEnd w:id="411"/>
      <w:bookmarkStart w:id="412" w:name="_Toc184313303"/>
      <w:bookmarkEnd w:id="412"/>
      <w:bookmarkStart w:id="413" w:name="_Toc184310282"/>
      <w:bookmarkEnd w:id="413"/>
      <w:bookmarkStart w:id="414" w:name="_Toc184310277"/>
      <w:bookmarkEnd w:id="414"/>
      <w:bookmarkStart w:id="415" w:name="_Toc184308045"/>
      <w:bookmarkEnd w:id="415"/>
      <w:bookmarkStart w:id="416" w:name="_Toc184310344"/>
      <w:bookmarkEnd w:id="416"/>
      <w:bookmarkStart w:id="417" w:name="_Toc184314430"/>
      <w:bookmarkEnd w:id="417"/>
      <w:bookmarkStart w:id="418" w:name="_Toc184314419"/>
      <w:bookmarkEnd w:id="418"/>
      <w:bookmarkStart w:id="419" w:name="_Toc184310323"/>
      <w:bookmarkEnd w:id="419"/>
      <w:bookmarkStart w:id="420" w:name="_Toc184310315"/>
      <w:bookmarkEnd w:id="420"/>
      <w:bookmarkStart w:id="421" w:name="_Toc184314481"/>
      <w:bookmarkEnd w:id="421"/>
      <w:bookmarkStart w:id="422" w:name="_Toc184308075"/>
      <w:bookmarkEnd w:id="422"/>
      <w:bookmarkStart w:id="423" w:name="_Toc184308094"/>
      <w:bookmarkEnd w:id="423"/>
      <w:bookmarkStart w:id="424" w:name="_Toc184312099"/>
      <w:bookmarkEnd w:id="424"/>
      <w:bookmarkStart w:id="425" w:name="_Toc184312090"/>
      <w:bookmarkEnd w:id="425"/>
      <w:bookmarkStart w:id="426" w:name="_Toc184308059"/>
      <w:bookmarkEnd w:id="426"/>
      <w:bookmarkStart w:id="427" w:name="_Toc184314421"/>
      <w:bookmarkEnd w:id="427"/>
      <w:bookmarkStart w:id="428" w:name="_Toc184313268"/>
      <w:bookmarkEnd w:id="428"/>
      <w:bookmarkStart w:id="429" w:name="_Toc184308039"/>
      <w:bookmarkEnd w:id="429"/>
      <w:bookmarkStart w:id="430" w:name="_Toc184314449"/>
      <w:bookmarkEnd w:id="430"/>
      <w:bookmarkStart w:id="431" w:name="_Toc184314479"/>
      <w:bookmarkEnd w:id="431"/>
      <w:bookmarkStart w:id="432" w:name="_Toc184312072"/>
      <w:bookmarkEnd w:id="432"/>
      <w:bookmarkStart w:id="433" w:name="_Toc184310278"/>
      <w:bookmarkEnd w:id="433"/>
      <w:bookmarkStart w:id="434" w:name="_Toc184310329"/>
      <w:bookmarkEnd w:id="434"/>
      <w:bookmarkStart w:id="435" w:name="_Toc184308100"/>
      <w:bookmarkEnd w:id="435"/>
      <w:bookmarkStart w:id="436" w:name="_Toc184308103"/>
      <w:bookmarkEnd w:id="436"/>
      <w:bookmarkStart w:id="437" w:name="_Toc184312105"/>
      <w:bookmarkEnd w:id="437"/>
      <w:bookmarkStart w:id="438" w:name="_Toc184310326"/>
      <w:bookmarkEnd w:id="438"/>
      <w:bookmarkStart w:id="439" w:name="_Toc184310343"/>
      <w:bookmarkEnd w:id="439"/>
      <w:bookmarkStart w:id="440" w:name="_Toc184314416"/>
      <w:bookmarkEnd w:id="440"/>
      <w:bookmarkStart w:id="441" w:name="_Toc184313254"/>
      <w:bookmarkEnd w:id="441"/>
      <w:bookmarkStart w:id="442" w:name="_Toc184310296"/>
      <w:bookmarkEnd w:id="442"/>
      <w:bookmarkStart w:id="443" w:name="_Toc184312081"/>
      <w:bookmarkEnd w:id="443"/>
      <w:bookmarkStart w:id="444" w:name="_Toc184308054"/>
      <w:bookmarkEnd w:id="444"/>
      <w:bookmarkStart w:id="445" w:name="_Toc184312116"/>
      <w:bookmarkEnd w:id="445"/>
      <w:bookmarkStart w:id="446" w:name="_Toc184314453"/>
      <w:bookmarkEnd w:id="446"/>
      <w:bookmarkStart w:id="447" w:name="_Toc184313267"/>
      <w:bookmarkEnd w:id="447"/>
      <w:bookmarkStart w:id="448" w:name="_Toc184312085"/>
      <w:bookmarkEnd w:id="448"/>
      <w:bookmarkStart w:id="449" w:name="_Toc184313275"/>
      <w:bookmarkEnd w:id="449"/>
      <w:bookmarkStart w:id="450" w:name="_Toc184313301"/>
      <w:bookmarkEnd w:id="450"/>
      <w:bookmarkStart w:id="451" w:name="_Toc184310279"/>
      <w:bookmarkEnd w:id="451"/>
      <w:bookmarkStart w:id="452" w:name="_Toc184313288"/>
      <w:bookmarkEnd w:id="452"/>
      <w:bookmarkStart w:id="453" w:name="_Toc184312075"/>
      <w:bookmarkEnd w:id="453"/>
      <w:bookmarkStart w:id="454" w:name="_Toc184312106"/>
      <w:bookmarkEnd w:id="454"/>
      <w:bookmarkStart w:id="455" w:name="_Toc184312111"/>
      <w:bookmarkEnd w:id="455"/>
      <w:bookmarkStart w:id="456" w:name="_Toc184314429"/>
      <w:bookmarkEnd w:id="456"/>
      <w:bookmarkStart w:id="457" w:name="_Toc184314475"/>
      <w:bookmarkEnd w:id="457"/>
      <w:bookmarkStart w:id="458" w:name="_Toc184313295"/>
      <w:bookmarkEnd w:id="458"/>
      <w:bookmarkStart w:id="459" w:name="_Toc184312097"/>
      <w:bookmarkEnd w:id="459"/>
      <w:bookmarkStart w:id="460" w:name="_Toc184312068"/>
      <w:bookmarkEnd w:id="460"/>
      <w:bookmarkStart w:id="461" w:name="_Toc184312092"/>
      <w:bookmarkEnd w:id="461"/>
      <w:bookmarkStart w:id="462" w:name="_Toc184312088"/>
      <w:bookmarkEnd w:id="462"/>
      <w:bookmarkStart w:id="463" w:name="_Toc184310276"/>
      <w:bookmarkEnd w:id="463"/>
      <w:bookmarkStart w:id="464" w:name="_Toc184308083"/>
      <w:bookmarkEnd w:id="464"/>
      <w:bookmarkStart w:id="465" w:name="_Toc184310300"/>
      <w:bookmarkEnd w:id="465"/>
      <w:bookmarkStart w:id="466" w:name="_Toc184313276"/>
      <w:bookmarkEnd w:id="466"/>
      <w:bookmarkStart w:id="467" w:name="_Toc184314437"/>
      <w:bookmarkEnd w:id="467"/>
      <w:bookmarkStart w:id="468" w:name="_Toc184308087"/>
      <w:bookmarkEnd w:id="468"/>
      <w:bookmarkStart w:id="469" w:name="_Toc184313284"/>
      <w:bookmarkEnd w:id="469"/>
      <w:bookmarkStart w:id="470" w:name="_Toc184308098"/>
      <w:bookmarkEnd w:id="470"/>
      <w:bookmarkStart w:id="471" w:name="_Toc184308101"/>
      <w:bookmarkEnd w:id="471"/>
      <w:bookmarkStart w:id="472" w:name="_Toc184310301"/>
      <w:bookmarkEnd w:id="472"/>
      <w:bookmarkStart w:id="473" w:name="_Toc184313286"/>
      <w:bookmarkEnd w:id="473"/>
      <w:bookmarkStart w:id="474" w:name="_Toc184308062"/>
      <w:bookmarkEnd w:id="474"/>
      <w:bookmarkStart w:id="475" w:name="_Toc184313306"/>
      <w:bookmarkEnd w:id="475"/>
      <w:bookmarkStart w:id="476" w:name="_Toc184313292"/>
      <w:bookmarkEnd w:id="476"/>
      <w:bookmarkStart w:id="477" w:name="_Toc184310334"/>
      <w:bookmarkEnd w:id="477"/>
      <w:bookmarkStart w:id="478" w:name="_Toc184314461"/>
      <w:bookmarkEnd w:id="478"/>
      <w:bookmarkStart w:id="479" w:name="_Toc184314432"/>
      <w:bookmarkEnd w:id="479"/>
      <w:bookmarkStart w:id="480" w:name="_Toc184313290"/>
      <w:bookmarkEnd w:id="480"/>
      <w:bookmarkStart w:id="481" w:name="_Toc184308055"/>
      <w:bookmarkEnd w:id="481"/>
      <w:bookmarkStart w:id="482" w:name="_Toc184314441"/>
      <w:bookmarkEnd w:id="482"/>
      <w:bookmarkStart w:id="483" w:name="_Toc184308105"/>
      <w:bookmarkEnd w:id="483"/>
      <w:bookmarkStart w:id="484" w:name="_Toc184308067"/>
      <w:bookmarkEnd w:id="484"/>
      <w:bookmarkStart w:id="485" w:name="_Toc184313269"/>
      <w:bookmarkEnd w:id="485"/>
      <w:bookmarkStart w:id="486" w:name="_Toc184313278"/>
      <w:bookmarkEnd w:id="486"/>
      <w:bookmarkStart w:id="487" w:name="_Toc184310328"/>
      <w:bookmarkEnd w:id="487"/>
      <w:bookmarkStart w:id="488" w:name="_Toc184308056"/>
      <w:bookmarkEnd w:id="488"/>
      <w:bookmarkStart w:id="489" w:name="_Toc184313271"/>
      <w:bookmarkEnd w:id="489"/>
      <w:bookmarkStart w:id="490" w:name="_Toc184308053"/>
      <w:bookmarkEnd w:id="490"/>
      <w:bookmarkStart w:id="491" w:name="_Toc184310307"/>
      <w:bookmarkEnd w:id="491"/>
      <w:bookmarkStart w:id="492" w:name="_Toc184310327"/>
      <w:bookmarkEnd w:id="492"/>
      <w:bookmarkStart w:id="493" w:name="_Toc184308106"/>
      <w:bookmarkEnd w:id="493"/>
      <w:bookmarkStart w:id="494" w:name="_Toc184314424"/>
      <w:bookmarkEnd w:id="494"/>
      <w:bookmarkStart w:id="495" w:name="_Toc184312104"/>
      <w:bookmarkEnd w:id="495"/>
      <w:bookmarkStart w:id="496" w:name="_Toc184312117"/>
      <w:bookmarkEnd w:id="496"/>
      <w:bookmarkStart w:id="497" w:name="_Toc184313241"/>
      <w:bookmarkEnd w:id="497"/>
      <w:bookmarkStart w:id="498" w:name="_Toc184314470"/>
      <w:bookmarkEnd w:id="498"/>
      <w:bookmarkStart w:id="499" w:name="_Toc184313296"/>
      <w:bookmarkEnd w:id="499"/>
      <w:bookmarkStart w:id="500" w:name="_Toc184314477"/>
      <w:bookmarkEnd w:id="500"/>
      <w:bookmarkStart w:id="501" w:name="_Toc184313246"/>
      <w:bookmarkEnd w:id="501"/>
      <w:bookmarkStart w:id="502" w:name="_Toc184312119"/>
      <w:bookmarkEnd w:id="502"/>
      <w:bookmarkStart w:id="503" w:name="_Toc184314412"/>
      <w:bookmarkEnd w:id="503"/>
      <w:bookmarkStart w:id="504" w:name="_Toc184312093"/>
      <w:bookmarkEnd w:id="504"/>
      <w:bookmarkStart w:id="505" w:name="_Toc184314447"/>
      <w:bookmarkEnd w:id="505"/>
      <w:bookmarkStart w:id="506" w:name="_Toc184314436"/>
      <w:bookmarkEnd w:id="506"/>
      <w:bookmarkStart w:id="507" w:name="_Toc184308070"/>
      <w:bookmarkEnd w:id="507"/>
      <w:bookmarkStart w:id="508" w:name="_Toc184310272"/>
      <w:bookmarkEnd w:id="508"/>
      <w:bookmarkStart w:id="509" w:name="_Toc184312076"/>
      <w:bookmarkEnd w:id="509"/>
      <w:bookmarkStart w:id="510" w:name="_Toc184310331"/>
      <w:bookmarkEnd w:id="510"/>
      <w:bookmarkStart w:id="511" w:name="_Toc184310332"/>
      <w:bookmarkEnd w:id="511"/>
      <w:bookmarkStart w:id="512" w:name="_Toc184312087"/>
      <w:bookmarkEnd w:id="512"/>
      <w:bookmarkStart w:id="513" w:name="_Toc184313300"/>
      <w:bookmarkEnd w:id="513"/>
      <w:bookmarkStart w:id="514" w:name="_Toc184314448"/>
      <w:bookmarkEnd w:id="514"/>
      <w:bookmarkStart w:id="515" w:name="_Toc184313259"/>
      <w:bookmarkEnd w:id="515"/>
      <w:bookmarkStart w:id="516" w:name="_Toc184314422"/>
      <w:bookmarkEnd w:id="516"/>
      <w:bookmarkStart w:id="517" w:name="_Toc184314476"/>
      <w:bookmarkEnd w:id="517"/>
      <w:bookmarkStart w:id="518" w:name="_Toc184313270"/>
      <w:bookmarkEnd w:id="518"/>
      <w:bookmarkStart w:id="519" w:name="_Toc184313273"/>
      <w:bookmarkEnd w:id="519"/>
      <w:bookmarkStart w:id="520" w:name="_Toc184310337"/>
      <w:bookmarkEnd w:id="520"/>
      <w:bookmarkStart w:id="521" w:name="_Toc184314468"/>
      <w:bookmarkEnd w:id="521"/>
      <w:bookmarkStart w:id="522" w:name="_Toc184313258"/>
      <w:bookmarkEnd w:id="522"/>
      <w:bookmarkStart w:id="523" w:name="_Toc184310281"/>
      <w:bookmarkEnd w:id="523"/>
      <w:bookmarkStart w:id="524" w:name="_Toc184313245"/>
      <w:bookmarkEnd w:id="524"/>
      <w:bookmarkStart w:id="525" w:name="_Toc184312139"/>
      <w:bookmarkEnd w:id="525"/>
      <w:bookmarkStart w:id="526" w:name="_Toc184313242"/>
      <w:bookmarkEnd w:id="526"/>
      <w:bookmarkStart w:id="527" w:name="_Toc184312130"/>
      <w:bookmarkEnd w:id="527"/>
      <w:bookmarkStart w:id="528" w:name="_Toc184312073"/>
      <w:bookmarkEnd w:id="528"/>
      <w:bookmarkStart w:id="529" w:name="_Toc184308060"/>
      <w:bookmarkEnd w:id="529"/>
      <w:bookmarkStart w:id="530" w:name="_Toc184314482"/>
      <w:bookmarkEnd w:id="530"/>
      <w:bookmarkStart w:id="531" w:name="_Toc184312086"/>
      <w:bookmarkEnd w:id="531"/>
      <w:bookmarkStart w:id="532" w:name="_Toc184308051"/>
      <w:bookmarkEnd w:id="532"/>
      <w:bookmarkStart w:id="533" w:name="_Toc184310303"/>
      <w:bookmarkEnd w:id="533"/>
      <w:bookmarkStart w:id="534" w:name="_Toc184308088"/>
      <w:bookmarkEnd w:id="534"/>
      <w:bookmarkStart w:id="535" w:name="_Toc184310311"/>
      <w:bookmarkEnd w:id="535"/>
      <w:bookmarkStart w:id="536" w:name="_Toc184314460"/>
      <w:bookmarkEnd w:id="536"/>
      <w:bookmarkStart w:id="537" w:name="_Toc184310297"/>
      <w:bookmarkEnd w:id="537"/>
      <w:bookmarkStart w:id="538" w:name="_Toc184308077"/>
      <w:bookmarkEnd w:id="538"/>
      <w:bookmarkStart w:id="539" w:name="_Toc184313256"/>
      <w:bookmarkEnd w:id="539"/>
      <w:bookmarkStart w:id="540" w:name="_Toc184314457"/>
      <w:bookmarkEnd w:id="540"/>
      <w:bookmarkStart w:id="541" w:name="_Toc184312122"/>
      <w:bookmarkEnd w:id="541"/>
      <w:bookmarkStart w:id="542" w:name="_Toc184312071"/>
      <w:bookmarkEnd w:id="542"/>
      <w:bookmarkStart w:id="543" w:name="_Toc184312067"/>
      <w:bookmarkEnd w:id="543"/>
      <w:bookmarkStart w:id="544" w:name="_Toc184313309"/>
      <w:bookmarkEnd w:id="544"/>
      <w:bookmarkStart w:id="545" w:name="_Toc184310324"/>
      <w:bookmarkEnd w:id="545"/>
      <w:bookmarkStart w:id="546" w:name="_Toc184310310"/>
      <w:bookmarkEnd w:id="546"/>
      <w:bookmarkStart w:id="547" w:name="_Toc184308081"/>
      <w:bookmarkEnd w:id="547"/>
      <w:bookmarkStart w:id="548" w:name="_Toc184312134"/>
      <w:bookmarkEnd w:id="548"/>
      <w:bookmarkStart w:id="549" w:name="_Toc184308104"/>
      <w:bookmarkEnd w:id="549"/>
      <w:bookmarkStart w:id="550" w:name="_Toc184314428"/>
      <w:bookmarkEnd w:id="550"/>
      <w:bookmarkStart w:id="551" w:name="_Toc184312133"/>
      <w:bookmarkEnd w:id="551"/>
      <w:bookmarkStart w:id="552" w:name="_Toc184314462"/>
      <w:bookmarkEnd w:id="552"/>
      <w:bookmarkStart w:id="553" w:name="_Toc184313294"/>
      <w:bookmarkEnd w:id="553"/>
      <w:bookmarkStart w:id="554" w:name="_Toc184313255"/>
      <w:bookmarkEnd w:id="554"/>
      <w:bookmarkStart w:id="555" w:name="_Toc184308092"/>
      <w:bookmarkEnd w:id="555"/>
      <w:bookmarkStart w:id="556" w:name="_Toc184314427"/>
      <w:bookmarkEnd w:id="556"/>
      <w:bookmarkStart w:id="557" w:name="_Toc184313262"/>
      <w:bookmarkEnd w:id="557"/>
      <w:bookmarkStart w:id="558" w:name="_Toc184310322"/>
      <w:bookmarkEnd w:id="558"/>
      <w:bookmarkStart w:id="559" w:name="_Toc184314439"/>
      <w:bookmarkEnd w:id="559"/>
      <w:bookmarkStart w:id="560" w:name="_Toc184308052"/>
      <w:bookmarkEnd w:id="560"/>
      <w:bookmarkStart w:id="561" w:name="_Toc184313307"/>
      <w:bookmarkEnd w:id="561"/>
      <w:bookmarkStart w:id="562" w:name="_Toc184312095"/>
      <w:bookmarkEnd w:id="562"/>
      <w:bookmarkStart w:id="563" w:name="_Toc184314459"/>
      <w:bookmarkEnd w:id="563"/>
      <w:bookmarkStart w:id="564" w:name="_Toc184313238"/>
      <w:bookmarkEnd w:id="564"/>
      <w:bookmarkStart w:id="565" w:name="_Toc184310285"/>
      <w:bookmarkEnd w:id="565"/>
      <w:bookmarkStart w:id="566" w:name="_Toc184312080"/>
      <w:bookmarkEnd w:id="566"/>
      <w:bookmarkStart w:id="567" w:name="_Toc184312131"/>
      <w:bookmarkEnd w:id="567"/>
      <w:bookmarkStart w:id="568" w:name="_Toc184313251"/>
      <w:bookmarkEnd w:id="568"/>
      <w:bookmarkStart w:id="569" w:name="_Toc184308099"/>
      <w:bookmarkEnd w:id="569"/>
      <w:bookmarkStart w:id="570" w:name="_Toc184313249"/>
      <w:bookmarkEnd w:id="570"/>
      <w:bookmarkStart w:id="571" w:name="_Toc184310293"/>
      <w:bookmarkEnd w:id="571"/>
      <w:bookmarkStart w:id="572" w:name="_Toc184310294"/>
      <w:bookmarkEnd w:id="572"/>
      <w:bookmarkStart w:id="573" w:name="_Toc184313272"/>
      <w:bookmarkEnd w:id="573"/>
      <w:bookmarkStart w:id="574" w:name="_Toc184310312"/>
      <w:bookmarkEnd w:id="574"/>
      <w:bookmarkStart w:id="575" w:name="_Toc184314456"/>
      <w:bookmarkEnd w:id="575"/>
      <w:bookmarkStart w:id="576" w:name="_Toc184314454"/>
      <w:bookmarkEnd w:id="576"/>
      <w:bookmarkStart w:id="577" w:name="_Toc184313282"/>
      <w:bookmarkEnd w:id="577"/>
      <w:bookmarkStart w:id="578" w:name="_Toc184312132"/>
      <w:bookmarkEnd w:id="578"/>
      <w:bookmarkStart w:id="579" w:name="_Toc184314444"/>
      <w:bookmarkEnd w:id="579"/>
      <w:bookmarkStart w:id="580" w:name="_Toc184313310"/>
      <w:bookmarkEnd w:id="580"/>
      <w:bookmarkStart w:id="581" w:name="_Toc184314469"/>
      <w:bookmarkEnd w:id="581"/>
      <w:bookmarkStart w:id="582" w:name="_Toc184314431"/>
      <w:bookmarkEnd w:id="582"/>
      <w:bookmarkStart w:id="583" w:name="_Toc184308107"/>
      <w:bookmarkEnd w:id="583"/>
      <w:bookmarkStart w:id="584" w:name="_Toc184312102"/>
      <w:bookmarkEnd w:id="584"/>
      <w:bookmarkStart w:id="585" w:name="_Toc184312138"/>
      <w:bookmarkEnd w:id="585"/>
      <w:bookmarkStart w:id="586" w:name="_Toc184310336"/>
      <w:bookmarkEnd w:id="586"/>
      <w:bookmarkStart w:id="587" w:name="_Toc184313305"/>
      <w:bookmarkEnd w:id="587"/>
      <w:bookmarkStart w:id="588" w:name="_Toc184314433"/>
      <w:bookmarkEnd w:id="588"/>
      <w:bookmarkStart w:id="589" w:name="_Toc184312113"/>
      <w:bookmarkEnd w:id="589"/>
      <w:bookmarkStart w:id="590" w:name="_Toc184308093"/>
      <w:bookmarkEnd w:id="590"/>
      <w:bookmarkStart w:id="591" w:name="_Toc184314425"/>
      <w:bookmarkEnd w:id="591"/>
      <w:bookmarkStart w:id="592" w:name="_Toc184314478"/>
      <w:bookmarkEnd w:id="592"/>
      <w:bookmarkStart w:id="593" w:name="_Toc184312077"/>
      <w:bookmarkEnd w:id="593"/>
      <w:bookmarkStart w:id="594" w:name="_Toc184310288"/>
      <w:bookmarkEnd w:id="594"/>
      <w:bookmarkStart w:id="595" w:name="_Toc184314411"/>
      <w:bookmarkEnd w:id="595"/>
      <w:bookmarkStart w:id="596" w:name="_Toc184308040"/>
      <w:bookmarkEnd w:id="596"/>
      <w:bookmarkStart w:id="597" w:name="_Toc184308036"/>
      <w:bookmarkEnd w:id="597"/>
      <w:bookmarkStart w:id="598" w:name="_Toc184314455"/>
      <w:bookmarkEnd w:id="598"/>
      <w:bookmarkStart w:id="599" w:name="_Toc184308066"/>
      <w:bookmarkEnd w:id="599"/>
      <w:bookmarkStart w:id="600" w:name="_Toc184310341"/>
      <w:bookmarkEnd w:id="600"/>
      <w:bookmarkStart w:id="601" w:name="_Toc184308096"/>
      <w:bookmarkEnd w:id="601"/>
      <w:bookmarkStart w:id="602" w:name="_Toc184310302"/>
      <w:bookmarkEnd w:id="602"/>
      <w:bookmarkStart w:id="603" w:name="_Toc184314420"/>
      <w:bookmarkEnd w:id="603"/>
      <w:bookmarkStart w:id="604" w:name="_Toc184310309"/>
      <w:bookmarkEnd w:id="604"/>
      <w:bookmarkStart w:id="605" w:name="_Toc184314471"/>
      <w:bookmarkEnd w:id="605"/>
      <w:bookmarkStart w:id="606" w:name="_Toc184314480"/>
      <w:bookmarkEnd w:id="606"/>
      <w:bookmarkStart w:id="607" w:name="_Toc184312124"/>
      <w:bookmarkEnd w:id="607"/>
      <w:bookmarkStart w:id="608" w:name="_Toc184312118"/>
      <w:bookmarkEnd w:id="608"/>
      <w:bookmarkStart w:id="609" w:name="_Toc184310339"/>
      <w:bookmarkEnd w:id="609"/>
      <w:bookmarkStart w:id="610" w:name="_Toc184308102"/>
      <w:bookmarkEnd w:id="610"/>
      <w:bookmarkStart w:id="611" w:name="_Toc184313263"/>
      <w:bookmarkEnd w:id="611"/>
      <w:bookmarkStart w:id="612" w:name="_Toc184314473"/>
      <w:bookmarkEnd w:id="612"/>
      <w:bookmarkStart w:id="613" w:name="_Toc184308050"/>
      <w:bookmarkEnd w:id="613"/>
      <w:bookmarkStart w:id="614" w:name="_Toc184308071"/>
      <w:bookmarkEnd w:id="614"/>
      <w:bookmarkStart w:id="615" w:name="_Toc184312084"/>
      <w:bookmarkEnd w:id="615"/>
      <w:bookmarkStart w:id="616" w:name="_Toc184312069"/>
      <w:bookmarkEnd w:id="616"/>
      <w:bookmarkStart w:id="617" w:name="_Toc184313289"/>
      <w:bookmarkEnd w:id="617"/>
      <w:bookmarkStart w:id="618" w:name="_Toc184308082"/>
      <w:bookmarkEnd w:id="618"/>
      <w:bookmarkStart w:id="619" w:name="_Toc184312135"/>
      <w:bookmarkEnd w:id="619"/>
      <w:bookmarkStart w:id="620" w:name="_Toc184314465"/>
      <w:bookmarkEnd w:id="620"/>
      <w:bookmarkStart w:id="621" w:name="_Toc184313244"/>
      <w:bookmarkEnd w:id="621"/>
      <w:bookmarkStart w:id="622" w:name="_Toc184308046"/>
      <w:bookmarkEnd w:id="622"/>
      <w:bookmarkStart w:id="623" w:name="_Toc184314458"/>
      <w:bookmarkEnd w:id="623"/>
      <w:bookmarkStart w:id="624" w:name="_Toc184312109"/>
      <w:bookmarkEnd w:id="624"/>
      <w:bookmarkStart w:id="625" w:name="_Toc184310298"/>
      <w:bookmarkEnd w:id="625"/>
      <w:bookmarkStart w:id="626" w:name="_Toc184308090"/>
      <w:bookmarkEnd w:id="626"/>
      <w:bookmarkStart w:id="627" w:name="_Toc184310274"/>
      <w:bookmarkEnd w:id="627"/>
      <w:bookmarkStart w:id="628" w:name="_Toc184310289"/>
      <w:bookmarkEnd w:id="628"/>
      <w:bookmarkStart w:id="629" w:name="_Toc184313265"/>
      <w:bookmarkEnd w:id="629"/>
      <w:bookmarkStart w:id="630" w:name="_Toc184310335"/>
      <w:bookmarkEnd w:id="630"/>
      <w:bookmarkStart w:id="631" w:name="_Toc184312127"/>
      <w:bookmarkEnd w:id="631"/>
      <w:bookmarkStart w:id="632" w:name="_Toc184308068"/>
      <w:bookmarkEnd w:id="632"/>
      <w:bookmarkStart w:id="633" w:name="_Toc184308038"/>
      <w:bookmarkEnd w:id="633"/>
      <w:bookmarkStart w:id="634" w:name="_Toc184312112"/>
      <w:bookmarkEnd w:id="634"/>
      <w:bookmarkStart w:id="635" w:name="_Toc184312101"/>
      <w:bookmarkEnd w:id="635"/>
      <w:bookmarkStart w:id="636" w:name="_Toc184314410"/>
      <w:bookmarkEnd w:id="636"/>
      <w:bookmarkStart w:id="637" w:name="_Toc184308058"/>
      <w:bookmarkEnd w:id="637"/>
      <w:bookmarkStart w:id="638" w:name="_Toc184313297"/>
      <w:bookmarkEnd w:id="638"/>
      <w:bookmarkStart w:id="639" w:name="_Toc184313281"/>
      <w:bookmarkEnd w:id="639"/>
      <w:bookmarkStart w:id="640" w:name="_Toc184308037"/>
      <w:bookmarkEnd w:id="640"/>
      <w:bookmarkStart w:id="641" w:name="_Toc184314423"/>
      <w:bookmarkEnd w:id="641"/>
      <w:bookmarkStart w:id="642" w:name="_Toc184310333"/>
      <w:bookmarkEnd w:id="642"/>
      <w:bookmarkStart w:id="643" w:name="_Toc184314446"/>
      <w:bookmarkEnd w:id="643"/>
      <w:bookmarkStart w:id="644" w:name="_Toc184312121"/>
      <w:bookmarkEnd w:id="644"/>
      <w:bookmarkStart w:id="645" w:name="_Toc184310306"/>
      <w:bookmarkEnd w:id="645"/>
      <w:bookmarkStart w:id="646" w:name="_Toc184310340"/>
      <w:bookmarkEnd w:id="646"/>
      <w:bookmarkStart w:id="647" w:name="_Toc184308080"/>
      <w:bookmarkEnd w:id="647"/>
      <w:bookmarkStart w:id="648" w:name="_Toc184313287"/>
      <w:bookmarkEnd w:id="648"/>
      <w:bookmarkStart w:id="649" w:name="_Toc184313250"/>
      <w:bookmarkEnd w:id="649"/>
      <w:bookmarkStart w:id="650" w:name="_Toc184310305"/>
      <w:bookmarkEnd w:id="650"/>
      <w:bookmarkStart w:id="651" w:name="_Toc184313280"/>
      <w:bookmarkEnd w:id="651"/>
      <w:bookmarkStart w:id="652" w:name="_Toc184314443"/>
      <w:bookmarkEnd w:id="652"/>
      <w:bookmarkStart w:id="653" w:name="_Toc184313274"/>
      <w:bookmarkEnd w:id="653"/>
      <w:bookmarkStart w:id="654" w:name="_Toc184312120"/>
      <w:bookmarkEnd w:id="654"/>
      <w:bookmarkStart w:id="655" w:name="_Toc184310286"/>
      <w:bookmarkEnd w:id="655"/>
      <w:bookmarkStart w:id="656" w:name="_Toc184313302"/>
      <w:bookmarkEnd w:id="656"/>
      <w:bookmarkStart w:id="657" w:name="_Toc184310280"/>
      <w:bookmarkEnd w:id="657"/>
      <w:bookmarkStart w:id="658" w:name="_Toc184313279"/>
      <w:bookmarkEnd w:id="658"/>
      <w:bookmarkStart w:id="659" w:name="_Toc184314413"/>
      <w:bookmarkEnd w:id="659"/>
      <w:bookmarkStart w:id="660" w:name="_Toc184310295"/>
      <w:bookmarkEnd w:id="660"/>
      <w:bookmarkStart w:id="661" w:name="_Toc184308091"/>
      <w:bookmarkEnd w:id="661"/>
      <w:bookmarkStart w:id="662" w:name="_Toc184314464"/>
      <w:bookmarkEnd w:id="662"/>
      <w:bookmarkStart w:id="663" w:name="_Toc184312083"/>
      <w:bookmarkEnd w:id="663"/>
      <w:bookmarkStart w:id="664" w:name="_Toc184314438"/>
      <w:bookmarkEnd w:id="664"/>
      <w:bookmarkStart w:id="665" w:name="_Toc184310317"/>
      <w:bookmarkEnd w:id="665"/>
      <w:bookmarkStart w:id="666" w:name="_Toc184314434"/>
      <w:bookmarkEnd w:id="666"/>
      <w:bookmarkStart w:id="667" w:name="_Toc184312074"/>
      <w:bookmarkEnd w:id="667"/>
      <w:bookmarkStart w:id="668" w:name="_Toc184312115"/>
      <w:bookmarkEnd w:id="668"/>
      <w:bookmarkStart w:id="669" w:name="_Toc184314467"/>
      <w:bookmarkEnd w:id="669"/>
      <w:bookmarkStart w:id="670" w:name="_Toc184314445"/>
      <w:bookmarkEnd w:id="670"/>
      <w:bookmarkStart w:id="671" w:name="_Toc184310321"/>
      <w:bookmarkEnd w:id="671"/>
      <w:bookmarkStart w:id="672" w:name="_Toc184310338"/>
      <w:bookmarkEnd w:id="672"/>
      <w:bookmarkStart w:id="673" w:name="_Toc184310320"/>
      <w:bookmarkEnd w:id="673"/>
      <w:bookmarkStart w:id="674" w:name="_Toc184308097"/>
      <w:bookmarkEnd w:id="674"/>
      <w:bookmarkStart w:id="675" w:name="_Toc184313299"/>
      <w:bookmarkEnd w:id="675"/>
      <w:bookmarkStart w:id="676" w:name="_Toc184308072"/>
      <w:bookmarkEnd w:id="676"/>
      <w:bookmarkStart w:id="677" w:name="_Toc184310283"/>
      <w:bookmarkEnd w:id="677"/>
      <w:bookmarkStart w:id="678" w:name="_Toc184313252"/>
      <w:bookmarkEnd w:id="678"/>
      <w:bookmarkStart w:id="679" w:name="_Toc184313248"/>
      <w:bookmarkEnd w:id="679"/>
      <w:bookmarkStart w:id="680" w:name="_Toc184312129"/>
      <w:bookmarkEnd w:id="680"/>
      <w:bookmarkStart w:id="681" w:name="_Toc184308041"/>
      <w:bookmarkEnd w:id="681"/>
      <w:bookmarkStart w:id="682" w:name="_Toc184308074"/>
      <w:bookmarkEnd w:id="682"/>
      <w:bookmarkStart w:id="683" w:name="_Toc184313247"/>
      <w:bookmarkEnd w:id="683"/>
      <w:bookmarkStart w:id="684" w:name="_Toc184308065"/>
      <w:bookmarkEnd w:id="684"/>
      <w:bookmarkStart w:id="685" w:name="_Toc184312137"/>
      <w:bookmarkEnd w:id="685"/>
      <w:bookmarkStart w:id="686" w:name="_Toc184313308"/>
      <w:bookmarkEnd w:id="686"/>
      <w:bookmarkStart w:id="687" w:name="_Toc184312108"/>
      <w:bookmarkEnd w:id="687"/>
      <w:bookmarkStart w:id="688" w:name="_Toc184310291"/>
      <w:bookmarkEnd w:id="688"/>
      <w:bookmarkStart w:id="689" w:name="_Toc184312128"/>
      <w:bookmarkEnd w:id="689"/>
      <w:bookmarkStart w:id="690" w:name="_Toc184312079"/>
      <w:bookmarkEnd w:id="690"/>
      <w:bookmarkStart w:id="691" w:name="_Toc184308076"/>
      <w:bookmarkEnd w:id="691"/>
      <w:bookmarkStart w:id="692" w:name="_Toc184308069"/>
      <w:bookmarkEnd w:id="692"/>
      <w:bookmarkStart w:id="693" w:name="_Toc184313291"/>
      <w:bookmarkEnd w:id="693"/>
      <w:bookmarkStart w:id="694" w:name="_Toc184310319"/>
      <w:bookmarkEnd w:id="694"/>
      <w:bookmarkStart w:id="695" w:name="_Toc184314463"/>
      <w:bookmarkEnd w:id="695"/>
      <w:bookmarkStart w:id="696" w:name="_Toc184310325"/>
      <w:bookmarkEnd w:id="696"/>
      <w:bookmarkStart w:id="697" w:name="_Toc184312096"/>
      <w:bookmarkEnd w:id="697"/>
      <w:bookmarkStart w:id="698" w:name="_Toc184310308"/>
      <w:bookmarkEnd w:id="698"/>
      <w:bookmarkStart w:id="699" w:name="_Toc184314414"/>
      <w:bookmarkEnd w:id="699"/>
      <w:bookmarkStart w:id="700" w:name="_Toc184310273"/>
      <w:bookmarkEnd w:id="700"/>
      <w:bookmarkStart w:id="701" w:name="_Toc184308048"/>
      <w:bookmarkEnd w:id="701"/>
      <w:bookmarkStart w:id="702" w:name="_Toc184308047"/>
      <w:bookmarkEnd w:id="702"/>
      <w:bookmarkStart w:id="703" w:name="_Toc184312125"/>
      <w:bookmarkEnd w:id="703"/>
      <w:bookmarkStart w:id="704" w:name="_Toc184308079"/>
      <w:bookmarkEnd w:id="704"/>
      <w:bookmarkStart w:id="705" w:name="_Toc184308049"/>
      <w:bookmarkEnd w:id="705"/>
      <w:bookmarkStart w:id="706" w:name="_Toc184308073"/>
      <w:bookmarkEnd w:id="706"/>
      <w:bookmarkStart w:id="707" w:name="_Toc184313260"/>
      <w:bookmarkEnd w:id="707"/>
      <w:bookmarkStart w:id="708" w:name="_Toc184310299"/>
      <w:bookmarkEnd w:id="708"/>
      <w:bookmarkStart w:id="709" w:name="_Toc184312103"/>
      <w:bookmarkEnd w:id="709"/>
      <w:bookmarkStart w:id="710" w:name="_Toc184314442"/>
      <w:bookmarkEnd w:id="710"/>
      <w:r>
        <w:rPr>
          <w:rFonts w:hint="eastAsia" w:ascii="宋体" w:hAnsi="宋体" w:cs="宋体"/>
          <w:b/>
          <w:color w:val="auto"/>
          <w:sz w:val="36"/>
          <w:szCs w:val="36"/>
          <w:highlight w:val="none"/>
        </w:rPr>
        <w:t>评标办法</w:t>
      </w:r>
    </w:p>
    <w:p w14:paraId="7C4A1F1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602"/>
        <w:gridCol w:w="810"/>
        <w:gridCol w:w="950"/>
        <w:gridCol w:w="1295"/>
      </w:tblGrid>
      <w:tr w14:paraId="7360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5BB5C79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602" w:type="dxa"/>
            <w:tcBorders>
              <w:top w:val="single" w:color="auto" w:sz="4" w:space="0"/>
              <w:left w:val="nil"/>
              <w:bottom w:val="single" w:color="auto" w:sz="4" w:space="0"/>
              <w:right w:val="single" w:color="auto" w:sz="4" w:space="0"/>
            </w:tcBorders>
            <w:noWrap w:val="0"/>
            <w:vAlign w:val="center"/>
          </w:tcPr>
          <w:p w14:paraId="3132214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810" w:type="dxa"/>
            <w:tcBorders>
              <w:top w:val="single" w:color="auto" w:sz="4" w:space="0"/>
              <w:left w:val="nil"/>
              <w:bottom w:val="single" w:color="auto" w:sz="4" w:space="0"/>
              <w:right w:val="single" w:color="auto" w:sz="4" w:space="0"/>
            </w:tcBorders>
            <w:noWrap w:val="0"/>
            <w:vAlign w:val="center"/>
          </w:tcPr>
          <w:p w14:paraId="23F6E33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950" w:type="dxa"/>
            <w:tcBorders>
              <w:top w:val="single" w:color="auto" w:sz="4" w:space="0"/>
              <w:left w:val="nil"/>
              <w:bottom w:val="single" w:color="auto" w:sz="4" w:space="0"/>
              <w:right w:val="single" w:color="auto" w:sz="4" w:space="0"/>
            </w:tcBorders>
            <w:noWrap w:val="0"/>
            <w:vAlign w:val="center"/>
          </w:tcPr>
          <w:p w14:paraId="189E968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主观分/客观分属性</w:t>
            </w:r>
          </w:p>
        </w:tc>
        <w:tc>
          <w:tcPr>
            <w:tcW w:w="1295" w:type="dxa"/>
            <w:tcBorders>
              <w:top w:val="single" w:color="auto" w:sz="4" w:space="0"/>
              <w:left w:val="nil"/>
              <w:bottom w:val="single" w:color="auto" w:sz="4" w:space="0"/>
              <w:right w:val="single" w:color="auto" w:sz="4" w:space="0"/>
            </w:tcBorders>
            <w:noWrap w:val="0"/>
            <w:vAlign w:val="center"/>
          </w:tcPr>
          <w:p w14:paraId="50001F72">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14:paraId="5BD0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0"/>
            <w:vAlign w:val="center"/>
          </w:tcPr>
          <w:p w14:paraId="0ABF957C">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r>
              <w:rPr>
                <w:rFonts w:hint="eastAsia" w:ascii="宋体" w:hAnsi="宋体" w:eastAsia="宋体" w:cs="宋体"/>
                <w:b/>
                <w:bCs/>
                <w:color w:val="auto"/>
                <w:sz w:val="24"/>
                <w:szCs w:val="24"/>
                <w:highlight w:val="none"/>
                <w:lang w:val="en-US" w:eastAsia="zh-CN"/>
              </w:rPr>
              <w:t xml:space="preserve"> 45</w:t>
            </w:r>
            <w:r>
              <w:rPr>
                <w:rFonts w:hint="eastAsia" w:ascii="宋体" w:hAnsi="宋体" w:eastAsia="宋体" w:cs="宋体"/>
                <w:b/>
                <w:bCs/>
                <w:color w:val="auto"/>
                <w:sz w:val="24"/>
                <w:szCs w:val="24"/>
                <w:highlight w:val="none"/>
              </w:rPr>
              <w:t>分）</w:t>
            </w:r>
          </w:p>
        </w:tc>
      </w:tr>
      <w:tr w14:paraId="5FAB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51" w:type="dxa"/>
            <w:tcBorders>
              <w:top w:val="single" w:color="auto" w:sz="4" w:space="0"/>
              <w:left w:val="single" w:color="auto" w:sz="4" w:space="0"/>
              <w:right w:val="single" w:color="auto" w:sz="4" w:space="0"/>
            </w:tcBorders>
            <w:noWrap w:val="0"/>
            <w:vAlign w:val="center"/>
          </w:tcPr>
          <w:p w14:paraId="293F9B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02" w:type="dxa"/>
            <w:tcBorders>
              <w:top w:val="single" w:color="auto" w:sz="4" w:space="0"/>
              <w:left w:val="nil"/>
              <w:right w:val="single" w:color="auto" w:sz="4" w:space="0"/>
            </w:tcBorders>
            <w:noWrap w:val="0"/>
            <w:vAlign w:val="center"/>
          </w:tcPr>
          <w:p w14:paraId="5651CE94">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按照投标人提供的产品采购需求的满足程度，全部满足的得20分。</w:t>
            </w:r>
          </w:p>
          <w:p w14:paraId="3F218F9A">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1.技术参数有负偏离或缺漏的每项扣1分，扣完为止。</w:t>
            </w:r>
          </w:p>
        </w:tc>
        <w:tc>
          <w:tcPr>
            <w:tcW w:w="810" w:type="dxa"/>
            <w:tcBorders>
              <w:top w:val="single" w:color="auto" w:sz="4" w:space="0"/>
              <w:left w:val="nil"/>
              <w:bottom w:val="single" w:color="auto" w:sz="4" w:space="0"/>
              <w:right w:val="single" w:color="auto" w:sz="4" w:space="0"/>
            </w:tcBorders>
            <w:noWrap w:val="0"/>
            <w:vAlign w:val="center"/>
          </w:tcPr>
          <w:p w14:paraId="4928EBA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w:t>
            </w:r>
          </w:p>
        </w:tc>
        <w:tc>
          <w:tcPr>
            <w:tcW w:w="950" w:type="dxa"/>
            <w:tcBorders>
              <w:top w:val="single" w:color="auto" w:sz="4" w:space="0"/>
              <w:left w:val="nil"/>
              <w:right w:val="single" w:color="auto" w:sz="4" w:space="0"/>
            </w:tcBorders>
            <w:noWrap w:val="0"/>
            <w:vAlign w:val="center"/>
          </w:tcPr>
          <w:p w14:paraId="0602C95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客观分</w:t>
            </w:r>
          </w:p>
        </w:tc>
        <w:tc>
          <w:tcPr>
            <w:tcW w:w="1295" w:type="dxa"/>
            <w:tcBorders>
              <w:top w:val="single" w:color="auto" w:sz="4" w:space="0"/>
              <w:left w:val="nil"/>
              <w:right w:val="single" w:color="auto" w:sz="4" w:space="0"/>
            </w:tcBorders>
            <w:noWrap w:val="0"/>
            <w:vAlign w:val="center"/>
          </w:tcPr>
          <w:p w14:paraId="187443E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产品采购需求的满足程度</w:t>
            </w:r>
          </w:p>
        </w:tc>
      </w:tr>
      <w:tr w14:paraId="7A9C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0081CA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602" w:type="dxa"/>
            <w:tcBorders>
              <w:top w:val="single" w:color="auto" w:sz="4" w:space="0"/>
              <w:left w:val="nil"/>
              <w:bottom w:val="single" w:color="auto" w:sz="4" w:space="0"/>
              <w:right w:val="single" w:color="auto" w:sz="4" w:space="0"/>
            </w:tcBorders>
            <w:noWrap w:val="0"/>
            <w:vAlign w:val="center"/>
          </w:tcPr>
          <w:p w14:paraId="4536B021">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根据投标人对本项目了解程度，结合建设背景、规划理念、组织架构、技术路线，提供合理的、有效的建议与方案，并提供相关说明资料。</w:t>
            </w:r>
          </w:p>
          <w:p w14:paraId="400AF6F4">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所提供建议与管理、技术、产品的结合程度，以科学性、前瞻性、安全运行为评估维度。</w:t>
            </w:r>
          </w:p>
          <w:p w14:paraId="4B140AAD">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①</w:t>
            </w:r>
            <w:r>
              <w:rPr>
                <w:rFonts w:hint="eastAsia" w:ascii="宋体" w:hAnsi="宋体" w:eastAsia="宋体" w:cs="宋体"/>
                <w:color w:val="auto"/>
                <w:kern w:val="0"/>
                <w:sz w:val="24"/>
                <w:szCs w:val="24"/>
                <w:highlight w:val="none"/>
              </w:rPr>
              <w:t>优秀得3分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bidi="ar"/>
              </w:rPr>
              <w:t>②</w:t>
            </w:r>
            <w:r>
              <w:rPr>
                <w:rFonts w:hint="eastAsia" w:ascii="宋体" w:hAnsi="宋体" w:eastAsia="宋体" w:cs="宋体"/>
                <w:color w:val="auto"/>
                <w:kern w:val="0"/>
                <w:sz w:val="24"/>
                <w:szCs w:val="24"/>
                <w:highlight w:val="none"/>
              </w:rPr>
              <w:t>良好得2分；</w:t>
            </w:r>
            <w:r>
              <w:rPr>
                <w:rFonts w:hint="eastAsia" w:ascii="宋体" w:hAnsi="宋体" w:eastAsia="宋体" w:cs="宋体"/>
                <w:color w:val="auto"/>
                <w:sz w:val="24"/>
                <w:szCs w:val="24"/>
                <w:highlight w:val="none"/>
                <w:lang w:bidi="ar"/>
              </w:rPr>
              <w:t>③</w:t>
            </w:r>
            <w:r>
              <w:rPr>
                <w:rFonts w:hint="eastAsia" w:ascii="宋体" w:hAnsi="宋体" w:eastAsia="宋体" w:cs="宋体"/>
                <w:color w:val="auto"/>
                <w:kern w:val="0"/>
                <w:sz w:val="24"/>
                <w:szCs w:val="24"/>
                <w:highlight w:val="none"/>
              </w:rPr>
              <w:t>一般的得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tc>
        <w:tc>
          <w:tcPr>
            <w:tcW w:w="810" w:type="dxa"/>
            <w:tcBorders>
              <w:top w:val="single" w:color="auto" w:sz="4" w:space="0"/>
              <w:left w:val="nil"/>
              <w:bottom w:val="single" w:color="auto" w:sz="4" w:space="0"/>
              <w:right w:val="single" w:color="auto" w:sz="4" w:space="0"/>
            </w:tcBorders>
            <w:noWrap w:val="0"/>
            <w:vAlign w:val="center"/>
          </w:tcPr>
          <w:p w14:paraId="7797195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0" w:type="dxa"/>
            <w:tcBorders>
              <w:top w:val="single" w:color="auto" w:sz="4" w:space="0"/>
              <w:left w:val="nil"/>
              <w:bottom w:val="single" w:color="auto" w:sz="4" w:space="0"/>
              <w:right w:val="single" w:color="auto" w:sz="4" w:space="0"/>
            </w:tcBorders>
            <w:noWrap w:val="0"/>
            <w:vAlign w:val="center"/>
          </w:tcPr>
          <w:p w14:paraId="16BC6CF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95" w:type="dxa"/>
            <w:tcBorders>
              <w:top w:val="single" w:color="auto" w:sz="4" w:space="0"/>
              <w:left w:val="nil"/>
              <w:bottom w:val="single" w:color="auto" w:sz="4" w:space="0"/>
              <w:right w:val="single" w:color="auto" w:sz="4" w:space="0"/>
            </w:tcBorders>
            <w:noWrap w:val="0"/>
            <w:vAlign w:val="center"/>
          </w:tcPr>
          <w:p w14:paraId="3B05800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项目理解及</w:t>
            </w:r>
            <w:r>
              <w:rPr>
                <w:rFonts w:hint="eastAsia" w:ascii="宋体" w:hAnsi="宋体" w:eastAsia="宋体" w:cs="宋体"/>
                <w:color w:val="auto"/>
                <w:sz w:val="24"/>
                <w:szCs w:val="24"/>
                <w:highlight w:val="none"/>
              </w:rPr>
              <w:t>合理化建议</w:t>
            </w:r>
          </w:p>
        </w:tc>
      </w:tr>
      <w:tr w14:paraId="7230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1E9EFF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02" w:type="dxa"/>
            <w:tcBorders>
              <w:top w:val="single" w:color="auto" w:sz="4" w:space="0"/>
              <w:left w:val="nil"/>
              <w:bottom w:val="single" w:color="auto" w:sz="4" w:space="0"/>
              <w:right w:val="single" w:color="auto" w:sz="4" w:space="0"/>
            </w:tcBorders>
            <w:noWrap w:val="0"/>
            <w:vAlign w:val="center"/>
          </w:tcPr>
          <w:p w14:paraId="3E68FBF8">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投标人根据本项目所需求的及应用环境等要求提出产品整体设计方案、各部件的结构设计、产品工作原理及功能设计。</w:t>
            </w:r>
          </w:p>
          <w:p w14:paraId="4497309D">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①</w:t>
            </w:r>
            <w:r>
              <w:rPr>
                <w:rFonts w:hint="eastAsia" w:ascii="宋体" w:hAnsi="宋体" w:eastAsia="宋体" w:cs="宋体"/>
                <w:color w:val="auto"/>
                <w:kern w:val="0"/>
                <w:sz w:val="24"/>
                <w:szCs w:val="24"/>
                <w:highlight w:val="none"/>
              </w:rPr>
              <w:t>产品设计科学合理，技术先进、结构完善，功能齐全，产品模块化，实现标准化生产得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5C07A570">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②</w:t>
            </w:r>
            <w:r>
              <w:rPr>
                <w:rFonts w:hint="eastAsia" w:ascii="宋体" w:hAnsi="宋体" w:eastAsia="宋体" w:cs="宋体"/>
                <w:color w:val="auto"/>
                <w:kern w:val="0"/>
                <w:sz w:val="24"/>
                <w:szCs w:val="24"/>
                <w:highlight w:val="none"/>
              </w:rPr>
              <w:t>产品设计一般、技术一般、功能一般，产品部分实现模块化得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53597B97">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③</w:t>
            </w:r>
            <w:r>
              <w:rPr>
                <w:rFonts w:hint="eastAsia" w:ascii="宋体" w:hAnsi="宋体" w:eastAsia="宋体" w:cs="宋体"/>
                <w:color w:val="auto"/>
                <w:kern w:val="0"/>
                <w:sz w:val="24"/>
                <w:szCs w:val="24"/>
                <w:highlight w:val="none"/>
              </w:rPr>
              <w:t xml:space="preserve">产品设计不合理，技术功能较差得 </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810" w:type="dxa"/>
            <w:tcBorders>
              <w:top w:val="single" w:color="auto" w:sz="4" w:space="0"/>
              <w:left w:val="nil"/>
              <w:bottom w:val="single" w:color="auto" w:sz="4" w:space="0"/>
              <w:right w:val="single" w:color="auto" w:sz="4" w:space="0"/>
            </w:tcBorders>
            <w:noWrap w:val="0"/>
            <w:vAlign w:val="center"/>
          </w:tcPr>
          <w:p w14:paraId="44ECB47F">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0" w:type="dxa"/>
            <w:tcBorders>
              <w:top w:val="single" w:color="auto" w:sz="4" w:space="0"/>
              <w:left w:val="nil"/>
              <w:bottom w:val="single" w:color="auto" w:sz="4" w:space="0"/>
              <w:right w:val="single" w:color="auto" w:sz="4" w:space="0"/>
            </w:tcBorders>
            <w:noWrap w:val="0"/>
            <w:vAlign w:val="center"/>
          </w:tcPr>
          <w:p w14:paraId="45BDE36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5" w:type="dxa"/>
            <w:tcBorders>
              <w:top w:val="single" w:color="auto" w:sz="4" w:space="0"/>
              <w:left w:val="nil"/>
              <w:bottom w:val="single" w:color="auto" w:sz="4" w:space="0"/>
              <w:right w:val="single" w:color="auto" w:sz="4" w:space="0"/>
            </w:tcBorders>
            <w:noWrap w:val="0"/>
            <w:vAlign w:val="center"/>
          </w:tcPr>
          <w:p w14:paraId="3958892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szCs w:val="24"/>
                <w:highlight w:val="none"/>
              </w:rPr>
              <w:t>产品设计方案</w:t>
            </w:r>
          </w:p>
        </w:tc>
      </w:tr>
      <w:tr w14:paraId="7E57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4C6271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602" w:type="dxa"/>
            <w:tcBorders>
              <w:top w:val="single" w:color="auto" w:sz="4" w:space="0"/>
              <w:left w:val="nil"/>
              <w:bottom w:val="single" w:color="auto" w:sz="4" w:space="0"/>
              <w:right w:val="single" w:color="auto" w:sz="4" w:space="0"/>
            </w:tcBorders>
            <w:noWrap w:val="0"/>
            <w:vAlign w:val="center"/>
          </w:tcPr>
          <w:p w14:paraId="5EE48DCD">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根据投标人的质量保证措施方案进行打分：</w:t>
            </w:r>
          </w:p>
          <w:p w14:paraId="59DE1C01">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①方案内容完善可实施性强得5分；</w:t>
            </w:r>
          </w:p>
          <w:p w14:paraId="26283D88">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②方案内容较完善可实施得4分；</w:t>
            </w:r>
          </w:p>
          <w:p w14:paraId="7C02CC4F">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③方案内容简单尚可实施得3分；</w:t>
            </w:r>
          </w:p>
          <w:p w14:paraId="3186C8E5">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④方案内容简单基本可行得2分；</w:t>
            </w:r>
          </w:p>
          <w:p w14:paraId="1BCA2579">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⑤方案内容有缺陷需完善后实施得1分；</w:t>
            </w:r>
          </w:p>
          <w:p w14:paraId="280DA4C2">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⑥不满足需求或不可行不得分。</w:t>
            </w:r>
          </w:p>
        </w:tc>
        <w:tc>
          <w:tcPr>
            <w:tcW w:w="810" w:type="dxa"/>
            <w:tcBorders>
              <w:top w:val="single" w:color="auto" w:sz="4" w:space="0"/>
              <w:left w:val="nil"/>
              <w:bottom w:val="single" w:color="auto" w:sz="4" w:space="0"/>
              <w:right w:val="single" w:color="auto" w:sz="4" w:space="0"/>
            </w:tcBorders>
            <w:noWrap w:val="0"/>
            <w:vAlign w:val="center"/>
          </w:tcPr>
          <w:p w14:paraId="2C7ACB6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50" w:type="dxa"/>
            <w:tcBorders>
              <w:top w:val="single" w:color="auto" w:sz="4" w:space="0"/>
              <w:left w:val="nil"/>
              <w:bottom w:val="single" w:color="auto" w:sz="4" w:space="0"/>
              <w:right w:val="single" w:color="auto" w:sz="4" w:space="0"/>
            </w:tcBorders>
            <w:noWrap w:val="0"/>
            <w:vAlign w:val="center"/>
          </w:tcPr>
          <w:p w14:paraId="1DA31B5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95" w:type="dxa"/>
            <w:tcBorders>
              <w:top w:val="single" w:color="auto" w:sz="4" w:space="0"/>
              <w:left w:val="nil"/>
              <w:bottom w:val="single" w:color="auto" w:sz="4" w:space="0"/>
              <w:right w:val="single" w:color="auto" w:sz="4" w:space="0"/>
            </w:tcBorders>
            <w:noWrap w:val="0"/>
            <w:vAlign w:val="center"/>
          </w:tcPr>
          <w:p w14:paraId="3B9274F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质量保证措施方案</w:t>
            </w:r>
          </w:p>
        </w:tc>
      </w:tr>
      <w:tr w14:paraId="798D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5F704D3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02" w:type="dxa"/>
            <w:tcBorders>
              <w:top w:val="single" w:color="auto" w:sz="4" w:space="0"/>
              <w:left w:val="nil"/>
              <w:bottom w:val="single" w:color="auto" w:sz="4" w:space="0"/>
              <w:right w:val="single" w:color="auto" w:sz="4" w:space="0"/>
            </w:tcBorders>
            <w:noWrap w:val="0"/>
            <w:vAlign w:val="center"/>
          </w:tcPr>
          <w:p w14:paraId="271074DD">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提供技术培训方案，主要包括培训目的、培训计划、培训实施方案（培训对象、培训时间、培训地点、培训方式、培训内容）、培训保障等。依据方案的优劣性进行打分</w:t>
            </w:r>
            <w:r>
              <w:rPr>
                <w:rFonts w:hint="eastAsia" w:ascii="宋体" w:hAnsi="宋体" w:eastAsia="宋体" w:cs="宋体"/>
                <w:color w:val="auto"/>
                <w:kern w:val="0"/>
                <w:sz w:val="24"/>
                <w:szCs w:val="24"/>
                <w:highlight w:val="none"/>
                <w:lang w:eastAsia="zh-CN"/>
              </w:rPr>
              <w:t>：</w:t>
            </w:r>
          </w:p>
          <w:p w14:paraId="2AC3F7F8">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①</w:t>
            </w:r>
            <w:r>
              <w:rPr>
                <w:rFonts w:hint="eastAsia" w:ascii="宋体" w:hAnsi="宋体" w:eastAsia="宋体" w:cs="宋体"/>
                <w:color w:val="auto"/>
                <w:kern w:val="0"/>
                <w:sz w:val="24"/>
                <w:szCs w:val="24"/>
                <w:highlight w:val="none"/>
              </w:rPr>
              <w:t>技术培训方案可实施性和针对性较强的得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0817175B">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②</w:t>
            </w:r>
            <w:r>
              <w:rPr>
                <w:rFonts w:hint="eastAsia" w:ascii="宋体" w:hAnsi="宋体" w:eastAsia="宋体" w:cs="宋体"/>
                <w:color w:val="auto"/>
                <w:kern w:val="0"/>
                <w:sz w:val="24"/>
                <w:szCs w:val="24"/>
                <w:highlight w:val="none"/>
              </w:rPr>
              <w:t>技术培训方案可实施性和针对性一般的得2分；</w:t>
            </w:r>
          </w:p>
          <w:p w14:paraId="4789A9D7">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bidi="ar"/>
              </w:rPr>
              <w:t>③</w:t>
            </w:r>
            <w:r>
              <w:rPr>
                <w:rFonts w:hint="eastAsia" w:ascii="宋体" w:hAnsi="宋体" w:eastAsia="宋体" w:cs="宋体"/>
                <w:color w:val="auto"/>
                <w:kern w:val="0"/>
                <w:sz w:val="24"/>
                <w:szCs w:val="24"/>
                <w:highlight w:val="none"/>
              </w:rPr>
              <w:t>技术培训方案可实施性和针对性差的得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810" w:type="dxa"/>
            <w:tcBorders>
              <w:top w:val="single" w:color="auto" w:sz="4" w:space="0"/>
              <w:left w:val="nil"/>
              <w:bottom w:val="single" w:color="auto" w:sz="4" w:space="0"/>
              <w:right w:val="single" w:color="auto" w:sz="4" w:space="0"/>
            </w:tcBorders>
            <w:noWrap w:val="0"/>
            <w:vAlign w:val="center"/>
          </w:tcPr>
          <w:p w14:paraId="742A97B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0" w:type="dxa"/>
            <w:tcBorders>
              <w:top w:val="single" w:color="auto" w:sz="4" w:space="0"/>
              <w:left w:val="nil"/>
              <w:bottom w:val="single" w:color="auto" w:sz="4" w:space="0"/>
              <w:right w:val="single" w:color="auto" w:sz="4" w:space="0"/>
            </w:tcBorders>
            <w:noWrap w:val="0"/>
            <w:vAlign w:val="center"/>
          </w:tcPr>
          <w:p w14:paraId="42DC4D6F">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295" w:type="dxa"/>
            <w:tcBorders>
              <w:top w:val="single" w:color="auto" w:sz="4" w:space="0"/>
              <w:left w:val="nil"/>
              <w:bottom w:val="single" w:color="auto" w:sz="4" w:space="0"/>
              <w:right w:val="single" w:color="auto" w:sz="4" w:space="0"/>
            </w:tcBorders>
            <w:noWrap w:val="0"/>
            <w:vAlign w:val="center"/>
          </w:tcPr>
          <w:p w14:paraId="380F31A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技术培训方案</w:t>
            </w:r>
          </w:p>
        </w:tc>
      </w:tr>
      <w:tr w14:paraId="6B6C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4DE4CF8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602" w:type="dxa"/>
            <w:tcBorders>
              <w:top w:val="single" w:color="auto" w:sz="4" w:space="0"/>
              <w:left w:val="nil"/>
              <w:bottom w:val="single" w:color="auto" w:sz="4" w:space="0"/>
              <w:right w:val="single" w:color="auto" w:sz="4" w:space="0"/>
            </w:tcBorders>
            <w:noWrap w:val="0"/>
            <w:vAlign w:val="center"/>
          </w:tcPr>
          <w:p w14:paraId="0CC99430">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根据投标人对本项目的进度安排及保障措施方案是否清楚、详细，考虑是否周全完整，切实可行方面进行评分：</w:t>
            </w:r>
          </w:p>
          <w:p w14:paraId="0CEE5627">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①方案内容完善可实施性强得</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分；</w:t>
            </w:r>
          </w:p>
          <w:p w14:paraId="55132A1D">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②方案内容简单尚可实施得</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分；</w:t>
            </w:r>
          </w:p>
          <w:p w14:paraId="3E69074B">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③方案内容有缺陷需完善后实施得1分</w:t>
            </w:r>
            <w:r>
              <w:rPr>
                <w:rFonts w:hint="eastAsia" w:ascii="宋体" w:hAnsi="宋体" w:eastAsia="宋体" w:cs="宋体"/>
                <w:color w:val="auto"/>
                <w:sz w:val="24"/>
                <w:szCs w:val="24"/>
                <w:highlight w:val="none"/>
                <w:lang w:eastAsia="zh-CN" w:bidi="ar"/>
              </w:rPr>
              <w:t>。</w:t>
            </w:r>
          </w:p>
        </w:tc>
        <w:tc>
          <w:tcPr>
            <w:tcW w:w="810" w:type="dxa"/>
            <w:tcBorders>
              <w:top w:val="single" w:color="auto" w:sz="4" w:space="0"/>
              <w:left w:val="nil"/>
              <w:bottom w:val="single" w:color="auto" w:sz="4" w:space="0"/>
              <w:right w:val="single" w:color="auto" w:sz="4" w:space="0"/>
            </w:tcBorders>
            <w:noWrap w:val="0"/>
            <w:vAlign w:val="center"/>
          </w:tcPr>
          <w:p w14:paraId="12D9E68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0" w:type="dxa"/>
            <w:tcBorders>
              <w:top w:val="single" w:color="auto" w:sz="4" w:space="0"/>
              <w:left w:val="nil"/>
              <w:bottom w:val="single" w:color="auto" w:sz="4" w:space="0"/>
              <w:right w:val="single" w:color="auto" w:sz="4" w:space="0"/>
            </w:tcBorders>
            <w:noWrap w:val="0"/>
            <w:vAlign w:val="center"/>
          </w:tcPr>
          <w:p w14:paraId="147BB37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295" w:type="dxa"/>
            <w:tcBorders>
              <w:top w:val="single" w:color="auto" w:sz="4" w:space="0"/>
              <w:left w:val="nil"/>
              <w:bottom w:val="single" w:color="auto" w:sz="4" w:space="0"/>
              <w:right w:val="single" w:color="auto" w:sz="4" w:space="0"/>
            </w:tcBorders>
            <w:noWrap w:val="0"/>
            <w:vAlign w:val="center"/>
          </w:tcPr>
          <w:p w14:paraId="1EC35BBF">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进度安排及保障措施方案</w:t>
            </w:r>
          </w:p>
        </w:tc>
      </w:tr>
      <w:tr w14:paraId="0A91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47DC07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02" w:type="dxa"/>
            <w:tcBorders>
              <w:top w:val="single" w:color="auto" w:sz="4" w:space="0"/>
              <w:left w:val="nil"/>
              <w:bottom w:val="single" w:color="auto" w:sz="4" w:space="0"/>
              <w:right w:val="single" w:color="auto" w:sz="4" w:space="0"/>
            </w:tcBorders>
            <w:noWrap w:val="0"/>
            <w:vAlign w:val="center"/>
          </w:tcPr>
          <w:p w14:paraId="1BE532B2">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投标人提供安装施工方案，具有针对性，合理性，符合项目需求</w:t>
            </w:r>
            <w:r>
              <w:rPr>
                <w:rFonts w:hint="eastAsia" w:ascii="宋体" w:hAnsi="宋体" w:eastAsia="宋体" w:cs="宋体"/>
                <w:color w:val="auto"/>
                <w:kern w:val="0"/>
                <w:sz w:val="24"/>
                <w:szCs w:val="24"/>
                <w:highlight w:val="none"/>
                <w:lang w:eastAsia="zh-CN"/>
              </w:rPr>
              <w:t>进行打分：</w:t>
            </w:r>
          </w:p>
          <w:p w14:paraId="452A01A4">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①</w:t>
            </w:r>
            <w:r>
              <w:rPr>
                <w:rFonts w:hint="eastAsia" w:ascii="宋体" w:hAnsi="宋体" w:eastAsia="宋体" w:cs="宋体"/>
                <w:color w:val="auto"/>
                <w:kern w:val="0"/>
                <w:sz w:val="24"/>
                <w:szCs w:val="24"/>
                <w:highlight w:val="none"/>
              </w:rPr>
              <w:t>安装施工方案合理性强,重点难点把握准确,措施有针对性得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5D29E1AF">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②</w:t>
            </w:r>
            <w:r>
              <w:rPr>
                <w:rFonts w:hint="eastAsia" w:ascii="宋体" w:hAnsi="宋体" w:eastAsia="宋体" w:cs="宋体"/>
                <w:color w:val="auto"/>
                <w:kern w:val="0"/>
                <w:sz w:val="24"/>
                <w:szCs w:val="24"/>
                <w:highlight w:val="none"/>
              </w:rPr>
              <w:t>安装施工方案基本切合实际,方案可行，重点难点把握一般，针对性一般得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3BBC3B7D">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③</w:t>
            </w:r>
            <w:r>
              <w:rPr>
                <w:rFonts w:hint="eastAsia" w:ascii="宋体" w:hAnsi="宋体" w:eastAsia="宋体" w:cs="宋体"/>
                <w:color w:val="auto"/>
                <w:kern w:val="0"/>
                <w:sz w:val="24"/>
                <w:szCs w:val="24"/>
                <w:highlight w:val="none"/>
              </w:rPr>
              <w:t>安装施工方案欠合理，针对性差得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810" w:type="dxa"/>
            <w:tcBorders>
              <w:top w:val="single" w:color="auto" w:sz="4" w:space="0"/>
              <w:left w:val="nil"/>
              <w:bottom w:val="single" w:color="auto" w:sz="4" w:space="0"/>
              <w:right w:val="single" w:color="auto" w:sz="4" w:space="0"/>
            </w:tcBorders>
            <w:noWrap w:val="0"/>
            <w:vAlign w:val="center"/>
          </w:tcPr>
          <w:p w14:paraId="199253D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0" w:type="dxa"/>
            <w:tcBorders>
              <w:top w:val="single" w:color="auto" w:sz="4" w:space="0"/>
              <w:left w:val="nil"/>
              <w:bottom w:val="single" w:color="auto" w:sz="4" w:space="0"/>
              <w:right w:val="single" w:color="auto" w:sz="4" w:space="0"/>
            </w:tcBorders>
            <w:noWrap w:val="0"/>
            <w:vAlign w:val="center"/>
          </w:tcPr>
          <w:p w14:paraId="34661B8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295" w:type="dxa"/>
            <w:tcBorders>
              <w:top w:val="single" w:color="auto" w:sz="4" w:space="0"/>
              <w:left w:val="nil"/>
              <w:bottom w:val="single" w:color="auto" w:sz="4" w:space="0"/>
              <w:right w:val="single" w:color="auto" w:sz="4" w:space="0"/>
            </w:tcBorders>
            <w:noWrap w:val="0"/>
            <w:vAlign w:val="center"/>
          </w:tcPr>
          <w:p w14:paraId="65B01C4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szCs w:val="24"/>
                <w:highlight w:val="none"/>
              </w:rPr>
              <w:t>实施方案</w:t>
            </w:r>
          </w:p>
        </w:tc>
      </w:tr>
      <w:tr w14:paraId="1C37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2570E6B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02" w:type="dxa"/>
            <w:tcBorders>
              <w:top w:val="single" w:color="auto" w:sz="4" w:space="0"/>
              <w:left w:val="nil"/>
              <w:bottom w:val="single" w:color="auto" w:sz="4" w:space="0"/>
              <w:right w:val="single" w:color="auto" w:sz="4" w:space="0"/>
            </w:tcBorders>
            <w:noWrap w:val="0"/>
            <w:vAlign w:val="center"/>
          </w:tcPr>
          <w:p w14:paraId="663D6010">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lang w:bidi="ar"/>
              </w:rPr>
              <w:t>根据投标人</w:t>
            </w:r>
            <w:r>
              <w:rPr>
                <w:rFonts w:hint="eastAsia" w:ascii="宋体" w:hAnsi="宋体" w:eastAsia="宋体" w:cs="宋体"/>
                <w:snapToGrid w:val="0"/>
                <w:color w:val="auto"/>
                <w:sz w:val="24"/>
                <w:szCs w:val="24"/>
                <w:highlight w:val="none"/>
              </w:rPr>
              <w:t>针对本项目的</w:t>
            </w:r>
            <w:r>
              <w:rPr>
                <w:rFonts w:hint="eastAsia" w:ascii="宋体" w:hAnsi="宋体" w:eastAsia="宋体" w:cs="宋体"/>
                <w:color w:val="auto"/>
                <w:sz w:val="24"/>
                <w:szCs w:val="24"/>
                <w:highlight w:val="none"/>
              </w:rPr>
              <w:t>验收方案</w:t>
            </w:r>
            <w:r>
              <w:rPr>
                <w:rFonts w:hint="eastAsia" w:ascii="宋体" w:hAnsi="宋体" w:eastAsia="宋体" w:cs="宋体"/>
                <w:snapToGrid w:val="0"/>
                <w:color w:val="auto"/>
                <w:sz w:val="24"/>
                <w:szCs w:val="24"/>
                <w:highlight w:val="none"/>
              </w:rPr>
              <w:t>进行打分：</w:t>
            </w:r>
          </w:p>
          <w:p w14:paraId="42957353">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①方案内容完善可实施性强得5分；</w:t>
            </w:r>
          </w:p>
          <w:p w14:paraId="079BF698">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②方案内容较完善可实施得4分；</w:t>
            </w:r>
          </w:p>
          <w:p w14:paraId="019498C3">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③方案内容简单尚可实施得3分；</w:t>
            </w:r>
          </w:p>
          <w:p w14:paraId="28D37797">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④方案内容简单基本可行得2分；</w:t>
            </w:r>
          </w:p>
          <w:p w14:paraId="1508E906">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⑤方案内容有缺陷需完善后实施得1分；</w:t>
            </w:r>
          </w:p>
          <w:p w14:paraId="4D8DD56B">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⑥不满足需求或不可行不得分。</w:t>
            </w:r>
          </w:p>
        </w:tc>
        <w:tc>
          <w:tcPr>
            <w:tcW w:w="810" w:type="dxa"/>
            <w:tcBorders>
              <w:top w:val="single" w:color="auto" w:sz="4" w:space="0"/>
              <w:left w:val="nil"/>
              <w:bottom w:val="single" w:color="auto" w:sz="4" w:space="0"/>
              <w:right w:val="single" w:color="auto" w:sz="4" w:space="0"/>
            </w:tcBorders>
            <w:noWrap w:val="0"/>
            <w:vAlign w:val="center"/>
          </w:tcPr>
          <w:p w14:paraId="1CB9264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50" w:type="dxa"/>
            <w:tcBorders>
              <w:top w:val="single" w:color="auto" w:sz="4" w:space="0"/>
              <w:left w:val="nil"/>
              <w:bottom w:val="single" w:color="auto" w:sz="4" w:space="0"/>
              <w:right w:val="single" w:color="auto" w:sz="4" w:space="0"/>
            </w:tcBorders>
            <w:noWrap w:val="0"/>
            <w:vAlign w:val="center"/>
          </w:tcPr>
          <w:p w14:paraId="24594BF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c>
          <w:tcPr>
            <w:tcW w:w="1295" w:type="dxa"/>
            <w:tcBorders>
              <w:top w:val="single" w:color="auto" w:sz="4" w:space="0"/>
              <w:left w:val="nil"/>
              <w:bottom w:val="single" w:color="auto" w:sz="4" w:space="0"/>
              <w:right w:val="single" w:color="auto" w:sz="4" w:space="0"/>
            </w:tcBorders>
            <w:noWrap w:val="0"/>
            <w:vAlign w:val="center"/>
          </w:tcPr>
          <w:p w14:paraId="5DEE37E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szCs w:val="24"/>
                <w:highlight w:val="none"/>
              </w:rPr>
              <w:t>验收方案</w:t>
            </w:r>
          </w:p>
        </w:tc>
      </w:tr>
      <w:tr w14:paraId="02FE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0"/>
            <w:vAlign w:val="center"/>
          </w:tcPr>
          <w:p w14:paraId="13468D6A">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资信及商务分（</w:t>
            </w:r>
            <w:r>
              <w:rPr>
                <w:rFonts w:hint="eastAsia" w:ascii="宋体" w:hAnsi="宋体" w:eastAsia="宋体" w:cs="宋体"/>
                <w:b/>
                <w:bCs/>
                <w:color w:val="auto"/>
                <w:sz w:val="24"/>
                <w:szCs w:val="24"/>
                <w:highlight w:val="none"/>
                <w:lang w:val="en-US" w:eastAsia="zh-CN"/>
              </w:rPr>
              <w:t xml:space="preserve"> 15</w:t>
            </w:r>
            <w:r>
              <w:rPr>
                <w:rFonts w:hint="eastAsia" w:ascii="宋体" w:hAnsi="宋体" w:eastAsia="宋体" w:cs="宋体"/>
                <w:b/>
                <w:bCs/>
                <w:color w:val="auto"/>
                <w:sz w:val="24"/>
                <w:szCs w:val="24"/>
                <w:highlight w:val="none"/>
              </w:rPr>
              <w:t>分）</w:t>
            </w:r>
          </w:p>
        </w:tc>
      </w:tr>
      <w:tr w14:paraId="786C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5EA769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02" w:type="dxa"/>
            <w:tcBorders>
              <w:top w:val="single" w:color="auto" w:sz="4" w:space="0"/>
              <w:left w:val="nil"/>
              <w:bottom w:val="single" w:color="auto" w:sz="4" w:space="0"/>
              <w:right w:val="single" w:color="auto" w:sz="4" w:space="0"/>
            </w:tcBorders>
            <w:noWrap w:val="0"/>
            <w:vAlign w:val="center"/>
          </w:tcPr>
          <w:p w14:paraId="0F67C4A8">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投标人提供2020年1月1日（签订合同时间）以来实施完成类似项目业绩，每提供一个得1分，最高得3分。</w:t>
            </w:r>
          </w:p>
          <w:p w14:paraId="36363B25">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注：需提供合同原件扫描件加盖单位公章，否则不得分。</w:t>
            </w:r>
          </w:p>
        </w:tc>
        <w:tc>
          <w:tcPr>
            <w:tcW w:w="810" w:type="dxa"/>
            <w:tcBorders>
              <w:top w:val="single" w:color="auto" w:sz="4" w:space="0"/>
              <w:left w:val="nil"/>
              <w:bottom w:val="single" w:color="auto" w:sz="4" w:space="0"/>
              <w:right w:val="single" w:color="auto" w:sz="4" w:space="0"/>
            </w:tcBorders>
            <w:noWrap w:val="0"/>
            <w:vAlign w:val="center"/>
          </w:tcPr>
          <w:p w14:paraId="758C8A0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0" w:type="dxa"/>
            <w:tcBorders>
              <w:top w:val="single" w:color="auto" w:sz="4" w:space="0"/>
              <w:left w:val="nil"/>
              <w:bottom w:val="single" w:color="auto" w:sz="4" w:space="0"/>
              <w:right w:val="single" w:color="auto" w:sz="4" w:space="0"/>
            </w:tcBorders>
            <w:noWrap w:val="0"/>
            <w:vAlign w:val="center"/>
          </w:tcPr>
          <w:p w14:paraId="6BEA4C9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295" w:type="dxa"/>
            <w:tcBorders>
              <w:top w:val="single" w:color="auto" w:sz="4" w:space="0"/>
              <w:left w:val="nil"/>
              <w:bottom w:val="single" w:color="auto" w:sz="4" w:space="0"/>
              <w:right w:val="single" w:color="auto" w:sz="4" w:space="0"/>
            </w:tcBorders>
            <w:noWrap w:val="0"/>
            <w:vAlign w:val="center"/>
          </w:tcPr>
          <w:p w14:paraId="1F29DD1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类似项目业绩</w:t>
            </w:r>
          </w:p>
        </w:tc>
      </w:tr>
      <w:tr w14:paraId="6758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7D109D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02" w:type="dxa"/>
            <w:tcBorders>
              <w:top w:val="single" w:color="auto" w:sz="4" w:space="0"/>
              <w:left w:val="nil"/>
              <w:bottom w:val="single" w:color="auto" w:sz="4" w:space="0"/>
              <w:right w:val="single" w:color="auto" w:sz="4" w:space="0"/>
            </w:tcBorders>
            <w:noWrap w:val="0"/>
            <w:vAlign w:val="center"/>
          </w:tcPr>
          <w:p w14:paraId="667B25ED">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本地化服务能力：根据投标人已设立的项目本地服务网点或承诺中标后设立服务网点，提供服务响应时间等；提供采购人便利性、以及接到采购人任务及时完成的服务方案等</w:t>
            </w:r>
            <w:r>
              <w:rPr>
                <w:rFonts w:hint="eastAsia" w:ascii="宋体" w:hAnsi="宋体" w:eastAsia="宋体" w:cs="宋体"/>
                <w:color w:val="auto"/>
                <w:sz w:val="24"/>
                <w:szCs w:val="24"/>
                <w:highlight w:val="none"/>
                <w:lang w:eastAsia="zh-CN"/>
              </w:rPr>
              <w:t>，最高得</w:t>
            </w:r>
            <w:r>
              <w:rPr>
                <w:rFonts w:hint="eastAsia" w:ascii="宋体" w:hAnsi="宋体" w:eastAsia="宋体" w:cs="宋体"/>
                <w:color w:val="auto"/>
                <w:sz w:val="24"/>
                <w:szCs w:val="24"/>
                <w:highlight w:val="none"/>
                <w:lang w:val="en-US" w:eastAsia="zh-CN"/>
              </w:rPr>
              <w:t>5分。</w:t>
            </w:r>
          </w:p>
        </w:tc>
        <w:tc>
          <w:tcPr>
            <w:tcW w:w="810" w:type="dxa"/>
            <w:tcBorders>
              <w:top w:val="single" w:color="auto" w:sz="4" w:space="0"/>
              <w:left w:val="nil"/>
              <w:bottom w:val="single" w:color="auto" w:sz="4" w:space="0"/>
              <w:right w:val="single" w:color="auto" w:sz="4" w:space="0"/>
            </w:tcBorders>
            <w:noWrap w:val="0"/>
            <w:vAlign w:val="center"/>
          </w:tcPr>
          <w:p w14:paraId="240BFB9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50" w:type="dxa"/>
            <w:tcBorders>
              <w:top w:val="single" w:color="auto" w:sz="4" w:space="0"/>
              <w:left w:val="nil"/>
              <w:bottom w:val="single" w:color="auto" w:sz="4" w:space="0"/>
              <w:right w:val="single" w:color="auto" w:sz="4" w:space="0"/>
            </w:tcBorders>
            <w:noWrap w:val="0"/>
            <w:vAlign w:val="center"/>
          </w:tcPr>
          <w:p w14:paraId="5DC81FC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w:t>
            </w:r>
            <w:r>
              <w:rPr>
                <w:rFonts w:hint="eastAsia" w:ascii="宋体" w:hAnsi="宋体" w:eastAsia="宋体" w:cs="宋体"/>
                <w:color w:val="auto"/>
                <w:sz w:val="24"/>
                <w:szCs w:val="24"/>
                <w:highlight w:val="none"/>
              </w:rPr>
              <w:t>分</w:t>
            </w:r>
          </w:p>
        </w:tc>
        <w:tc>
          <w:tcPr>
            <w:tcW w:w="1295" w:type="dxa"/>
            <w:tcBorders>
              <w:top w:val="single" w:color="auto" w:sz="4" w:space="0"/>
              <w:left w:val="nil"/>
              <w:bottom w:val="single" w:color="auto" w:sz="4" w:space="0"/>
              <w:right w:val="single" w:color="auto" w:sz="4" w:space="0"/>
            </w:tcBorders>
            <w:noWrap w:val="0"/>
            <w:vAlign w:val="center"/>
          </w:tcPr>
          <w:p w14:paraId="46D174B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本地化服务能力</w:t>
            </w:r>
          </w:p>
        </w:tc>
      </w:tr>
      <w:tr w14:paraId="7B81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51" w:type="dxa"/>
            <w:tcBorders>
              <w:top w:val="single" w:color="auto" w:sz="4" w:space="0"/>
              <w:left w:val="single" w:color="auto" w:sz="4" w:space="0"/>
              <w:right w:val="single" w:color="auto" w:sz="4" w:space="0"/>
            </w:tcBorders>
            <w:noWrap w:val="0"/>
            <w:vAlign w:val="center"/>
          </w:tcPr>
          <w:p w14:paraId="6FA0E7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02" w:type="dxa"/>
            <w:tcBorders>
              <w:top w:val="single" w:color="auto" w:sz="4" w:space="0"/>
              <w:left w:val="nil"/>
              <w:bottom w:val="single" w:color="auto" w:sz="4" w:space="0"/>
              <w:right w:val="single" w:color="auto" w:sz="4" w:space="0"/>
            </w:tcBorders>
            <w:noWrap w:val="0"/>
            <w:vAlign w:val="center"/>
          </w:tcPr>
          <w:p w14:paraId="1C18FE6A">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根据投标人提供的售后服务方案、维护范围、服务方式及内容、</w:t>
            </w:r>
            <w:r>
              <w:rPr>
                <w:rFonts w:hint="eastAsia" w:ascii="宋体" w:hAnsi="宋体" w:eastAsia="宋体" w:cs="宋体"/>
                <w:color w:val="auto"/>
                <w:sz w:val="24"/>
                <w:szCs w:val="24"/>
                <w:highlight w:val="none"/>
                <w:lang w:val="en-US" w:eastAsia="zh-CN"/>
              </w:rPr>
              <w:t>服务响应时间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免费维护期后的维护费用等内容进行打分。</w:t>
            </w:r>
          </w:p>
          <w:p w14:paraId="16120714">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①</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val="en-US" w:eastAsia="zh-CN"/>
              </w:rPr>
              <w:t>内容全面、</w:t>
            </w:r>
            <w:r>
              <w:rPr>
                <w:rFonts w:hint="eastAsia" w:ascii="宋体" w:hAnsi="宋体" w:eastAsia="宋体" w:cs="宋体"/>
                <w:color w:val="auto"/>
                <w:kern w:val="0"/>
                <w:sz w:val="24"/>
                <w:szCs w:val="24"/>
                <w:highlight w:val="none"/>
              </w:rPr>
              <w:t>可实施性和针对性较强的得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6C7E6601">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②</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kern w:val="0"/>
                <w:sz w:val="24"/>
                <w:szCs w:val="24"/>
                <w:highlight w:val="none"/>
              </w:rPr>
              <w:t>可实施性和针对性一般的得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3AC565A2">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③</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kern w:val="0"/>
                <w:sz w:val="24"/>
                <w:szCs w:val="24"/>
                <w:highlight w:val="none"/>
              </w:rPr>
              <w:t>可实施性和针对性差的得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810" w:type="dxa"/>
            <w:tcBorders>
              <w:top w:val="single" w:color="auto" w:sz="4" w:space="0"/>
              <w:left w:val="nil"/>
              <w:bottom w:val="single" w:color="auto" w:sz="4" w:space="0"/>
              <w:right w:val="single" w:color="auto" w:sz="4" w:space="0"/>
            </w:tcBorders>
            <w:noWrap w:val="0"/>
            <w:vAlign w:val="center"/>
          </w:tcPr>
          <w:p w14:paraId="71079A2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0" w:type="dxa"/>
            <w:tcBorders>
              <w:top w:val="single" w:color="auto" w:sz="4" w:space="0"/>
              <w:left w:val="nil"/>
              <w:right w:val="single" w:color="auto" w:sz="4" w:space="0"/>
            </w:tcBorders>
            <w:noWrap w:val="0"/>
            <w:vAlign w:val="center"/>
          </w:tcPr>
          <w:p w14:paraId="4EEC919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295" w:type="dxa"/>
            <w:tcBorders>
              <w:top w:val="single" w:color="auto" w:sz="4" w:space="0"/>
              <w:left w:val="nil"/>
              <w:right w:val="single" w:color="auto" w:sz="4" w:space="0"/>
            </w:tcBorders>
            <w:noWrap w:val="0"/>
            <w:vAlign w:val="center"/>
          </w:tcPr>
          <w:p w14:paraId="035348B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售后服务方案及维护方案</w:t>
            </w:r>
          </w:p>
        </w:tc>
      </w:tr>
      <w:tr w14:paraId="4CA6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left w:val="single" w:color="auto" w:sz="4" w:space="0"/>
              <w:bottom w:val="single" w:color="auto" w:sz="4" w:space="0"/>
              <w:right w:val="single" w:color="auto" w:sz="4" w:space="0"/>
            </w:tcBorders>
            <w:noWrap w:val="0"/>
            <w:vAlign w:val="center"/>
          </w:tcPr>
          <w:p w14:paraId="10DB28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02" w:type="dxa"/>
            <w:tcBorders>
              <w:top w:val="single" w:color="auto" w:sz="4" w:space="0"/>
              <w:left w:val="nil"/>
              <w:bottom w:val="single" w:color="auto" w:sz="4" w:space="0"/>
              <w:right w:val="single" w:color="auto" w:sz="4" w:space="0"/>
            </w:tcBorders>
            <w:noWrap w:val="0"/>
            <w:vAlign w:val="center"/>
          </w:tcPr>
          <w:p w14:paraId="7857F5D4">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拟派项目</w:t>
            </w:r>
            <w:r>
              <w:rPr>
                <w:rFonts w:hint="eastAsia" w:ascii="宋体" w:hAnsi="宋体" w:eastAsia="宋体" w:cs="宋体"/>
                <w:color w:val="auto"/>
                <w:kern w:val="0"/>
                <w:sz w:val="24"/>
                <w:szCs w:val="24"/>
                <w:highlight w:val="none"/>
                <w:lang w:val="en-US" w:eastAsia="zh-CN"/>
              </w:rPr>
              <w:t>负责人</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2"/>
                <w:sz w:val="24"/>
                <w:szCs w:val="24"/>
                <w:highlight w:val="none"/>
                <w:lang w:val="en-US" w:eastAsia="zh-CN" w:bidi="ar-SA"/>
              </w:rPr>
              <w:t>中级及以上工程师职称的得2分。</w:t>
            </w:r>
          </w:p>
          <w:p w14:paraId="448FC2BF">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（投标文件中须提供相关人员证书、证明材料及该人员近三个月内在本</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企业缴纳社保的证明材料复印件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否则不得分。</w:t>
            </w:r>
            <w:r>
              <w:rPr>
                <w:rFonts w:hint="eastAsia" w:ascii="宋体" w:hAnsi="宋体" w:eastAsia="宋体" w:cs="宋体"/>
                <w:b/>
                <w:bCs/>
                <w:color w:val="auto"/>
                <w:sz w:val="24"/>
                <w:szCs w:val="24"/>
                <w:highlight w:val="none"/>
              </w:rPr>
              <w:t>）</w:t>
            </w:r>
          </w:p>
        </w:tc>
        <w:tc>
          <w:tcPr>
            <w:tcW w:w="810" w:type="dxa"/>
            <w:tcBorders>
              <w:top w:val="single" w:color="auto" w:sz="4" w:space="0"/>
              <w:left w:val="nil"/>
              <w:bottom w:val="single" w:color="auto" w:sz="4" w:space="0"/>
              <w:right w:val="single" w:color="auto" w:sz="4" w:space="0"/>
            </w:tcBorders>
            <w:noWrap w:val="0"/>
            <w:vAlign w:val="center"/>
          </w:tcPr>
          <w:p w14:paraId="422D8BB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50" w:type="dxa"/>
            <w:tcBorders>
              <w:left w:val="nil"/>
              <w:bottom w:val="single" w:color="auto" w:sz="4" w:space="0"/>
              <w:right w:val="single" w:color="auto" w:sz="4" w:space="0"/>
            </w:tcBorders>
            <w:noWrap w:val="0"/>
            <w:vAlign w:val="center"/>
          </w:tcPr>
          <w:p w14:paraId="7AF60B0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c>
          <w:tcPr>
            <w:tcW w:w="1295" w:type="dxa"/>
            <w:tcBorders>
              <w:left w:val="nil"/>
              <w:bottom w:val="single" w:color="auto" w:sz="4" w:space="0"/>
              <w:right w:val="single" w:color="auto" w:sz="4" w:space="0"/>
            </w:tcBorders>
            <w:noWrap w:val="0"/>
            <w:vAlign w:val="center"/>
          </w:tcPr>
          <w:p w14:paraId="2B5FD36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拟派项目负责人</w:t>
            </w:r>
          </w:p>
        </w:tc>
      </w:tr>
      <w:tr w14:paraId="1C79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51" w:type="dxa"/>
            <w:tcBorders>
              <w:left w:val="single" w:color="auto" w:sz="4" w:space="0"/>
              <w:bottom w:val="single" w:color="auto" w:sz="4" w:space="0"/>
              <w:right w:val="single" w:color="auto" w:sz="4" w:space="0"/>
            </w:tcBorders>
            <w:noWrap w:val="0"/>
            <w:vAlign w:val="center"/>
          </w:tcPr>
          <w:p w14:paraId="4A4D2D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602" w:type="dxa"/>
            <w:tcBorders>
              <w:top w:val="single" w:color="auto" w:sz="4" w:space="0"/>
              <w:left w:val="nil"/>
              <w:bottom w:val="single" w:color="auto" w:sz="4" w:space="0"/>
              <w:right w:val="single" w:color="auto" w:sz="4" w:space="0"/>
            </w:tcBorders>
            <w:noWrap w:val="0"/>
            <w:vAlign w:val="center"/>
          </w:tcPr>
          <w:p w14:paraId="42B9CF66">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szCs w:val="24"/>
                <w:highlight w:val="none"/>
              </w:rPr>
              <w:t>在满足招标文件的基础上，本项目（含设备等）的质保期每延长1年得1分，最高得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10" w:type="dxa"/>
            <w:tcBorders>
              <w:top w:val="single" w:color="auto" w:sz="4" w:space="0"/>
              <w:left w:val="nil"/>
              <w:bottom w:val="single" w:color="auto" w:sz="4" w:space="0"/>
              <w:right w:val="single" w:color="auto" w:sz="4" w:space="0"/>
            </w:tcBorders>
            <w:noWrap w:val="0"/>
            <w:vAlign w:val="center"/>
          </w:tcPr>
          <w:p w14:paraId="1A58E01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50" w:type="dxa"/>
            <w:tcBorders>
              <w:left w:val="nil"/>
              <w:bottom w:val="single" w:color="auto" w:sz="4" w:space="0"/>
              <w:right w:val="single" w:color="auto" w:sz="4" w:space="0"/>
            </w:tcBorders>
            <w:noWrap w:val="0"/>
            <w:vAlign w:val="center"/>
          </w:tcPr>
          <w:p w14:paraId="6C10ECB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c>
          <w:tcPr>
            <w:tcW w:w="1295" w:type="dxa"/>
            <w:tcBorders>
              <w:left w:val="nil"/>
              <w:bottom w:val="single" w:color="auto" w:sz="4" w:space="0"/>
              <w:right w:val="single" w:color="auto" w:sz="4" w:space="0"/>
            </w:tcBorders>
            <w:noWrap w:val="0"/>
            <w:vAlign w:val="center"/>
          </w:tcPr>
          <w:p w14:paraId="50B9CD5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w:t>
            </w:r>
          </w:p>
        </w:tc>
      </w:tr>
      <w:tr w14:paraId="18E8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0"/>
            <w:vAlign w:val="center"/>
          </w:tcPr>
          <w:p w14:paraId="62AAF3B4">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价格分（</w:t>
            </w:r>
            <w:r>
              <w:rPr>
                <w:rFonts w:hint="eastAsia" w:ascii="宋体" w:hAnsi="宋体" w:eastAsia="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分）</w:t>
            </w:r>
          </w:p>
        </w:tc>
      </w:tr>
      <w:tr w14:paraId="3242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5E8C45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5602" w:type="dxa"/>
            <w:tcBorders>
              <w:top w:val="single" w:color="auto" w:sz="4" w:space="0"/>
              <w:left w:val="nil"/>
              <w:bottom w:val="single" w:color="auto" w:sz="4" w:space="0"/>
              <w:right w:val="single" w:color="auto" w:sz="4" w:space="0"/>
            </w:tcBorders>
            <w:noWrap w:val="0"/>
            <w:vAlign w:val="center"/>
          </w:tcPr>
          <w:p w14:paraId="4E5D488A">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满足招标文件要求且投标报价最低的投标报价为评标基准价，其价格分为满分。其他投标人的价格分统一按照下列公式计算：投标报价得分=（评标基准价/投标报价）*</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0%×100</w:t>
            </w:r>
          </w:p>
          <w:p w14:paraId="71C1EDF1">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评标过程中，不得去掉报价中的最高报价和最低报价。</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12D7A3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6A0D69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2F7D417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509F378">
      <w:pPr>
        <w:snapToGrid w:val="0"/>
        <w:spacing w:line="360" w:lineRule="auto"/>
        <w:rPr>
          <w:rFonts w:hint="eastAsia" w:ascii="宋体" w:hAnsi="宋体" w:cs="宋体"/>
          <w:color w:val="auto"/>
          <w:sz w:val="20"/>
          <w:szCs w:val="20"/>
          <w:highlight w:val="none"/>
          <w:shd w:val="clear" w:color="auto" w:fill="FFFFFF"/>
        </w:rPr>
      </w:pPr>
    </w:p>
    <w:p w14:paraId="1EAF443F">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7B82E958">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14:paraId="2EE4D82F">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50FE0DE8">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二、评标标准</w:t>
      </w:r>
    </w:p>
    <w:p w14:paraId="5D4D22A5">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14:paraId="5F60385C">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49460674">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0046DC6">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06A18E19">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7323487D">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591146A7">
      <w:pPr>
        <w:pStyle w:val="139"/>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546F4141">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14:paraId="502DB4EE">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14:paraId="6CBACE3B">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14:paraId="1D9605B5">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389FF3AD">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3.4.1.5同时出现两种以上不一致的，按照3.4.1规定的顺序修正。修正后的报价经投标人确认后产生约束力。</w:t>
      </w:r>
    </w:p>
    <w:p w14:paraId="4230280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37827978">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76E4F1A8">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C2EE02">
      <w:pP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w:t>
      </w:r>
      <w:r>
        <w:rPr>
          <w:rFonts w:hint="eastAsia" w:ascii="宋体" w:hAnsi="宋体" w:eastAsia="宋体" w:cs="宋体"/>
          <w:color w:val="auto"/>
          <w:sz w:val="24"/>
          <w:szCs w:val="24"/>
          <w:highlight w:val="none"/>
          <w:lang w:val="zh-CN"/>
        </w:rPr>
        <w:t>按技术得分由高到低顺序排列。</w:t>
      </w:r>
      <w:r>
        <w:rPr>
          <w:rFonts w:hint="eastAsia" w:ascii="宋体" w:hAnsi="宋体" w:eastAsia="宋体" w:cs="宋体"/>
          <w:color w:val="auto"/>
          <w:kern w:val="0"/>
          <w:sz w:val="24"/>
          <w:szCs w:val="24"/>
          <w:highlight w:val="none"/>
        </w:rPr>
        <w:t>投标文件满足招标文件全部实质性要求，且按照评审因素的量化指标评审得分最高的投标人为排名第一的中标候选人。</w:t>
      </w:r>
    </w:p>
    <w:p w14:paraId="1C6C5B16">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16579D">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ED25C6">
      <w:pPr>
        <w:widowControl/>
        <w:shd w:val="clear" w:color="auto" w:fill="FFFFFF"/>
        <w:adjustRightInd/>
        <w:spacing w:after="225" w:line="315" w:lineRule="atLeas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227BB038">
      <w:pPr>
        <w:pStyle w:val="139"/>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C54FAD">
      <w:pPr>
        <w:pStyle w:val="26"/>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有下列情形之一的，投标无效：</w:t>
      </w:r>
    </w:p>
    <w:p w14:paraId="445A227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3B75CD7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5113085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4.2.3投标文件含有采购人不能接受的附加条件的；</w:t>
      </w:r>
    </w:p>
    <w:p w14:paraId="469C46E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投标文件中承诺的投标有效期少于招标文件中载明的投标有效期的；</w:t>
      </w:r>
    </w:p>
    <w:p w14:paraId="27259E23">
      <w:pPr>
        <w:snapToGrid w:val="0"/>
        <w:spacing w:line="360" w:lineRule="auto"/>
        <w:ind w:firstLine="120" w:firstLineChars="5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4.2.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投标文件出现不是唯一的、有选择性投标报价的</w:t>
      </w:r>
      <w:r>
        <w:rPr>
          <w:rFonts w:hint="eastAsia" w:ascii="宋体" w:hAnsi="宋体" w:eastAsia="宋体" w:cs="宋体"/>
          <w:color w:val="auto"/>
          <w:kern w:val="0"/>
          <w:sz w:val="24"/>
          <w:szCs w:val="24"/>
          <w:highlight w:val="none"/>
          <w:lang w:eastAsia="zh-CN"/>
        </w:rPr>
        <w:t>；</w:t>
      </w:r>
    </w:p>
    <w:p w14:paraId="7AF35B22">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投标报价超过招标文件中规定的预算金额或者最高限价</w:t>
      </w:r>
      <w:r>
        <w:rPr>
          <w:rFonts w:hint="eastAsia" w:ascii="宋体" w:hAnsi="宋体" w:eastAsia="宋体" w:cs="宋体"/>
          <w:color w:val="auto"/>
          <w:kern w:val="0"/>
          <w:sz w:val="24"/>
          <w:szCs w:val="24"/>
          <w:highlight w:val="none"/>
          <w:lang w:val="en-US" w:eastAsia="zh-CN"/>
        </w:rPr>
        <w:t>或单价限价</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w:t>
      </w:r>
    </w:p>
    <w:p w14:paraId="53588FA6">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szCs w:val="24"/>
          <w:highlight w:val="none"/>
          <w:lang w:eastAsia="zh-CN"/>
        </w:rPr>
        <w:t>；</w:t>
      </w:r>
    </w:p>
    <w:p w14:paraId="2E82DF5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投标人对根据修正原则修正后的报价不确认的；</w:t>
      </w:r>
    </w:p>
    <w:p w14:paraId="5868D11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投标人提供虚假材料投标的；</w:t>
      </w:r>
    </w:p>
    <w:p w14:paraId="0BF9E332">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投标人有恶意串通、妨碍其他投标人的竞争行为、损害采购人或者其他投标人的合法权益情形的；</w:t>
      </w:r>
    </w:p>
    <w:p w14:paraId="27A8F6C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投标人仅提交备份投标文件，未在电子交易平台传输递交投标文件的，投标无效；</w:t>
      </w:r>
    </w:p>
    <w:p w14:paraId="6957F057">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358003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3A914746">
      <w:pPr>
        <w:pStyle w:val="26"/>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在采购中，出现下列情形之一的，应予废标：</w:t>
      </w:r>
    </w:p>
    <w:p w14:paraId="3896EA56">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039B23A8">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54F45035">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71E5A652">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36B6D5EF">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7D01CAD5">
      <w:pPr>
        <w:pStyle w:val="26"/>
        <w:snapToGrid w:val="0"/>
        <w:spacing w:line="360" w:lineRule="auto"/>
        <w:ind w:firstLine="590" w:firstLineChars="24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19A012">
      <w:pPr>
        <w:pStyle w:val="26"/>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有违法行为，影响或者可能影响中标结果的，依照下列规定处理：</w:t>
      </w:r>
    </w:p>
    <w:p w14:paraId="23CFF350">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7.1未确定中标供应商的，终止本次采购活动，重新开展采购活动。</w:t>
      </w:r>
    </w:p>
    <w:p w14:paraId="40540C10">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7.2已确定中标供应商但尚未签订采购合同的，中标结果无效，从合格的中标候选人中另行确定中标供应商；没有合格的中标候选人的，重新开展采购活动。</w:t>
      </w:r>
    </w:p>
    <w:p w14:paraId="003BFEFF">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7.3采购合同已签订但尚未履行的，撤销合同，从合格的中标候选人中另行确定中标供应商；没有合格的中标候选人的，重新开展采购活动。</w:t>
      </w:r>
    </w:p>
    <w:p w14:paraId="470FAFC4">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7.4采购合同已经履行，给采购人、供应商造成损失的，由责任人承担赔偿责任。</w:t>
      </w:r>
    </w:p>
    <w:p w14:paraId="4F86E461">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7.5采购当事人有其他违反法律法规规定的行为，经改正后仍然影响或者可能影响中标结果或者依法被认定为中标无效的，依照7.1-7.4规定处理。</w:t>
      </w:r>
    </w:p>
    <w:bookmarkEnd w:id="27"/>
    <w:p w14:paraId="0E38FA82">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bookmarkStart w:id="711" w:name="第五部分"/>
      <w:bookmarkStart w:id="712" w:name="_Toc86217003"/>
    </w:p>
    <w:p w14:paraId="747A19C2">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p>
    <w:p w14:paraId="4CCEF49B">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p>
    <w:p w14:paraId="45ED26C9">
      <w:pPr>
        <w:pStyle w:val="2"/>
        <w:rPr>
          <w:rFonts w:hint="eastAsia" w:ascii="宋体" w:hAnsi="宋体" w:eastAsia="宋体" w:cs="宋体"/>
          <w:b/>
          <w:snapToGrid/>
          <w:color w:val="auto"/>
          <w:kern w:val="2"/>
          <w:sz w:val="36"/>
          <w:szCs w:val="36"/>
          <w:highlight w:val="none"/>
          <w:lang w:eastAsia="zh-CN"/>
        </w:rPr>
      </w:pPr>
    </w:p>
    <w:p w14:paraId="5C40DF1A">
      <w:pPr>
        <w:pStyle w:val="3"/>
        <w:rPr>
          <w:rFonts w:hint="eastAsia" w:ascii="宋体" w:hAnsi="宋体" w:eastAsia="宋体" w:cs="宋体"/>
          <w:b/>
          <w:snapToGrid/>
          <w:color w:val="auto"/>
          <w:kern w:val="2"/>
          <w:sz w:val="36"/>
          <w:szCs w:val="36"/>
          <w:highlight w:val="none"/>
          <w:lang w:eastAsia="zh-CN"/>
        </w:rPr>
      </w:pPr>
    </w:p>
    <w:p w14:paraId="1AA31B01">
      <w:pPr>
        <w:pStyle w:val="4"/>
        <w:rPr>
          <w:rFonts w:hint="eastAsia"/>
          <w:lang w:eastAsia="zh-CN"/>
        </w:rPr>
      </w:pPr>
    </w:p>
    <w:p w14:paraId="58DF1744">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p>
    <w:p w14:paraId="24F9EDC5">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r>
        <w:rPr>
          <w:rFonts w:hint="eastAsia" w:ascii="宋体" w:hAnsi="宋体" w:eastAsia="宋体" w:cs="宋体"/>
          <w:b/>
          <w:snapToGrid/>
          <w:color w:val="auto"/>
          <w:kern w:val="2"/>
          <w:sz w:val="36"/>
          <w:szCs w:val="36"/>
          <w:highlight w:val="none"/>
          <w:lang w:eastAsia="zh-CN"/>
        </w:rPr>
        <w:t>第五部分 拟签订的合同文本</w:t>
      </w:r>
    </w:p>
    <w:p w14:paraId="23142AF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058F564">
      <w:pPr>
        <w:spacing w:line="480" w:lineRule="auto"/>
        <w:jc w:val="center"/>
        <w:rPr>
          <w:rFonts w:ascii="宋体" w:hAnsi="宋体" w:cs="宋体"/>
          <w:b/>
          <w:color w:val="auto"/>
          <w:sz w:val="28"/>
          <w:szCs w:val="28"/>
          <w:highlight w:val="none"/>
        </w:rPr>
      </w:pPr>
    </w:p>
    <w:p w14:paraId="45E3C6D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14:paraId="761897F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08930F1">
      <w:pPr>
        <w:pStyle w:val="707"/>
        <w:rPr>
          <w:rFonts w:ascii="宋体" w:hAnsi="宋体" w:cs="宋体"/>
          <w:color w:val="auto"/>
          <w:szCs w:val="24"/>
          <w:highlight w:val="none"/>
        </w:rPr>
      </w:pPr>
    </w:p>
    <w:p w14:paraId="76197FBA">
      <w:pPr>
        <w:pStyle w:val="707"/>
        <w:rPr>
          <w:rFonts w:ascii="宋体" w:hAnsi="宋体" w:cs="宋体"/>
          <w:color w:val="auto"/>
          <w:szCs w:val="24"/>
          <w:highlight w:val="none"/>
        </w:rPr>
      </w:pPr>
    </w:p>
    <w:p w14:paraId="4800A7A6">
      <w:pPr>
        <w:pStyle w:val="707"/>
        <w:jc w:val="center"/>
        <w:rPr>
          <w:rFonts w:ascii="宋体" w:hAnsi="宋体" w:cs="宋体"/>
          <w:color w:val="auto"/>
          <w:szCs w:val="24"/>
          <w:highlight w:val="none"/>
        </w:rPr>
      </w:pPr>
    </w:p>
    <w:p w14:paraId="27DB4A75">
      <w:pPr>
        <w:pStyle w:val="70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31F3204">
      <w:pPr>
        <w:pStyle w:val="707"/>
        <w:rPr>
          <w:rFonts w:ascii="宋体" w:hAnsi="宋体" w:cs="宋体"/>
          <w:color w:val="auto"/>
          <w:szCs w:val="24"/>
          <w:highlight w:val="none"/>
        </w:rPr>
      </w:pPr>
    </w:p>
    <w:p w14:paraId="73BE3987">
      <w:pPr>
        <w:pStyle w:val="707"/>
        <w:rPr>
          <w:rFonts w:ascii="宋体" w:hAnsi="宋体" w:cs="宋体"/>
          <w:color w:val="auto"/>
          <w:szCs w:val="24"/>
          <w:highlight w:val="none"/>
        </w:rPr>
      </w:pPr>
    </w:p>
    <w:p w14:paraId="4A5A8FB2">
      <w:pPr>
        <w:spacing w:before="120" w:line="22" w:lineRule="atLeast"/>
        <w:rPr>
          <w:rFonts w:ascii="宋体" w:hAnsi="宋体" w:cs="宋体"/>
          <w:color w:val="auto"/>
          <w:sz w:val="24"/>
          <w:highlight w:val="none"/>
        </w:rPr>
      </w:pPr>
    </w:p>
    <w:p w14:paraId="6317C4E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B7878E3">
      <w:pPr>
        <w:pStyle w:val="607"/>
        <w:spacing w:before="120" w:line="22" w:lineRule="atLeast"/>
        <w:rPr>
          <w:rFonts w:ascii="宋体" w:hAnsi="宋体" w:eastAsia="宋体" w:cs="宋体"/>
          <w:color w:val="auto"/>
          <w:szCs w:val="24"/>
          <w:highlight w:val="none"/>
        </w:rPr>
      </w:pPr>
    </w:p>
    <w:p w14:paraId="0ABAC340">
      <w:pPr>
        <w:pStyle w:val="607"/>
        <w:spacing w:before="120" w:line="22" w:lineRule="atLeast"/>
        <w:rPr>
          <w:rFonts w:ascii="宋体" w:hAnsi="宋体" w:eastAsia="宋体" w:cs="宋体"/>
          <w:color w:val="auto"/>
          <w:szCs w:val="24"/>
          <w:highlight w:val="none"/>
        </w:rPr>
      </w:pPr>
    </w:p>
    <w:p w14:paraId="4E85AAD7">
      <w:pPr>
        <w:rPr>
          <w:rFonts w:ascii="宋体" w:hAnsi="宋体" w:cs="宋体"/>
          <w:color w:val="auto"/>
          <w:sz w:val="24"/>
          <w:highlight w:val="none"/>
        </w:rPr>
      </w:pPr>
    </w:p>
    <w:p w14:paraId="41DEAE1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6B97CAE">
      <w:pPr>
        <w:spacing w:before="120" w:line="22" w:lineRule="atLeast"/>
        <w:rPr>
          <w:rFonts w:ascii="宋体" w:hAnsi="宋体" w:cs="宋体"/>
          <w:color w:val="auto"/>
          <w:sz w:val="24"/>
          <w:highlight w:val="none"/>
        </w:rPr>
      </w:pPr>
    </w:p>
    <w:p w14:paraId="7E4413D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39DED8C">
      <w:pPr>
        <w:spacing w:before="120" w:line="22" w:lineRule="atLeast"/>
        <w:rPr>
          <w:rFonts w:ascii="宋体" w:hAnsi="宋体" w:cs="宋体"/>
          <w:color w:val="auto"/>
          <w:sz w:val="24"/>
          <w:highlight w:val="none"/>
        </w:rPr>
      </w:pPr>
    </w:p>
    <w:p w14:paraId="2588B0F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34DA8C7">
      <w:pPr>
        <w:spacing w:before="120" w:line="22" w:lineRule="atLeast"/>
        <w:rPr>
          <w:rFonts w:ascii="宋体" w:hAnsi="宋体" w:cs="宋体"/>
          <w:color w:val="auto"/>
          <w:sz w:val="24"/>
          <w:highlight w:val="none"/>
        </w:rPr>
      </w:pPr>
    </w:p>
    <w:p w14:paraId="126EBAE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17728D">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DFC69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淳安枫树岭水力发电有限责任公司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淳安县铜山二级电站生产设备（含安装）技改增效采购项目</w:t>
      </w:r>
      <w:r>
        <w:rPr>
          <w:rFonts w:hint="eastAsia" w:ascii="宋体" w:hAnsi="宋体" w:cs="宋体"/>
          <w:color w:val="auto"/>
          <w:sz w:val="24"/>
          <w:highlight w:val="none"/>
          <w:u w:val="single"/>
          <w:lang w:val="en-US" w:eastAsia="zh-CN"/>
        </w:rPr>
        <w:t xml:space="preserve"> 项目编号：ZJJA2025-06号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7DC211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淳安枫树岭水力发电有限责任公司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2553BD4">
      <w:pPr>
        <w:spacing w:line="560" w:lineRule="exact"/>
        <w:ind w:firstLine="482" w:firstLineChars="200"/>
        <w:outlineLvl w:val="0"/>
        <w:rPr>
          <w:rFonts w:ascii="宋体" w:hAnsi="宋体" w:cs="宋体"/>
          <w:b/>
          <w:color w:val="auto"/>
          <w:sz w:val="24"/>
          <w:highlight w:val="none"/>
        </w:rPr>
      </w:pPr>
      <w:bookmarkStart w:id="713" w:name="_Toc2232"/>
      <w:bookmarkStart w:id="714" w:name="_Toc3029"/>
      <w:bookmarkStart w:id="715" w:name="_Toc24059"/>
      <w:r>
        <w:rPr>
          <w:rFonts w:hint="eastAsia" w:ascii="宋体" w:hAnsi="宋体" w:cs="宋体"/>
          <w:b/>
          <w:color w:val="auto"/>
          <w:sz w:val="24"/>
          <w:highlight w:val="none"/>
        </w:rPr>
        <w:t>1.1 合同组成部分</w:t>
      </w:r>
      <w:bookmarkEnd w:id="713"/>
      <w:bookmarkEnd w:id="714"/>
      <w:bookmarkEnd w:id="715"/>
    </w:p>
    <w:p w14:paraId="058F08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8DFCA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1E9A2C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3CD17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6653E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C4DE1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3B501DE">
      <w:pPr>
        <w:spacing w:line="560" w:lineRule="exact"/>
        <w:ind w:firstLine="482" w:firstLineChars="200"/>
        <w:outlineLvl w:val="0"/>
        <w:rPr>
          <w:rFonts w:ascii="宋体" w:hAnsi="宋体" w:cs="宋体"/>
          <w:b/>
          <w:color w:val="auto"/>
          <w:sz w:val="24"/>
          <w:highlight w:val="none"/>
        </w:rPr>
      </w:pPr>
      <w:bookmarkStart w:id="716" w:name="_Toc21295"/>
      <w:bookmarkStart w:id="717" w:name="_Toc24300"/>
      <w:bookmarkStart w:id="718" w:name="_Toc27126"/>
      <w:r>
        <w:rPr>
          <w:rFonts w:hint="eastAsia" w:ascii="宋体" w:hAnsi="宋体" w:cs="宋体"/>
          <w:b/>
          <w:color w:val="auto"/>
          <w:sz w:val="24"/>
          <w:highlight w:val="none"/>
        </w:rPr>
        <w:t>1.2 货物</w:t>
      </w:r>
      <w:bookmarkEnd w:id="716"/>
      <w:bookmarkEnd w:id="717"/>
      <w:bookmarkEnd w:id="718"/>
    </w:p>
    <w:p w14:paraId="5B57753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53B98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F003B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7F1DD83">
      <w:pPr>
        <w:spacing w:line="560" w:lineRule="exact"/>
        <w:ind w:firstLine="482" w:firstLineChars="200"/>
        <w:outlineLvl w:val="0"/>
        <w:rPr>
          <w:rFonts w:ascii="宋体" w:hAnsi="宋体" w:cs="宋体"/>
          <w:b/>
          <w:color w:val="auto"/>
          <w:sz w:val="24"/>
          <w:highlight w:val="none"/>
        </w:rPr>
      </w:pPr>
      <w:bookmarkStart w:id="719" w:name="_Toc23292"/>
      <w:bookmarkStart w:id="720" w:name="_Toc21631"/>
      <w:bookmarkStart w:id="721" w:name="_Toc21551"/>
      <w:r>
        <w:rPr>
          <w:rFonts w:hint="eastAsia" w:ascii="宋体" w:hAnsi="宋体" w:cs="宋体"/>
          <w:b/>
          <w:color w:val="auto"/>
          <w:sz w:val="24"/>
          <w:highlight w:val="none"/>
        </w:rPr>
        <w:t>1.3 价款</w:t>
      </w:r>
      <w:bookmarkEnd w:id="719"/>
      <w:bookmarkEnd w:id="720"/>
      <w:bookmarkEnd w:id="721"/>
    </w:p>
    <w:p w14:paraId="37C24D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80C33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B5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9745B0">
            <w:pPr>
              <w:pStyle w:val="32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1AE3780">
            <w:pPr>
              <w:pStyle w:val="32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26A5EBE">
            <w:pPr>
              <w:pStyle w:val="32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A84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3CF1BA">
            <w:pPr>
              <w:pStyle w:val="32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5B0B18F">
            <w:pPr>
              <w:pStyle w:val="32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2911D2D">
            <w:pPr>
              <w:pStyle w:val="327"/>
              <w:spacing w:line="560" w:lineRule="exact"/>
              <w:ind w:firstLine="200"/>
              <w:jc w:val="center"/>
              <w:rPr>
                <w:rFonts w:hAnsi="宋体" w:cs="宋体"/>
                <w:color w:val="auto"/>
                <w:sz w:val="24"/>
                <w:szCs w:val="24"/>
                <w:highlight w:val="none"/>
              </w:rPr>
            </w:pPr>
          </w:p>
        </w:tc>
      </w:tr>
      <w:tr w14:paraId="1F90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4F0469">
            <w:pPr>
              <w:pStyle w:val="32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487F254">
            <w:pPr>
              <w:pStyle w:val="32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039AC51">
            <w:pPr>
              <w:pStyle w:val="327"/>
              <w:spacing w:line="560" w:lineRule="exact"/>
              <w:ind w:firstLine="200"/>
              <w:jc w:val="center"/>
              <w:rPr>
                <w:rFonts w:hAnsi="宋体" w:cs="宋体"/>
                <w:color w:val="auto"/>
                <w:sz w:val="24"/>
                <w:szCs w:val="24"/>
                <w:highlight w:val="none"/>
              </w:rPr>
            </w:pPr>
          </w:p>
        </w:tc>
      </w:tr>
      <w:tr w14:paraId="5419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7572B4">
            <w:pPr>
              <w:pStyle w:val="32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6820189">
            <w:pPr>
              <w:pStyle w:val="32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4E1C3D0">
            <w:pPr>
              <w:pStyle w:val="327"/>
              <w:spacing w:line="560" w:lineRule="exact"/>
              <w:ind w:firstLine="200"/>
              <w:jc w:val="center"/>
              <w:rPr>
                <w:rFonts w:hAnsi="宋体" w:cs="宋体"/>
                <w:color w:val="auto"/>
                <w:sz w:val="24"/>
                <w:szCs w:val="24"/>
                <w:highlight w:val="none"/>
              </w:rPr>
            </w:pPr>
          </w:p>
        </w:tc>
      </w:tr>
      <w:tr w14:paraId="2C7A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6CC8C20">
            <w:pPr>
              <w:pStyle w:val="32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88C525F">
            <w:pPr>
              <w:pStyle w:val="32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35E97F">
            <w:pPr>
              <w:pStyle w:val="327"/>
              <w:spacing w:line="560" w:lineRule="exact"/>
              <w:ind w:firstLine="200"/>
              <w:jc w:val="center"/>
              <w:rPr>
                <w:rFonts w:hAnsi="宋体" w:cs="宋体"/>
                <w:color w:val="auto"/>
                <w:sz w:val="24"/>
                <w:szCs w:val="24"/>
                <w:highlight w:val="none"/>
              </w:rPr>
            </w:pPr>
          </w:p>
        </w:tc>
      </w:tr>
      <w:tr w14:paraId="6C48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443A19C">
            <w:pPr>
              <w:pStyle w:val="32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439A739">
            <w:pPr>
              <w:pStyle w:val="327"/>
              <w:spacing w:line="560" w:lineRule="exact"/>
              <w:ind w:firstLine="200"/>
              <w:jc w:val="center"/>
              <w:rPr>
                <w:rFonts w:hAnsi="宋体" w:cs="宋体"/>
                <w:color w:val="auto"/>
                <w:sz w:val="24"/>
                <w:szCs w:val="24"/>
                <w:highlight w:val="none"/>
              </w:rPr>
            </w:pPr>
          </w:p>
        </w:tc>
      </w:tr>
    </w:tbl>
    <w:p w14:paraId="5F7D0F0D">
      <w:pPr>
        <w:pStyle w:val="964"/>
        <w:spacing w:before="0" w:beforeAutospacing="0" w:after="0" w:afterAutospacing="0" w:line="360" w:lineRule="auto"/>
        <w:ind w:firstLine="480"/>
        <w:rPr>
          <w:b/>
          <w:color w:val="auto"/>
          <w:highlight w:val="none"/>
        </w:rPr>
      </w:pPr>
      <w:bookmarkStart w:id="722" w:name="_Toc1814"/>
      <w:bookmarkStart w:id="723" w:name="_Toc10340"/>
      <w:bookmarkStart w:id="724" w:name="_Toc22618"/>
      <w:r>
        <w:rPr>
          <w:rFonts w:hint="eastAsia"/>
          <w:b/>
          <w:color w:val="auto"/>
          <w:highlight w:val="none"/>
        </w:rPr>
        <w:t>1.4履约保证金</w:t>
      </w:r>
    </w:p>
    <w:p w14:paraId="4105F57B">
      <w:pPr>
        <w:pStyle w:val="964"/>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38675E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3A5431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A4DA32">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012C68">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B05AE8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722"/>
      <w:bookmarkEnd w:id="723"/>
      <w:bookmarkEnd w:id="724"/>
      <w:r>
        <w:rPr>
          <w:rFonts w:hint="eastAsia" w:ascii="宋体" w:hAnsi="宋体" w:cs="宋体"/>
          <w:b/>
          <w:color w:val="auto"/>
          <w:sz w:val="24"/>
          <w:highlight w:val="none"/>
        </w:rPr>
        <w:t>预付款</w:t>
      </w:r>
    </w:p>
    <w:p w14:paraId="4D458B88">
      <w:pPr>
        <w:pStyle w:val="964"/>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19CE307">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99BD9FC">
      <w:pPr>
        <w:pStyle w:val="964"/>
        <w:spacing w:before="0" w:beforeAutospacing="0" w:after="0" w:afterAutospacing="0" w:line="360" w:lineRule="auto"/>
        <w:ind w:firstLine="480"/>
        <w:rPr>
          <w:color w:val="auto"/>
          <w:highlight w:val="none"/>
        </w:rPr>
      </w:pPr>
      <w:r>
        <w:rPr>
          <w:rFonts w:hint="eastAsia"/>
          <w:color w:val="auto"/>
          <w:highlight w:val="none"/>
        </w:rPr>
        <w:t>1.5.2预付款的扣回方式</w:t>
      </w:r>
      <w:r>
        <w:rPr>
          <w:rFonts w:hint="eastAsia"/>
          <w:color w:val="auto"/>
          <w:highlight w:val="none"/>
          <w:u w:val="single"/>
        </w:rPr>
        <w:t xml:space="preserve">          </w:t>
      </w:r>
      <w:r>
        <w:rPr>
          <w:rFonts w:hint="eastAsia"/>
          <w:color w:val="auto"/>
          <w:highlight w:val="none"/>
        </w:rPr>
        <w:t>；</w:t>
      </w:r>
    </w:p>
    <w:p w14:paraId="1BEF85D5">
      <w:pPr>
        <w:pStyle w:val="964"/>
        <w:spacing w:before="0" w:beforeAutospacing="0" w:after="0" w:afterAutospacing="0" w:line="360" w:lineRule="auto"/>
        <w:ind w:firstLine="480"/>
        <w:rPr>
          <w:color w:val="auto"/>
          <w:highlight w:val="none"/>
          <w:u w:val="single"/>
        </w:rPr>
      </w:pPr>
      <w:r>
        <w:rPr>
          <w:rFonts w:hint="eastAsia"/>
          <w:color w:val="auto"/>
          <w:highlight w:val="none"/>
        </w:rPr>
        <w:t>1.5.3预付款的担保措施</w:t>
      </w:r>
      <w:r>
        <w:rPr>
          <w:rFonts w:hint="eastAsia"/>
          <w:color w:val="auto"/>
          <w:highlight w:val="none"/>
          <w:u w:val="single"/>
        </w:rPr>
        <w:t xml:space="preserve">         </w:t>
      </w:r>
      <w:r>
        <w:rPr>
          <w:rFonts w:hint="eastAsia"/>
          <w:color w:val="auto"/>
          <w:highlight w:val="none"/>
        </w:rPr>
        <w:t>。</w:t>
      </w:r>
    </w:p>
    <w:p w14:paraId="54303C95">
      <w:pPr>
        <w:pStyle w:val="964"/>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4ECCFD8">
      <w:pPr>
        <w:pStyle w:val="964"/>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BB90AC">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082C4201">
      <w:pPr>
        <w:spacing w:line="560" w:lineRule="exact"/>
        <w:ind w:firstLine="482" w:firstLineChars="200"/>
        <w:outlineLvl w:val="0"/>
        <w:rPr>
          <w:rFonts w:ascii="宋体" w:hAnsi="宋体" w:cs="宋体"/>
          <w:b/>
          <w:color w:val="auto"/>
          <w:sz w:val="24"/>
          <w:highlight w:val="none"/>
        </w:rPr>
      </w:pPr>
      <w:bookmarkStart w:id="725" w:name="_Toc2846"/>
      <w:bookmarkStart w:id="726" w:name="_Toc32071"/>
      <w:bookmarkStart w:id="727" w:name="_Toc19304"/>
      <w:r>
        <w:rPr>
          <w:rFonts w:hint="eastAsia" w:ascii="宋体" w:hAnsi="宋体" w:cs="宋体"/>
          <w:b/>
          <w:color w:val="auto"/>
          <w:sz w:val="24"/>
          <w:highlight w:val="none"/>
        </w:rPr>
        <w:t>1.7货物交付期限、地点和方式</w:t>
      </w:r>
      <w:bookmarkEnd w:id="725"/>
      <w:bookmarkEnd w:id="726"/>
      <w:bookmarkEnd w:id="727"/>
    </w:p>
    <w:p w14:paraId="77E8068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181CB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rPr>
        <w:t>；</w:t>
      </w:r>
    </w:p>
    <w:p w14:paraId="6F14E3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7261BECA">
      <w:pPr>
        <w:spacing w:line="560" w:lineRule="exact"/>
        <w:ind w:firstLine="482" w:firstLineChars="200"/>
        <w:outlineLvl w:val="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1.8违约责任</w:t>
      </w:r>
    </w:p>
    <w:p w14:paraId="21EF60AD">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highlight w:val="none"/>
          <w:u w:val="single"/>
        </w:rPr>
        <w:t xml:space="preserve">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51BFCBA1">
      <w:pPr>
        <w:pStyle w:val="3"/>
        <w:pageBreakBefore w:val="0"/>
        <w:widowControl w:val="0"/>
        <w:kinsoku/>
        <w:wordWrap/>
        <w:overflowPunct/>
        <w:topLinePunct w:val="0"/>
        <w:autoSpaceDE/>
        <w:autoSpaceDN/>
        <w:bidi w:val="0"/>
        <w:snapToGrid w:val="0"/>
        <w:spacing w:line="560" w:lineRule="exact"/>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27A603A">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w:t>
      </w:r>
      <w:r>
        <w:rPr>
          <w:rFonts w:hint="eastAsia" w:ascii="宋体" w:hAnsi="宋体" w:eastAsia="宋体" w:cs="宋体"/>
          <w:color w:val="auto"/>
          <w:kern w:val="0"/>
          <w:sz w:val="24"/>
          <w:szCs w:val="24"/>
          <w:highlight w:val="none"/>
          <w:u w:val="single"/>
        </w:rPr>
        <w:t>（可根据情况修改）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0907BB70">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bookmarkStart w:id="728" w:name="_Toc18683"/>
      <w:bookmarkStart w:id="729" w:name="_Toc9497"/>
      <w:bookmarkStart w:id="730" w:name="_Toc32454"/>
      <w:bookmarkStart w:id="731" w:name="_Toc30329"/>
      <w:bookmarkStart w:id="732" w:name="_Toc26807"/>
      <w:r>
        <w:rPr>
          <w:rFonts w:hint="eastAsia" w:ascii="宋体" w:hAnsi="宋体" w:eastAsia="宋体" w:cs="宋体"/>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249360">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A3638F">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A5DBB94">
      <w:pPr>
        <w:spacing w:line="560" w:lineRule="exact"/>
        <w:ind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1.8.7违约责任</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另有约定的，从其约定。</w:t>
      </w:r>
    </w:p>
    <w:bookmarkEnd w:id="728"/>
    <w:bookmarkEnd w:id="729"/>
    <w:bookmarkEnd w:id="730"/>
    <w:bookmarkEnd w:id="731"/>
    <w:bookmarkEnd w:id="732"/>
    <w:p w14:paraId="64F86E9B">
      <w:pPr>
        <w:spacing w:line="560" w:lineRule="exact"/>
        <w:ind w:firstLine="482" w:firstLineChars="200"/>
        <w:outlineLvl w:val="0"/>
        <w:rPr>
          <w:rFonts w:hint="eastAsia" w:ascii="宋体" w:hAnsi="宋体" w:eastAsia="宋体" w:cs="宋体"/>
          <w:b/>
          <w:color w:val="auto"/>
          <w:sz w:val="24"/>
          <w:szCs w:val="24"/>
          <w:highlight w:val="none"/>
        </w:rPr>
      </w:pPr>
      <w:bookmarkStart w:id="733" w:name="_Toc16021"/>
      <w:bookmarkStart w:id="734" w:name="_Toc28375"/>
      <w:bookmarkStart w:id="735" w:name="_Toc15583"/>
      <w:r>
        <w:rPr>
          <w:rFonts w:hint="eastAsia" w:ascii="宋体" w:hAnsi="宋体" w:eastAsia="宋体" w:cs="宋体"/>
          <w:b/>
          <w:color w:val="auto"/>
          <w:sz w:val="24"/>
          <w:szCs w:val="24"/>
          <w:highlight w:val="none"/>
        </w:rPr>
        <w:t>1.9合同争议的解决</w:t>
      </w:r>
      <w:bookmarkEnd w:id="733"/>
      <w:bookmarkEnd w:id="734"/>
      <w:bookmarkEnd w:id="735"/>
    </w:p>
    <w:p w14:paraId="155A4884">
      <w:pPr>
        <w:spacing w:line="560" w:lineRule="exact"/>
        <w:ind w:left="-61" w:leftChars="-29" w:right="-420" w:rightChars="-2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w:t>
      </w:r>
      <w:r>
        <w:rPr>
          <w:rFonts w:hint="eastAsia" w:ascii="宋体" w:hAnsi="宋体" w:eastAsia="宋体" w:cs="宋体"/>
          <w:color w:val="auto"/>
          <w:sz w:val="24"/>
          <w:szCs w:val="24"/>
          <w:highlight w:val="none"/>
        </w:rPr>
        <w:t>条款规定的方式解决：</w:t>
      </w:r>
    </w:p>
    <w:p w14:paraId="31E7DAB9">
      <w:pPr>
        <w:spacing w:line="560" w:lineRule="exact"/>
        <w:ind w:left="-420" w:leftChars="-200" w:right="-420" w:righ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将争议提交</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仲裁委员会依申请仲裁时其现行有效的仲裁规则裁决；</w:t>
      </w:r>
    </w:p>
    <w:p w14:paraId="6DE91C60">
      <w:pPr>
        <w:spacing w:line="560" w:lineRule="exact"/>
        <w:ind w:left="-420" w:leftChars="-200" w:right="-420" w:righ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向</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人民法院起诉。</w:t>
      </w:r>
    </w:p>
    <w:p w14:paraId="094AB393">
      <w:pPr>
        <w:spacing w:line="560" w:lineRule="exact"/>
        <w:ind w:firstLine="482" w:firstLineChars="200"/>
        <w:outlineLvl w:val="0"/>
        <w:rPr>
          <w:rFonts w:hint="eastAsia" w:ascii="宋体" w:hAnsi="宋体" w:eastAsia="宋体" w:cs="宋体"/>
          <w:b/>
          <w:color w:val="auto"/>
          <w:sz w:val="24"/>
          <w:szCs w:val="24"/>
          <w:highlight w:val="none"/>
        </w:rPr>
      </w:pPr>
      <w:bookmarkStart w:id="736" w:name="_Toc7245"/>
      <w:bookmarkStart w:id="737" w:name="_Toc15322"/>
      <w:bookmarkStart w:id="738" w:name="_Toc11173"/>
      <w:r>
        <w:rPr>
          <w:rFonts w:hint="eastAsia" w:ascii="宋体" w:hAnsi="宋体" w:eastAsia="宋体" w:cs="宋体"/>
          <w:b/>
          <w:color w:val="auto"/>
          <w:sz w:val="24"/>
          <w:szCs w:val="24"/>
          <w:highlight w:val="none"/>
        </w:rPr>
        <w:t>2.0 合同生效</w:t>
      </w:r>
      <w:bookmarkEnd w:id="736"/>
      <w:bookmarkEnd w:id="737"/>
      <w:bookmarkEnd w:id="738"/>
    </w:p>
    <w:p w14:paraId="15D8D617">
      <w:pPr>
        <w:spacing w:line="5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本合同自双方当事人盖章签字时生效。</w:t>
      </w:r>
    </w:p>
    <w:p w14:paraId="623FA9C4">
      <w:pPr>
        <w:autoSpaceDE w:val="0"/>
        <w:autoSpaceDN w:val="0"/>
        <w:spacing w:line="560" w:lineRule="exact"/>
        <w:rPr>
          <w:rFonts w:ascii="宋体" w:hAnsi="宋体" w:cs="宋体"/>
          <w:color w:val="auto"/>
          <w:sz w:val="24"/>
          <w:highlight w:val="none"/>
          <w:lang w:val="zh-CN"/>
        </w:rPr>
      </w:pPr>
    </w:p>
    <w:p w14:paraId="7E6F5FA1">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76E976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44FF135">
      <w:pPr>
        <w:autoSpaceDE w:val="0"/>
        <w:autoSpaceDN w:val="0"/>
        <w:spacing w:line="560" w:lineRule="exact"/>
        <w:rPr>
          <w:rFonts w:ascii="宋体" w:hAnsi="宋体" w:cs="宋体"/>
          <w:color w:val="auto"/>
          <w:sz w:val="24"/>
          <w:highlight w:val="none"/>
          <w:lang w:val="zh-CN"/>
        </w:rPr>
      </w:pPr>
    </w:p>
    <w:p w14:paraId="0916DFA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267D51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A88C42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0CAEEA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99A9E2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DE6E82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A964AC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0567EF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3DF404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FB1A9F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74F3A8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38B4CDD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1E13A5A">
      <w:pPr>
        <w:pStyle w:val="3"/>
        <w:rPr>
          <w:rFonts w:ascii="宋体" w:hAnsi="宋体" w:cs="宋体"/>
          <w:color w:val="auto"/>
          <w:sz w:val="24"/>
          <w:highlight w:val="none"/>
        </w:rPr>
      </w:pPr>
    </w:p>
    <w:p w14:paraId="6BF9F246">
      <w:pPr>
        <w:pStyle w:val="707"/>
        <w:spacing w:line="560" w:lineRule="exact"/>
        <w:ind w:firstLine="482"/>
        <w:jc w:val="center"/>
        <w:rPr>
          <w:rFonts w:hint="eastAsia" w:ascii="宋体" w:hAnsi="宋体" w:eastAsia="宋体" w:cs="宋体"/>
          <w:b/>
          <w:color w:val="auto"/>
          <w:sz w:val="24"/>
          <w:szCs w:val="24"/>
          <w:highlight w:val="none"/>
        </w:rPr>
      </w:pPr>
    </w:p>
    <w:p w14:paraId="524A1C76">
      <w:pPr>
        <w:pStyle w:val="707"/>
        <w:spacing w:line="560" w:lineRule="exact"/>
        <w:ind w:firstLine="482"/>
        <w:jc w:val="center"/>
        <w:rPr>
          <w:rFonts w:hint="eastAsia" w:ascii="宋体" w:hAnsi="宋体" w:eastAsia="宋体" w:cs="宋体"/>
          <w:b/>
          <w:color w:val="auto"/>
          <w:sz w:val="24"/>
          <w:szCs w:val="24"/>
          <w:highlight w:val="none"/>
        </w:rPr>
      </w:pPr>
    </w:p>
    <w:p w14:paraId="0C3FDB23">
      <w:pPr>
        <w:pStyle w:val="707"/>
        <w:spacing w:line="560" w:lineRule="exact"/>
        <w:ind w:firstLine="482"/>
        <w:jc w:val="center"/>
        <w:rPr>
          <w:rFonts w:hint="eastAsia" w:ascii="宋体" w:hAnsi="宋体" w:eastAsia="宋体" w:cs="宋体"/>
          <w:b/>
          <w:color w:val="auto"/>
          <w:sz w:val="24"/>
          <w:szCs w:val="24"/>
          <w:highlight w:val="none"/>
        </w:rPr>
      </w:pPr>
    </w:p>
    <w:p w14:paraId="08765BBF">
      <w:pPr>
        <w:pStyle w:val="707"/>
        <w:spacing w:line="560" w:lineRule="exact"/>
        <w:ind w:firstLine="482"/>
        <w:jc w:val="center"/>
        <w:rPr>
          <w:rFonts w:hint="eastAsia" w:ascii="宋体" w:hAnsi="宋体" w:eastAsia="宋体" w:cs="宋体"/>
          <w:b/>
          <w:color w:val="auto"/>
          <w:sz w:val="24"/>
          <w:szCs w:val="24"/>
          <w:highlight w:val="none"/>
        </w:rPr>
      </w:pPr>
    </w:p>
    <w:p w14:paraId="223DC7F4">
      <w:pPr>
        <w:pStyle w:val="707"/>
        <w:spacing w:line="560" w:lineRule="exact"/>
        <w:ind w:firstLine="482"/>
        <w:jc w:val="center"/>
        <w:rPr>
          <w:rFonts w:hint="eastAsia" w:ascii="宋体" w:hAnsi="宋体" w:eastAsia="宋体" w:cs="宋体"/>
          <w:b/>
          <w:color w:val="auto"/>
          <w:sz w:val="24"/>
          <w:szCs w:val="24"/>
          <w:highlight w:val="none"/>
        </w:rPr>
      </w:pPr>
    </w:p>
    <w:p w14:paraId="2B3F74C6">
      <w:pPr>
        <w:pStyle w:val="26"/>
        <w:rPr>
          <w:rFonts w:hint="eastAsia" w:ascii="宋体" w:hAnsi="宋体" w:eastAsia="宋体" w:cs="宋体"/>
          <w:b/>
          <w:color w:val="auto"/>
          <w:sz w:val="24"/>
          <w:szCs w:val="24"/>
          <w:highlight w:val="none"/>
        </w:rPr>
      </w:pPr>
    </w:p>
    <w:p w14:paraId="2C1CA235">
      <w:pPr>
        <w:pStyle w:val="27"/>
        <w:rPr>
          <w:rFonts w:hint="eastAsia" w:ascii="宋体" w:hAnsi="宋体" w:eastAsia="宋体" w:cs="宋体"/>
          <w:b/>
          <w:color w:val="auto"/>
          <w:sz w:val="24"/>
          <w:szCs w:val="24"/>
          <w:highlight w:val="none"/>
        </w:rPr>
      </w:pPr>
    </w:p>
    <w:p w14:paraId="638CA048">
      <w:pPr>
        <w:pStyle w:val="27"/>
        <w:rPr>
          <w:rFonts w:hint="eastAsia" w:ascii="宋体" w:hAnsi="宋体" w:eastAsia="宋体" w:cs="宋体"/>
          <w:b/>
          <w:color w:val="auto"/>
          <w:sz w:val="24"/>
          <w:szCs w:val="24"/>
          <w:highlight w:val="none"/>
        </w:rPr>
      </w:pPr>
    </w:p>
    <w:p w14:paraId="5B453B1A">
      <w:pPr>
        <w:pStyle w:val="27"/>
        <w:rPr>
          <w:rFonts w:hint="eastAsia" w:ascii="宋体" w:hAnsi="宋体" w:eastAsia="宋体" w:cs="宋体"/>
          <w:b/>
          <w:color w:val="auto"/>
          <w:sz w:val="24"/>
          <w:szCs w:val="24"/>
          <w:highlight w:val="none"/>
        </w:rPr>
      </w:pPr>
    </w:p>
    <w:p w14:paraId="5BC67D8A">
      <w:pPr>
        <w:pStyle w:val="27"/>
        <w:rPr>
          <w:rFonts w:hint="eastAsia" w:ascii="宋体" w:hAnsi="宋体" w:eastAsia="宋体" w:cs="宋体"/>
          <w:b/>
          <w:color w:val="auto"/>
          <w:sz w:val="24"/>
          <w:szCs w:val="24"/>
          <w:highlight w:val="none"/>
        </w:rPr>
      </w:pPr>
    </w:p>
    <w:p w14:paraId="5BA7C17F">
      <w:pPr>
        <w:pStyle w:val="27"/>
        <w:rPr>
          <w:rFonts w:hint="eastAsia" w:ascii="宋体" w:hAnsi="宋体" w:eastAsia="宋体" w:cs="宋体"/>
          <w:b/>
          <w:color w:val="auto"/>
          <w:sz w:val="24"/>
          <w:szCs w:val="24"/>
          <w:highlight w:val="none"/>
        </w:rPr>
      </w:pPr>
    </w:p>
    <w:p w14:paraId="7752FD6A">
      <w:pPr>
        <w:pStyle w:val="27"/>
        <w:rPr>
          <w:rFonts w:hint="eastAsia" w:ascii="宋体" w:hAnsi="宋体" w:eastAsia="宋体" w:cs="宋体"/>
          <w:b/>
          <w:color w:val="auto"/>
          <w:sz w:val="24"/>
          <w:szCs w:val="24"/>
          <w:highlight w:val="none"/>
        </w:rPr>
      </w:pPr>
    </w:p>
    <w:p w14:paraId="13B5CDF7">
      <w:pPr>
        <w:pStyle w:val="27"/>
        <w:rPr>
          <w:rFonts w:hint="eastAsia" w:ascii="宋体" w:hAnsi="宋体" w:eastAsia="宋体" w:cs="宋体"/>
          <w:b/>
          <w:color w:val="auto"/>
          <w:sz w:val="24"/>
          <w:szCs w:val="24"/>
          <w:highlight w:val="none"/>
        </w:rPr>
      </w:pPr>
    </w:p>
    <w:p w14:paraId="20577BCC">
      <w:pPr>
        <w:pStyle w:val="27"/>
        <w:rPr>
          <w:rFonts w:hint="eastAsia" w:ascii="宋体" w:hAnsi="宋体" w:eastAsia="宋体" w:cs="宋体"/>
          <w:b/>
          <w:color w:val="auto"/>
          <w:sz w:val="24"/>
          <w:szCs w:val="24"/>
          <w:highlight w:val="none"/>
        </w:rPr>
      </w:pPr>
    </w:p>
    <w:p w14:paraId="2FCF5218">
      <w:pPr>
        <w:pStyle w:val="27"/>
        <w:rPr>
          <w:rFonts w:hint="eastAsia" w:ascii="宋体" w:hAnsi="宋体" w:eastAsia="宋体" w:cs="宋体"/>
          <w:b/>
          <w:color w:val="auto"/>
          <w:sz w:val="24"/>
          <w:szCs w:val="24"/>
          <w:highlight w:val="none"/>
        </w:rPr>
      </w:pPr>
    </w:p>
    <w:p w14:paraId="451450A6">
      <w:pPr>
        <w:pStyle w:val="707"/>
        <w:spacing w:line="560" w:lineRule="exact"/>
        <w:ind w:firstLine="482"/>
        <w:jc w:val="center"/>
        <w:rPr>
          <w:rFonts w:hint="eastAsia" w:ascii="宋体" w:hAnsi="宋体" w:eastAsia="宋体" w:cs="宋体"/>
          <w:b/>
          <w:color w:val="auto"/>
          <w:sz w:val="24"/>
          <w:szCs w:val="24"/>
          <w:highlight w:val="none"/>
        </w:rPr>
      </w:pPr>
    </w:p>
    <w:p w14:paraId="69F73300">
      <w:pPr>
        <w:pStyle w:val="707"/>
        <w:spacing w:line="560" w:lineRule="exact"/>
        <w:ind w:firstLine="482"/>
        <w:jc w:val="center"/>
        <w:rPr>
          <w:rFonts w:hint="eastAsia" w:ascii="宋体" w:hAnsi="宋体" w:eastAsia="宋体" w:cs="宋体"/>
          <w:b/>
          <w:color w:val="auto"/>
          <w:sz w:val="24"/>
          <w:szCs w:val="24"/>
          <w:highlight w:val="none"/>
        </w:rPr>
      </w:pPr>
    </w:p>
    <w:p w14:paraId="77D9ABD3">
      <w:pPr>
        <w:pStyle w:val="707"/>
        <w:spacing w:line="560" w:lineRule="exact"/>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合同一般条款</w:t>
      </w:r>
    </w:p>
    <w:p w14:paraId="3D2DACCC">
      <w:pPr>
        <w:spacing w:line="560" w:lineRule="exact"/>
        <w:ind w:firstLine="482" w:firstLineChars="200"/>
        <w:outlineLvl w:val="0"/>
        <w:rPr>
          <w:rFonts w:hint="eastAsia" w:ascii="宋体" w:hAnsi="宋体" w:eastAsia="宋体" w:cs="宋体"/>
          <w:b/>
          <w:color w:val="auto"/>
          <w:sz w:val="24"/>
          <w:szCs w:val="24"/>
          <w:highlight w:val="none"/>
        </w:rPr>
      </w:pPr>
      <w:bookmarkStart w:id="739" w:name="_Toc19680"/>
      <w:bookmarkStart w:id="740" w:name="_Toc25079"/>
      <w:bookmarkStart w:id="741" w:name="_Toc14021"/>
      <w:bookmarkStart w:id="742" w:name="_Toc31297"/>
      <w:bookmarkStart w:id="743" w:name="_Toc5228"/>
      <w:r>
        <w:rPr>
          <w:rFonts w:hint="eastAsia" w:ascii="宋体" w:hAnsi="宋体" w:eastAsia="宋体" w:cs="宋体"/>
          <w:b/>
          <w:color w:val="auto"/>
          <w:sz w:val="24"/>
          <w:szCs w:val="24"/>
          <w:highlight w:val="none"/>
        </w:rPr>
        <w:t>2.1 定义</w:t>
      </w:r>
      <w:bookmarkEnd w:id="739"/>
      <w:bookmarkEnd w:id="740"/>
      <w:bookmarkEnd w:id="741"/>
      <w:bookmarkEnd w:id="742"/>
      <w:bookmarkEnd w:id="743"/>
    </w:p>
    <w:p w14:paraId="69191AC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23D770D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“合同”系指采购人和中标或成交供应商签订的载明双方当事人所达成的协议，并包括所有的附件、附录和构成合同的其他文件。</w:t>
      </w:r>
    </w:p>
    <w:p w14:paraId="1D84E0B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“合同价”系指根据合同约定，中标或成交供应商在完全履行合同义务后，采购人应支付给中标或成交供应商的价格。</w:t>
      </w:r>
    </w:p>
    <w:p w14:paraId="1528946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487B784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“甲方”系指与中标或成交供应商签署合同的采购人；采购人委托采购代理机构代表其与乙方签订合同的，采购人的授权委托书作为合同附件。</w:t>
      </w:r>
    </w:p>
    <w:p w14:paraId="5D5D205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F0E38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“现场”系指合同约定提供服务的地点。</w:t>
      </w:r>
    </w:p>
    <w:p w14:paraId="71964DD5">
      <w:pPr>
        <w:spacing w:line="560" w:lineRule="exact"/>
        <w:ind w:firstLine="482" w:firstLineChars="200"/>
        <w:outlineLvl w:val="0"/>
        <w:rPr>
          <w:rFonts w:hint="eastAsia" w:ascii="宋体" w:hAnsi="宋体" w:eastAsia="宋体" w:cs="宋体"/>
          <w:b/>
          <w:color w:val="auto"/>
          <w:sz w:val="24"/>
          <w:szCs w:val="24"/>
          <w:highlight w:val="none"/>
        </w:rPr>
      </w:pPr>
      <w:bookmarkStart w:id="744" w:name="_Toc3769"/>
      <w:bookmarkStart w:id="745" w:name="_Toc23289"/>
      <w:bookmarkStart w:id="746" w:name="_Toc19539"/>
      <w:bookmarkStart w:id="747" w:name="_Toc31402"/>
      <w:bookmarkStart w:id="748" w:name="_Toc16752"/>
      <w:r>
        <w:rPr>
          <w:rFonts w:hint="eastAsia" w:ascii="宋体" w:hAnsi="宋体" w:eastAsia="宋体" w:cs="宋体"/>
          <w:b/>
          <w:color w:val="auto"/>
          <w:sz w:val="24"/>
          <w:szCs w:val="24"/>
          <w:highlight w:val="none"/>
        </w:rPr>
        <w:t>2.2 技术规范</w:t>
      </w:r>
      <w:bookmarkEnd w:id="744"/>
      <w:bookmarkEnd w:id="745"/>
      <w:bookmarkEnd w:id="746"/>
      <w:bookmarkEnd w:id="747"/>
      <w:bookmarkEnd w:id="748"/>
    </w:p>
    <w:p w14:paraId="576D72C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EECC8A">
      <w:pPr>
        <w:spacing w:line="560" w:lineRule="exact"/>
        <w:ind w:firstLine="482" w:firstLineChars="200"/>
        <w:outlineLvl w:val="0"/>
        <w:rPr>
          <w:rFonts w:hint="eastAsia" w:ascii="宋体" w:hAnsi="宋体" w:eastAsia="宋体" w:cs="宋体"/>
          <w:b/>
          <w:color w:val="auto"/>
          <w:sz w:val="24"/>
          <w:szCs w:val="24"/>
          <w:highlight w:val="none"/>
        </w:rPr>
      </w:pPr>
      <w:bookmarkStart w:id="749" w:name="_Toc4133"/>
      <w:bookmarkStart w:id="750" w:name="_Toc12412"/>
      <w:bookmarkStart w:id="751" w:name="_Toc13673"/>
      <w:bookmarkStart w:id="752" w:name="_Toc27945"/>
      <w:bookmarkStart w:id="753" w:name="_Toc9161"/>
      <w:r>
        <w:rPr>
          <w:rFonts w:hint="eastAsia" w:ascii="宋体" w:hAnsi="宋体" w:eastAsia="宋体" w:cs="宋体"/>
          <w:b/>
          <w:color w:val="auto"/>
          <w:sz w:val="24"/>
          <w:szCs w:val="24"/>
          <w:highlight w:val="none"/>
        </w:rPr>
        <w:t>2.3 知识产权</w:t>
      </w:r>
      <w:bookmarkEnd w:id="749"/>
      <w:bookmarkEnd w:id="750"/>
      <w:bookmarkEnd w:id="751"/>
      <w:bookmarkEnd w:id="752"/>
      <w:bookmarkEnd w:id="753"/>
    </w:p>
    <w:p w14:paraId="052EF51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8635AB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合同涉及技术成果的归属和收益的分成办法的，详见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533A3331">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履约检查和问题反馈</w:t>
      </w:r>
    </w:p>
    <w:p w14:paraId="4A01CFB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5F8D89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合同履行期间，甲方有权将履行过程中出现的问题反馈给乙方，双方当事人应以书面形式约定需要完善和改进的内容。</w:t>
      </w:r>
    </w:p>
    <w:p w14:paraId="2DEBAF9D">
      <w:pPr>
        <w:spacing w:line="560" w:lineRule="exact"/>
        <w:ind w:firstLine="482" w:firstLineChars="200"/>
        <w:outlineLvl w:val="0"/>
        <w:rPr>
          <w:rFonts w:hint="eastAsia" w:ascii="宋体" w:hAnsi="宋体" w:eastAsia="宋体" w:cs="宋体"/>
          <w:b/>
          <w:color w:val="auto"/>
          <w:sz w:val="24"/>
          <w:szCs w:val="24"/>
          <w:highlight w:val="none"/>
        </w:rPr>
      </w:pPr>
      <w:bookmarkStart w:id="754" w:name="_Toc22011"/>
      <w:bookmarkStart w:id="755" w:name="_Toc15447"/>
      <w:bookmarkStart w:id="756" w:name="_Toc31233"/>
      <w:bookmarkStart w:id="757" w:name="_Toc26555"/>
      <w:bookmarkStart w:id="758" w:name="_Toc32670"/>
      <w:r>
        <w:rPr>
          <w:rFonts w:hint="eastAsia" w:ascii="宋体" w:hAnsi="宋体" w:eastAsia="宋体" w:cs="宋体"/>
          <w:b/>
          <w:color w:val="auto"/>
          <w:sz w:val="24"/>
          <w:szCs w:val="24"/>
          <w:highlight w:val="none"/>
        </w:rPr>
        <w:t>2.5 结算方式和付款条件</w:t>
      </w:r>
      <w:bookmarkEnd w:id="754"/>
      <w:bookmarkEnd w:id="755"/>
      <w:bookmarkEnd w:id="756"/>
      <w:bookmarkEnd w:id="757"/>
      <w:bookmarkEnd w:id="758"/>
    </w:p>
    <w:p w14:paraId="22A0CFA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2453B3F">
      <w:pPr>
        <w:spacing w:line="560" w:lineRule="exact"/>
        <w:ind w:firstLine="482" w:firstLineChars="200"/>
        <w:outlineLvl w:val="0"/>
        <w:rPr>
          <w:rFonts w:hint="eastAsia" w:ascii="宋体" w:hAnsi="宋体" w:eastAsia="宋体" w:cs="宋体"/>
          <w:b/>
          <w:color w:val="auto"/>
          <w:sz w:val="24"/>
          <w:szCs w:val="24"/>
          <w:highlight w:val="none"/>
        </w:rPr>
      </w:pPr>
      <w:bookmarkStart w:id="759" w:name="_Toc30507"/>
      <w:bookmarkStart w:id="760" w:name="_Toc16163"/>
      <w:bookmarkStart w:id="761" w:name="_Toc13467"/>
      <w:bookmarkStart w:id="762" w:name="_Toc18990"/>
      <w:bookmarkStart w:id="763" w:name="_Toc13154"/>
      <w:r>
        <w:rPr>
          <w:rFonts w:hint="eastAsia" w:ascii="宋体" w:hAnsi="宋体" w:eastAsia="宋体" w:cs="宋体"/>
          <w:b/>
          <w:color w:val="auto"/>
          <w:sz w:val="24"/>
          <w:szCs w:val="24"/>
          <w:highlight w:val="none"/>
        </w:rPr>
        <w:t>2.6 技术资料和保密义务</w:t>
      </w:r>
      <w:bookmarkEnd w:id="759"/>
      <w:bookmarkEnd w:id="760"/>
      <w:bookmarkEnd w:id="761"/>
      <w:bookmarkEnd w:id="762"/>
      <w:bookmarkEnd w:id="763"/>
    </w:p>
    <w:p w14:paraId="5B44CB2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6EFEAA4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5F7ED25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F100F0">
      <w:pPr>
        <w:spacing w:line="560" w:lineRule="exact"/>
        <w:ind w:firstLine="482" w:firstLineChars="200"/>
        <w:outlineLvl w:val="0"/>
        <w:rPr>
          <w:rFonts w:hint="eastAsia" w:ascii="宋体" w:hAnsi="宋体" w:eastAsia="宋体" w:cs="宋体"/>
          <w:b/>
          <w:color w:val="auto"/>
          <w:sz w:val="24"/>
          <w:szCs w:val="24"/>
          <w:highlight w:val="none"/>
        </w:rPr>
      </w:pPr>
      <w:bookmarkStart w:id="764" w:name="_Toc19069"/>
      <w:r>
        <w:rPr>
          <w:rFonts w:hint="eastAsia" w:ascii="宋体" w:hAnsi="宋体" w:eastAsia="宋体" w:cs="宋体"/>
          <w:b/>
          <w:color w:val="auto"/>
          <w:sz w:val="24"/>
          <w:szCs w:val="24"/>
          <w:highlight w:val="none"/>
        </w:rPr>
        <w:t>2.7 质量保证</w:t>
      </w:r>
      <w:bookmarkEnd w:id="764"/>
    </w:p>
    <w:p w14:paraId="500C9A2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3F8FEC6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207CDF1D">
      <w:pPr>
        <w:spacing w:line="560" w:lineRule="exact"/>
        <w:ind w:firstLine="482" w:firstLineChars="200"/>
        <w:outlineLvl w:val="0"/>
        <w:rPr>
          <w:rFonts w:hint="eastAsia" w:ascii="宋体" w:hAnsi="宋体" w:eastAsia="宋体" w:cs="宋体"/>
          <w:b/>
          <w:color w:val="auto"/>
          <w:sz w:val="24"/>
          <w:szCs w:val="24"/>
          <w:highlight w:val="none"/>
        </w:rPr>
      </w:pPr>
      <w:bookmarkStart w:id="765" w:name="_Toc22267"/>
      <w:r>
        <w:rPr>
          <w:rFonts w:hint="eastAsia" w:ascii="宋体" w:hAnsi="宋体" w:eastAsia="宋体" w:cs="宋体"/>
          <w:b/>
          <w:color w:val="auto"/>
          <w:sz w:val="24"/>
          <w:szCs w:val="24"/>
          <w:highlight w:val="none"/>
        </w:rPr>
        <w:t>2.8 延迟履行</w:t>
      </w:r>
      <w:bookmarkEnd w:id="765"/>
    </w:p>
    <w:p w14:paraId="5DEFECB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15BFB15">
      <w:pPr>
        <w:spacing w:line="560" w:lineRule="exact"/>
        <w:ind w:firstLine="482" w:firstLineChars="200"/>
        <w:outlineLvl w:val="0"/>
        <w:rPr>
          <w:rFonts w:hint="eastAsia" w:ascii="宋体" w:hAnsi="宋体" w:eastAsia="宋体" w:cs="宋体"/>
          <w:b/>
          <w:color w:val="auto"/>
          <w:sz w:val="24"/>
          <w:szCs w:val="24"/>
          <w:highlight w:val="none"/>
        </w:rPr>
      </w:pPr>
      <w:bookmarkStart w:id="766" w:name="_Toc10611"/>
      <w:r>
        <w:rPr>
          <w:rFonts w:hint="eastAsia" w:ascii="宋体" w:hAnsi="宋体" w:eastAsia="宋体" w:cs="宋体"/>
          <w:b/>
          <w:color w:val="auto"/>
          <w:sz w:val="24"/>
          <w:szCs w:val="24"/>
          <w:highlight w:val="none"/>
        </w:rPr>
        <w:t>2.9 合同变更</w:t>
      </w:r>
      <w:bookmarkEnd w:id="766"/>
    </w:p>
    <w:p w14:paraId="31AA3E9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40A931CD">
      <w:pPr>
        <w:spacing w:line="560" w:lineRule="exact"/>
        <w:ind w:firstLine="482" w:firstLineChars="200"/>
        <w:outlineLvl w:val="0"/>
        <w:rPr>
          <w:rFonts w:hint="eastAsia" w:ascii="宋体" w:hAnsi="宋体" w:eastAsia="宋体" w:cs="宋体"/>
          <w:b/>
          <w:color w:val="auto"/>
          <w:sz w:val="24"/>
          <w:szCs w:val="24"/>
          <w:highlight w:val="none"/>
        </w:rPr>
      </w:pPr>
      <w:bookmarkStart w:id="767" w:name="_Toc23368"/>
      <w:bookmarkStart w:id="768" w:name="_Toc10663"/>
      <w:bookmarkStart w:id="769" w:name="_Toc26689"/>
      <w:bookmarkStart w:id="770" w:name="_Toc21830"/>
      <w:bookmarkStart w:id="771" w:name="_Toc42"/>
      <w:r>
        <w:rPr>
          <w:rFonts w:hint="eastAsia" w:ascii="宋体" w:hAnsi="宋体" w:eastAsia="宋体" w:cs="宋体"/>
          <w:b/>
          <w:color w:val="auto"/>
          <w:sz w:val="24"/>
          <w:szCs w:val="24"/>
          <w:highlight w:val="none"/>
        </w:rPr>
        <w:t>2.10 合同转让和分包</w:t>
      </w:r>
      <w:bookmarkEnd w:id="767"/>
      <w:bookmarkEnd w:id="768"/>
      <w:bookmarkEnd w:id="769"/>
      <w:bookmarkEnd w:id="770"/>
      <w:bookmarkEnd w:id="771"/>
    </w:p>
    <w:p w14:paraId="17A546E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14C5D9">
      <w:pPr>
        <w:spacing w:line="560" w:lineRule="exact"/>
        <w:ind w:firstLine="482" w:firstLineChars="200"/>
        <w:outlineLvl w:val="0"/>
        <w:rPr>
          <w:rFonts w:hint="eastAsia" w:ascii="宋体" w:hAnsi="宋体" w:eastAsia="宋体" w:cs="宋体"/>
          <w:b/>
          <w:color w:val="auto"/>
          <w:sz w:val="24"/>
          <w:szCs w:val="24"/>
          <w:highlight w:val="none"/>
        </w:rPr>
      </w:pPr>
      <w:bookmarkStart w:id="772" w:name="_Toc26633"/>
      <w:bookmarkStart w:id="773" w:name="_Toc4720"/>
      <w:bookmarkStart w:id="774" w:name="_Toc25571"/>
      <w:bookmarkStart w:id="775" w:name="_Toc32494"/>
      <w:bookmarkStart w:id="776" w:name="_Toc14371"/>
      <w:r>
        <w:rPr>
          <w:rFonts w:hint="eastAsia" w:ascii="宋体" w:hAnsi="宋体" w:eastAsia="宋体" w:cs="宋体"/>
          <w:b/>
          <w:color w:val="auto"/>
          <w:sz w:val="24"/>
          <w:szCs w:val="24"/>
          <w:highlight w:val="none"/>
        </w:rPr>
        <w:t>2.11 不可抗力</w:t>
      </w:r>
      <w:bookmarkEnd w:id="772"/>
      <w:bookmarkEnd w:id="773"/>
      <w:bookmarkEnd w:id="774"/>
      <w:bookmarkEnd w:id="775"/>
      <w:bookmarkEnd w:id="776"/>
    </w:p>
    <w:p w14:paraId="02B179D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7D2DAB6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10521DD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35C1D36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2EC30CE5">
      <w:pPr>
        <w:spacing w:line="560" w:lineRule="exact"/>
        <w:ind w:firstLine="482" w:firstLineChars="200"/>
        <w:outlineLvl w:val="0"/>
        <w:rPr>
          <w:rFonts w:hint="eastAsia" w:ascii="宋体" w:hAnsi="宋体" w:eastAsia="宋体" w:cs="宋体"/>
          <w:b/>
          <w:color w:val="auto"/>
          <w:sz w:val="24"/>
          <w:szCs w:val="24"/>
          <w:highlight w:val="none"/>
        </w:rPr>
      </w:pPr>
      <w:bookmarkStart w:id="777" w:name="_Toc23854"/>
      <w:bookmarkStart w:id="778" w:name="_Toc14115"/>
      <w:bookmarkStart w:id="779" w:name="_Toc3638"/>
      <w:bookmarkStart w:id="780" w:name="_Toc24465"/>
      <w:bookmarkStart w:id="781" w:name="_Toc25783"/>
      <w:r>
        <w:rPr>
          <w:rFonts w:hint="eastAsia" w:ascii="宋体" w:hAnsi="宋体" w:eastAsia="宋体" w:cs="宋体"/>
          <w:b/>
          <w:color w:val="auto"/>
          <w:sz w:val="24"/>
          <w:szCs w:val="24"/>
          <w:highlight w:val="none"/>
        </w:rPr>
        <w:t>2.12 税费</w:t>
      </w:r>
      <w:bookmarkEnd w:id="777"/>
      <w:bookmarkEnd w:id="778"/>
      <w:bookmarkEnd w:id="779"/>
      <w:bookmarkEnd w:id="780"/>
      <w:bookmarkEnd w:id="781"/>
    </w:p>
    <w:p w14:paraId="497C43A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1D185F4B">
      <w:pPr>
        <w:spacing w:line="560" w:lineRule="exact"/>
        <w:ind w:firstLine="482" w:firstLineChars="200"/>
        <w:outlineLvl w:val="0"/>
        <w:rPr>
          <w:rFonts w:hint="eastAsia" w:ascii="宋体" w:hAnsi="宋体" w:eastAsia="宋体" w:cs="宋体"/>
          <w:b/>
          <w:color w:val="auto"/>
          <w:sz w:val="24"/>
          <w:szCs w:val="24"/>
          <w:highlight w:val="none"/>
        </w:rPr>
      </w:pPr>
      <w:bookmarkStart w:id="782" w:name="_Toc14814"/>
      <w:bookmarkStart w:id="783" w:name="_Toc26883"/>
      <w:bookmarkStart w:id="784" w:name="_Toc25525"/>
      <w:bookmarkStart w:id="785" w:name="_Toc30105"/>
      <w:bookmarkStart w:id="786" w:name="_Toc7315"/>
      <w:r>
        <w:rPr>
          <w:rFonts w:hint="eastAsia" w:ascii="宋体" w:hAnsi="宋体" w:eastAsia="宋体" w:cs="宋体"/>
          <w:b/>
          <w:color w:val="auto"/>
          <w:sz w:val="24"/>
          <w:szCs w:val="24"/>
          <w:highlight w:val="none"/>
        </w:rPr>
        <w:t>2.13 乙方破产</w:t>
      </w:r>
      <w:bookmarkEnd w:id="782"/>
      <w:bookmarkEnd w:id="783"/>
      <w:bookmarkEnd w:id="784"/>
      <w:bookmarkEnd w:id="785"/>
      <w:bookmarkEnd w:id="786"/>
    </w:p>
    <w:p w14:paraId="2B0D047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83928B4">
      <w:pPr>
        <w:spacing w:line="560" w:lineRule="exact"/>
        <w:ind w:firstLine="482" w:firstLineChars="200"/>
        <w:outlineLvl w:val="0"/>
        <w:rPr>
          <w:rFonts w:hint="eastAsia" w:ascii="宋体" w:hAnsi="宋体" w:eastAsia="宋体" w:cs="宋体"/>
          <w:b/>
          <w:color w:val="auto"/>
          <w:sz w:val="24"/>
          <w:szCs w:val="24"/>
          <w:highlight w:val="none"/>
        </w:rPr>
      </w:pPr>
      <w:bookmarkStart w:id="787" w:name="_Toc23323"/>
      <w:bookmarkStart w:id="788" w:name="_Toc2016"/>
      <w:bookmarkStart w:id="789" w:name="_Toc1123"/>
      <w:r>
        <w:rPr>
          <w:rFonts w:hint="eastAsia" w:ascii="宋体" w:hAnsi="宋体" w:eastAsia="宋体" w:cs="宋体"/>
          <w:b/>
          <w:color w:val="auto"/>
          <w:sz w:val="24"/>
          <w:szCs w:val="24"/>
          <w:highlight w:val="none"/>
        </w:rPr>
        <w:t>2.14 合同中止、终止</w:t>
      </w:r>
      <w:bookmarkEnd w:id="787"/>
      <w:bookmarkEnd w:id="788"/>
      <w:bookmarkEnd w:id="789"/>
    </w:p>
    <w:p w14:paraId="553A0FA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7F708AA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8162674">
      <w:pPr>
        <w:spacing w:line="560" w:lineRule="exact"/>
        <w:ind w:firstLine="482" w:firstLineChars="200"/>
        <w:outlineLvl w:val="0"/>
        <w:rPr>
          <w:rFonts w:hint="eastAsia" w:ascii="宋体" w:hAnsi="宋体" w:eastAsia="宋体" w:cs="宋体"/>
          <w:b/>
          <w:color w:val="auto"/>
          <w:sz w:val="24"/>
          <w:szCs w:val="24"/>
          <w:highlight w:val="none"/>
        </w:rPr>
      </w:pPr>
      <w:bookmarkStart w:id="790" w:name="_Toc14525"/>
      <w:bookmarkStart w:id="791" w:name="_Toc1969"/>
      <w:bookmarkStart w:id="792" w:name="_Toc17363"/>
      <w:r>
        <w:rPr>
          <w:rFonts w:hint="eastAsia" w:ascii="宋体" w:hAnsi="宋体" w:eastAsia="宋体" w:cs="宋体"/>
          <w:b/>
          <w:color w:val="auto"/>
          <w:sz w:val="24"/>
          <w:szCs w:val="24"/>
          <w:highlight w:val="none"/>
        </w:rPr>
        <w:t>2.15 检验和验收</w:t>
      </w:r>
      <w:bookmarkEnd w:id="790"/>
      <w:bookmarkEnd w:id="791"/>
      <w:bookmarkEnd w:id="792"/>
    </w:p>
    <w:p w14:paraId="7FCB55D7">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 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073EB689">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ED6AA">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 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p w14:paraId="33274559">
      <w:pPr>
        <w:spacing w:line="560" w:lineRule="exact"/>
        <w:ind w:firstLine="482" w:firstLineChars="200"/>
        <w:outlineLvl w:val="0"/>
        <w:rPr>
          <w:rFonts w:hint="eastAsia" w:ascii="宋体" w:hAnsi="宋体" w:eastAsia="宋体" w:cs="宋体"/>
          <w:b/>
          <w:color w:val="auto"/>
          <w:sz w:val="24"/>
          <w:szCs w:val="24"/>
          <w:highlight w:val="none"/>
        </w:rPr>
      </w:pPr>
      <w:bookmarkStart w:id="793" w:name="_Toc31892"/>
      <w:bookmarkStart w:id="794" w:name="_Toc9808"/>
      <w:bookmarkStart w:id="795" w:name="_Toc12666"/>
      <w:bookmarkStart w:id="796" w:name="_Toc25198"/>
      <w:bookmarkStart w:id="797" w:name="_Toc2308"/>
      <w:r>
        <w:rPr>
          <w:rFonts w:hint="eastAsia" w:ascii="宋体" w:hAnsi="宋体" w:eastAsia="宋体" w:cs="宋体"/>
          <w:b/>
          <w:color w:val="auto"/>
          <w:sz w:val="24"/>
          <w:szCs w:val="24"/>
          <w:highlight w:val="none"/>
        </w:rPr>
        <w:t>2.16 通知和送达</w:t>
      </w:r>
      <w:bookmarkEnd w:id="793"/>
      <w:bookmarkEnd w:id="794"/>
      <w:bookmarkEnd w:id="795"/>
      <w:bookmarkEnd w:id="796"/>
      <w:bookmarkEnd w:id="797"/>
    </w:p>
    <w:p w14:paraId="37099E24">
      <w:pPr>
        <w:spacing w:line="560" w:lineRule="exact"/>
        <w:ind w:firstLine="480" w:firstLineChars="200"/>
        <w:rPr>
          <w:rFonts w:hint="eastAsia" w:ascii="宋体" w:hAnsi="宋体" w:eastAsia="宋体" w:cs="宋体"/>
          <w:color w:val="auto"/>
          <w:sz w:val="24"/>
          <w:szCs w:val="24"/>
          <w:highlight w:val="none"/>
        </w:rPr>
      </w:pPr>
      <w:bookmarkStart w:id="798" w:name="_Toc18401"/>
      <w:bookmarkStart w:id="799" w:name="_Toc27674"/>
      <w:r>
        <w:rPr>
          <w:rFonts w:hint="eastAsia" w:ascii="宋体" w:hAnsi="宋体" w:eastAsia="宋体" w:cs="宋体"/>
          <w:color w:val="auto"/>
          <w:sz w:val="24"/>
          <w:szCs w:val="24"/>
          <w:highlight w:val="none"/>
        </w:rPr>
        <w:t xml:space="preserve">2.17.1任何一方因履行合同而以合同第一部分尾部所列明的传真或电子邮件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p>
    <w:p w14:paraId="56DB863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798"/>
      <w:bookmarkEnd w:id="799"/>
    </w:p>
    <w:p w14:paraId="226F2E8E">
      <w:pPr>
        <w:spacing w:line="560" w:lineRule="exact"/>
        <w:ind w:firstLine="482" w:firstLineChars="200"/>
        <w:outlineLvl w:val="0"/>
        <w:rPr>
          <w:rFonts w:hint="eastAsia" w:ascii="宋体" w:hAnsi="宋体" w:eastAsia="宋体" w:cs="宋体"/>
          <w:b/>
          <w:color w:val="auto"/>
          <w:sz w:val="24"/>
          <w:szCs w:val="24"/>
          <w:highlight w:val="none"/>
        </w:rPr>
      </w:pPr>
      <w:bookmarkStart w:id="800" w:name="_Toc12254"/>
      <w:bookmarkStart w:id="801" w:name="_Toc27644"/>
      <w:bookmarkStart w:id="802" w:name="_Toc20808"/>
      <w:bookmarkStart w:id="803" w:name="_Toc28906"/>
      <w:bookmarkStart w:id="804" w:name="_Toc5063"/>
      <w:r>
        <w:rPr>
          <w:rFonts w:hint="eastAsia" w:ascii="宋体" w:hAnsi="宋体" w:eastAsia="宋体" w:cs="宋体"/>
          <w:b/>
          <w:color w:val="auto"/>
          <w:sz w:val="24"/>
          <w:szCs w:val="24"/>
          <w:highlight w:val="none"/>
        </w:rPr>
        <w:t>2.17 合同使用的文字和适用的法律</w:t>
      </w:r>
      <w:bookmarkEnd w:id="800"/>
      <w:bookmarkEnd w:id="801"/>
      <w:bookmarkEnd w:id="802"/>
      <w:bookmarkEnd w:id="803"/>
      <w:bookmarkEnd w:id="804"/>
    </w:p>
    <w:p w14:paraId="3BE316F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合同使用汉语书就、变更和解释；</w:t>
      </w:r>
    </w:p>
    <w:p w14:paraId="70227EE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 合同适用中华人民共和国法律。</w:t>
      </w:r>
    </w:p>
    <w:p w14:paraId="766AF2EC">
      <w:pPr>
        <w:spacing w:line="560" w:lineRule="exact"/>
        <w:ind w:firstLine="482" w:firstLineChars="200"/>
        <w:outlineLvl w:val="0"/>
        <w:rPr>
          <w:rFonts w:hint="eastAsia" w:ascii="宋体" w:hAnsi="宋体" w:eastAsia="宋体" w:cs="宋体"/>
          <w:b/>
          <w:color w:val="auto"/>
          <w:sz w:val="24"/>
          <w:szCs w:val="24"/>
          <w:highlight w:val="none"/>
        </w:rPr>
      </w:pPr>
      <w:bookmarkStart w:id="805" w:name="_Toc30599"/>
      <w:bookmarkStart w:id="806" w:name="_Toc4355"/>
      <w:bookmarkStart w:id="807" w:name="_Toc18540"/>
      <w:r>
        <w:rPr>
          <w:rFonts w:hint="eastAsia" w:ascii="宋体" w:hAnsi="宋体" w:eastAsia="宋体" w:cs="宋体"/>
          <w:b/>
          <w:color w:val="auto"/>
          <w:sz w:val="24"/>
          <w:szCs w:val="24"/>
          <w:highlight w:val="none"/>
        </w:rPr>
        <w:t>2.18 计量单位</w:t>
      </w:r>
      <w:bookmarkEnd w:id="805"/>
      <w:bookmarkEnd w:id="806"/>
      <w:bookmarkEnd w:id="807"/>
    </w:p>
    <w:p w14:paraId="0341F01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除技术规范中另有规定外,合同的计量单位均使用国家法定计量单位。</w:t>
      </w:r>
    </w:p>
    <w:p w14:paraId="4796C614">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2.19合同份数</w:t>
      </w:r>
    </w:p>
    <w:p w14:paraId="4C2A64BA">
      <w:pPr>
        <w:spacing w:line="560" w:lineRule="exact"/>
        <w:ind w:firstLine="480" w:firstLineChars="200"/>
        <w:rPr>
          <w:rFonts w:hint="eastAsia" w:ascii="仿宋" w:hAnsi="仿宋" w:eastAsia="仿宋" w:cs="仿宋"/>
          <w:color w:val="auto"/>
          <w:sz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651CF2AD">
      <w:pPr>
        <w:pStyle w:val="3"/>
        <w:rPr>
          <w:rFonts w:ascii="宋体" w:hAnsi="宋体" w:cs="宋体"/>
          <w:color w:val="auto"/>
          <w:sz w:val="24"/>
          <w:highlight w:val="none"/>
        </w:rPr>
      </w:pPr>
    </w:p>
    <w:p w14:paraId="5853AE0B">
      <w:pPr>
        <w:rPr>
          <w:rFonts w:ascii="宋体" w:hAnsi="宋体" w:cs="宋体"/>
          <w:color w:val="auto"/>
          <w:sz w:val="24"/>
          <w:highlight w:val="none"/>
        </w:rPr>
      </w:pPr>
    </w:p>
    <w:p w14:paraId="0BDEA5AE">
      <w:pPr>
        <w:rPr>
          <w:color w:val="auto"/>
          <w:highlight w:val="none"/>
        </w:rPr>
      </w:pPr>
    </w:p>
    <w:p w14:paraId="0857ED3F">
      <w:pPr>
        <w:spacing w:line="360" w:lineRule="auto"/>
        <w:jc w:val="center"/>
        <w:outlineLvl w:val="0"/>
        <w:rPr>
          <w:rFonts w:hint="eastAsia" w:ascii="宋体" w:hAnsi="宋体" w:eastAsia="宋体" w:cs="宋体"/>
          <w:b/>
          <w:color w:val="auto"/>
          <w:sz w:val="24"/>
          <w:szCs w:val="24"/>
          <w:highlight w:val="none"/>
        </w:rPr>
      </w:pPr>
    </w:p>
    <w:p w14:paraId="4F09DBD2">
      <w:pPr>
        <w:spacing w:line="360" w:lineRule="auto"/>
        <w:jc w:val="center"/>
        <w:outlineLvl w:val="0"/>
        <w:rPr>
          <w:rFonts w:hint="eastAsia" w:ascii="宋体" w:hAnsi="宋体" w:eastAsia="宋体" w:cs="宋体"/>
          <w:b/>
          <w:color w:val="auto"/>
          <w:sz w:val="24"/>
          <w:szCs w:val="24"/>
          <w:highlight w:val="none"/>
        </w:rPr>
      </w:pPr>
    </w:p>
    <w:p w14:paraId="7387B6FC">
      <w:pPr>
        <w:spacing w:line="360" w:lineRule="auto"/>
        <w:jc w:val="center"/>
        <w:outlineLvl w:val="0"/>
        <w:rPr>
          <w:rFonts w:hint="eastAsia" w:ascii="宋体" w:hAnsi="宋体" w:eastAsia="宋体" w:cs="宋体"/>
          <w:b/>
          <w:color w:val="auto"/>
          <w:sz w:val="24"/>
          <w:szCs w:val="24"/>
          <w:highlight w:val="none"/>
        </w:rPr>
      </w:pPr>
    </w:p>
    <w:p w14:paraId="4E5D1A58">
      <w:pPr>
        <w:spacing w:line="360" w:lineRule="auto"/>
        <w:jc w:val="center"/>
        <w:outlineLvl w:val="0"/>
        <w:rPr>
          <w:rFonts w:hint="eastAsia" w:ascii="宋体" w:hAnsi="宋体" w:eastAsia="宋体" w:cs="宋体"/>
          <w:b/>
          <w:color w:val="auto"/>
          <w:sz w:val="24"/>
          <w:szCs w:val="24"/>
          <w:highlight w:val="none"/>
        </w:rPr>
      </w:pPr>
    </w:p>
    <w:p w14:paraId="38B87449">
      <w:pPr>
        <w:spacing w:line="360" w:lineRule="auto"/>
        <w:jc w:val="center"/>
        <w:outlineLvl w:val="0"/>
        <w:rPr>
          <w:rFonts w:hint="eastAsia" w:ascii="宋体" w:hAnsi="宋体" w:eastAsia="宋体" w:cs="宋体"/>
          <w:b/>
          <w:color w:val="auto"/>
          <w:sz w:val="24"/>
          <w:szCs w:val="24"/>
          <w:highlight w:val="none"/>
        </w:rPr>
      </w:pPr>
    </w:p>
    <w:p w14:paraId="36966A1B">
      <w:pPr>
        <w:spacing w:line="360" w:lineRule="auto"/>
        <w:jc w:val="center"/>
        <w:outlineLvl w:val="0"/>
        <w:rPr>
          <w:rFonts w:hint="eastAsia" w:ascii="宋体" w:hAnsi="宋体" w:eastAsia="宋体" w:cs="宋体"/>
          <w:b/>
          <w:color w:val="auto"/>
          <w:sz w:val="24"/>
          <w:szCs w:val="24"/>
          <w:highlight w:val="none"/>
        </w:rPr>
      </w:pPr>
    </w:p>
    <w:p w14:paraId="0279ACDC">
      <w:pPr>
        <w:spacing w:line="360" w:lineRule="auto"/>
        <w:jc w:val="center"/>
        <w:outlineLvl w:val="0"/>
        <w:rPr>
          <w:rFonts w:hint="eastAsia" w:ascii="宋体" w:hAnsi="宋体" w:eastAsia="宋体" w:cs="宋体"/>
          <w:b/>
          <w:color w:val="auto"/>
          <w:sz w:val="24"/>
          <w:szCs w:val="24"/>
          <w:highlight w:val="none"/>
        </w:rPr>
      </w:pPr>
    </w:p>
    <w:p w14:paraId="2370B1B8">
      <w:pPr>
        <w:spacing w:line="360" w:lineRule="auto"/>
        <w:jc w:val="center"/>
        <w:outlineLvl w:val="0"/>
        <w:rPr>
          <w:rFonts w:hint="eastAsia" w:ascii="宋体" w:hAnsi="宋体" w:eastAsia="宋体" w:cs="宋体"/>
          <w:b/>
          <w:color w:val="auto"/>
          <w:sz w:val="24"/>
          <w:szCs w:val="24"/>
          <w:highlight w:val="none"/>
        </w:rPr>
      </w:pPr>
    </w:p>
    <w:p w14:paraId="11418C98">
      <w:pPr>
        <w:spacing w:line="360" w:lineRule="auto"/>
        <w:jc w:val="center"/>
        <w:outlineLvl w:val="0"/>
        <w:rPr>
          <w:rFonts w:hint="eastAsia" w:ascii="宋体" w:hAnsi="宋体" w:eastAsia="宋体" w:cs="宋体"/>
          <w:b/>
          <w:color w:val="auto"/>
          <w:sz w:val="24"/>
          <w:szCs w:val="24"/>
          <w:highlight w:val="none"/>
        </w:rPr>
      </w:pPr>
    </w:p>
    <w:p w14:paraId="0862C78B">
      <w:pPr>
        <w:spacing w:line="360" w:lineRule="auto"/>
        <w:jc w:val="center"/>
        <w:outlineLvl w:val="0"/>
        <w:rPr>
          <w:rFonts w:hint="eastAsia" w:ascii="宋体" w:hAnsi="宋体" w:eastAsia="宋体" w:cs="宋体"/>
          <w:b/>
          <w:color w:val="auto"/>
          <w:sz w:val="24"/>
          <w:szCs w:val="24"/>
          <w:highlight w:val="none"/>
        </w:rPr>
      </w:pPr>
    </w:p>
    <w:p w14:paraId="7BD17F14">
      <w:pPr>
        <w:spacing w:line="360" w:lineRule="auto"/>
        <w:jc w:val="center"/>
        <w:outlineLvl w:val="0"/>
        <w:rPr>
          <w:rFonts w:hint="eastAsia" w:ascii="宋体" w:hAnsi="宋体" w:eastAsia="宋体" w:cs="宋体"/>
          <w:b/>
          <w:color w:val="auto"/>
          <w:sz w:val="24"/>
          <w:szCs w:val="24"/>
          <w:highlight w:val="none"/>
        </w:rPr>
      </w:pPr>
    </w:p>
    <w:p w14:paraId="650714D4">
      <w:pPr>
        <w:spacing w:line="360" w:lineRule="auto"/>
        <w:jc w:val="center"/>
        <w:outlineLvl w:val="0"/>
        <w:rPr>
          <w:rFonts w:hint="eastAsia" w:ascii="宋体" w:hAnsi="宋体" w:eastAsia="宋体" w:cs="宋体"/>
          <w:b/>
          <w:color w:val="auto"/>
          <w:sz w:val="24"/>
          <w:szCs w:val="24"/>
          <w:highlight w:val="none"/>
        </w:rPr>
      </w:pPr>
    </w:p>
    <w:p w14:paraId="1FAB5F3E">
      <w:pPr>
        <w:spacing w:line="360" w:lineRule="auto"/>
        <w:jc w:val="center"/>
        <w:outlineLvl w:val="0"/>
        <w:rPr>
          <w:rFonts w:hint="eastAsia" w:ascii="宋体" w:hAnsi="宋体" w:eastAsia="宋体" w:cs="宋体"/>
          <w:b/>
          <w:color w:val="auto"/>
          <w:sz w:val="24"/>
          <w:szCs w:val="24"/>
          <w:highlight w:val="none"/>
        </w:rPr>
      </w:pPr>
    </w:p>
    <w:p w14:paraId="3661369E">
      <w:pPr>
        <w:spacing w:line="360" w:lineRule="auto"/>
        <w:jc w:val="center"/>
        <w:outlineLvl w:val="0"/>
        <w:rPr>
          <w:rFonts w:hint="eastAsia" w:ascii="宋体" w:hAnsi="宋体" w:eastAsia="宋体" w:cs="宋体"/>
          <w:b/>
          <w:color w:val="auto"/>
          <w:sz w:val="24"/>
          <w:szCs w:val="24"/>
          <w:highlight w:val="none"/>
        </w:rPr>
      </w:pPr>
    </w:p>
    <w:p w14:paraId="686A9AAF">
      <w:pPr>
        <w:spacing w:line="360" w:lineRule="auto"/>
        <w:jc w:val="center"/>
        <w:outlineLvl w:val="0"/>
        <w:rPr>
          <w:rFonts w:hint="eastAsia" w:ascii="宋体" w:hAnsi="宋体" w:eastAsia="宋体" w:cs="宋体"/>
          <w:b/>
          <w:color w:val="auto"/>
          <w:sz w:val="24"/>
          <w:szCs w:val="24"/>
          <w:highlight w:val="none"/>
        </w:rPr>
      </w:pPr>
    </w:p>
    <w:p w14:paraId="3B58E8E1">
      <w:pPr>
        <w:spacing w:line="360" w:lineRule="auto"/>
        <w:jc w:val="center"/>
        <w:outlineLvl w:val="0"/>
        <w:rPr>
          <w:rFonts w:hint="eastAsia" w:ascii="宋体" w:hAnsi="宋体" w:eastAsia="宋体" w:cs="宋体"/>
          <w:b/>
          <w:color w:val="auto"/>
          <w:sz w:val="24"/>
          <w:szCs w:val="24"/>
          <w:highlight w:val="none"/>
        </w:rPr>
      </w:pPr>
    </w:p>
    <w:p w14:paraId="7BA46A0F">
      <w:pPr>
        <w:spacing w:line="360" w:lineRule="auto"/>
        <w:jc w:val="center"/>
        <w:outlineLvl w:val="0"/>
        <w:rPr>
          <w:rFonts w:hint="eastAsia" w:ascii="宋体" w:hAnsi="宋体" w:eastAsia="宋体" w:cs="宋体"/>
          <w:b/>
          <w:color w:val="auto"/>
          <w:sz w:val="24"/>
          <w:szCs w:val="24"/>
          <w:highlight w:val="none"/>
        </w:rPr>
      </w:pPr>
    </w:p>
    <w:p w14:paraId="3EC68D3C">
      <w:pPr>
        <w:spacing w:line="360" w:lineRule="auto"/>
        <w:jc w:val="center"/>
        <w:outlineLvl w:val="0"/>
        <w:rPr>
          <w:rFonts w:hint="eastAsia" w:ascii="宋体" w:hAnsi="宋体" w:eastAsia="宋体" w:cs="宋体"/>
          <w:b/>
          <w:color w:val="auto"/>
          <w:sz w:val="24"/>
          <w:szCs w:val="24"/>
          <w:highlight w:val="none"/>
        </w:rPr>
      </w:pPr>
    </w:p>
    <w:p w14:paraId="549C3A0F">
      <w:pPr>
        <w:spacing w:line="360" w:lineRule="auto"/>
        <w:jc w:val="center"/>
        <w:outlineLvl w:val="0"/>
        <w:rPr>
          <w:rFonts w:hint="eastAsia" w:ascii="宋体" w:hAnsi="宋体" w:eastAsia="宋体" w:cs="宋体"/>
          <w:b/>
          <w:color w:val="auto"/>
          <w:sz w:val="24"/>
          <w:szCs w:val="24"/>
          <w:highlight w:val="none"/>
        </w:rPr>
      </w:pPr>
    </w:p>
    <w:p w14:paraId="00E77036">
      <w:pPr>
        <w:spacing w:line="360" w:lineRule="auto"/>
        <w:jc w:val="center"/>
        <w:outlineLvl w:val="0"/>
        <w:rPr>
          <w:rFonts w:hint="eastAsia" w:ascii="宋体" w:hAnsi="宋体" w:eastAsia="宋体" w:cs="宋体"/>
          <w:b/>
          <w:color w:val="auto"/>
          <w:sz w:val="24"/>
          <w:szCs w:val="24"/>
          <w:highlight w:val="none"/>
        </w:rPr>
      </w:pPr>
    </w:p>
    <w:p w14:paraId="273C41DB">
      <w:pPr>
        <w:spacing w:line="360" w:lineRule="auto"/>
        <w:jc w:val="center"/>
        <w:outlineLvl w:val="0"/>
        <w:rPr>
          <w:rFonts w:hint="eastAsia" w:ascii="宋体" w:hAnsi="宋体" w:eastAsia="宋体" w:cs="宋体"/>
          <w:b/>
          <w:color w:val="auto"/>
          <w:sz w:val="24"/>
          <w:szCs w:val="24"/>
          <w:highlight w:val="none"/>
        </w:rPr>
      </w:pPr>
    </w:p>
    <w:p w14:paraId="45C9A5C7">
      <w:pPr>
        <w:pStyle w:val="62"/>
        <w:rPr>
          <w:rFonts w:hint="eastAsia"/>
          <w:color w:val="auto"/>
          <w:highlight w:val="none"/>
        </w:rPr>
      </w:pPr>
    </w:p>
    <w:p w14:paraId="401DE4AF">
      <w:pPr>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第三部分  合同专用条款</w:t>
      </w:r>
    </w:p>
    <w:p w14:paraId="3755C035">
      <w:pPr>
        <w:spacing w:line="560" w:lineRule="exact"/>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1D3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5" w:type="pct"/>
            <w:tcBorders>
              <w:left w:val="single" w:color="auto" w:sz="4" w:space="0"/>
            </w:tcBorders>
            <w:noWrap w:val="0"/>
            <w:vAlign w:val="center"/>
          </w:tcPr>
          <w:p w14:paraId="33004B4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464" w:type="pct"/>
            <w:noWrap w:val="0"/>
            <w:vAlign w:val="center"/>
          </w:tcPr>
          <w:p w14:paraId="25477B7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7C090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5" w:type="pct"/>
            <w:tcBorders>
              <w:left w:val="single" w:color="auto" w:sz="4" w:space="0"/>
            </w:tcBorders>
            <w:noWrap w:val="0"/>
            <w:vAlign w:val="center"/>
          </w:tcPr>
          <w:p w14:paraId="525E8E94">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1.8.6</w:t>
            </w:r>
          </w:p>
        </w:tc>
        <w:tc>
          <w:tcPr>
            <w:tcW w:w="4464" w:type="pct"/>
            <w:noWrap w:val="0"/>
            <w:vAlign w:val="center"/>
          </w:tcPr>
          <w:p w14:paraId="6E294C95">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r w14:paraId="1CEE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5" w:type="pct"/>
            <w:tcBorders>
              <w:left w:val="single" w:color="auto" w:sz="4" w:space="0"/>
            </w:tcBorders>
            <w:noWrap w:val="0"/>
            <w:vAlign w:val="center"/>
          </w:tcPr>
          <w:p w14:paraId="009D34BF">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w:t>
            </w:r>
          </w:p>
        </w:tc>
        <w:tc>
          <w:tcPr>
            <w:tcW w:w="4464" w:type="pct"/>
            <w:noWrap w:val="0"/>
            <w:vAlign w:val="center"/>
          </w:tcPr>
          <w:p w14:paraId="0B30C299">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淳安县</w:t>
            </w:r>
          </w:p>
        </w:tc>
      </w:tr>
      <w:tr w14:paraId="06DB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5" w:type="pct"/>
            <w:tcBorders>
              <w:left w:val="single" w:color="auto" w:sz="4" w:space="0"/>
            </w:tcBorders>
            <w:noWrap w:val="0"/>
            <w:vAlign w:val="center"/>
          </w:tcPr>
          <w:p w14:paraId="7CC8E006">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1.9.2</w:t>
            </w:r>
            <w:r>
              <w:rPr>
                <w:rFonts w:hint="eastAsia" w:ascii="宋体" w:hAnsi="宋体" w:eastAsia="宋体" w:cs="宋体"/>
                <w:color w:val="auto"/>
                <w:sz w:val="24"/>
                <w:szCs w:val="24"/>
                <w:highlight w:val="none"/>
                <w:lang w:eastAsia="zh-CN"/>
              </w:rPr>
              <w:t xml:space="preserve"> </w:t>
            </w:r>
          </w:p>
        </w:tc>
        <w:tc>
          <w:tcPr>
            <w:tcW w:w="4464" w:type="pct"/>
            <w:noWrap w:val="0"/>
            <w:vAlign w:val="center"/>
          </w:tcPr>
          <w:p w14:paraId="2DAA9F84">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淳安县</w:t>
            </w:r>
          </w:p>
        </w:tc>
      </w:tr>
      <w:tr w14:paraId="03D39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5" w:type="pct"/>
            <w:tcBorders>
              <w:left w:val="single" w:color="auto" w:sz="4" w:space="0"/>
            </w:tcBorders>
            <w:noWrap w:val="0"/>
            <w:vAlign w:val="center"/>
          </w:tcPr>
          <w:p w14:paraId="787C2C66">
            <w:pPr>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2.3.2</w:t>
            </w:r>
          </w:p>
        </w:tc>
        <w:tc>
          <w:tcPr>
            <w:tcW w:w="4464" w:type="pct"/>
            <w:noWrap w:val="0"/>
            <w:vAlign w:val="center"/>
          </w:tcPr>
          <w:p w14:paraId="692C293E">
            <w:pPr>
              <w:spacing w:line="4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根据《中华人民共和国民法典》等相关法律法规之规定</w:t>
            </w:r>
            <w:r>
              <w:rPr>
                <w:rFonts w:hint="eastAsia" w:ascii="宋体" w:hAnsi="宋体" w:eastAsia="宋体" w:cs="宋体"/>
                <w:color w:val="auto"/>
                <w:sz w:val="24"/>
                <w:highlight w:val="none"/>
                <w:lang w:eastAsia="zh-CN"/>
              </w:rPr>
              <w:t>。</w:t>
            </w:r>
          </w:p>
        </w:tc>
      </w:tr>
      <w:tr w14:paraId="35094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5" w:type="pct"/>
            <w:tcBorders>
              <w:left w:val="single" w:color="auto" w:sz="4" w:space="0"/>
            </w:tcBorders>
            <w:noWrap w:val="0"/>
            <w:vAlign w:val="center"/>
          </w:tcPr>
          <w:p w14:paraId="73B5A019">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 xml:space="preserve"> </w:t>
            </w:r>
          </w:p>
        </w:tc>
        <w:tc>
          <w:tcPr>
            <w:tcW w:w="4464" w:type="pct"/>
            <w:noWrap w:val="0"/>
            <w:vAlign w:val="center"/>
          </w:tcPr>
          <w:p w14:paraId="6FB0B39F">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合同签订后一个月内支付合同价的20%作为预付款，安装完毕验收合格后支付至合同价的95%，余款质保期结束后一次性结清。</w:t>
            </w:r>
          </w:p>
        </w:tc>
      </w:tr>
      <w:tr w14:paraId="3DA61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5" w:type="pct"/>
            <w:tcBorders>
              <w:left w:val="single" w:color="auto" w:sz="4" w:space="0"/>
            </w:tcBorders>
            <w:noWrap w:val="0"/>
            <w:vAlign w:val="center"/>
          </w:tcPr>
          <w:p w14:paraId="105BA7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4464" w:type="pct"/>
            <w:noWrap w:val="0"/>
            <w:vAlign w:val="center"/>
          </w:tcPr>
          <w:p w14:paraId="61981353">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应在不可抗力时间发生后7天内，进行协商约定。</w:t>
            </w:r>
          </w:p>
        </w:tc>
      </w:tr>
      <w:tr w14:paraId="3902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5" w:type="pct"/>
            <w:tcBorders>
              <w:left w:val="single" w:color="auto" w:sz="4" w:space="0"/>
            </w:tcBorders>
            <w:noWrap w:val="0"/>
            <w:vAlign w:val="center"/>
          </w:tcPr>
          <w:p w14:paraId="6DACA7A1">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2.11.4</w:t>
            </w:r>
          </w:p>
        </w:tc>
        <w:tc>
          <w:tcPr>
            <w:tcW w:w="4464" w:type="pct"/>
            <w:noWrap w:val="0"/>
            <w:vAlign w:val="center"/>
          </w:tcPr>
          <w:p w14:paraId="171B732F">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应在不可抗力时间发生后7天内，进行协商约定</w:t>
            </w:r>
            <w:r>
              <w:rPr>
                <w:rFonts w:hint="eastAsia" w:ascii="宋体" w:hAnsi="宋体" w:cs="宋体"/>
                <w:color w:val="auto"/>
                <w:sz w:val="24"/>
                <w:szCs w:val="24"/>
                <w:highlight w:val="none"/>
                <w:lang w:eastAsia="zh-CN"/>
              </w:rPr>
              <w:t>。</w:t>
            </w:r>
          </w:p>
        </w:tc>
      </w:tr>
      <w:tr w14:paraId="458F5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5" w:type="pct"/>
            <w:tcBorders>
              <w:left w:val="single" w:color="auto" w:sz="4" w:space="0"/>
            </w:tcBorders>
            <w:noWrap w:val="0"/>
            <w:vAlign w:val="center"/>
          </w:tcPr>
          <w:p w14:paraId="4921998F">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2.15.1</w:t>
            </w:r>
          </w:p>
        </w:tc>
        <w:tc>
          <w:tcPr>
            <w:tcW w:w="4464" w:type="pct"/>
            <w:noWrap w:val="0"/>
            <w:vAlign w:val="center"/>
          </w:tcPr>
          <w:p w14:paraId="3BB290A0">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提交申请后30天内</w:t>
            </w:r>
          </w:p>
        </w:tc>
      </w:tr>
      <w:tr w14:paraId="3A4E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5" w:type="pct"/>
            <w:tcBorders>
              <w:left w:val="single" w:color="auto" w:sz="4" w:space="0"/>
            </w:tcBorders>
            <w:noWrap w:val="0"/>
            <w:vAlign w:val="center"/>
          </w:tcPr>
          <w:p w14:paraId="7BF26B82">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2.15.3</w:t>
            </w:r>
          </w:p>
        </w:tc>
        <w:tc>
          <w:tcPr>
            <w:tcW w:w="4464" w:type="pct"/>
            <w:noWrap w:val="0"/>
            <w:vAlign w:val="center"/>
          </w:tcPr>
          <w:p w14:paraId="26C7D40A">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检验和验收标准，以及前述验收文件的有效性以招标采购需求为准。</w:t>
            </w:r>
          </w:p>
        </w:tc>
      </w:tr>
      <w:tr w14:paraId="2777D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5" w:type="pct"/>
            <w:tcBorders>
              <w:left w:val="single" w:color="auto" w:sz="4" w:space="0"/>
            </w:tcBorders>
            <w:noWrap w:val="0"/>
            <w:vAlign w:val="center"/>
          </w:tcPr>
          <w:p w14:paraId="401DA5DF">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2.19</w:t>
            </w:r>
          </w:p>
        </w:tc>
        <w:tc>
          <w:tcPr>
            <w:tcW w:w="4464" w:type="pct"/>
            <w:noWrap w:val="0"/>
            <w:vAlign w:val="center"/>
          </w:tcPr>
          <w:p w14:paraId="2C144ECD">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合同份数：本合同壹式陆份，甲、乙双方各执叁份</w:t>
            </w:r>
          </w:p>
        </w:tc>
      </w:tr>
    </w:tbl>
    <w:p w14:paraId="011BB88F">
      <w:pPr>
        <w:rPr>
          <w:rFonts w:ascii="宋体" w:hAnsi="宋体" w:cs="宋体"/>
          <w:color w:val="auto"/>
          <w:sz w:val="24"/>
          <w:highlight w:val="none"/>
        </w:rPr>
      </w:pPr>
    </w:p>
    <w:p w14:paraId="447C4234">
      <w:pPr>
        <w:rPr>
          <w:rFonts w:ascii="宋体" w:hAnsi="宋体" w:cs="宋体"/>
          <w:color w:val="auto"/>
          <w:sz w:val="24"/>
          <w:highlight w:val="none"/>
        </w:rPr>
      </w:pPr>
    </w:p>
    <w:p w14:paraId="0389761E">
      <w:pPr>
        <w:spacing w:line="360" w:lineRule="auto"/>
        <w:ind w:left="720" w:firstLine="723" w:firstLineChars="200"/>
        <w:outlineLvl w:val="0"/>
        <w:rPr>
          <w:rFonts w:hint="eastAsia" w:ascii="宋体" w:hAnsi="宋体" w:cs="宋体"/>
          <w:b/>
          <w:color w:val="auto"/>
          <w:sz w:val="36"/>
          <w:szCs w:val="20"/>
          <w:highlight w:val="none"/>
        </w:rPr>
      </w:pPr>
    </w:p>
    <w:p w14:paraId="50264152">
      <w:pPr>
        <w:pStyle w:val="82"/>
        <w:rPr>
          <w:rFonts w:hint="eastAsia"/>
        </w:rPr>
      </w:pPr>
    </w:p>
    <w:p w14:paraId="292C9207">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711"/>
      <w:r>
        <w:rPr>
          <w:rFonts w:hint="eastAsia" w:ascii="宋体" w:hAnsi="宋体" w:cs="宋体"/>
          <w:b/>
          <w:color w:val="auto"/>
          <w:sz w:val="36"/>
          <w:szCs w:val="20"/>
          <w:highlight w:val="none"/>
        </w:rPr>
        <w:t xml:space="preserve"> </w:t>
      </w:r>
      <w:bookmarkEnd w:id="712"/>
      <w:r>
        <w:rPr>
          <w:rFonts w:hint="eastAsia" w:ascii="宋体" w:hAnsi="宋体" w:cs="宋体"/>
          <w:b/>
          <w:color w:val="auto"/>
          <w:sz w:val="36"/>
          <w:szCs w:val="20"/>
          <w:highlight w:val="none"/>
        </w:rPr>
        <w:t>应提交的有关格式范例</w:t>
      </w:r>
    </w:p>
    <w:p w14:paraId="19A415CA">
      <w:pPr>
        <w:spacing w:line="360" w:lineRule="auto"/>
        <w:jc w:val="center"/>
        <w:outlineLvl w:val="0"/>
        <w:rPr>
          <w:rFonts w:ascii="宋体" w:hAnsi="宋体" w:cs="宋体"/>
          <w:b/>
          <w:color w:val="auto"/>
          <w:kern w:val="0"/>
          <w:sz w:val="36"/>
          <w:szCs w:val="36"/>
          <w:highlight w:val="none"/>
        </w:rPr>
      </w:pPr>
    </w:p>
    <w:p w14:paraId="5E30D7A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7301C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4F8A32">
      <w:pPr>
        <w:spacing w:line="360" w:lineRule="auto"/>
        <w:jc w:val="center"/>
        <w:outlineLvl w:val="0"/>
        <w:rPr>
          <w:rFonts w:ascii="宋体" w:hAnsi="宋体" w:cs="宋体"/>
          <w:b/>
          <w:color w:val="auto"/>
          <w:kern w:val="0"/>
          <w:sz w:val="36"/>
          <w:szCs w:val="36"/>
          <w:highlight w:val="none"/>
        </w:rPr>
      </w:pPr>
    </w:p>
    <w:p w14:paraId="04A134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62711B8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7D8AFC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）需满足的资格要求</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605121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014760A2">
      <w:pPr>
        <w:snapToGrid w:val="0"/>
        <w:spacing w:line="360" w:lineRule="auto"/>
        <w:rPr>
          <w:rFonts w:ascii="宋体" w:hAnsi="宋体" w:cs="宋体"/>
          <w:color w:val="auto"/>
          <w:sz w:val="24"/>
          <w:highlight w:val="none"/>
        </w:rPr>
      </w:pPr>
    </w:p>
    <w:p w14:paraId="61F5CB8D">
      <w:pPr>
        <w:snapToGrid w:val="0"/>
        <w:spacing w:line="360" w:lineRule="auto"/>
        <w:ind w:firstLine="480" w:firstLineChars="200"/>
        <w:rPr>
          <w:rFonts w:ascii="宋体" w:hAnsi="宋体" w:cs="宋体"/>
          <w:color w:val="auto"/>
          <w:sz w:val="24"/>
          <w:highlight w:val="none"/>
        </w:rPr>
      </w:pPr>
    </w:p>
    <w:p w14:paraId="259C4106">
      <w:pPr>
        <w:spacing w:line="360" w:lineRule="auto"/>
        <w:ind w:firstLine="480" w:firstLineChars="200"/>
        <w:rPr>
          <w:rFonts w:ascii="宋体" w:hAnsi="宋体" w:cs="宋体"/>
          <w:color w:val="auto"/>
          <w:sz w:val="24"/>
          <w:highlight w:val="none"/>
        </w:rPr>
      </w:pPr>
    </w:p>
    <w:p w14:paraId="7ABA4B5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3C8005EE">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淳安枫树岭水力发电有限责任公司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浙江建安工程管理有限公</w:t>
      </w:r>
      <w:r>
        <w:rPr>
          <w:rFonts w:hint="eastAsia" w:ascii="宋体" w:hAnsi="宋体" w:eastAsia="宋体" w:cs="宋体"/>
          <w:color w:val="auto"/>
          <w:kern w:val="0"/>
          <w:sz w:val="24"/>
          <w:highlight w:val="none"/>
          <w:lang w:val="en-US" w:eastAsia="zh-CN"/>
        </w:rPr>
        <w:t>司</w:t>
      </w:r>
      <w:r>
        <w:rPr>
          <w:rFonts w:hint="eastAsia" w:ascii="宋体" w:hAnsi="宋体" w:cs="宋体"/>
          <w:color w:val="auto"/>
          <w:sz w:val="24"/>
          <w:highlight w:val="none"/>
        </w:rPr>
        <w:t>：</w:t>
      </w:r>
    </w:p>
    <w:p w14:paraId="712019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kern w:val="0"/>
          <w:sz w:val="24"/>
          <w:highlight w:val="none"/>
          <w:u w:val="single"/>
          <w:lang w:val="en-US" w:eastAsia="zh-CN"/>
        </w:rPr>
        <w:t>淳安县铜山二级电站生产设备（含安装）技改增效采购项目</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ZJJA2025-06号</w:t>
      </w:r>
      <w:r>
        <w:rPr>
          <w:rFonts w:hint="eastAsia" w:ascii="宋体" w:hAnsi="宋体" w:cs="宋体"/>
          <w:color w:val="auto"/>
          <w:sz w:val="24"/>
          <w:highlight w:val="none"/>
        </w:rPr>
        <w:t>】采购活动，郑重承诺：</w:t>
      </w:r>
    </w:p>
    <w:p w14:paraId="6947D37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规定的条件：</w:t>
      </w:r>
    </w:p>
    <w:p w14:paraId="1DBED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E811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E7F3D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9411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C7793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07E1BE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7B9D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D3FD3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86E5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F8F6A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8AE3D3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94474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8F5C8D">
      <w:pPr>
        <w:snapToGrid w:val="0"/>
        <w:spacing w:line="360" w:lineRule="auto"/>
        <w:ind w:right="480"/>
        <w:jc w:val="center"/>
        <w:rPr>
          <w:rFonts w:ascii="宋体" w:hAnsi="宋体" w:cs="宋体"/>
          <w:b/>
          <w:color w:val="auto"/>
          <w:kern w:val="0"/>
          <w:sz w:val="32"/>
          <w:szCs w:val="32"/>
          <w:highlight w:val="none"/>
        </w:rPr>
      </w:pPr>
    </w:p>
    <w:p w14:paraId="64F1F2EE">
      <w:pPr>
        <w:snapToGrid w:val="0"/>
        <w:spacing w:line="360" w:lineRule="auto"/>
        <w:ind w:right="480"/>
        <w:jc w:val="center"/>
        <w:rPr>
          <w:rFonts w:ascii="宋体" w:hAnsi="宋体" w:cs="宋体"/>
          <w:b/>
          <w:color w:val="auto"/>
          <w:kern w:val="0"/>
          <w:sz w:val="32"/>
          <w:szCs w:val="32"/>
          <w:highlight w:val="none"/>
        </w:rPr>
      </w:pPr>
    </w:p>
    <w:p w14:paraId="49A166C2">
      <w:pPr>
        <w:snapToGrid w:val="0"/>
        <w:spacing w:line="360" w:lineRule="auto"/>
        <w:ind w:right="480"/>
        <w:jc w:val="center"/>
        <w:rPr>
          <w:rFonts w:ascii="宋体" w:hAnsi="宋体" w:cs="宋体"/>
          <w:b/>
          <w:color w:val="auto"/>
          <w:kern w:val="0"/>
          <w:sz w:val="32"/>
          <w:szCs w:val="32"/>
          <w:highlight w:val="none"/>
        </w:rPr>
      </w:pPr>
    </w:p>
    <w:p w14:paraId="575A12DD">
      <w:pPr>
        <w:rPr>
          <w:rFonts w:ascii="宋体" w:hAnsi="宋体" w:cs="宋体"/>
          <w:color w:val="auto"/>
          <w:highlight w:val="none"/>
        </w:rPr>
      </w:pPr>
    </w:p>
    <w:p w14:paraId="3C3D1A2A">
      <w:pPr>
        <w:snapToGrid w:val="0"/>
        <w:spacing w:line="360" w:lineRule="auto"/>
        <w:ind w:right="480"/>
        <w:jc w:val="center"/>
        <w:rPr>
          <w:rFonts w:ascii="宋体" w:hAnsi="宋体" w:cs="宋体"/>
          <w:b/>
          <w:color w:val="auto"/>
          <w:kern w:val="0"/>
          <w:sz w:val="32"/>
          <w:szCs w:val="32"/>
          <w:highlight w:val="none"/>
        </w:rPr>
      </w:pPr>
    </w:p>
    <w:p w14:paraId="3AD94A36">
      <w:pPr>
        <w:snapToGrid w:val="0"/>
        <w:spacing w:line="360" w:lineRule="auto"/>
        <w:ind w:right="480"/>
        <w:jc w:val="center"/>
        <w:rPr>
          <w:rFonts w:ascii="宋体" w:hAnsi="宋体" w:cs="宋体"/>
          <w:b/>
          <w:color w:val="auto"/>
          <w:kern w:val="0"/>
          <w:sz w:val="32"/>
          <w:szCs w:val="32"/>
          <w:highlight w:val="none"/>
        </w:rPr>
      </w:pPr>
    </w:p>
    <w:p w14:paraId="46108D64">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32E801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）；本项目不接受联合体投标或者投标人不以联合体形式投标的，则不需要提供]</w:t>
      </w:r>
    </w:p>
    <w:p w14:paraId="5696C969">
      <w:pPr>
        <w:snapToGrid w:val="0"/>
        <w:spacing w:line="360" w:lineRule="auto"/>
        <w:ind w:right="480"/>
        <w:jc w:val="center"/>
        <w:rPr>
          <w:rFonts w:ascii="宋体" w:hAnsi="宋体" w:cs="宋体"/>
          <w:b/>
          <w:color w:val="auto"/>
          <w:kern w:val="0"/>
          <w:sz w:val="32"/>
          <w:szCs w:val="32"/>
          <w:highlight w:val="none"/>
        </w:rPr>
      </w:pPr>
    </w:p>
    <w:p w14:paraId="61768D86">
      <w:pPr>
        <w:snapToGrid w:val="0"/>
        <w:spacing w:line="360" w:lineRule="auto"/>
        <w:ind w:right="480"/>
        <w:jc w:val="center"/>
        <w:rPr>
          <w:rFonts w:ascii="宋体" w:hAnsi="宋体" w:cs="宋体"/>
          <w:b/>
          <w:color w:val="auto"/>
          <w:kern w:val="0"/>
          <w:sz w:val="32"/>
          <w:szCs w:val="32"/>
          <w:highlight w:val="none"/>
        </w:rPr>
      </w:pPr>
    </w:p>
    <w:p w14:paraId="7B5C62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三、需满足的资格要求</w:t>
      </w:r>
    </w:p>
    <w:p w14:paraId="2E5C895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（根据招标公告落实需满足的资格要求选择提供相应的材料；未要求的，无需提供）</w:t>
      </w:r>
    </w:p>
    <w:p w14:paraId="1EFE8E29">
      <w:pPr>
        <w:widowControl/>
        <w:spacing w:line="360" w:lineRule="auto"/>
        <w:ind w:firstLine="480"/>
        <w:jc w:val="left"/>
        <w:rPr>
          <w:rFonts w:ascii="宋体" w:hAnsi="宋体" w:cs="宋体"/>
          <w:color w:val="auto"/>
          <w:sz w:val="24"/>
          <w:highlight w:val="none"/>
        </w:rPr>
      </w:pPr>
    </w:p>
    <w:p w14:paraId="16E886A8">
      <w:pPr>
        <w:widowControl/>
        <w:spacing w:line="360" w:lineRule="auto"/>
        <w:ind w:firstLine="472" w:firstLineChars="196"/>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lang w:val="en-US" w:eastAsia="zh-CN"/>
        </w:rPr>
        <w:t>A</w:t>
      </w:r>
      <w:r>
        <w:rPr>
          <w:rFonts w:hint="eastAsia" w:ascii="宋体" w:hAnsi="宋体" w:cs="宋体"/>
          <w:b/>
          <w:color w:val="auto"/>
          <w:sz w:val="24"/>
          <w:highlight w:val="none"/>
        </w:rPr>
        <w:t>.</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971773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D2FAB44">
      <w:pPr>
        <w:widowControl/>
        <w:spacing w:line="360" w:lineRule="auto"/>
        <w:ind w:left="150"/>
        <w:jc w:val="center"/>
        <w:rPr>
          <w:rFonts w:ascii="宋体" w:hAnsi="宋体" w:cs="宋体"/>
          <w:b/>
          <w:color w:val="auto"/>
          <w:kern w:val="0"/>
          <w:sz w:val="32"/>
          <w:szCs w:val="32"/>
          <w:highlight w:val="none"/>
        </w:rPr>
      </w:pPr>
    </w:p>
    <w:p w14:paraId="5B73E5B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D3BA8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C5CE0BC">
      <w:pPr>
        <w:rPr>
          <w:rFonts w:ascii="宋体" w:hAnsi="宋体" w:cs="宋体"/>
          <w:color w:val="auto"/>
          <w:highlight w:val="none"/>
        </w:rPr>
      </w:pPr>
    </w:p>
    <w:p w14:paraId="6EF1E89F">
      <w:pPr>
        <w:snapToGrid w:val="0"/>
        <w:spacing w:line="360" w:lineRule="auto"/>
        <w:outlineLvl w:val="0"/>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2B983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FDBD8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E2D5FE">
      <w:pPr>
        <w:numPr>
          <w:ilvl w:val="0"/>
          <w:numId w:val="5"/>
        </w:num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4C24D74B">
      <w:pPr>
        <w:numPr>
          <w:ilvl w:val="0"/>
          <w:numId w:val="0"/>
        </w:num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5F8DCC4">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DEA531B">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4D5FE42">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1C1C8D6E">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00B1F7BF">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AA7C35B">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4C9B1A26">
      <w:pPr>
        <w:snapToGrid w:val="0"/>
        <w:spacing w:line="360" w:lineRule="auto"/>
        <w:jc w:val="center"/>
        <w:rPr>
          <w:rFonts w:ascii="宋体" w:hAnsi="宋体" w:cs="宋体"/>
          <w:b/>
          <w:color w:val="auto"/>
          <w:kern w:val="0"/>
          <w:sz w:val="32"/>
          <w:szCs w:val="32"/>
          <w:highlight w:val="none"/>
          <w:lang w:val="zh-CN"/>
        </w:rPr>
      </w:pPr>
    </w:p>
    <w:p w14:paraId="774B47F9">
      <w:pPr>
        <w:snapToGrid w:val="0"/>
        <w:spacing w:line="360" w:lineRule="auto"/>
        <w:jc w:val="center"/>
        <w:rPr>
          <w:rFonts w:ascii="宋体" w:hAnsi="宋体" w:cs="宋体"/>
          <w:b/>
          <w:color w:val="auto"/>
          <w:kern w:val="0"/>
          <w:sz w:val="32"/>
          <w:szCs w:val="32"/>
          <w:highlight w:val="none"/>
          <w:lang w:val="zh-CN"/>
        </w:rPr>
      </w:pPr>
    </w:p>
    <w:p w14:paraId="2919ACBB">
      <w:pPr>
        <w:snapToGrid w:val="0"/>
        <w:spacing w:line="360" w:lineRule="auto"/>
        <w:jc w:val="center"/>
        <w:rPr>
          <w:rFonts w:ascii="宋体" w:hAnsi="宋体" w:cs="宋体"/>
          <w:b/>
          <w:color w:val="auto"/>
          <w:kern w:val="0"/>
          <w:sz w:val="32"/>
          <w:szCs w:val="32"/>
          <w:highlight w:val="none"/>
          <w:lang w:val="zh-CN"/>
        </w:rPr>
      </w:pPr>
    </w:p>
    <w:p w14:paraId="2D0EB34B">
      <w:pPr>
        <w:snapToGrid w:val="0"/>
        <w:spacing w:line="360" w:lineRule="auto"/>
        <w:jc w:val="center"/>
        <w:rPr>
          <w:rFonts w:ascii="宋体" w:hAnsi="宋体" w:cs="宋体"/>
          <w:b/>
          <w:color w:val="auto"/>
          <w:kern w:val="0"/>
          <w:sz w:val="32"/>
          <w:szCs w:val="32"/>
          <w:highlight w:val="none"/>
          <w:lang w:val="zh-CN"/>
        </w:rPr>
      </w:pPr>
    </w:p>
    <w:p w14:paraId="2575C735">
      <w:pPr>
        <w:snapToGrid w:val="0"/>
        <w:spacing w:line="360" w:lineRule="auto"/>
        <w:jc w:val="center"/>
        <w:rPr>
          <w:rFonts w:ascii="宋体" w:hAnsi="宋体" w:cs="宋体"/>
          <w:b/>
          <w:color w:val="auto"/>
          <w:kern w:val="0"/>
          <w:sz w:val="32"/>
          <w:szCs w:val="32"/>
          <w:highlight w:val="none"/>
          <w:lang w:val="zh-CN"/>
        </w:rPr>
      </w:pPr>
    </w:p>
    <w:p w14:paraId="6F8FD0FD">
      <w:pPr>
        <w:snapToGrid w:val="0"/>
        <w:spacing w:line="360" w:lineRule="auto"/>
        <w:jc w:val="center"/>
        <w:outlineLvl w:val="0"/>
        <w:rPr>
          <w:rFonts w:ascii="宋体" w:hAnsi="宋体" w:cs="宋体"/>
          <w:b/>
          <w:color w:val="auto"/>
          <w:kern w:val="0"/>
          <w:sz w:val="32"/>
          <w:szCs w:val="32"/>
          <w:highlight w:val="none"/>
        </w:rPr>
      </w:pPr>
    </w:p>
    <w:p w14:paraId="3C40DF68">
      <w:pPr>
        <w:snapToGrid w:val="0"/>
        <w:spacing w:line="360" w:lineRule="auto"/>
        <w:jc w:val="center"/>
        <w:outlineLvl w:val="0"/>
        <w:rPr>
          <w:rFonts w:ascii="宋体" w:hAnsi="宋体" w:cs="宋体"/>
          <w:b/>
          <w:color w:val="auto"/>
          <w:kern w:val="0"/>
          <w:sz w:val="32"/>
          <w:szCs w:val="32"/>
          <w:highlight w:val="none"/>
        </w:rPr>
      </w:pPr>
    </w:p>
    <w:p w14:paraId="0527B784">
      <w:pPr>
        <w:rPr>
          <w:rFonts w:ascii="宋体" w:hAnsi="宋体" w:cs="宋体"/>
          <w:color w:val="auto"/>
          <w:highlight w:val="none"/>
        </w:rPr>
      </w:pPr>
    </w:p>
    <w:p w14:paraId="2B020C94">
      <w:pPr>
        <w:snapToGrid w:val="0"/>
        <w:spacing w:line="360" w:lineRule="auto"/>
        <w:jc w:val="center"/>
        <w:outlineLvl w:val="0"/>
        <w:rPr>
          <w:rFonts w:ascii="宋体" w:hAnsi="宋体" w:cs="宋体"/>
          <w:b/>
          <w:color w:val="auto"/>
          <w:kern w:val="0"/>
          <w:sz w:val="32"/>
          <w:szCs w:val="32"/>
          <w:highlight w:val="none"/>
        </w:rPr>
      </w:pPr>
    </w:p>
    <w:p w14:paraId="2B222920">
      <w:pPr>
        <w:snapToGrid w:val="0"/>
        <w:spacing w:line="360" w:lineRule="auto"/>
        <w:jc w:val="center"/>
        <w:outlineLvl w:val="0"/>
        <w:rPr>
          <w:rFonts w:ascii="宋体" w:hAnsi="宋体" w:cs="宋体"/>
          <w:b/>
          <w:color w:val="auto"/>
          <w:kern w:val="0"/>
          <w:sz w:val="32"/>
          <w:szCs w:val="32"/>
          <w:highlight w:val="none"/>
        </w:rPr>
      </w:pPr>
    </w:p>
    <w:p w14:paraId="4A7A10B4">
      <w:pPr>
        <w:pStyle w:val="3"/>
        <w:rPr>
          <w:color w:val="auto"/>
          <w:highlight w:val="none"/>
          <w:lang w:val="en-US"/>
        </w:rPr>
      </w:pPr>
    </w:p>
    <w:p w14:paraId="2596FAC6">
      <w:pPr>
        <w:rPr>
          <w:color w:val="auto"/>
          <w:highlight w:val="none"/>
        </w:rPr>
      </w:pPr>
    </w:p>
    <w:p w14:paraId="3900E54C">
      <w:pPr>
        <w:snapToGrid w:val="0"/>
        <w:spacing w:line="360" w:lineRule="auto"/>
        <w:ind w:firstLine="3855" w:firstLineChars="1200"/>
        <w:outlineLvl w:val="0"/>
        <w:rPr>
          <w:rFonts w:ascii="宋体" w:hAnsi="宋体" w:cs="宋体"/>
          <w:b/>
          <w:color w:val="auto"/>
          <w:kern w:val="0"/>
          <w:sz w:val="32"/>
          <w:szCs w:val="32"/>
          <w:highlight w:val="none"/>
        </w:rPr>
      </w:pPr>
    </w:p>
    <w:p w14:paraId="695DCE1E">
      <w:pPr>
        <w:pStyle w:val="25"/>
        <w:rPr>
          <w:rFonts w:ascii="宋体" w:hAnsi="宋体" w:cs="宋体"/>
          <w:b/>
          <w:color w:val="auto"/>
          <w:kern w:val="0"/>
          <w:sz w:val="32"/>
          <w:szCs w:val="32"/>
          <w:highlight w:val="none"/>
        </w:rPr>
      </w:pPr>
    </w:p>
    <w:p w14:paraId="169BACE4">
      <w:pPr>
        <w:pStyle w:val="62"/>
        <w:rPr>
          <w:color w:val="auto"/>
          <w:highlight w:val="none"/>
        </w:rPr>
      </w:pPr>
    </w:p>
    <w:p w14:paraId="7166067C">
      <w:pPr>
        <w:pStyle w:val="63"/>
        <w:ind w:firstLine="643"/>
        <w:rPr>
          <w:rFonts w:cs="宋体"/>
          <w:b/>
          <w:color w:val="auto"/>
          <w:kern w:val="0"/>
          <w:sz w:val="32"/>
          <w:szCs w:val="32"/>
          <w:highlight w:val="none"/>
        </w:rPr>
      </w:pPr>
    </w:p>
    <w:p w14:paraId="2199314D">
      <w:pPr>
        <w:keepNext w:val="0"/>
        <w:keepLines w:val="0"/>
        <w:pageBreakBefore w:val="0"/>
        <w:widowControl w:val="0"/>
        <w:kinsoku/>
        <w:wordWrap/>
        <w:overflowPunct/>
        <w:topLinePunct w:val="0"/>
        <w:autoSpaceDE/>
        <w:autoSpaceDN/>
        <w:bidi w:val="0"/>
        <w:adjustRightInd w:val="0"/>
        <w:snapToGrid w:val="0"/>
        <w:spacing w:line="336" w:lineRule="auto"/>
        <w:ind w:firstLine="3855" w:firstLineChars="1200"/>
        <w:textAlignment w:val="auto"/>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E2804B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color w:val="auto"/>
          <w:sz w:val="24"/>
          <w:highlight w:val="none"/>
        </w:rPr>
      </w:pPr>
      <w:r>
        <w:rPr>
          <w:rFonts w:hint="eastAsia" w:ascii="宋体" w:hAnsi="宋体" w:cs="宋体"/>
          <w:color w:val="auto"/>
          <w:kern w:val="0"/>
          <w:sz w:val="24"/>
          <w:highlight w:val="none"/>
          <w:lang w:val="en-US" w:eastAsia="zh-CN"/>
        </w:rPr>
        <w:t>淳安枫树岭水力发电有限责任公司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浙江建安工程管理有限公</w:t>
      </w:r>
      <w:r>
        <w:rPr>
          <w:rFonts w:hint="eastAsia" w:ascii="宋体" w:hAnsi="宋体" w:eastAsia="宋体" w:cs="宋体"/>
          <w:color w:val="auto"/>
          <w:kern w:val="0"/>
          <w:sz w:val="24"/>
          <w:highlight w:val="none"/>
          <w:lang w:val="en-US" w:eastAsia="zh-CN"/>
        </w:rPr>
        <w:t>司</w:t>
      </w:r>
      <w:r>
        <w:rPr>
          <w:rFonts w:hint="eastAsia" w:ascii="宋体" w:hAnsi="宋体" w:cs="宋体"/>
          <w:color w:val="auto"/>
          <w:sz w:val="24"/>
          <w:highlight w:val="none"/>
        </w:rPr>
        <w:t>：</w:t>
      </w:r>
    </w:p>
    <w:p w14:paraId="51D2284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kern w:val="0"/>
          <w:sz w:val="24"/>
          <w:highlight w:val="none"/>
          <w:u w:val="single"/>
          <w:lang w:val="en-US" w:eastAsia="zh-CN"/>
        </w:rPr>
        <w:t>淳安县铜山二级电站生产设备（含安装）技改增效采购项目</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ZJJA2025-06号</w:t>
      </w:r>
      <w:r>
        <w:rPr>
          <w:rFonts w:hint="eastAsia" w:ascii="宋体" w:hAnsi="宋体" w:cs="宋体"/>
          <w:color w:val="auto"/>
          <w:sz w:val="24"/>
          <w:highlight w:val="none"/>
        </w:rPr>
        <w:t>】招标的有关活动，并对此项目进行投标。为此：</w:t>
      </w:r>
    </w:p>
    <w:p w14:paraId="5CC2C47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92A7F8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8D27E9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114356A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7A6282D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99D48C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val="en-US" w:eastAsia="zh-CN"/>
        </w:rPr>
        <w:t>。</w:t>
      </w:r>
    </w:p>
    <w:p w14:paraId="7E3602E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CE370E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F16870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D4AF0B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CEE33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392B8C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73F2FE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5B34AA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F7BBF7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5066B9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7381D1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2F502A9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AF24BD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4、如我方中标，我方承诺：</w:t>
      </w:r>
    </w:p>
    <w:p w14:paraId="3B80624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676614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7EC9F0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439EAA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A019E2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609DC9">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8A2A801">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9EAF852">
      <w:pPr>
        <w:keepNext w:val="0"/>
        <w:keepLines w:val="0"/>
        <w:pageBreakBefore w:val="0"/>
        <w:widowControl w:val="0"/>
        <w:kinsoku/>
        <w:wordWrap/>
        <w:overflowPunct/>
        <w:topLinePunct w:val="0"/>
        <w:autoSpaceDE/>
        <w:autoSpaceDN/>
        <w:bidi w:val="0"/>
        <w:adjustRightInd w:val="0"/>
        <w:spacing w:line="312" w:lineRule="auto"/>
        <w:ind w:right="420"/>
        <w:textAlignment w:val="auto"/>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388B0F3">
      <w:pPr>
        <w:pStyle w:val="84"/>
        <w:rPr>
          <w:rFonts w:hint="eastAsia"/>
          <w:color w:val="auto"/>
          <w:highlight w:val="none"/>
        </w:rPr>
      </w:pPr>
    </w:p>
    <w:p w14:paraId="6B5AED93">
      <w:pPr>
        <w:jc w:val="both"/>
        <w:rPr>
          <w:rFonts w:hint="eastAsia" w:ascii="宋体" w:hAnsi="宋体" w:cs="宋体"/>
          <w:b/>
          <w:color w:val="auto"/>
          <w:kern w:val="0"/>
          <w:sz w:val="32"/>
          <w:szCs w:val="32"/>
          <w:highlight w:val="none"/>
          <w:lang w:val="zh-CN"/>
        </w:rPr>
      </w:pPr>
    </w:p>
    <w:p w14:paraId="363654A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879477">
      <w:pPr>
        <w:snapToGrid w:val="0"/>
        <w:spacing w:line="360" w:lineRule="auto"/>
        <w:jc w:val="center"/>
        <w:rPr>
          <w:rFonts w:ascii="宋体" w:hAnsi="宋体" w:cs="宋体"/>
          <w:color w:val="auto"/>
          <w:sz w:val="24"/>
          <w:highlight w:val="none"/>
        </w:rPr>
      </w:pPr>
    </w:p>
    <w:p w14:paraId="40BF6473">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08EEBCDA">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淳安枫树岭水力发电有限责任公司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浙江建安工程管理有限公</w:t>
      </w:r>
      <w:r>
        <w:rPr>
          <w:rFonts w:hint="eastAsia" w:ascii="宋体" w:hAnsi="宋体" w:eastAsia="宋体" w:cs="宋体"/>
          <w:color w:val="auto"/>
          <w:kern w:val="0"/>
          <w:sz w:val="24"/>
          <w:highlight w:val="none"/>
          <w:lang w:val="en-US" w:eastAsia="zh-CN"/>
        </w:rPr>
        <w:t>司</w:t>
      </w:r>
      <w:r>
        <w:rPr>
          <w:rFonts w:hint="eastAsia" w:ascii="宋体" w:hAnsi="宋体" w:cs="宋体"/>
          <w:color w:val="auto"/>
          <w:sz w:val="24"/>
          <w:highlight w:val="none"/>
        </w:rPr>
        <w:t>：</w:t>
      </w:r>
    </w:p>
    <w:p w14:paraId="19E23B7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淳安县铜山二级电站生产设备（含安装）技改增效采购项目</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ZJJA2025-06号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64CBCA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9C41F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6076A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C3256F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289EA24">
      <w:pPr>
        <w:snapToGrid w:val="0"/>
        <w:spacing w:line="360" w:lineRule="auto"/>
        <w:rPr>
          <w:rFonts w:ascii="宋体" w:hAnsi="宋体" w:cs="宋体"/>
          <w:color w:val="auto"/>
          <w:sz w:val="24"/>
          <w:highlight w:val="none"/>
        </w:rPr>
      </w:pPr>
    </w:p>
    <w:p w14:paraId="40EFBBED">
      <w:pPr>
        <w:snapToGrid w:val="0"/>
        <w:spacing w:line="360" w:lineRule="auto"/>
        <w:jc w:val="both"/>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授权委托书（适用于联合体投标）</w:t>
      </w:r>
    </w:p>
    <w:p w14:paraId="1C1516E4">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淳安枫树岭水力发电有限责任公司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浙江建安工程管理有限公</w:t>
      </w:r>
      <w:r>
        <w:rPr>
          <w:rFonts w:hint="eastAsia" w:ascii="宋体" w:hAnsi="宋体" w:eastAsia="宋体" w:cs="宋体"/>
          <w:color w:val="auto"/>
          <w:kern w:val="0"/>
          <w:sz w:val="24"/>
          <w:highlight w:val="none"/>
          <w:lang w:val="en-US" w:eastAsia="zh-CN"/>
        </w:rPr>
        <w:t>司</w:t>
      </w:r>
      <w:r>
        <w:rPr>
          <w:rFonts w:hint="eastAsia" w:ascii="宋体" w:hAnsi="宋体" w:cs="宋体"/>
          <w:color w:val="auto"/>
          <w:sz w:val="24"/>
          <w:highlight w:val="none"/>
        </w:rPr>
        <w:t>：</w:t>
      </w:r>
    </w:p>
    <w:p w14:paraId="689C06A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淳安县铜山二级电站生产设备（含安装）技改增效采购项目</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ZJJA2025-06号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45CE52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C256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2EA61AB">
      <w:pPr>
        <w:jc w:val="center"/>
        <w:rPr>
          <w:rFonts w:ascii="宋体" w:hAnsi="宋体" w:cs="宋体"/>
          <w:b/>
          <w:color w:val="auto"/>
          <w:kern w:val="0"/>
          <w:sz w:val="32"/>
          <w:szCs w:val="32"/>
          <w:highlight w:val="none"/>
        </w:rPr>
      </w:pPr>
    </w:p>
    <w:p w14:paraId="4E1E657E">
      <w:pPr>
        <w:jc w:val="center"/>
        <w:rPr>
          <w:rFonts w:ascii="宋体" w:hAnsi="宋体" w:cs="宋体"/>
          <w:b/>
          <w:color w:val="auto"/>
          <w:kern w:val="0"/>
          <w:sz w:val="32"/>
          <w:szCs w:val="32"/>
          <w:highlight w:val="none"/>
        </w:rPr>
      </w:pPr>
    </w:p>
    <w:p w14:paraId="54F3F832">
      <w:pPr>
        <w:jc w:val="center"/>
        <w:rPr>
          <w:rFonts w:ascii="宋体" w:hAnsi="宋体" w:cs="宋体"/>
          <w:b/>
          <w:color w:val="auto"/>
          <w:kern w:val="0"/>
          <w:sz w:val="32"/>
          <w:szCs w:val="32"/>
          <w:highlight w:val="none"/>
        </w:rPr>
      </w:pPr>
    </w:p>
    <w:p w14:paraId="1AE858B0">
      <w:pPr>
        <w:rPr>
          <w:rFonts w:ascii="宋体" w:hAnsi="宋体" w:cs="宋体"/>
          <w:color w:val="auto"/>
          <w:highlight w:val="none"/>
        </w:rPr>
      </w:pPr>
    </w:p>
    <w:p w14:paraId="2D9A84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41FE7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1851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17A8F8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A31DF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6C034FE">
      <w:pPr>
        <w:pStyle w:val="15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70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FD879C">
            <w:pPr>
              <w:pStyle w:val="15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3156C63">
            <w:pPr>
              <w:pStyle w:val="157"/>
              <w:adjustRightInd w:val="0"/>
              <w:spacing w:line="360" w:lineRule="auto"/>
              <w:rPr>
                <w:rFonts w:hAnsi="宋体" w:cs="宋体"/>
                <w:bCs/>
                <w:color w:val="auto"/>
                <w:sz w:val="24"/>
                <w:highlight w:val="none"/>
              </w:rPr>
            </w:pPr>
          </w:p>
        </w:tc>
      </w:tr>
    </w:tbl>
    <w:p w14:paraId="1CDFF5B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FD0C8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9CED2F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3F023F">
      <w:pPr>
        <w:jc w:val="center"/>
        <w:rPr>
          <w:rFonts w:ascii="宋体" w:hAnsi="宋体" w:cs="宋体"/>
          <w:b/>
          <w:color w:val="auto"/>
          <w:kern w:val="0"/>
          <w:sz w:val="32"/>
          <w:szCs w:val="32"/>
          <w:highlight w:val="none"/>
        </w:rPr>
      </w:pPr>
    </w:p>
    <w:p w14:paraId="169682E8">
      <w:pPr>
        <w:jc w:val="center"/>
        <w:rPr>
          <w:rFonts w:ascii="宋体" w:hAnsi="宋体" w:cs="宋体"/>
          <w:b/>
          <w:color w:val="auto"/>
          <w:kern w:val="0"/>
          <w:sz w:val="32"/>
          <w:szCs w:val="32"/>
          <w:highlight w:val="none"/>
        </w:rPr>
      </w:pPr>
    </w:p>
    <w:p w14:paraId="39E73367">
      <w:pPr>
        <w:jc w:val="center"/>
        <w:rPr>
          <w:rFonts w:ascii="宋体" w:hAnsi="宋体" w:cs="宋体"/>
          <w:b/>
          <w:color w:val="auto"/>
          <w:kern w:val="0"/>
          <w:sz w:val="32"/>
          <w:szCs w:val="32"/>
          <w:highlight w:val="none"/>
        </w:rPr>
      </w:pPr>
    </w:p>
    <w:p w14:paraId="2CA25F9C">
      <w:pPr>
        <w:jc w:val="center"/>
        <w:rPr>
          <w:rFonts w:ascii="宋体" w:hAnsi="宋体" w:cs="宋体"/>
          <w:b/>
          <w:color w:val="auto"/>
          <w:kern w:val="0"/>
          <w:sz w:val="32"/>
          <w:szCs w:val="32"/>
          <w:highlight w:val="none"/>
        </w:rPr>
      </w:pPr>
    </w:p>
    <w:p w14:paraId="56C357C4">
      <w:pPr>
        <w:jc w:val="center"/>
        <w:rPr>
          <w:rFonts w:ascii="宋体" w:hAnsi="宋体" w:cs="宋体"/>
          <w:b/>
          <w:color w:val="auto"/>
          <w:kern w:val="0"/>
          <w:sz w:val="32"/>
          <w:szCs w:val="32"/>
          <w:highlight w:val="none"/>
        </w:rPr>
      </w:pPr>
    </w:p>
    <w:p w14:paraId="454565D1">
      <w:pPr>
        <w:jc w:val="center"/>
        <w:rPr>
          <w:rFonts w:ascii="宋体" w:hAnsi="宋体" w:cs="宋体"/>
          <w:b/>
          <w:color w:val="auto"/>
          <w:kern w:val="0"/>
          <w:sz w:val="32"/>
          <w:szCs w:val="32"/>
          <w:highlight w:val="none"/>
        </w:rPr>
      </w:pPr>
    </w:p>
    <w:p w14:paraId="469C57F3">
      <w:pPr>
        <w:jc w:val="center"/>
        <w:rPr>
          <w:rFonts w:ascii="宋体" w:hAnsi="宋体" w:cs="宋体"/>
          <w:b/>
          <w:color w:val="auto"/>
          <w:kern w:val="0"/>
          <w:sz w:val="32"/>
          <w:szCs w:val="32"/>
          <w:highlight w:val="none"/>
        </w:rPr>
      </w:pPr>
    </w:p>
    <w:p w14:paraId="2332F49E">
      <w:pPr>
        <w:jc w:val="center"/>
        <w:rPr>
          <w:rFonts w:ascii="宋体" w:hAnsi="宋体" w:cs="宋体"/>
          <w:b/>
          <w:color w:val="auto"/>
          <w:kern w:val="0"/>
          <w:sz w:val="32"/>
          <w:szCs w:val="32"/>
          <w:highlight w:val="none"/>
        </w:rPr>
      </w:pPr>
    </w:p>
    <w:p w14:paraId="031B1DD8">
      <w:pPr>
        <w:jc w:val="center"/>
        <w:rPr>
          <w:rFonts w:ascii="宋体" w:hAnsi="宋体" w:cs="宋体"/>
          <w:b/>
          <w:color w:val="auto"/>
          <w:kern w:val="0"/>
          <w:sz w:val="32"/>
          <w:szCs w:val="32"/>
          <w:highlight w:val="none"/>
        </w:rPr>
      </w:pPr>
    </w:p>
    <w:p w14:paraId="72C402A2">
      <w:pPr>
        <w:jc w:val="center"/>
        <w:rPr>
          <w:rFonts w:ascii="宋体" w:hAnsi="宋体" w:cs="宋体"/>
          <w:b/>
          <w:color w:val="auto"/>
          <w:kern w:val="0"/>
          <w:sz w:val="32"/>
          <w:szCs w:val="32"/>
          <w:highlight w:val="none"/>
        </w:rPr>
      </w:pPr>
    </w:p>
    <w:p w14:paraId="4A1E09C8">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AC33C6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7AA7421">
      <w:pPr>
        <w:widowControl/>
        <w:spacing w:line="360" w:lineRule="auto"/>
        <w:ind w:firstLine="120" w:firstLineChars="50"/>
        <w:jc w:val="left"/>
        <w:rPr>
          <w:rFonts w:ascii="宋体" w:hAnsi="宋体" w:cs="宋体"/>
          <w:color w:val="auto"/>
          <w:sz w:val="24"/>
          <w:highlight w:val="none"/>
        </w:rPr>
      </w:pPr>
      <w:bookmarkStart w:id="80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w:t>
      </w:r>
      <w:r>
        <w:rPr>
          <w:rFonts w:hint="eastAsia" w:ascii="宋体" w:hAnsi="宋体" w:cs="宋体"/>
          <w:b/>
          <w:color w:val="auto"/>
          <w:sz w:val="24"/>
          <w:highlight w:val="none"/>
          <w:lang w:val="en-US" w:eastAsia="zh-CN"/>
        </w:rPr>
        <w:t>5</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808"/>
    <w:p w14:paraId="3B45BEC9">
      <w:pPr>
        <w:pStyle w:val="3"/>
        <w:ind w:left="0" w:firstLine="0"/>
        <w:rPr>
          <w:color w:val="auto"/>
          <w:highlight w:val="none"/>
          <w:lang w:val="en-US"/>
        </w:rPr>
      </w:pPr>
    </w:p>
    <w:p w14:paraId="176DBE10">
      <w:pPr>
        <w:jc w:val="center"/>
        <w:rPr>
          <w:rFonts w:ascii="宋体" w:hAnsi="宋体" w:cs="宋体"/>
          <w:b/>
          <w:color w:val="auto"/>
          <w:kern w:val="0"/>
          <w:sz w:val="32"/>
          <w:szCs w:val="32"/>
          <w:highlight w:val="none"/>
        </w:rPr>
      </w:pPr>
    </w:p>
    <w:p w14:paraId="6D8700A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55EC03">
      <w:pPr>
        <w:jc w:val="center"/>
        <w:rPr>
          <w:rFonts w:ascii="宋体" w:hAnsi="宋体" w:cs="宋体"/>
          <w:b/>
          <w:color w:val="auto"/>
          <w:kern w:val="0"/>
          <w:sz w:val="32"/>
          <w:szCs w:val="32"/>
          <w:highlight w:val="none"/>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8C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6EE05C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3243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5D5C61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C3505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B2ADBA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EAC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693548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611B727">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D035DD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39769514">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450CE82B">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EDB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2DDFA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E94B3A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7EE365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2DF6290">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3C6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483DDA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CC7EC37">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C2A594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3BE681C">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9FFF6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3D1314">
      <w:pPr>
        <w:jc w:val="center"/>
        <w:rPr>
          <w:rFonts w:ascii="宋体" w:hAnsi="宋体" w:cs="宋体"/>
          <w:b/>
          <w:color w:val="auto"/>
          <w:kern w:val="0"/>
          <w:sz w:val="32"/>
          <w:szCs w:val="32"/>
          <w:highlight w:val="none"/>
        </w:rPr>
      </w:pPr>
    </w:p>
    <w:p w14:paraId="4FD45C4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B6EF6D7">
      <w:pPr>
        <w:jc w:val="center"/>
        <w:rPr>
          <w:rFonts w:ascii="宋体" w:hAnsi="宋体" w:cs="宋体"/>
          <w:b/>
          <w:color w:val="auto"/>
          <w:kern w:val="0"/>
          <w:sz w:val="32"/>
          <w:szCs w:val="32"/>
          <w:highlight w:val="none"/>
        </w:rPr>
      </w:pPr>
    </w:p>
    <w:p w14:paraId="270C0FB2">
      <w:pPr>
        <w:jc w:val="center"/>
        <w:rPr>
          <w:rFonts w:ascii="宋体" w:hAnsi="宋体" w:cs="宋体"/>
          <w:b/>
          <w:color w:val="auto"/>
          <w:kern w:val="0"/>
          <w:sz w:val="32"/>
          <w:szCs w:val="32"/>
          <w:highlight w:val="none"/>
        </w:rPr>
      </w:pPr>
    </w:p>
    <w:p w14:paraId="74726284">
      <w:pPr>
        <w:jc w:val="center"/>
        <w:rPr>
          <w:rFonts w:ascii="宋体" w:hAnsi="宋体" w:cs="宋体"/>
          <w:b/>
          <w:color w:val="auto"/>
          <w:kern w:val="0"/>
          <w:sz w:val="32"/>
          <w:szCs w:val="32"/>
          <w:highlight w:val="none"/>
        </w:rPr>
      </w:pPr>
    </w:p>
    <w:p w14:paraId="4FCA8BAA">
      <w:pPr>
        <w:jc w:val="center"/>
        <w:rPr>
          <w:rFonts w:ascii="宋体" w:hAnsi="宋体" w:cs="宋体"/>
          <w:b/>
          <w:color w:val="auto"/>
          <w:kern w:val="0"/>
          <w:sz w:val="32"/>
          <w:szCs w:val="32"/>
          <w:highlight w:val="none"/>
        </w:rPr>
      </w:pPr>
    </w:p>
    <w:p w14:paraId="7902ED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E5B13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3FF505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E713F17">
      <w:pPr>
        <w:jc w:val="center"/>
        <w:rPr>
          <w:rFonts w:ascii="宋体" w:hAnsi="宋体" w:cs="宋体"/>
          <w:b/>
          <w:color w:val="auto"/>
          <w:kern w:val="0"/>
          <w:sz w:val="32"/>
          <w:szCs w:val="32"/>
          <w:highlight w:val="none"/>
        </w:rPr>
      </w:pPr>
    </w:p>
    <w:p w14:paraId="18EB07FB">
      <w:pPr>
        <w:jc w:val="center"/>
        <w:rPr>
          <w:rFonts w:ascii="宋体" w:hAnsi="宋体" w:cs="宋体"/>
          <w:b/>
          <w:color w:val="auto"/>
          <w:kern w:val="0"/>
          <w:sz w:val="32"/>
          <w:szCs w:val="32"/>
          <w:highlight w:val="none"/>
        </w:rPr>
      </w:pPr>
    </w:p>
    <w:p w14:paraId="396CF069">
      <w:pPr>
        <w:jc w:val="center"/>
        <w:rPr>
          <w:rFonts w:ascii="宋体" w:hAnsi="宋体" w:cs="宋体"/>
          <w:b/>
          <w:color w:val="auto"/>
          <w:kern w:val="0"/>
          <w:sz w:val="32"/>
          <w:szCs w:val="32"/>
          <w:highlight w:val="none"/>
        </w:rPr>
      </w:pPr>
    </w:p>
    <w:p w14:paraId="1275D0B0">
      <w:pPr>
        <w:keepNext w:val="0"/>
        <w:keepLines w:val="0"/>
        <w:pageBreakBefore w:val="0"/>
        <w:widowControl w:val="0"/>
        <w:kinsoku/>
        <w:wordWrap/>
        <w:overflowPunct/>
        <w:topLinePunct w:val="0"/>
        <w:autoSpaceDE/>
        <w:autoSpaceDN/>
        <w:bidi w:val="0"/>
        <w:adjustRightInd w:val="0"/>
        <w:snapToGrid/>
        <w:spacing w:line="360" w:lineRule="auto"/>
        <w:ind w:firstLine="2891" w:firstLineChars="900"/>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3397"/>
        <w:gridCol w:w="1215"/>
        <w:gridCol w:w="1215"/>
      </w:tblGrid>
      <w:tr w14:paraId="134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A7A7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04F8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62AF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397" w:type="dxa"/>
            <w:tcBorders>
              <w:top w:val="single" w:color="auto" w:sz="4" w:space="0"/>
              <w:left w:val="single" w:color="auto" w:sz="4" w:space="0"/>
              <w:bottom w:val="single" w:color="auto" w:sz="4" w:space="0"/>
              <w:right w:val="single" w:color="auto" w:sz="4" w:space="0"/>
            </w:tcBorders>
            <w:vAlign w:val="center"/>
          </w:tcPr>
          <w:p w14:paraId="1B9070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r>
              <w:rPr>
                <w:rFonts w:hint="eastAsia" w:ascii="宋体" w:hAnsi="宋体" w:cs="宋体"/>
                <w:b/>
                <w:color w:val="auto"/>
                <w:sz w:val="24"/>
                <w:highlight w:val="none"/>
                <w:lang w:val="en-US" w:eastAsia="zh-CN"/>
              </w:rPr>
              <w:t>及详细的技术参数</w:t>
            </w:r>
          </w:p>
        </w:tc>
        <w:tc>
          <w:tcPr>
            <w:tcW w:w="1215" w:type="dxa"/>
            <w:tcBorders>
              <w:top w:val="single" w:color="auto" w:sz="4" w:space="0"/>
              <w:left w:val="single" w:color="auto" w:sz="4" w:space="0"/>
              <w:bottom w:val="single" w:color="auto" w:sz="4" w:space="0"/>
              <w:right w:val="single" w:color="auto" w:sz="4" w:space="0"/>
            </w:tcBorders>
            <w:vAlign w:val="center"/>
          </w:tcPr>
          <w:p w14:paraId="560244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15" w:type="dxa"/>
            <w:tcBorders>
              <w:top w:val="single" w:color="auto" w:sz="4" w:space="0"/>
              <w:left w:val="single" w:color="auto" w:sz="4" w:space="0"/>
              <w:bottom w:val="single" w:color="auto" w:sz="4" w:space="0"/>
              <w:right w:val="single" w:color="auto" w:sz="4" w:space="0"/>
            </w:tcBorders>
            <w:vAlign w:val="center"/>
          </w:tcPr>
          <w:p w14:paraId="558F73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CF6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94F8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9E8D6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74AA8C">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1C0A9E29">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38BA0601">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361DB2A4">
            <w:pPr>
              <w:spacing w:line="360" w:lineRule="auto"/>
              <w:jc w:val="center"/>
              <w:rPr>
                <w:rFonts w:ascii="宋体" w:hAnsi="宋体" w:cs="宋体"/>
                <w:color w:val="auto"/>
                <w:sz w:val="24"/>
                <w:highlight w:val="none"/>
              </w:rPr>
            </w:pPr>
          </w:p>
        </w:tc>
      </w:tr>
      <w:tr w14:paraId="7E7C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825C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D322E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2186B8">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5E53A1F4">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23E95113">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A1A4967">
            <w:pPr>
              <w:spacing w:line="360" w:lineRule="auto"/>
              <w:jc w:val="center"/>
              <w:rPr>
                <w:rFonts w:ascii="宋体" w:hAnsi="宋体" w:cs="宋体"/>
                <w:color w:val="auto"/>
                <w:sz w:val="24"/>
                <w:highlight w:val="none"/>
              </w:rPr>
            </w:pPr>
          </w:p>
        </w:tc>
      </w:tr>
      <w:tr w14:paraId="54DC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DF81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DA47A0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5B0EF4">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54DD1997">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7713BC6D">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058C257C">
            <w:pPr>
              <w:spacing w:line="360" w:lineRule="auto"/>
              <w:jc w:val="center"/>
              <w:rPr>
                <w:rFonts w:ascii="宋体" w:hAnsi="宋体" w:cs="宋体"/>
                <w:color w:val="auto"/>
                <w:sz w:val="24"/>
                <w:highlight w:val="none"/>
              </w:rPr>
            </w:pPr>
          </w:p>
        </w:tc>
      </w:tr>
    </w:tbl>
    <w:p w14:paraId="60FB15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6F3E6B">
      <w:pPr>
        <w:jc w:val="center"/>
        <w:rPr>
          <w:rFonts w:ascii="宋体" w:hAnsi="宋体" w:cs="宋体"/>
          <w:b/>
          <w:color w:val="auto"/>
          <w:kern w:val="0"/>
          <w:sz w:val="32"/>
          <w:szCs w:val="32"/>
          <w:highlight w:val="none"/>
        </w:rPr>
      </w:pPr>
    </w:p>
    <w:p w14:paraId="311DC95F">
      <w:pPr>
        <w:jc w:val="center"/>
        <w:rPr>
          <w:rFonts w:ascii="宋体" w:hAnsi="宋体" w:cs="宋体"/>
          <w:b/>
          <w:color w:val="auto"/>
          <w:kern w:val="0"/>
          <w:sz w:val="32"/>
          <w:szCs w:val="32"/>
          <w:highlight w:val="none"/>
        </w:rPr>
      </w:pPr>
    </w:p>
    <w:p w14:paraId="341F8AF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309"/>
        <w:gridCol w:w="1215"/>
      </w:tblGrid>
      <w:tr w14:paraId="6313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C9A1A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FE22BE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309" w:type="dxa"/>
          </w:tcPr>
          <w:p w14:paraId="0516086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15" w:type="dxa"/>
          </w:tcPr>
          <w:p w14:paraId="136EDD1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810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E2F94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A7F40A3">
            <w:pPr>
              <w:jc w:val="center"/>
              <w:rPr>
                <w:rFonts w:ascii="宋体" w:hAnsi="宋体" w:cs="宋体"/>
                <w:b/>
                <w:color w:val="auto"/>
                <w:kern w:val="0"/>
                <w:sz w:val="32"/>
                <w:szCs w:val="32"/>
                <w:highlight w:val="none"/>
              </w:rPr>
            </w:pPr>
          </w:p>
        </w:tc>
        <w:tc>
          <w:tcPr>
            <w:tcW w:w="3309" w:type="dxa"/>
          </w:tcPr>
          <w:p w14:paraId="6676D539">
            <w:pPr>
              <w:jc w:val="center"/>
              <w:rPr>
                <w:rFonts w:ascii="宋体" w:hAnsi="宋体" w:cs="宋体"/>
                <w:b/>
                <w:color w:val="auto"/>
                <w:kern w:val="0"/>
                <w:sz w:val="32"/>
                <w:szCs w:val="32"/>
                <w:highlight w:val="none"/>
              </w:rPr>
            </w:pPr>
          </w:p>
        </w:tc>
        <w:tc>
          <w:tcPr>
            <w:tcW w:w="1215" w:type="dxa"/>
          </w:tcPr>
          <w:p w14:paraId="7383083A">
            <w:pPr>
              <w:jc w:val="center"/>
              <w:rPr>
                <w:rFonts w:ascii="宋体" w:hAnsi="宋体" w:cs="宋体"/>
                <w:b/>
                <w:color w:val="auto"/>
                <w:kern w:val="0"/>
                <w:sz w:val="32"/>
                <w:szCs w:val="32"/>
                <w:highlight w:val="none"/>
              </w:rPr>
            </w:pPr>
          </w:p>
        </w:tc>
      </w:tr>
      <w:tr w14:paraId="08CA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91A28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D8A06DA">
            <w:pPr>
              <w:jc w:val="center"/>
              <w:rPr>
                <w:rFonts w:ascii="宋体" w:hAnsi="宋体" w:cs="宋体"/>
                <w:b/>
                <w:color w:val="auto"/>
                <w:kern w:val="0"/>
                <w:sz w:val="32"/>
                <w:szCs w:val="32"/>
                <w:highlight w:val="none"/>
              </w:rPr>
            </w:pPr>
          </w:p>
        </w:tc>
        <w:tc>
          <w:tcPr>
            <w:tcW w:w="3309" w:type="dxa"/>
          </w:tcPr>
          <w:p w14:paraId="60AA1752">
            <w:pPr>
              <w:jc w:val="center"/>
              <w:rPr>
                <w:rFonts w:ascii="宋体" w:hAnsi="宋体" w:cs="宋体"/>
                <w:b/>
                <w:color w:val="auto"/>
                <w:kern w:val="0"/>
                <w:sz w:val="32"/>
                <w:szCs w:val="32"/>
                <w:highlight w:val="none"/>
              </w:rPr>
            </w:pPr>
          </w:p>
        </w:tc>
        <w:tc>
          <w:tcPr>
            <w:tcW w:w="1215" w:type="dxa"/>
          </w:tcPr>
          <w:p w14:paraId="73ED6CCE">
            <w:pPr>
              <w:jc w:val="center"/>
              <w:rPr>
                <w:rFonts w:ascii="宋体" w:hAnsi="宋体" w:cs="宋体"/>
                <w:b/>
                <w:color w:val="auto"/>
                <w:kern w:val="0"/>
                <w:sz w:val="32"/>
                <w:szCs w:val="32"/>
                <w:highlight w:val="none"/>
              </w:rPr>
            </w:pPr>
          </w:p>
        </w:tc>
      </w:tr>
      <w:tr w14:paraId="2C4D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D8F08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6F8255D">
            <w:pPr>
              <w:jc w:val="center"/>
              <w:rPr>
                <w:rFonts w:ascii="宋体" w:hAnsi="宋体" w:cs="宋体"/>
                <w:b/>
                <w:color w:val="auto"/>
                <w:kern w:val="0"/>
                <w:sz w:val="32"/>
                <w:szCs w:val="32"/>
                <w:highlight w:val="none"/>
              </w:rPr>
            </w:pPr>
          </w:p>
        </w:tc>
        <w:tc>
          <w:tcPr>
            <w:tcW w:w="3309" w:type="dxa"/>
          </w:tcPr>
          <w:p w14:paraId="1E38AB0F">
            <w:pPr>
              <w:jc w:val="center"/>
              <w:rPr>
                <w:rFonts w:ascii="宋体" w:hAnsi="宋体" w:cs="宋体"/>
                <w:b/>
                <w:color w:val="auto"/>
                <w:kern w:val="0"/>
                <w:sz w:val="32"/>
                <w:szCs w:val="32"/>
                <w:highlight w:val="none"/>
              </w:rPr>
            </w:pPr>
          </w:p>
        </w:tc>
        <w:tc>
          <w:tcPr>
            <w:tcW w:w="1215" w:type="dxa"/>
          </w:tcPr>
          <w:p w14:paraId="61528205">
            <w:pPr>
              <w:jc w:val="center"/>
              <w:rPr>
                <w:rFonts w:ascii="宋体" w:hAnsi="宋体" w:cs="宋体"/>
                <w:b/>
                <w:color w:val="auto"/>
                <w:kern w:val="0"/>
                <w:sz w:val="32"/>
                <w:szCs w:val="32"/>
                <w:highlight w:val="none"/>
              </w:rPr>
            </w:pPr>
          </w:p>
        </w:tc>
      </w:tr>
    </w:tbl>
    <w:p w14:paraId="088CA6B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A2BE7A6">
      <w:pPr>
        <w:jc w:val="center"/>
        <w:rPr>
          <w:rFonts w:ascii="宋体" w:hAnsi="宋体" w:cs="宋体"/>
          <w:b/>
          <w:color w:val="auto"/>
          <w:kern w:val="0"/>
          <w:sz w:val="32"/>
          <w:szCs w:val="32"/>
          <w:highlight w:val="none"/>
        </w:rPr>
      </w:pPr>
    </w:p>
    <w:p w14:paraId="01A49E9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5FAEF7">
      <w:pPr>
        <w:ind w:firstLine="1911" w:firstLineChars="595"/>
        <w:rPr>
          <w:rFonts w:ascii="宋体" w:hAnsi="宋体" w:cs="宋体"/>
          <w:b/>
          <w:bCs/>
          <w:color w:val="auto"/>
          <w:sz w:val="32"/>
          <w:szCs w:val="32"/>
          <w:highlight w:val="none"/>
        </w:rPr>
      </w:pPr>
    </w:p>
    <w:p w14:paraId="41C1F352">
      <w:pPr>
        <w:ind w:firstLine="1911" w:firstLineChars="595"/>
        <w:rPr>
          <w:rFonts w:ascii="宋体" w:hAnsi="宋体" w:cs="宋体"/>
          <w:b/>
          <w:bCs/>
          <w:color w:val="auto"/>
          <w:sz w:val="32"/>
          <w:szCs w:val="32"/>
          <w:highlight w:val="none"/>
        </w:rPr>
      </w:pPr>
    </w:p>
    <w:p w14:paraId="350347A1">
      <w:pPr>
        <w:ind w:firstLine="1911" w:firstLineChars="595"/>
        <w:rPr>
          <w:rFonts w:ascii="宋体" w:hAnsi="宋体" w:cs="宋体"/>
          <w:b/>
          <w:bCs/>
          <w:color w:val="auto"/>
          <w:sz w:val="32"/>
          <w:szCs w:val="32"/>
          <w:highlight w:val="none"/>
        </w:rPr>
      </w:pPr>
    </w:p>
    <w:p w14:paraId="5D8B857B">
      <w:pPr>
        <w:ind w:firstLine="1911" w:firstLineChars="595"/>
        <w:rPr>
          <w:rFonts w:ascii="宋体" w:hAnsi="宋体" w:cs="宋体"/>
          <w:b/>
          <w:bCs/>
          <w:color w:val="auto"/>
          <w:sz w:val="32"/>
          <w:szCs w:val="32"/>
          <w:highlight w:val="none"/>
        </w:rPr>
      </w:pPr>
    </w:p>
    <w:p w14:paraId="1A61FF31">
      <w:pPr>
        <w:ind w:firstLine="1911" w:firstLineChars="595"/>
        <w:rPr>
          <w:rFonts w:ascii="宋体" w:hAnsi="宋体" w:cs="宋体"/>
          <w:b/>
          <w:bCs/>
          <w:color w:val="auto"/>
          <w:sz w:val="32"/>
          <w:szCs w:val="32"/>
          <w:highlight w:val="none"/>
        </w:rPr>
      </w:pPr>
    </w:p>
    <w:p w14:paraId="4BE0C35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189D5B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0009391D">
      <w:pPr>
        <w:snapToGrid w:val="0"/>
        <w:spacing w:line="360" w:lineRule="auto"/>
        <w:rPr>
          <w:rFonts w:ascii="宋体" w:hAnsi="宋体" w:cs="宋体"/>
          <w:color w:val="auto"/>
          <w:sz w:val="24"/>
          <w:highlight w:val="none"/>
        </w:rPr>
      </w:pPr>
    </w:p>
    <w:p w14:paraId="289935D8">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淳安枫树岭水力发电有限责任公司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浙江建安工程管理有限公司</w:t>
      </w:r>
      <w:r>
        <w:rPr>
          <w:rFonts w:hint="eastAsia" w:ascii="宋体" w:hAnsi="宋体" w:cs="宋体"/>
          <w:color w:val="auto"/>
          <w:kern w:val="0"/>
          <w:sz w:val="24"/>
          <w:highlight w:val="none"/>
          <w:lang w:val="zh-CN"/>
        </w:rPr>
        <w:t>：</w:t>
      </w:r>
    </w:p>
    <w:p w14:paraId="069936D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我单位响应你单位项目招标要求参加投标。在这次投标过程中和中标后，我们将严格遵守国家法律法规要求，并郑重承诺：</w:t>
      </w:r>
    </w:p>
    <w:p w14:paraId="141E15F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904049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7280A9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FD6E1F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2BEBB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2AB7FB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六、严格遵守《中华人民共和国招标投标法》《中华人民共和国民法典》等法律法规，诚实守信，合法经营，坚决抵制各种违法违纪行为。 </w:t>
      </w:r>
    </w:p>
    <w:p w14:paraId="3946C92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D1C0E7F">
      <w:pPr>
        <w:autoSpaceDE w:val="0"/>
        <w:autoSpaceDN w:val="0"/>
        <w:spacing w:line="360" w:lineRule="auto"/>
        <w:ind w:left="2"/>
        <w:jc w:val="left"/>
        <w:rPr>
          <w:rFonts w:ascii="宋体" w:hAnsi="宋体" w:cs="宋体"/>
          <w:color w:val="auto"/>
          <w:kern w:val="0"/>
          <w:sz w:val="24"/>
          <w:highlight w:val="none"/>
          <w:lang w:val="zh-CN"/>
        </w:rPr>
      </w:pPr>
    </w:p>
    <w:p w14:paraId="6D46253A">
      <w:pPr>
        <w:autoSpaceDE w:val="0"/>
        <w:autoSpaceDN w:val="0"/>
        <w:spacing w:line="360" w:lineRule="auto"/>
        <w:ind w:left="2"/>
        <w:jc w:val="left"/>
        <w:rPr>
          <w:rFonts w:ascii="宋体" w:hAnsi="宋体" w:cs="宋体"/>
          <w:color w:val="auto"/>
          <w:kern w:val="0"/>
          <w:sz w:val="24"/>
          <w:highlight w:val="none"/>
          <w:lang w:val="zh-CN"/>
        </w:rPr>
      </w:pPr>
    </w:p>
    <w:p w14:paraId="4A727C24">
      <w:pPr>
        <w:autoSpaceDE w:val="0"/>
        <w:autoSpaceDN w:val="0"/>
        <w:spacing w:line="360" w:lineRule="auto"/>
        <w:ind w:left="2"/>
        <w:jc w:val="left"/>
        <w:rPr>
          <w:rFonts w:ascii="宋体" w:hAnsi="宋体" w:cs="宋体"/>
          <w:color w:val="auto"/>
          <w:kern w:val="0"/>
          <w:sz w:val="24"/>
          <w:highlight w:val="none"/>
          <w:lang w:val="zh-CN"/>
        </w:rPr>
      </w:pPr>
    </w:p>
    <w:p w14:paraId="7A256A2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7B98A7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D7738EA">
      <w:pPr>
        <w:spacing w:line="360" w:lineRule="auto"/>
        <w:jc w:val="center"/>
        <w:rPr>
          <w:rFonts w:ascii="宋体" w:hAnsi="宋体" w:cs="宋体"/>
          <w:b/>
          <w:bCs/>
          <w:color w:val="auto"/>
          <w:sz w:val="24"/>
          <w:highlight w:val="none"/>
        </w:rPr>
      </w:pPr>
    </w:p>
    <w:p w14:paraId="440CB7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B9FD04">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35E403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2690A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A6E8CA">
      <w:pPr>
        <w:spacing w:line="360" w:lineRule="auto"/>
        <w:jc w:val="center"/>
        <w:outlineLvl w:val="0"/>
        <w:rPr>
          <w:rFonts w:ascii="宋体" w:hAnsi="宋体" w:cs="宋体"/>
          <w:b/>
          <w:color w:val="auto"/>
          <w:kern w:val="0"/>
          <w:sz w:val="36"/>
          <w:szCs w:val="36"/>
          <w:highlight w:val="none"/>
        </w:rPr>
      </w:pPr>
    </w:p>
    <w:p w14:paraId="5198F1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5AB6C72">
      <w:pPr>
        <w:snapToGrid w:val="0"/>
        <w:spacing w:line="360" w:lineRule="auto"/>
        <w:ind w:right="480"/>
        <w:jc w:val="center"/>
        <w:rPr>
          <w:rFonts w:ascii="宋体" w:hAnsi="宋体" w:cs="宋体"/>
          <w:b/>
          <w:color w:val="auto"/>
          <w:kern w:val="0"/>
          <w:sz w:val="32"/>
          <w:szCs w:val="32"/>
          <w:highlight w:val="none"/>
        </w:rPr>
      </w:pPr>
    </w:p>
    <w:p w14:paraId="5AFF930C">
      <w:pPr>
        <w:snapToGrid w:val="0"/>
        <w:spacing w:line="360" w:lineRule="auto"/>
        <w:ind w:right="480"/>
        <w:jc w:val="center"/>
        <w:rPr>
          <w:rFonts w:ascii="宋体" w:hAnsi="宋体" w:cs="宋体"/>
          <w:b/>
          <w:color w:val="auto"/>
          <w:kern w:val="0"/>
          <w:sz w:val="32"/>
          <w:szCs w:val="32"/>
          <w:highlight w:val="none"/>
        </w:rPr>
      </w:pPr>
    </w:p>
    <w:p w14:paraId="06F1066D">
      <w:pPr>
        <w:snapToGrid w:val="0"/>
        <w:spacing w:line="360" w:lineRule="auto"/>
        <w:ind w:right="480"/>
        <w:jc w:val="center"/>
        <w:rPr>
          <w:rFonts w:ascii="宋体" w:hAnsi="宋体" w:cs="宋体"/>
          <w:b/>
          <w:color w:val="auto"/>
          <w:kern w:val="0"/>
          <w:sz w:val="32"/>
          <w:szCs w:val="32"/>
          <w:highlight w:val="none"/>
        </w:rPr>
      </w:pPr>
    </w:p>
    <w:p w14:paraId="1F38A02A">
      <w:pPr>
        <w:snapToGrid w:val="0"/>
        <w:spacing w:line="360" w:lineRule="auto"/>
        <w:ind w:right="480"/>
        <w:jc w:val="center"/>
        <w:rPr>
          <w:rFonts w:ascii="宋体" w:hAnsi="宋体" w:cs="宋体"/>
          <w:b/>
          <w:color w:val="auto"/>
          <w:kern w:val="0"/>
          <w:sz w:val="32"/>
          <w:szCs w:val="32"/>
          <w:highlight w:val="none"/>
        </w:rPr>
      </w:pPr>
    </w:p>
    <w:p w14:paraId="24820C36">
      <w:pPr>
        <w:snapToGrid w:val="0"/>
        <w:spacing w:line="360" w:lineRule="auto"/>
        <w:ind w:right="480"/>
        <w:jc w:val="center"/>
        <w:rPr>
          <w:rFonts w:ascii="宋体" w:hAnsi="宋体" w:cs="宋体"/>
          <w:b/>
          <w:color w:val="auto"/>
          <w:kern w:val="0"/>
          <w:sz w:val="32"/>
          <w:szCs w:val="32"/>
          <w:highlight w:val="none"/>
        </w:rPr>
      </w:pPr>
    </w:p>
    <w:p w14:paraId="4626872F">
      <w:pPr>
        <w:snapToGrid w:val="0"/>
        <w:spacing w:line="360" w:lineRule="auto"/>
        <w:ind w:right="480"/>
        <w:jc w:val="center"/>
        <w:rPr>
          <w:rFonts w:ascii="宋体" w:hAnsi="宋体" w:cs="宋体"/>
          <w:b/>
          <w:color w:val="auto"/>
          <w:kern w:val="0"/>
          <w:sz w:val="32"/>
          <w:szCs w:val="32"/>
          <w:highlight w:val="none"/>
        </w:rPr>
      </w:pPr>
    </w:p>
    <w:p w14:paraId="2539DE0A">
      <w:pPr>
        <w:snapToGrid w:val="0"/>
        <w:spacing w:line="360" w:lineRule="auto"/>
        <w:ind w:right="480"/>
        <w:jc w:val="center"/>
        <w:rPr>
          <w:rFonts w:ascii="宋体" w:hAnsi="宋体" w:cs="宋体"/>
          <w:b/>
          <w:color w:val="auto"/>
          <w:kern w:val="0"/>
          <w:sz w:val="32"/>
          <w:szCs w:val="32"/>
          <w:highlight w:val="none"/>
        </w:rPr>
      </w:pPr>
    </w:p>
    <w:p w14:paraId="5A92A79B">
      <w:pPr>
        <w:snapToGrid w:val="0"/>
        <w:spacing w:line="360" w:lineRule="auto"/>
        <w:ind w:right="480"/>
        <w:jc w:val="center"/>
        <w:rPr>
          <w:rFonts w:ascii="宋体" w:hAnsi="宋体" w:cs="宋体"/>
          <w:b/>
          <w:color w:val="auto"/>
          <w:kern w:val="0"/>
          <w:sz w:val="32"/>
          <w:szCs w:val="32"/>
          <w:highlight w:val="none"/>
        </w:rPr>
      </w:pPr>
    </w:p>
    <w:p w14:paraId="60AA2808">
      <w:pPr>
        <w:snapToGrid w:val="0"/>
        <w:spacing w:line="360" w:lineRule="auto"/>
        <w:ind w:right="480"/>
        <w:jc w:val="center"/>
        <w:rPr>
          <w:rFonts w:ascii="宋体" w:hAnsi="宋体" w:cs="宋体"/>
          <w:b/>
          <w:color w:val="auto"/>
          <w:kern w:val="0"/>
          <w:sz w:val="32"/>
          <w:szCs w:val="32"/>
          <w:highlight w:val="none"/>
        </w:rPr>
      </w:pPr>
    </w:p>
    <w:p w14:paraId="0793F723">
      <w:pPr>
        <w:snapToGrid w:val="0"/>
        <w:spacing w:line="360" w:lineRule="auto"/>
        <w:ind w:right="480"/>
        <w:jc w:val="center"/>
        <w:rPr>
          <w:rFonts w:ascii="宋体" w:hAnsi="宋体" w:cs="宋体"/>
          <w:b/>
          <w:color w:val="auto"/>
          <w:kern w:val="0"/>
          <w:sz w:val="32"/>
          <w:szCs w:val="32"/>
          <w:highlight w:val="none"/>
        </w:rPr>
      </w:pPr>
    </w:p>
    <w:p w14:paraId="2D14114C">
      <w:pPr>
        <w:snapToGrid w:val="0"/>
        <w:spacing w:line="360" w:lineRule="auto"/>
        <w:ind w:right="480"/>
        <w:jc w:val="center"/>
        <w:rPr>
          <w:rFonts w:ascii="宋体" w:hAnsi="宋体" w:cs="宋体"/>
          <w:b/>
          <w:color w:val="auto"/>
          <w:kern w:val="0"/>
          <w:sz w:val="32"/>
          <w:szCs w:val="32"/>
          <w:highlight w:val="none"/>
        </w:rPr>
      </w:pPr>
    </w:p>
    <w:p w14:paraId="7F69B1C8">
      <w:pPr>
        <w:snapToGrid w:val="0"/>
        <w:spacing w:line="360" w:lineRule="auto"/>
        <w:ind w:right="480"/>
        <w:jc w:val="center"/>
        <w:rPr>
          <w:rFonts w:ascii="宋体" w:hAnsi="宋体" w:cs="宋体"/>
          <w:b/>
          <w:color w:val="auto"/>
          <w:kern w:val="0"/>
          <w:sz w:val="32"/>
          <w:szCs w:val="32"/>
          <w:highlight w:val="none"/>
        </w:rPr>
      </w:pPr>
    </w:p>
    <w:p w14:paraId="28EF740D">
      <w:pPr>
        <w:snapToGrid w:val="0"/>
        <w:spacing w:line="360" w:lineRule="auto"/>
        <w:ind w:right="480"/>
        <w:jc w:val="center"/>
        <w:rPr>
          <w:rFonts w:ascii="宋体" w:hAnsi="宋体" w:cs="宋体"/>
          <w:b/>
          <w:color w:val="auto"/>
          <w:kern w:val="0"/>
          <w:sz w:val="32"/>
          <w:szCs w:val="32"/>
          <w:highlight w:val="none"/>
        </w:rPr>
      </w:pPr>
    </w:p>
    <w:p w14:paraId="38197DC4">
      <w:pPr>
        <w:snapToGrid w:val="0"/>
        <w:spacing w:line="360" w:lineRule="auto"/>
        <w:ind w:right="480"/>
        <w:jc w:val="center"/>
        <w:rPr>
          <w:rFonts w:ascii="宋体" w:hAnsi="宋体" w:cs="宋体"/>
          <w:b/>
          <w:color w:val="auto"/>
          <w:kern w:val="0"/>
          <w:sz w:val="32"/>
          <w:szCs w:val="32"/>
          <w:highlight w:val="none"/>
        </w:rPr>
      </w:pPr>
    </w:p>
    <w:p w14:paraId="564BC260">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7FEC870">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C712289">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淳安枫树岭水力发电有限责任公司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浙江建安工程管理有限公司</w:t>
      </w:r>
      <w:r>
        <w:rPr>
          <w:rFonts w:hint="eastAsia" w:ascii="宋体" w:hAnsi="宋体" w:cs="宋体"/>
          <w:color w:val="auto"/>
          <w:kern w:val="0"/>
          <w:sz w:val="24"/>
          <w:highlight w:val="none"/>
          <w:lang w:val="zh-CN"/>
        </w:rPr>
        <w:t>：</w:t>
      </w:r>
    </w:p>
    <w:p w14:paraId="5BC3131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淳安县铜山二级电站生产设备（含安装）技改增效采购项目</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ZJJA2025-06号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924919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342"/>
        <w:gridCol w:w="1843"/>
        <w:gridCol w:w="3118"/>
        <w:gridCol w:w="993"/>
        <w:gridCol w:w="1559"/>
        <w:gridCol w:w="1984"/>
        <w:gridCol w:w="3119"/>
      </w:tblGrid>
      <w:tr w14:paraId="7432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09" w:type="dxa"/>
            <w:vAlign w:val="center"/>
          </w:tcPr>
          <w:p w14:paraId="465601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42" w:type="dxa"/>
            <w:vAlign w:val="center"/>
          </w:tcPr>
          <w:p w14:paraId="1F874FA8">
            <w:pPr>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名称</w:t>
            </w:r>
          </w:p>
        </w:tc>
        <w:tc>
          <w:tcPr>
            <w:tcW w:w="1843" w:type="dxa"/>
            <w:vAlign w:val="top"/>
          </w:tcPr>
          <w:p w14:paraId="1B201E69">
            <w:pPr>
              <w:spacing w:line="360" w:lineRule="auto"/>
              <w:jc w:val="center"/>
              <w:rPr>
                <w:rFonts w:ascii="宋体" w:hAnsi="宋体" w:cs="宋体"/>
                <w:b/>
                <w:color w:val="auto"/>
                <w:sz w:val="24"/>
                <w:highlight w:val="none"/>
              </w:rPr>
            </w:pPr>
          </w:p>
          <w:p w14:paraId="0A00C852">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品牌（如果有）</w:t>
            </w:r>
          </w:p>
        </w:tc>
        <w:tc>
          <w:tcPr>
            <w:tcW w:w="3118" w:type="dxa"/>
            <w:vAlign w:val="center"/>
          </w:tcPr>
          <w:p w14:paraId="6C2C73B1">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规格型号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或服务要求</w:t>
            </w:r>
            <w:r>
              <w:rPr>
                <w:rFonts w:hint="eastAsia" w:ascii="宋体" w:hAnsi="宋体" w:cs="宋体"/>
                <w:b/>
                <w:color w:val="auto"/>
                <w:sz w:val="24"/>
                <w:highlight w:val="none"/>
                <w:lang w:eastAsia="zh-CN"/>
              </w:rPr>
              <w:t>）</w:t>
            </w:r>
          </w:p>
        </w:tc>
        <w:tc>
          <w:tcPr>
            <w:tcW w:w="993" w:type="dxa"/>
            <w:vAlign w:val="center"/>
          </w:tcPr>
          <w:p w14:paraId="6E70AEDE">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数量</w:t>
            </w:r>
          </w:p>
        </w:tc>
        <w:tc>
          <w:tcPr>
            <w:tcW w:w="1559" w:type="dxa"/>
            <w:vAlign w:val="center"/>
          </w:tcPr>
          <w:p w14:paraId="4D56AE95">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单价</w:t>
            </w:r>
          </w:p>
        </w:tc>
        <w:tc>
          <w:tcPr>
            <w:tcW w:w="1984" w:type="dxa"/>
            <w:vAlign w:val="center"/>
          </w:tcPr>
          <w:p w14:paraId="2D7083E6">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合计</w:t>
            </w:r>
          </w:p>
        </w:tc>
        <w:tc>
          <w:tcPr>
            <w:tcW w:w="3119" w:type="dxa"/>
            <w:vAlign w:val="center"/>
          </w:tcPr>
          <w:p w14:paraId="6C493C8C">
            <w:pPr>
              <w:spacing w:line="360" w:lineRule="auto"/>
              <w:jc w:val="center"/>
              <w:rPr>
                <w:rFonts w:ascii="宋体" w:hAnsi="宋体" w:cs="宋体"/>
                <w:b/>
                <w:color w:val="auto"/>
                <w:sz w:val="24"/>
                <w:highlight w:val="none"/>
              </w:rPr>
            </w:pPr>
          </w:p>
          <w:p w14:paraId="77E361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9292F85">
            <w:pPr>
              <w:spacing w:line="360" w:lineRule="auto"/>
              <w:jc w:val="center"/>
              <w:rPr>
                <w:rFonts w:ascii="宋体" w:hAnsi="宋体" w:eastAsia="宋体" w:cs="宋体"/>
                <w:b/>
                <w:color w:val="auto"/>
                <w:kern w:val="2"/>
                <w:sz w:val="24"/>
                <w:szCs w:val="24"/>
                <w:highlight w:val="none"/>
                <w:lang w:val="en-US" w:eastAsia="zh-CN" w:bidi="ar-SA"/>
              </w:rPr>
            </w:pPr>
          </w:p>
        </w:tc>
      </w:tr>
      <w:tr w14:paraId="7167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7B14030F">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1342" w:type="dxa"/>
            <w:vAlign w:val="center"/>
          </w:tcPr>
          <w:p w14:paraId="6F81CFD2">
            <w:pPr>
              <w:snapToGrid w:val="0"/>
              <w:spacing w:line="360" w:lineRule="auto"/>
              <w:jc w:val="center"/>
              <w:rPr>
                <w:rFonts w:ascii="宋体" w:hAnsi="宋体" w:cs="宋体"/>
                <w:color w:val="auto"/>
                <w:sz w:val="24"/>
                <w:highlight w:val="none"/>
              </w:rPr>
            </w:pPr>
          </w:p>
        </w:tc>
        <w:tc>
          <w:tcPr>
            <w:tcW w:w="1843" w:type="dxa"/>
            <w:vAlign w:val="center"/>
          </w:tcPr>
          <w:p w14:paraId="7F9EB074">
            <w:pPr>
              <w:snapToGrid w:val="0"/>
              <w:spacing w:line="360" w:lineRule="auto"/>
              <w:jc w:val="center"/>
              <w:rPr>
                <w:rFonts w:ascii="宋体" w:hAnsi="宋体" w:cs="宋体"/>
                <w:color w:val="auto"/>
                <w:sz w:val="24"/>
                <w:highlight w:val="none"/>
              </w:rPr>
            </w:pPr>
          </w:p>
        </w:tc>
        <w:tc>
          <w:tcPr>
            <w:tcW w:w="3118" w:type="dxa"/>
            <w:vAlign w:val="center"/>
          </w:tcPr>
          <w:p w14:paraId="75BB6757">
            <w:pPr>
              <w:snapToGrid w:val="0"/>
              <w:spacing w:line="360" w:lineRule="auto"/>
              <w:jc w:val="center"/>
              <w:rPr>
                <w:rFonts w:ascii="宋体" w:hAnsi="宋体" w:cs="宋体"/>
                <w:color w:val="auto"/>
                <w:sz w:val="24"/>
                <w:highlight w:val="none"/>
              </w:rPr>
            </w:pPr>
          </w:p>
        </w:tc>
        <w:tc>
          <w:tcPr>
            <w:tcW w:w="993" w:type="dxa"/>
            <w:vAlign w:val="center"/>
          </w:tcPr>
          <w:p w14:paraId="4AF0F0A9">
            <w:pPr>
              <w:snapToGrid w:val="0"/>
              <w:spacing w:line="360" w:lineRule="auto"/>
              <w:jc w:val="center"/>
              <w:rPr>
                <w:rFonts w:ascii="宋体" w:hAnsi="宋体" w:cs="宋体"/>
                <w:color w:val="auto"/>
                <w:sz w:val="24"/>
                <w:highlight w:val="none"/>
              </w:rPr>
            </w:pPr>
          </w:p>
        </w:tc>
        <w:tc>
          <w:tcPr>
            <w:tcW w:w="1559" w:type="dxa"/>
            <w:vAlign w:val="center"/>
          </w:tcPr>
          <w:p w14:paraId="3D529F62">
            <w:pPr>
              <w:spacing w:line="360" w:lineRule="auto"/>
              <w:jc w:val="center"/>
              <w:rPr>
                <w:rFonts w:ascii="宋体" w:hAnsi="宋体" w:cs="宋体"/>
                <w:color w:val="auto"/>
                <w:sz w:val="24"/>
                <w:highlight w:val="none"/>
              </w:rPr>
            </w:pPr>
          </w:p>
        </w:tc>
        <w:tc>
          <w:tcPr>
            <w:tcW w:w="1984" w:type="dxa"/>
            <w:vAlign w:val="center"/>
          </w:tcPr>
          <w:p w14:paraId="601A0B41">
            <w:pPr>
              <w:spacing w:line="360" w:lineRule="auto"/>
              <w:jc w:val="center"/>
              <w:rPr>
                <w:rFonts w:ascii="宋体" w:hAnsi="宋体" w:cs="宋体"/>
                <w:color w:val="auto"/>
                <w:sz w:val="24"/>
                <w:highlight w:val="none"/>
              </w:rPr>
            </w:pPr>
          </w:p>
        </w:tc>
        <w:tc>
          <w:tcPr>
            <w:tcW w:w="3119" w:type="dxa"/>
            <w:vAlign w:val="center"/>
          </w:tcPr>
          <w:p w14:paraId="6D72274D">
            <w:pPr>
              <w:spacing w:line="360" w:lineRule="auto"/>
              <w:jc w:val="center"/>
              <w:rPr>
                <w:rFonts w:ascii="宋体" w:hAnsi="宋体" w:cs="宋体"/>
                <w:color w:val="auto"/>
                <w:sz w:val="24"/>
                <w:highlight w:val="none"/>
              </w:rPr>
            </w:pPr>
          </w:p>
        </w:tc>
      </w:tr>
      <w:tr w14:paraId="1723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631C298F">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1342" w:type="dxa"/>
            <w:vAlign w:val="center"/>
          </w:tcPr>
          <w:p w14:paraId="0466EF8E">
            <w:pPr>
              <w:snapToGrid w:val="0"/>
              <w:spacing w:line="360" w:lineRule="auto"/>
              <w:jc w:val="center"/>
              <w:rPr>
                <w:rFonts w:ascii="宋体" w:hAnsi="宋体" w:cs="宋体"/>
                <w:color w:val="auto"/>
                <w:sz w:val="24"/>
                <w:highlight w:val="none"/>
              </w:rPr>
            </w:pPr>
          </w:p>
        </w:tc>
        <w:tc>
          <w:tcPr>
            <w:tcW w:w="1843" w:type="dxa"/>
            <w:vAlign w:val="center"/>
          </w:tcPr>
          <w:p w14:paraId="271687AA">
            <w:pPr>
              <w:snapToGrid w:val="0"/>
              <w:spacing w:line="360" w:lineRule="auto"/>
              <w:jc w:val="center"/>
              <w:rPr>
                <w:rFonts w:ascii="宋体" w:hAnsi="宋体" w:cs="宋体"/>
                <w:color w:val="auto"/>
                <w:sz w:val="24"/>
                <w:highlight w:val="none"/>
              </w:rPr>
            </w:pPr>
          </w:p>
        </w:tc>
        <w:tc>
          <w:tcPr>
            <w:tcW w:w="3118" w:type="dxa"/>
            <w:vAlign w:val="center"/>
          </w:tcPr>
          <w:p w14:paraId="7A4CD573">
            <w:pPr>
              <w:snapToGrid w:val="0"/>
              <w:spacing w:line="360" w:lineRule="auto"/>
              <w:jc w:val="center"/>
              <w:rPr>
                <w:rFonts w:ascii="宋体" w:hAnsi="宋体" w:cs="宋体"/>
                <w:color w:val="auto"/>
                <w:sz w:val="24"/>
                <w:highlight w:val="none"/>
              </w:rPr>
            </w:pPr>
          </w:p>
        </w:tc>
        <w:tc>
          <w:tcPr>
            <w:tcW w:w="993" w:type="dxa"/>
            <w:vAlign w:val="center"/>
          </w:tcPr>
          <w:p w14:paraId="4FFDE44A">
            <w:pPr>
              <w:snapToGrid w:val="0"/>
              <w:spacing w:line="360" w:lineRule="auto"/>
              <w:jc w:val="center"/>
              <w:rPr>
                <w:rFonts w:ascii="宋体" w:hAnsi="宋体" w:cs="宋体"/>
                <w:color w:val="auto"/>
                <w:sz w:val="24"/>
                <w:highlight w:val="none"/>
              </w:rPr>
            </w:pPr>
          </w:p>
        </w:tc>
        <w:tc>
          <w:tcPr>
            <w:tcW w:w="1559" w:type="dxa"/>
            <w:vAlign w:val="center"/>
          </w:tcPr>
          <w:p w14:paraId="4E1B7712">
            <w:pPr>
              <w:spacing w:line="360" w:lineRule="auto"/>
              <w:jc w:val="center"/>
              <w:rPr>
                <w:rFonts w:ascii="宋体" w:hAnsi="宋体" w:cs="宋体"/>
                <w:color w:val="auto"/>
                <w:sz w:val="24"/>
                <w:highlight w:val="none"/>
              </w:rPr>
            </w:pPr>
          </w:p>
        </w:tc>
        <w:tc>
          <w:tcPr>
            <w:tcW w:w="1984" w:type="dxa"/>
            <w:vAlign w:val="center"/>
          </w:tcPr>
          <w:p w14:paraId="54C98A32">
            <w:pPr>
              <w:spacing w:line="360" w:lineRule="auto"/>
              <w:jc w:val="center"/>
              <w:rPr>
                <w:rFonts w:ascii="宋体" w:hAnsi="宋体" w:cs="宋体"/>
                <w:color w:val="auto"/>
                <w:sz w:val="24"/>
                <w:highlight w:val="none"/>
              </w:rPr>
            </w:pPr>
          </w:p>
        </w:tc>
        <w:tc>
          <w:tcPr>
            <w:tcW w:w="3119" w:type="dxa"/>
            <w:vAlign w:val="center"/>
          </w:tcPr>
          <w:p w14:paraId="0C8E93EC">
            <w:pPr>
              <w:spacing w:line="360" w:lineRule="auto"/>
              <w:jc w:val="center"/>
              <w:rPr>
                <w:rFonts w:ascii="宋体" w:hAnsi="宋体" w:cs="宋体"/>
                <w:color w:val="auto"/>
                <w:sz w:val="24"/>
                <w:highlight w:val="none"/>
              </w:rPr>
            </w:pPr>
          </w:p>
        </w:tc>
      </w:tr>
      <w:tr w14:paraId="579E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0F4A25D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342" w:type="dxa"/>
            <w:vAlign w:val="center"/>
          </w:tcPr>
          <w:p w14:paraId="531EECDF">
            <w:pPr>
              <w:snapToGrid w:val="0"/>
              <w:spacing w:line="360" w:lineRule="auto"/>
              <w:jc w:val="center"/>
              <w:rPr>
                <w:rFonts w:ascii="宋体" w:hAnsi="宋体" w:cs="宋体"/>
                <w:color w:val="auto"/>
                <w:sz w:val="24"/>
                <w:highlight w:val="none"/>
              </w:rPr>
            </w:pPr>
          </w:p>
        </w:tc>
        <w:tc>
          <w:tcPr>
            <w:tcW w:w="1843" w:type="dxa"/>
            <w:vAlign w:val="center"/>
          </w:tcPr>
          <w:p w14:paraId="046AB1D7">
            <w:pPr>
              <w:snapToGrid w:val="0"/>
              <w:spacing w:line="360" w:lineRule="auto"/>
              <w:jc w:val="center"/>
              <w:rPr>
                <w:rFonts w:ascii="宋体" w:hAnsi="宋体" w:cs="宋体"/>
                <w:color w:val="auto"/>
                <w:sz w:val="24"/>
                <w:highlight w:val="none"/>
              </w:rPr>
            </w:pPr>
          </w:p>
        </w:tc>
        <w:tc>
          <w:tcPr>
            <w:tcW w:w="3118" w:type="dxa"/>
            <w:vAlign w:val="center"/>
          </w:tcPr>
          <w:p w14:paraId="2BE1F2C8">
            <w:pPr>
              <w:snapToGrid w:val="0"/>
              <w:spacing w:line="360" w:lineRule="auto"/>
              <w:jc w:val="center"/>
              <w:rPr>
                <w:rFonts w:ascii="宋体" w:hAnsi="宋体" w:cs="宋体"/>
                <w:color w:val="auto"/>
                <w:sz w:val="24"/>
                <w:highlight w:val="none"/>
              </w:rPr>
            </w:pPr>
          </w:p>
        </w:tc>
        <w:tc>
          <w:tcPr>
            <w:tcW w:w="993" w:type="dxa"/>
            <w:vAlign w:val="center"/>
          </w:tcPr>
          <w:p w14:paraId="26634C37">
            <w:pPr>
              <w:snapToGrid w:val="0"/>
              <w:spacing w:line="360" w:lineRule="auto"/>
              <w:jc w:val="center"/>
              <w:rPr>
                <w:rFonts w:ascii="宋体" w:hAnsi="宋体" w:cs="宋体"/>
                <w:color w:val="auto"/>
                <w:sz w:val="24"/>
                <w:highlight w:val="none"/>
              </w:rPr>
            </w:pPr>
          </w:p>
        </w:tc>
        <w:tc>
          <w:tcPr>
            <w:tcW w:w="1559" w:type="dxa"/>
            <w:vAlign w:val="center"/>
          </w:tcPr>
          <w:p w14:paraId="1F49F9BF">
            <w:pPr>
              <w:spacing w:line="360" w:lineRule="auto"/>
              <w:jc w:val="center"/>
              <w:rPr>
                <w:rFonts w:ascii="宋体" w:hAnsi="宋体" w:cs="宋体"/>
                <w:color w:val="auto"/>
                <w:sz w:val="24"/>
                <w:highlight w:val="none"/>
              </w:rPr>
            </w:pPr>
          </w:p>
        </w:tc>
        <w:tc>
          <w:tcPr>
            <w:tcW w:w="1984" w:type="dxa"/>
            <w:vAlign w:val="center"/>
          </w:tcPr>
          <w:p w14:paraId="7BA502B9">
            <w:pPr>
              <w:spacing w:line="360" w:lineRule="auto"/>
              <w:jc w:val="center"/>
              <w:rPr>
                <w:rFonts w:ascii="宋体" w:hAnsi="宋体" w:cs="宋体"/>
                <w:color w:val="auto"/>
                <w:sz w:val="24"/>
                <w:highlight w:val="none"/>
              </w:rPr>
            </w:pPr>
          </w:p>
        </w:tc>
        <w:tc>
          <w:tcPr>
            <w:tcW w:w="3119" w:type="dxa"/>
            <w:vAlign w:val="center"/>
          </w:tcPr>
          <w:p w14:paraId="1616B814">
            <w:pPr>
              <w:spacing w:line="360" w:lineRule="auto"/>
              <w:jc w:val="center"/>
              <w:rPr>
                <w:rFonts w:ascii="宋体" w:hAnsi="宋体" w:cs="宋体"/>
                <w:color w:val="auto"/>
                <w:sz w:val="24"/>
                <w:highlight w:val="none"/>
              </w:rPr>
            </w:pPr>
          </w:p>
        </w:tc>
      </w:tr>
      <w:tr w14:paraId="24C9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5361123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342" w:type="dxa"/>
            <w:vAlign w:val="center"/>
          </w:tcPr>
          <w:p w14:paraId="24E5FE6C">
            <w:pPr>
              <w:snapToGrid w:val="0"/>
              <w:spacing w:line="360" w:lineRule="auto"/>
              <w:jc w:val="center"/>
              <w:rPr>
                <w:rFonts w:ascii="宋体" w:hAnsi="宋体" w:cs="宋体"/>
                <w:color w:val="auto"/>
                <w:sz w:val="24"/>
                <w:highlight w:val="none"/>
              </w:rPr>
            </w:pPr>
          </w:p>
        </w:tc>
        <w:tc>
          <w:tcPr>
            <w:tcW w:w="1843" w:type="dxa"/>
            <w:vAlign w:val="center"/>
          </w:tcPr>
          <w:p w14:paraId="12FC86A4">
            <w:pPr>
              <w:snapToGrid w:val="0"/>
              <w:spacing w:line="360" w:lineRule="auto"/>
              <w:jc w:val="center"/>
              <w:rPr>
                <w:rFonts w:ascii="宋体" w:hAnsi="宋体" w:cs="宋体"/>
                <w:color w:val="auto"/>
                <w:sz w:val="24"/>
                <w:highlight w:val="none"/>
              </w:rPr>
            </w:pPr>
          </w:p>
        </w:tc>
        <w:tc>
          <w:tcPr>
            <w:tcW w:w="3118" w:type="dxa"/>
            <w:vAlign w:val="center"/>
          </w:tcPr>
          <w:p w14:paraId="29507164">
            <w:pPr>
              <w:snapToGrid w:val="0"/>
              <w:spacing w:line="360" w:lineRule="auto"/>
              <w:jc w:val="center"/>
              <w:rPr>
                <w:rFonts w:ascii="宋体" w:hAnsi="宋体" w:cs="宋体"/>
                <w:color w:val="auto"/>
                <w:sz w:val="24"/>
                <w:highlight w:val="none"/>
              </w:rPr>
            </w:pPr>
          </w:p>
        </w:tc>
        <w:tc>
          <w:tcPr>
            <w:tcW w:w="993" w:type="dxa"/>
            <w:vAlign w:val="center"/>
          </w:tcPr>
          <w:p w14:paraId="5CD64941">
            <w:pPr>
              <w:snapToGrid w:val="0"/>
              <w:spacing w:line="360" w:lineRule="auto"/>
              <w:jc w:val="center"/>
              <w:rPr>
                <w:rFonts w:ascii="宋体" w:hAnsi="宋体" w:cs="宋体"/>
                <w:color w:val="auto"/>
                <w:sz w:val="24"/>
                <w:highlight w:val="none"/>
              </w:rPr>
            </w:pPr>
          </w:p>
        </w:tc>
        <w:tc>
          <w:tcPr>
            <w:tcW w:w="1559" w:type="dxa"/>
            <w:vAlign w:val="center"/>
          </w:tcPr>
          <w:p w14:paraId="6385256C">
            <w:pPr>
              <w:spacing w:line="360" w:lineRule="auto"/>
              <w:jc w:val="center"/>
              <w:rPr>
                <w:rFonts w:ascii="宋体" w:hAnsi="宋体" w:cs="宋体"/>
                <w:color w:val="auto"/>
                <w:sz w:val="24"/>
                <w:highlight w:val="none"/>
              </w:rPr>
            </w:pPr>
          </w:p>
        </w:tc>
        <w:tc>
          <w:tcPr>
            <w:tcW w:w="1984" w:type="dxa"/>
            <w:vAlign w:val="center"/>
          </w:tcPr>
          <w:p w14:paraId="545F602B">
            <w:pPr>
              <w:spacing w:line="360" w:lineRule="auto"/>
              <w:jc w:val="center"/>
              <w:rPr>
                <w:rFonts w:ascii="宋体" w:hAnsi="宋体" w:cs="宋体"/>
                <w:color w:val="auto"/>
                <w:sz w:val="24"/>
                <w:highlight w:val="none"/>
              </w:rPr>
            </w:pPr>
          </w:p>
        </w:tc>
        <w:tc>
          <w:tcPr>
            <w:tcW w:w="3119" w:type="dxa"/>
            <w:vAlign w:val="center"/>
          </w:tcPr>
          <w:p w14:paraId="7E637786">
            <w:pPr>
              <w:spacing w:line="360" w:lineRule="auto"/>
              <w:jc w:val="center"/>
              <w:rPr>
                <w:rFonts w:ascii="宋体" w:hAnsi="宋体" w:cs="宋体"/>
                <w:color w:val="auto"/>
                <w:sz w:val="24"/>
                <w:highlight w:val="none"/>
              </w:rPr>
            </w:pPr>
          </w:p>
        </w:tc>
      </w:tr>
      <w:tr w14:paraId="353D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E3A86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3552297">
            <w:pPr>
              <w:spacing w:line="360" w:lineRule="auto"/>
              <w:jc w:val="center"/>
              <w:rPr>
                <w:rFonts w:ascii="宋体" w:hAnsi="宋体" w:cs="宋体"/>
                <w:color w:val="auto"/>
                <w:sz w:val="24"/>
                <w:highlight w:val="none"/>
              </w:rPr>
            </w:pPr>
          </w:p>
        </w:tc>
      </w:tr>
      <w:tr w14:paraId="1177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4F6E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F5A1186">
            <w:pPr>
              <w:spacing w:line="360" w:lineRule="auto"/>
              <w:jc w:val="center"/>
              <w:rPr>
                <w:rFonts w:ascii="宋体" w:hAnsi="宋体" w:cs="宋体"/>
                <w:color w:val="auto"/>
                <w:sz w:val="24"/>
                <w:highlight w:val="none"/>
              </w:rPr>
            </w:pPr>
          </w:p>
        </w:tc>
      </w:tr>
    </w:tbl>
    <w:p w14:paraId="14F050E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5434EE7">
      <w:pPr>
        <w:spacing w:line="360" w:lineRule="auto"/>
        <w:ind w:left="-2" w:leftChars="-1" w:firstLine="480" w:firstLineChars="200"/>
        <w:rPr>
          <w:rFonts w:ascii="宋体" w:hAnsi="宋体" w:cs="宋体"/>
          <w:color w:val="auto"/>
          <w:kern w:val="0"/>
          <w:sz w:val="24"/>
          <w:highlight w:val="none"/>
          <w:lang w:val="zh-CN"/>
        </w:rPr>
      </w:pPr>
      <w:bookmarkStart w:id="809" w:name="_Toc465665161"/>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5BF7D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6E04180">
      <w:pPr>
        <w:pStyle w:val="62"/>
        <w:ind w:firstLine="480" w:firstLineChars="200"/>
        <w:rPr>
          <w:b/>
          <w:bCs/>
          <w:color w:val="auto"/>
          <w:highlight w:val="none"/>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highlight w:val="none"/>
          <w:lang w:val="en-US" w:eastAsia="zh-CN"/>
        </w:rPr>
        <w:t>3</w:t>
      </w:r>
      <w:r>
        <w:rPr>
          <w:rFonts w:hint="eastAsia" w:hAnsi="宋体" w:cs="宋体"/>
          <w:color w:val="auto"/>
          <w:kern w:val="0"/>
          <w:highlight w:val="none"/>
          <w:lang w:val="en-US"/>
        </w:rPr>
        <w:t>、</w:t>
      </w:r>
      <w:r>
        <w:rPr>
          <w:rFonts w:hint="eastAsia" w:hAnsi="宋体" w:cs="宋体"/>
          <w:b/>
          <w:bCs/>
          <w:color w:val="auto"/>
          <w:kern w:val="0"/>
          <w:highlight w:val="none"/>
          <w:lang w:val="en-US"/>
        </w:rPr>
        <w:t>特别说明：</w:t>
      </w:r>
      <w:r>
        <w:rPr>
          <w:rFonts w:hint="eastAsia" w:hAnsi="宋体" w:cs="宋体"/>
          <w:color w:val="auto"/>
          <w:highlight w:val="none"/>
        </w:rPr>
        <w:t>▲</w:t>
      </w:r>
      <w:r>
        <w:rPr>
          <w:rFonts w:hint="eastAsia" w:hAnsi="宋体" w:cs="宋体"/>
          <w:b/>
          <w:bCs/>
          <w:color w:val="auto"/>
          <w:kern w:val="0"/>
          <w:highlight w:val="none"/>
          <w:lang w:val="en-US"/>
        </w:rPr>
        <w:t>供应商报价低于项目</w:t>
      </w:r>
      <w:r>
        <w:rPr>
          <w:rFonts w:hint="eastAsia" w:hAnsi="宋体" w:cs="宋体"/>
          <w:b/>
          <w:bCs/>
          <w:color w:val="auto"/>
          <w:kern w:val="0"/>
          <w:highlight w:val="none"/>
          <w:lang w:val="en-US" w:eastAsia="zh-CN"/>
        </w:rPr>
        <w:t>最高限价</w:t>
      </w:r>
      <w:r>
        <w:rPr>
          <w:rFonts w:hint="eastAsia" w:hAnsi="宋体" w:cs="宋体"/>
          <w:b/>
          <w:bCs/>
          <w:color w:val="auto"/>
          <w:kern w:val="0"/>
          <w:highlight w:val="none"/>
          <w:lang w:val="en-US"/>
        </w:rPr>
        <w:t>50%的，应当在报价文件中详细阐述不影响产品质量或者诚信履约的具体原因。</w:t>
      </w:r>
    </w:p>
    <w:p w14:paraId="334B2043">
      <w:pPr>
        <w:pStyle w:val="2"/>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bookmarkEnd w:id="809"/>
    </w:p>
    <w:p w14:paraId="1D171CB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635C494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6064A5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2B94FE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31B37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5888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344F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0B5F1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7FB7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6B4432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96B12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2CF41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4213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3B649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B5FE6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FC5B5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F0F82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A8DE0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EE14C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00079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FB61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AFBB8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963DEC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38D70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DC06C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21B29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ACC9A7F">
      <w:pPr>
        <w:spacing w:line="360" w:lineRule="auto"/>
        <w:jc w:val="center"/>
        <w:rPr>
          <w:rFonts w:ascii="宋体" w:hAnsi="宋体" w:cs="宋体"/>
          <w:b/>
          <w:bCs/>
          <w:color w:val="auto"/>
          <w:sz w:val="24"/>
          <w:highlight w:val="none"/>
        </w:rPr>
      </w:pPr>
    </w:p>
    <w:p w14:paraId="45E7C17C">
      <w:pPr>
        <w:spacing w:line="360" w:lineRule="auto"/>
        <w:rPr>
          <w:rFonts w:ascii="宋体" w:hAnsi="宋体" w:cs="宋体"/>
          <w:b/>
          <w:color w:val="auto"/>
          <w:sz w:val="24"/>
          <w:highlight w:val="none"/>
        </w:rPr>
      </w:pPr>
    </w:p>
    <w:p w14:paraId="401A44C8">
      <w:pPr>
        <w:spacing w:line="360" w:lineRule="auto"/>
        <w:rPr>
          <w:rFonts w:ascii="宋体" w:hAnsi="宋体" w:cs="宋体"/>
          <w:b/>
          <w:color w:val="auto"/>
          <w:sz w:val="24"/>
          <w:highlight w:val="none"/>
        </w:rPr>
      </w:pPr>
    </w:p>
    <w:p w14:paraId="64EF2AF7">
      <w:pPr>
        <w:spacing w:line="360" w:lineRule="auto"/>
        <w:rPr>
          <w:rFonts w:ascii="宋体" w:hAnsi="宋体" w:cs="宋体"/>
          <w:b/>
          <w:color w:val="auto"/>
          <w:sz w:val="24"/>
          <w:highlight w:val="none"/>
        </w:rPr>
      </w:pPr>
    </w:p>
    <w:p w14:paraId="5DFD648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DE435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8B2BE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CB9ED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8CA22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CB49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E2E37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BFFF17A">
      <w:pPr>
        <w:widowControl/>
        <w:spacing w:line="360" w:lineRule="auto"/>
        <w:ind w:firstLine="600" w:firstLineChars="200"/>
        <w:jc w:val="left"/>
        <w:rPr>
          <w:rFonts w:ascii="宋体" w:hAnsi="宋体" w:cs="宋体"/>
          <w:color w:val="auto"/>
          <w:sz w:val="30"/>
          <w:szCs w:val="30"/>
          <w:highlight w:val="none"/>
        </w:rPr>
      </w:pPr>
    </w:p>
    <w:p w14:paraId="0E18B64C">
      <w:pPr>
        <w:spacing w:line="360" w:lineRule="auto"/>
        <w:jc w:val="center"/>
        <w:rPr>
          <w:rFonts w:ascii="宋体" w:hAnsi="宋体" w:cs="宋体"/>
          <w:b/>
          <w:color w:val="auto"/>
          <w:spacing w:val="6"/>
          <w:sz w:val="32"/>
          <w:szCs w:val="32"/>
          <w:highlight w:val="none"/>
        </w:rPr>
      </w:pPr>
    </w:p>
    <w:p w14:paraId="56FD0708">
      <w:pPr>
        <w:spacing w:line="360" w:lineRule="auto"/>
        <w:jc w:val="center"/>
        <w:rPr>
          <w:rFonts w:ascii="宋体" w:hAnsi="宋体" w:cs="宋体"/>
          <w:b/>
          <w:color w:val="auto"/>
          <w:spacing w:val="6"/>
          <w:sz w:val="32"/>
          <w:szCs w:val="32"/>
          <w:highlight w:val="none"/>
        </w:rPr>
      </w:pPr>
    </w:p>
    <w:p w14:paraId="1E51AF22">
      <w:pPr>
        <w:spacing w:line="360" w:lineRule="auto"/>
        <w:jc w:val="center"/>
        <w:rPr>
          <w:rFonts w:ascii="宋体" w:hAnsi="宋体" w:cs="宋体"/>
          <w:b/>
          <w:color w:val="auto"/>
          <w:spacing w:val="6"/>
          <w:sz w:val="32"/>
          <w:szCs w:val="32"/>
          <w:highlight w:val="none"/>
        </w:rPr>
      </w:pPr>
    </w:p>
    <w:p w14:paraId="2FE5FE12">
      <w:pPr>
        <w:spacing w:line="360" w:lineRule="auto"/>
        <w:jc w:val="center"/>
        <w:rPr>
          <w:rFonts w:ascii="宋体" w:hAnsi="宋体" w:cs="宋体"/>
          <w:b/>
          <w:color w:val="auto"/>
          <w:spacing w:val="6"/>
          <w:sz w:val="32"/>
          <w:szCs w:val="32"/>
          <w:highlight w:val="none"/>
        </w:rPr>
      </w:pPr>
    </w:p>
    <w:p w14:paraId="401CAFB9">
      <w:pPr>
        <w:spacing w:line="360" w:lineRule="auto"/>
        <w:jc w:val="center"/>
        <w:rPr>
          <w:rFonts w:ascii="宋体" w:hAnsi="宋体" w:cs="宋体"/>
          <w:b/>
          <w:color w:val="auto"/>
          <w:spacing w:val="6"/>
          <w:sz w:val="32"/>
          <w:szCs w:val="32"/>
          <w:highlight w:val="none"/>
        </w:rPr>
      </w:pPr>
    </w:p>
    <w:p w14:paraId="48B49896">
      <w:pPr>
        <w:spacing w:line="360" w:lineRule="auto"/>
        <w:jc w:val="center"/>
        <w:rPr>
          <w:rFonts w:ascii="宋体" w:hAnsi="宋体" w:cs="宋体"/>
          <w:b/>
          <w:color w:val="auto"/>
          <w:spacing w:val="6"/>
          <w:sz w:val="32"/>
          <w:szCs w:val="32"/>
          <w:highlight w:val="none"/>
        </w:rPr>
      </w:pPr>
    </w:p>
    <w:p w14:paraId="3AFAB06D">
      <w:pPr>
        <w:spacing w:line="360" w:lineRule="auto"/>
        <w:jc w:val="center"/>
        <w:rPr>
          <w:rFonts w:ascii="宋体" w:hAnsi="宋体" w:cs="宋体"/>
          <w:b/>
          <w:color w:val="auto"/>
          <w:spacing w:val="6"/>
          <w:sz w:val="32"/>
          <w:szCs w:val="32"/>
          <w:highlight w:val="none"/>
        </w:rPr>
      </w:pPr>
    </w:p>
    <w:p w14:paraId="52DEE585">
      <w:pPr>
        <w:spacing w:line="360" w:lineRule="auto"/>
        <w:jc w:val="center"/>
        <w:rPr>
          <w:rFonts w:ascii="宋体" w:hAnsi="宋体" w:cs="宋体"/>
          <w:b/>
          <w:color w:val="auto"/>
          <w:spacing w:val="6"/>
          <w:sz w:val="32"/>
          <w:szCs w:val="32"/>
          <w:highlight w:val="none"/>
        </w:rPr>
      </w:pPr>
    </w:p>
    <w:p w14:paraId="2AB24431">
      <w:pPr>
        <w:spacing w:line="360" w:lineRule="auto"/>
        <w:jc w:val="center"/>
        <w:rPr>
          <w:rFonts w:ascii="宋体" w:hAnsi="宋体" w:cs="宋体"/>
          <w:b/>
          <w:color w:val="auto"/>
          <w:spacing w:val="6"/>
          <w:sz w:val="32"/>
          <w:szCs w:val="32"/>
          <w:highlight w:val="none"/>
        </w:rPr>
      </w:pPr>
    </w:p>
    <w:p w14:paraId="6795FBBD">
      <w:pPr>
        <w:spacing w:line="360" w:lineRule="auto"/>
        <w:jc w:val="center"/>
        <w:rPr>
          <w:rFonts w:ascii="宋体" w:hAnsi="宋体" w:cs="宋体"/>
          <w:b/>
          <w:color w:val="auto"/>
          <w:spacing w:val="6"/>
          <w:sz w:val="32"/>
          <w:szCs w:val="32"/>
          <w:highlight w:val="none"/>
        </w:rPr>
      </w:pPr>
    </w:p>
    <w:p w14:paraId="798D5B34">
      <w:pPr>
        <w:spacing w:line="360" w:lineRule="auto"/>
        <w:jc w:val="center"/>
        <w:rPr>
          <w:rFonts w:ascii="宋体" w:hAnsi="宋体" w:cs="宋体"/>
          <w:b/>
          <w:color w:val="auto"/>
          <w:spacing w:val="6"/>
          <w:sz w:val="32"/>
          <w:szCs w:val="32"/>
          <w:highlight w:val="none"/>
        </w:rPr>
      </w:pPr>
    </w:p>
    <w:p w14:paraId="1928F5F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05C01E4C">
      <w:pPr>
        <w:spacing w:line="360" w:lineRule="auto"/>
        <w:jc w:val="center"/>
        <w:rPr>
          <w:rFonts w:ascii="宋体" w:hAnsi="宋体" w:cs="宋体"/>
          <w:b/>
          <w:color w:val="auto"/>
          <w:sz w:val="24"/>
          <w:highlight w:val="none"/>
        </w:rPr>
      </w:pPr>
    </w:p>
    <w:p w14:paraId="6846AF5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E0547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352FB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EFF05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11A36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88B72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91166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1B08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95FA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DA28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5A00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827C1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B2A22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4FC5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C36C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3E8F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1C199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39536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C80B3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AB69F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7CE7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EDA4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AB278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941A46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4C5A1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005B1B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B293D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F7E56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CAEB0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338C23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22A7BD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08F9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D272D0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ED4A9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DD2BC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43D732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713229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9EBC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D30DA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88016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E93A73">
      <w:pPr>
        <w:spacing w:line="360" w:lineRule="auto"/>
        <w:rPr>
          <w:rFonts w:ascii="宋体" w:hAnsi="宋体" w:cs="宋体"/>
          <w:b/>
          <w:color w:val="auto"/>
          <w:sz w:val="24"/>
          <w:highlight w:val="none"/>
        </w:rPr>
      </w:pPr>
    </w:p>
    <w:p w14:paraId="1A3DDE0B">
      <w:pPr>
        <w:spacing w:line="360" w:lineRule="auto"/>
        <w:rPr>
          <w:rFonts w:ascii="宋体" w:hAnsi="宋体" w:cs="宋体"/>
          <w:b/>
          <w:color w:val="auto"/>
          <w:sz w:val="24"/>
          <w:highlight w:val="none"/>
        </w:rPr>
      </w:pPr>
    </w:p>
    <w:p w14:paraId="2596497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D794FD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BAA70B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42EC7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2635E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EDE28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41749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3A7EC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779507">
      <w:pPr>
        <w:spacing w:line="360" w:lineRule="auto"/>
        <w:rPr>
          <w:rFonts w:ascii="宋体" w:hAnsi="宋体" w:cs="宋体"/>
          <w:b/>
          <w:color w:val="auto"/>
          <w:sz w:val="24"/>
          <w:highlight w:val="none"/>
        </w:rPr>
      </w:pPr>
    </w:p>
    <w:p w14:paraId="59EA3E5D">
      <w:pPr>
        <w:autoSpaceDE w:val="0"/>
        <w:autoSpaceDN w:val="0"/>
        <w:jc w:val="center"/>
        <w:rPr>
          <w:rFonts w:ascii="宋体" w:hAnsi="宋体" w:cs="宋体"/>
          <w:b/>
          <w:color w:val="auto"/>
          <w:spacing w:val="6"/>
          <w:sz w:val="32"/>
          <w:szCs w:val="32"/>
          <w:highlight w:val="none"/>
        </w:rPr>
      </w:pPr>
    </w:p>
    <w:p w14:paraId="49BFAC2D">
      <w:pPr>
        <w:autoSpaceDE w:val="0"/>
        <w:autoSpaceDN w:val="0"/>
        <w:jc w:val="center"/>
        <w:rPr>
          <w:rFonts w:hint="eastAsia" w:ascii="宋体" w:hAnsi="宋体" w:cs="宋体"/>
          <w:b/>
          <w:color w:val="auto"/>
          <w:spacing w:val="6"/>
          <w:sz w:val="32"/>
          <w:szCs w:val="32"/>
          <w:highlight w:val="none"/>
        </w:rPr>
      </w:pPr>
    </w:p>
    <w:p w14:paraId="00627A7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059900F">
      <w:pPr>
        <w:spacing w:line="360" w:lineRule="auto"/>
        <w:rPr>
          <w:rFonts w:ascii="宋体" w:hAnsi="宋体" w:cs="宋体"/>
          <w:color w:val="auto"/>
          <w:sz w:val="24"/>
          <w:highlight w:val="none"/>
          <w:u w:val="single"/>
        </w:rPr>
      </w:pPr>
    </w:p>
    <w:p w14:paraId="26B0DA3E">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淳安枫树岭水力发电有限责任公司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浙江建安工程管理有限公司</w:t>
      </w:r>
      <w:r>
        <w:rPr>
          <w:rFonts w:hint="eastAsia" w:ascii="宋体" w:hAnsi="宋体" w:cs="宋体"/>
          <w:color w:val="auto"/>
          <w:kern w:val="0"/>
          <w:sz w:val="24"/>
          <w:highlight w:val="none"/>
          <w:lang w:val="zh-CN"/>
        </w:rPr>
        <w:t>：</w:t>
      </w:r>
    </w:p>
    <w:p w14:paraId="626163D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kern w:val="0"/>
          <w:sz w:val="24"/>
          <w:highlight w:val="none"/>
          <w:u w:val="single"/>
          <w:lang w:val="en-US" w:eastAsia="zh-CN"/>
        </w:rPr>
        <w:t>淳安县铜山二级电站生产设备（含安装）技改增效采购项目</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ZJJA2025-06号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883C3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7723E2">
      <w:pPr>
        <w:spacing w:line="360" w:lineRule="auto"/>
        <w:ind w:firstLine="494"/>
        <w:rPr>
          <w:rFonts w:ascii="宋体" w:hAnsi="宋体" w:cs="宋体"/>
          <w:color w:val="auto"/>
          <w:sz w:val="24"/>
          <w:highlight w:val="none"/>
        </w:rPr>
      </w:pPr>
    </w:p>
    <w:p w14:paraId="3924DB8E">
      <w:pPr>
        <w:spacing w:line="360" w:lineRule="auto"/>
        <w:ind w:firstLine="494"/>
        <w:rPr>
          <w:rFonts w:ascii="宋体" w:hAnsi="宋体" w:cs="宋体"/>
          <w:color w:val="auto"/>
          <w:sz w:val="24"/>
          <w:highlight w:val="none"/>
        </w:rPr>
      </w:pPr>
    </w:p>
    <w:p w14:paraId="72FF02CF">
      <w:pPr>
        <w:spacing w:line="360" w:lineRule="auto"/>
        <w:ind w:firstLine="494"/>
        <w:rPr>
          <w:rFonts w:ascii="宋体" w:hAnsi="宋体" w:cs="宋体"/>
          <w:color w:val="auto"/>
          <w:sz w:val="24"/>
          <w:highlight w:val="none"/>
        </w:rPr>
      </w:pPr>
    </w:p>
    <w:p w14:paraId="416CF9D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1A9699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4857B33">
      <w:pPr>
        <w:rPr>
          <w:rFonts w:ascii="宋体" w:hAnsi="宋体" w:cs="宋体"/>
          <w:color w:val="auto"/>
          <w:sz w:val="24"/>
          <w:highlight w:val="none"/>
        </w:rPr>
      </w:pPr>
      <w:r>
        <w:rPr>
          <w:rFonts w:hint="eastAsia" w:ascii="宋体" w:hAnsi="宋体" w:cs="宋体"/>
          <w:b/>
          <w:bCs/>
          <w:color w:val="auto"/>
          <w:sz w:val="24"/>
          <w:highlight w:val="none"/>
        </w:rPr>
        <w:t>附：</w:t>
      </w:r>
    </w:p>
    <w:p w14:paraId="30180B1A">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C3326B2">
      <w:pPr>
        <w:autoSpaceDE w:val="0"/>
        <w:autoSpaceDN w:val="0"/>
        <w:jc w:val="center"/>
        <w:rPr>
          <w:rFonts w:ascii="宋体" w:hAnsi="宋体" w:cs="宋体"/>
          <w:b/>
          <w:color w:val="auto"/>
          <w:spacing w:val="6"/>
          <w:sz w:val="32"/>
          <w:szCs w:val="32"/>
          <w:highlight w:val="none"/>
        </w:rPr>
      </w:pPr>
    </w:p>
    <w:p w14:paraId="5538DA4E">
      <w:pPr>
        <w:autoSpaceDE w:val="0"/>
        <w:autoSpaceDN w:val="0"/>
        <w:jc w:val="center"/>
        <w:rPr>
          <w:rFonts w:ascii="宋体" w:hAnsi="宋体" w:cs="宋体"/>
          <w:b/>
          <w:color w:val="auto"/>
          <w:spacing w:val="6"/>
          <w:sz w:val="32"/>
          <w:szCs w:val="32"/>
          <w:highlight w:val="none"/>
        </w:rPr>
      </w:pPr>
    </w:p>
    <w:p w14:paraId="67E8CE0C">
      <w:pPr>
        <w:autoSpaceDE w:val="0"/>
        <w:autoSpaceDN w:val="0"/>
        <w:jc w:val="center"/>
        <w:rPr>
          <w:rFonts w:ascii="宋体" w:hAnsi="宋体" w:cs="宋体"/>
          <w:b/>
          <w:color w:val="auto"/>
          <w:spacing w:val="6"/>
          <w:sz w:val="32"/>
          <w:szCs w:val="32"/>
          <w:highlight w:val="none"/>
        </w:rPr>
      </w:pPr>
    </w:p>
    <w:p w14:paraId="2E85A84E">
      <w:pPr>
        <w:autoSpaceDE w:val="0"/>
        <w:autoSpaceDN w:val="0"/>
        <w:jc w:val="center"/>
        <w:rPr>
          <w:rFonts w:ascii="宋体" w:hAnsi="宋体" w:cs="宋体"/>
          <w:b/>
          <w:color w:val="auto"/>
          <w:spacing w:val="6"/>
          <w:sz w:val="32"/>
          <w:szCs w:val="32"/>
          <w:highlight w:val="none"/>
        </w:rPr>
      </w:pPr>
    </w:p>
    <w:p w14:paraId="0E56336C">
      <w:pPr>
        <w:autoSpaceDE w:val="0"/>
        <w:autoSpaceDN w:val="0"/>
        <w:jc w:val="center"/>
        <w:rPr>
          <w:rFonts w:ascii="宋体" w:hAnsi="宋体" w:cs="宋体"/>
          <w:b/>
          <w:color w:val="auto"/>
          <w:spacing w:val="6"/>
          <w:sz w:val="32"/>
          <w:szCs w:val="32"/>
          <w:highlight w:val="none"/>
        </w:rPr>
      </w:pPr>
    </w:p>
    <w:p w14:paraId="1F9BF582">
      <w:pPr>
        <w:autoSpaceDE w:val="0"/>
        <w:autoSpaceDN w:val="0"/>
        <w:jc w:val="center"/>
        <w:rPr>
          <w:rFonts w:ascii="宋体" w:hAnsi="宋体" w:cs="宋体"/>
          <w:b/>
          <w:color w:val="auto"/>
          <w:spacing w:val="6"/>
          <w:sz w:val="32"/>
          <w:szCs w:val="32"/>
          <w:highlight w:val="none"/>
        </w:rPr>
      </w:pPr>
    </w:p>
    <w:p w14:paraId="062392C2">
      <w:pPr>
        <w:autoSpaceDE w:val="0"/>
        <w:autoSpaceDN w:val="0"/>
        <w:jc w:val="center"/>
        <w:rPr>
          <w:rFonts w:ascii="宋体" w:hAnsi="宋体" w:cs="宋体"/>
          <w:b/>
          <w:color w:val="auto"/>
          <w:spacing w:val="6"/>
          <w:sz w:val="32"/>
          <w:szCs w:val="32"/>
          <w:highlight w:val="none"/>
        </w:rPr>
      </w:pPr>
    </w:p>
    <w:p w14:paraId="5066F4BF">
      <w:pPr>
        <w:autoSpaceDE w:val="0"/>
        <w:autoSpaceDN w:val="0"/>
        <w:jc w:val="center"/>
        <w:rPr>
          <w:rFonts w:ascii="宋体" w:hAnsi="宋体" w:cs="宋体"/>
          <w:b/>
          <w:color w:val="auto"/>
          <w:spacing w:val="6"/>
          <w:sz w:val="32"/>
          <w:szCs w:val="32"/>
          <w:highlight w:val="none"/>
        </w:rPr>
      </w:pPr>
    </w:p>
    <w:p w14:paraId="7D3FB5DD">
      <w:pPr>
        <w:autoSpaceDE w:val="0"/>
        <w:autoSpaceDN w:val="0"/>
        <w:jc w:val="center"/>
        <w:rPr>
          <w:rFonts w:ascii="宋体" w:hAnsi="宋体" w:cs="宋体"/>
          <w:b/>
          <w:color w:val="auto"/>
          <w:spacing w:val="6"/>
          <w:sz w:val="32"/>
          <w:szCs w:val="32"/>
          <w:highlight w:val="none"/>
        </w:rPr>
      </w:pPr>
    </w:p>
    <w:p w14:paraId="63D7C8E7">
      <w:pPr>
        <w:autoSpaceDE w:val="0"/>
        <w:autoSpaceDN w:val="0"/>
        <w:jc w:val="center"/>
        <w:rPr>
          <w:rFonts w:ascii="宋体" w:hAnsi="宋体" w:cs="宋体"/>
          <w:b/>
          <w:color w:val="auto"/>
          <w:spacing w:val="6"/>
          <w:sz w:val="32"/>
          <w:szCs w:val="32"/>
          <w:highlight w:val="none"/>
        </w:rPr>
      </w:pPr>
    </w:p>
    <w:p w14:paraId="33AFA005">
      <w:pPr>
        <w:autoSpaceDE w:val="0"/>
        <w:autoSpaceDN w:val="0"/>
        <w:jc w:val="center"/>
        <w:rPr>
          <w:rFonts w:ascii="宋体" w:hAnsi="宋体" w:cs="宋体"/>
          <w:b/>
          <w:color w:val="auto"/>
          <w:spacing w:val="6"/>
          <w:sz w:val="32"/>
          <w:szCs w:val="32"/>
          <w:highlight w:val="none"/>
        </w:rPr>
      </w:pPr>
    </w:p>
    <w:p w14:paraId="4FCA871A">
      <w:pPr>
        <w:autoSpaceDE w:val="0"/>
        <w:autoSpaceDN w:val="0"/>
        <w:jc w:val="center"/>
        <w:rPr>
          <w:rFonts w:ascii="宋体" w:hAnsi="宋体" w:cs="宋体"/>
          <w:b/>
          <w:color w:val="auto"/>
          <w:spacing w:val="6"/>
          <w:sz w:val="32"/>
          <w:szCs w:val="32"/>
          <w:highlight w:val="none"/>
        </w:rPr>
      </w:pPr>
    </w:p>
    <w:p w14:paraId="65D44DC9">
      <w:pPr>
        <w:autoSpaceDE w:val="0"/>
        <w:autoSpaceDN w:val="0"/>
        <w:jc w:val="center"/>
        <w:rPr>
          <w:rFonts w:ascii="宋体" w:hAnsi="宋体" w:cs="宋体"/>
          <w:b/>
          <w:color w:val="auto"/>
          <w:spacing w:val="6"/>
          <w:sz w:val="32"/>
          <w:szCs w:val="32"/>
          <w:highlight w:val="none"/>
        </w:rPr>
      </w:pPr>
    </w:p>
    <w:p w14:paraId="14A2EC5E">
      <w:pPr>
        <w:autoSpaceDE w:val="0"/>
        <w:autoSpaceDN w:val="0"/>
        <w:jc w:val="center"/>
        <w:rPr>
          <w:rFonts w:ascii="宋体" w:hAnsi="宋体" w:cs="宋体"/>
          <w:b/>
          <w:color w:val="auto"/>
          <w:spacing w:val="6"/>
          <w:sz w:val="32"/>
          <w:szCs w:val="32"/>
          <w:highlight w:val="none"/>
        </w:rPr>
      </w:pPr>
    </w:p>
    <w:p w14:paraId="48754CAF">
      <w:pPr>
        <w:pStyle w:val="84"/>
        <w:rPr>
          <w:rFonts w:ascii="宋体" w:hAnsi="宋体" w:cs="宋体"/>
          <w:b/>
          <w:color w:val="auto"/>
          <w:spacing w:val="6"/>
          <w:sz w:val="32"/>
          <w:szCs w:val="32"/>
          <w:highlight w:val="none"/>
        </w:rPr>
      </w:pPr>
    </w:p>
    <w:p w14:paraId="7D7503AC">
      <w:pPr>
        <w:pStyle w:val="84"/>
        <w:rPr>
          <w:rFonts w:ascii="宋体" w:hAnsi="宋体" w:cs="宋体"/>
          <w:b/>
          <w:color w:val="auto"/>
          <w:spacing w:val="6"/>
          <w:sz w:val="32"/>
          <w:szCs w:val="32"/>
          <w:highlight w:val="none"/>
        </w:rPr>
      </w:pPr>
    </w:p>
    <w:p w14:paraId="5027BB7F">
      <w:pPr>
        <w:autoSpaceDE w:val="0"/>
        <w:autoSpaceDN w:val="0"/>
        <w:jc w:val="center"/>
        <w:rPr>
          <w:rFonts w:ascii="宋体" w:hAnsi="宋体" w:cs="宋体"/>
          <w:b/>
          <w:color w:val="auto"/>
          <w:spacing w:val="6"/>
          <w:sz w:val="32"/>
          <w:szCs w:val="32"/>
          <w:highlight w:val="none"/>
        </w:rPr>
      </w:pPr>
    </w:p>
    <w:p w14:paraId="0BD02DD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01C8181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C4F85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lang w:val="en-US" w:eastAsia="zh-CN"/>
        </w:rPr>
        <w:t>淳安县铜山二级电站生产设备（含安装）技改增效采购项目</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ZJJA2025-06号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033A2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44C3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0E5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8C69B20">
      <w:pPr>
        <w:snapToGrid w:val="0"/>
        <w:spacing w:line="360" w:lineRule="auto"/>
        <w:ind w:firstLine="576"/>
        <w:rPr>
          <w:rFonts w:ascii="宋体" w:hAnsi="宋体" w:cs="宋体"/>
          <w:color w:val="auto"/>
          <w:kern w:val="0"/>
          <w:sz w:val="24"/>
          <w:highlight w:val="none"/>
          <w:lang w:val="zh-CN"/>
        </w:rPr>
      </w:pPr>
      <w:bookmarkStart w:id="81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65B4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54C78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810"/>
    <w:p w14:paraId="516F5A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、如果中标，</w:t>
      </w:r>
      <w:r>
        <w:rPr>
          <w:rFonts w:hint="eastAsia" w:ascii="宋体" w:hAnsi="宋体" w:cs="宋体"/>
          <w:color w:val="auto"/>
          <w:sz w:val="24"/>
          <w:highlight w:val="none"/>
        </w:rPr>
        <w:t>联合体各成员方共同与采购人签订合同，并就采购合同约定的事项对采购人承担连带责任。</w:t>
      </w:r>
    </w:p>
    <w:p w14:paraId="486F5A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、有关本次联合投标的其他事宜：</w:t>
      </w:r>
    </w:p>
    <w:p w14:paraId="770E96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77A269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D323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4939A0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DD0AB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63C2C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637BFD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9B9156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C610BE">
      <w:pPr>
        <w:snapToGrid w:val="0"/>
        <w:spacing w:line="360" w:lineRule="auto"/>
        <w:jc w:val="center"/>
        <w:outlineLvl w:val="0"/>
        <w:rPr>
          <w:rFonts w:hint="eastAsia" w:ascii="宋体" w:hAnsi="宋体" w:cs="宋体"/>
          <w:b/>
          <w:color w:val="auto"/>
          <w:kern w:val="0"/>
          <w:sz w:val="32"/>
          <w:szCs w:val="32"/>
          <w:highlight w:val="none"/>
        </w:rPr>
      </w:pPr>
    </w:p>
    <w:p w14:paraId="776C94B2">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66A3270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FC5C5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淳安县铜山二级电站生产设备（含安装）技改增效采购项目</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ZJJA2025-06号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42A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B9959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1F2AEE1">
      <w:pPr>
        <w:pStyle w:val="3"/>
        <w:ind w:left="664" w:leftChars="316" w:firstLine="229" w:firstLineChars="95"/>
        <w:rPr>
          <w:rFonts w:ascii="宋体" w:hAnsi="宋体" w:cs="宋体"/>
          <w:b/>
          <w:bCs/>
          <w:color w:val="auto"/>
          <w:kern w:val="0"/>
          <w:sz w:val="24"/>
          <w:highlight w:val="none"/>
          <w:lang w:val="zh-CN"/>
        </w:rPr>
      </w:pPr>
      <w:r>
        <w:rPr>
          <w:rFonts w:hint="eastAsia" w:ascii="宋体" w:hAnsi="宋体" w:eastAsia="宋体" w:cs="宋体"/>
          <w:color w:val="auto"/>
          <w:kern w:val="0"/>
          <w:sz w:val="24"/>
          <w:szCs w:val="24"/>
          <w:highlight w:val="none"/>
        </w:rPr>
        <w:t>……</w:t>
      </w:r>
    </w:p>
    <w:p w14:paraId="09394A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14:paraId="3A29F2E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7614C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14:paraId="783525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C5C7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14:paraId="2D4BA20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327AB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14:paraId="24C351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F3FC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14:paraId="485775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EE94B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056592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9B50B5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53B24C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1152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F9445E">
      <w:pPr>
        <w:autoSpaceDE w:val="0"/>
        <w:autoSpaceDN w:val="0"/>
        <w:jc w:val="center"/>
        <w:rPr>
          <w:rFonts w:ascii="宋体" w:hAnsi="宋体" w:cs="宋体"/>
          <w:b/>
          <w:color w:val="auto"/>
          <w:spacing w:val="6"/>
          <w:sz w:val="32"/>
          <w:szCs w:val="32"/>
          <w:highlight w:val="none"/>
        </w:rPr>
      </w:pPr>
    </w:p>
    <w:p w14:paraId="2543F8AE">
      <w:pPr>
        <w:snapToGrid w:val="0"/>
        <w:spacing w:line="360" w:lineRule="auto"/>
        <w:jc w:val="center"/>
        <w:outlineLvl w:val="0"/>
        <w:rPr>
          <w:rFonts w:hint="eastAsia" w:ascii="宋体" w:hAnsi="宋体" w:cs="宋体"/>
          <w:b/>
          <w:color w:val="auto"/>
          <w:kern w:val="0"/>
          <w:sz w:val="32"/>
          <w:szCs w:val="32"/>
          <w:highlight w:val="none"/>
        </w:rPr>
      </w:pPr>
    </w:p>
    <w:p w14:paraId="6619D059">
      <w:pPr>
        <w:snapToGrid w:val="0"/>
        <w:spacing w:line="360" w:lineRule="auto"/>
        <w:jc w:val="center"/>
        <w:outlineLvl w:val="0"/>
        <w:rPr>
          <w:rFonts w:hint="eastAsia" w:ascii="宋体" w:hAnsi="宋体" w:cs="宋体"/>
          <w:b/>
          <w:color w:val="auto"/>
          <w:kern w:val="0"/>
          <w:sz w:val="32"/>
          <w:szCs w:val="32"/>
          <w:highlight w:val="none"/>
        </w:rPr>
      </w:pPr>
    </w:p>
    <w:p w14:paraId="67A19E47">
      <w:pPr>
        <w:snapToGrid w:val="0"/>
        <w:spacing w:line="360" w:lineRule="auto"/>
        <w:jc w:val="center"/>
        <w:outlineLvl w:val="0"/>
        <w:rPr>
          <w:rFonts w:hint="eastAsia" w:ascii="宋体" w:hAnsi="宋体" w:cs="宋体"/>
          <w:b/>
          <w:color w:val="auto"/>
          <w:kern w:val="0"/>
          <w:sz w:val="32"/>
          <w:szCs w:val="32"/>
          <w:highlight w:val="none"/>
        </w:rPr>
      </w:pPr>
    </w:p>
    <w:p w14:paraId="7F7169FD">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6</w:t>
      </w:r>
      <w:r>
        <w:rPr>
          <w:rFonts w:hint="eastAsia" w:ascii="宋体" w:hAnsi="宋体" w:cs="宋体"/>
          <w:b/>
          <w:color w:val="auto"/>
          <w:kern w:val="0"/>
          <w:sz w:val="32"/>
          <w:szCs w:val="32"/>
          <w:highlight w:val="none"/>
        </w:rPr>
        <w:t xml:space="preserve">：收费附表 </w:t>
      </w:r>
    </w:p>
    <w:p w14:paraId="3845DE60">
      <w:pPr>
        <w:ind w:firstLine="723" w:firstLineChars="200"/>
        <w:rPr>
          <w:rFonts w:hint="eastAsia" w:ascii="宋体" w:hAnsi="宋体"/>
          <w:b/>
          <w:color w:val="auto"/>
          <w:sz w:val="36"/>
          <w:szCs w:val="36"/>
          <w:highlight w:val="none"/>
        </w:rPr>
      </w:pPr>
    </w:p>
    <w:p w14:paraId="2E23DEA3">
      <w:pPr>
        <w:ind w:firstLine="480" w:firstLineChars="200"/>
        <w:rPr>
          <w:rFonts w:hint="eastAsia" w:ascii="宋体" w:hAnsi="宋体"/>
          <w:color w:val="auto"/>
          <w:sz w:val="24"/>
          <w:highlight w:val="none"/>
        </w:rPr>
      </w:pP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145E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71ABE427">
            <w:pPr>
              <w:ind w:firstLine="211"/>
              <w:rPr>
                <w:b/>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6761E6BD">
            <w:pPr>
              <w:ind w:firstLine="1004"/>
              <w:rPr>
                <w:b/>
                <w:color w:val="auto"/>
                <w:highlight w:val="none"/>
              </w:rPr>
            </w:pPr>
            <w:r>
              <w:rPr>
                <w:rFonts w:hint="eastAsia"/>
                <w:b/>
                <w:color w:val="auto"/>
                <w:highlight w:val="none"/>
              </w:rPr>
              <w:t>　　　</w:t>
            </w:r>
          </w:p>
          <w:p w14:paraId="7E96A208">
            <w:pPr>
              <w:ind w:firstLine="843" w:firstLineChars="400"/>
              <w:rPr>
                <w:b/>
                <w:color w:val="auto"/>
                <w:highlight w:val="none"/>
              </w:rPr>
            </w:pPr>
            <w:r>
              <w:rPr>
                <w:rFonts w:hint="eastAsia"/>
                <w:b/>
                <w:color w:val="auto"/>
                <w:highlight w:val="none"/>
              </w:rPr>
              <w:t>服务类型</w:t>
            </w:r>
          </w:p>
          <w:p w14:paraId="54D00588">
            <w:pPr>
              <w:ind w:firstLine="1301" w:firstLineChars="617"/>
              <w:rPr>
                <w:b/>
                <w:color w:val="auto"/>
                <w:highlight w:val="none"/>
              </w:rPr>
            </w:pPr>
          </w:p>
          <w:p w14:paraId="2B05D3BC">
            <w:pPr>
              <w:ind w:firstLine="1301" w:firstLineChars="617"/>
              <w:rPr>
                <w:b/>
                <w:color w:val="auto"/>
                <w:highlight w:val="none"/>
              </w:rPr>
            </w:pPr>
          </w:p>
          <w:p w14:paraId="67B9E48E">
            <w:pPr>
              <w:ind w:firstLine="630" w:firstLineChars="300"/>
              <w:rPr>
                <w:b/>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color w:val="auto"/>
                <w:highlight w:val="none"/>
              </w:rPr>
              <w:t>费率</w:t>
            </w:r>
          </w:p>
          <w:p w14:paraId="3620CD2A">
            <w:pPr>
              <w:ind w:firstLine="1054"/>
              <w:rPr>
                <w:b/>
                <w:color w:val="auto"/>
                <w:highlight w:val="none"/>
              </w:rPr>
            </w:pPr>
            <w:r>
              <w:rPr>
                <w:rFonts w:hint="eastAsia"/>
                <w:b/>
                <w:color w:val="auto"/>
                <w:highlight w:val="none"/>
              </w:rPr>
              <w:t>　　　</w:t>
            </w:r>
          </w:p>
          <w:p w14:paraId="6385E02A">
            <w:pPr>
              <w:ind w:firstLine="1054"/>
              <w:rPr>
                <w:b/>
                <w:color w:val="auto"/>
                <w:highlight w:val="none"/>
              </w:rPr>
            </w:pPr>
            <w:r>
              <w:rPr>
                <w:rFonts w:hint="eastAsia"/>
                <w:b/>
                <w:color w:val="auto"/>
                <w:highlight w:val="none"/>
              </w:rPr>
              <w:t>　　　　</w:t>
            </w:r>
          </w:p>
          <w:p w14:paraId="0F0BBD3E">
            <w:pPr>
              <w:ind w:firstLine="211" w:firstLineChars="100"/>
              <w:rPr>
                <w:rFonts w:hint="eastAsia"/>
                <w:b/>
                <w:color w:val="auto"/>
                <w:highlight w:val="none"/>
              </w:rPr>
            </w:pPr>
            <w:r>
              <w:rPr>
                <w:rFonts w:hint="eastAsia"/>
                <w:b/>
                <w:color w:val="auto"/>
                <w:highlight w:val="none"/>
              </w:rPr>
              <w:t>中标金额</w:t>
            </w:r>
          </w:p>
          <w:p w14:paraId="2E818E89">
            <w:pPr>
              <w:ind w:firstLine="211" w:firstLineChars="100"/>
              <w:rPr>
                <w:b/>
                <w:color w:val="auto"/>
                <w:highlight w:val="none"/>
              </w:rPr>
            </w:pPr>
            <w:r>
              <w:rPr>
                <w:rFonts w:hint="eastAsia"/>
                <w:b/>
                <w:color w:val="auto"/>
                <w:highlight w:val="none"/>
              </w:rPr>
              <w:t xml:space="preserve">（万元） </w:t>
            </w:r>
          </w:p>
        </w:tc>
        <w:tc>
          <w:tcPr>
            <w:tcW w:w="1980" w:type="dxa"/>
            <w:noWrap w:val="0"/>
            <w:vAlign w:val="center"/>
          </w:tcPr>
          <w:p w14:paraId="24268090">
            <w:pPr>
              <w:jc w:val="center"/>
              <w:rPr>
                <w:b/>
                <w:color w:val="auto"/>
                <w:highlight w:val="none"/>
              </w:rPr>
            </w:pPr>
            <w:r>
              <w:rPr>
                <w:rFonts w:hint="eastAsia"/>
                <w:b/>
                <w:color w:val="auto"/>
                <w:highlight w:val="none"/>
              </w:rPr>
              <w:t>货物招标</w:t>
            </w:r>
          </w:p>
        </w:tc>
        <w:tc>
          <w:tcPr>
            <w:tcW w:w="1980" w:type="dxa"/>
            <w:noWrap w:val="0"/>
            <w:vAlign w:val="center"/>
          </w:tcPr>
          <w:p w14:paraId="26FB9FB3">
            <w:pPr>
              <w:jc w:val="center"/>
              <w:rPr>
                <w:b/>
                <w:color w:val="auto"/>
                <w:highlight w:val="none"/>
              </w:rPr>
            </w:pPr>
            <w:r>
              <w:rPr>
                <w:rFonts w:hint="eastAsia"/>
                <w:b/>
                <w:color w:val="auto"/>
                <w:highlight w:val="none"/>
              </w:rPr>
              <w:t>服务招标</w:t>
            </w:r>
          </w:p>
        </w:tc>
        <w:tc>
          <w:tcPr>
            <w:tcW w:w="1980" w:type="dxa"/>
            <w:noWrap w:val="0"/>
            <w:vAlign w:val="center"/>
          </w:tcPr>
          <w:p w14:paraId="5D475E3A">
            <w:pPr>
              <w:jc w:val="center"/>
              <w:rPr>
                <w:b/>
                <w:color w:val="auto"/>
                <w:highlight w:val="none"/>
              </w:rPr>
            </w:pPr>
            <w:r>
              <w:rPr>
                <w:rFonts w:hint="eastAsia"/>
                <w:b/>
                <w:color w:val="auto"/>
                <w:highlight w:val="none"/>
              </w:rPr>
              <w:t>工程招标</w:t>
            </w:r>
          </w:p>
        </w:tc>
      </w:tr>
      <w:tr w14:paraId="50B4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4B082BB">
            <w:pPr>
              <w:jc w:val="center"/>
              <w:rPr>
                <w:color w:val="auto"/>
                <w:highlight w:val="none"/>
              </w:rPr>
            </w:pPr>
            <w:r>
              <w:rPr>
                <w:rFonts w:hint="eastAsia"/>
                <w:color w:val="auto"/>
                <w:highlight w:val="none"/>
              </w:rPr>
              <w:t>100以下</w:t>
            </w:r>
          </w:p>
        </w:tc>
        <w:tc>
          <w:tcPr>
            <w:tcW w:w="1980" w:type="dxa"/>
            <w:noWrap w:val="0"/>
            <w:vAlign w:val="top"/>
          </w:tcPr>
          <w:p w14:paraId="4244BB5B">
            <w:pPr>
              <w:jc w:val="center"/>
              <w:rPr>
                <w:color w:val="auto"/>
                <w:highlight w:val="none"/>
              </w:rPr>
            </w:pPr>
            <w:r>
              <w:rPr>
                <w:rFonts w:hint="eastAsia"/>
                <w:color w:val="auto"/>
                <w:highlight w:val="none"/>
              </w:rPr>
              <w:t>1.5%</w:t>
            </w:r>
          </w:p>
        </w:tc>
        <w:tc>
          <w:tcPr>
            <w:tcW w:w="1980" w:type="dxa"/>
            <w:noWrap w:val="0"/>
            <w:vAlign w:val="top"/>
          </w:tcPr>
          <w:p w14:paraId="2E2AA525">
            <w:pPr>
              <w:jc w:val="center"/>
              <w:rPr>
                <w:color w:val="auto"/>
                <w:highlight w:val="none"/>
              </w:rPr>
            </w:pPr>
            <w:r>
              <w:rPr>
                <w:rFonts w:hint="eastAsia"/>
                <w:color w:val="auto"/>
                <w:highlight w:val="none"/>
              </w:rPr>
              <w:t>1.5%</w:t>
            </w:r>
          </w:p>
        </w:tc>
        <w:tc>
          <w:tcPr>
            <w:tcW w:w="1980" w:type="dxa"/>
            <w:noWrap w:val="0"/>
            <w:vAlign w:val="top"/>
          </w:tcPr>
          <w:p w14:paraId="18E91502">
            <w:pPr>
              <w:jc w:val="center"/>
              <w:rPr>
                <w:color w:val="auto"/>
                <w:highlight w:val="none"/>
              </w:rPr>
            </w:pPr>
            <w:r>
              <w:rPr>
                <w:rFonts w:hint="eastAsia"/>
                <w:color w:val="auto"/>
                <w:highlight w:val="none"/>
              </w:rPr>
              <w:t>1.0%</w:t>
            </w:r>
          </w:p>
        </w:tc>
      </w:tr>
      <w:tr w14:paraId="74EB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53874DD">
            <w:pPr>
              <w:jc w:val="center"/>
              <w:rPr>
                <w:color w:val="auto"/>
                <w:highlight w:val="none"/>
              </w:rPr>
            </w:pPr>
            <w:r>
              <w:rPr>
                <w:rFonts w:hint="eastAsia"/>
                <w:color w:val="auto"/>
                <w:highlight w:val="none"/>
              </w:rPr>
              <w:t>100-500</w:t>
            </w:r>
          </w:p>
        </w:tc>
        <w:tc>
          <w:tcPr>
            <w:tcW w:w="1980" w:type="dxa"/>
            <w:noWrap w:val="0"/>
            <w:vAlign w:val="top"/>
          </w:tcPr>
          <w:p w14:paraId="03BDD351">
            <w:pPr>
              <w:jc w:val="center"/>
              <w:rPr>
                <w:color w:val="auto"/>
                <w:highlight w:val="none"/>
              </w:rPr>
            </w:pPr>
            <w:r>
              <w:rPr>
                <w:rFonts w:hint="eastAsia"/>
                <w:color w:val="auto"/>
                <w:highlight w:val="none"/>
              </w:rPr>
              <w:t>1.1%</w:t>
            </w:r>
          </w:p>
        </w:tc>
        <w:tc>
          <w:tcPr>
            <w:tcW w:w="1980" w:type="dxa"/>
            <w:noWrap w:val="0"/>
            <w:vAlign w:val="top"/>
          </w:tcPr>
          <w:p w14:paraId="65E31C67">
            <w:pPr>
              <w:jc w:val="center"/>
              <w:rPr>
                <w:color w:val="auto"/>
                <w:highlight w:val="none"/>
              </w:rPr>
            </w:pPr>
            <w:r>
              <w:rPr>
                <w:rFonts w:hint="eastAsia"/>
                <w:color w:val="auto"/>
                <w:highlight w:val="none"/>
              </w:rPr>
              <w:t>0.85%</w:t>
            </w:r>
          </w:p>
        </w:tc>
        <w:tc>
          <w:tcPr>
            <w:tcW w:w="1980" w:type="dxa"/>
            <w:noWrap w:val="0"/>
            <w:vAlign w:val="top"/>
          </w:tcPr>
          <w:p w14:paraId="7027A159">
            <w:pPr>
              <w:jc w:val="center"/>
              <w:rPr>
                <w:color w:val="auto"/>
                <w:highlight w:val="none"/>
              </w:rPr>
            </w:pPr>
            <w:r>
              <w:rPr>
                <w:rFonts w:hint="eastAsia"/>
                <w:color w:val="auto"/>
                <w:highlight w:val="none"/>
              </w:rPr>
              <w:t>0.7%</w:t>
            </w:r>
          </w:p>
        </w:tc>
      </w:tr>
      <w:tr w14:paraId="2F60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748BD97">
            <w:pPr>
              <w:jc w:val="center"/>
              <w:rPr>
                <w:color w:val="auto"/>
                <w:highlight w:val="none"/>
              </w:rPr>
            </w:pPr>
            <w:r>
              <w:rPr>
                <w:rFonts w:hint="eastAsia"/>
                <w:color w:val="auto"/>
                <w:highlight w:val="none"/>
              </w:rPr>
              <w:t>500-1000</w:t>
            </w:r>
          </w:p>
        </w:tc>
        <w:tc>
          <w:tcPr>
            <w:tcW w:w="1980" w:type="dxa"/>
            <w:noWrap w:val="0"/>
            <w:vAlign w:val="top"/>
          </w:tcPr>
          <w:p w14:paraId="6AB093AD">
            <w:pPr>
              <w:jc w:val="center"/>
              <w:rPr>
                <w:color w:val="auto"/>
                <w:highlight w:val="none"/>
              </w:rPr>
            </w:pPr>
            <w:r>
              <w:rPr>
                <w:rFonts w:hint="eastAsia"/>
                <w:color w:val="auto"/>
                <w:highlight w:val="none"/>
              </w:rPr>
              <w:t>0.8%</w:t>
            </w:r>
          </w:p>
        </w:tc>
        <w:tc>
          <w:tcPr>
            <w:tcW w:w="1980" w:type="dxa"/>
            <w:noWrap w:val="0"/>
            <w:vAlign w:val="top"/>
          </w:tcPr>
          <w:p w14:paraId="6A8DA7B4">
            <w:pPr>
              <w:jc w:val="center"/>
              <w:rPr>
                <w:color w:val="auto"/>
                <w:highlight w:val="none"/>
              </w:rPr>
            </w:pPr>
            <w:r>
              <w:rPr>
                <w:rFonts w:hint="eastAsia"/>
                <w:color w:val="auto"/>
                <w:highlight w:val="none"/>
              </w:rPr>
              <w:t>0.45%</w:t>
            </w:r>
          </w:p>
        </w:tc>
        <w:tc>
          <w:tcPr>
            <w:tcW w:w="1980" w:type="dxa"/>
            <w:noWrap w:val="0"/>
            <w:vAlign w:val="top"/>
          </w:tcPr>
          <w:p w14:paraId="76C8896E">
            <w:pPr>
              <w:jc w:val="center"/>
              <w:rPr>
                <w:color w:val="auto"/>
                <w:highlight w:val="none"/>
              </w:rPr>
            </w:pPr>
            <w:r>
              <w:rPr>
                <w:rFonts w:hint="eastAsia"/>
                <w:color w:val="auto"/>
                <w:highlight w:val="none"/>
              </w:rPr>
              <w:t>0.55%</w:t>
            </w:r>
          </w:p>
        </w:tc>
      </w:tr>
      <w:tr w14:paraId="7941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80EA805">
            <w:pPr>
              <w:jc w:val="center"/>
              <w:rPr>
                <w:color w:val="auto"/>
                <w:highlight w:val="none"/>
              </w:rPr>
            </w:pPr>
            <w:r>
              <w:rPr>
                <w:rFonts w:hint="eastAsia"/>
                <w:color w:val="auto"/>
                <w:highlight w:val="none"/>
              </w:rPr>
              <w:t>1000-5000</w:t>
            </w:r>
          </w:p>
        </w:tc>
        <w:tc>
          <w:tcPr>
            <w:tcW w:w="1980" w:type="dxa"/>
            <w:noWrap w:val="0"/>
            <w:vAlign w:val="top"/>
          </w:tcPr>
          <w:p w14:paraId="676D5A3A">
            <w:pPr>
              <w:jc w:val="center"/>
              <w:rPr>
                <w:color w:val="auto"/>
                <w:highlight w:val="none"/>
              </w:rPr>
            </w:pPr>
            <w:r>
              <w:rPr>
                <w:rFonts w:hint="eastAsia"/>
                <w:color w:val="auto"/>
                <w:highlight w:val="none"/>
              </w:rPr>
              <w:t>0.5%</w:t>
            </w:r>
          </w:p>
        </w:tc>
        <w:tc>
          <w:tcPr>
            <w:tcW w:w="1980" w:type="dxa"/>
            <w:noWrap w:val="0"/>
            <w:vAlign w:val="top"/>
          </w:tcPr>
          <w:p w14:paraId="4DE5FB56">
            <w:pPr>
              <w:jc w:val="center"/>
              <w:rPr>
                <w:color w:val="auto"/>
                <w:highlight w:val="none"/>
              </w:rPr>
            </w:pPr>
            <w:r>
              <w:rPr>
                <w:rFonts w:hint="eastAsia"/>
                <w:color w:val="auto"/>
                <w:highlight w:val="none"/>
              </w:rPr>
              <w:t>0.25%</w:t>
            </w:r>
          </w:p>
        </w:tc>
        <w:tc>
          <w:tcPr>
            <w:tcW w:w="1980" w:type="dxa"/>
            <w:noWrap w:val="0"/>
            <w:vAlign w:val="top"/>
          </w:tcPr>
          <w:p w14:paraId="6B212BD7">
            <w:pPr>
              <w:jc w:val="center"/>
              <w:rPr>
                <w:color w:val="auto"/>
                <w:highlight w:val="none"/>
              </w:rPr>
            </w:pPr>
            <w:r>
              <w:rPr>
                <w:rFonts w:hint="eastAsia"/>
                <w:color w:val="auto"/>
                <w:highlight w:val="none"/>
              </w:rPr>
              <w:t>0.35%</w:t>
            </w:r>
          </w:p>
        </w:tc>
      </w:tr>
      <w:tr w14:paraId="35F3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B8DF36C">
            <w:pPr>
              <w:jc w:val="center"/>
              <w:rPr>
                <w:color w:val="auto"/>
                <w:highlight w:val="none"/>
              </w:rPr>
            </w:pPr>
            <w:r>
              <w:rPr>
                <w:rFonts w:hint="eastAsia"/>
                <w:color w:val="auto"/>
                <w:highlight w:val="none"/>
              </w:rPr>
              <w:t>5000-10000</w:t>
            </w:r>
          </w:p>
        </w:tc>
        <w:tc>
          <w:tcPr>
            <w:tcW w:w="1980" w:type="dxa"/>
            <w:noWrap w:val="0"/>
            <w:vAlign w:val="top"/>
          </w:tcPr>
          <w:p w14:paraId="32BAB223">
            <w:pPr>
              <w:jc w:val="center"/>
              <w:rPr>
                <w:color w:val="auto"/>
                <w:highlight w:val="none"/>
              </w:rPr>
            </w:pPr>
            <w:r>
              <w:rPr>
                <w:rFonts w:hint="eastAsia"/>
                <w:color w:val="auto"/>
                <w:highlight w:val="none"/>
              </w:rPr>
              <w:t>0.25%</w:t>
            </w:r>
          </w:p>
        </w:tc>
        <w:tc>
          <w:tcPr>
            <w:tcW w:w="1980" w:type="dxa"/>
            <w:noWrap w:val="0"/>
            <w:vAlign w:val="top"/>
          </w:tcPr>
          <w:p w14:paraId="2C77EFD0">
            <w:pPr>
              <w:jc w:val="center"/>
              <w:rPr>
                <w:color w:val="auto"/>
                <w:highlight w:val="none"/>
              </w:rPr>
            </w:pPr>
            <w:r>
              <w:rPr>
                <w:rFonts w:hint="eastAsia"/>
                <w:color w:val="auto"/>
                <w:highlight w:val="none"/>
              </w:rPr>
              <w:t>0.1%</w:t>
            </w:r>
          </w:p>
        </w:tc>
        <w:tc>
          <w:tcPr>
            <w:tcW w:w="1980" w:type="dxa"/>
            <w:noWrap w:val="0"/>
            <w:vAlign w:val="top"/>
          </w:tcPr>
          <w:p w14:paraId="19EC7446">
            <w:pPr>
              <w:jc w:val="center"/>
              <w:rPr>
                <w:color w:val="auto"/>
                <w:highlight w:val="none"/>
              </w:rPr>
            </w:pPr>
            <w:r>
              <w:rPr>
                <w:rFonts w:hint="eastAsia"/>
                <w:color w:val="auto"/>
                <w:highlight w:val="none"/>
              </w:rPr>
              <w:t>0.2%</w:t>
            </w:r>
          </w:p>
        </w:tc>
      </w:tr>
      <w:tr w14:paraId="4DB0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4C725F9">
            <w:pPr>
              <w:jc w:val="center"/>
              <w:rPr>
                <w:color w:val="auto"/>
                <w:highlight w:val="none"/>
              </w:rPr>
            </w:pPr>
            <w:r>
              <w:rPr>
                <w:rFonts w:hint="eastAsia"/>
                <w:color w:val="auto"/>
                <w:highlight w:val="none"/>
              </w:rPr>
              <w:t>10000-50000</w:t>
            </w:r>
          </w:p>
        </w:tc>
        <w:tc>
          <w:tcPr>
            <w:tcW w:w="1980" w:type="dxa"/>
            <w:noWrap w:val="0"/>
            <w:vAlign w:val="top"/>
          </w:tcPr>
          <w:p w14:paraId="7C9F6066">
            <w:pPr>
              <w:jc w:val="center"/>
              <w:rPr>
                <w:color w:val="auto"/>
                <w:highlight w:val="none"/>
              </w:rPr>
            </w:pPr>
            <w:r>
              <w:rPr>
                <w:rFonts w:hint="eastAsia"/>
                <w:color w:val="auto"/>
                <w:highlight w:val="none"/>
              </w:rPr>
              <w:t>0.05%</w:t>
            </w:r>
          </w:p>
        </w:tc>
        <w:tc>
          <w:tcPr>
            <w:tcW w:w="1980" w:type="dxa"/>
            <w:noWrap w:val="0"/>
            <w:vAlign w:val="top"/>
          </w:tcPr>
          <w:p w14:paraId="503A95B1">
            <w:pPr>
              <w:jc w:val="center"/>
              <w:rPr>
                <w:color w:val="auto"/>
                <w:highlight w:val="none"/>
              </w:rPr>
            </w:pPr>
            <w:r>
              <w:rPr>
                <w:rFonts w:hint="eastAsia"/>
                <w:color w:val="auto"/>
                <w:highlight w:val="none"/>
              </w:rPr>
              <w:t>0.05%</w:t>
            </w:r>
          </w:p>
        </w:tc>
        <w:tc>
          <w:tcPr>
            <w:tcW w:w="1980" w:type="dxa"/>
            <w:noWrap w:val="0"/>
            <w:vAlign w:val="top"/>
          </w:tcPr>
          <w:p w14:paraId="3E86BF6D">
            <w:pPr>
              <w:jc w:val="center"/>
              <w:rPr>
                <w:color w:val="auto"/>
                <w:highlight w:val="none"/>
              </w:rPr>
            </w:pPr>
            <w:r>
              <w:rPr>
                <w:rFonts w:hint="eastAsia"/>
                <w:color w:val="auto"/>
                <w:highlight w:val="none"/>
              </w:rPr>
              <w:t>0.05%</w:t>
            </w:r>
          </w:p>
        </w:tc>
      </w:tr>
      <w:tr w14:paraId="7BC5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EF0EF14">
            <w:pPr>
              <w:jc w:val="center"/>
              <w:rPr>
                <w:color w:val="auto"/>
                <w:highlight w:val="none"/>
              </w:rPr>
            </w:pPr>
            <w:r>
              <w:rPr>
                <w:rFonts w:hint="eastAsia"/>
                <w:color w:val="auto"/>
                <w:highlight w:val="none"/>
              </w:rPr>
              <w:t>50000-100000</w:t>
            </w:r>
          </w:p>
        </w:tc>
        <w:tc>
          <w:tcPr>
            <w:tcW w:w="1980" w:type="dxa"/>
            <w:noWrap w:val="0"/>
            <w:vAlign w:val="top"/>
          </w:tcPr>
          <w:p w14:paraId="61D502D0">
            <w:pPr>
              <w:jc w:val="center"/>
              <w:rPr>
                <w:color w:val="auto"/>
                <w:highlight w:val="none"/>
              </w:rPr>
            </w:pPr>
            <w:r>
              <w:rPr>
                <w:rFonts w:hint="eastAsia"/>
                <w:color w:val="auto"/>
                <w:highlight w:val="none"/>
              </w:rPr>
              <w:t>0.035%</w:t>
            </w:r>
          </w:p>
        </w:tc>
        <w:tc>
          <w:tcPr>
            <w:tcW w:w="1980" w:type="dxa"/>
            <w:noWrap w:val="0"/>
            <w:vAlign w:val="top"/>
          </w:tcPr>
          <w:p w14:paraId="3DEE16FC">
            <w:pPr>
              <w:jc w:val="center"/>
              <w:rPr>
                <w:color w:val="auto"/>
                <w:highlight w:val="none"/>
              </w:rPr>
            </w:pPr>
            <w:r>
              <w:rPr>
                <w:rFonts w:hint="eastAsia"/>
                <w:color w:val="auto"/>
                <w:highlight w:val="none"/>
              </w:rPr>
              <w:t>0.035%</w:t>
            </w:r>
          </w:p>
        </w:tc>
        <w:tc>
          <w:tcPr>
            <w:tcW w:w="1980" w:type="dxa"/>
            <w:noWrap w:val="0"/>
            <w:vAlign w:val="top"/>
          </w:tcPr>
          <w:p w14:paraId="4BC637BE">
            <w:pPr>
              <w:jc w:val="center"/>
              <w:rPr>
                <w:color w:val="auto"/>
                <w:highlight w:val="none"/>
              </w:rPr>
            </w:pPr>
            <w:r>
              <w:rPr>
                <w:rFonts w:hint="eastAsia"/>
                <w:color w:val="auto"/>
                <w:highlight w:val="none"/>
              </w:rPr>
              <w:t>0.035%</w:t>
            </w:r>
          </w:p>
        </w:tc>
      </w:tr>
      <w:tr w14:paraId="70F7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D8BFD16">
            <w:pPr>
              <w:jc w:val="center"/>
              <w:rPr>
                <w:color w:val="auto"/>
                <w:highlight w:val="none"/>
              </w:rPr>
            </w:pPr>
            <w:r>
              <w:rPr>
                <w:rFonts w:hint="eastAsia"/>
                <w:color w:val="auto"/>
                <w:highlight w:val="none"/>
              </w:rPr>
              <w:t>100000-500000</w:t>
            </w:r>
          </w:p>
        </w:tc>
        <w:tc>
          <w:tcPr>
            <w:tcW w:w="1980" w:type="dxa"/>
            <w:noWrap w:val="0"/>
            <w:vAlign w:val="top"/>
          </w:tcPr>
          <w:p w14:paraId="5DBF5700">
            <w:pPr>
              <w:jc w:val="center"/>
              <w:rPr>
                <w:color w:val="auto"/>
                <w:highlight w:val="none"/>
              </w:rPr>
            </w:pPr>
            <w:r>
              <w:rPr>
                <w:rFonts w:hint="eastAsia"/>
                <w:color w:val="auto"/>
                <w:highlight w:val="none"/>
              </w:rPr>
              <w:t>0.008%</w:t>
            </w:r>
          </w:p>
        </w:tc>
        <w:tc>
          <w:tcPr>
            <w:tcW w:w="1980" w:type="dxa"/>
            <w:noWrap w:val="0"/>
            <w:vAlign w:val="top"/>
          </w:tcPr>
          <w:p w14:paraId="195A15C4">
            <w:pPr>
              <w:jc w:val="center"/>
              <w:rPr>
                <w:color w:val="auto"/>
                <w:highlight w:val="none"/>
              </w:rPr>
            </w:pPr>
            <w:r>
              <w:rPr>
                <w:rFonts w:hint="eastAsia"/>
                <w:color w:val="auto"/>
                <w:highlight w:val="none"/>
              </w:rPr>
              <w:t>0.008%</w:t>
            </w:r>
          </w:p>
        </w:tc>
        <w:tc>
          <w:tcPr>
            <w:tcW w:w="1980" w:type="dxa"/>
            <w:noWrap w:val="0"/>
            <w:vAlign w:val="top"/>
          </w:tcPr>
          <w:p w14:paraId="5569424C">
            <w:pPr>
              <w:jc w:val="center"/>
              <w:rPr>
                <w:color w:val="auto"/>
                <w:highlight w:val="none"/>
              </w:rPr>
            </w:pPr>
            <w:r>
              <w:rPr>
                <w:rFonts w:hint="eastAsia"/>
                <w:color w:val="auto"/>
                <w:highlight w:val="none"/>
              </w:rPr>
              <w:t>0.008%</w:t>
            </w:r>
          </w:p>
        </w:tc>
      </w:tr>
      <w:tr w14:paraId="0869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6B4A2D0">
            <w:pPr>
              <w:jc w:val="center"/>
              <w:rPr>
                <w:color w:val="auto"/>
                <w:highlight w:val="none"/>
              </w:rPr>
            </w:pPr>
            <w:r>
              <w:rPr>
                <w:rFonts w:hint="eastAsia"/>
                <w:color w:val="auto"/>
                <w:highlight w:val="none"/>
              </w:rPr>
              <w:t>500000-1000000</w:t>
            </w:r>
          </w:p>
        </w:tc>
        <w:tc>
          <w:tcPr>
            <w:tcW w:w="1980" w:type="dxa"/>
            <w:noWrap w:val="0"/>
            <w:vAlign w:val="top"/>
          </w:tcPr>
          <w:p w14:paraId="0FB56258">
            <w:pPr>
              <w:jc w:val="center"/>
              <w:rPr>
                <w:color w:val="auto"/>
                <w:highlight w:val="none"/>
              </w:rPr>
            </w:pPr>
            <w:r>
              <w:rPr>
                <w:rFonts w:hint="eastAsia"/>
                <w:color w:val="auto"/>
                <w:highlight w:val="none"/>
              </w:rPr>
              <w:t>0.006%</w:t>
            </w:r>
          </w:p>
        </w:tc>
        <w:tc>
          <w:tcPr>
            <w:tcW w:w="1980" w:type="dxa"/>
            <w:noWrap w:val="0"/>
            <w:vAlign w:val="top"/>
          </w:tcPr>
          <w:p w14:paraId="5E2A2CA6">
            <w:pPr>
              <w:jc w:val="center"/>
              <w:rPr>
                <w:color w:val="auto"/>
                <w:highlight w:val="none"/>
              </w:rPr>
            </w:pPr>
            <w:r>
              <w:rPr>
                <w:rFonts w:hint="eastAsia"/>
                <w:color w:val="auto"/>
                <w:highlight w:val="none"/>
              </w:rPr>
              <w:t>0.006%</w:t>
            </w:r>
          </w:p>
        </w:tc>
        <w:tc>
          <w:tcPr>
            <w:tcW w:w="1980" w:type="dxa"/>
            <w:noWrap w:val="0"/>
            <w:vAlign w:val="top"/>
          </w:tcPr>
          <w:p w14:paraId="750D7835">
            <w:pPr>
              <w:jc w:val="center"/>
              <w:rPr>
                <w:color w:val="auto"/>
                <w:highlight w:val="none"/>
              </w:rPr>
            </w:pPr>
            <w:r>
              <w:rPr>
                <w:rFonts w:hint="eastAsia"/>
                <w:color w:val="auto"/>
                <w:highlight w:val="none"/>
              </w:rPr>
              <w:t>0.006%</w:t>
            </w:r>
          </w:p>
        </w:tc>
      </w:tr>
      <w:tr w14:paraId="5B6B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E34D3A8">
            <w:pPr>
              <w:jc w:val="center"/>
              <w:rPr>
                <w:color w:val="auto"/>
                <w:highlight w:val="none"/>
              </w:rPr>
            </w:pPr>
            <w:r>
              <w:rPr>
                <w:rFonts w:hint="eastAsia"/>
                <w:color w:val="auto"/>
                <w:highlight w:val="none"/>
              </w:rPr>
              <w:t>1000000以上</w:t>
            </w:r>
          </w:p>
        </w:tc>
        <w:tc>
          <w:tcPr>
            <w:tcW w:w="1980" w:type="dxa"/>
            <w:noWrap w:val="0"/>
            <w:vAlign w:val="top"/>
          </w:tcPr>
          <w:p w14:paraId="7958352A">
            <w:pPr>
              <w:jc w:val="center"/>
              <w:rPr>
                <w:color w:val="auto"/>
                <w:highlight w:val="none"/>
              </w:rPr>
            </w:pPr>
            <w:r>
              <w:rPr>
                <w:rFonts w:hint="eastAsia"/>
                <w:color w:val="auto"/>
                <w:highlight w:val="none"/>
              </w:rPr>
              <w:t>0.004%</w:t>
            </w:r>
          </w:p>
        </w:tc>
        <w:tc>
          <w:tcPr>
            <w:tcW w:w="1980" w:type="dxa"/>
            <w:noWrap w:val="0"/>
            <w:vAlign w:val="top"/>
          </w:tcPr>
          <w:p w14:paraId="5B754A03">
            <w:pPr>
              <w:jc w:val="center"/>
              <w:rPr>
                <w:color w:val="auto"/>
                <w:highlight w:val="none"/>
              </w:rPr>
            </w:pPr>
            <w:r>
              <w:rPr>
                <w:rFonts w:hint="eastAsia"/>
                <w:color w:val="auto"/>
                <w:highlight w:val="none"/>
              </w:rPr>
              <w:t>0.004%</w:t>
            </w:r>
          </w:p>
        </w:tc>
        <w:tc>
          <w:tcPr>
            <w:tcW w:w="1980" w:type="dxa"/>
            <w:noWrap w:val="0"/>
            <w:vAlign w:val="top"/>
          </w:tcPr>
          <w:p w14:paraId="39609F30">
            <w:pPr>
              <w:jc w:val="center"/>
              <w:rPr>
                <w:color w:val="auto"/>
                <w:highlight w:val="none"/>
              </w:rPr>
            </w:pPr>
            <w:r>
              <w:rPr>
                <w:rFonts w:hint="eastAsia"/>
                <w:color w:val="auto"/>
                <w:highlight w:val="none"/>
              </w:rPr>
              <w:t>0.004%</w:t>
            </w:r>
          </w:p>
        </w:tc>
      </w:tr>
    </w:tbl>
    <w:p w14:paraId="463734DB">
      <w:pPr>
        <w:ind w:firstLine="420" w:firstLineChars="200"/>
        <w:rPr>
          <w:rFonts w:ascii="宋体" w:hAnsi="宋体"/>
          <w:color w:val="auto"/>
          <w:szCs w:val="21"/>
          <w:highlight w:val="none"/>
        </w:rPr>
      </w:pPr>
      <w:r>
        <w:rPr>
          <w:rFonts w:hint="eastAsia" w:ascii="宋体" w:hAnsi="宋体"/>
          <w:color w:val="auto"/>
          <w:szCs w:val="21"/>
          <w:highlight w:val="none"/>
        </w:rPr>
        <w:t>注：收费标准低于2000元的按2000元收取。</w:t>
      </w:r>
    </w:p>
    <w:p w14:paraId="520869B7">
      <w:pPr>
        <w:ind w:firstLine="420" w:firstLineChars="200"/>
        <w:rPr>
          <w:rFonts w:ascii="宋体" w:hAnsi="宋体"/>
          <w:color w:val="auto"/>
          <w:szCs w:val="21"/>
          <w:highlight w:val="none"/>
        </w:rPr>
      </w:pPr>
      <w:r>
        <w:rPr>
          <w:rFonts w:hint="eastAsia" w:ascii="宋体" w:hAnsi="宋体"/>
          <w:color w:val="auto"/>
          <w:szCs w:val="21"/>
          <w:highlight w:val="none"/>
        </w:rPr>
        <w:t>例：一项货物采购项目，中标金额6000万元，收费如下：</w:t>
      </w:r>
    </w:p>
    <w:p w14:paraId="449E0D5B">
      <w:pPr>
        <w:ind w:firstLine="420" w:firstLineChars="200"/>
        <w:rPr>
          <w:rFonts w:ascii="宋体" w:hAnsi="宋体"/>
          <w:color w:val="auto"/>
          <w:szCs w:val="21"/>
          <w:highlight w:val="none"/>
        </w:rPr>
      </w:pPr>
      <w:r>
        <w:rPr>
          <w:rFonts w:hint="eastAsia" w:ascii="宋体" w:hAnsi="宋体"/>
          <w:color w:val="auto"/>
          <w:szCs w:val="21"/>
          <w:highlight w:val="none"/>
        </w:rPr>
        <w:t>100万元×1.5％＝1.5万元</w:t>
      </w:r>
    </w:p>
    <w:p w14:paraId="46C3ED4B">
      <w:pPr>
        <w:ind w:firstLine="420" w:firstLineChars="200"/>
        <w:rPr>
          <w:rFonts w:ascii="宋体" w:hAnsi="宋体"/>
          <w:color w:val="auto"/>
          <w:szCs w:val="21"/>
          <w:highlight w:val="none"/>
        </w:rPr>
      </w:pPr>
      <w:r>
        <w:rPr>
          <w:rFonts w:hint="eastAsia" w:ascii="宋体" w:hAnsi="宋体"/>
          <w:color w:val="auto"/>
          <w:szCs w:val="21"/>
          <w:highlight w:val="none"/>
        </w:rPr>
        <w:t>（500-100）万元×1.1％＝4.4万元</w:t>
      </w:r>
    </w:p>
    <w:p w14:paraId="600C24F1">
      <w:pPr>
        <w:ind w:firstLine="420" w:firstLineChars="200"/>
        <w:rPr>
          <w:rFonts w:ascii="宋体" w:hAnsi="宋体"/>
          <w:color w:val="auto"/>
          <w:szCs w:val="21"/>
          <w:highlight w:val="none"/>
        </w:rPr>
      </w:pPr>
      <w:r>
        <w:rPr>
          <w:rFonts w:hint="eastAsia" w:ascii="宋体" w:hAnsi="宋体"/>
          <w:color w:val="auto"/>
          <w:szCs w:val="21"/>
          <w:highlight w:val="none"/>
        </w:rPr>
        <w:t>（1000-500）万元×0.8％=4万元</w:t>
      </w:r>
    </w:p>
    <w:p w14:paraId="7A72B258">
      <w:pPr>
        <w:ind w:firstLine="420" w:firstLineChars="200"/>
        <w:rPr>
          <w:rFonts w:ascii="宋体" w:hAnsi="宋体"/>
          <w:color w:val="auto"/>
          <w:szCs w:val="21"/>
          <w:highlight w:val="none"/>
        </w:rPr>
      </w:pPr>
      <w:r>
        <w:rPr>
          <w:rFonts w:hint="eastAsia" w:ascii="宋体" w:hAnsi="宋体"/>
          <w:color w:val="auto"/>
          <w:szCs w:val="21"/>
          <w:highlight w:val="none"/>
        </w:rPr>
        <w:t>（5000-1000）万元×0.5％=20万元</w:t>
      </w:r>
    </w:p>
    <w:p w14:paraId="0C7D10D9">
      <w:pPr>
        <w:ind w:firstLine="420" w:firstLineChars="200"/>
        <w:rPr>
          <w:rFonts w:ascii="宋体" w:hAnsi="宋体"/>
          <w:color w:val="auto"/>
          <w:szCs w:val="21"/>
          <w:highlight w:val="none"/>
        </w:rPr>
      </w:pPr>
      <w:r>
        <w:rPr>
          <w:rFonts w:hint="eastAsia" w:ascii="宋体" w:hAnsi="宋体"/>
          <w:color w:val="auto"/>
          <w:szCs w:val="21"/>
          <w:highlight w:val="none"/>
        </w:rPr>
        <w:t>（6000-5000）万元×0.25％=2.5万元</w:t>
      </w:r>
    </w:p>
    <w:p w14:paraId="00887E52">
      <w:pPr>
        <w:ind w:firstLine="420" w:firstLineChars="200"/>
        <w:rPr>
          <w:rFonts w:ascii="宋体" w:hAnsi="宋体" w:cs="宋体"/>
          <w:b/>
          <w:color w:val="auto"/>
          <w:spacing w:val="6"/>
          <w:sz w:val="32"/>
          <w:szCs w:val="32"/>
          <w:highlight w:val="none"/>
        </w:rPr>
      </w:pPr>
      <w:r>
        <w:rPr>
          <w:rFonts w:hint="eastAsia" w:ascii="宋体" w:hAnsi="宋体"/>
          <w:color w:val="auto"/>
          <w:szCs w:val="21"/>
          <w:highlight w:val="none"/>
        </w:rPr>
        <w:t>合计收费＝1.5+4.4+4+20+2.5＝32.4万元</w:t>
      </w:r>
    </w:p>
    <w:p w14:paraId="24D680DE">
      <w:pPr>
        <w:autoSpaceDE w:val="0"/>
        <w:autoSpaceDN w:val="0"/>
        <w:jc w:val="center"/>
        <w:rPr>
          <w:rFonts w:ascii="宋体" w:hAnsi="宋体" w:cs="宋体"/>
          <w:b/>
          <w:color w:val="auto"/>
          <w:spacing w:val="6"/>
          <w:sz w:val="32"/>
          <w:szCs w:val="32"/>
          <w:highlight w:val="none"/>
        </w:rPr>
      </w:pPr>
    </w:p>
    <w:p w14:paraId="5882D8C5">
      <w:pPr>
        <w:autoSpaceDE w:val="0"/>
        <w:autoSpaceDN w:val="0"/>
        <w:jc w:val="center"/>
        <w:rPr>
          <w:rFonts w:ascii="宋体" w:hAnsi="宋体" w:cs="宋体"/>
          <w:b/>
          <w:color w:val="auto"/>
          <w:spacing w:val="6"/>
          <w:sz w:val="32"/>
          <w:szCs w:val="32"/>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DE8C">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0A723ACC">
                          <w:pPr>
                            <w:pStyle w:val="41"/>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0A723ACC">
                    <w:pPr>
                      <w:pStyle w:val="41"/>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2FE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62A804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A96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9540">
    <w:pPr>
      <w:pStyle w:val="41"/>
      <w:framePr w:wrap="around" w:vAnchor="text" w:hAnchor="margin" w:xAlign="right" w:y="1"/>
      <w:rPr>
        <w:rStyle w:val="75"/>
      </w:rPr>
    </w:pPr>
    <w:r>
      <w:fldChar w:fldCharType="begin"/>
    </w:r>
    <w:r>
      <w:rPr>
        <w:rStyle w:val="75"/>
      </w:rPr>
      <w:instrText xml:space="preserve">PAGE  </w:instrText>
    </w:r>
    <w:r>
      <w:fldChar w:fldCharType="end"/>
    </w:r>
  </w:p>
  <w:p w14:paraId="648A56DB">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9F3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811" w:name="_Toc91899912"/>
    <w:bookmarkStart w:id="812" w:name="_Toc36110187"/>
    <w:bookmarkStart w:id="813" w:name="_Toc164085800"/>
    <w:bookmarkStart w:id="814" w:name="_Toc131845147"/>
    <w:r>
      <w:rPr>
        <w:rFonts w:hint="eastAsia" w:ascii="仿宋_GB2312" w:eastAsia="仿宋_GB2312"/>
        <w:kern w:val="0"/>
        <w:szCs w:val="21"/>
      </w:rPr>
      <w:t xml:space="preserve"> 页</w:t>
    </w:r>
    <w:bookmarkEnd w:id="811"/>
    <w:bookmarkEnd w:id="812"/>
    <w:bookmarkEnd w:id="813"/>
    <w:bookmarkEnd w:id="8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5F6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787A">
    <w:pPr>
      <w:pStyle w:val="41"/>
      <w:framePr w:wrap="around" w:vAnchor="text" w:hAnchor="margin" w:xAlign="right" w:y="1"/>
      <w:rPr>
        <w:rStyle w:val="75"/>
      </w:rPr>
    </w:pPr>
    <w:r>
      <w:fldChar w:fldCharType="begin"/>
    </w:r>
    <w:r>
      <w:rPr>
        <w:rStyle w:val="75"/>
      </w:rPr>
      <w:instrText xml:space="preserve">PAGE  </w:instrText>
    </w:r>
    <w:r>
      <w:fldChar w:fldCharType="end"/>
    </w:r>
  </w:p>
  <w:p w14:paraId="6C2EB07E">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F4C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38C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7F7B7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2E7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7CD39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A62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01216F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8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A3145E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688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75C07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E97F">
    <w:pPr>
      <w:pStyle w:val="4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B73D">
    <w:pPr>
      <w:pStyle w:val="42"/>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CC62">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4B75">
    <w:pPr>
      <w:pStyle w:val="42"/>
      <w:pBdr>
        <w:bottom w:val="single" w:color="auto" w:sz="6" w:space="4"/>
      </w:pBdr>
      <w:jc w:val="right"/>
    </w:pPr>
    <w:r>
      <w:t></w:t>
    </w:r>
    <w:r>
      <w:rPr>
        <w:rFonts w:hint="eastAsia"/>
      </w:rPr>
      <w:t xml:space="preserve">           </w:t>
    </w:r>
  </w:p>
  <w:p w14:paraId="16D5912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6A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8A35">
    <w:pPr>
      <w:pStyle w:val="42"/>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0181">
    <w:pPr>
      <w:pStyle w:val="42"/>
    </w:pPr>
    <w:r>
      <w:t></w:t>
    </w:r>
    <w:r>
      <w:rPr>
        <w:rFonts w:hint="eastAsia"/>
      </w:rPr>
      <w:t xml:space="preserve">         </w:t>
    </w:r>
  </w:p>
  <w:p w14:paraId="1D5C6E62">
    <w:pPr>
      <w:pStyle w:val="42"/>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82CB4">
    <w:pPr>
      <w:pStyle w:val="42"/>
      <w:rPr>
        <w:rFonts w:ascii="仿宋_GB2312" w:eastAsia="仿宋_GB2312"/>
        <w:b/>
        <w:i/>
        <w:u w:val="single"/>
      </w:rPr>
    </w:pPr>
    <w:r>
      <w:t></w:t>
    </w:r>
    <w:r>
      <w:rPr>
        <w:rFonts w:hint="eastAsia"/>
      </w:rPr>
      <w:t xml:space="preserve">                                                </w:t>
    </w:r>
  </w:p>
  <w:p w14:paraId="242E061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D42D">
    <w:pPr>
      <w:pStyle w:val="42"/>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1EB4">
    <w:pPr>
      <w:pStyle w:val="42"/>
      <w:jc w:val="right"/>
      <w:rPr>
        <w:rFonts w:ascii="仿宋_GB2312" w:eastAsia="仿宋_GB2312"/>
        <w:b/>
        <w:i/>
        <w:u w:val="single"/>
      </w:rPr>
    </w:pPr>
    <w:r>
      <w:rPr>
        <w:rFonts w:hint="eastAsia"/>
      </w:rPr>
      <w:t xml:space="preserve">                                  </w:t>
    </w:r>
  </w:p>
  <w:p w14:paraId="306980B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302A">
    <w:pPr>
      <w:pStyle w:val="42"/>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B94B323A"/>
    <w:multiLevelType w:val="singleLevel"/>
    <w:tmpl w:val="B94B323A"/>
    <w:lvl w:ilvl="0" w:tentative="0">
      <w:start w:val="1"/>
      <w:numFmt w:val="decimal"/>
      <w:suff w:val="nothing"/>
      <w:lvlText w:val="（%1）"/>
      <w:lvlJc w:val="left"/>
    </w:lvl>
  </w:abstractNum>
  <w:abstractNum w:abstractNumId="2">
    <w:nsid w:val="E7FBC797"/>
    <w:multiLevelType w:val="singleLevel"/>
    <w:tmpl w:val="E7FBC797"/>
    <w:lvl w:ilvl="0" w:tentative="0">
      <w:start w:val="5"/>
      <w:numFmt w:val="decimal"/>
      <w:suff w:val="space"/>
      <w:lvlText w:val="第%1章"/>
      <w:lvlJc w:val="left"/>
    </w:lvl>
  </w:abstractNum>
  <w:abstractNum w:abstractNumId="3">
    <w:nsid w:val="00000003"/>
    <w:multiLevelType w:val="multilevel"/>
    <w:tmpl w:val="00000003"/>
    <w:lvl w:ilvl="0" w:tentative="0">
      <w:start w:val="1"/>
      <w:numFmt w:val="bullet"/>
      <w:lvlText w:val="△"/>
      <w:lvlJc w:val="left"/>
      <w:pPr>
        <w:tabs>
          <w:tab w:val="left" w:pos="720"/>
        </w:tabs>
        <w:ind w:left="720" w:hanging="24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3B0BF7"/>
    <w:multiLevelType w:val="singleLevel"/>
    <w:tmpl w:val="273B0BF7"/>
    <w:lvl w:ilvl="0" w:tentative="0">
      <w:start w:val="1"/>
      <w:numFmt w:val="decimal"/>
      <w:suff w:val="nothing"/>
      <w:lvlText w:val="（%1）"/>
      <w:lvlJc w:val="left"/>
    </w:lvl>
  </w:abstractNum>
  <w:num w:numId="1">
    <w:abstractNumId w:val="0"/>
  </w:num>
  <w:num w:numId="2">
    <w:abstractNumId w:val="4"/>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jk1MGY1ZWQ0NmI4YmY1NWJjY2MzYzMzYWE3M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C78"/>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AA4"/>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34D"/>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5F6"/>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283"/>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47"/>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3BF"/>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279"/>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74E"/>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08"/>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03"/>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AFE"/>
    <w:rsid w:val="00633769"/>
    <w:rsid w:val="00633FE3"/>
    <w:rsid w:val="00634276"/>
    <w:rsid w:val="00634570"/>
    <w:rsid w:val="0063487C"/>
    <w:rsid w:val="00635B73"/>
    <w:rsid w:val="00635BB7"/>
    <w:rsid w:val="006360BD"/>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22F"/>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D1"/>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EDE"/>
    <w:rsid w:val="00732078"/>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6"/>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543"/>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402"/>
    <w:rsid w:val="0083257C"/>
    <w:rsid w:val="0083261B"/>
    <w:rsid w:val="00832B44"/>
    <w:rsid w:val="00832EC9"/>
    <w:rsid w:val="00833307"/>
    <w:rsid w:val="00833488"/>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285"/>
    <w:rsid w:val="00845B14"/>
    <w:rsid w:val="008465B4"/>
    <w:rsid w:val="00846D25"/>
    <w:rsid w:val="00847B7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2A0E"/>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45"/>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DD"/>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797"/>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DE3"/>
    <w:rsid w:val="00C12ECB"/>
    <w:rsid w:val="00C13CAE"/>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C4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1EDB"/>
    <w:rsid w:val="00D92078"/>
    <w:rsid w:val="00D926F0"/>
    <w:rsid w:val="00D92A87"/>
    <w:rsid w:val="00D9384E"/>
    <w:rsid w:val="00D93AEE"/>
    <w:rsid w:val="00D93E95"/>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5C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2B6"/>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7D"/>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A47"/>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158D6"/>
    <w:rsid w:val="010651D9"/>
    <w:rsid w:val="01066A48"/>
    <w:rsid w:val="010827C0"/>
    <w:rsid w:val="01101675"/>
    <w:rsid w:val="01192C1F"/>
    <w:rsid w:val="011A24F4"/>
    <w:rsid w:val="011F6449"/>
    <w:rsid w:val="01214875"/>
    <w:rsid w:val="01236AFB"/>
    <w:rsid w:val="01244937"/>
    <w:rsid w:val="012A19DD"/>
    <w:rsid w:val="013637D1"/>
    <w:rsid w:val="0136557F"/>
    <w:rsid w:val="013B2B96"/>
    <w:rsid w:val="013B4944"/>
    <w:rsid w:val="013E61E2"/>
    <w:rsid w:val="01453A14"/>
    <w:rsid w:val="014B08FF"/>
    <w:rsid w:val="014C1209"/>
    <w:rsid w:val="014D4677"/>
    <w:rsid w:val="014F219D"/>
    <w:rsid w:val="0156177E"/>
    <w:rsid w:val="0156352C"/>
    <w:rsid w:val="015772A4"/>
    <w:rsid w:val="015B4FE6"/>
    <w:rsid w:val="015C48BA"/>
    <w:rsid w:val="016245C6"/>
    <w:rsid w:val="016248D9"/>
    <w:rsid w:val="01635C49"/>
    <w:rsid w:val="016519C1"/>
    <w:rsid w:val="0168322A"/>
    <w:rsid w:val="0168325F"/>
    <w:rsid w:val="016F0A91"/>
    <w:rsid w:val="01710365"/>
    <w:rsid w:val="01747E56"/>
    <w:rsid w:val="01763BCE"/>
    <w:rsid w:val="017B11E4"/>
    <w:rsid w:val="018067FB"/>
    <w:rsid w:val="01875DDB"/>
    <w:rsid w:val="01883901"/>
    <w:rsid w:val="018E7169"/>
    <w:rsid w:val="018F6A3E"/>
    <w:rsid w:val="01916C5A"/>
    <w:rsid w:val="019404F8"/>
    <w:rsid w:val="01987FE8"/>
    <w:rsid w:val="01995B0E"/>
    <w:rsid w:val="01997579"/>
    <w:rsid w:val="019B3634"/>
    <w:rsid w:val="019F7441"/>
    <w:rsid w:val="01A050EF"/>
    <w:rsid w:val="01A544B3"/>
    <w:rsid w:val="01A86D70"/>
    <w:rsid w:val="01A93FA3"/>
    <w:rsid w:val="01AD5116"/>
    <w:rsid w:val="01AF0E8E"/>
    <w:rsid w:val="01B110AA"/>
    <w:rsid w:val="01B3097E"/>
    <w:rsid w:val="01B37585"/>
    <w:rsid w:val="01B47D14"/>
    <w:rsid w:val="01B85F94"/>
    <w:rsid w:val="01BA61B0"/>
    <w:rsid w:val="01BD35AB"/>
    <w:rsid w:val="01BF37C7"/>
    <w:rsid w:val="01C0753F"/>
    <w:rsid w:val="01CA5CC8"/>
    <w:rsid w:val="01D03B74"/>
    <w:rsid w:val="01D408F4"/>
    <w:rsid w:val="01D55165"/>
    <w:rsid w:val="01DA23AF"/>
    <w:rsid w:val="01DD1E9F"/>
    <w:rsid w:val="01DF6BF8"/>
    <w:rsid w:val="01E054EB"/>
    <w:rsid w:val="01E2462E"/>
    <w:rsid w:val="01E44FDB"/>
    <w:rsid w:val="01E50D53"/>
    <w:rsid w:val="01E74ACC"/>
    <w:rsid w:val="01E7687A"/>
    <w:rsid w:val="01EC2C57"/>
    <w:rsid w:val="01EE5E5A"/>
    <w:rsid w:val="01F42D45"/>
    <w:rsid w:val="01F43EC0"/>
    <w:rsid w:val="01F571E8"/>
    <w:rsid w:val="01F62F61"/>
    <w:rsid w:val="01F80A87"/>
    <w:rsid w:val="01F82835"/>
    <w:rsid w:val="020457FF"/>
    <w:rsid w:val="020531A4"/>
    <w:rsid w:val="02056D00"/>
    <w:rsid w:val="020C3669"/>
    <w:rsid w:val="020E3E06"/>
    <w:rsid w:val="02111B48"/>
    <w:rsid w:val="02182ED7"/>
    <w:rsid w:val="02186A33"/>
    <w:rsid w:val="021A09FD"/>
    <w:rsid w:val="02203B3A"/>
    <w:rsid w:val="0224187C"/>
    <w:rsid w:val="02290C40"/>
    <w:rsid w:val="02296E92"/>
    <w:rsid w:val="022B2C0A"/>
    <w:rsid w:val="02317AF5"/>
    <w:rsid w:val="023B4DEC"/>
    <w:rsid w:val="024669D5"/>
    <w:rsid w:val="02477318"/>
    <w:rsid w:val="024B505A"/>
    <w:rsid w:val="02510197"/>
    <w:rsid w:val="025263E9"/>
    <w:rsid w:val="025A529E"/>
    <w:rsid w:val="025C6C4D"/>
    <w:rsid w:val="025F0711"/>
    <w:rsid w:val="0261487E"/>
    <w:rsid w:val="0261662C"/>
    <w:rsid w:val="02624152"/>
    <w:rsid w:val="02661E94"/>
    <w:rsid w:val="02691984"/>
    <w:rsid w:val="026B1259"/>
    <w:rsid w:val="026B2E25"/>
    <w:rsid w:val="026C6D7F"/>
    <w:rsid w:val="026E0D49"/>
    <w:rsid w:val="026E6F9B"/>
    <w:rsid w:val="02750329"/>
    <w:rsid w:val="02777BFD"/>
    <w:rsid w:val="027A149C"/>
    <w:rsid w:val="027A76EE"/>
    <w:rsid w:val="02820350"/>
    <w:rsid w:val="02824D4D"/>
    <w:rsid w:val="0288005D"/>
    <w:rsid w:val="02897931"/>
    <w:rsid w:val="02906F11"/>
    <w:rsid w:val="029167E5"/>
    <w:rsid w:val="02963DFC"/>
    <w:rsid w:val="02971C44"/>
    <w:rsid w:val="029A1B3E"/>
    <w:rsid w:val="029E162E"/>
    <w:rsid w:val="029F0F02"/>
    <w:rsid w:val="02A1111E"/>
    <w:rsid w:val="02A36C44"/>
    <w:rsid w:val="02A75687"/>
    <w:rsid w:val="02AD7AC3"/>
    <w:rsid w:val="02AF383B"/>
    <w:rsid w:val="02AF69EA"/>
    <w:rsid w:val="02B40E52"/>
    <w:rsid w:val="02B413CC"/>
    <w:rsid w:val="02B524D4"/>
    <w:rsid w:val="02B80216"/>
    <w:rsid w:val="02BC3862"/>
    <w:rsid w:val="02BC7D06"/>
    <w:rsid w:val="02C1531D"/>
    <w:rsid w:val="02C32E43"/>
    <w:rsid w:val="02C72207"/>
    <w:rsid w:val="02CB7F49"/>
    <w:rsid w:val="02CD5A6F"/>
    <w:rsid w:val="02CE17E8"/>
    <w:rsid w:val="02D05560"/>
    <w:rsid w:val="02D36DFE"/>
    <w:rsid w:val="02D45050"/>
    <w:rsid w:val="02D50DC8"/>
    <w:rsid w:val="02D908B8"/>
    <w:rsid w:val="02DA1F3A"/>
    <w:rsid w:val="02DA4630"/>
    <w:rsid w:val="02DC4B10"/>
    <w:rsid w:val="02DD76CE"/>
    <w:rsid w:val="02E1776D"/>
    <w:rsid w:val="02E62FD5"/>
    <w:rsid w:val="02E903CF"/>
    <w:rsid w:val="02EC0514"/>
    <w:rsid w:val="02EC2FD9"/>
    <w:rsid w:val="02EF1E8A"/>
    <w:rsid w:val="02F36323"/>
    <w:rsid w:val="02F5619C"/>
    <w:rsid w:val="02FA25DD"/>
    <w:rsid w:val="03035935"/>
    <w:rsid w:val="030516AD"/>
    <w:rsid w:val="0305345B"/>
    <w:rsid w:val="03062D2F"/>
    <w:rsid w:val="03074923"/>
    <w:rsid w:val="03084CFA"/>
    <w:rsid w:val="030D0562"/>
    <w:rsid w:val="030E038C"/>
    <w:rsid w:val="030F42DA"/>
    <w:rsid w:val="030F6088"/>
    <w:rsid w:val="031418F0"/>
    <w:rsid w:val="0314369E"/>
    <w:rsid w:val="031511C4"/>
    <w:rsid w:val="031713E0"/>
    <w:rsid w:val="03194519"/>
    <w:rsid w:val="031B636A"/>
    <w:rsid w:val="032064E7"/>
    <w:rsid w:val="0326446A"/>
    <w:rsid w:val="03265180"/>
    <w:rsid w:val="0328539C"/>
    <w:rsid w:val="032A4C70"/>
    <w:rsid w:val="032D5555"/>
    <w:rsid w:val="0334789D"/>
    <w:rsid w:val="03351867"/>
    <w:rsid w:val="033755DF"/>
    <w:rsid w:val="03394EB3"/>
    <w:rsid w:val="033E4BBF"/>
    <w:rsid w:val="03433F84"/>
    <w:rsid w:val="03457CFC"/>
    <w:rsid w:val="034F2928"/>
    <w:rsid w:val="034F46D6"/>
    <w:rsid w:val="035D4EAA"/>
    <w:rsid w:val="035E700F"/>
    <w:rsid w:val="03600692"/>
    <w:rsid w:val="0361440A"/>
    <w:rsid w:val="036208AE"/>
    <w:rsid w:val="03634626"/>
    <w:rsid w:val="03653EFA"/>
    <w:rsid w:val="036634D2"/>
    <w:rsid w:val="036A1510"/>
    <w:rsid w:val="0370464D"/>
    <w:rsid w:val="037405E1"/>
    <w:rsid w:val="03750ED4"/>
    <w:rsid w:val="037759DB"/>
    <w:rsid w:val="03795BF7"/>
    <w:rsid w:val="037D700A"/>
    <w:rsid w:val="03806F86"/>
    <w:rsid w:val="038F541B"/>
    <w:rsid w:val="038F71C9"/>
    <w:rsid w:val="03977E2B"/>
    <w:rsid w:val="039842CF"/>
    <w:rsid w:val="03990047"/>
    <w:rsid w:val="039B3DC0"/>
    <w:rsid w:val="03A03184"/>
    <w:rsid w:val="03A2514E"/>
    <w:rsid w:val="03A32C74"/>
    <w:rsid w:val="03A367D0"/>
    <w:rsid w:val="03A72764"/>
    <w:rsid w:val="03A964DC"/>
    <w:rsid w:val="03A96934"/>
    <w:rsid w:val="03AC1B29"/>
    <w:rsid w:val="03B1713F"/>
    <w:rsid w:val="03B7227C"/>
    <w:rsid w:val="03B804CE"/>
    <w:rsid w:val="03BB6210"/>
    <w:rsid w:val="03BD3D36"/>
    <w:rsid w:val="03BD5AE4"/>
    <w:rsid w:val="03BD7B92"/>
    <w:rsid w:val="03BE185C"/>
    <w:rsid w:val="03BE360A"/>
    <w:rsid w:val="03BF0B5A"/>
    <w:rsid w:val="03C03826"/>
    <w:rsid w:val="03C2759E"/>
    <w:rsid w:val="03C84489"/>
    <w:rsid w:val="03C86237"/>
    <w:rsid w:val="03C9092D"/>
    <w:rsid w:val="03CC21CB"/>
    <w:rsid w:val="03CE5F43"/>
    <w:rsid w:val="03CF5817"/>
    <w:rsid w:val="03D1333D"/>
    <w:rsid w:val="03D2624F"/>
    <w:rsid w:val="03D33559"/>
    <w:rsid w:val="03D41080"/>
    <w:rsid w:val="03D64DF8"/>
    <w:rsid w:val="03D66BA6"/>
    <w:rsid w:val="03D814FB"/>
    <w:rsid w:val="03DB41BC"/>
    <w:rsid w:val="03DD35E4"/>
    <w:rsid w:val="03DD40E2"/>
    <w:rsid w:val="03DE5A5A"/>
    <w:rsid w:val="03E03C01"/>
    <w:rsid w:val="03E05C76"/>
    <w:rsid w:val="03E5328D"/>
    <w:rsid w:val="03E5503B"/>
    <w:rsid w:val="03E70DB3"/>
    <w:rsid w:val="03EF2937"/>
    <w:rsid w:val="03FA61DB"/>
    <w:rsid w:val="03FD4132"/>
    <w:rsid w:val="040000C7"/>
    <w:rsid w:val="04076900"/>
    <w:rsid w:val="04090D29"/>
    <w:rsid w:val="04115E30"/>
    <w:rsid w:val="04163446"/>
    <w:rsid w:val="041A2F36"/>
    <w:rsid w:val="041A5A3B"/>
    <w:rsid w:val="041B4E07"/>
    <w:rsid w:val="041F054D"/>
    <w:rsid w:val="04206073"/>
    <w:rsid w:val="04207EF6"/>
    <w:rsid w:val="04223B99"/>
    <w:rsid w:val="042311BA"/>
    <w:rsid w:val="042518DB"/>
    <w:rsid w:val="042A0CA0"/>
    <w:rsid w:val="042B157A"/>
    <w:rsid w:val="042F4508"/>
    <w:rsid w:val="04317E86"/>
    <w:rsid w:val="04365896"/>
    <w:rsid w:val="043A7135"/>
    <w:rsid w:val="043C5F8E"/>
    <w:rsid w:val="043C785D"/>
    <w:rsid w:val="044C0C16"/>
    <w:rsid w:val="045301F6"/>
    <w:rsid w:val="04591D30"/>
    <w:rsid w:val="045F6B9B"/>
    <w:rsid w:val="04640655"/>
    <w:rsid w:val="046643CE"/>
    <w:rsid w:val="0466617C"/>
    <w:rsid w:val="04671EF4"/>
    <w:rsid w:val="04673CA2"/>
    <w:rsid w:val="047343F5"/>
    <w:rsid w:val="04785EAF"/>
    <w:rsid w:val="047902EA"/>
    <w:rsid w:val="047F0FEB"/>
    <w:rsid w:val="04877EA0"/>
    <w:rsid w:val="048E122E"/>
    <w:rsid w:val="048F763B"/>
    <w:rsid w:val="04926F71"/>
    <w:rsid w:val="049F330E"/>
    <w:rsid w:val="04A3117E"/>
    <w:rsid w:val="04A40A52"/>
    <w:rsid w:val="04A77B1E"/>
    <w:rsid w:val="04A86794"/>
    <w:rsid w:val="04A9250C"/>
    <w:rsid w:val="04AA775C"/>
    <w:rsid w:val="04AC1C8A"/>
    <w:rsid w:val="04AC792F"/>
    <w:rsid w:val="04AF1889"/>
    <w:rsid w:val="04B0389B"/>
    <w:rsid w:val="04B073F7"/>
    <w:rsid w:val="04B30C95"/>
    <w:rsid w:val="04B35139"/>
    <w:rsid w:val="04B50EB1"/>
    <w:rsid w:val="04B62533"/>
    <w:rsid w:val="04B8274F"/>
    <w:rsid w:val="04B844FD"/>
    <w:rsid w:val="04C11604"/>
    <w:rsid w:val="04C12DE3"/>
    <w:rsid w:val="04C17856"/>
    <w:rsid w:val="04C37B86"/>
    <w:rsid w:val="04C80BE4"/>
    <w:rsid w:val="04D01847"/>
    <w:rsid w:val="04D07A99"/>
    <w:rsid w:val="04D16A79"/>
    <w:rsid w:val="04D31337"/>
    <w:rsid w:val="04D72BD5"/>
    <w:rsid w:val="04DF7CDC"/>
    <w:rsid w:val="04E35A1E"/>
    <w:rsid w:val="04E6106A"/>
    <w:rsid w:val="04E903A7"/>
    <w:rsid w:val="04E90B5B"/>
    <w:rsid w:val="04E9501D"/>
    <w:rsid w:val="04EB6681"/>
    <w:rsid w:val="04ED23F9"/>
    <w:rsid w:val="04F217BD"/>
    <w:rsid w:val="04F657D7"/>
    <w:rsid w:val="04F66F48"/>
    <w:rsid w:val="04F77256"/>
    <w:rsid w:val="04F82B4C"/>
    <w:rsid w:val="04F930B9"/>
    <w:rsid w:val="04FC6AE0"/>
    <w:rsid w:val="04FD0162"/>
    <w:rsid w:val="05015EA4"/>
    <w:rsid w:val="05031C1C"/>
    <w:rsid w:val="050414F1"/>
    <w:rsid w:val="050634BB"/>
    <w:rsid w:val="05104339"/>
    <w:rsid w:val="05143E2A"/>
    <w:rsid w:val="051554AC"/>
    <w:rsid w:val="051931EE"/>
    <w:rsid w:val="051E25B2"/>
    <w:rsid w:val="05241B93"/>
    <w:rsid w:val="05251E14"/>
    <w:rsid w:val="052676B9"/>
    <w:rsid w:val="052B4CCF"/>
    <w:rsid w:val="052E656D"/>
    <w:rsid w:val="05322502"/>
    <w:rsid w:val="05341DD6"/>
    <w:rsid w:val="05373674"/>
    <w:rsid w:val="053B2DF9"/>
    <w:rsid w:val="053C6EDC"/>
    <w:rsid w:val="053E0EA6"/>
    <w:rsid w:val="053F077B"/>
    <w:rsid w:val="0540041A"/>
    <w:rsid w:val="054B35C3"/>
    <w:rsid w:val="054D10EA"/>
    <w:rsid w:val="05523F70"/>
    <w:rsid w:val="05524952"/>
    <w:rsid w:val="055661F0"/>
    <w:rsid w:val="05581271"/>
    <w:rsid w:val="055866A0"/>
    <w:rsid w:val="05597A8E"/>
    <w:rsid w:val="055C30DB"/>
    <w:rsid w:val="05616943"/>
    <w:rsid w:val="056337B3"/>
    <w:rsid w:val="05654685"/>
    <w:rsid w:val="056A57F8"/>
    <w:rsid w:val="056D52E8"/>
    <w:rsid w:val="05704DD8"/>
    <w:rsid w:val="05747309"/>
    <w:rsid w:val="0575419C"/>
    <w:rsid w:val="05761E70"/>
    <w:rsid w:val="057743B8"/>
    <w:rsid w:val="05780D78"/>
    <w:rsid w:val="057A17B3"/>
    <w:rsid w:val="057B5C57"/>
    <w:rsid w:val="057B7761"/>
    <w:rsid w:val="057C377D"/>
    <w:rsid w:val="057C552B"/>
    <w:rsid w:val="058014BF"/>
    <w:rsid w:val="058645FB"/>
    <w:rsid w:val="058663AA"/>
    <w:rsid w:val="05896965"/>
    <w:rsid w:val="058A40EC"/>
    <w:rsid w:val="058D7738"/>
    <w:rsid w:val="058F1702"/>
    <w:rsid w:val="058F525E"/>
    <w:rsid w:val="0599432F"/>
    <w:rsid w:val="059C5BCD"/>
    <w:rsid w:val="05A16594"/>
    <w:rsid w:val="05A351AD"/>
    <w:rsid w:val="05A36F5B"/>
    <w:rsid w:val="05A7762D"/>
    <w:rsid w:val="05AC4062"/>
    <w:rsid w:val="05B272AB"/>
    <w:rsid w:val="05B57032"/>
    <w:rsid w:val="05B66C8F"/>
    <w:rsid w:val="05B747B5"/>
    <w:rsid w:val="05BB42A5"/>
    <w:rsid w:val="05C173E2"/>
    <w:rsid w:val="05C52B50"/>
    <w:rsid w:val="05C5371F"/>
    <w:rsid w:val="05C72C4A"/>
    <w:rsid w:val="05C80770"/>
    <w:rsid w:val="05D45367"/>
    <w:rsid w:val="05DB7947"/>
    <w:rsid w:val="05E732EC"/>
    <w:rsid w:val="05EA4B8A"/>
    <w:rsid w:val="05EA6938"/>
    <w:rsid w:val="05EF21A1"/>
    <w:rsid w:val="05EF3F4F"/>
    <w:rsid w:val="05F11A75"/>
    <w:rsid w:val="05F15F19"/>
    <w:rsid w:val="05F23A3F"/>
    <w:rsid w:val="05F652DD"/>
    <w:rsid w:val="05FB6D97"/>
    <w:rsid w:val="05FE1FC5"/>
    <w:rsid w:val="05FE23E4"/>
    <w:rsid w:val="06021ED4"/>
    <w:rsid w:val="060914B4"/>
    <w:rsid w:val="060A3E55"/>
    <w:rsid w:val="060E5941"/>
    <w:rsid w:val="060E6ACB"/>
    <w:rsid w:val="06110FAF"/>
    <w:rsid w:val="06113EC5"/>
    <w:rsid w:val="06135E8F"/>
    <w:rsid w:val="061623F8"/>
    <w:rsid w:val="0616597F"/>
    <w:rsid w:val="06165D90"/>
    <w:rsid w:val="061E4834"/>
    <w:rsid w:val="06257970"/>
    <w:rsid w:val="06293905"/>
    <w:rsid w:val="062C6F51"/>
    <w:rsid w:val="062F6A41"/>
    <w:rsid w:val="063522A9"/>
    <w:rsid w:val="0636392C"/>
    <w:rsid w:val="063D2F0C"/>
    <w:rsid w:val="063E3805"/>
    <w:rsid w:val="063F4ED6"/>
    <w:rsid w:val="06420522"/>
    <w:rsid w:val="064249C6"/>
    <w:rsid w:val="064424ED"/>
    <w:rsid w:val="06450013"/>
    <w:rsid w:val="06451DC1"/>
    <w:rsid w:val="06487227"/>
    <w:rsid w:val="06493CA7"/>
    <w:rsid w:val="064969C8"/>
    <w:rsid w:val="064A387B"/>
    <w:rsid w:val="064C13A1"/>
    <w:rsid w:val="064C314F"/>
    <w:rsid w:val="064F2C3F"/>
    <w:rsid w:val="06500E91"/>
    <w:rsid w:val="0650515A"/>
    <w:rsid w:val="0659586C"/>
    <w:rsid w:val="065A3ABE"/>
    <w:rsid w:val="065A6178"/>
    <w:rsid w:val="065B3392"/>
    <w:rsid w:val="065B7836"/>
    <w:rsid w:val="065F7326"/>
    <w:rsid w:val="06606BFB"/>
    <w:rsid w:val="0661309E"/>
    <w:rsid w:val="0664493D"/>
    <w:rsid w:val="066761DB"/>
    <w:rsid w:val="06691F53"/>
    <w:rsid w:val="066F1CF3"/>
    <w:rsid w:val="067B7677"/>
    <w:rsid w:val="067D155B"/>
    <w:rsid w:val="06826B71"/>
    <w:rsid w:val="068723D9"/>
    <w:rsid w:val="068C79F0"/>
    <w:rsid w:val="06930BB8"/>
    <w:rsid w:val="06937A21"/>
    <w:rsid w:val="06982838"/>
    <w:rsid w:val="069845E6"/>
    <w:rsid w:val="069A035E"/>
    <w:rsid w:val="069A036D"/>
    <w:rsid w:val="069F5975"/>
    <w:rsid w:val="06A42F8B"/>
    <w:rsid w:val="06A87133"/>
    <w:rsid w:val="06AE3E0A"/>
    <w:rsid w:val="06B34F7C"/>
    <w:rsid w:val="06B70F10"/>
    <w:rsid w:val="06BA455D"/>
    <w:rsid w:val="06BD229F"/>
    <w:rsid w:val="06BF6017"/>
    <w:rsid w:val="06C158EB"/>
    <w:rsid w:val="06C23411"/>
    <w:rsid w:val="06C4362D"/>
    <w:rsid w:val="06C61153"/>
    <w:rsid w:val="06C62F02"/>
    <w:rsid w:val="06C929F2"/>
    <w:rsid w:val="06CB3C0E"/>
    <w:rsid w:val="06D01FD2"/>
    <w:rsid w:val="06D3561E"/>
    <w:rsid w:val="06D51397"/>
    <w:rsid w:val="06DA4BFF"/>
    <w:rsid w:val="06DB44D3"/>
    <w:rsid w:val="06DF0467"/>
    <w:rsid w:val="06E0792B"/>
    <w:rsid w:val="06E15F8D"/>
    <w:rsid w:val="06E25862"/>
    <w:rsid w:val="06E93094"/>
    <w:rsid w:val="06E94E42"/>
    <w:rsid w:val="06F04422"/>
    <w:rsid w:val="06F85085"/>
    <w:rsid w:val="06F86E33"/>
    <w:rsid w:val="06FC4B75"/>
    <w:rsid w:val="06FE6B3F"/>
    <w:rsid w:val="0702176B"/>
    <w:rsid w:val="07027CB2"/>
    <w:rsid w:val="07043A2A"/>
    <w:rsid w:val="070677A2"/>
    <w:rsid w:val="070752C8"/>
    <w:rsid w:val="0708351A"/>
    <w:rsid w:val="07091040"/>
    <w:rsid w:val="07155C37"/>
    <w:rsid w:val="07195727"/>
    <w:rsid w:val="071F0864"/>
    <w:rsid w:val="072145DC"/>
    <w:rsid w:val="072365A6"/>
    <w:rsid w:val="072440CC"/>
    <w:rsid w:val="07245D42"/>
    <w:rsid w:val="072530D7"/>
    <w:rsid w:val="07264C62"/>
    <w:rsid w:val="07267E44"/>
    <w:rsid w:val="07293490"/>
    <w:rsid w:val="072D1869"/>
    <w:rsid w:val="072E5A65"/>
    <w:rsid w:val="073836D3"/>
    <w:rsid w:val="073A38EF"/>
    <w:rsid w:val="073D0CEA"/>
    <w:rsid w:val="073E518E"/>
    <w:rsid w:val="073F2CB4"/>
    <w:rsid w:val="074309F6"/>
    <w:rsid w:val="074402CA"/>
    <w:rsid w:val="0744651C"/>
    <w:rsid w:val="07481B68"/>
    <w:rsid w:val="074958E1"/>
    <w:rsid w:val="0749768F"/>
    <w:rsid w:val="074D3623"/>
    <w:rsid w:val="074F1149"/>
    <w:rsid w:val="07520C39"/>
    <w:rsid w:val="07524795"/>
    <w:rsid w:val="0754675F"/>
    <w:rsid w:val="07550729"/>
    <w:rsid w:val="075524D7"/>
    <w:rsid w:val="07577FFE"/>
    <w:rsid w:val="07580619"/>
    <w:rsid w:val="075C1AB8"/>
    <w:rsid w:val="07610E7C"/>
    <w:rsid w:val="07660241"/>
    <w:rsid w:val="076A5F83"/>
    <w:rsid w:val="07726BE5"/>
    <w:rsid w:val="07740BAF"/>
    <w:rsid w:val="07746BCF"/>
    <w:rsid w:val="077566D6"/>
    <w:rsid w:val="077640C0"/>
    <w:rsid w:val="0779354C"/>
    <w:rsid w:val="077A1F3E"/>
    <w:rsid w:val="078057A6"/>
    <w:rsid w:val="07832BA1"/>
    <w:rsid w:val="078B7CA7"/>
    <w:rsid w:val="078F59E9"/>
    <w:rsid w:val="078F7797"/>
    <w:rsid w:val="079254DA"/>
    <w:rsid w:val="079923C4"/>
    <w:rsid w:val="07996868"/>
    <w:rsid w:val="079B25E0"/>
    <w:rsid w:val="079C0106"/>
    <w:rsid w:val="079C1EB4"/>
    <w:rsid w:val="07A004FA"/>
    <w:rsid w:val="07A80859"/>
    <w:rsid w:val="07AA2823"/>
    <w:rsid w:val="07AB20F7"/>
    <w:rsid w:val="07AB7E7A"/>
    <w:rsid w:val="07AF1BE8"/>
    <w:rsid w:val="07B2792A"/>
    <w:rsid w:val="07B45450"/>
    <w:rsid w:val="07B471FE"/>
    <w:rsid w:val="07B611C8"/>
    <w:rsid w:val="07B62F76"/>
    <w:rsid w:val="07B70A9C"/>
    <w:rsid w:val="07B74F40"/>
    <w:rsid w:val="07BA55A7"/>
    <w:rsid w:val="07BB058C"/>
    <w:rsid w:val="07BC4304"/>
    <w:rsid w:val="07C1191B"/>
    <w:rsid w:val="07C5140B"/>
    <w:rsid w:val="07C82CA9"/>
    <w:rsid w:val="07CF228A"/>
    <w:rsid w:val="07D7113E"/>
    <w:rsid w:val="07D93108"/>
    <w:rsid w:val="07DE071F"/>
    <w:rsid w:val="07DF4459"/>
    <w:rsid w:val="07ED44BE"/>
    <w:rsid w:val="07F67816"/>
    <w:rsid w:val="07F7358F"/>
    <w:rsid w:val="07FB307F"/>
    <w:rsid w:val="07FB4E2D"/>
    <w:rsid w:val="07FC2953"/>
    <w:rsid w:val="08031F33"/>
    <w:rsid w:val="08053EFD"/>
    <w:rsid w:val="08061376"/>
    <w:rsid w:val="080976BA"/>
    <w:rsid w:val="080C703A"/>
    <w:rsid w:val="081163FE"/>
    <w:rsid w:val="08123F24"/>
    <w:rsid w:val="081303C8"/>
    <w:rsid w:val="081319C1"/>
    <w:rsid w:val="08135F0E"/>
    <w:rsid w:val="08145EEF"/>
    <w:rsid w:val="08167EB9"/>
    <w:rsid w:val="0818374A"/>
    <w:rsid w:val="081A19BC"/>
    <w:rsid w:val="081A31D6"/>
    <w:rsid w:val="082422EC"/>
    <w:rsid w:val="082425D6"/>
    <w:rsid w:val="082500FC"/>
    <w:rsid w:val="08253366"/>
    <w:rsid w:val="08253C58"/>
    <w:rsid w:val="08283748"/>
    <w:rsid w:val="08395955"/>
    <w:rsid w:val="083E11BD"/>
    <w:rsid w:val="08452D77"/>
    <w:rsid w:val="084542FA"/>
    <w:rsid w:val="084762C4"/>
    <w:rsid w:val="084B203D"/>
    <w:rsid w:val="08512C9F"/>
    <w:rsid w:val="085307CF"/>
    <w:rsid w:val="085409E1"/>
    <w:rsid w:val="0854278F"/>
    <w:rsid w:val="085602B5"/>
    <w:rsid w:val="08564759"/>
    <w:rsid w:val="08566507"/>
    <w:rsid w:val="08585DDB"/>
    <w:rsid w:val="085A5FF7"/>
    <w:rsid w:val="085B3B1D"/>
    <w:rsid w:val="08607386"/>
    <w:rsid w:val="086401F8"/>
    <w:rsid w:val="08646E76"/>
    <w:rsid w:val="08670714"/>
    <w:rsid w:val="0869623A"/>
    <w:rsid w:val="086F1377"/>
    <w:rsid w:val="08713341"/>
    <w:rsid w:val="08730E67"/>
    <w:rsid w:val="08751CAA"/>
    <w:rsid w:val="087522BE"/>
    <w:rsid w:val="08760957"/>
    <w:rsid w:val="08767092"/>
    <w:rsid w:val="08785772"/>
    <w:rsid w:val="087E4C40"/>
    <w:rsid w:val="08850B9A"/>
    <w:rsid w:val="08872B64"/>
    <w:rsid w:val="088C0960"/>
    <w:rsid w:val="08935065"/>
    <w:rsid w:val="089808CE"/>
    <w:rsid w:val="089D4136"/>
    <w:rsid w:val="08A13C26"/>
    <w:rsid w:val="08A47272"/>
    <w:rsid w:val="08A871D0"/>
    <w:rsid w:val="08A92ADB"/>
    <w:rsid w:val="08A96637"/>
    <w:rsid w:val="08AC25CB"/>
    <w:rsid w:val="08B60D54"/>
    <w:rsid w:val="08B80F70"/>
    <w:rsid w:val="08BF22FE"/>
    <w:rsid w:val="08BF37EF"/>
    <w:rsid w:val="08C07E24"/>
    <w:rsid w:val="08C2594B"/>
    <w:rsid w:val="08C401C2"/>
    <w:rsid w:val="08C416C3"/>
    <w:rsid w:val="08C571E9"/>
    <w:rsid w:val="08C6543B"/>
    <w:rsid w:val="08CA47FF"/>
    <w:rsid w:val="08CE609D"/>
    <w:rsid w:val="08D00067"/>
    <w:rsid w:val="08D31906"/>
    <w:rsid w:val="08D631A4"/>
    <w:rsid w:val="08D66AD6"/>
    <w:rsid w:val="08D86946"/>
    <w:rsid w:val="08DA33A3"/>
    <w:rsid w:val="08E80F13"/>
    <w:rsid w:val="08EB4B90"/>
    <w:rsid w:val="08EB6C4F"/>
    <w:rsid w:val="08EE6740"/>
    <w:rsid w:val="08F301FA"/>
    <w:rsid w:val="08F5187C"/>
    <w:rsid w:val="08F63846"/>
    <w:rsid w:val="08F8136C"/>
    <w:rsid w:val="08FA6E92"/>
    <w:rsid w:val="09025459"/>
    <w:rsid w:val="09045F63"/>
    <w:rsid w:val="09137F54"/>
    <w:rsid w:val="09181A0E"/>
    <w:rsid w:val="09216B15"/>
    <w:rsid w:val="092263E9"/>
    <w:rsid w:val="0926237D"/>
    <w:rsid w:val="09267C87"/>
    <w:rsid w:val="09277E8E"/>
    <w:rsid w:val="092C1016"/>
    <w:rsid w:val="092C7268"/>
    <w:rsid w:val="092D370C"/>
    <w:rsid w:val="09305239"/>
    <w:rsid w:val="09306D58"/>
    <w:rsid w:val="09335624"/>
    <w:rsid w:val="093700E7"/>
    <w:rsid w:val="09376339"/>
    <w:rsid w:val="093876D2"/>
    <w:rsid w:val="093A1985"/>
    <w:rsid w:val="093E6F77"/>
    <w:rsid w:val="093F0D49"/>
    <w:rsid w:val="093F343F"/>
    <w:rsid w:val="093F51ED"/>
    <w:rsid w:val="09420839"/>
    <w:rsid w:val="09434CDD"/>
    <w:rsid w:val="09442803"/>
    <w:rsid w:val="0944690F"/>
    <w:rsid w:val="0946032A"/>
    <w:rsid w:val="094C0719"/>
    <w:rsid w:val="094C3466"/>
    <w:rsid w:val="094D16B8"/>
    <w:rsid w:val="09535675"/>
    <w:rsid w:val="09540C99"/>
    <w:rsid w:val="095C18FB"/>
    <w:rsid w:val="095E7BDD"/>
    <w:rsid w:val="095F057D"/>
    <w:rsid w:val="09615163"/>
    <w:rsid w:val="09642282"/>
    <w:rsid w:val="09652EA6"/>
    <w:rsid w:val="0966277A"/>
    <w:rsid w:val="0970184A"/>
    <w:rsid w:val="097035F9"/>
    <w:rsid w:val="09733572"/>
    <w:rsid w:val="09734E97"/>
    <w:rsid w:val="09736C45"/>
    <w:rsid w:val="09772C16"/>
    <w:rsid w:val="097C037D"/>
    <w:rsid w:val="097E7AC3"/>
    <w:rsid w:val="098353B5"/>
    <w:rsid w:val="09864BCA"/>
    <w:rsid w:val="098826F0"/>
    <w:rsid w:val="098F195C"/>
    <w:rsid w:val="099512B1"/>
    <w:rsid w:val="099866AB"/>
    <w:rsid w:val="099E0166"/>
    <w:rsid w:val="099F5C8C"/>
    <w:rsid w:val="09A03EDE"/>
    <w:rsid w:val="09A17C56"/>
    <w:rsid w:val="09A31262"/>
    <w:rsid w:val="09A45050"/>
    <w:rsid w:val="09A6701A"/>
    <w:rsid w:val="09A92330"/>
    <w:rsid w:val="09AB4631"/>
    <w:rsid w:val="09AD03A9"/>
    <w:rsid w:val="09AF2373"/>
    <w:rsid w:val="09B06B87"/>
    <w:rsid w:val="09B07E99"/>
    <w:rsid w:val="09B23C11"/>
    <w:rsid w:val="09B776D8"/>
    <w:rsid w:val="09B90AFC"/>
    <w:rsid w:val="09BA2AC6"/>
    <w:rsid w:val="09BF1E8A"/>
    <w:rsid w:val="09C120A6"/>
    <w:rsid w:val="09C13146"/>
    <w:rsid w:val="09C5316B"/>
    <w:rsid w:val="09C676BC"/>
    <w:rsid w:val="09C851E3"/>
    <w:rsid w:val="09CD45A7"/>
    <w:rsid w:val="09CF6571"/>
    <w:rsid w:val="09D05E45"/>
    <w:rsid w:val="09D27E0F"/>
    <w:rsid w:val="09D65B51"/>
    <w:rsid w:val="09DC1CD9"/>
    <w:rsid w:val="09DC2A3C"/>
    <w:rsid w:val="09E04166"/>
    <w:rsid w:val="09E55D95"/>
    <w:rsid w:val="09E638BB"/>
    <w:rsid w:val="09E813E1"/>
    <w:rsid w:val="09E85885"/>
    <w:rsid w:val="09EA33AB"/>
    <w:rsid w:val="09EA5159"/>
    <w:rsid w:val="09F12930"/>
    <w:rsid w:val="09F361E9"/>
    <w:rsid w:val="09F71624"/>
    <w:rsid w:val="0A0D638C"/>
    <w:rsid w:val="0A12645E"/>
    <w:rsid w:val="0A1349A2"/>
    <w:rsid w:val="0A193C90"/>
    <w:rsid w:val="0A195A3E"/>
    <w:rsid w:val="0A1977EC"/>
    <w:rsid w:val="0A197F04"/>
    <w:rsid w:val="0A1C0718"/>
    <w:rsid w:val="0A20501F"/>
    <w:rsid w:val="0A285C81"/>
    <w:rsid w:val="0A287A2F"/>
    <w:rsid w:val="0A2A37A7"/>
    <w:rsid w:val="0A2E773B"/>
    <w:rsid w:val="0A310FDA"/>
    <w:rsid w:val="0A3208AE"/>
    <w:rsid w:val="0A36214C"/>
    <w:rsid w:val="0A3E7710"/>
    <w:rsid w:val="0A402FCB"/>
    <w:rsid w:val="0A4800D1"/>
    <w:rsid w:val="0A4D7496"/>
    <w:rsid w:val="0A5151D8"/>
    <w:rsid w:val="0A560A40"/>
    <w:rsid w:val="0A570314"/>
    <w:rsid w:val="0A586566"/>
    <w:rsid w:val="0A5922DF"/>
    <w:rsid w:val="0A5B7E63"/>
    <w:rsid w:val="0A5F6638"/>
    <w:rsid w:val="0A64315D"/>
    <w:rsid w:val="0A670558"/>
    <w:rsid w:val="0A682522"/>
    <w:rsid w:val="0A690774"/>
    <w:rsid w:val="0A6D7B38"/>
    <w:rsid w:val="0A726EFC"/>
    <w:rsid w:val="0A7315F2"/>
    <w:rsid w:val="0A777490"/>
    <w:rsid w:val="0A79472F"/>
    <w:rsid w:val="0A805ABD"/>
    <w:rsid w:val="0A80786B"/>
    <w:rsid w:val="0A825391"/>
    <w:rsid w:val="0A870BFA"/>
    <w:rsid w:val="0A892BC4"/>
    <w:rsid w:val="0A8A2498"/>
    <w:rsid w:val="0A8D3D36"/>
    <w:rsid w:val="0A942F8F"/>
    <w:rsid w:val="0A99092D"/>
    <w:rsid w:val="0A9D7A6A"/>
    <w:rsid w:val="0A9E7CF1"/>
    <w:rsid w:val="0A9F23E7"/>
    <w:rsid w:val="0A9F4195"/>
    <w:rsid w:val="0AA374A5"/>
    <w:rsid w:val="0AA7129C"/>
    <w:rsid w:val="0AA9231F"/>
    <w:rsid w:val="0AAA48E8"/>
    <w:rsid w:val="0AAB7649"/>
    <w:rsid w:val="0AAE43D8"/>
    <w:rsid w:val="0AB614DF"/>
    <w:rsid w:val="0AB67731"/>
    <w:rsid w:val="0ABB18DB"/>
    <w:rsid w:val="0ABC5606"/>
    <w:rsid w:val="0AC01CE4"/>
    <w:rsid w:val="0AC37758"/>
    <w:rsid w:val="0AC41E4E"/>
    <w:rsid w:val="0AC557E6"/>
    <w:rsid w:val="0AC57974"/>
    <w:rsid w:val="0AC736EC"/>
    <w:rsid w:val="0AC97464"/>
    <w:rsid w:val="0ACA0AE6"/>
    <w:rsid w:val="0ACB31DC"/>
    <w:rsid w:val="0ACC2AB1"/>
    <w:rsid w:val="0ACC485F"/>
    <w:rsid w:val="0ACF434F"/>
    <w:rsid w:val="0AD007F3"/>
    <w:rsid w:val="0AD16319"/>
    <w:rsid w:val="0AD46E2E"/>
    <w:rsid w:val="0AD57BB7"/>
    <w:rsid w:val="0AD6392F"/>
    <w:rsid w:val="0AD81455"/>
    <w:rsid w:val="0ADA6959"/>
    <w:rsid w:val="0AE93662"/>
    <w:rsid w:val="0AE977B2"/>
    <w:rsid w:val="0AEE2A27"/>
    <w:rsid w:val="0AEE6ECB"/>
    <w:rsid w:val="0AF52007"/>
    <w:rsid w:val="0AF73FD1"/>
    <w:rsid w:val="0AF81AF7"/>
    <w:rsid w:val="0AF8308E"/>
    <w:rsid w:val="0AF83246"/>
    <w:rsid w:val="0AF85654"/>
    <w:rsid w:val="0AFA13CC"/>
    <w:rsid w:val="0AFA5870"/>
    <w:rsid w:val="0AFD2C6A"/>
    <w:rsid w:val="0AFF2E86"/>
    <w:rsid w:val="0B024724"/>
    <w:rsid w:val="0B04049C"/>
    <w:rsid w:val="0B0A5387"/>
    <w:rsid w:val="0B0B182B"/>
    <w:rsid w:val="0B100BEF"/>
    <w:rsid w:val="0B113DED"/>
    <w:rsid w:val="0B1D330C"/>
    <w:rsid w:val="0B1F7084"/>
    <w:rsid w:val="0B204BAA"/>
    <w:rsid w:val="0B21104E"/>
    <w:rsid w:val="0B24469B"/>
    <w:rsid w:val="0B247692"/>
    <w:rsid w:val="0B2E376B"/>
    <w:rsid w:val="0B30404E"/>
    <w:rsid w:val="0B304DED"/>
    <w:rsid w:val="0B354AFA"/>
    <w:rsid w:val="0B3B32E1"/>
    <w:rsid w:val="0B424B21"/>
    <w:rsid w:val="0B494101"/>
    <w:rsid w:val="0B4A0A70"/>
    <w:rsid w:val="0B4B60CB"/>
    <w:rsid w:val="0B4C599F"/>
    <w:rsid w:val="0B4C6C14"/>
    <w:rsid w:val="0B4C7FDE"/>
    <w:rsid w:val="0B4D1E43"/>
    <w:rsid w:val="0B4D3BF1"/>
    <w:rsid w:val="0B547599"/>
    <w:rsid w:val="0B561090"/>
    <w:rsid w:val="0B582596"/>
    <w:rsid w:val="0B5F1B77"/>
    <w:rsid w:val="0B631A88"/>
    <w:rsid w:val="0B640F3B"/>
    <w:rsid w:val="0B64718D"/>
    <w:rsid w:val="0B664CB3"/>
    <w:rsid w:val="0B683D45"/>
    <w:rsid w:val="0B70168E"/>
    <w:rsid w:val="0B7218AA"/>
    <w:rsid w:val="0B723658"/>
    <w:rsid w:val="0B73117E"/>
    <w:rsid w:val="0B753148"/>
    <w:rsid w:val="0B7A42BB"/>
    <w:rsid w:val="0B7C0033"/>
    <w:rsid w:val="0B7C6285"/>
    <w:rsid w:val="0B7F3F11"/>
    <w:rsid w:val="0B84338B"/>
    <w:rsid w:val="0B84410E"/>
    <w:rsid w:val="0B860EB1"/>
    <w:rsid w:val="0B8769D7"/>
    <w:rsid w:val="0B884417"/>
    <w:rsid w:val="0B8C3FEE"/>
    <w:rsid w:val="0B905282"/>
    <w:rsid w:val="0B925AA8"/>
    <w:rsid w:val="0B941820"/>
    <w:rsid w:val="0B97468A"/>
    <w:rsid w:val="0B9A670B"/>
    <w:rsid w:val="0BA23811"/>
    <w:rsid w:val="0BA457DB"/>
    <w:rsid w:val="0BA650B0"/>
    <w:rsid w:val="0BAB4DBC"/>
    <w:rsid w:val="0BB04180"/>
    <w:rsid w:val="0BB05F2E"/>
    <w:rsid w:val="0BB27EF8"/>
    <w:rsid w:val="0BB35A1E"/>
    <w:rsid w:val="0BB53545"/>
    <w:rsid w:val="0BB7550F"/>
    <w:rsid w:val="0BB93035"/>
    <w:rsid w:val="0BBE064B"/>
    <w:rsid w:val="0BC35C62"/>
    <w:rsid w:val="0BC415A1"/>
    <w:rsid w:val="0BC419DA"/>
    <w:rsid w:val="0BC65752"/>
    <w:rsid w:val="0BC8771C"/>
    <w:rsid w:val="0BCD4D32"/>
    <w:rsid w:val="0BD22349"/>
    <w:rsid w:val="0BD53BE7"/>
    <w:rsid w:val="0BD87766"/>
    <w:rsid w:val="0BDA2FAB"/>
    <w:rsid w:val="0BDC31C7"/>
    <w:rsid w:val="0BDC4F75"/>
    <w:rsid w:val="0BDE0CED"/>
    <w:rsid w:val="0BE107DE"/>
    <w:rsid w:val="0BE1258C"/>
    <w:rsid w:val="0BE43E2A"/>
    <w:rsid w:val="0BEA58E4"/>
    <w:rsid w:val="0BEA7692"/>
    <w:rsid w:val="0BF6188C"/>
    <w:rsid w:val="0BF64289"/>
    <w:rsid w:val="0BF73C91"/>
    <w:rsid w:val="0BFF2A12"/>
    <w:rsid w:val="0C000C64"/>
    <w:rsid w:val="0C040028"/>
    <w:rsid w:val="0C044A0F"/>
    <w:rsid w:val="0C060244"/>
    <w:rsid w:val="0C063DA0"/>
    <w:rsid w:val="0C083FBC"/>
    <w:rsid w:val="0C0A1AE2"/>
    <w:rsid w:val="0C0B7609"/>
    <w:rsid w:val="0C0F0EA7"/>
    <w:rsid w:val="0C112E71"/>
    <w:rsid w:val="0C170175"/>
    <w:rsid w:val="0C197F77"/>
    <w:rsid w:val="0C1E10EA"/>
    <w:rsid w:val="0C1E558E"/>
    <w:rsid w:val="0C230DF6"/>
    <w:rsid w:val="0C236700"/>
    <w:rsid w:val="0C252478"/>
    <w:rsid w:val="0C25691C"/>
    <w:rsid w:val="0C265CFF"/>
    <w:rsid w:val="0C2A5CE1"/>
    <w:rsid w:val="0C2B1A59"/>
    <w:rsid w:val="0C2D57D1"/>
    <w:rsid w:val="0C2F779B"/>
    <w:rsid w:val="0C321039"/>
    <w:rsid w:val="0C344DB1"/>
    <w:rsid w:val="0C37664F"/>
    <w:rsid w:val="0C3923C8"/>
    <w:rsid w:val="0C3E79DE"/>
    <w:rsid w:val="0C4072B2"/>
    <w:rsid w:val="0C4704C8"/>
    <w:rsid w:val="0C476893"/>
    <w:rsid w:val="0C481107"/>
    <w:rsid w:val="0C4A0131"/>
    <w:rsid w:val="0C4A1EDF"/>
    <w:rsid w:val="0C4C3EA9"/>
    <w:rsid w:val="0C526FE5"/>
    <w:rsid w:val="0C571A41"/>
    <w:rsid w:val="0C57284E"/>
    <w:rsid w:val="0C5C1171"/>
    <w:rsid w:val="0C5D60B6"/>
    <w:rsid w:val="0C5E1CBC"/>
    <w:rsid w:val="0C605BA6"/>
    <w:rsid w:val="0C615B50"/>
    <w:rsid w:val="0C6531BD"/>
    <w:rsid w:val="0C670CE3"/>
    <w:rsid w:val="0C684A5B"/>
    <w:rsid w:val="0C6D2071"/>
    <w:rsid w:val="0C6D3E1F"/>
    <w:rsid w:val="0C7303D5"/>
    <w:rsid w:val="0C741652"/>
    <w:rsid w:val="0C790A16"/>
    <w:rsid w:val="0C796C68"/>
    <w:rsid w:val="0C7C4062"/>
    <w:rsid w:val="0C7E602C"/>
    <w:rsid w:val="0C801DA5"/>
    <w:rsid w:val="0C807E08"/>
    <w:rsid w:val="0C8445DA"/>
    <w:rsid w:val="0C85560D"/>
    <w:rsid w:val="0C8573BB"/>
    <w:rsid w:val="0C87121B"/>
    <w:rsid w:val="0C880C59"/>
    <w:rsid w:val="0C890313"/>
    <w:rsid w:val="0C8A49D1"/>
    <w:rsid w:val="0C8D626F"/>
    <w:rsid w:val="0C9413AC"/>
    <w:rsid w:val="0C963376"/>
    <w:rsid w:val="0CA21D12"/>
    <w:rsid w:val="0CAA3075"/>
    <w:rsid w:val="0CAC2B9A"/>
    <w:rsid w:val="0CAC4948"/>
    <w:rsid w:val="0CAD06C0"/>
    <w:rsid w:val="0CB657C6"/>
    <w:rsid w:val="0CB67574"/>
    <w:rsid w:val="0CB8153E"/>
    <w:rsid w:val="0CBB102F"/>
    <w:rsid w:val="0CBE28CD"/>
    <w:rsid w:val="0CBE467B"/>
    <w:rsid w:val="0CC003F3"/>
    <w:rsid w:val="0CC007F7"/>
    <w:rsid w:val="0CC14386"/>
    <w:rsid w:val="0CC223BD"/>
    <w:rsid w:val="0CC617AC"/>
    <w:rsid w:val="0CCA3EF1"/>
    <w:rsid w:val="0CCE1990"/>
    <w:rsid w:val="0CCE2B10"/>
    <w:rsid w:val="0CD12600"/>
    <w:rsid w:val="0CD237CF"/>
    <w:rsid w:val="0CD345CA"/>
    <w:rsid w:val="0CDE0823"/>
    <w:rsid w:val="0CDE5C52"/>
    <w:rsid w:val="0CE40585"/>
    <w:rsid w:val="0CE618DF"/>
    <w:rsid w:val="0CE95B9C"/>
    <w:rsid w:val="0CEA0507"/>
    <w:rsid w:val="0CEE0C06"/>
    <w:rsid w:val="0CEE2E7D"/>
    <w:rsid w:val="0CF02C38"/>
    <w:rsid w:val="0CF167FE"/>
    <w:rsid w:val="0CF34325"/>
    <w:rsid w:val="0CF602B9"/>
    <w:rsid w:val="0CF802F7"/>
    <w:rsid w:val="0CF85DDF"/>
    <w:rsid w:val="0CFB767D"/>
    <w:rsid w:val="0CFE707A"/>
    <w:rsid w:val="0CFF0F1B"/>
    <w:rsid w:val="0CFF53BF"/>
    <w:rsid w:val="0D0504FC"/>
    <w:rsid w:val="0D063BDA"/>
    <w:rsid w:val="0D08375F"/>
    <w:rsid w:val="0D0A78C0"/>
    <w:rsid w:val="0D0B3D64"/>
    <w:rsid w:val="0D0B5B12"/>
    <w:rsid w:val="0D0E73B0"/>
    <w:rsid w:val="0D136775"/>
    <w:rsid w:val="0D156991"/>
    <w:rsid w:val="0D18022F"/>
    <w:rsid w:val="0D184CFB"/>
    <w:rsid w:val="0D1C5FB0"/>
    <w:rsid w:val="0D1F336B"/>
    <w:rsid w:val="0D1F511A"/>
    <w:rsid w:val="0D2140DF"/>
    <w:rsid w:val="0D246BD4"/>
    <w:rsid w:val="0D2C3CDA"/>
    <w:rsid w:val="0D2D2D0E"/>
    <w:rsid w:val="0D2E278F"/>
    <w:rsid w:val="0D336E17"/>
    <w:rsid w:val="0D350DE1"/>
    <w:rsid w:val="0D352B8F"/>
    <w:rsid w:val="0D35493D"/>
    <w:rsid w:val="0D3C216F"/>
    <w:rsid w:val="0D3D37F2"/>
    <w:rsid w:val="0D444B80"/>
    <w:rsid w:val="0D49623D"/>
    <w:rsid w:val="0D4A7419"/>
    <w:rsid w:val="0D4B4161"/>
    <w:rsid w:val="0D4C7ED9"/>
    <w:rsid w:val="0D4E1EA3"/>
    <w:rsid w:val="0D5B011C"/>
    <w:rsid w:val="0D5F7C0C"/>
    <w:rsid w:val="0D611BD6"/>
    <w:rsid w:val="0D6B4803"/>
    <w:rsid w:val="0D6B65B1"/>
    <w:rsid w:val="0D6E0D2F"/>
    <w:rsid w:val="0D6E42F3"/>
    <w:rsid w:val="0D6E60A1"/>
    <w:rsid w:val="0D70006B"/>
    <w:rsid w:val="0D7116ED"/>
    <w:rsid w:val="0D735465"/>
    <w:rsid w:val="0D75536F"/>
    <w:rsid w:val="0D75742F"/>
    <w:rsid w:val="0D780CCE"/>
    <w:rsid w:val="0D782A7C"/>
    <w:rsid w:val="0D7F02AE"/>
    <w:rsid w:val="0D8256A8"/>
    <w:rsid w:val="0D827401"/>
    <w:rsid w:val="0D837D9E"/>
    <w:rsid w:val="0D84094E"/>
    <w:rsid w:val="0D865199"/>
    <w:rsid w:val="0D8A00E9"/>
    <w:rsid w:val="0D8A1F3D"/>
    <w:rsid w:val="0D8D589E"/>
    <w:rsid w:val="0D913B3D"/>
    <w:rsid w:val="0D927FE1"/>
    <w:rsid w:val="0D957AD2"/>
    <w:rsid w:val="0D9773A6"/>
    <w:rsid w:val="0D991370"/>
    <w:rsid w:val="0D9E6986"/>
    <w:rsid w:val="0D9F44AC"/>
    <w:rsid w:val="0DA01C73"/>
    <w:rsid w:val="0DA10224"/>
    <w:rsid w:val="0DA16476"/>
    <w:rsid w:val="0DA41AC3"/>
    <w:rsid w:val="0DAB4BFF"/>
    <w:rsid w:val="0DAD6BC9"/>
    <w:rsid w:val="0DAE649D"/>
    <w:rsid w:val="0DB066B9"/>
    <w:rsid w:val="0DB31D06"/>
    <w:rsid w:val="0DB53CD0"/>
    <w:rsid w:val="0DB55A7E"/>
    <w:rsid w:val="0DBC6E0C"/>
    <w:rsid w:val="0DBE2B84"/>
    <w:rsid w:val="0DC21F49"/>
    <w:rsid w:val="0DC65EDD"/>
    <w:rsid w:val="0DCB52A1"/>
    <w:rsid w:val="0DCE6B40"/>
    <w:rsid w:val="0DCE74AD"/>
    <w:rsid w:val="0DD00B0A"/>
    <w:rsid w:val="0DD0740A"/>
    <w:rsid w:val="0DD5327C"/>
    <w:rsid w:val="0DD56120"/>
    <w:rsid w:val="0DD63300"/>
    <w:rsid w:val="0DD759F4"/>
    <w:rsid w:val="0DDA54E4"/>
    <w:rsid w:val="0DDB0848"/>
    <w:rsid w:val="0DDD6D83"/>
    <w:rsid w:val="0DDF6F9F"/>
    <w:rsid w:val="0DE3083D"/>
    <w:rsid w:val="0DE85E53"/>
    <w:rsid w:val="0DE87C01"/>
    <w:rsid w:val="0DE93979"/>
    <w:rsid w:val="0DEB76F2"/>
    <w:rsid w:val="0DED5218"/>
    <w:rsid w:val="0DED6FC6"/>
    <w:rsid w:val="0DEF71E2"/>
    <w:rsid w:val="0DF02F5A"/>
    <w:rsid w:val="0DF50604"/>
    <w:rsid w:val="0DF702FE"/>
    <w:rsid w:val="0DFE7B9A"/>
    <w:rsid w:val="0E060E51"/>
    <w:rsid w:val="0E0A5DCA"/>
    <w:rsid w:val="0E100F06"/>
    <w:rsid w:val="0E124C7E"/>
    <w:rsid w:val="0E13321E"/>
    <w:rsid w:val="0E19425F"/>
    <w:rsid w:val="0E1F739B"/>
    <w:rsid w:val="0E2170EC"/>
    <w:rsid w:val="0E2315D2"/>
    <w:rsid w:val="0E2826F4"/>
    <w:rsid w:val="0E2B2934"/>
    <w:rsid w:val="0E2B3F92"/>
    <w:rsid w:val="0E2D7D0A"/>
    <w:rsid w:val="0E2F3A82"/>
    <w:rsid w:val="0E2F5830"/>
    <w:rsid w:val="0E2F75DE"/>
    <w:rsid w:val="0E344BF5"/>
    <w:rsid w:val="0E3E6969"/>
    <w:rsid w:val="0E3F3599"/>
    <w:rsid w:val="0E404E0B"/>
    <w:rsid w:val="0E440714"/>
    <w:rsid w:val="0E456E02"/>
    <w:rsid w:val="0E4B63E2"/>
    <w:rsid w:val="0E4D5CB6"/>
    <w:rsid w:val="0E5604B2"/>
    <w:rsid w:val="0E567261"/>
    <w:rsid w:val="0E5A4271"/>
    <w:rsid w:val="0E5C239D"/>
    <w:rsid w:val="0E5E4367"/>
    <w:rsid w:val="0E5E57C3"/>
    <w:rsid w:val="0E5E6115"/>
    <w:rsid w:val="0E601E8E"/>
    <w:rsid w:val="0E67321C"/>
    <w:rsid w:val="0E680D42"/>
    <w:rsid w:val="0E6A6E0D"/>
    <w:rsid w:val="0E6C0832"/>
    <w:rsid w:val="0E6D0107"/>
    <w:rsid w:val="0E6D5D79"/>
    <w:rsid w:val="0E707BF7"/>
    <w:rsid w:val="0E7771D7"/>
    <w:rsid w:val="0E794CFD"/>
    <w:rsid w:val="0E796AAB"/>
    <w:rsid w:val="0E8A6F0A"/>
    <w:rsid w:val="0E903DF5"/>
    <w:rsid w:val="0E924011"/>
    <w:rsid w:val="0E927B6D"/>
    <w:rsid w:val="0E9644C4"/>
    <w:rsid w:val="0E9C6708"/>
    <w:rsid w:val="0E9D0089"/>
    <w:rsid w:val="0E9D4E90"/>
    <w:rsid w:val="0EA37FCC"/>
    <w:rsid w:val="0EAB3DCA"/>
    <w:rsid w:val="0EAC50D3"/>
    <w:rsid w:val="0EAC6E81"/>
    <w:rsid w:val="0EB2020F"/>
    <w:rsid w:val="0EB21FBD"/>
    <w:rsid w:val="0EB67A28"/>
    <w:rsid w:val="0EB803EE"/>
    <w:rsid w:val="0EBB3568"/>
    <w:rsid w:val="0EBC63F2"/>
    <w:rsid w:val="0EBE4E06"/>
    <w:rsid w:val="0EBE6BB4"/>
    <w:rsid w:val="0EC341CA"/>
    <w:rsid w:val="0EC75A69"/>
    <w:rsid w:val="0EC86A0D"/>
    <w:rsid w:val="0ED32660"/>
    <w:rsid w:val="0ED63EFE"/>
    <w:rsid w:val="0ED85EC8"/>
    <w:rsid w:val="0ED939EE"/>
    <w:rsid w:val="0ED9579C"/>
    <w:rsid w:val="0EDB32C2"/>
    <w:rsid w:val="0EDB7766"/>
    <w:rsid w:val="0EDD34DE"/>
    <w:rsid w:val="0EDD528C"/>
    <w:rsid w:val="0EDE2DB2"/>
    <w:rsid w:val="0EE20AF5"/>
    <w:rsid w:val="0EE228A3"/>
    <w:rsid w:val="0EE303C9"/>
    <w:rsid w:val="0EE3661B"/>
    <w:rsid w:val="0EEA5BFB"/>
    <w:rsid w:val="0EF16F8A"/>
    <w:rsid w:val="0EF32D02"/>
    <w:rsid w:val="0EF94D4B"/>
    <w:rsid w:val="0EFD148A"/>
    <w:rsid w:val="0EFD592E"/>
    <w:rsid w:val="0F022F45"/>
    <w:rsid w:val="0F026AA1"/>
    <w:rsid w:val="0F046CBD"/>
    <w:rsid w:val="0F052A35"/>
    <w:rsid w:val="0F0C5B71"/>
    <w:rsid w:val="0F0D5446"/>
    <w:rsid w:val="0F0E18EA"/>
    <w:rsid w:val="0F0E3698"/>
    <w:rsid w:val="0F0F11BE"/>
    <w:rsid w:val="0F135152"/>
    <w:rsid w:val="0F166DEA"/>
    <w:rsid w:val="0F1936A9"/>
    <w:rsid w:val="0F1B6A72"/>
    <w:rsid w:val="0F220EF1"/>
    <w:rsid w:val="0F225395"/>
    <w:rsid w:val="0F2509E1"/>
    <w:rsid w:val="0F2C6214"/>
    <w:rsid w:val="0F2F360E"/>
    <w:rsid w:val="0F3155D8"/>
    <w:rsid w:val="0F363803"/>
    <w:rsid w:val="0F3A24D7"/>
    <w:rsid w:val="0F3B1FB3"/>
    <w:rsid w:val="0F3C1EB4"/>
    <w:rsid w:val="0F3C3B4D"/>
    <w:rsid w:val="0F3D5D2B"/>
    <w:rsid w:val="0F3F1AA3"/>
    <w:rsid w:val="0F4253B7"/>
    <w:rsid w:val="0F4958DC"/>
    <w:rsid w:val="0F4B669A"/>
    <w:rsid w:val="0F4E7F38"/>
    <w:rsid w:val="0F501F02"/>
    <w:rsid w:val="0F5117D6"/>
    <w:rsid w:val="0F515DF7"/>
    <w:rsid w:val="0F517A28"/>
    <w:rsid w:val="0F53554E"/>
    <w:rsid w:val="0F557518"/>
    <w:rsid w:val="0F587009"/>
    <w:rsid w:val="0F596BA8"/>
    <w:rsid w:val="0F5B408E"/>
    <w:rsid w:val="0F5D63CD"/>
    <w:rsid w:val="0F5F3EF3"/>
    <w:rsid w:val="0F6239E3"/>
    <w:rsid w:val="0F6248D2"/>
    <w:rsid w:val="0F64775C"/>
    <w:rsid w:val="0F657030"/>
    <w:rsid w:val="0F6634D4"/>
    <w:rsid w:val="0F693536"/>
    <w:rsid w:val="0F694D72"/>
    <w:rsid w:val="0F696B20"/>
    <w:rsid w:val="0F6B6D3C"/>
    <w:rsid w:val="0F751969"/>
    <w:rsid w:val="0F767544"/>
    <w:rsid w:val="0F783207"/>
    <w:rsid w:val="0F7B0511"/>
    <w:rsid w:val="0F7B76D9"/>
    <w:rsid w:val="0F816ACD"/>
    <w:rsid w:val="0F824D7A"/>
    <w:rsid w:val="0F840B40"/>
    <w:rsid w:val="0F8B2F3A"/>
    <w:rsid w:val="0F8B4CE8"/>
    <w:rsid w:val="0F9242C9"/>
    <w:rsid w:val="0F9832DB"/>
    <w:rsid w:val="0F9A13CF"/>
    <w:rsid w:val="0F9B3320"/>
    <w:rsid w:val="0F9D4A1B"/>
    <w:rsid w:val="0FA20284"/>
    <w:rsid w:val="0FA250E1"/>
    <w:rsid w:val="0FA97864"/>
    <w:rsid w:val="0FAD1102"/>
    <w:rsid w:val="0FB3423F"/>
    <w:rsid w:val="0FB51D65"/>
    <w:rsid w:val="0FBD3842"/>
    <w:rsid w:val="0FBF3FD2"/>
    <w:rsid w:val="0FBF4992"/>
    <w:rsid w:val="0FBF7FF3"/>
    <w:rsid w:val="0FC4644C"/>
    <w:rsid w:val="0FC85F3C"/>
    <w:rsid w:val="0FC95811"/>
    <w:rsid w:val="0FCC18B7"/>
    <w:rsid w:val="0FD07339"/>
    <w:rsid w:val="0FD146C5"/>
    <w:rsid w:val="0FD3043D"/>
    <w:rsid w:val="0FD63FD1"/>
    <w:rsid w:val="0FD77389"/>
    <w:rsid w:val="0FD83CA6"/>
    <w:rsid w:val="0FDC19E8"/>
    <w:rsid w:val="0FDC3796"/>
    <w:rsid w:val="0FDC5544"/>
    <w:rsid w:val="0FE265BF"/>
    <w:rsid w:val="0FE268D2"/>
    <w:rsid w:val="0FE4089C"/>
    <w:rsid w:val="0FE443F8"/>
    <w:rsid w:val="0FE93454"/>
    <w:rsid w:val="0FEC71D6"/>
    <w:rsid w:val="0FEE34C9"/>
    <w:rsid w:val="0FF30ADF"/>
    <w:rsid w:val="0FF87EA4"/>
    <w:rsid w:val="0FFF56D6"/>
    <w:rsid w:val="10042CED"/>
    <w:rsid w:val="10044A9B"/>
    <w:rsid w:val="100B407B"/>
    <w:rsid w:val="100F3B6B"/>
    <w:rsid w:val="10142F30"/>
    <w:rsid w:val="10172A20"/>
    <w:rsid w:val="10196798"/>
    <w:rsid w:val="102313C5"/>
    <w:rsid w:val="10234F21"/>
    <w:rsid w:val="1025513D"/>
    <w:rsid w:val="102723E9"/>
    <w:rsid w:val="102B0279"/>
    <w:rsid w:val="102D5D9F"/>
    <w:rsid w:val="102E38C6"/>
    <w:rsid w:val="1030763E"/>
    <w:rsid w:val="103233B6"/>
    <w:rsid w:val="10345380"/>
    <w:rsid w:val="103510F8"/>
    <w:rsid w:val="10376C1E"/>
    <w:rsid w:val="103C5FE2"/>
    <w:rsid w:val="103E71E0"/>
    <w:rsid w:val="10463305"/>
    <w:rsid w:val="104906FF"/>
    <w:rsid w:val="104F15F5"/>
    <w:rsid w:val="10507CE0"/>
    <w:rsid w:val="1053332C"/>
    <w:rsid w:val="10537C4E"/>
    <w:rsid w:val="105477D0"/>
    <w:rsid w:val="105552F6"/>
    <w:rsid w:val="10555FA2"/>
    <w:rsid w:val="10563548"/>
    <w:rsid w:val="105C0433"/>
    <w:rsid w:val="10606175"/>
    <w:rsid w:val="10615A49"/>
    <w:rsid w:val="10645539"/>
    <w:rsid w:val="10646583"/>
    <w:rsid w:val="1065378B"/>
    <w:rsid w:val="106612B1"/>
    <w:rsid w:val="10686DD7"/>
    <w:rsid w:val="106A6FF4"/>
    <w:rsid w:val="106D1372"/>
    <w:rsid w:val="106D43EE"/>
    <w:rsid w:val="10703EDE"/>
    <w:rsid w:val="10710382"/>
    <w:rsid w:val="107409F0"/>
    <w:rsid w:val="107C0AD5"/>
    <w:rsid w:val="107D4B15"/>
    <w:rsid w:val="107E484D"/>
    <w:rsid w:val="107E65FB"/>
    <w:rsid w:val="107F4121"/>
    <w:rsid w:val="108300B5"/>
    <w:rsid w:val="108A3C80"/>
    <w:rsid w:val="108D2CE2"/>
    <w:rsid w:val="108F0808"/>
    <w:rsid w:val="10945E1E"/>
    <w:rsid w:val="10953945"/>
    <w:rsid w:val="109776BD"/>
    <w:rsid w:val="109B53FF"/>
    <w:rsid w:val="109F39AC"/>
    <w:rsid w:val="10A122E9"/>
    <w:rsid w:val="10A40E35"/>
    <w:rsid w:val="10A5627E"/>
    <w:rsid w:val="10A65B52"/>
    <w:rsid w:val="10A67900"/>
    <w:rsid w:val="10AC13BA"/>
    <w:rsid w:val="10AF2C58"/>
    <w:rsid w:val="10B62239"/>
    <w:rsid w:val="10B65D95"/>
    <w:rsid w:val="10B77D5F"/>
    <w:rsid w:val="10B95885"/>
    <w:rsid w:val="10C04E65"/>
    <w:rsid w:val="10C20BDE"/>
    <w:rsid w:val="10C26171"/>
    <w:rsid w:val="10C34956"/>
    <w:rsid w:val="10C5247C"/>
    <w:rsid w:val="10C55FD8"/>
    <w:rsid w:val="10CA1840"/>
    <w:rsid w:val="10CE7EBA"/>
    <w:rsid w:val="10D3115B"/>
    <w:rsid w:val="10D33DA9"/>
    <w:rsid w:val="10D75D0B"/>
    <w:rsid w:val="10D80401"/>
    <w:rsid w:val="10D97CD5"/>
    <w:rsid w:val="10E30B54"/>
    <w:rsid w:val="10E5667A"/>
    <w:rsid w:val="10E904CB"/>
    <w:rsid w:val="10EA5A3E"/>
    <w:rsid w:val="10F1501F"/>
    <w:rsid w:val="10F33360"/>
    <w:rsid w:val="10F36FE9"/>
    <w:rsid w:val="10FC16EA"/>
    <w:rsid w:val="10FC5772"/>
    <w:rsid w:val="10FD39C4"/>
    <w:rsid w:val="10FE14EA"/>
    <w:rsid w:val="10FE598E"/>
    <w:rsid w:val="11001706"/>
    <w:rsid w:val="1102547E"/>
    <w:rsid w:val="11036B00"/>
    <w:rsid w:val="110A60E1"/>
    <w:rsid w:val="110B69CC"/>
    <w:rsid w:val="110F1D40"/>
    <w:rsid w:val="1111121D"/>
    <w:rsid w:val="11160F29"/>
    <w:rsid w:val="111B02EE"/>
    <w:rsid w:val="111C4301"/>
    <w:rsid w:val="111D4066"/>
    <w:rsid w:val="111D7BC2"/>
    <w:rsid w:val="111E393A"/>
    <w:rsid w:val="112076B2"/>
    <w:rsid w:val="1122342A"/>
    <w:rsid w:val="11230F50"/>
    <w:rsid w:val="112635D3"/>
    <w:rsid w:val="11266F33"/>
    <w:rsid w:val="11274EE5"/>
    <w:rsid w:val="112A0531"/>
    <w:rsid w:val="112A22DF"/>
    <w:rsid w:val="112C6057"/>
    <w:rsid w:val="112E0021"/>
    <w:rsid w:val="11301FEB"/>
    <w:rsid w:val="113413B0"/>
    <w:rsid w:val="11347067"/>
    <w:rsid w:val="11365128"/>
    <w:rsid w:val="11380EA0"/>
    <w:rsid w:val="113A4C18"/>
    <w:rsid w:val="113E3FDC"/>
    <w:rsid w:val="113F417A"/>
    <w:rsid w:val="11427629"/>
    <w:rsid w:val="114C2338"/>
    <w:rsid w:val="114C66F9"/>
    <w:rsid w:val="114E2471"/>
    <w:rsid w:val="114F61E9"/>
    <w:rsid w:val="11501EBF"/>
    <w:rsid w:val="11531836"/>
    <w:rsid w:val="11535CDA"/>
    <w:rsid w:val="11537A88"/>
    <w:rsid w:val="115455AE"/>
    <w:rsid w:val="11592BC4"/>
    <w:rsid w:val="115B06EA"/>
    <w:rsid w:val="115D0906"/>
    <w:rsid w:val="116003F7"/>
    <w:rsid w:val="11692E07"/>
    <w:rsid w:val="117A5014"/>
    <w:rsid w:val="117B0D8C"/>
    <w:rsid w:val="117F087D"/>
    <w:rsid w:val="117F6ACF"/>
    <w:rsid w:val="11800151"/>
    <w:rsid w:val="118440E5"/>
    <w:rsid w:val="11851C0B"/>
    <w:rsid w:val="11876D9C"/>
    <w:rsid w:val="11877731"/>
    <w:rsid w:val="118963A1"/>
    <w:rsid w:val="118E286E"/>
    <w:rsid w:val="1191235E"/>
    <w:rsid w:val="1193257A"/>
    <w:rsid w:val="11934328"/>
    <w:rsid w:val="11965BC6"/>
    <w:rsid w:val="119A7465"/>
    <w:rsid w:val="119F2CCD"/>
    <w:rsid w:val="119F4A7B"/>
    <w:rsid w:val="11A227BD"/>
    <w:rsid w:val="11A26319"/>
    <w:rsid w:val="11AB78C4"/>
    <w:rsid w:val="11AC7198"/>
    <w:rsid w:val="11B61DC5"/>
    <w:rsid w:val="11B83D8F"/>
    <w:rsid w:val="11BB554E"/>
    <w:rsid w:val="11BB562D"/>
    <w:rsid w:val="11BB73DB"/>
    <w:rsid w:val="11C0052E"/>
    <w:rsid w:val="11C47D41"/>
    <w:rsid w:val="11C6522A"/>
    <w:rsid w:val="11C72224"/>
    <w:rsid w:val="11CC3396"/>
    <w:rsid w:val="11D010D8"/>
    <w:rsid w:val="11D16BFE"/>
    <w:rsid w:val="11D32976"/>
    <w:rsid w:val="11DE61B0"/>
    <w:rsid w:val="11E104CC"/>
    <w:rsid w:val="11E15093"/>
    <w:rsid w:val="11E20309"/>
    <w:rsid w:val="11E64458"/>
    <w:rsid w:val="11E9219A"/>
    <w:rsid w:val="11F254F3"/>
    <w:rsid w:val="11F56D91"/>
    <w:rsid w:val="1202325C"/>
    <w:rsid w:val="12042B30"/>
    <w:rsid w:val="12080872"/>
    <w:rsid w:val="12086AC4"/>
    <w:rsid w:val="1209283C"/>
    <w:rsid w:val="120945EA"/>
    <w:rsid w:val="12096398"/>
    <w:rsid w:val="120F3A28"/>
    <w:rsid w:val="12105979"/>
    <w:rsid w:val="121216F1"/>
    <w:rsid w:val="12152F8F"/>
    <w:rsid w:val="12154D3D"/>
    <w:rsid w:val="1218482D"/>
    <w:rsid w:val="121865DB"/>
    <w:rsid w:val="121A05A5"/>
    <w:rsid w:val="121C057A"/>
    <w:rsid w:val="121E0096"/>
    <w:rsid w:val="121E62E8"/>
    <w:rsid w:val="121F5BBC"/>
    <w:rsid w:val="12211934"/>
    <w:rsid w:val="122338FE"/>
    <w:rsid w:val="12255233"/>
    <w:rsid w:val="12280F14"/>
    <w:rsid w:val="12282CC2"/>
    <w:rsid w:val="122B1AC0"/>
    <w:rsid w:val="122E5DFF"/>
    <w:rsid w:val="122F22A3"/>
    <w:rsid w:val="12307DC9"/>
    <w:rsid w:val="123258EF"/>
    <w:rsid w:val="1232769D"/>
    <w:rsid w:val="1233078C"/>
    <w:rsid w:val="12333415"/>
    <w:rsid w:val="1235718D"/>
    <w:rsid w:val="123A47A4"/>
    <w:rsid w:val="123C676E"/>
    <w:rsid w:val="12404300"/>
    <w:rsid w:val="124473D0"/>
    <w:rsid w:val="12457393"/>
    <w:rsid w:val="1246139A"/>
    <w:rsid w:val="124675EC"/>
    <w:rsid w:val="124A3908"/>
    <w:rsid w:val="124A3FF2"/>
    <w:rsid w:val="124C0DF9"/>
    <w:rsid w:val="124F64A1"/>
    <w:rsid w:val="12530213"/>
    <w:rsid w:val="125910CE"/>
    <w:rsid w:val="125C471A"/>
    <w:rsid w:val="125D0492"/>
    <w:rsid w:val="12607F83"/>
    <w:rsid w:val="12655CC4"/>
    <w:rsid w:val="12661A3D"/>
    <w:rsid w:val="126637EB"/>
    <w:rsid w:val="12687563"/>
    <w:rsid w:val="126B2BAF"/>
    <w:rsid w:val="126D1873"/>
    <w:rsid w:val="126E269F"/>
    <w:rsid w:val="126F6B43"/>
    <w:rsid w:val="12751C80"/>
    <w:rsid w:val="127723A9"/>
    <w:rsid w:val="127A7296"/>
    <w:rsid w:val="127C4DBC"/>
    <w:rsid w:val="127E0B34"/>
    <w:rsid w:val="127E28E2"/>
    <w:rsid w:val="12851EC3"/>
    <w:rsid w:val="12862074"/>
    <w:rsid w:val="12862C9A"/>
    <w:rsid w:val="12865C3B"/>
    <w:rsid w:val="128819B3"/>
    <w:rsid w:val="12883966"/>
    <w:rsid w:val="128B14A3"/>
    <w:rsid w:val="128C79CD"/>
    <w:rsid w:val="128E0BAC"/>
    <w:rsid w:val="12900868"/>
    <w:rsid w:val="129220FD"/>
    <w:rsid w:val="1292638E"/>
    <w:rsid w:val="12940358"/>
    <w:rsid w:val="129465AA"/>
    <w:rsid w:val="12977E48"/>
    <w:rsid w:val="12986875"/>
    <w:rsid w:val="129E45B4"/>
    <w:rsid w:val="12A06CFD"/>
    <w:rsid w:val="12A10CC7"/>
    <w:rsid w:val="12A3059B"/>
    <w:rsid w:val="12A367ED"/>
    <w:rsid w:val="12A57F75"/>
    <w:rsid w:val="12AD31C8"/>
    <w:rsid w:val="12B207DE"/>
    <w:rsid w:val="12B26531"/>
    <w:rsid w:val="12C0034F"/>
    <w:rsid w:val="12C0739F"/>
    <w:rsid w:val="12C16C73"/>
    <w:rsid w:val="12C30C3D"/>
    <w:rsid w:val="12C329EB"/>
    <w:rsid w:val="12C56763"/>
    <w:rsid w:val="12C624DB"/>
    <w:rsid w:val="12CC7AF2"/>
    <w:rsid w:val="12CD1ABC"/>
    <w:rsid w:val="12CD62EF"/>
    <w:rsid w:val="12D1773B"/>
    <w:rsid w:val="12D22C2E"/>
    <w:rsid w:val="12D44A81"/>
    <w:rsid w:val="12D6271E"/>
    <w:rsid w:val="12D81596"/>
    <w:rsid w:val="12D9220E"/>
    <w:rsid w:val="12DE5A77"/>
    <w:rsid w:val="12E15BF5"/>
    <w:rsid w:val="12E27315"/>
    <w:rsid w:val="12E5752B"/>
    <w:rsid w:val="12E806A4"/>
    <w:rsid w:val="12EC0194"/>
    <w:rsid w:val="12F232D0"/>
    <w:rsid w:val="12F708E7"/>
    <w:rsid w:val="12F72695"/>
    <w:rsid w:val="12F9465F"/>
    <w:rsid w:val="12FB03D7"/>
    <w:rsid w:val="12FC7CAB"/>
    <w:rsid w:val="1300260E"/>
    <w:rsid w:val="1300779B"/>
    <w:rsid w:val="13021765"/>
    <w:rsid w:val="13040929"/>
    <w:rsid w:val="13054DB2"/>
    <w:rsid w:val="13072A44"/>
    <w:rsid w:val="13082AF4"/>
    <w:rsid w:val="130B7EEE"/>
    <w:rsid w:val="13160D6D"/>
    <w:rsid w:val="13165211"/>
    <w:rsid w:val="13196AAF"/>
    <w:rsid w:val="131B45D5"/>
    <w:rsid w:val="131B7216"/>
    <w:rsid w:val="131E40C5"/>
    <w:rsid w:val="131E5E73"/>
    <w:rsid w:val="13201BEB"/>
    <w:rsid w:val="13207E3D"/>
    <w:rsid w:val="13250FB0"/>
    <w:rsid w:val="132711CC"/>
    <w:rsid w:val="13274D28"/>
    <w:rsid w:val="132F3F4B"/>
    <w:rsid w:val="132F62D2"/>
    <w:rsid w:val="13337B71"/>
    <w:rsid w:val="133B4C77"/>
    <w:rsid w:val="133D09EF"/>
    <w:rsid w:val="13456138"/>
    <w:rsid w:val="13491142"/>
    <w:rsid w:val="13497394"/>
    <w:rsid w:val="134C478E"/>
    <w:rsid w:val="13525B1D"/>
    <w:rsid w:val="13533D6F"/>
    <w:rsid w:val="135447D6"/>
    <w:rsid w:val="13561AB1"/>
    <w:rsid w:val="13573133"/>
    <w:rsid w:val="135875D7"/>
    <w:rsid w:val="135950FD"/>
    <w:rsid w:val="13596EAB"/>
    <w:rsid w:val="135B2C24"/>
    <w:rsid w:val="135C5B39"/>
    <w:rsid w:val="135E2714"/>
    <w:rsid w:val="135F4BE2"/>
    <w:rsid w:val="1360023A"/>
    <w:rsid w:val="13620456"/>
    <w:rsid w:val="13623FB2"/>
    <w:rsid w:val="13651CF4"/>
    <w:rsid w:val="136C6BDF"/>
    <w:rsid w:val="13737F6D"/>
    <w:rsid w:val="13741F37"/>
    <w:rsid w:val="13743CE5"/>
    <w:rsid w:val="137612B1"/>
    <w:rsid w:val="137A57A0"/>
    <w:rsid w:val="137B7981"/>
    <w:rsid w:val="137E6302"/>
    <w:rsid w:val="13873A19"/>
    <w:rsid w:val="138959E3"/>
    <w:rsid w:val="138A175B"/>
    <w:rsid w:val="138A3509"/>
    <w:rsid w:val="138F0B1F"/>
    <w:rsid w:val="138F28CD"/>
    <w:rsid w:val="13912AE9"/>
    <w:rsid w:val="139541E4"/>
    <w:rsid w:val="13960100"/>
    <w:rsid w:val="13981A7A"/>
    <w:rsid w:val="13985C26"/>
    <w:rsid w:val="1399374C"/>
    <w:rsid w:val="139A5ADB"/>
    <w:rsid w:val="139B1A0A"/>
    <w:rsid w:val="139D25C7"/>
    <w:rsid w:val="139F5206"/>
    <w:rsid w:val="13A10F7E"/>
    <w:rsid w:val="13B10A95"/>
    <w:rsid w:val="13B81E24"/>
    <w:rsid w:val="13BA5B9C"/>
    <w:rsid w:val="13BB1914"/>
    <w:rsid w:val="13BF3CE4"/>
    <w:rsid w:val="13C06F2A"/>
    <w:rsid w:val="13C24A51"/>
    <w:rsid w:val="13C46A1B"/>
    <w:rsid w:val="13C91FE9"/>
    <w:rsid w:val="13C94031"/>
    <w:rsid w:val="13CE7899"/>
    <w:rsid w:val="13CF716E"/>
    <w:rsid w:val="13D03611"/>
    <w:rsid w:val="13D12EE6"/>
    <w:rsid w:val="13D1738A"/>
    <w:rsid w:val="13D80718"/>
    <w:rsid w:val="13E175CD"/>
    <w:rsid w:val="13E72709"/>
    <w:rsid w:val="13E744B7"/>
    <w:rsid w:val="13E96481"/>
    <w:rsid w:val="13EB2BC7"/>
    <w:rsid w:val="13EE1CEA"/>
    <w:rsid w:val="13F05A62"/>
    <w:rsid w:val="13F07810"/>
    <w:rsid w:val="13F54E26"/>
    <w:rsid w:val="13F72496"/>
    <w:rsid w:val="13F82B68"/>
    <w:rsid w:val="13FA68E0"/>
    <w:rsid w:val="13FB7F63"/>
    <w:rsid w:val="140402D7"/>
    <w:rsid w:val="141008D8"/>
    <w:rsid w:val="14125FE6"/>
    <w:rsid w:val="14127A7E"/>
    <w:rsid w:val="141672E7"/>
    <w:rsid w:val="14172FEE"/>
    <w:rsid w:val="141A663B"/>
    <w:rsid w:val="141D437D"/>
    <w:rsid w:val="14215C1B"/>
    <w:rsid w:val="142179C9"/>
    <w:rsid w:val="14290F74"/>
    <w:rsid w:val="142C45C0"/>
    <w:rsid w:val="142E20E6"/>
    <w:rsid w:val="143376FC"/>
    <w:rsid w:val="144162BD"/>
    <w:rsid w:val="14496F20"/>
    <w:rsid w:val="144B0EEA"/>
    <w:rsid w:val="14553B17"/>
    <w:rsid w:val="145D29CB"/>
    <w:rsid w:val="14641FAC"/>
    <w:rsid w:val="1468384A"/>
    <w:rsid w:val="146940CB"/>
    <w:rsid w:val="146D271E"/>
    <w:rsid w:val="146F2E2A"/>
    <w:rsid w:val="14726477"/>
    <w:rsid w:val="14755F67"/>
    <w:rsid w:val="147A357D"/>
    <w:rsid w:val="147A373C"/>
    <w:rsid w:val="147E306D"/>
    <w:rsid w:val="14861F22"/>
    <w:rsid w:val="14863CD0"/>
    <w:rsid w:val="14883EEC"/>
    <w:rsid w:val="14885C9A"/>
    <w:rsid w:val="14891DA1"/>
    <w:rsid w:val="148971D0"/>
    <w:rsid w:val="148A7817"/>
    <w:rsid w:val="148D1503"/>
    <w:rsid w:val="148F527B"/>
    <w:rsid w:val="14956609"/>
    <w:rsid w:val="14977C8B"/>
    <w:rsid w:val="14982588"/>
    <w:rsid w:val="149A5AD9"/>
    <w:rsid w:val="149C7998"/>
    <w:rsid w:val="14A5684C"/>
    <w:rsid w:val="14A7619D"/>
    <w:rsid w:val="14A800EA"/>
    <w:rsid w:val="14A81E98"/>
    <w:rsid w:val="14A82D8A"/>
    <w:rsid w:val="14A95C11"/>
    <w:rsid w:val="14A979BF"/>
    <w:rsid w:val="14AD5701"/>
    <w:rsid w:val="14AE3227"/>
    <w:rsid w:val="14B545B5"/>
    <w:rsid w:val="14BB6070"/>
    <w:rsid w:val="14BC76F2"/>
    <w:rsid w:val="14BF5434"/>
    <w:rsid w:val="14C30A80"/>
    <w:rsid w:val="14C34F24"/>
    <w:rsid w:val="14C447F8"/>
    <w:rsid w:val="14C64A14"/>
    <w:rsid w:val="14C667C2"/>
    <w:rsid w:val="14C8078D"/>
    <w:rsid w:val="14C842E9"/>
    <w:rsid w:val="14CA0061"/>
    <w:rsid w:val="14D64C58"/>
    <w:rsid w:val="14D7452C"/>
    <w:rsid w:val="14D902A4"/>
    <w:rsid w:val="14E05AD6"/>
    <w:rsid w:val="14E82BDD"/>
    <w:rsid w:val="14EF1875"/>
    <w:rsid w:val="14F41582"/>
    <w:rsid w:val="14F670A8"/>
    <w:rsid w:val="14FB46BE"/>
    <w:rsid w:val="14FC1868"/>
    <w:rsid w:val="14FE7D0A"/>
    <w:rsid w:val="15015A4D"/>
    <w:rsid w:val="15023C9F"/>
    <w:rsid w:val="15047114"/>
    <w:rsid w:val="15051099"/>
    <w:rsid w:val="150536C3"/>
    <w:rsid w:val="15063063"/>
    <w:rsid w:val="150712B5"/>
    <w:rsid w:val="150A66AF"/>
    <w:rsid w:val="150C1963"/>
    <w:rsid w:val="150D619F"/>
    <w:rsid w:val="15107A3E"/>
    <w:rsid w:val="15115C90"/>
    <w:rsid w:val="15127C5A"/>
    <w:rsid w:val="151447A0"/>
    <w:rsid w:val="15202377"/>
    <w:rsid w:val="15273705"/>
    <w:rsid w:val="152E4A94"/>
    <w:rsid w:val="153320AA"/>
    <w:rsid w:val="15363948"/>
    <w:rsid w:val="153848C3"/>
    <w:rsid w:val="15396F94"/>
    <w:rsid w:val="153B578E"/>
    <w:rsid w:val="153C7DC1"/>
    <w:rsid w:val="153E27FD"/>
    <w:rsid w:val="153E45AB"/>
    <w:rsid w:val="153F5547"/>
    <w:rsid w:val="154020D1"/>
    <w:rsid w:val="154047C7"/>
    <w:rsid w:val="15415E49"/>
    <w:rsid w:val="154A6454"/>
    <w:rsid w:val="154A73F4"/>
    <w:rsid w:val="154D47EE"/>
    <w:rsid w:val="154F4A0A"/>
    <w:rsid w:val="154F67B8"/>
    <w:rsid w:val="15520056"/>
    <w:rsid w:val="155362A8"/>
    <w:rsid w:val="15542020"/>
    <w:rsid w:val="155618F4"/>
    <w:rsid w:val="15567B46"/>
    <w:rsid w:val="155E4C4D"/>
    <w:rsid w:val="155E69FB"/>
    <w:rsid w:val="15604521"/>
    <w:rsid w:val="15634011"/>
    <w:rsid w:val="15642C07"/>
    <w:rsid w:val="15657D89"/>
    <w:rsid w:val="1568787A"/>
    <w:rsid w:val="156A53A0"/>
    <w:rsid w:val="156D4E90"/>
    <w:rsid w:val="1571672E"/>
    <w:rsid w:val="157224A6"/>
    <w:rsid w:val="15724254"/>
    <w:rsid w:val="157601E9"/>
    <w:rsid w:val="15762120"/>
    <w:rsid w:val="15763D45"/>
    <w:rsid w:val="1585667E"/>
    <w:rsid w:val="15883A78"/>
    <w:rsid w:val="15891CCA"/>
    <w:rsid w:val="158F12AA"/>
    <w:rsid w:val="15962639"/>
    <w:rsid w:val="15995C85"/>
    <w:rsid w:val="15A00DC2"/>
    <w:rsid w:val="15A050D6"/>
    <w:rsid w:val="15A05265"/>
    <w:rsid w:val="15A308B2"/>
    <w:rsid w:val="15A72150"/>
    <w:rsid w:val="15A82943"/>
    <w:rsid w:val="15A85EC8"/>
    <w:rsid w:val="15AA1C40"/>
    <w:rsid w:val="15AA7E92"/>
    <w:rsid w:val="15AB60E4"/>
    <w:rsid w:val="15AC3C0A"/>
    <w:rsid w:val="15B11221"/>
    <w:rsid w:val="15B50D11"/>
    <w:rsid w:val="15B605E5"/>
    <w:rsid w:val="15B85262"/>
    <w:rsid w:val="15BD7BC5"/>
    <w:rsid w:val="15BE749A"/>
    <w:rsid w:val="15BF393E"/>
    <w:rsid w:val="15C2342E"/>
    <w:rsid w:val="15C37FE8"/>
    <w:rsid w:val="15C56A7A"/>
    <w:rsid w:val="15C9656A"/>
    <w:rsid w:val="15CA5E3E"/>
    <w:rsid w:val="15CC1BB7"/>
    <w:rsid w:val="15CE1DD3"/>
    <w:rsid w:val="15D171CD"/>
    <w:rsid w:val="15D373E9"/>
    <w:rsid w:val="15D53161"/>
    <w:rsid w:val="15DB44F0"/>
    <w:rsid w:val="15DD2016"/>
    <w:rsid w:val="15DD3DC4"/>
    <w:rsid w:val="15E45152"/>
    <w:rsid w:val="15E47DE8"/>
    <w:rsid w:val="15EA028F"/>
    <w:rsid w:val="15EA64E1"/>
    <w:rsid w:val="15EA70AD"/>
    <w:rsid w:val="15EC2259"/>
    <w:rsid w:val="15F1786F"/>
    <w:rsid w:val="15F86E50"/>
    <w:rsid w:val="15FA6724"/>
    <w:rsid w:val="15FB249C"/>
    <w:rsid w:val="16007AB2"/>
    <w:rsid w:val="16021A7C"/>
    <w:rsid w:val="160475A2"/>
    <w:rsid w:val="1605308F"/>
    <w:rsid w:val="1606331B"/>
    <w:rsid w:val="16064831"/>
    <w:rsid w:val="16070E41"/>
    <w:rsid w:val="16077093"/>
    <w:rsid w:val="16092E0B"/>
    <w:rsid w:val="160A6A90"/>
    <w:rsid w:val="160C6457"/>
    <w:rsid w:val="16113A6D"/>
    <w:rsid w:val="161A5018"/>
    <w:rsid w:val="161D0D0E"/>
    <w:rsid w:val="162039BF"/>
    <w:rsid w:val="16223ECC"/>
    <w:rsid w:val="162545FF"/>
    <w:rsid w:val="162776F9"/>
    <w:rsid w:val="162B4B2F"/>
    <w:rsid w:val="162C6AF9"/>
    <w:rsid w:val="162D4D4B"/>
    <w:rsid w:val="162E461F"/>
    <w:rsid w:val="162E7C59"/>
    <w:rsid w:val="16337E88"/>
    <w:rsid w:val="1635775C"/>
    <w:rsid w:val="163836F0"/>
    <w:rsid w:val="1638724C"/>
    <w:rsid w:val="163946DF"/>
    <w:rsid w:val="16394E85"/>
    <w:rsid w:val="163D2AB4"/>
    <w:rsid w:val="163F0551"/>
    <w:rsid w:val="163F682C"/>
    <w:rsid w:val="164125A5"/>
    <w:rsid w:val="16442095"/>
    <w:rsid w:val="164756E1"/>
    <w:rsid w:val="16493207"/>
    <w:rsid w:val="1649432E"/>
    <w:rsid w:val="164B3423"/>
    <w:rsid w:val="164D5520"/>
    <w:rsid w:val="16544222"/>
    <w:rsid w:val="16565924"/>
    <w:rsid w:val="165878EE"/>
    <w:rsid w:val="165A18B8"/>
    <w:rsid w:val="165B4EA8"/>
    <w:rsid w:val="166149F5"/>
    <w:rsid w:val="166242C9"/>
    <w:rsid w:val="16646293"/>
    <w:rsid w:val="1666200B"/>
    <w:rsid w:val="16677B31"/>
    <w:rsid w:val="166D15EC"/>
    <w:rsid w:val="166D339A"/>
    <w:rsid w:val="16702E8A"/>
    <w:rsid w:val="16734728"/>
    <w:rsid w:val="16777D74"/>
    <w:rsid w:val="167C538B"/>
    <w:rsid w:val="168241F9"/>
    <w:rsid w:val="168626AD"/>
    <w:rsid w:val="16864176"/>
    <w:rsid w:val="16893F4C"/>
    <w:rsid w:val="16897AA8"/>
    <w:rsid w:val="168C1346"/>
    <w:rsid w:val="168D3A3C"/>
    <w:rsid w:val="168D57EA"/>
    <w:rsid w:val="168E458F"/>
    <w:rsid w:val="16921052"/>
    <w:rsid w:val="16946B78"/>
    <w:rsid w:val="1699418F"/>
    <w:rsid w:val="169A7F07"/>
    <w:rsid w:val="169C3C7F"/>
    <w:rsid w:val="169F1079"/>
    <w:rsid w:val="16A3500D"/>
    <w:rsid w:val="16A668AC"/>
    <w:rsid w:val="16A82624"/>
    <w:rsid w:val="16A86180"/>
    <w:rsid w:val="16A8729C"/>
    <w:rsid w:val="16AD7C3A"/>
    <w:rsid w:val="16AE5760"/>
    <w:rsid w:val="16AE750E"/>
    <w:rsid w:val="16AF5A89"/>
    <w:rsid w:val="16B25250"/>
    <w:rsid w:val="16B33777"/>
    <w:rsid w:val="16B70AB9"/>
    <w:rsid w:val="16B72867"/>
    <w:rsid w:val="16B9038D"/>
    <w:rsid w:val="16B953D3"/>
    <w:rsid w:val="16BA5EB3"/>
    <w:rsid w:val="16BC70A7"/>
    <w:rsid w:val="16BC7E7D"/>
    <w:rsid w:val="16C0437D"/>
    <w:rsid w:val="16C3120C"/>
    <w:rsid w:val="16C44F84"/>
    <w:rsid w:val="16C6339E"/>
    <w:rsid w:val="16C64858"/>
    <w:rsid w:val="16CB00C0"/>
    <w:rsid w:val="16CD3E38"/>
    <w:rsid w:val="16D01B7A"/>
    <w:rsid w:val="16D0767F"/>
    <w:rsid w:val="16D52CED"/>
    <w:rsid w:val="16D57191"/>
    <w:rsid w:val="16D76A65"/>
    <w:rsid w:val="16DE7DF3"/>
    <w:rsid w:val="16DF591A"/>
    <w:rsid w:val="16E42F30"/>
    <w:rsid w:val="16E86EC4"/>
    <w:rsid w:val="16EB0762"/>
    <w:rsid w:val="16ED6288"/>
    <w:rsid w:val="16F2389F"/>
    <w:rsid w:val="16F969DB"/>
    <w:rsid w:val="16FA2753"/>
    <w:rsid w:val="16FB6BF7"/>
    <w:rsid w:val="1700420E"/>
    <w:rsid w:val="17005FBC"/>
    <w:rsid w:val="17011D34"/>
    <w:rsid w:val="1703785A"/>
    <w:rsid w:val="170535D2"/>
    <w:rsid w:val="170B516B"/>
    <w:rsid w:val="170B670F"/>
    <w:rsid w:val="170D2487"/>
    <w:rsid w:val="170F4451"/>
    <w:rsid w:val="17147CB9"/>
    <w:rsid w:val="17171557"/>
    <w:rsid w:val="17173305"/>
    <w:rsid w:val="171952CF"/>
    <w:rsid w:val="171B2DF6"/>
    <w:rsid w:val="1720665E"/>
    <w:rsid w:val="172872C1"/>
    <w:rsid w:val="172D48D7"/>
    <w:rsid w:val="172E7CE3"/>
    <w:rsid w:val="172F2D79"/>
    <w:rsid w:val="172F68A1"/>
    <w:rsid w:val="1732515D"/>
    <w:rsid w:val="17371DE5"/>
    <w:rsid w:val="173E0892"/>
    <w:rsid w:val="173E6AE4"/>
    <w:rsid w:val="174636D5"/>
    <w:rsid w:val="174F0CF1"/>
    <w:rsid w:val="175224D1"/>
    <w:rsid w:val="1752258F"/>
    <w:rsid w:val="17544559"/>
    <w:rsid w:val="17546308"/>
    <w:rsid w:val="17556281"/>
    <w:rsid w:val="17557BEF"/>
    <w:rsid w:val="1759391E"/>
    <w:rsid w:val="175B6261"/>
    <w:rsid w:val="175C51BC"/>
    <w:rsid w:val="176127D3"/>
    <w:rsid w:val="17626C76"/>
    <w:rsid w:val="1763654B"/>
    <w:rsid w:val="17683B61"/>
    <w:rsid w:val="176D1177"/>
    <w:rsid w:val="176F3141"/>
    <w:rsid w:val="177644D0"/>
    <w:rsid w:val="17795D6E"/>
    <w:rsid w:val="177B3894"/>
    <w:rsid w:val="177B5642"/>
    <w:rsid w:val="177C760C"/>
    <w:rsid w:val="177E15D6"/>
    <w:rsid w:val="1783099B"/>
    <w:rsid w:val="17832749"/>
    <w:rsid w:val="17836BED"/>
    <w:rsid w:val="1787048B"/>
    <w:rsid w:val="178C5AA1"/>
    <w:rsid w:val="178D6646"/>
    <w:rsid w:val="178F5592"/>
    <w:rsid w:val="17900ADC"/>
    <w:rsid w:val="17935082"/>
    <w:rsid w:val="179606CE"/>
    <w:rsid w:val="179673DB"/>
    <w:rsid w:val="179E57D5"/>
    <w:rsid w:val="17A76437"/>
    <w:rsid w:val="17AC1CA0"/>
    <w:rsid w:val="17AD77C6"/>
    <w:rsid w:val="17B1375A"/>
    <w:rsid w:val="17B172B6"/>
    <w:rsid w:val="17B2302E"/>
    <w:rsid w:val="17B2437D"/>
    <w:rsid w:val="17B9260F"/>
    <w:rsid w:val="17B9616B"/>
    <w:rsid w:val="17BD20FF"/>
    <w:rsid w:val="17C0574B"/>
    <w:rsid w:val="17CB6D2A"/>
    <w:rsid w:val="17CF3BE0"/>
    <w:rsid w:val="17D336D0"/>
    <w:rsid w:val="17D349C1"/>
    <w:rsid w:val="17DF02C7"/>
    <w:rsid w:val="17E1613D"/>
    <w:rsid w:val="17E21B65"/>
    <w:rsid w:val="17E551B2"/>
    <w:rsid w:val="17E94CA2"/>
    <w:rsid w:val="17EC02EE"/>
    <w:rsid w:val="17EC4792"/>
    <w:rsid w:val="17EE22B8"/>
    <w:rsid w:val="17F453F5"/>
    <w:rsid w:val="17F47F00"/>
    <w:rsid w:val="17F51899"/>
    <w:rsid w:val="17F90C5D"/>
    <w:rsid w:val="17FB6783"/>
    <w:rsid w:val="18001FEB"/>
    <w:rsid w:val="18047D2E"/>
    <w:rsid w:val="18060522"/>
    <w:rsid w:val="18097A97"/>
    <w:rsid w:val="180B10BC"/>
    <w:rsid w:val="180C0990"/>
    <w:rsid w:val="180E373B"/>
    <w:rsid w:val="181635BD"/>
    <w:rsid w:val="18167A61"/>
    <w:rsid w:val="181E2472"/>
    <w:rsid w:val="182201B4"/>
    <w:rsid w:val="18244F26"/>
    <w:rsid w:val="182757CA"/>
    <w:rsid w:val="182B52BA"/>
    <w:rsid w:val="182F467F"/>
    <w:rsid w:val="1830729E"/>
    <w:rsid w:val="18381785"/>
    <w:rsid w:val="18383533"/>
    <w:rsid w:val="183F0D66"/>
    <w:rsid w:val="18420856"/>
    <w:rsid w:val="18422604"/>
    <w:rsid w:val="184A3267"/>
    <w:rsid w:val="184E0FA9"/>
    <w:rsid w:val="18512847"/>
    <w:rsid w:val="185145F5"/>
    <w:rsid w:val="18561C0B"/>
    <w:rsid w:val="18583BD5"/>
    <w:rsid w:val="185A16FC"/>
    <w:rsid w:val="185D743E"/>
    <w:rsid w:val="18634390"/>
    <w:rsid w:val="18644328"/>
    <w:rsid w:val="18664544"/>
    <w:rsid w:val="186662F2"/>
    <w:rsid w:val="18674E76"/>
    <w:rsid w:val="186B1B5B"/>
    <w:rsid w:val="186B3909"/>
    <w:rsid w:val="186D11F5"/>
    <w:rsid w:val="186D1754"/>
    <w:rsid w:val="1870062C"/>
    <w:rsid w:val="18730A0F"/>
    <w:rsid w:val="18736C61"/>
    <w:rsid w:val="187622AE"/>
    <w:rsid w:val="18787DD4"/>
    <w:rsid w:val="187C78C4"/>
    <w:rsid w:val="187F5606"/>
    <w:rsid w:val="1881137E"/>
    <w:rsid w:val="1881312C"/>
    <w:rsid w:val="18817102"/>
    <w:rsid w:val="18830A15"/>
    <w:rsid w:val="18842C1C"/>
    <w:rsid w:val="18852B28"/>
    <w:rsid w:val="188744BB"/>
    <w:rsid w:val="188B5321"/>
    <w:rsid w:val="1890511D"/>
    <w:rsid w:val="18910B4E"/>
    <w:rsid w:val="18910E95"/>
    <w:rsid w:val="18925339"/>
    <w:rsid w:val="18934C0E"/>
    <w:rsid w:val="18950986"/>
    <w:rsid w:val="18954E2A"/>
    <w:rsid w:val="18956BD8"/>
    <w:rsid w:val="189664AC"/>
    <w:rsid w:val="189B0DEC"/>
    <w:rsid w:val="18A15A72"/>
    <w:rsid w:val="18A94431"/>
    <w:rsid w:val="18A96DD5"/>
    <w:rsid w:val="18AB01A9"/>
    <w:rsid w:val="18AB3826"/>
    <w:rsid w:val="18AE1A47"/>
    <w:rsid w:val="18AE7C99"/>
    <w:rsid w:val="18B03A11"/>
    <w:rsid w:val="18B352B0"/>
    <w:rsid w:val="18B95AF2"/>
    <w:rsid w:val="18BD1C8B"/>
    <w:rsid w:val="18BD66DB"/>
    <w:rsid w:val="18BF5A03"/>
    <w:rsid w:val="18C15C1F"/>
    <w:rsid w:val="18C179CD"/>
    <w:rsid w:val="18C474BD"/>
    <w:rsid w:val="18C64FE3"/>
    <w:rsid w:val="18D25736"/>
    <w:rsid w:val="18D314AE"/>
    <w:rsid w:val="18D71CFF"/>
    <w:rsid w:val="18D771F0"/>
    <w:rsid w:val="18D84DA8"/>
    <w:rsid w:val="18D94D16"/>
    <w:rsid w:val="18DA0A8E"/>
    <w:rsid w:val="18DC0363"/>
    <w:rsid w:val="18DE057F"/>
    <w:rsid w:val="18DE232D"/>
    <w:rsid w:val="18E13BCB"/>
    <w:rsid w:val="18E611E1"/>
    <w:rsid w:val="18ED431E"/>
    <w:rsid w:val="18ED6A14"/>
    <w:rsid w:val="18F51424"/>
    <w:rsid w:val="18F9261C"/>
    <w:rsid w:val="18FE477D"/>
    <w:rsid w:val="18FE652B"/>
    <w:rsid w:val="19006747"/>
    <w:rsid w:val="1901601B"/>
    <w:rsid w:val="19037FE5"/>
    <w:rsid w:val="19061883"/>
    <w:rsid w:val="190855FC"/>
    <w:rsid w:val="190A3122"/>
    <w:rsid w:val="190C23A4"/>
    <w:rsid w:val="190D44B0"/>
    <w:rsid w:val="190D676E"/>
    <w:rsid w:val="190F698A"/>
    <w:rsid w:val="19121FD6"/>
    <w:rsid w:val="1912647A"/>
    <w:rsid w:val="191A0E8B"/>
    <w:rsid w:val="19235F91"/>
    <w:rsid w:val="192831C6"/>
    <w:rsid w:val="192835A8"/>
    <w:rsid w:val="193006AE"/>
    <w:rsid w:val="193208CA"/>
    <w:rsid w:val="193463F1"/>
    <w:rsid w:val="193E101D"/>
    <w:rsid w:val="19406B43"/>
    <w:rsid w:val="194128BC"/>
    <w:rsid w:val="194720B3"/>
    <w:rsid w:val="19481E9C"/>
    <w:rsid w:val="194A1770"/>
    <w:rsid w:val="194B7296"/>
    <w:rsid w:val="194F4FD8"/>
    <w:rsid w:val="19502AFF"/>
    <w:rsid w:val="19524AC9"/>
    <w:rsid w:val="19553A9D"/>
    <w:rsid w:val="19565056"/>
    <w:rsid w:val="196071E6"/>
    <w:rsid w:val="19614D0C"/>
    <w:rsid w:val="19616ABA"/>
    <w:rsid w:val="19622F5E"/>
    <w:rsid w:val="19636CD6"/>
    <w:rsid w:val="196547FC"/>
    <w:rsid w:val="19687E48"/>
    <w:rsid w:val="196A3BC0"/>
    <w:rsid w:val="196C5B8A"/>
    <w:rsid w:val="19726F19"/>
    <w:rsid w:val="197607B7"/>
    <w:rsid w:val="1977008B"/>
    <w:rsid w:val="19771B7E"/>
    <w:rsid w:val="197B7B7C"/>
    <w:rsid w:val="197D7D98"/>
    <w:rsid w:val="19832ED4"/>
    <w:rsid w:val="19834C82"/>
    <w:rsid w:val="198527A8"/>
    <w:rsid w:val="198D5B01"/>
    <w:rsid w:val="198D78AF"/>
    <w:rsid w:val="19923117"/>
    <w:rsid w:val="19924EC5"/>
    <w:rsid w:val="19932372"/>
    <w:rsid w:val="19962C07"/>
    <w:rsid w:val="199B021E"/>
    <w:rsid w:val="199C5D44"/>
    <w:rsid w:val="19A20DD5"/>
    <w:rsid w:val="19A52E4A"/>
    <w:rsid w:val="19AA0461"/>
    <w:rsid w:val="19AC5F87"/>
    <w:rsid w:val="19AE03F1"/>
    <w:rsid w:val="19AF0C44"/>
    <w:rsid w:val="19B17A41"/>
    <w:rsid w:val="19B337B9"/>
    <w:rsid w:val="19B66E06"/>
    <w:rsid w:val="19B94B48"/>
    <w:rsid w:val="19BB266E"/>
    <w:rsid w:val="19C05ED6"/>
    <w:rsid w:val="19C257AA"/>
    <w:rsid w:val="19C458F5"/>
    <w:rsid w:val="19C5529B"/>
    <w:rsid w:val="19C77265"/>
    <w:rsid w:val="19CD414F"/>
    <w:rsid w:val="19CF76C2"/>
    <w:rsid w:val="19D13C3F"/>
    <w:rsid w:val="19D16F1B"/>
    <w:rsid w:val="19D379B8"/>
    <w:rsid w:val="19D51DED"/>
    <w:rsid w:val="19D623BC"/>
    <w:rsid w:val="19D83220"/>
    <w:rsid w:val="19D90D46"/>
    <w:rsid w:val="19D96F98"/>
    <w:rsid w:val="19DD25E4"/>
    <w:rsid w:val="19DF45AE"/>
    <w:rsid w:val="19E25E4D"/>
    <w:rsid w:val="19E35721"/>
    <w:rsid w:val="19E56821"/>
    <w:rsid w:val="19EC2827"/>
    <w:rsid w:val="19EE47F1"/>
    <w:rsid w:val="19EF056A"/>
    <w:rsid w:val="19F31E08"/>
    <w:rsid w:val="19F416DC"/>
    <w:rsid w:val="19F45B80"/>
    <w:rsid w:val="19F8741E"/>
    <w:rsid w:val="19FA7DD2"/>
    <w:rsid w:val="19FB0CBC"/>
    <w:rsid w:val="19FD67E3"/>
    <w:rsid w:val="1A0062D3"/>
    <w:rsid w:val="1A016457"/>
    <w:rsid w:val="1A071A03"/>
    <w:rsid w:val="1A081BBA"/>
    <w:rsid w:val="1A085187"/>
    <w:rsid w:val="1A09162B"/>
    <w:rsid w:val="1A0933D9"/>
    <w:rsid w:val="1A0C111B"/>
    <w:rsid w:val="1A0C2EC9"/>
    <w:rsid w:val="1A0D279E"/>
    <w:rsid w:val="1A0E6C42"/>
    <w:rsid w:val="1A136006"/>
    <w:rsid w:val="1A143B2C"/>
    <w:rsid w:val="1A156A7B"/>
    <w:rsid w:val="1A18186E"/>
    <w:rsid w:val="1A1D50D7"/>
    <w:rsid w:val="1A1F16AE"/>
    <w:rsid w:val="1A2136B6"/>
    <w:rsid w:val="1A271AB1"/>
    <w:rsid w:val="1A295829"/>
    <w:rsid w:val="1A2B77F4"/>
    <w:rsid w:val="1A2E1092"/>
    <w:rsid w:val="1A2F0966"/>
    <w:rsid w:val="1A310B82"/>
    <w:rsid w:val="1A3146DE"/>
    <w:rsid w:val="1A332204"/>
    <w:rsid w:val="1A3441CE"/>
    <w:rsid w:val="1A345F7C"/>
    <w:rsid w:val="1A352420"/>
    <w:rsid w:val="1A381F10"/>
    <w:rsid w:val="1A3A17E5"/>
    <w:rsid w:val="1A3B37AF"/>
    <w:rsid w:val="1A3B5C77"/>
    <w:rsid w:val="1A3D7527"/>
    <w:rsid w:val="1A400DC5"/>
    <w:rsid w:val="1A402B73"/>
    <w:rsid w:val="1A404921"/>
    <w:rsid w:val="1A420699"/>
    <w:rsid w:val="1A4274B5"/>
    <w:rsid w:val="1A450189"/>
    <w:rsid w:val="1A46462D"/>
    <w:rsid w:val="1A475CB0"/>
    <w:rsid w:val="1A497C7A"/>
    <w:rsid w:val="1A4B1C44"/>
    <w:rsid w:val="1A4C59BC"/>
    <w:rsid w:val="1A514D80"/>
    <w:rsid w:val="1A55661F"/>
    <w:rsid w:val="1A561651"/>
    <w:rsid w:val="1A562397"/>
    <w:rsid w:val="1A5959E3"/>
    <w:rsid w:val="1A5D3725"/>
    <w:rsid w:val="1A5F749D"/>
    <w:rsid w:val="1A626AD9"/>
    <w:rsid w:val="1A654388"/>
    <w:rsid w:val="1A670100"/>
    <w:rsid w:val="1A681208"/>
    <w:rsid w:val="1A693E78"/>
    <w:rsid w:val="1A6B4094"/>
    <w:rsid w:val="1A6C1BBA"/>
    <w:rsid w:val="1A710F7F"/>
    <w:rsid w:val="1A725422"/>
    <w:rsid w:val="1A766595"/>
    <w:rsid w:val="1A7A7E33"/>
    <w:rsid w:val="1A7C004F"/>
    <w:rsid w:val="1A7E355A"/>
    <w:rsid w:val="1A7F369B"/>
    <w:rsid w:val="1A8011C2"/>
    <w:rsid w:val="1A8213DE"/>
    <w:rsid w:val="1A846F04"/>
    <w:rsid w:val="1A8567D8"/>
    <w:rsid w:val="1A89276C"/>
    <w:rsid w:val="1A8A3DEE"/>
    <w:rsid w:val="1A8B2040"/>
    <w:rsid w:val="1A907657"/>
    <w:rsid w:val="1A934532"/>
    <w:rsid w:val="1A984BAD"/>
    <w:rsid w:val="1A9A04D5"/>
    <w:rsid w:val="1A9C249F"/>
    <w:rsid w:val="1A9F5AEC"/>
    <w:rsid w:val="1AA255DC"/>
    <w:rsid w:val="1AA41354"/>
    <w:rsid w:val="1AA94BBC"/>
    <w:rsid w:val="1AA9696A"/>
    <w:rsid w:val="1AAB787A"/>
    <w:rsid w:val="1AAC0209"/>
    <w:rsid w:val="1AAC1FB7"/>
    <w:rsid w:val="1AAD645B"/>
    <w:rsid w:val="1AB33345"/>
    <w:rsid w:val="1AB4206D"/>
    <w:rsid w:val="1AB53561"/>
    <w:rsid w:val="1AB772D9"/>
    <w:rsid w:val="1AB8220E"/>
    <w:rsid w:val="1AC60FA3"/>
    <w:rsid w:val="1AC63078"/>
    <w:rsid w:val="1AC75042"/>
    <w:rsid w:val="1AC76DF0"/>
    <w:rsid w:val="1AC94917"/>
    <w:rsid w:val="1ACE017F"/>
    <w:rsid w:val="1AD11A1D"/>
    <w:rsid w:val="1AD3391B"/>
    <w:rsid w:val="1AD35795"/>
    <w:rsid w:val="1AE259D8"/>
    <w:rsid w:val="1AE4166C"/>
    <w:rsid w:val="1AE63A6C"/>
    <w:rsid w:val="1AE654C9"/>
    <w:rsid w:val="1AF06347"/>
    <w:rsid w:val="1AF06CFB"/>
    <w:rsid w:val="1AF11B8D"/>
    <w:rsid w:val="1AF220BF"/>
    <w:rsid w:val="1AF520D1"/>
    <w:rsid w:val="1AF57E02"/>
    <w:rsid w:val="1AF71484"/>
    <w:rsid w:val="1AF776D6"/>
    <w:rsid w:val="1AF851FC"/>
    <w:rsid w:val="1AFA5418"/>
    <w:rsid w:val="1AFE6CB6"/>
    <w:rsid w:val="1AFF47DC"/>
    <w:rsid w:val="1AFF658A"/>
    <w:rsid w:val="1B027E29"/>
    <w:rsid w:val="1B041DF3"/>
    <w:rsid w:val="1B0537E4"/>
    <w:rsid w:val="1B097409"/>
    <w:rsid w:val="1B0E2C71"/>
    <w:rsid w:val="1B11359C"/>
    <w:rsid w:val="1B11713B"/>
    <w:rsid w:val="1B124510"/>
    <w:rsid w:val="1B1B7042"/>
    <w:rsid w:val="1B1F4E7E"/>
    <w:rsid w:val="1B210BF7"/>
    <w:rsid w:val="1B26620D"/>
    <w:rsid w:val="1B281F85"/>
    <w:rsid w:val="1B285AE1"/>
    <w:rsid w:val="1B28721C"/>
    <w:rsid w:val="1B2A271F"/>
    <w:rsid w:val="1B2E4C6C"/>
    <w:rsid w:val="1B2F1FB1"/>
    <w:rsid w:val="1B302BE8"/>
    <w:rsid w:val="1B3426D8"/>
    <w:rsid w:val="1B356450"/>
    <w:rsid w:val="1B3C333B"/>
    <w:rsid w:val="1B3F0FB6"/>
    <w:rsid w:val="1B3F107D"/>
    <w:rsid w:val="1B4548E5"/>
    <w:rsid w:val="1B46240B"/>
    <w:rsid w:val="1B494B83"/>
    <w:rsid w:val="1B4C7393"/>
    <w:rsid w:val="1B4D379A"/>
    <w:rsid w:val="1B4E306E"/>
    <w:rsid w:val="1B516A8C"/>
    <w:rsid w:val="1B530544"/>
    <w:rsid w:val="1B542D7A"/>
    <w:rsid w:val="1B570174"/>
    <w:rsid w:val="1B5C578B"/>
    <w:rsid w:val="1B5E1503"/>
    <w:rsid w:val="1B610FF3"/>
    <w:rsid w:val="1B612DA1"/>
    <w:rsid w:val="1B636B19"/>
    <w:rsid w:val="1B656D35"/>
    <w:rsid w:val="1B662AAD"/>
    <w:rsid w:val="1B682381"/>
    <w:rsid w:val="1B6865DB"/>
    <w:rsid w:val="1B6B1E72"/>
    <w:rsid w:val="1B6F3710"/>
    <w:rsid w:val="1B713184"/>
    <w:rsid w:val="1B721452"/>
    <w:rsid w:val="1B742AD4"/>
    <w:rsid w:val="1B7C407F"/>
    <w:rsid w:val="1B7C5E2D"/>
    <w:rsid w:val="1B7E43A7"/>
    <w:rsid w:val="1B854CE1"/>
    <w:rsid w:val="1B8B42C2"/>
    <w:rsid w:val="1B8B6070"/>
    <w:rsid w:val="1B8F5B60"/>
    <w:rsid w:val="1B907EBD"/>
    <w:rsid w:val="1B9118D8"/>
    <w:rsid w:val="1B921B23"/>
    <w:rsid w:val="1B9413C8"/>
    <w:rsid w:val="1B99078D"/>
    <w:rsid w:val="1B9E2247"/>
    <w:rsid w:val="1B9E5DA3"/>
    <w:rsid w:val="1BA209CF"/>
    <w:rsid w:val="1BA36333"/>
    <w:rsid w:val="1BAA3635"/>
    <w:rsid w:val="1BAF6202"/>
    <w:rsid w:val="1BB27AA1"/>
    <w:rsid w:val="1BB4777D"/>
    <w:rsid w:val="1BB630ED"/>
    <w:rsid w:val="1BB90E2F"/>
    <w:rsid w:val="1BBC447B"/>
    <w:rsid w:val="1BC021BE"/>
    <w:rsid w:val="1BC05D1A"/>
    <w:rsid w:val="1BC25F36"/>
    <w:rsid w:val="1BC341DC"/>
    <w:rsid w:val="1BC3591D"/>
    <w:rsid w:val="1BC670A8"/>
    <w:rsid w:val="1BC81072"/>
    <w:rsid w:val="1BCB46BE"/>
    <w:rsid w:val="1BD01CD5"/>
    <w:rsid w:val="1BD47A17"/>
    <w:rsid w:val="1BD75AB8"/>
    <w:rsid w:val="1BD87507"/>
    <w:rsid w:val="1BDC68CC"/>
    <w:rsid w:val="1BE7774A"/>
    <w:rsid w:val="1BE834C2"/>
    <w:rsid w:val="1BEE1DE7"/>
    <w:rsid w:val="1BEF1D69"/>
    <w:rsid w:val="1BF65BDF"/>
    <w:rsid w:val="1BFD0D1C"/>
    <w:rsid w:val="1BFE4A94"/>
    <w:rsid w:val="1C00080C"/>
    <w:rsid w:val="1C0227D6"/>
    <w:rsid w:val="1C024584"/>
    <w:rsid w:val="1C0302FC"/>
    <w:rsid w:val="1C0459C2"/>
    <w:rsid w:val="1C054074"/>
    <w:rsid w:val="1C093B64"/>
    <w:rsid w:val="1C0A3439"/>
    <w:rsid w:val="1C0C5403"/>
    <w:rsid w:val="1C0F4EF3"/>
    <w:rsid w:val="1C1425F4"/>
    <w:rsid w:val="1C1726B6"/>
    <w:rsid w:val="1C1B3B4A"/>
    <w:rsid w:val="1C1F5136"/>
    <w:rsid w:val="1C224BF8"/>
    <w:rsid w:val="1C281B11"/>
    <w:rsid w:val="1C2A3ADB"/>
    <w:rsid w:val="1C3D55BC"/>
    <w:rsid w:val="1C4050AC"/>
    <w:rsid w:val="1C454471"/>
    <w:rsid w:val="1C47468D"/>
    <w:rsid w:val="1C4A1A87"/>
    <w:rsid w:val="1C4C7E65"/>
    <w:rsid w:val="1C4E1577"/>
    <w:rsid w:val="1C534DE0"/>
    <w:rsid w:val="1C580648"/>
    <w:rsid w:val="1C597F1C"/>
    <w:rsid w:val="1C5B1EE6"/>
    <w:rsid w:val="1C5F19D6"/>
    <w:rsid w:val="1C662D65"/>
    <w:rsid w:val="1C6C40F3"/>
    <w:rsid w:val="1C6C7C4F"/>
    <w:rsid w:val="1C7134B8"/>
    <w:rsid w:val="1C7174F8"/>
    <w:rsid w:val="1C760ACE"/>
    <w:rsid w:val="1C7A6810"/>
    <w:rsid w:val="1C7B4336"/>
    <w:rsid w:val="1C7D1E5D"/>
    <w:rsid w:val="1C7F3E27"/>
    <w:rsid w:val="1C821221"/>
    <w:rsid w:val="1C827473"/>
    <w:rsid w:val="1C844F99"/>
    <w:rsid w:val="1C874A89"/>
    <w:rsid w:val="1C88086E"/>
    <w:rsid w:val="1C897E07"/>
    <w:rsid w:val="1C9A47BD"/>
    <w:rsid w:val="1C9F202D"/>
    <w:rsid w:val="1CA218C3"/>
    <w:rsid w:val="1CA3357F"/>
    <w:rsid w:val="1CA4563B"/>
    <w:rsid w:val="1CB44504"/>
    <w:rsid w:val="1CB6711D"/>
    <w:rsid w:val="1CB735C0"/>
    <w:rsid w:val="1CBA4E5F"/>
    <w:rsid w:val="1CBD494F"/>
    <w:rsid w:val="1CBF4223"/>
    <w:rsid w:val="1CC01D49"/>
    <w:rsid w:val="1CC21F65"/>
    <w:rsid w:val="1CC4004B"/>
    <w:rsid w:val="1CC96E50"/>
    <w:rsid w:val="1CCB1E4B"/>
    <w:rsid w:val="1CD13F56"/>
    <w:rsid w:val="1CD53A47"/>
    <w:rsid w:val="1CD87093"/>
    <w:rsid w:val="1CDB5968"/>
    <w:rsid w:val="1CDC0016"/>
    <w:rsid w:val="1CDC4DD5"/>
    <w:rsid w:val="1CDF6673"/>
    <w:rsid w:val="1CE65C54"/>
    <w:rsid w:val="1CE73468"/>
    <w:rsid w:val="1CE7377A"/>
    <w:rsid w:val="1CEE4B08"/>
    <w:rsid w:val="1CF55E97"/>
    <w:rsid w:val="1CF72621"/>
    <w:rsid w:val="1CF87735"/>
    <w:rsid w:val="1CFA0437"/>
    <w:rsid w:val="1CFD2F9D"/>
    <w:rsid w:val="1D0039EE"/>
    <w:rsid w:val="1D0600A4"/>
    <w:rsid w:val="1D09272C"/>
    <w:rsid w:val="1D0B56BA"/>
    <w:rsid w:val="1D0C28B4"/>
    <w:rsid w:val="1D0C4F8F"/>
    <w:rsid w:val="1D0E0D07"/>
    <w:rsid w:val="1D104A7F"/>
    <w:rsid w:val="1D156539"/>
    <w:rsid w:val="1D1722B1"/>
    <w:rsid w:val="1D1A3B4F"/>
    <w:rsid w:val="1D1E3640"/>
    <w:rsid w:val="1D266CE1"/>
    <w:rsid w:val="1D271DC8"/>
    <w:rsid w:val="1D2D5631"/>
    <w:rsid w:val="1D305121"/>
    <w:rsid w:val="1D320E99"/>
    <w:rsid w:val="1D322C47"/>
    <w:rsid w:val="1D37200B"/>
    <w:rsid w:val="1D3963AF"/>
    <w:rsid w:val="1D3C3AC6"/>
    <w:rsid w:val="1D3F5364"/>
    <w:rsid w:val="1D412E8A"/>
    <w:rsid w:val="1D41732E"/>
    <w:rsid w:val="1D4961E3"/>
    <w:rsid w:val="1D4A4435"/>
    <w:rsid w:val="1D4D3DE7"/>
    <w:rsid w:val="1D4D4C12"/>
    <w:rsid w:val="1D4D5CD3"/>
    <w:rsid w:val="1D4F1A4B"/>
    <w:rsid w:val="1D5030CD"/>
    <w:rsid w:val="1D540E0F"/>
    <w:rsid w:val="1D594678"/>
    <w:rsid w:val="1D5E3A3C"/>
    <w:rsid w:val="1D5E6A33"/>
    <w:rsid w:val="1D644DCB"/>
    <w:rsid w:val="1D65301C"/>
    <w:rsid w:val="1D682B0D"/>
    <w:rsid w:val="1D686669"/>
    <w:rsid w:val="1D6A0633"/>
    <w:rsid w:val="1D6A673C"/>
    <w:rsid w:val="1D6B7F07"/>
    <w:rsid w:val="1D6F54DB"/>
    <w:rsid w:val="1D7414B2"/>
    <w:rsid w:val="1D743260"/>
    <w:rsid w:val="1D766BDC"/>
    <w:rsid w:val="1D7E5E8C"/>
    <w:rsid w:val="1D7E7C3A"/>
    <w:rsid w:val="1D81772B"/>
    <w:rsid w:val="1D8334A3"/>
    <w:rsid w:val="1D884F5D"/>
    <w:rsid w:val="1D894338"/>
    <w:rsid w:val="1D8965DF"/>
    <w:rsid w:val="1D903E12"/>
    <w:rsid w:val="1D90796E"/>
    <w:rsid w:val="1D9247AE"/>
    <w:rsid w:val="1D9531D6"/>
    <w:rsid w:val="1D9751A0"/>
    <w:rsid w:val="1D9C27B6"/>
    <w:rsid w:val="1DA33B45"/>
    <w:rsid w:val="1DA43419"/>
    <w:rsid w:val="1DA50519"/>
    <w:rsid w:val="1DA81402"/>
    <w:rsid w:val="1DAA6C81"/>
    <w:rsid w:val="1DAB47A7"/>
    <w:rsid w:val="1DAB4D3C"/>
    <w:rsid w:val="1DAB7439"/>
    <w:rsid w:val="1DAC0C4B"/>
    <w:rsid w:val="1DB01DBE"/>
    <w:rsid w:val="1DB10E44"/>
    <w:rsid w:val="1DB33FAD"/>
    <w:rsid w:val="1DB55626"/>
    <w:rsid w:val="1DB567EC"/>
    <w:rsid w:val="1DBB0E8E"/>
    <w:rsid w:val="1DBE097F"/>
    <w:rsid w:val="1DC00253"/>
    <w:rsid w:val="1DC53ABB"/>
    <w:rsid w:val="1DC67833"/>
    <w:rsid w:val="1DC85359"/>
    <w:rsid w:val="1DCC309C"/>
    <w:rsid w:val="1DCF0F79"/>
    <w:rsid w:val="1DD0420E"/>
    <w:rsid w:val="1DD106B2"/>
    <w:rsid w:val="1DD957B9"/>
    <w:rsid w:val="1DDA6E3B"/>
    <w:rsid w:val="1DDF7CE7"/>
    <w:rsid w:val="1DE32193"/>
    <w:rsid w:val="1DE657E0"/>
    <w:rsid w:val="1DEF6D8A"/>
    <w:rsid w:val="1DF24184"/>
    <w:rsid w:val="1DF51A98"/>
    <w:rsid w:val="1DF63C75"/>
    <w:rsid w:val="1DF83E91"/>
    <w:rsid w:val="1DFF1124"/>
    <w:rsid w:val="1E0068A1"/>
    <w:rsid w:val="1E051CD9"/>
    <w:rsid w:val="1E05210A"/>
    <w:rsid w:val="1E0565AE"/>
    <w:rsid w:val="1E0740D4"/>
    <w:rsid w:val="1E0A5972"/>
    <w:rsid w:val="1E0B5246"/>
    <w:rsid w:val="1E0C16EA"/>
    <w:rsid w:val="1E0F4D36"/>
    <w:rsid w:val="1E122A78"/>
    <w:rsid w:val="1E154A8B"/>
    <w:rsid w:val="1E171E3D"/>
    <w:rsid w:val="1E1B36DB"/>
    <w:rsid w:val="1E1D38F7"/>
    <w:rsid w:val="1E1E141D"/>
    <w:rsid w:val="1E1E5B3D"/>
    <w:rsid w:val="1E222CBC"/>
    <w:rsid w:val="1E256308"/>
    <w:rsid w:val="1E262080"/>
    <w:rsid w:val="1E282D24"/>
    <w:rsid w:val="1E2C7696"/>
    <w:rsid w:val="1E2D340E"/>
    <w:rsid w:val="1E2F362A"/>
    <w:rsid w:val="1E3B1FCF"/>
    <w:rsid w:val="1E3D060F"/>
    <w:rsid w:val="1E3D5D47"/>
    <w:rsid w:val="1E3D7AF5"/>
    <w:rsid w:val="1E3F7D2E"/>
    <w:rsid w:val="1E4134E4"/>
    <w:rsid w:val="1E480DAA"/>
    <w:rsid w:val="1E48649A"/>
    <w:rsid w:val="1E4E3AB1"/>
    <w:rsid w:val="1E5062B3"/>
    <w:rsid w:val="1E523514"/>
    <w:rsid w:val="1E592455"/>
    <w:rsid w:val="1E607030"/>
    <w:rsid w:val="1E652BA8"/>
    <w:rsid w:val="1E6C3F37"/>
    <w:rsid w:val="1E707ECB"/>
    <w:rsid w:val="1E714A66"/>
    <w:rsid w:val="1E7352C5"/>
    <w:rsid w:val="1E754686"/>
    <w:rsid w:val="1E761259"/>
    <w:rsid w:val="1E766B63"/>
    <w:rsid w:val="1E7D4396"/>
    <w:rsid w:val="1E7E2B16"/>
    <w:rsid w:val="1E7E409B"/>
    <w:rsid w:val="1E802593"/>
    <w:rsid w:val="1E85149C"/>
    <w:rsid w:val="1E870D71"/>
    <w:rsid w:val="1E875215"/>
    <w:rsid w:val="1E892779"/>
    <w:rsid w:val="1E8A260F"/>
    <w:rsid w:val="1E8B6156"/>
    <w:rsid w:val="1E8C282B"/>
    <w:rsid w:val="1E8E0351"/>
    <w:rsid w:val="1E8E65A3"/>
    <w:rsid w:val="1E8F5E77"/>
    <w:rsid w:val="1E911BEF"/>
    <w:rsid w:val="1E933BB9"/>
    <w:rsid w:val="1E965458"/>
    <w:rsid w:val="1E9811D0"/>
    <w:rsid w:val="1E984D2C"/>
    <w:rsid w:val="1E9B0CC0"/>
    <w:rsid w:val="1E9B481C"/>
    <w:rsid w:val="1E9D67E6"/>
    <w:rsid w:val="1E9E60BA"/>
    <w:rsid w:val="1EA25BAA"/>
    <w:rsid w:val="1EA4523D"/>
    <w:rsid w:val="1EA700D7"/>
    <w:rsid w:val="1EA703CC"/>
    <w:rsid w:val="1EB1403F"/>
    <w:rsid w:val="1EB61656"/>
    <w:rsid w:val="1EB63404"/>
    <w:rsid w:val="1EB7330C"/>
    <w:rsid w:val="1EBA2EF4"/>
    <w:rsid w:val="1EBA7398"/>
    <w:rsid w:val="1EC024D4"/>
    <w:rsid w:val="1EC43D73"/>
    <w:rsid w:val="1EC57AEB"/>
    <w:rsid w:val="1EC65C53"/>
    <w:rsid w:val="1EC65D3D"/>
    <w:rsid w:val="1EC9566D"/>
    <w:rsid w:val="1ECA6EAF"/>
    <w:rsid w:val="1ECB5101"/>
    <w:rsid w:val="1ECE699F"/>
    <w:rsid w:val="1ED33FB6"/>
    <w:rsid w:val="1ED61CF8"/>
    <w:rsid w:val="1EDA01AA"/>
    <w:rsid w:val="1EDA17E8"/>
    <w:rsid w:val="1EDB2E6A"/>
    <w:rsid w:val="1EDD1986"/>
    <w:rsid w:val="1EDD4E34"/>
    <w:rsid w:val="1EE00481"/>
    <w:rsid w:val="1EE6018D"/>
    <w:rsid w:val="1EEA12FF"/>
    <w:rsid w:val="1EF503D0"/>
    <w:rsid w:val="1EF5217E"/>
    <w:rsid w:val="1EF65EF6"/>
    <w:rsid w:val="1EFA3C38"/>
    <w:rsid w:val="1EFE19D9"/>
    <w:rsid w:val="1EFF124F"/>
    <w:rsid w:val="1F004D05"/>
    <w:rsid w:val="1F010B23"/>
    <w:rsid w:val="1F044A3F"/>
    <w:rsid w:val="1F047610"/>
    <w:rsid w:val="1F0A0FF3"/>
    <w:rsid w:val="1F0B7BF4"/>
    <w:rsid w:val="1F0E1492"/>
    <w:rsid w:val="1F10520A"/>
    <w:rsid w:val="1F130856"/>
    <w:rsid w:val="1F136AA8"/>
    <w:rsid w:val="1F15637C"/>
    <w:rsid w:val="1F182311"/>
    <w:rsid w:val="1F1D3483"/>
    <w:rsid w:val="1F2554B9"/>
    <w:rsid w:val="1F2760B0"/>
    <w:rsid w:val="1F282554"/>
    <w:rsid w:val="1F291E28"/>
    <w:rsid w:val="1F2B3DF2"/>
    <w:rsid w:val="1F2E1635"/>
    <w:rsid w:val="1F30765A"/>
    <w:rsid w:val="1F3233D2"/>
    <w:rsid w:val="1F372797"/>
    <w:rsid w:val="1F374545"/>
    <w:rsid w:val="1F3802BD"/>
    <w:rsid w:val="1F38392F"/>
    <w:rsid w:val="1F394761"/>
    <w:rsid w:val="1F3D3B25"/>
    <w:rsid w:val="1F402C95"/>
    <w:rsid w:val="1F403C04"/>
    <w:rsid w:val="1F4153C3"/>
    <w:rsid w:val="1F43738D"/>
    <w:rsid w:val="1F444EB4"/>
    <w:rsid w:val="1F464788"/>
    <w:rsid w:val="1F4E188E"/>
    <w:rsid w:val="1F4E7AE0"/>
    <w:rsid w:val="1F501C8A"/>
    <w:rsid w:val="1F52137F"/>
    <w:rsid w:val="1F5642FC"/>
    <w:rsid w:val="1F5771FF"/>
    <w:rsid w:val="1F58270D"/>
    <w:rsid w:val="1F5E41C7"/>
    <w:rsid w:val="1F5F1CED"/>
    <w:rsid w:val="1F62545B"/>
    <w:rsid w:val="1F641495"/>
    <w:rsid w:val="1F647304"/>
    <w:rsid w:val="1F69491A"/>
    <w:rsid w:val="1F6A3BED"/>
    <w:rsid w:val="1F6E3CDF"/>
    <w:rsid w:val="1F721A21"/>
    <w:rsid w:val="1F72557D"/>
    <w:rsid w:val="1F7532BF"/>
    <w:rsid w:val="1F770DE5"/>
    <w:rsid w:val="1F775289"/>
    <w:rsid w:val="1F78690B"/>
    <w:rsid w:val="1F7A2683"/>
    <w:rsid w:val="1F7E6617"/>
    <w:rsid w:val="1F7F413E"/>
    <w:rsid w:val="1F7F7C9A"/>
    <w:rsid w:val="1F80579F"/>
    <w:rsid w:val="1F817EB6"/>
    <w:rsid w:val="1F8359DC"/>
    <w:rsid w:val="1F8B2AE2"/>
    <w:rsid w:val="1F8F5FAF"/>
    <w:rsid w:val="1F974FE3"/>
    <w:rsid w:val="1F99183C"/>
    <w:rsid w:val="1F9A2D26"/>
    <w:rsid w:val="1F9A4AD4"/>
    <w:rsid w:val="1F9D6372"/>
    <w:rsid w:val="1FA31BDA"/>
    <w:rsid w:val="1FA47700"/>
    <w:rsid w:val="1FA83694"/>
    <w:rsid w:val="1FA85442"/>
    <w:rsid w:val="1FA871F0"/>
    <w:rsid w:val="1FAA11BB"/>
    <w:rsid w:val="1FB21E1D"/>
    <w:rsid w:val="1FB262C1"/>
    <w:rsid w:val="1FB42039"/>
    <w:rsid w:val="1FB5190D"/>
    <w:rsid w:val="1FB922B6"/>
    <w:rsid w:val="1FBA7558"/>
    <w:rsid w:val="1FBB791A"/>
    <w:rsid w:val="1FBD6704"/>
    <w:rsid w:val="1FC009DE"/>
    <w:rsid w:val="1FC049E7"/>
    <w:rsid w:val="1FC35DD8"/>
    <w:rsid w:val="1FC85AE5"/>
    <w:rsid w:val="1FCA360B"/>
    <w:rsid w:val="1FCB1131"/>
    <w:rsid w:val="1FCD6C57"/>
    <w:rsid w:val="1FD04999"/>
    <w:rsid w:val="1FD44489"/>
    <w:rsid w:val="1FD46237"/>
    <w:rsid w:val="1FD52574"/>
    <w:rsid w:val="1FD60202"/>
    <w:rsid w:val="1FDC6BF8"/>
    <w:rsid w:val="1FDE0409"/>
    <w:rsid w:val="1FDE0E64"/>
    <w:rsid w:val="1FE346CD"/>
    <w:rsid w:val="1FE868A9"/>
    <w:rsid w:val="1FE87F35"/>
    <w:rsid w:val="1FEA15B7"/>
    <w:rsid w:val="1FEA7C53"/>
    <w:rsid w:val="1FEB3581"/>
    <w:rsid w:val="1FED554B"/>
    <w:rsid w:val="1FED72F9"/>
    <w:rsid w:val="20034907"/>
    <w:rsid w:val="20052895"/>
    <w:rsid w:val="20055CEB"/>
    <w:rsid w:val="2009699D"/>
    <w:rsid w:val="200D1749"/>
    <w:rsid w:val="200D34F7"/>
    <w:rsid w:val="200E590D"/>
    <w:rsid w:val="20112FE8"/>
    <w:rsid w:val="20126D60"/>
    <w:rsid w:val="201725C8"/>
    <w:rsid w:val="20173E4B"/>
    <w:rsid w:val="20174376"/>
    <w:rsid w:val="201E74B3"/>
    <w:rsid w:val="202076CF"/>
    <w:rsid w:val="20234AC9"/>
    <w:rsid w:val="20250841"/>
    <w:rsid w:val="202645B9"/>
    <w:rsid w:val="202C6073"/>
    <w:rsid w:val="202D1DEC"/>
    <w:rsid w:val="203211B0"/>
    <w:rsid w:val="20322F5E"/>
    <w:rsid w:val="20337402"/>
    <w:rsid w:val="20360CA0"/>
    <w:rsid w:val="203E7B55"/>
    <w:rsid w:val="20401B1F"/>
    <w:rsid w:val="204C2272"/>
    <w:rsid w:val="204C24DF"/>
    <w:rsid w:val="204C4020"/>
    <w:rsid w:val="204D7D98"/>
    <w:rsid w:val="204E48BC"/>
    <w:rsid w:val="20541126"/>
    <w:rsid w:val="20542ED4"/>
    <w:rsid w:val="2059673D"/>
    <w:rsid w:val="205D447F"/>
    <w:rsid w:val="20605D1D"/>
    <w:rsid w:val="20607ACB"/>
    <w:rsid w:val="206155F1"/>
    <w:rsid w:val="20623843"/>
    <w:rsid w:val="20670E5A"/>
    <w:rsid w:val="206770AC"/>
    <w:rsid w:val="20692E24"/>
    <w:rsid w:val="206A0E38"/>
    <w:rsid w:val="20735A50"/>
    <w:rsid w:val="20775FCA"/>
    <w:rsid w:val="207812B9"/>
    <w:rsid w:val="207D067D"/>
    <w:rsid w:val="207F330F"/>
    <w:rsid w:val="20823EE5"/>
    <w:rsid w:val="20825C93"/>
    <w:rsid w:val="208714FC"/>
    <w:rsid w:val="20875058"/>
    <w:rsid w:val="208921B3"/>
    <w:rsid w:val="208A0FEC"/>
    <w:rsid w:val="208A4B48"/>
    <w:rsid w:val="208B4EA6"/>
    <w:rsid w:val="208F03B0"/>
    <w:rsid w:val="208F6602"/>
    <w:rsid w:val="20914128"/>
    <w:rsid w:val="20914750"/>
    <w:rsid w:val="2096173F"/>
    <w:rsid w:val="209634ED"/>
    <w:rsid w:val="20973DEB"/>
    <w:rsid w:val="20992FDD"/>
    <w:rsid w:val="209A00A9"/>
    <w:rsid w:val="20A0436C"/>
    <w:rsid w:val="20A11302"/>
    <w:rsid w:val="20A26336"/>
    <w:rsid w:val="20A57BD4"/>
    <w:rsid w:val="20AA51EA"/>
    <w:rsid w:val="20B00A53"/>
    <w:rsid w:val="20B10327"/>
    <w:rsid w:val="20B26522"/>
    <w:rsid w:val="20B44310"/>
    <w:rsid w:val="20B54B1F"/>
    <w:rsid w:val="20B80137"/>
    <w:rsid w:val="20B971DB"/>
    <w:rsid w:val="20BB11A5"/>
    <w:rsid w:val="20BD6CCC"/>
    <w:rsid w:val="20C4005A"/>
    <w:rsid w:val="20C938C2"/>
    <w:rsid w:val="20CA13E8"/>
    <w:rsid w:val="20CC6F0F"/>
    <w:rsid w:val="20CF4C51"/>
    <w:rsid w:val="20CF69FF"/>
    <w:rsid w:val="20D02EA3"/>
    <w:rsid w:val="20D364EF"/>
    <w:rsid w:val="20D65FDF"/>
    <w:rsid w:val="20DD55C0"/>
    <w:rsid w:val="20E406FC"/>
    <w:rsid w:val="20EC5803"/>
    <w:rsid w:val="20EF2BFD"/>
    <w:rsid w:val="20F621DE"/>
    <w:rsid w:val="20FD356C"/>
    <w:rsid w:val="20FF5536"/>
    <w:rsid w:val="21042B4C"/>
    <w:rsid w:val="2107263D"/>
    <w:rsid w:val="21090177"/>
    <w:rsid w:val="210A74BB"/>
    <w:rsid w:val="210A7A37"/>
    <w:rsid w:val="210D12F1"/>
    <w:rsid w:val="210E5779"/>
    <w:rsid w:val="210E7527"/>
    <w:rsid w:val="21110DC5"/>
    <w:rsid w:val="211116EB"/>
    <w:rsid w:val="21117017"/>
    <w:rsid w:val="211A411E"/>
    <w:rsid w:val="21211792"/>
    <w:rsid w:val="21224D81"/>
    <w:rsid w:val="212C3E51"/>
    <w:rsid w:val="212E1977"/>
    <w:rsid w:val="2130347A"/>
    <w:rsid w:val="213056EF"/>
    <w:rsid w:val="21321F54"/>
    <w:rsid w:val="213351E0"/>
    <w:rsid w:val="213571AA"/>
    <w:rsid w:val="21380A48"/>
    <w:rsid w:val="213845A4"/>
    <w:rsid w:val="213A031C"/>
    <w:rsid w:val="21437AAE"/>
    <w:rsid w:val="214473ED"/>
    <w:rsid w:val="214747E7"/>
    <w:rsid w:val="214B2529"/>
    <w:rsid w:val="21507B40"/>
    <w:rsid w:val="215238B8"/>
    <w:rsid w:val="215533A8"/>
    <w:rsid w:val="21570ECE"/>
    <w:rsid w:val="215A451A"/>
    <w:rsid w:val="215D04AF"/>
    <w:rsid w:val="215D225D"/>
    <w:rsid w:val="215F7298"/>
    <w:rsid w:val="215F7D83"/>
    <w:rsid w:val="216133FC"/>
    <w:rsid w:val="21635AC5"/>
    <w:rsid w:val="21640149"/>
    <w:rsid w:val="21676C37"/>
    <w:rsid w:val="216C09A3"/>
    <w:rsid w:val="216D3969"/>
    <w:rsid w:val="21725D08"/>
    <w:rsid w:val="2173382E"/>
    <w:rsid w:val="217505C5"/>
    <w:rsid w:val="21771570"/>
    <w:rsid w:val="217750CC"/>
    <w:rsid w:val="21775AB6"/>
    <w:rsid w:val="217A2E0F"/>
    <w:rsid w:val="217A4BBD"/>
    <w:rsid w:val="217D46AD"/>
    <w:rsid w:val="21837F15"/>
    <w:rsid w:val="21843C8D"/>
    <w:rsid w:val="218617B3"/>
    <w:rsid w:val="218B501C"/>
    <w:rsid w:val="218B6DCA"/>
    <w:rsid w:val="2190618E"/>
    <w:rsid w:val="219263AA"/>
    <w:rsid w:val="219519F6"/>
    <w:rsid w:val="219739C1"/>
    <w:rsid w:val="219914E7"/>
    <w:rsid w:val="219C0FD7"/>
    <w:rsid w:val="219F4623"/>
    <w:rsid w:val="21A105E5"/>
    <w:rsid w:val="21A460DD"/>
    <w:rsid w:val="21A47E8B"/>
    <w:rsid w:val="21A8172A"/>
    <w:rsid w:val="21AD0AEE"/>
    <w:rsid w:val="21B038D2"/>
    <w:rsid w:val="21B53E47"/>
    <w:rsid w:val="21B7196D"/>
    <w:rsid w:val="21B77BBF"/>
    <w:rsid w:val="21BE0F4D"/>
    <w:rsid w:val="21C422DC"/>
    <w:rsid w:val="21C4408A"/>
    <w:rsid w:val="21D20555"/>
    <w:rsid w:val="21D20B1C"/>
    <w:rsid w:val="21D40771"/>
    <w:rsid w:val="21D50045"/>
    <w:rsid w:val="21D544E9"/>
    <w:rsid w:val="21D56297"/>
    <w:rsid w:val="21D56769"/>
    <w:rsid w:val="21D97B35"/>
    <w:rsid w:val="21DA565B"/>
    <w:rsid w:val="21E07116"/>
    <w:rsid w:val="21E14C3C"/>
    <w:rsid w:val="21E52EF3"/>
    <w:rsid w:val="21E604A4"/>
    <w:rsid w:val="21E8421C"/>
    <w:rsid w:val="21E87D78"/>
    <w:rsid w:val="21EB1616"/>
    <w:rsid w:val="21ED4759"/>
    <w:rsid w:val="21ED538F"/>
    <w:rsid w:val="21F26E49"/>
    <w:rsid w:val="21F42BC1"/>
    <w:rsid w:val="21FB5D7B"/>
    <w:rsid w:val="21FE759C"/>
    <w:rsid w:val="220152DE"/>
    <w:rsid w:val="22015E94"/>
    <w:rsid w:val="22032E04"/>
    <w:rsid w:val="220A23E4"/>
    <w:rsid w:val="220A5F40"/>
    <w:rsid w:val="220B1C3D"/>
    <w:rsid w:val="220F3557"/>
    <w:rsid w:val="221072CF"/>
    <w:rsid w:val="22146DBF"/>
    <w:rsid w:val="221D1D20"/>
    <w:rsid w:val="222039B6"/>
    <w:rsid w:val="222334A6"/>
    <w:rsid w:val="222A213F"/>
    <w:rsid w:val="222D60D3"/>
    <w:rsid w:val="222D6C7A"/>
    <w:rsid w:val="222F1C22"/>
    <w:rsid w:val="222F3BF9"/>
    <w:rsid w:val="2230171F"/>
    <w:rsid w:val="22334A87"/>
    <w:rsid w:val="2237586F"/>
    <w:rsid w:val="223905D4"/>
    <w:rsid w:val="224156DA"/>
    <w:rsid w:val="22433200"/>
    <w:rsid w:val="224376A4"/>
    <w:rsid w:val="22452A44"/>
    <w:rsid w:val="224551CB"/>
    <w:rsid w:val="224C47AB"/>
    <w:rsid w:val="224F429B"/>
    <w:rsid w:val="224F7DF7"/>
    <w:rsid w:val="2250591D"/>
    <w:rsid w:val="22574EFE"/>
    <w:rsid w:val="225B679C"/>
    <w:rsid w:val="226118D9"/>
    <w:rsid w:val="22623FCE"/>
    <w:rsid w:val="22635651"/>
    <w:rsid w:val="22680EB9"/>
    <w:rsid w:val="226A4C31"/>
    <w:rsid w:val="226B2757"/>
    <w:rsid w:val="226E2973"/>
    <w:rsid w:val="22715FC0"/>
    <w:rsid w:val="2272087D"/>
    <w:rsid w:val="2275422E"/>
    <w:rsid w:val="227710FC"/>
    <w:rsid w:val="22771C61"/>
    <w:rsid w:val="227B5090"/>
    <w:rsid w:val="227B6E3E"/>
    <w:rsid w:val="227C56E4"/>
    <w:rsid w:val="22806203"/>
    <w:rsid w:val="22813D29"/>
    <w:rsid w:val="22866796"/>
    <w:rsid w:val="22883309"/>
    <w:rsid w:val="228A0E2F"/>
    <w:rsid w:val="228D26CE"/>
    <w:rsid w:val="229C0B63"/>
    <w:rsid w:val="22A16179"/>
    <w:rsid w:val="22A2261D"/>
    <w:rsid w:val="22A46395"/>
    <w:rsid w:val="22A85759"/>
    <w:rsid w:val="22AA7723"/>
    <w:rsid w:val="22B67E76"/>
    <w:rsid w:val="22B83BEE"/>
    <w:rsid w:val="22BA5BB9"/>
    <w:rsid w:val="22BB36DF"/>
    <w:rsid w:val="22BE6801"/>
    <w:rsid w:val="22BF31CF"/>
    <w:rsid w:val="22C24A6D"/>
    <w:rsid w:val="22C407E5"/>
    <w:rsid w:val="22CC58EC"/>
    <w:rsid w:val="22D36C7A"/>
    <w:rsid w:val="22D622C7"/>
    <w:rsid w:val="22D8603F"/>
    <w:rsid w:val="22D95913"/>
    <w:rsid w:val="22E26EBD"/>
    <w:rsid w:val="22E449E3"/>
    <w:rsid w:val="22E76282"/>
    <w:rsid w:val="22EA5D72"/>
    <w:rsid w:val="22EA7B20"/>
    <w:rsid w:val="22F27762"/>
    <w:rsid w:val="22F34C27"/>
    <w:rsid w:val="22F4274D"/>
    <w:rsid w:val="22F627E4"/>
    <w:rsid w:val="22F82C9D"/>
    <w:rsid w:val="22F866E1"/>
    <w:rsid w:val="22FB2F8D"/>
    <w:rsid w:val="22FD3CF7"/>
    <w:rsid w:val="230B6414"/>
    <w:rsid w:val="231057D9"/>
    <w:rsid w:val="231132FF"/>
    <w:rsid w:val="23134566"/>
    <w:rsid w:val="231B23CF"/>
    <w:rsid w:val="231C5EB2"/>
    <w:rsid w:val="231D1CA3"/>
    <w:rsid w:val="2322550C"/>
    <w:rsid w:val="23241284"/>
    <w:rsid w:val="2324309E"/>
    <w:rsid w:val="23294AEC"/>
    <w:rsid w:val="232B0864"/>
    <w:rsid w:val="232E5C5F"/>
    <w:rsid w:val="233174FD"/>
    <w:rsid w:val="233500BF"/>
    <w:rsid w:val="2335523F"/>
    <w:rsid w:val="23377FF7"/>
    <w:rsid w:val="234053A9"/>
    <w:rsid w:val="23445482"/>
    <w:rsid w:val="23490CEA"/>
    <w:rsid w:val="234B0F30"/>
    <w:rsid w:val="234C2589"/>
    <w:rsid w:val="235002CB"/>
    <w:rsid w:val="235558E1"/>
    <w:rsid w:val="235D4796"/>
    <w:rsid w:val="235F2314"/>
    <w:rsid w:val="236553F8"/>
    <w:rsid w:val="236B425F"/>
    <w:rsid w:val="237044C9"/>
    <w:rsid w:val="23751ADF"/>
    <w:rsid w:val="237613B4"/>
    <w:rsid w:val="237C4C1C"/>
    <w:rsid w:val="237F470C"/>
    <w:rsid w:val="237F64BA"/>
    <w:rsid w:val="23836192"/>
    <w:rsid w:val="23863CED"/>
    <w:rsid w:val="23867849"/>
    <w:rsid w:val="23901F29"/>
    <w:rsid w:val="23905F23"/>
    <w:rsid w:val="23906919"/>
    <w:rsid w:val="239C0061"/>
    <w:rsid w:val="239C706C"/>
    <w:rsid w:val="239D4B92"/>
    <w:rsid w:val="23A221A9"/>
    <w:rsid w:val="23A6188A"/>
    <w:rsid w:val="23AB3753"/>
    <w:rsid w:val="23AC72D4"/>
    <w:rsid w:val="23AE0B4E"/>
    <w:rsid w:val="23B033C0"/>
    <w:rsid w:val="23B048C6"/>
    <w:rsid w:val="23B1063E"/>
    <w:rsid w:val="23B343B6"/>
    <w:rsid w:val="23B35621"/>
    <w:rsid w:val="23B908A4"/>
    <w:rsid w:val="23BA1BE8"/>
    <w:rsid w:val="23BC770E"/>
    <w:rsid w:val="23BD6FE3"/>
    <w:rsid w:val="23C860B3"/>
    <w:rsid w:val="23C93BD9"/>
    <w:rsid w:val="23CA0C85"/>
    <w:rsid w:val="23CD36CA"/>
    <w:rsid w:val="23CE11F0"/>
    <w:rsid w:val="23CE2F9E"/>
    <w:rsid w:val="23D04AF7"/>
    <w:rsid w:val="23D507D0"/>
    <w:rsid w:val="23D54ED7"/>
    <w:rsid w:val="23DC390D"/>
    <w:rsid w:val="23DC56BB"/>
    <w:rsid w:val="23DE58D7"/>
    <w:rsid w:val="23DF33FD"/>
    <w:rsid w:val="23E10F23"/>
    <w:rsid w:val="23E1514B"/>
    <w:rsid w:val="23E629DD"/>
    <w:rsid w:val="23E9569E"/>
    <w:rsid w:val="23E95BEF"/>
    <w:rsid w:val="23EB4C4B"/>
    <w:rsid w:val="23ED5B1A"/>
    <w:rsid w:val="23EE3640"/>
    <w:rsid w:val="23EF1892"/>
    <w:rsid w:val="23F24EDE"/>
    <w:rsid w:val="23F30C56"/>
    <w:rsid w:val="23F314B9"/>
    <w:rsid w:val="23F32A04"/>
    <w:rsid w:val="23F70746"/>
    <w:rsid w:val="23FC0F43"/>
    <w:rsid w:val="23FD0064"/>
    <w:rsid w:val="23FE3883"/>
    <w:rsid w:val="24013373"/>
    <w:rsid w:val="240B5FA0"/>
    <w:rsid w:val="240D7F6A"/>
    <w:rsid w:val="240F3CE2"/>
    <w:rsid w:val="24120EBE"/>
    <w:rsid w:val="2412732E"/>
    <w:rsid w:val="24134E54"/>
    <w:rsid w:val="24156E1F"/>
    <w:rsid w:val="242157C3"/>
    <w:rsid w:val="2423153B"/>
    <w:rsid w:val="24257F68"/>
    <w:rsid w:val="242816A1"/>
    <w:rsid w:val="242B03F0"/>
    <w:rsid w:val="242D23BA"/>
    <w:rsid w:val="242E1C8E"/>
    <w:rsid w:val="24303C58"/>
    <w:rsid w:val="243472A5"/>
    <w:rsid w:val="24350BEC"/>
    <w:rsid w:val="2435301D"/>
    <w:rsid w:val="24376D95"/>
    <w:rsid w:val="243A0633"/>
    <w:rsid w:val="243C084F"/>
    <w:rsid w:val="243C1B70"/>
    <w:rsid w:val="243E0123"/>
    <w:rsid w:val="244020ED"/>
    <w:rsid w:val="24431BDE"/>
    <w:rsid w:val="24434087"/>
    <w:rsid w:val="244514B2"/>
    <w:rsid w:val="24466FD8"/>
    <w:rsid w:val="244A6AC8"/>
    <w:rsid w:val="244C5ECA"/>
    <w:rsid w:val="244D65B8"/>
    <w:rsid w:val="245142FB"/>
    <w:rsid w:val="245375B0"/>
    <w:rsid w:val="24545B99"/>
    <w:rsid w:val="245A4A6F"/>
    <w:rsid w:val="245C67FB"/>
    <w:rsid w:val="245F009A"/>
    <w:rsid w:val="24600C0F"/>
    <w:rsid w:val="24642C0A"/>
    <w:rsid w:val="246A0F18"/>
    <w:rsid w:val="246B4C91"/>
    <w:rsid w:val="246B6A3F"/>
    <w:rsid w:val="246C2EE2"/>
    <w:rsid w:val="246D27B7"/>
    <w:rsid w:val="246D6C5B"/>
    <w:rsid w:val="246F652F"/>
    <w:rsid w:val="247022A7"/>
    <w:rsid w:val="24743B45"/>
    <w:rsid w:val="247578BD"/>
    <w:rsid w:val="24771887"/>
    <w:rsid w:val="247C6E9E"/>
    <w:rsid w:val="248024EA"/>
    <w:rsid w:val="2481624A"/>
    <w:rsid w:val="248D10AB"/>
    <w:rsid w:val="248D2E59"/>
    <w:rsid w:val="249035C8"/>
    <w:rsid w:val="24912949"/>
    <w:rsid w:val="2492046F"/>
    <w:rsid w:val="24975A86"/>
    <w:rsid w:val="24977834"/>
    <w:rsid w:val="249C309C"/>
    <w:rsid w:val="249E5066"/>
    <w:rsid w:val="24A02B8C"/>
    <w:rsid w:val="24A26904"/>
    <w:rsid w:val="24A3442A"/>
    <w:rsid w:val="24A501A2"/>
    <w:rsid w:val="24A563F4"/>
    <w:rsid w:val="24A85EE5"/>
    <w:rsid w:val="24AF1021"/>
    <w:rsid w:val="24AF4B7D"/>
    <w:rsid w:val="24B108F5"/>
    <w:rsid w:val="24B22173"/>
    <w:rsid w:val="24B228BF"/>
    <w:rsid w:val="24B46637"/>
    <w:rsid w:val="24B77ED6"/>
    <w:rsid w:val="24B959FC"/>
    <w:rsid w:val="24B95AD9"/>
    <w:rsid w:val="24BB79C6"/>
    <w:rsid w:val="24BC729A"/>
    <w:rsid w:val="24BE24DA"/>
    <w:rsid w:val="24C818E6"/>
    <w:rsid w:val="24CF5825"/>
    <w:rsid w:val="24D41B53"/>
    <w:rsid w:val="24D663E6"/>
    <w:rsid w:val="24D77F2B"/>
    <w:rsid w:val="24D942F0"/>
    <w:rsid w:val="24DB3BC4"/>
    <w:rsid w:val="24E231A5"/>
    <w:rsid w:val="24E24F53"/>
    <w:rsid w:val="24E46F1D"/>
    <w:rsid w:val="24EA2059"/>
    <w:rsid w:val="24EF141E"/>
    <w:rsid w:val="24F42ED8"/>
    <w:rsid w:val="24F44C86"/>
    <w:rsid w:val="24F84776"/>
    <w:rsid w:val="24F9229C"/>
    <w:rsid w:val="24FB6014"/>
    <w:rsid w:val="25070E5D"/>
    <w:rsid w:val="250749B9"/>
    <w:rsid w:val="25076767"/>
    <w:rsid w:val="251946ED"/>
    <w:rsid w:val="2519649B"/>
    <w:rsid w:val="25237319"/>
    <w:rsid w:val="25270BB7"/>
    <w:rsid w:val="2527505B"/>
    <w:rsid w:val="252F0BF9"/>
    <w:rsid w:val="25300011"/>
    <w:rsid w:val="25311A36"/>
    <w:rsid w:val="25331C52"/>
    <w:rsid w:val="2536529E"/>
    <w:rsid w:val="253D662D"/>
    <w:rsid w:val="253F05F7"/>
    <w:rsid w:val="25461985"/>
    <w:rsid w:val="254A0A3E"/>
    <w:rsid w:val="254A5C25"/>
    <w:rsid w:val="2551032A"/>
    <w:rsid w:val="25551BC9"/>
    <w:rsid w:val="255676EF"/>
    <w:rsid w:val="255D0A7D"/>
    <w:rsid w:val="255F47F5"/>
    <w:rsid w:val="25627E42"/>
    <w:rsid w:val="256516E0"/>
    <w:rsid w:val="256736AA"/>
    <w:rsid w:val="256C6F12"/>
    <w:rsid w:val="25710085"/>
    <w:rsid w:val="257302A1"/>
    <w:rsid w:val="257B7155"/>
    <w:rsid w:val="257C53A7"/>
    <w:rsid w:val="257F6C45"/>
    <w:rsid w:val="2584425C"/>
    <w:rsid w:val="25893620"/>
    <w:rsid w:val="25897AC4"/>
    <w:rsid w:val="258B00E2"/>
    <w:rsid w:val="258B7398"/>
    <w:rsid w:val="258C1362"/>
    <w:rsid w:val="258D13DD"/>
    <w:rsid w:val="259A3A7F"/>
    <w:rsid w:val="25A917A6"/>
    <w:rsid w:val="25AB7A3A"/>
    <w:rsid w:val="25AD0C5F"/>
    <w:rsid w:val="25B10B02"/>
    <w:rsid w:val="25BE27CC"/>
    <w:rsid w:val="25C24D84"/>
    <w:rsid w:val="25C32FD6"/>
    <w:rsid w:val="25CA57D2"/>
    <w:rsid w:val="25CC6FFB"/>
    <w:rsid w:val="25D043BC"/>
    <w:rsid w:val="25D24FC7"/>
    <w:rsid w:val="25D30673"/>
    <w:rsid w:val="25D86356"/>
    <w:rsid w:val="25D93D01"/>
    <w:rsid w:val="25DA20CE"/>
    <w:rsid w:val="25DA3E7C"/>
    <w:rsid w:val="25E20F82"/>
    <w:rsid w:val="25E92311"/>
    <w:rsid w:val="25EC3BAF"/>
    <w:rsid w:val="25ED0053"/>
    <w:rsid w:val="25F2465F"/>
    <w:rsid w:val="25F25669"/>
    <w:rsid w:val="25F5515A"/>
    <w:rsid w:val="25F56F08"/>
    <w:rsid w:val="25F74A2E"/>
    <w:rsid w:val="25F74A5C"/>
    <w:rsid w:val="25F86F0C"/>
    <w:rsid w:val="25F948BA"/>
    <w:rsid w:val="25FC2044"/>
    <w:rsid w:val="25FD5DBC"/>
    <w:rsid w:val="25FF1B34"/>
    <w:rsid w:val="26031625"/>
    <w:rsid w:val="2604539D"/>
    <w:rsid w:val="260B5A15"/>
    <w:rsid w:val="260D178D"/>
    <w:rsid w:val="260E3B25"/>
    <w:rsid w:val="260F0975"/>
    <w:rsid w:val="261255FF"/>
    <w:rsid w:val="261C4494"/>
    <w:rsid w:val="261F21D6"/>
    <w:rsid w:val="261F3F85"/>
    <w:rsid w:val="261F5D33"/>
    <w:rsid w:val="26235823"/>
    <w:rsid w:val="26265313"/>
    <w:rsid w:val="26282E39"/>
    <w:rsid w:val="2628662C"/>
    <w:rsid w:val="262B0B7B"/>
    <w:rsid w:val="262B2929"/>
    <w:rsid w:val="262D45DE"/>
    <w:rsid w:val="263C4B36"/>
    <w:rsid w:val="26404627"/>
    <w:rsid w:val="26415CA9"/>
    <w:rsid w:val="26435EC5"/>
    <w:rsid w:val="26485289"/>
    <w:rsid w:val="264E03C6"/>
    <w:rsid w:val="26541E80"/>
    <w:rsid w:val="26583EBF"/>
    <w:rsid w:val="265C6F87"/>
    <w:rsid w:val="2661459D"/>
    <w:rsid w:val="26630315"/>
    <w:rsid w:val="2668592C"/>
    <w:rsid w:val="266D4CF0"/>
    <w:rsid w:val="26742C26"/>
    <w:rsid w:val="26753BA5"/>
    <w:rsid w:val="267A11BB"/>
    <w:rsid w:val="267C13D7"/>
    <w:rsid w:val="267C2AE1"/>
    <w:rsid w:val="267C3185"/>
    <w:rsid w:val="267F1AAF"/>
    <w:rsid w:val="2685028B"/>
    <w:rsid w:val="26871DC8"/>
    <w:rsid w:val="268A3AF4"/>
    <w:rsid w:val="268B161A"/>
    <w:rsid w:val="268C786C"/>
    <w:rsid w:val="26906C30"/>
    <w:rsid w:val="26920BFA"/>
    <w:rsid w:val="26926505"/>
    <w:rsid w:val="26946721"/>
    <w:rsid w:val="26955FF5"/>
    <w:rsid w:val="26997893"/>
    <w:rsid w:val="269B7AAF"/>
    <w:rsid w:val="269C7383"/>
    <w:rsid w:val="269D5FE9"/>
    <w:rsid w:val="26A050C5"/>
    <w:rsid w:val="26A06E73"/>
    <w:rsid w:val="26A30EAA"/>
    <w:rsid w:val="26A5092E"/>
    <w:rsid w:val="26A53EF9"/>
    <w:rsid w:val="26A94201"/>
    <w:rsid w:val="26AC274F"/>
    <w:rsid w:val="26AC3A6A"/>
    <w:rsid w:val="26B20955"/>
    <w:rsid w:val="26B24DF9"/>
    <w:rsid w:val="26B27B4D"/>
    <w:rsid w:val="26B30AF0"/>
    <w:rsid w:val="26B97F35"/>
    <w:rsid w:val="26BB5A5B"/>
    <w:rsid w:val="26BC17D3"/>
    <w:rsid w:val="26BD5C77"/>
    <w:rsid w:val="26C07516"/>
    <w:rsid w:val="26C863CA"/>
    <w:rsid w:val="26CB6C26"/>
    <w:rsid w:val="26D11723"/>
    <w:rsid w:val="26D1527F"/>
    <w:rsid w:val="26DD00C8"/>
    <w:rsid w:val="26E03714"/>
    <w:rsid w:val="26E05CFA"/>
    <w:rsid w:val="26E66850"/>
    <w:rsid w:val="26E74AA2"/>
    <w:rsid w:val="26EA00EF"/>
    <w:rsid w:val="26EC030B"/>
    <w:rsid w:val="26ED2F58"/>
    <w:rsid w:val="26ED7BDF"/>
    <w:rsid w:val="26EE4083"/>
    <w:rsid w:val="26EF7DFB"/>
    <w:rsid w:val="26F1147D"/>
    <w:rsid w:val="26F176CF"/>
    <w:rsid w:val="27021D65"/>
    <w:rsid w:val="27032D56"/>
    <w:rsid w:val="27044A29"/>
    <w:rsid w:val="270513CC"/>
    <w:rsid w:val="27085738"/>
    <w:rsid w:val="270C4509"/>
    <w:rsid w:val="270D0281"/>
    <w:rsid w:val="27174C5C"/>
    <w:rsid w:val="27196C26"/>
    <w:rsid w:val="271B0BF0"/>
    <w:rsid w:val="271B474C"/>
    <w:rsid w:val="271D34C8"/>
    <w:rsid w:val="27207725"/>
    <w:rsid w:val="27223D2C"/>
    <w:rsid w:val="27226242"/>
    <w:rsid w:val="27231852"/>
    <w:rsid w:val="27242053"/>
    <w:rsid w:val="272C4BAB"/>
    <w:rsid w:val="272F01F7"/>
    <w:rsid w:val="27361586"/>
    <w:rsid w:val="27363AB4"/>
    <w:rsid w:val="273852FE"/>
    <w:rsid w:val="273870AC"/>
    <w:rsid w:val="273B4DEE"/>
    <w:rsid w:val="273D46C2"/>
    <w:rsid w:val="274041B2"/>
    <w:rsid w:val="274057F2"/>
    <w:rsid w:val="27421CD9"/>
    <w:rsid w:val="27433CA3"/>
    <w:rsid w:val="27455C6D"/>
    <w:rsid w:val="274F0899"/>
    <w:rsid w:val="27533EE6"/>
    <w:rsid w:val="27545EB0"/>
    <w:rsid w:val="2759240E"/>
    <w:rsid w:val="27595274"/>
    <w:rsid w:val="275B0FEC"/>
    <w:rsid w:val="275D2FB6"/>
    <w:rsid w:val="276142BF"/>
    <w:rsid w:val="276205CD"/>
    <w:rsid w:val="27623589"/>
    <w:rsid w:val="27624129"/>
    <w:rsid w:val="27653C19"/>
    <w:rsid w:val="27673E35"/>
    <w:rsid w:val="276F4A98"/>
    <w:rsid w:val="277327DA"/>
    <w:rsid w:val="277420AE"/>
    <w:rsid w:val="27743E5C"/>
    <w:rsid w:val="27764078"/>
    <w:rsid w:val="27783712"/>
    <w:rsid w:val="2778394C"/>
    <w:rsid w:val="277A3B68"/>
    <w:rsid w:val="277B168E"/>
    <w:rsid w:val="27800A53"/>
    <w:rsid w:val="27846795"/>
    <w:rsid w:val="2787454B"/>
    <w:rsid w:val="278F3C1E"/>
    <w:rsid w:val="27907362"/>
    <w:rsid w:val="27910EB2"/>
    <w:rsid w:val="27934C2A"/>
    <w:rsid w:val="279462AC"/>
    <w:rsid w:val="27960276"/>
    <w:rsid w:val="27962024"/>
    <w:rsid w:val="27982240"/>
    <w:rsid w:val="279A1B15"/>
    <w:rsid w:val="27A02EA3"/>
    <w:rsid w:val="27A42993"/>
    <w:rsid w:val="27A60A1A"/>
    <w:rsid w:val="27A75FE0"/>
    <w:rsid w:val="27A91D58"/>
    <w:rsid w:val="27A9467E"/>
    <w:rsid w:val="27AC35F6"/>
    <w:rsid w:val="27AC7A9A"/>
    <w:rsid w:val="27B150B0"/>
    <w:rsid w:val="27B30E28"/>
    <w:rsid w:val="27B506FD"/>
    <w:rsid w:val="27B626C7"/>
    <w:rsid w:val="27B64475"/>
    <w:rsid w:val="27B70919"/>
    <w:rsid w:val="27BD1CA7"/>
    <w:rsid w:val="27BD5803"/>
    <w:rsid w:val="27BF77CD"/>
    <w:rsid w:val="27C16A75"/>
    <w:rsid w:val="27CB2730"/>
    <w:rsid w:val="27CC1EEA"/>
    <w:rsid w:val="27D05536"/>
    <w:rsid w:val="27D112AE"/>
    <w:rsid w:val="27D33279"/>
    <w:rsid w:val="27D72D69"/>
    <w:rsid w:val="27DD40F7"/>
    <w:rsid w:val="27DF1C1D"/>
    <w:rsid w:val="27E50DCB"/>
    <w:rsid w:val="27E72880"/>
    <w:rsid w:val="27E83399"/>
    <w:rsid w:val="27E86D24"/>
    <w:rsid w:val="27EC7E96"/>
    <w:rsid w:val="27EE1E60"/>
    <w:rsid w:val="27F31265"/>
    <w:rsid w:val="27F82CDF"/>
    <w:rsid w:val="27FF3CC4"/>
    <w:rsid w:val="280451E0"/>
    <w:rsid w:val="280653FC"/>
    <w:rsid w:val="280B656E"/>
    <w:rsid w:val="280C22E7"/>
    <w:rsid w:val="280E42B1"/>
    <w:rsid w:val="281079D4"/>
    <w:rsid w:val="28173165"/>
    <w:rsid w:val="28177609"/>
    <w:rsid w:val="28186EDD"/>
    <w:rsid w:val="281A3657"/>
    <w:rsid w:val="281D62A2"/>
    <w:rsid w:val="281F64BE"/>
    <w:rsid w:val="282615FA"/>
    <w:rsid w:val="282B09BF"/>
    <w:rsid w:val="282D2989"/>
    <w:rsid w:val="28305FD5"/>
    <w:rsid w:val="28325AF1"/>
    <w:rsid w:val="28333E1D"/>
    <w:rsid w:val="28355CE1"/>
    <w:rsid w:val="2838132E"/>
    <w:rsid w:val="283830DC"/>
    <w:rsid w:val="283D6944"/>
    <w:rsid w:val="28416434"/>
    <w:rsid w:val="28425D08"/>
    <w:rsid w:val="2845437F"/>
    <w:rsid w:val="28454BD6"/>
    <w:rsid w:val="28455253"/>
    <w:rsid w:val="28463A4A"/>
    <w:rsid w:val="284952E9"/>
    <w:rsid w:val="284D6B87"/>
    <w:rsid w:val="285048C9"/>
    <w:rsid w:val="28546167"/>
    <w:rsid w:val="28550131"/>
    <w:rsid w:val="28551971"/>
    <w:rsid w:val="285735F9"/>
    <w:rsid w:val="28577A06"/>
    <w:rsid w:val="285A5748"/>
    <w:rsid w:val="285B1C53"/>
    <w:rsid w:val="285C501C"/>
    <w:rsid w:val="28610884"/>
    <w:rsid w:val="286F11F3"/>
    <w:rsid w:val="286F2FA1"/>
    <w:rsid w:val="2874680A"/>
    <w:rsid w:val="287560DE"/>
    <w:rsid w:val="28771E56"/>
    <w:rsid w:val="287A36F4"/>
    <w:rsid w:val="287F6F5C"/>
    <w:rsid w:val="28844573"/>
    <w:rsid w:val="2886653D"/>
    <w:rsid w:val="288822B5"/>
    <w:rsid w:val="288A7DDB"/>
    <w:rsid w:val="288D78CB"/>
    <w:rsid w:val="28942A08"/>
    <w:rsid w:val="28943FB7"/>
    <w:rsid w:val="289447B6"/>
    <w:rsid w:val="28956780"/>
    <w:rsid w:val="28996270"/>
    <w:rsid w:val="289B1FE8"/>
    <w:rsid w:val="289E3886"/>
    <w:rsid w:val="289F7086"/>
    <w:rsid w:val="28A013AD"/>
    <w:rsid w:val="28A075FF"/>
    <w:rsid w:val="28A15125"/>
    <w:rsid w:val="28A40771"/>
    <w:rsid w:val="28A6098D"/>
    <w:rsid w:val="28A95D87"/>
    <w:rsid w:val="28B44E58"/>
    <w:rsid w:val="28B5297E"/>
    <w:rsid w:val="28B60BD0"/>
    <w:rsid w:val="28BA1D43"/>
    <w:rsid w:val="28C24938"/>
    <w:rsid w:val="28C32028"/>
    <w:rsid w:val="28C332ED"/>
    <w:rsid w:val="28C834C5"/>
    <w:rsid w:val="28CC490F"/>
    <w:rsid w:val="28CF1C92"/>
    <w:rsid w:val="28CF3A40"/>
    <w:rsid w:val="28D15A0A"/>
    <w:rsid w:val="28D41056"/>
    <w:rsid w:val="28D76D98"/>
    <w:rsid w:val="28D92B11"/>
    <w:rsid w:val="28D948BF"/>
    <w:rsid w:val="28D9666D"/>
    <w:rsid w:val="28DC615D"/>
    <w:rsid w:val="28DC7F0B"/>
    <w:rsid w:val="28DE40AA"/>
    <w:rsid w:val="28F2772E"/>
    <w:rsid w:val="28F416F8"/>
    <w:rsid w:val="28F6721F"/>
    <w:rsid w:val="28F72F97"/>
    <w:rsid w:val="28F76E61"/>
    <w:rsid w:val="28F90ABD"/>
    <w:rsid w:val="28FB65E3"/>
    <w:rsid w:val="28FC05AD"/>
    <w:rsid w:val="29023E15"/>
    <w:rsid w:val="2903193C"/>
    <w:rsid w:val="2907142C"/>
    <w:rsid w:val="290822BE"/>
    <w:rsid w:val="290D27BA"/>
    <w:rsid w:val="290D4568"/>
    <w:rsid w:val="29114058"/>
    <w:rsid w:val="2912392D"/>
    <w:rsid w:val="291678C1"/>
    <w:rsid w:val="29177195"/>
    <w:rsid w:val="2919115F"/>
    <w:rsid w:val="291D29FD"/>
    <w:rsid w:val="291E0523"/>
    <w:rsid w:val="292024ED"/>
    <w:rsid w:val="29215BA4"/>
    <w:rsid w:val="292D0766"/>
    <w:rsid w:val="29310257"/>
    <w:rsid w:val="2934401A"/>
    <w:rsid w:val="29345E77"/>
    <w:rsid w:val="293715E5"/>
    <w:rsid w:val="293B10D5"/>
    <w:rsid w:val="293D309F"/>
    <w:rsid w:val="294066EC"/>
    <w:rsid w:val="29455AB0"/>
    <w:rsid w:val="29475CCC"/>
    <w:rsid w:val="294A1318"/>
    <w:rsid w:val="294C1A51"/>
    <w:rsid w:val="294C65AD"/>
    <w:rsid w:val="295403E9"/>
    <w:rsid w:val="2955549A"/>
    <w:rsid w:val="29583A35"/>
    <w:rsid w:val="295B1778"/>
    <w:rsid w:val="295E4DC4"/>
    <w:rsid w:val="29606D8E"/>
    <w:rsid w:val="2964062C"/>
    <w:rsid w:val="296C5733"/>
    <w:rsid w:val="29712D49"/>
    <w:rsid w:val="2976035F"/>
    <w:rsid w:val="29763EBB"/>
    <w:rsid w:val="297B506E"/>
    <w:rsid w:val="29804E7F"/>
    <w:rsid w:val="29806583"/>
    <w:rsid w:val="29862181"/>
    <w:rsid w:val="298962E5"/>
    <w:rsid w:val="298A3E0B"/>
    <w:rsid w:val="298A5BB9"/>
    <w:rsid w:val="298B3C4C"/>
    <w:rsid w:val="298E38FB"/>
    <w:rsid w:val="298E7457"/>
    <w:rsid w:val="29930F11"/>
    <w:rsid w:val="299627B0"/>
    <w:rsid w:val="299802D6"/>
    <w:rsid w:val="29982084"/>
    <w:rsid w:val="29995DFC"/>
    <w:rsid w:val="299D58EC"/>
    <w:rsid w:val="29A053DC"/>
    <w:rsid w:val="29A7676B"/>
    <w:rsid w:val="29AE5D4B"/>
    <w:rsid w:val="29AF73CD"/>
    <w:rsid w:val="29B570DA"/>
    <w:rsid w:val="29B80978"/>
    <w:rsid w:val="29BD6562"/>
    <w:rsid w:val="29C235A5"/>
    <w:rsid w:val="29C70BBB"/>
    <w:rsid w:val="29C72969"/>
    <w:rsid w:val="29CB06AB"/>
    <w:rsid w:val="29CB65D2"/>
    <w:rsid w:val="29D07A70"/>
    <w:rsid w:val="29D11A3A"/>
    <w:rsid w:val="29D15596"/>
    <w:rsid w:val="29D532D8"/>
    <w:rsid w:val="29DA08EE"/>
    <w:rsid w:val="29DD218D"/>
    <w:rsid w:val="29E277A3"/>
    <w:rsid w:val="29E452C9"/>
    <w:rsid w:val="29E96D83"/>
    <w:rsid w:val="29EA6657"/>
    <w:rsid w:val="29EB2AFB"/>
    <w:rsid w:val="29F15C38"/>
    <w:rsid w:val="29F26D24"/>
    <w:rsid w:val="29FA2D3E"/>
    <w:rsid w:val="2A021BF3"/>
    <w:rsid w:val="2A04596B"/>
    <w:rsid w:val="2A063491"/>
    <w:rsid w:val="2A07545B"/>
    <w:rsid w:val="2A077678"/>
    <w:rsid w:val="2A0B4F4C"/>
    <w:rsid w:val="2A0C4820"/>
    <w:rsid w:val="2A0D6C0A"/>
    <w:rsid w:val="2A0E0598"/>
    <w:rsid w:val="2A110088"/>
    <w:rsid w:val="2A15033F"/>
    <w:rsid w:val="2A157B78"/>
    <w:rsid w:val="2A1662C1"/>
    <w:rsid w:val="2A1831C5"/>
    <w:rsid w:val="2A1C2CB5"/>
    <w:rsid w:val="2A1C7367"/>
    <w:rsid w:val="2A1D4C7F"/>
    <w:rsid w:val="2A202079"/>
    <w:rsid w:val="2A21651D"/>
    <w:rsid w:val="2A24600D"/>
    <w:rsid w:val="2A2815FA"/>
    <w:rsid w:val="2A2C0A1E"/>
    <w:rsid w:val="2A306760"/>
    <w:rsid w:val="2A32072A"/>
    <w:rsid w:val="2A336250"/>
    <w:rsid w:val="2A383867"/>
    <w:rsid w:val="2A391AB9"/>
    <w:rsid w:val="2A3A138D"/>
    <w:rsid w:val="2A3E0BD6"/>
    <w:rsid w:val="2A3F69A3"/>
    <w:rsid w:val="2A44220C"/>
    <w:rsid w:val="2A461AE0"/>
    <w:rsid w:val="2A467D32"/>
    <w:rsid w:val="2A4F6683"/>
    <w:rsid w:val="2A510485"/>
    <w:rsid w:val="2A524929"/>
    <w:rsid w:val="2A552F76"/>
    <w:rsid w:val="2A557F75"/>
    <w:rsid w:val="2A56543D"/>
    <w:rsid w:val="2A585CB7"/>
    <w:rsid w:val="2A5C57A7"/>
    <w:rsid w:val="2A5E151F"/>
    <w:rsid w:val="2A5F2BA2"/>
    <w:rsid w:val="2A5F7045"/>
    <w:rsid w:val="2A622692"/>
    <w:rsid w:val="2A6401B8"/>
    <w:rsid w:val="2A6428AE"/>
    <w:rsid w:val="2A6428F1"/>
    <w:rsid w:val="2A677CA8"/>
    <w:rsid w:val="2A681272"/>
    <w:rsid w:val="2A691C72"/>
    <w:rsid w:val="2A6B7798"/>
    <w:rsid w:val="2A6D3510"/>
    <w:rsid w:val="2A6D6092"/>
    <w:rsid w:val="2A704DAF"/>
    <w:rsid w:val="2A7228D5"/>
    <w:rsid w:val="2A73489F"/>
    <w:rsid w:val="2A7523C5"/>
    <w:rsid w:val="2A77438F"/>
    <w:rsid w:val="2A7D127A"/>
    <w:rsid w:val="2A7D76B4"/>
    <w:rsid w:val="2A816FBC"/>
    <w:rsid w:val="2A834AE2"/>
    <w:rsid w:val="2A842608"/>
    <w:rsid w:val="2A862824"/>
    <w:rsid w:val="2A8E16D9"/>
    <w:rsid w:val="2A930540"/>
    <w:rsid w:val="2A9A62D0"/>
    <w:rsid w:val="2A9C2048"/>
    <w:rsid w:val="2AA1140C"/>
    <w:rsid w:val="2AA1765E"/>
    <w:rsid w:val="2AA23EE1"/>
    <w:rsid w:val="2AA35184"/>
    <w:rsid w:val="2AA50EFC"/>
    <w:rsid w:val="2AAA4765"/>
    <w:rsid w:val="2AB07A68"/>
    <w:rsid w:val="2AB90504"/>
    <w:rsid w:val="2AB949A8"/>
    <w:rsid w:val="2ABC1DA2"/>
    <w:rsid w:val="2ABE1FBE"/>
    <w:rsid w:val="2AC670C5"/>
    <w:rsid w:val="2ACA0963"/>
    <w:rsid w:val="2ACB6489"/>
    <w:rsid w:val="2ACD3FAF"/>
    <w:rsid w:val="2AD92954"/>
    <w:rsid w:val="2ADC686D"/>
    <w:rsid w:val="2AF94DA4"/>
    <w:rsid w:val="2AFB4FC0"/>
    <w:rsid w:val="2B0025D7"/>
    <w:rsid w:val="2B004385"/>
    <w:rsid w:val="2B006E0D"/>
    <w:rsid w:val="2B033E75"/>
    <w:rsid w:val="2B0379D1"/>
    <w:rsid w:val="2B052A32"/>
    <w:rsid w:val="2B0C0F7B"/>
    <w:rsid w:val="2B0D17D7"/>
    <w:rsid w:val="2B0F281A"/>
    <w:rsid w:val="2B0F6376"/>
    <w:rsid w:val="2B12230A"/>
    <w:rsid w:val="2B125E66"/>
    <w:rsid w:val="2B163BA8"/>
    <w:rsid w:val="2B1A4D1A"/>
    <w:rsid w:val="2B1C0A93"/>
    <w:rsid w:val="2B1C4F36"/>
    <w:rsid w:val="2B1E0CAF"/>
    <w:rsid w:val="2B1E2A5D"/>
    <w:rsid w:val="2B22254D"/>
    <w:rsid w:val="2B233137"/>
    <w:rsid w:val="2B253DEB"/>
    <w:rsid w:val="2B255B99"/>
    <w:rsid w:val="2B2838DB"/>
    <w:rsid w:val="2B32374C"/>
    <w:rsid w:val="2B3B360F"/>
    <w:rsid w:val="2B3B53BD"/>
    <w:rsid w:val="2B3B716B"/>
    <w:rsid w:val="2B3E7E69"/>
    <w:rsid w:val="2B404781"/>
    <w:rsid w:val="2B406E77"/>
    <w:rsid w:val="2B410523"/>
    <w:rsid w:val="2B430715"/>
    <w:rsid w:val="2B437463"/>
    <w:rsid w:val="2B43759F"/>
    <w:rsid w:val="2B471FB3"/>
    <w:rsid w:val="2B487ADA"/>
    <w:rsid w:val="2B514BE0"/>
    <w:rsid w:val="2B5621F6"/>
    <w:rsid w:val="2B585F6F"/>
    <w:rsid w:val="2B595843"/>
    <w:rsid w:val="2B5B15BB"/>
    <w:rsid w:val="2B5B780D"/>
    <w:rsid w:val="2B65243A"/>
    <w:rsid w:val="2B681F2A"/>
    <w:rsid w:val="2B6B6B67"/>
    <w:rsid w:val="2B6C1A1A"/>
    <w:rsid w:val="2B6C5576"/>
    <w:rsid w:val="2B6D7540"/>
    <w:rsid w:val="2B6E5792"/>
    <w:rsid w:val="2B6F5066"/>
    <w:rsid w:val="2B703976"/>
    <w:rsid w:val="2B724B56"/>
    <w:rsid w:val="2B732DA8"/>
    <w:rsid w:val="2B7661DC"/>
    <w:rsid w:val="2B7807EE"/>
    <w:rsid w:val="2B795EE5"/>
    <w:rsid w:val="2B7B7EAF"/>
    <w:rsid w:val="2B7E52A9"/>
    <w:rsid w:val="2B7F799F"/>
    <w:rsid w:val="2B822FEC"/>
    <w:rsid w:val="2B852ADC"/>
    <w:rsid w:val="2B856638"/>
    <w:rsid w:val="2B870602"/>
    <w:rsid w:val="2B8925CC"/>
    <w:rsid w:val="2B8C79C6"/>
    <w:rsid w:val="2B8F74B6"/>
    <w:rsid w:val="2B937144"/>
    <w:rsid w:val="2B96153B"/>
    <w:rsid w:val="2B9B0962"/>
    <w:rsid w:val="2B9D1BD3"/>
    <w:rsid w:val="2B9D7E25"/>
    <w:rsid w:val="2B9E085C"/>
    <w:rsid w:val="2BA03472"/>
    <w:rsid w:val="2BA32F62"/>
    <w:rsid w:val="2BA50BF7"/>
    <w:rsid w:val="2BA54F2C"/>
    <w:rsid w:val="2BA74800"/>
    <w:rsid w:val="2BA80578"/>
    <w:rsid w:val="2BAC4EA2"/>
    <w:rsid w:val="2BAD01D4"/>
    <w:rsid w:val="2BAE3DE1"/>
    <w:rsid w:val="2BB1567F"/>
    <w:rsid w:val="2BB221A4"/>
    <w:rsid w:val="2BBF00EC"/>
    <w:rsid w:val="2BC14B51"/>
    <w:rsid w:val="2BC37160"/>
    <w:rsid w:val="2BC37CFD"/>
    <w:rsid w:val="2BC5112A"/>
    <w:rsid w:val="2BC52ED8"/>
    <w:rsid w:val="2BC90C1A"/>
    <w:rsid w:val="2BCA4992"/>
    <w:rsid w:val="2BD33847"/>
    <w:rsid w:val="2BD5237F"/>
    <w:rsid w:val="2BDB34DD"/>
    <w:rsid w:val="2BDD6474"/>
    <w:rsid w:val="2BDE5160"/>
    <w:rsid w:val="2BE45A54"/>
    <w:rsid w:val="2BE5357A"/>
    <w:rsid w:val="2BE536CE"/>
    <w:rsid w:val="2BE710A1"/>
    <w:rsid w:val="2BE758D9"/>
    <w:rsid w:val="2BEC2335"/>
    <w:rsid w:val="2BEF7F55"/>
    <w:rsid w:val="2BF346BB"/>
    <w:rsid w:val="2BF612E4"/>
    <w:rsid w:val="2C0003B4"/>
    <w:rsid w:val="2C02412C"/>
    <w:rsid w:val="2C0559CB"/>
    <w:rsid w:val="2C063C1D"/>
    <w:rsid w:val="2C0734F1"/>
    <w:rsid w:val="2C077995"/>
    <w:rsid w:val="2C09049E"/>
    <w:rsid w:val="2C097269"/>
    <w:rsid w:val="2C0A653C"/>
    <w:rsid w:val="2C0C6D59"/>
    <w:rsid w:val="2C0E2AD1"/>
    <w:rsid w:val="2C1125C1"/>
    <w:rsid w:val="2C191F85"/>
    <w:rsid w:val="2C1D0F66"/>
    <w:rsid w:val="2C22657D"/>
    <w:rsid w:val="2C26606D"/>
    <w:rsid w:val="2C2B5431"/>
    <w:rsid w:val="2C2C11A9"/>
    <w:rsid w:val="2C2C2F57"/>
    <w:rsid w:val="2C2E0A7D"/>
    <w:rsid w:val="2C2E4F21"/>
    <w:rsid w:val="2C31056E"/>
    <w:rsid w:val="2C315FBD"/>
    <w:rsid w:val="2C35005E"/>
    <w:rsid w:val="2C3562B0"/>
    <w:rsid w:val="2C365B84"/>
    <w:rsid w:val="2C380380"/>
    <w:rsid w:val="2C3A1B18"/>
    <w:rsid w:val="2C3B1B1B"/>
    <w:rsid w:val="2C3D33B6"/>
    <w:rsid w:val="2C3D6F12"/>
    <w:rsid w:val="2C3F0EDD"/>
    <w:rsid w:val="2C424529"/>
    <w:rsid w:val="2C4402A1"/>
    <w:rsid w:val="2C4C53A8"/>
    <w:rsid w:val="2C5030EA"/>
    <w:rsid w:val="2C504E98"/>
    <w:rsid w:val="2C532BDA"/>
    <w:rsid w:val="2C5508C3"/>
    <w:rsid w:val="2C576226"/>
    <w:rsid w:val="2C5801F0"/>
    <w:rsid w:val="2C583D4C"/>
    <w:rsid w:val="2C5867E5"/>
    <w:rsid w:val="2C5A1872"/>
    <w:rsid w:val="2C5A3F68"/>
    <w:rsid w:val="2C610E53"/>
    <w:rsid w:val="2C6D3C9C"/>
    <w:rsid w:val="2C6E3570"/>
    <w:rsid w:val="2C736DD8"/>
    <w:rsid w:val="2C7548FE"/>
    <w:rsid w:val="2C772424"/>
    <w:rsid w:val="2C781ABD"/>
    <w:rsid w:val="2C7A1F15"/>
    <w:rsid w:val="2C7F577D"/>
    <w:rsid w:val="2C82701B"/>
    <w:rsid w:val="2C8B2374"/>
    <w:rsid w:val="2C8C7F23"/>
    <w:rsid w:val="2C8E2619"/>
    <w:rsid w:val="2C923702"/>
    <w:rsid w:val="2C931228"/>
    <w:rsid w:val="2C950AFD"/>
    <w:rsid w:val="2C972AC7"/>
    <w:rsid w:val="2CA60F5C"/>
    <w:rsid w:val="2CAA48B6"/>
    <w:rsid w:val="2CB0732E"/>
    <w:rsid w:val="2CB43679"/>
    <w:rsid w:val="2CB4743D"/>
    <w:rsid w:val="2CB5119F"/>
    <w:rsid w:val="2CB74F17"/>
    <w:rsid w:val="2CB82A3D"/>
    <w:rsid w:val="2CBF5B79"/>
    <w:rsid w:val="2CC47634"/>
    <w:rsid w:val="2CCB09C2"/>
    <w:rsid w:val="2CCB2770"/>
    <w:rsid w:val="2CD02F96"/>
    <w:rsid w:val="2CD47877"/>
    <w:rsid w:val="2CD94E8D"/>
    <w:rsid w:val="2CE43832"/>
    <w:rsid w:val="2CE82D6F"/>
    <w:rsid w:val="2CEE645F"/>
    <w:rsid w:val="2CF00429"/>
    <w:rsid w:val="2CF577ED"/>
    <w:rsid w:val="2CFA4E04"/>
    <w:rsid w:val="2CFB12A7"/>
    <w:rsid w:val="2D0363AE"/>
    <w:rsid w:val="2D053ED4"/>
    <w:rsid w:val="2D0637A8"/>
    <w:rsid w:val="2D067C4C"/>
    <w:rsid w:val="2D0839C4"/>
    <w:rsid w:val="2D095047"/>
    <w:rsid w:val="2D0A14EA"/>
    <w:rsid w:val="2D0B0DBF"/>
    <w:rsid w:val="2D0B5263"/>
    <w:rsid w:val="2D142369"/>
    <w:rsid w:val="2D1660E1"/>
    <w:rsid w:val="2D19172E"/>
    <w:rsid w:val="2D1B03C8"/>
    <w:rsid w:val="2D1B54A6"/>
    <w:rsid w:val="2D1C121E"/>
    <w:rsid w:val="2D1C2FCC"/>
    <w:rsid w:val="2D1C7470"/>
    <w:rsid w:val="2D1E4F96"/>
    <w:rsid w:val="2D214A86"/>
    <w:rsid w:val="2D2307FE"/>
    <w:rsid w:val="2D26018D"/>
    <w:rsid w:val="2D265BF9"/>
    <w:rsid w:val="2D285FD7"/>
    <w:rsid w:val="2D306A77"/>
    <w:rsid w:val="2D343236"/>
    <w:rsid w:val="2D346567"/>
    <w:rsid w:val="2D3622E0"/>
    <w:rsid w:val="2D3B5B48"/>
    <w:rsid w:val="2D3C02EB"/>
    <w:rsid w:val="2D3C366E"/>
    <w:rsid w:val="2D3C541C"/>
    <w:rsid w:val="2D3C71CA"/>
    <w:rsid w:val="2D3E1194"/>
    <w:rsid w:val="2D410C84"/>
    <w:rsid w:val="2D4349FC"/>
    <w:rsid w:val="2D46629B"/>
    <w:rsid w:val="2D4A5D8B"/>
    <w:rsid w:val="2D4D13D7"/>
    <w:rsid w:val="2D5664DE"/>
    <w:rsid w:val="2D575011"/>
    <w:rsid w:val="2D597D7C"/>
    <w:rsid w:val="2D5E35E4"/>
    <w:rsid w:val="2D621327"/>
    <w:rsid w:val="2D621F11"/>
    <w:rsid w:val="2D652BC5"/>
    <w:rsid w:val="2D684463"/>
    <w:rsid w:val="2D686211"/>
    <w:rsid w:val="2D727090"/>
    <w:rsid w:val="2D7626DC"/>
    <w:rsid w:val="2D855015"/>
    <w:rsid w:val="2D880661"/>
    <w:rsid w:val="2D8868B3"/>
    <w:rsid w:val="2D8D5C78"/>
    <w:rsid w:val="2D8D7A26"/>
    <w:rsid w:val="2D937732"/>
    <w:rsid w:val="2D99286E"/>
    <w:rsid w:val="2D9C6103"/>
    <w:rsid w:val="2DA02DDD"/>
    <w:rsid w:val="2DA03BFD"/>
    <w:rsid w:val="2DA336ED"/>
    <w:rsid w:val="2DAA05D8"/>
    <w:rsid w:val="2DAA6FC6"/>
    <w:rsid w:val="2DAE631A"/>
    <w:rsid w:val="2DB11966"/>
    <w:rsid w:val="2DB17BB8"/>
    <w:rsid w:val="2DB84065"/>
    <w:rsid w:val="2DB9081B"/>
    <w:rsid w:val="2DBB0A37"/>
    <w:rsid w:val="2DBE4083"/>
    <w:rsid w:val="2DC07DFB"/>
    <w:rsid w:val="2DC63881"/>
    <w:rsid w:val="2DC72F38"/>
    <w:rsid w:val="2DC93154"/>
    <w:rsid w:val="2DCC2C44"/>
    <w:rsid w:val="2DD12008"/>
    <w:rsid w:val="2DD15014"/>
    <w:rsid w:val="2DD42233"/>
    <w:rsid w:val="2DD438A6"/>
    <w:rsid w:val="2DDB4C35"/>
    <w:rsid w:val="2DE0049D"/>
    <w:rsid w:val="2DE03FF9"/>
    <w:rsid w:val="2DE57862"/>
    <w:rsid w:val="2DEC6E42"/>
    <w:rsid w:val="2DF14458"/>
    <w:rsid w:val="2DF33D2D"/>
    <w:rsid w:val="2DF52CAD"/>
    <w:rsid w:val="2DF72DE4"/>
    <w:rsid w:val="2DF829F8"/>
    <w:rsid w:val="2DF83A39"/>
    <w:rsid w:val="2DF9330D"/>
    <w:rsid w:val="2DFB52D7"/>
    <w:rsid w:val="2DFB7085"/>
    <w:rsid w:val="2DFD104F"/>
    <w:rsid w:val="2E0220AF"/>
    <w:rsid w:val="2E0221C2"/>
    <w:rsid w:val="2E073C7C"/>
    <w:rsid w:val="2E163EBF"/>
    <w:rsid w:val="2E183793"/>
    <w:rsid w:val="2E1D524D"/>
    <w:rsid w:val="2E21083A"/>
    <w:rsid w:val="2E220AB6"/>
    <w:rsid w:val="2E2503A7"/>
    <w:rsid w:val="2E2A1718"/>
    <w:rsid w:val="2E2B00ED"/>
    <w:rsid w:val="2E2B796A"/>
    <w:rsid w:val="2E2E1209"/>
    <w:rsid w:val="2E2F6D2F"/>
    <w:rsid w:val="2E334A71"/>
    <w:rsid w:val="2E3D144C"/>
    <w:rsid w:val="2E3D31FA"/>
    <w:rsid w:val="2E3F51C4"/>
    <w:rsid w:val="2E456552"/>
    <w:rsid w:val="2E4722CA"/>
    <w:rsid w:val="2E494CD9"/>
    <w:rsid w:val="2E496043"/>
    <w:rsid w:val="2E4B082A"/>
    <w:rsid w:val="2E4B3B69"/>
    <w:rsid w:val="2E513149"/>
    <w:rsid w:val="2E56075F"/>
    <w:rsid w:val="2E56250D"/>
    <w:rsid w:val="2E5A1FFE"/>
    <w:rsid w:val="2E5D4E86"/>
    <w:rsid w:val="2E5D790B"/>
    <w:rsid w:val="2E5F5866"/>
    <w:rsid w:val="2E627104"/>
    <w:rsid w:val="2E6469D8"/>
    <w:rsid w:val="2E6B420B"/>
    <w:rsid w:val="2E6B5FB9"/>
    <w:rsid w:val="2E7110F5"/>
    <w:rsid w:val="2E7330BF"/>
    <w:rsid w:val="2E734E6D"/>
    <w:rsid w:val="2E7B3D22"/>
    <w:rsid w:val="2E7C6418"/>
    <w:rsid w:val="2E7F1A64"/>
    <w:rsid w:val="2E840E29"/>
    <w:rsid w:val="2E8B0409"/>
    <w:rsid w:val="2E8C1C33"/>
    <w:rsid w:val="2E8C4181"/>
    <w:rsid w:val="2E8C4FC8"/>
    <w:rsid w:val="2E9279E9"/>
    <w:rsid w:val="2E9A3C18"/>
    <w:rsid w:val="2E9D1C0D"/>
    <w:rsid w:val="2E9F5C62"/>
    <w:rsid w:val="2EA119DB"/>
    <w:rsid w:val="2EA619F1"/>
    <w:rsid w:val="2EA94D33"/>
    <w:rsid w:val="2EAB3DD0"/>
    <w:rsid w:val="2EB01C1E"/>
    <w:rsid w:val="2EB45143"/>
    <w:rsid w:val="2EB51324"/>
    <w:rsid w:val="2EB65D31"/>
    <w:rsid w:val="2EB931C8"/>
    <w:rsid w:val="2EBB0FEE"/>
    <w:rsid w:val="2EBC4A66"/>
    <w:rsid w:val="2EBF6305"/>
    <w:rsid w:val="2EC1207D"/>
    <w:rsid w:val="2EC456C9"/>
    <w:rsid w:val="2EC63002"/>
    <w:rsid w:val="2EC97183"/>
    <w:rsid w:val="2ECA37FB"/>
    <w:rsid w:val="2ECB20BA"/>
    <w:rsid w:val="2ECD27D0"/>
    <w:rsid w:val="2ECD6C74"/>
    <w:rsid w:val="2ED00512"/>
    <w:rsid w:val="2ED022C0"/>
    <w:rsid w:val="2ED27DE6"/>
    <w:rsid w:val="2ED31DB0"/>
    <w:rsid w:val="2ED55B28"/>
    <w:rsid w:val="2ED95618"/>
    <w:rsid w:val="2EDA6C9B"/>
    <w:rsid w:val="2EDE2C2F"/>
    <w:rsid w:val="2EDE49DD"/>
    <w:rsid w:val="2EE43FBD"/>
    <w:rsid w:val="2EE63891"/>
    <w:rsid w:val="2EEE2746"/>
    <w:rsid w:val="2EF57CFE"/>
    <w:rsid w:val="2EFC1307"/>
    <w:rsid w:val="2EFC4E63"/>
    <w:rsid w:val="2EFE0BDB"/>
    <w:rsid w:val="2EFF4953"/>
    <w:rsid w:val="2F0361F1"/>
    <w:rsid w:val="2F041F69"/>
    <w:rsid w:val="2F05640D"/>
    <w:rsid w:val="2F063F34"/>
    <w:rsid w:val="2F0A6B38"/>
    <w:rsid w:val="2F10090E"/>
    <w:rsid w:val="2F1228D8"/>
    <w:rsid w:val="2F124686"/>
    <w:rsid w:val="2F146650"/>
    <w:rsid w:val="2F1877C3"/>
    <w:rsid w:val="2F236894"/>
    <w:rsid w:val="2F261EE0"/>
    <w:rsid w:val="2F283EAA"/>
    <w:rsid w:val="2F283F03"/>
    <w:rsid w:val="2F2B399A"/>
    <w:rsid w:val="2F2B74F6"/>
    <w:rsid w:val="2F2D14C0"/>
    <w:rsid w:val="2F3A598B"/>
    <w:rsid w:val="2F4607D4"/>
    <w:rsid w:val="2F495AD7"/>
    <w:rsid w:val="2F4B7B98"/>
    <w:rsid w:val="2F4D3614"/>
    <w:rsid w:val="2F511D30"/>
    <w:rsid w:val="2F542EF1"/>
    <w:rsid w:val="2F546A4D"/>
    <w:rsid w:val="2F57478F"/>
    <w:rsid w:val="2F5F76BE"/>
    <w:rsid w:val="2F601896"/>
    <w:rsid w:val="2F61560E"/>
    <w:rsid w:val="2F631386"/>
    <w:rsid w:val="2F650C5A"/>
    <w:rsid w:val="2F6A44C2"/>
    <w:rsid w:val="2F7013AD"/>
    <w:rsid w:val="2F713AA3"/>
    <w:rsid w:val="2F715851"/>
    <w:rsid w:val="2F745341"/>
    <w:rsid w:val="2F754C15"/>
    <w:rsid w:val="2F77098D"/>
    <w:rsid w:val="2F81180C"/>
    <w:rsid w:val="2F8337D6"/>
    <w:rsid w:val="2F897353"/>
    <w:rsid w:val="2F8F3F29"/>
    <w:rsid w:val="2F8F5CD7"/>
    <w:rsid w:val="2F923A19"/>
    <w:rsid w:val="2F946CCB"/>
    <w:rsid w:val="2F950E14"/>
    <w:rsid w:val="2F961B57"/>
    <w:rsid w:val="2F972DDE"/>
    <w:rsid w:val="2F994DA8"/>
    <w:rsid w:val="2FA23BBF"/>
    <w:rsid w:val="2FA31782"/>
    <w:rsid w:val="2FA71273"/>
    <w:rsid w:val="2FA84FEB"/>
    <w:rsid w:val="2FAA2B11"/>
    <w:rsid w:val="2FAA464B"/>
    <w:rsid w:val="2FAC6889"/>
    <w:rsid w:val="2FAF0127"/>
    <w:rsid w:val="2FB13B8E"/>
    <w:rsid w:val="2FB90FA6"/>
    <w:rsid w:val="2FB971F8"/>
    <w:rsid w:val="2FBA6381"/>
    <w:rsid w:val="2FC11C09"/>
    <w:rsid w:val="2FC242FE"/>
    <w:rsid w:val="2FC52CA9"/>
    <w:rsid w:val="2FC71915"/>
    <w:rsid w:val="2FC811E9"/>
    <w:rsid w:val="2FCD4A51"/>
    <w:rsid w:val="2FD1009E"/>
    <w:rsid w:val="2FD13178"/>
    <w:rsid w:val="2FD25781"/>
    <w:rsid w:val="2FD302BA"/>
    <w:rsid w:val="2FD41AF9"/>
    <w:rsid w:val="2FDB0F1C"/>
    <w:rsid w:val="2FDC745C"/>
    <w:rsid w:val="2FDD2EE6"/>
    <w:rsid w:val="2FE14059"/>
    <w:rsid w:val="2FE204FD"/>
    <w:rsid w:val="2FE222AB"/>
    <w:rsid w:val="2FE853E7"/>
    <w:rsid w:val="2FEC4ED7"/>
    <w:rsid w:val="2FEE6EA1"/>
    <w:rsid w:val="2FF10740"/>
    <w:rsid w:val="2FF26266"/>
    <w:rsid w:val="2FFA360D"/>
    <w:rsid w:val="2FFD7934"/>
    <w:rsid w:val="2FFE4C0B"/>
    <w:rsid w:val="2FFF10AF"/>
    <w:rsid w:val="30004E27"/>
    <w:rsid w:val="30006BD5"/>
    <w:rsid w:val="3002294D"/>
    <w:rsid w:val="30030473"/>
    <w:rsid w:val="30055F99"/>
    <w:rsid w:val="300761B5"/>
    <w:rsid w:val="300A35B0"/>
    <w:rsid w:val="300C557A"/>
    <w:rsid w:val="300F6E18"/>
    <w:rsid w:val="3011493E"/>
    <w:rsid w:val="301461DC"/>
    <w:rsid w:val="30146F8B"/>
    <w:rsid w:val="301D7787"/>
    <w:rsid w:val="30203302"/>
    <w:rsid w:val="30227E4E"/>
    <w:rsid w:val="30231F3C"/>
    <w:rsid w:val="30254242"/>
    <w:rsid w:val="30295150"/>
    <w:rsid w:val="30297EDA"/>
    <w:rsid w:val="303074BA"/>
    <w:rsid w:val="30313232"/>
    <w:rsid w:val="30332B06"/>
    <w:rsid w:val="303348B4"/>
    <w:rsid w:val="303625F7"/>
    <w:rsid w:val="303C2C32"/>
    <w:rsid w:val="303D5733"/>
    <w:rsid w:val="303F594F"/>
    <w:rsid w:val="30422D49"/>
    <w:rsid w:val="304308C8"/>
    <w:rsid w:val="30466CDD"/>
    <w:rsid w:val="30474804"/>
    <w:rsid w:val="3049057C"/>
    <w:rsid w:val="304A7E50"/>
    <w:rsid w:val="304D711C"/>
    <w:rsid w:val="304F36B8"/>
    <w:rsid w:val="304F5466"/>
    <w:rsid w:val="30517430"/>
    <w:rsid w:val="305331A8"/>
    <w:rsid w:val="30564A47"/>
    <w:rsid w:val="305A62E5"/>
    <w:rsid w:val="305B205D"/>
    <w:rsid w:val="305D5DD5"/>
    <w:rsid w:val="305F38FB"/>
    <w:rsid w:val="305F7D9F"/>
    <w:rsid w:val="3062519A"/>
    <w:rsid w:val="3069477A"/>
    <w:rsid w:val="306F78B6"/>
    <w:rsid w:val="30717AD3"/>
    <w:rsid w:val="30730E37"/>
    <w:rsid w:val="30733ACD"/>
    <w:rsid w:val="307373A7"/>
    <w:rsid w:val="3075311F"/>
    <w:rsid w:val="307A0735"/>
    <w:rsid w:val="307B44AD"/>
    <w:rsid w:val="307D0225"/>
    <w:rsid w:val="30803872"/>
    <w:rsid w:val="308275EA"/>
    <w:rsid w:val="30872E52"/>
    <w:rsid w:val="308C3862"/>
    <w:rsid w:val="308C66BA"/>
    <w:rsid w:val="309379D8"/>
    <w:rsid w:val="30937A49"/>
    <w:rsid w:val="309A2B85"/>
    <w:rsid w:val="309B5C60"/>
    <w:rsid w:val="309D08C8"/>
    <w:rsid w:val="309D61D2"/>
    <w:rsid w:val="30A270F7"/>
    <w:rsid w:val="30A27C8C"/>
    <w:rsid w:val="30A734F4"/>
    <w:rsid w:val="30A77D27"/>
    <w:rsid w:val="30A92DC8"/>
    <w:rsid w:val="30B005FB"/>
    <w:rsid w:val="30B023A9"/>
    <w:rsid w:val="30B17ECF"/>
    <w:rsid w:val="30B22105"/>
    <w:rsid w:val="30BA3228"/>
    <w:rsid w:val="30BA4FD6"/>
    <w:rsid w:val="30BC0D4E"/>
    <w:rsid w:val="30BF083E"/>
    <w:rsid w:val="30C3032E"/>
    <w:rsid w:val="30C47C02"/>
    <w:rsid w:val="30C65728"/>
    <w:rsid w:val="30C714A1"/>
    <w:rsid w:val="30C916BD"/>
    <w:rsid w:val="30CB71E3"/>
    <w:rsid w:val="30CE282F"/>
    <w:rsid w:val="30DA11D4"/>
    <w:rsid w:val="30DA5678"/>
    <w:rsid w:val="30DB6CFA"/>
    <w:rsid w:val="30DC4F4C"/>
    <w:rsid w:val="30DF1478"/>
    <w:rsid w:val="30E91417"/>
    <w:rsid w:val="30EB23FA"/>
    <w:rsid w:val="30EC586F"/>
    <w:rsid w:val="30EF3A21"/>
    <w:rsid w:val="30F06C49"/>
    <w:rsid w:val="30F229C1"/>
    <w:rsid w:val="30F46739"/>
    <w:rsid w:val="30F524B2"/>
    <w:rsid w:val="30F71D86"/>
    <w:rsid w:val="30F845D0"/>
    <w:rsid w:val="31010E56"/>
    <w:rsid w:val="310149B3"/>
    <w:rsid w:val="3103697D"/>
    <w:rsid w:val="310426F5"/>
    <w:rsid w:val="310821E5"/>
    <w:rsid w:val="310D3357"/>
    <w:rsid w:val="310E70CF"/>
    <w:rsid w:val="31104BF6"/>
    <w:rsid w:val="31197F4E"/>
    <w:rsid w:val="311A3CC6"/>
    <w:rsid w:val="311A5A74"/>
    <w:rsid w:val="311D7312"/>
    <w:rsid w:val="311F12DD"/>
    <w:rsid w:val="31210BB1"/>
    <w:rsid w:val="31216E03"/>
    <w:rsid w:val="31244B45"/>
    <w:rsid w:val="31264419"/>
    <w:rsid w:val="31271F3F"/>
    <w:rsid w:val="31280F0C"/>
    <w:rsid w:val="312B5ED3"/>
    <w:rsid w:val="312D57A8"/>
    <w:rsid w:val="31336B36"/>
    <w:rsid w:val="31350B00"/>
    <w:rsid w:val="313519B0"/>
    <w:rsid w:val="31384CFA"/>
    <w:rsid w:val="313A5EF2"/>
    <w:rsid w:val="313A7EC4"/>
    <w:rsid w:val="313C07E4"/>
    <w:rsid w:val="313C3C3D"/>
    <w:rsid w:val="313E018F"/>
    <w:rsid w:val="314174A5"/>
    <w:rsid w:val="31456F95"/>
    <w:rsid w:val="314D19A6"/>
    <w:rsid w:val="315423FA"/>
    <w:rsid w:val="31554CFE"/>
    <w:rsid w:val="31572824"/>
    <w:rsid w:val="31576CC8"/>
    <w:rsid w:val="315C42DF"/>
    <w:rsid w:val="315E1E05"/>
    <w:rsid w:val="31610B38"/>
    <w:rsid w:val="316A69FC"/>
    <w:rsid w:val="316B4522"/>
    <w:rsid w:val="317038E6"/>
    <w:rsid w:val="317433D6"/>
    <w:rsid w:val="31745184"/>
    <w:rsid w:val="317653A0"/>
    <w:rsid w:val="31772EC7"/>
    <w:rsid w:val="317C04DD"/>
    <w:rsid w:val="31807FCD"/>
    <w:rsid w:val="31821B16"/>
    <w:rsid w:val="3184130A"/>
    <w:rsid w:val="3186135C"/>
    <w:rsid w:val="3186310A"/>
    <w:rsid w:val="318A02A8"/>
    <w:rsid w:val="318A2BFA"/>
    <w:rsid w:val="318E0BBB"/>
    <w:rsid w:val="318F1549"/>
    <w:rsid w:val="318F1FBE"/>
    <w:rsid w:val="31973569"/>
    <w:rsid w:val="319B4E07"/>
    <w:rsid w:val="319C0B7F"/>
    <w:rsid w:val="319C6071"/>
    <w:rsid w:val="319E7BAE"/>
    <w:rsid w:val="31A35A6A"/>
    <w:rsid w:val="31A43590"/>
    <w:rsid w:val="31A517E2"/>
    <w:rsid w:val="31A737AC"/>
    <w:rsid w:val="31A87524"/>
    <w:rsid w:val="31AB2B70"/>
    <w:rsid w:val="31AB491E"/>
    <w:rsid w:val="31AC537E"/>
    <w:rsid w:val="31AD68E8"/>
    <w:rsid w:val="31B45EC9"/>
    <w:rsid w:val="31B50985"/>
    <w:rsid w:val="31B639EF"/>
    <w:rsid w:val="31BE0AF5"/>
    <w:rsid w:val="31BE28A4"/>
    <w:rsid w:val="31C0661C"/>
    <w:rsid w:val="31C205E6"/>
    <w:rsid w:val="31C3435E"/>
    <w:rsid w:val="31CB6D6E"/>
    <w:rsid w:val="31CD0D39"/>
    <w:rsid w:val="31CF4AB1"/>
    <w:rsid w:val="31D65E3F"/>
    <w:rsid w:val="31DA66C0"/>
    <w:rsid w:val="31DC0F7C"/>
    <w:rsid w:val="31E3055C"/>
    <w:rsid w:val="31E3230A"/>
    <w:rsid w:val="31E3679B"/>
    <w:rsid w:val="31E732FD"/>
    <w:rsid w:val="31EC7411"/>
    <w:rsid w:val="31ED4F37"/>
    <w:rsid w:val="31EE4B36"/>
    <w:rsid w:val="31F14A27"/>
    <w:rsid w:val="31F2254D"/>
    <w:rsid w:val="31F369F1"/>
    <w:rsid w:val="31F42769"/>
    <w:rsid w:val="31F47267"/>
    <w:rsid w:val="31F6028F"/>
    <w:rsid w:val="31F91B2E"/>
    <w:rsid w:val="31F943F2"/>
    <w:rsid w:val="32052280"/>
    <w:rsid w:val="3207424B"/>
    <w:rsid w:val="32075FF9"/>
    <w:rsid w:val="320E0106"/>
    <w:rsid w:val="3212499D"/>
    <w:rsid w:val="321626E0"/>
    <w:rsid w:val="32171FB4"/>
    <w:rsid w:val="32195D2C"/>
    <w:rsid w:val="321C75CA"/>
    <w:rsid w:val="3220530C"/>
    <w:rsid w:val="32250B75"/>
    <w:rsid w:val="32285F6F"/>
    <w:rsid w:val="322A1CE7"/>
    <w:rsid w:val="3234700A"/>
    <w:rsid w:val="323963CE"/>
    <w:rsid w:val="323B0398"/>
    <w:rsid w:val="323B2146"/>
    <w:rsid w:val="323B5CA2"/>
    <w:rsid w:val="32470AEB"/>
    <w:rsid w:val="324A4137"/>
    <w:rsid w:val="324D516E"/>
    <w:rsid w:val="32502792"/>
    <w:rsid w:val="32517576"/>
    <w:rsid w:val="32557180"/>
    <w:rsid w:val="32562ADC"/>
    <w:rsid w:val="325D20BC"/>
    <w:rsid w:val="32601BAD"/>
    <w:rsid w:val="32607DFF"/>
    <w:rsid w:val="326A6587"/>
    <w:rsid w:val="326C2300"/>
    <w:rsid w:val="326E6078"/>
    <w:rsid w:val="326E7E26"/>
    <w:rsid w:val="32785148"/>
    <w:rsid w:val="327B1552"/>
    <w:rsid w:val="327F64D7"/>
    <w:rsid w:val="3281224F"/>
    <w:rsid w:val="32827D75"/>
    <w:rsid w:val="32847649"/>
    <w:rsid w:val="3287538B"/>
    <w:rsid w:val="32877139"/>
    <w:rsid w:val="328A6C2A"/>
    <w:rsid w:val="328E04C8"/>
    <w:rsid w:val="329027F6"/>
    <w:rsid w:val="3291620A"/>
    <w:rsid w:val="32957AA8"/>
    <w:rsid w:val="32A01FA9"/>
    <w:rsid w:val="32A25D21"/>
    <w:rsid w:val="32A36A1D"/>
    <w:rsid w:val="32A61CB5"/>
    <w:rsid w:val="32A777DC"/>
    <w:rsid w:val="32AB72CC"/>
    <w:rsid w:val="32B21B2F"/>
    <w:rsid w:val="32B31CDC"/>
    <w:rsid w:val="32B53CA7"/>
    <w:rsid w:val="32B86E31"/>
    <w:rsid w:val="32BE5C2C"/>
    <w:rsid w:val="32C20171"/>
    <w:rsid w:val="32C35685"/>
    <w:rsid w:val="32C43EEA"/>
    <w:rsid w:val="32C71C2C"/>
    <w:rsid w:val="32C91500"/>
    <w:rsid w:val="32D0371B"/>
    <w:rsid w:val="32D050B8"/>
    <w:rsid w:val="32D103B5"/>
    <w:rsid w:val="32D16607"/>
    <w:rsid w:val="32D22AAA"/>
    <w:rsid w:val="32D3237F"/>
    <w:rsid w:val="32D3412D"/>
    <w:rsid w:val="32D700C1"/>
    <w:rsid w:val="32DA7E47"/>
    <w:rsid w:val="32E7407C"/>
    <w:rsid w:val="32E9317E"/>
    <w:rsid w:val="32EE0F67"/>
    <w:rsid w:val="32F04CDF"/>
    <w:rsid w:val="32F10A57"/>
    <w:rsid w:val="32F32A21"/>
    <w:rsid w:val="32F3657D"/>
    <w:rsid w:val="32F70262"/>
    <w:rsid w:val="32FB3683"/>
    <w:rsid w:val="32FB6478"/>
    <w:rsid w:val="32FC18D5"/>
    <w:rsid w:val="3307027A"/>
    <w:rsid w:val="330B1B18"/>
    <w:rsid w:val="330C763F"/>
    <w:rsid w:val="3310712F"/>
    <w:rsid w:val="33130ECB"/>
    <w:rsid w:val="331A61FF"/>
    <w:rsid w:val="3321133C"/>
    <w:rsid w:val="33233306"/>
    <w:rsid w:val="33263B3F"/>
    <w:rsid w:val="332D5F33"/>
    <w:rsid w:val="332D7CE1"/>
    <w:rsid w:val="3330157F"/>
    <w:rsid w:val="33370B5F"/>
    <w:rsid w:val="3337290D"/>
    <w:rsid w:val="33380434"/>
    <w:rsid w:val="333818C9"/>
    <w:rsid w:val="333A41AC"/>
    <w:rsid w:val="333C6176"/>
    <w:rsid w:val="333F17C2"/>
    <w:rsid w:val="334119DE"/>
    <w:rsid w:val="3341378C"/>
    <w:rsid w:val="3344502A"/>
    <w:rsid w:val="334B63B9"/>
    <w:rsid w:val="334F40FB"/>
    <w:rsid w:val="335072D3"/>
    <w:rsid w:val="33525999"/>
    <w:rsid w:val="3355548A"/>
    <w:rsid w:val="33596D28"/>
    <w:rsid w:val="335C05C6"/>
    <w:rsid w:val="335C05EB"/>
    <w:rsid w:val="335C4122"/>
    <w:rsid w:val="335E433E"/>
    <w:rsid w:val="335F514F"/>
    <w:rsid w:val="3361798A"/>
    <w:rsid w:val="336254B1"/>
    <w:rsid w:val="33631954"/>
    <w:rsid w:val="33633703"/>
    <w:rsid w:val="33661445"/>
    <w:rsid w:val="336631F3"/>
    <w:rsid w:val="33686F6B"/>
    <w:rsid w:val="336963EB"/>
    <w:rsid w:val="3369683F"/>
    <w:rsid w:val="336B25B7"/>
    <w:rsid w:val="336B6ED1"/>
    <w:rsid w:val="336D632F"/>
    <w:rsid w:val="33704071"/>
    <w:rsid w:val="33723946"/>
    <w:rsid w:val="33745910"/>
    <w:rsid w:val="33770F5C"/>
    <w:rsid w:val="33784CD4"/>
    <w:rsid w:val="33791178"/>
    <w:rsid w:val="33792F26"/>
    <w:rsid w:val="337E053C"/>
    <w:rsid w:val="337F6063"/>
    <w:rsid w:val="33816EEB"/>
    <w:rsid w:val="33833DA5"/>
    <w:rsid w:val="33857B1D"/>
    <w:rsid w:val="338673F1"/>
    <w:rsid w:val="338813BB"/>
    <w:rsid w:val="33930C20"/>
    <w:rsid w:val="339F4C7D"/>
    <w:rsid w:val="33A04957"/>
    <w:rsid w:val="33A361F5"/>
    <w:rsid w:val="33A67A93"/>
    <w:rsid w:val="33AD497E"/>
    <w:rsid w:val="33AD6F69"/>
    <w:rsid w:val="33AF4B9A"/>
    <w:rsid w:val="33AF6948"/>
    <w:rsid w:val="33BB353F"/>
    <w:rsid w:val="33BF2903"/>
    <w:rsid w:val="33C1667B"/>
    <w:rsid w:val="33C323F3"/>
    <w:rsid w:val="33C341A1"/>
    <w:rsid w:val="33C44425"/>
    <w:rsid w:val="33C54E00"/>
    <w:rsid w:val="33C65A3F"/>
    <w:rsid w:val="33C66680"/>
    <w:rsid w:val="33CA3782"/>
    <w:rsid w:val="33D068BE"/>
    <w:rsid w:val="33D463AE"/>
    <w:rsid w:val="33D509D3"/>
    <w:rsid w:val="33E365F1"/>
    <w:rsid w:val="33E443DD"/>
    <w:rsid w:val="33EA5BD2"/>
    <w:rsid w:val="33EA7980"/>
    <w:rsid w:val="33EB55CD"/>
    <w:rsid w:val="33EC4C02"/>
    <w:rsid w:val="33F63997"/>
    <w:rsid w:val="33F95E15"/>
    <w:rsid w:val="33F971D5"/>
    <w:rsid w:val="33FB7DDF"/>
    <w:rsid w:val="33FE78CF"/>
    <w:rsid w:val="340032DD"/>
    <w:rsid w:val="34016560"/>
    <w:rsid w:val="340246C4"/>
    <w:rsid w:val="34034EE6"/>
    <w:rsid w:val="340B78F6"/>
    <w:rsid w:val="340C3D9A"/>
    <w:rsid w:val="340D2360"/>
    <w:rsid w:val="3410665D"/>
    <w:rsid w:val="341113B0"/>
    <w:rsid w:val="34120C85"/>
    <w:rsid w:val="34142C4F"/>
    <w:rsid w:val="341541DA"/>
    <w:rsid w:val="34160775"/>
    <w:rsid w:val="34180991"/>
    <w:rsid w:val="34190265"/>
    <w:rsid w:val="341D71C9"/>
    <w:rsid w:val="34207846"/>
    <w:rsid w:val="34211214"/>
    <w:rsid w:val="34254E5C"/>
    <w:rsid w:val="342D5ABF"/>
    <w:rsid w:val="342E63AB"/>
    <w:rsid w:val="342F7A89"/>
    <w:rsid w:val="34311196"/>
    <w:rsid w:val="34355450"/>
    <w:rsid w:val="343B467F"/>
    <w:rsid w:val="343E7A0C"/>
    <w:rsid w:val="34401C96"/>
    <w:rsid w:val="3445105A"/>
    <w:rsid w:val="344563D5"/>
    <w:rsid w:val="344C23E9"/>
    <w:rsid w:val="344D6161"/>
    <w:rsid w:val="344F012B"/>
    <w:rsid w:val="344F0BC8"/>
    <w:rsid w:val="3454129D"/>
    <w:rsid w:val="345474EF"/>
    <w:rsid w:val="34572B3B"/>
    <w:rsid w:val="34580D8D"/>
    <w:rsid w:val="34605E94"/>
    <w:rsid w:val="346516FC"/>
    <w:rsid w:val="34670FD0"/>
    <w:rsid w:val="34677222"/>
    <w:rsid w:val="346911EC"/>
    <w:rsid w:val="346A0AC1"/>
    <w:rsid w:val="346A6D13"/>
    <w:rsid w:val="346B7135"/>
    <w:rsid w:val="346D2A0F"/>
    <w:rsid w:val="347100A1"/>
    <w:rsid w:val="34711E4F"/>
    <w:rsid w:val="34727975"/>
    <w:rsid w:val="347831DE"/>
    <w:rsid w:val="34784F8C"/>
    <w:rsid w:val="347B0F20"/>
    <w:rsid w:val="3482405C"/>
    <w:rsid w:val="34825E0A"/>
    <w:rsid w:val="348558FB"/>
    <w:rsid w:val="34871673"/>
    <w:rsid w:val="348B0CDA"/>
    <w:rsid w:val="34931DC5"/>
    <w:rsid w:val="34936269"/>
    <w:rsid w:val="34943D90"/>
    <w:rsid w:val="34950E68"/>
    <w:rsid w:val="34967B08"/>
    <w:rsid w:val="34983880"/>
    <w:rsid w:val="34986E94"/>
    <w:rsid w:val="349A75F8"/>
    <w:rsid w:val="349E076A"/>
    <w:rsid w:val="349F4C0E"/>
    <w:rsid w:val="349F69BC"/>
    <w:rsid w:val="34A43FD3"/>
    <w:rsid w:val="34A71D15"/>
    <w:rsid w:val="34A915E9"/>
    <w:rsid w:val="34A917D2"/>
    <w:rsid w:val="34A9783B"/>
    <w:rsid w:val="34AC10D9"/>
    <w:rsid w:val="34AE15AA"/>
    <w:rsid w:val="34AF62C9"/>
    <w:rsid w:val="34B00BC9"/>
    <w:rsid w:val="34B47F8E"/>
    <w:rsid w:val="34B561E0"/>
    <w:rsid w:val="34B85CD0"/>
    <w:rsid w:val="34BB30CA"/>
    <w:rsid w:val="34BF0E0C"/>
    <w:rsid w:val="34C12DD7"/>
    <w:rsid w:val="34C44675"/>
    <w:rsid w:val="34C74165"/>
    <w:rsid w:val="34CB4388"/>
    <w:rsid w:val="34CC52D7"/>
    <w:rsid w:val="34D128EE"/>
    <w:rsid w:val="34D16D92"/>
    <w:rsid w:val="34D6485D"/>
    <w:rsid w:val="34D83C7C"/>
    <w:rsid w:val="34DA3E98"/>
    <w:rsid w:val="34DA5C46"/>
    <w:rsid w:val="34DC2B4A"/>
    <w:rsid w:val="34E24AFB"/>
    <w:rsid w:val="34E46AC5"/>
    <w:rsid w:val="34E97C37"/>
    <w:rsid w:val="34FA62E8"/>
    <w:rsid w:val="34FA6E12"/>
    <w:rsid w:val="34FC3E0F"/>
    <w:rsid w:val="34FD0CDB"/>
    <w:rsid w:val="35042CC3"/>
    <w:rsid w:val="35073412"/>
    <w:rsid w:val="350B4052"/>
    <w:rsid w:val="350B5E00"/>
    <w:rsid w:val="351078BA"/>
    <w:rsid w:val="351209F1"/>
    <w:rsid w:val="35132F06"/>
    <w:rsid w:val="35134CB4"/>
    <w:rsid w:val="35165C82"/>
    <w:rsid w:val="351D1FD7"/>
    <w:rsid w:val="351F3659"/>
    <w:rsid w:val="35215623"/>
    <w:rsid w:val="3522139B"/>
    <w:rsid w:val="35284C04"/>
    <w:rsid w:val="352B085D"/>
    <w:rsid w:val="352E1AEE"/>
    <w:rsid w:val="35325A82"/>
    <w:rsid w:val="353335A8"/>
    <w:rsid w:val="35337105"/>
    <w:rsid w:val="35352E7D"/>
    <w:rsid w:val="35357321"/>
    <w:rsid w:val="35380BBF"/>
    <w:rsid w:val="3538471B"/>
    <w:rsid w:val="353B4DCC"/>
    <w:rsid w:val="353C420B"/>
    <w:rsid w:val="353E4427"/>
    <w:rsid w:val="353F1F4D"/>
    <w:rsid w:val="354C2D68"/>
    <w:rsid w:val="354D7158"/>
    <w:rsid w:val="35531555"/>
    <w:rsid w:val="35551771"/>
    <w:rsid w:val="355552CD"/>
    <w:rsid w:val="3556526C"/>
    <w:rsid w:val="355F614C"/>
    <w:rsid w:val="35605657"/>
    <w:rsid w:val="35610116"/>
    <w:rsid w:val="356279EA"/>
    <w:rsid w:val="356419B4"/>
    <w:rsid w:val="35643762"/>
    <w:rsid w:val="35645510"/>
    <w:rsid w:val="35702107"/>
    <w:rsid w:val="357240D1"/>
    <w:rsid w:val="35747E49"/>
    <w:rsid w:val="35753BC1"/>
    <w:rsid w:val="35777939"/>
    <w:rsid w:val="357A7560"/>
    <w:rsid w:val="357C4F4F"/>
    <w:rsid w:val="35814314"/>
    <w:rsid w:val="35855EE2"/>
    <w:rsid w:val="35895CF3"/>
    <w:rsid w:val="358B6F41"/>
    <w:rsid w:val="358D5588"/>
    <w:rsid w:val="35904736"/>
    <w:rsid w:val="35926521"/>
    <w:rsid w:val="3598340C"/>
    <w:rsid w:val="359C114E"/>
    <w:rsid w:val="359C73A0"/>
    <w:rsid w:val="359E4EC6"/>
    <w:rsid w:val="35A26038"/>
    <w:rsid w:val="35A40002"/>
    <w:rsid w:val="35A61FCC"/>
    <w:rsid w:val="35A973C7"/>
    <w:rsid w:val="35AA386B"/>
    <w:rsid w:val="35AD335B"/>
    <w:rsid w:val="35AE2C2F"/>
    <w:rsid w:val="35AF0E81"/>
    <w:rsid w:val="35B2271F"/>
    <w:rsid w:val="35B5220F"/>
    <w:rsid w:val="35B91D00"/>
    <w:rsid w:val="35B93AAE"/>
    <w:rsid w:val="35B9430A"/>
    <w:rsid w:val="35BC359E"/>
    <w:rsid w:val="35BC70FA"/>
    <w:rsid w:val="35C249F4"/>
    <w:rsid w:val="35C53375"/>
    <w:rsid w:val="35CF507F"/>
    <w:rsid w:val="35D02BA5"/>
    <w:rsid w:val="35DA1C76"/>
    <w:rsid w:val="35E0728C"/>
    <w:rsid w:val="35E6061B"/>
    <w:rsid w:val="35E623C9"/>
    <w:rsid w:val="35E87EEF"/>
    <w:rsid w:val="35E93C67"/>
    <w:rsid w:val="35EA1EB9"/>
    <w:rsid w:val="35ED19A9"/>
    <w:rsid w:val="35EF74CF"/>
    <w:rsid w:val="35F40F8A"/>
    <w:rsid w:val="35FA7C22"/>
    <w:rsid w:val="35FB40C6"/>
    <w:rsid w:val="35FC1BEC"/>
    <w:rsid w:val="3603722A"/>
    <w:rsid w:val="36054F45"/>
    <w:rsid w:val="3608233F"/>
    <w:rsid w:val="360A4309"/>
    <w:rsid w:val="360E2FFA"/>
    <w:rsid w:val="360F7B72"/>
    <w:rsid w:val="36127662"/>
    <w:rsid w:val="36140CE4"/>
    <w:rsid w:val="361B6516"/>
    <w:rsid w:val="361C403D"/>
    <w:rsid w:val="361C5DEB"/>
    <w:rsid w:val="361E1B63"/>
    <w:rsid w:val="362178A5"/>
    <w:rsid w:val="36252EF1"/>
    <w:rsid w:val="362829E1"/>
    <w:rsid w:val="362A0508"/>
    <w:rsid w:val="362A675A"/>
    <w:rsid w:val="362B4280"/>
    <w:rsid w:val="362F1FC2"/>
    <w:rsid w:val="36301896"/>
    <w:rsid w:val="36315D3A"/>
    <w:rsid w:val="36343134"/>
    <w:rsid w:val="36363350"/>
    <w:rsid w:val="36392E40"/>
    <w:rsid w:val="36394B26"/>
    <w:rsid w:val="363A3B40"/>
    <w:rsid w:val="36413AA3"/>
    <w:rsid w:val="3643337A"/>
    <w:rsid w:val="36483084"/>
    <w:rsid w:val="36484E32"/>
    <w:rsid w:val="364D2448"/>
    <w:rsid w:val="364E27B5"/>
    <w:rsid w:val="364F7F6E"/>
    <w:rsid w:val="365302AE"/>
    <w:rsid w:val="36533F02"/>
    <w:rsid w:val="36545584"/>
    <w:rsid w:val="36581519"/>
    <w:rsid w:val="365B2DB7"/>
    <w:rsid w:val="365D5F63"/>
    <w:rsid w:val="365D6B2F"/>
    <w:rsid w:val="365E4655"/>
    <w:rsid w:val="36607A0A"/>
    <w:rsid w:val="36624145"/>
    <w:rsid w:val="36653C36"/>
    <w:rsid w:val="366652B8"/>
    <w:rsid w:val="366653C8"/>
    <w:rsid w:val="3667350A"/>
    <w:rsid w:val="366A124C"/>
    <w:rsid w:val="366C0B20"/>
    <w:rsid w:val="366C4FC4"/>
    <w:rsid w:val="366E227C"/>
    <w:rsid w:val="366E2AEA"/>
    <w:rsid w:val="366F2E0D"/>
    <w:rsid w:val="36721EAF"/>
    <w:rsid w:val="36745C27"/>
    <w:rsid w:val="36746F6F"/>
    <w:rsid w:val="3676374D"/>
    <w:rsid w:val="36767BF1"/>
    <w:rsid w:val="36783969"/>
    <w:rsid w:val="367B6A5C"/>
    <w:rsid w:val="367F4CF7"/>
    <w:rsid w:val="3680281D"/>
    <w:rsid w:val="368220F2"/>
    <w:rsid w:val="36853990"/>
    <w:rsid w:val="36886EDD"/>
    <w:rsid w:val="36897924"/>
    <w:rsid w:val="368A369C"/>
    <w:rsid w:val="368E4F3A"/>
    <w:rsid w:val="368F2A60"/>
    <w:rsid w:val="369260AD"/>
    <w:rsid w:val="369614E1"/>
    <w:rsid w:val="36965B9D"/>
    <w:rsid w:val="369938DF"/>
    <w:rsid w:val="369F433C"/>
    <w:rsid w:val="36A04C6E"/>
    <w:rsid w:val="36A24542"/>
    <w:rsid w:val="36A54032"/>
    <w:rsid w:val="36A74ADA"/>
    <w:rsid w:val="36A75FFC"/>
    <w:rsid w:val="36AD2EE7"/>
    <w:rsid w:val="36AD60D5"/>
    <w:rsid w:val="36AE1139"/>
    <w:rsid w:val="36AF3103"/>
    <w:rsid w:val="36B224F9"/>
    <w:rsid w:val="36B349A1"/>
    <w:rsid w:val="36B44275"/>
    <w:rsid w:val="36B54AD0"/>
    <w:rsid w:val="36BD5820"/>
    <w:rsid w:val="36BD75CE"/>
    <w:rsid w:val="36C56482"/>
    <w:rsid w:val="36CB2CF1"/>
    <w:rsid w:val="36CC5A63"/>
    <w:rsid w:val="36CC7811"/>
    <w:rsid w:val="36CE3589"/>
    <w:rsid w:val="36CF7301"/>
    <w:rsid w:val="36D3294D"/>
    <w:rsid w:val="36D668E1"/>
    <w:rsid w:val="36D861B6"/>
    <w:rsid w:val="36DA0180"/>
    <w:rsid w:val="36DA1F2E"/>
    <w:rsid w:val="36DB7F5E"/>
    <w:rsid w:val="36DC45F1"/>
    <w:rsid w:val="36DD1A1E"/>
    <w:rsid w:val="36DD37CC"/>
    <w:rsid w:val="36E56B24"/>
    <w:rsid w:val="36E7464B"/>
    <w:rsid w:val="36EC0CC9"/>
    <w:rsid w:val="36EC3A0F"/>
    <w:rsid w:val="36EE59D9"/>
    <w:rsid w:val="36F079A3"/>
    <w:rsid w:val="36F40B16"/>
    <w:rsid w:val="36FA437E"/>
    <w:rsid w:val="36FB00F6"/>
    <w:rsid w:val="36FF3742"/>
    <w:rsid w:val="3700570C"/>
    <w:rsid w:val="37036E21"/>
    <w:rsid w:val="37076A9B"/>
    <w:rsid w:val="3709636F"/>
    <w:rsid w:val="370E607B"/>
    <w:rsid w:val="37103BA1"/>
    <w:rsid w:val="37113475"/>
    <w:rsid w:val="37117919"/>
    <w:rsid w:val="37152F66"/>
    <w:rsid w:val="371669D8"/>
    <w:rsid w:val="37180CA8"/>
    <w:rsid w:val="37182A56"/>
    <w:rsid w:val="371A057C"/>
    <w:rsid w:val="371A67CE"/>
    <w:rsid w:val="371C20FC"/>
    <w:rsid w:val="371F3DE4"/>
    <w:rsid w:val="3724764D"/>
    <w:rsid w:val="37265173"/>
    <w:rsid w:val="37294C63"/>
    <w:rsid w:val="372C4753"/>
    <w:rsid w:val="373122E8"/>
    <w:rsid w:val="37313B18"/>
    <w:rsid w:val="373553B6"/>
    <w:rsid w:val="37380DC9"/>
    <w:rsid w:val="373A3202"/>
    <w:rsid w:val="373F410B"/>
    <w:rsid w:val="373F6235"/>
    <w:rsid w:val="37441A9D"/>
    <w:rsid w:val="3748158D"/>
    <w:rsid w:val="374970B3"/>
    <w:rsid w:val="374C03F0"/>
    <w:rsid w:val="374E2B08"/>
    <w:rsid w:val="37515F68"/>
    <w:rsid w:val="37557806"/>
    <w:rsid w:val="3758678B"/>
    <w:rsid w:val="375D7C9E"/>
    <w:rsid w:val="375F0685"/>
    <w:rsid w:val="376B0DD8"/>
    <w:rsid w:val="376B527C"/>
    <w:rsid w:val="376C6090"/>
    <w:rsid w:val="376D0FF4"/>
    <w:rsid w:val="377203B8"/>
    <w:rsid w:val="37734130"/>
    <w:rsid w:val="37751C56"/>
    <w:rsid w:val="37757EA8"/>
    <w:rsid w:val="377834F5"/>
    <w:rsid w:val="377A726D"/>
    <w:rsid w:val="377E4FAF"/>
    <w:rsid w:val="377F2AD5"/>
    <w:rsid w:val="378105FB"/>
    <w:rsid w:val="378123A9"/>
    <w:rsid w:val="37842BD6"/>
    <w:rsid w:val="3788420B"/>
    <w:rsid w:val="37887BDC"/>
    <w:rsid w:val="378C0D4E"/>
    <w:rsid w:val="378D6FA0"/>
    <w:rsid w:val="379522F8"/>
    <w:rsid w:val="37971BCD"/>
    <w:rsid w:val="379A16BD"/>
    <w:rsid w:val="379C259E"/>
    <w:rsid w:val="379E11AD"/>
    <w:rsid w:val="379E73FF"/>
    <w:rsid w:val="37A005EF"/>
    <w:rsid w:val="37A4078E"/>
    <w:rsid w:val="37A4253C"/>
    <w:rsid w:val="37A60062"/>
    <w:rsid w:val="37B54749"/>
    <w:rsid w:val="37B564F7"/>
    <w:rsid w:val="37B65D16"/>
    <w:rsid w:val="37BE3968"/>
    <w:rsid w:val="37C329C2"/>
    <w:rsid w:val="37C60704"/>
    <w:rsid w:val="37C624B2"/>
    <w:rsid w:val="37C75487"/>
    <w:rsid w:val="37C75C12"/>
    <w:rsid w:val="37C93D50"/>
    <w:rsid w:val="37CA01F4"/>
    <w:rsid w:val="37CD1A92"/>
    <w:rsid w:val="37CE3CEC"/>
    <w:rsid w:val="37D03331"/>
    <w:rsid w:val="37D3697D"/>
    <w:rsid w:val="37D7646D"/>
    <w:rsid w:val="37DA5F5D"/>
    <w:rsid w:val="37DC3A83"/>
    <w:rsid w:val="37DD15AA"/>
    <w:rsid w:val="37DF17C6"/>
    <w:rsid w:val="37DF3574"/>
    <w:rsid w:val="37E256BE"/>
    <w:rsid w:val="37E868CC"/>
    <w:rsid w:val="37EB016A"/>
    <w:rsid w:val="37EB1F18"/>
    <w:rsid w:val="37ED3EE3"/>
    <w:rsid w:val="37ED5C91"/>
    <w:rsid w:val="37EE7094"/>
    <w:rsid w:val="37F4701F"/>
    <w:rsid w:val="37F53759"/>
    <w:rsid w:val="37FA215C"/>
    <w:rsid w:val="37FC4126"/>
    <w:rsid w:val="37FF59C4"/>
    <w:rsid w:val="380134EA"/>
    <w:rsid w:val="38033706"/>
    <w:rsid w:val="380354B4"/>
    <w:rsid w:val="38037262"/>
    <w:rsid w:val="380406E7"/>
    <w:rsid w:val="38044D88"/>
    <w:rsid w:val="38066D52"/>
    <w:rsid w:val="38084878"/>
    <w:rsid w:val="3809239F"/>
    <w:rsid w:val="380B25BB"/>
    <w:rsid w:val="380C59BB"/>
    <w:rsid w:val="380F20AB"/>
    <w:rsid w:val="380F260F"/>
    <w:rsid w:val="3810197F"/>
    <w:rsid w:val="38170F5F"/>
    <w:rsid w:val="381B0A50"/>
    <w:rsid w:val="381B1755"/>
    <w:rsid w:val="38211DDE"/>
    <w:rsid w:val="3821593A"/>
    <w:rsid w:val="382316B2"/>
    <w:rsid w:val="382611A3"/>
    <w:rsid w:val="38284F1B"/>
    <w:rsid w:val="38296C89"/>
    <w:rsid w:val="382B67B9"/>
    <w:rsid w:val="382D4708"/>
    <w:rsid w:val="382F0057"/>
    <w:rsid w:val="383002EB"/>
    <w:rsid w:val="38303DCF"/>
    <w:rsid w:val="38341A0A"/>
    <w:rsid w:val="38341B11"/>
    <w:rsid w:val="383438BF"/>
    <w:rsid w:val="383733B0"/>
    <w:rsid w:val="383E64EC"/>
    <w:rsid w:val="384161F7"/>
    <w:rsid w:val="38426D4B"/>
    <w:rsid w:val="38431D54"/>
    <w:rsid w:val="3845787B"/>
    <w:rsid w:val="384635F3"/>
    <w:rsid w:val="38471845"/>
    <w:rsid w:val="38482EC7"/>
    <w:rsid w:val="38495371"/>
    <w:rsid w:val="384A4E91"/>
    <w:rsid w:val="38523D46"/>
    <w:rsid w:val="385826FD"/>
    <w:rsid w:val="38586797"/>
    <w:rsid w:val="38593326"/>
    <w:rsid w:val="385D15DF"/>
    <w:rsid w:val="38602906"/>
    <w:rsid w:val="38606463"/>
    <w:rsid w:val="3862042D"/>
    <w:rsid w:val="38651CCB"/>
    <w:rsid w:val="38675A43"/>
    <w:rsid w:val="386D5023"/>
    <w:rsid w:val="386F48F8"/>
    <w:rsid w:val="38726196"/>
    <w:rsid w:val="38795776"/>
    <w:rsid w:val="387A39BB"/>
    <w:rsid w:val="387C76A9"/>
    <w:rsid w:val="388163D9"/>
    <w:rsid w:val="388D1B04"/>
    <w:rsid w:val="388E7474"/>
    <w:rsid w:val="388F6D48"/>
    <w:rsid w:val="38910D12"/>
    <w:rsid w:val="38997BC6"/>
    <w:rsid w:val="389A0168"/>
    <w:rsid w:val="389D7539"/>
    <w:rsid w:val="38A00F55"/>
    <w:rsid w:val="38A8605B"/>
    <w:rsid w:val="38A87E0A"/>
    <w:rsid w:val="38AC78FA"/>
    <w:rsid w:val="38AD71CE"/>
    <w:rsid w:val="38AF1198"/>
    <w:rsid w:val="38AF73EA"/>
    <w:rsid w:val="38B10580"/>
    <w:rsid w:val="38B4055C"/>
    <w:rsid w:val="38B44330"/>
    <w:rsid w:val="38B44A00"/>
    <w:rsid w:val="38B467AE"/>
    <w:rsid w:val="38B559CA"/>
    <w:rsid w:val="38B7004D"/>
    <w:rsid w:val="38B92017"/>
    <w:rsid w:val="38BB18EB"/>
    <w:rsid w:val="38BB5D8F"/>
    <w:rsid w:val="38BC0149"/>
    <w:rsid w:val="38BF587F"/>
    <w:rsid w:val="38C20ECB"/>
    <w:rsid w:val="38C2711D"/>
    <w:rsid w:val="38C70290"/>
    <w:rsid w:val="38C74734"/>
    <w:rsid w:val="38CA7D80"/>
    <w:rsid w:val="38CB25B7"/>
    <w:rsid w:val="38D87D1C"/>
    <w:rsid w:val="38DC67E5"/>
    <w:rsid w:val="38DD7A3F"/>
    <w:rsid w:val="38E2156D"/>
    <w:rsid w:val="38E52E0C"/>
    <w:rsid w:val="38E5631C"/>
    <w:rsid w:val="38E928FC"/>
    <w:rsid w:val="38EC419A"/>
    <w:rsid w:val="38EF3C8A"/>
    <w:rsid w:val="38F117B0"/>
    <w:rsid w:val="38F25761"/>
    <w:rsid w:val="38F4304F"/>
    <w:rsid w:val="38F815D3"/>
    <w:rsid w:val="38F82B3F"/>
    <w:rsid w:val="38F8669B"/>
    <w:rsid w:val="38FE486E"/>
    <w:rsid w:val="38FF3ECD"/>
    <w:rsid w:val="390037A2"/>
    <w:rsid w:val="39033292"/>
    <w:rsid w:val="39070FD4"/>
    <w:rsid w:val="390A63CE"/>
    <w:rsid w:val="39111E53"/>
    <w:rsid w:val="3911775D"/>
    <w:rsid w:val="391334D5"/>
    <w:rsid w:val="3914724D"/>
    <w:rsid w:val="39161217"/>
    <w:rsid w:val="39162FC5"/>
    <w:rsid w:val="39184F8F"/>
    <w:rsid w:val="3919204D"/>
    <w:rsid w:val="3921458E"/>
    <w:rsid w:val="39225E0E"/>
    <w:rsid w:val="392751D2"/>
    <w:rsid w:val="39292CF8"/>
    <w:rsid w:val="392B58F2"/>
    <w:rsid w:val="393022D9"/>
    <w:rsid w:val="39316051"/>
    <w:rsid w:val="393671C3"/>
    <w:rsid w:val="3938118D"/>
    <w:rsid w:val="393A3157"/>
    <w:rsid w:val="393D67A4"/>
    <w:rsid w:val="39400042"/>
    <w:rsid w:val="394418E0"/>
    <w:rsid w:val="39445D84"/>
    <w:rsid w:val="394E275F"/>
    <w:rsid w:val="39504729"/>
    <w:rsid w:val="395064D7"/>
    <w:rsid w:val="39537D75"/>
    <w:rsid w:val="39553AED"/>
    <w:rsid w:val="395D6E46"/>
    <w:rsid w:val="39636459"/>
    <w:rsid w:val="39657AA9"/>
    <w:rsid w:val="39677CC5"/>
    <w:rsid w:val="396A50BF"/>
    <w:rsid w:val="396B7F6C"/>
    <w:rsid w:val="396E0276"/>
    <w:rsid w:val="396E1053"/>
    <w:rsid w:val="396E4BAF"/>
    <w:rsid w:val="39700927"/>
    <w:rsid w:val="39785A2E"/>
    <w:rsid w:val="397A79F8"/>
    <w:rsid w:val="397B72CC"/>
    <w:rsid w:val="397F6DBC"/>
    <w:rsid w:val="39812B34"/>
    <w:rsid w:val="398268AC"/>
    <w:rsid w:val="39842625"/>
    <w:rsid w:val="398919E9"/>
    <w:rsid w:val="398C10E2"/>
    <w:rsid w:val="3991089E"/>
    <w:rsid w:val="39946F33"/>
    <w:rsid w:val="39965EB4"/>
    <w:rsid w:val="39972358"/>
    <w:rsid w:val="39981C2C"/>
    <w:rsid w:val="399E62C8"/>
    <w:rsid w:val="399F21A8"/>
    <w:rsid w:val="39A131D7"/>
    <w:rsid w:val="39A16D33"/>
    <w:rsid w:val="39A24859"/>
    <w:rsid w:val="39A27166"/>
    <w:rsid w:val="39A44A75"/>
    <w:rsid w:val="39A85A15"/>
    <w:rsid w:val="39AD3C09"/>
    <w:rsid w:val="39AF02DA"/>
    <w:rsid w:val="39B051C8"/>
    <w:rsid w:val="39B417A9"/>
    <w:rsid w:val="39B60304"/>
    <w:rsid w:val="39B747A8"/>
    <w:rsid w:val="39B90520"/>
    <w:rsid w:val="39BC3B6C"/>
    <w:rsid w:val="39C72511"/>
    <w:rsid w:val="39CB0253"/>
    <w:rsid w:val="39CB2002"/>
    <w:rsid w:val="39CB3DB0"/>
    <w:rsid w:val="39D215E2"/>
    <w:rsid w:val="39D23390"/>
    <w:rsid w:val="39D233C3"/>
    <w:rsid w:val="39D52E80"/>
    <w:rsid w:val="39DA2245"/>
    <w:rsid w:val="39DC5FBD"/>
    <w:rsid w:val="39DF3CFF"/>
    <w:rsid w:val="39E430C3"/>
    <w:rsid w:val="39E918FB"/>
    <w:rsid w:val="39E92488"/>
    <w:rsid w:val="39EE5CF0"/>
    <w:rsid w:val="39EE7A9E"/>
    <w:rsid w:val="39F03816"/>
    <w:rsid w:val="39F07CBA"/>
    <w:rsid w:val="39F2758E"/>
    <w:rsid w:val="39F33306"/>
    <w:rsid w:val="39F350B4"/>
    <w:rsid w:val="39F552D0"/>
    <w:rsid w:val="39F72DF7"/>
    <w:rsid w:val="39FC21BB"/>
    <w:rsid w:val="39FC5695"/>
    <w:rsid w:val="39FE4185"/>
    <w:rsid w:val="39FF1CAB"/>
    <w:rsid w:val="3A006D8E"/>
    <w:rsid w:val="3A0177D1"/>
    <w:rsid w:val="3A0379ED"/>
    <w:rsid w:val="3A0472C2"/>
    <w:rsid w:val="3A086DB2"/>
    <w:rsid w:val="3A10210A"/>
    <w:rsid w:val="3A117902"/>
    <w:rsid w:val="3A184B1B"/>
    <w:rsid w:val="3A1A0893"/>
    <w:rsid w:val="3A1B33BA"/>
    <w:rsid w:val="3A1C285D"/>
    <w:rsid w:val="3A223F8F"/>
    <w:rsid w:val="3A241712"/>
    <w:rsid w:val="3A26548A"/>
    <w:rsid w:val="3A287454"/>
    <w:rsid w:val="3A2A31CC"/>
    <w:rsid w:val="3A2A4F7A"/>
    <w:rsid w:val="3A2D05C6"/>
    <w:rsid w:val="3A2D4A6A"/>
    <w:rsid w:val="3A2D6818"/>
    <w:rsid w:val="3A3651E5"/>
    <w:rsid w:val="3A3758E9"/>
    <w:rsid w:val="3A396F6B"/>
    <w:rsid w:val="3A3A0F35"/>
    <w:rsid w:val="3A3A7868"/>
    <w:rsid w:val="3A3F02FA"/>
    <w:rsid w:val="3A414072"/>
    <w:rsid w:val="3A437DEA"/>
    <w:rsid w:val="3A480BD6"/>
    <w:rsid w:val="3A4A561C"/>
    <w:rsid w:val="3A4A73CA"/>
    <w:rsid w:val="3A4B6C9E"/>
    <w:rsid w:val="3A562527"/>
    <w:rsid w:val="3A5A4093"/>
    <w:rsid w:val="3A6002EC"/>
    <w:rsid w:val="3A612966"/>
    <w:rsid w:val="3A661D2A"/>
    <w:rsid w:val="3A663AD8"/>
    <w:rsid w:val="3A667F7C"/>
    <w:rsid w:val="3A6D30B9"/>
    <w:rsid w:val="3A7257F0"/>
    <w:rsid w:val="3A744447"/>
    <w:rsid w:val="3A744481"/>
    <w:rsid w:val="3A7601BF"/>
    <w:rsid w:val="3A766411"/>
    <w:rsid w:val="3A777A93"/>
    <w:rsid w:val="3A7A7584"/>
    <w:rsid w:val="3A7C154E"/>
    <w:rsid w:val="3A802DEC"/>
    <w:rsid w:val="3A804B9A"/>
    <w:rsid w:val="3A810912"/>
    <w:rsid w:val="3A824DB6"/>
    <w:rsid w:val="3A887EF3"/>
    <w:rsid w:val="3A8A5A19"/>
    <w:rsid w:val="3A8C268B"/>
    <w:rsid w:val="3A8C7BEF"/>
    <w:rsid w:val="3A8D72B7"/>
    <w:rsid w:val="3A900B55"/>
    <w:rsid w:val="3A906246"/>
    <w:rsid w:val="3A920D71"/>
    <w:rsid w:val="3A922B1F"/>
    <w:rsid w:val="3A971EE4"/>
    <w:rsid w:val="3A992100"/>
    <w:rsid w:val="3A995C5C"/>
    <w:rsid w:val="3A9B0BB2"/>
    <w:rsid w:val="3A9B7C26"/>
    <w:rsid w:val="3A9C574C"/>
    <w:rsid w:val="3A9E3272"/>
    <w:rsid w:val="3AA06FEA"/>
    <w:rsid w:val="3AA12D62"/>
    <w:rsid w:val="3AA50AA5"/>
    <w:rsid w:val="3AA60379"/>
    <w:rsid w:val="3AAC528D"/>
    <w:rsid w:val="3AAD1707"/>
    <w:rsid w:val="3AB02FA5"/>
    <w:rsid w:val="3AB605BC"/>
    <w:rsid w:val="3AB94550"/>
    <w:rsid w:val="3ABD5DEE"/>
    <w:rsid w:val="3AC058DE"/>
    <w:rsid w:val="3AC151B3"/>
    <w:rsid w:val="3ACA22B9"/>
    <w:rsid w:val="3ACF167E"/>
    <w:rsid w:val="3AD13648"/>
    <w:rsid w:val="3AD2116E"/>
    <w:rsid w:val="3ADB6274"/>
    <w:rsid w:val="3ADE6120"/>
    <w:rsid w:val="3AE01ADD"/>
    <w:rsid w:val="3AE315CD"/>
    <w:rsid w:val="3AE42A23"/>
    <w:rsid w:val="3AE50EA1"/>
    <w:rsid w:val="3AE55345"/>
    <w:rsid w:val="3AE570F3"/>
    <w:rsid w:val="3AE96BE3"/>
    <w:rsid w:val="3AF03CC1"/>
    <w:rsid w:val="3AF161F5"/>
    <w:rsid w:val="3AF47336"/>
    <w:rsid w:val="3AF56831"/>
    <w:rsid w:val="3AF630AE"/>
    <w:rsid w:val="3AF81008"/>
    <w:rsid w:val="3AFA0DF0"/>
    <w:rsid w:val="3B000C6C"/>
    <w:rsid w:val="3B021207"/>
    <w:rsid w:val="3B035FAC"/>
    <w:rsid w:val="3B073DC2"/>
    <w:rsid w:val="3B0752BB"/>
    <w:rsid w:val="3B086FE8"/>
    <w:rsid w:val="3B0B249E"/>
    <w:rsid w:val="3B0F5F1E"/>
    <w:rsid w:val="3B111C96"/>
    <w:rsid w:val="3B1479D8"/>
    <w:rsid w:val="3B1874C8"/>
    <w:rsid w:val="3B196D9D"/>
    <w:rsid w:val="3B1B6E04"/>
    <w:rsid w:val="3B1D063B"/>
    <w:rsid w:val="3B1D4ADF"/>
    <w:rsid w:val="3B2349B7"/>
    <w:rsid w:val="3B2A2D58"/>
    <w:rsid w:val="3B2B68F9"/>
    <w:rsid w:val="3B2C00ED"/>
    <w:rsid w:val="3B2E2848"/>
    <w:rsid w:val="3B304812"/>
    <w:rsid w:val="3B31058A"/>
    <w:rsid w:val="3B334302"/>
    <w:rsid w:val="3B351E28"/>
    <w:rsid w:val="3B365BA1"/>
    <w:rsid w:val="3B3836C7"/>
    <w:rsid w:val="3B3911ED"/>
    <w:rsid w:val="3B392F9B"/>
    <w:rsid w:val="3B3B4F65"/>
    <w:rsid w:val="3B3E6803"/>
    <w:rsid w:val="3B4007CD"/>
    <w:rsid w:val="3B4402BD"/>
    <w:rsid w:val="3B455DE4"/>
    <w:rsid w:val="3B457B92"/>
    <w:rsid w:val="3B4A51A8"/>
    <w:rsid w:val="3B4E2EEA"/>
    <w:rsid w:val="3B53405D"/>
    <w:rsid w:val="3B54341B"/>
    <w:rsid w:val="3B554279"/>
    <w:rsid w:val="3B556027"/>
    <w:rsid w:val="3B572D45"/>
    <w:rsid w:val="3B5F0C53"/>
    <w:rsid w:val="3B602C1D"/>
    <w:rsid w:val="3B6049CB"/>
    <w:rsid w:val="3B616CFF"/>
    <w:rsid w:val="3B6259F6"/>
    <w:rsid w:val="3B6C15C2"/>
    <w:rsid w:val="3B6C511E"/>
    <w:rsid w:val="3B765F9D"/>
    <w:rsid w:val="3B7B1805"/>
    <w:rsid w:val="3B7C7A57"/>
    <w:rsid w:val="3B844B5E"/>
    <w:rsid w:val="3B854432"/>
    <w:rsid w:val="3B881B73"/>
    <w:rsid w:val="3B8A07A5"/>
    <w:rsid w:val="3B8A37F6"/>
    <w:rsid w:val="3B8B1A48"/>
    <w:rsid w:val="3B8E05B6"/>
    <w:rsid w:val="3B903503"/>
    <w:rsid w:val="3B976654"/>
    <w:rsid w:val="3B984165"/>
    <w:rsid w:val="3B9E00AB"/>
    <w:rsid w:val="3BA553AD"/>
    <w:rsid w:val="3BA64AD4"/>
    <w:rsid w:val="3BA7084C"/>
    <w:rsid w:val="3BA725FA"/>
    <w:rsid w:val="3BAB20EB"/>
    <w:rsid w:val="3BAB3E99"/>
    <w:rsid w:val="3BAC19BF"/>
    <w:rsid w:val="3BB15227"/>
    <w:rsid w:val="3BB371F1"/>
    <w:rsid w:val="3BB54D17"/>
    <w:rsid w:val="3BB6283D"/>
    <w:rsid w:val="3BB645EB"/>
    <w:rsid w:val="3BBA232E"/>
    <w:rsid w:val="3BBA40DC"/>
    <w:rsid w:val="3BBD597A"/>
    <w:rsid w:val="3BC01EFC"/>
    <w:rsid w:val="3BC767F9"/>
    <w:rsid w:val="3BC82C9D"/>
    <w:rsid w:val="3BCA786A"/>
    <w:rsid w:val="3BCB3FF7"/>
    <w:rsid w:val="3BCB453B"/>
    <w:rsid w:val="3BCD02B3"/>
    <w:rsid w:val="3BD31E2F"/>
    <w:rsid w:val="3BD3519D"/>
    <w:rsid w:val="3BD43EC7"/>
    <w:rsid w:val="3BD72EE0"/>
    <w:rsid w:val="3BDA477E"/>
    <w:rsid w:val="3BDD7DCA"/>
    <w:rsid w:val="3BE52143"/>
    <w:rsid w:val="3BEB0739"/>
    <w:rsid w:val="3BEB24E7"/>
    <w:rsid w:val="3BF03FA1"/>
    <w:rsid w:val="3BF07AFD"/>
    <w:rsid w:val="3BF15831"/>
    <w:rsid w:val="3BF55114"/>
    <w:rsid w:val="3BF770DE"/>
    <w:rsid w:val="3BFA6BCE"/>
    <w:rsid w:val="3BFE13B9"/>
    <w:rsid w:val="3BFF2436"/>
    <w:rsid w:val="3C0161AE"/>
    <w:rsid w:val="3C0417FB"/>
    <w:rsid w:val="3C0637C5"/>
    <w:rsid w:val="3C08753D"/>
    <w:rsid w:val="3C0D4B53"/>
    <w:rsid w:val="3C0E4427"/>
    <w:rsid w:val="3C105946"/>
    <w:rsid w:val="3C145EE2"/>
    <w:rsid w:val="3C153A08"/>
    <w:rsid w:val="3C1F03E3"/>
    <w:rsid w:val="3C1F6635"/>
    <w:rsid w:val="3C2171F9"/>
    <w:rsid w:val="3C243C4B"/>
    <w:rsid w:val="3C2459F9"/>
    <w:rsid w:val="3C2D0D52"/>
    <w:rsid w:val="3C2D2B00"/>
    <w:rsid w:val="3C2D6FA3"/>
    <w:rsid w:val="3C320116"/>
    <w:rsid w:val="3C333E8E"/>
    <w:rsid w:val="3C395948"/>
    <w:rsid w:val="3C3C0F95"/>
    <w:rsid w:val="3C3D4818"/>
    <w:rsid w:val="3C3E2F5F"/>
    <w:rsid w:val="3C3F2833"/>
    <w:rsid w:val="3C3F7138"/>
    <w:rsid w:val="3C401D09"/>
    <w:rsid w:val="3C4165AB"/>
    <w:rsid w:val="3C44609B"/>
    <w:rsid w:val="3C461E13"/>
    <w:rsid w:val="3C471448"/>
    <w:rsid w:val="3C4936B2"/>
    <w:rsid w:val="3C4D3DFC"/>
    <w:rsid w:val="3C4D6CFE"/>
    <w:rsid w:val="3C5207B8"/>
    <w:rsid w:val="3C5462DE"/>
    <w:rsid w:val="3C5702CE"/>
    <w:rsid w:val="3C575DCE"/>
    <w:rsid w:val="3C5A5481"/>
    <w:rsid w:val="3C5E53AF"/>
    <w:rsid w:val="3C5F4C83"/>
    <w:rsid w:val="3C5F759A"/>
    <w:rsid w:val="3C60261C"/>
    <w:rsid w:val="3C634773"/>
    <w:rsid w:val="3C6417B2"/>
    <w:rsid w:val="3C667DC0"/>
    <w:rsid w:val="3C681D8A"/>
    <w:rsid w:val="3C6B187A"/>
    <w:rsid w:val="3C6C525A"/>
    <w:rsid w:val="3C6D114E"/>
    <w:rsid w:val="3C700C3E"/>
    <w:rsid w:val="3C722C08"/>
    <w:rsid w:val="3C7249B6"/>
    <w:rsid w:val="3C7544A7"/>
    <w:rsid w:val="3C85300E"/>
    <w:rsid w:val="3C860462"/>
    <w:rsid w:val="3C8666B4"/>
    <w:rsid w:val="3C88242C"/>
    <w:rsid w:val="3C8A61A4"/>
    <w:rsid w:val="3C8D359E"/>
    <w:rsid w:val="3C8F5829"/>
    <w:rsid w:val="3C9012E0"/>
    <w:rsid w:val="3C90308E"/>
    <w:rsid w:val="3C96480D"/>
    <w:rsid w:val="3C990195"/>
    <w:rsid w:val="3C9B3F0D"/>
    <w:rsid w:val="3C9C1A33"/>
    <w:rsid w:val="3C9E39FD"/>
    <w:rsid w:val="3CA21308"/>
    <w:rsid w:val="3CA32DC2"/>
    <w:rsid w:val="3CA56B3A"/>
    <w:rsid w:val="3CB274A9"/>
    <w:rsid w:val="3CB66F99"/>
    <w:rsid w:val="3CB90837"/>
    <w:rsid w:val="3CBB635D"/>
    <w:rsid w:val="3CC05722"/>
    <w:rsid w:val="3CC1149A"/>
    <w:rsid w:val="3CC44440"/>
    <w:rsid w:val="3CC571DC"/>
    <w:rsid w:val="3CCB2319"/>
    <w:rsid w:val="3CCB40C7"/>
    <w:rsid w:val="3CCC57A3"/>
    <w:rsid w:val="3CCE23CB"/>
    <w:rsid w:val="3CD016DD"/>
    <w:rsid w:val="3CD13DD3"/>
    <w:rsid w:val="3CD17D17"/>
    <w:rsid w:val="3CD613E9"/>
    <w:rsid w:val="3CDB69FF"/>
    <w:rsid w:val="3CE04016"/>
    <w:rsid w:val="3CE05DC4"/>
    <w:rsid w:val="3CE21B3C"/>
    <w:rsid w:val="3CE27D8E"/>
    <w:rsid w:val="3CE31410"/>
    <w:rsid w:val="3CE77152"/>
    <w:rsid w:val="3CE8383B"/>
    <w:rsid w:val="3CEC4769"/>
    <w:rsid w:val="3CEF4259"/>
    <w:rsid w:val="3CF03B2D"/>
    <w:rsid w:val="3CF655E7"/>
    <w:rsid w:val="3CF80470"/>
    <w:rsid w:val="3CFC24D2"/>
    <w:rsid w:val="3D000214"/>
    <w:rsid w:val="3D036D02"/>
    <w:rsid w:val="3D037D04"/>
    <w:rsid w:val="3D053A7C"/>
    <w:rsid w:val="3D0575D8"/>
    <w:rsid w:val="3D08531B"/>
    <w:rsid w:val="3D0E0B83"/>
    <w:rsid w:val="3D0F6D82"/>
    <w:rsid w:val="3D112421"/>
    <w:rsid w:val="3D127F47"/>
    <w:rsid w:val="3D136199"/>
    <w:rsid w:val="3D143CBF"/>
    <w:rsid w:val="3D1617E6"/>
    <w:rsid w:val="3D1D0DC6"/>
    <w:rsid w:val="3D22462E"/>
    <w:rsid w:val="3D255ECD"/>
    <w:rsid w:val="3D271C45"/>
    <w:rsid w:val="3D2739F3"/>
    <w:rsid w:val="3D29776B"/>
    <w:rsid w:val="3D2B492D"/>
    <w:rsid w:val="3D31661F"/>
    <w:rsid w:val="3D344362"/>
    <w:rsid w:val="3D356CEA"/>
    <w:rsid w:val="3D3659E4"/>
    <w:rsid w:val="3D3A1978"/>
    <w:rsid w:val="3D3B2FFA"/>
    <w:rsid w:val="3D3C7F39"/>
    <w:rsid w:val="3D440F09"/>
    <w:rsid w:val="3D4504A0"/>
    <w:rsid w:val="3D4756E6"/>
    <w:rsid w:val="3D475E43"/>
    <w:rsid w:val="3D485717"/>
    <w:rsid w:val="3D491BBB"/>
    <w:rsid w:val="3D4C6259"/>
    <w:rsid w:val="3D4E5423"/>
    <w:rsid w:val="3D4E71D1"/>
    <w:rsid w:val="3D4F4CF8"/>
    <w:rsid w:val="3D540560"/>
    <w:rsid w:val="3D567E34"/>
    <w:rsid w:val="3D581DFE"/>
    <w:rsid w:val="3D5B3B5C"/>
    <w:rsid w:val="3D5B544A"/>
    <w:rsid w:val="3D5D647C"/>
    <w:rsid w:val="3D5F1FEF"/>
    <w:rsid w:val="3D624A2B"/>
    <w:rsid w:val="3D6407A3"/>
    <w:rsid w:val="3D6A7D83"/>
    <w:rsid w:val="3D74475E"/>
    <w:rsid w:val="3D7A6218"/>
    <w:rsid w:val="3D7B5AED"/>
    <w:rsid w:val="3D843A0B"/>
    <w:rsid w:val="3D850719"/>
    <w:rsid w:val="3D8552C9"/>
    <w:rsid w:val="3D8734BB"/>
    <w:rsid w:val="3D87623F"/>
    <w:rsid w:val="3D89020A"/>
    <w:rsid w:val="3D8A5D30"/>
    <w:rsid w:val="3D8B21D4"/>
    <w:rsid w:val="3D8C7CFA"/>
    <w:rsid w:val="3D8F1598"/>
    <w:rsid w:val="3D956BAE"/>
    <w:rsid w:val="3D962926"/>
    <w:rsid w:val="3D9646D4"/>
    <w:rsid w:val="3D9A11D4"/>
    <w:rsid w:val="3D9D21CE"/>
    <w:rsid w:val="3DA037A5"/>
    <w:rsid w:val="3DA05553"/>
    <w:rsid w:val="3DA16D89"/>
    <w:rsid w:val="3DA364BE"/>
    <w:rsid w:val="3DA556F2"/>
    <w:rsid w:val="3DA9265A"/>
    <w:rsid w:val="3DA94408"/>
    <w:rsid w:val="3DAB4624"/>
    <w:rsid w:val="3DAC214A"/>
    <w:rsid w:val="3DB50FFF"/>
    <w:rsid w:val="3DB8289D"/>
    <w:rsid w:val="3DBA4867"/>
    <w:rsid w:val="3DBC05DF"/>
    <w:rsid w:val="3DBF59D9"/>
    <w:rsid w:val="3DC01751"/>
    <w:rsid w:val="3DC72AE0"/>
    <w:rsid w:val="3DCB0822"/>
    <w:rsid w:val="3DCC459A"/>
    <w:rsid w:val="3DCC6348"/>
    <w:rsid w:val="3DCE0BAE"/>
    <w:rsid w:val="3DD0408A"/>
    <w:rsid w:val="3DD110BE"/>
    <w:rsid w:val="3DD31485"/>
    <w:rsid w:val="3DD82F3F"/>
    <w:rsid w:val="3DE041CB"/>
    <w:rsid w:val="3DE11DF4"/>
    <w:rsid w:val="3DE25B6C"/>
    <w:rsid w:val="3DE6740A"/>
    <w:rsid w:val="3DEC2546"/>
    <w:rsid w:val="3DEE4511"/>
    <w:rsid w:val="3DF24001"/>
    <w:rsid w:val="3DF37D79"/>
    <w:rsid w:val="3DF711E1"/>
    <w:rsid w:val="3DF8713D"/>
    <w:rsid w:val="3DFA2EB5"/>
    <w:rsid w:val="3E0055CC"/>
    <w:rsid w:val="3E03620E"/>
    <w:rsid w:val="3E043D34"/>
    <w:rsid w:val="3E043F4D"/>
    <w:rsid w:val="3E063608"/>
    <w:rsid w:val="3E09759C"/>
    <w:rsid w:val="3E0A01B7"/>
    <w:rsid w:val="3E0C3B6F"/>
    <w:rsid w:val="3E0D48F6"/>
    <w:rsid w:val="3E0E7918"/>
    <w:rsid w:val="3E0F0CDE"/>
    <w:rsid w:val="3E1026D9"/>
    <w:rsid w:val="3E104487"/>
    <w:rsid w:val="3E1201FF"/>
    <w:rsid w:val="3E1675C3"/>
    <w:rsid w:val="3E173A67"/>
    <w:rsid w:val="3E18158D"/>
    <w:rsid w:val="3E1868B4"/>
    <w:rsid w:val="3E210442"/>
    <w:rsid w:val="3E216694"/>
    <w:rsid w:val="3E285C74"/>
    <w:rsid w:val="3E2972F7"/>
    <w:rsid w:val="3E2E2B5F"/>
    <w:rsid w:val="3E344619"/>
    <w:rsid w:val="3E353EED"/>
    <w:rsid w:val="3E377251"/>
    <w:rsid w:val="3E391C30"/>
    <w:rsid w:val="3E3A59A8"/>
    <w:rsid w:val="3E3B007D"/>
    <w:rsid w:val="3E3C34CE"/>
    <w:rsid w:val="3E412892"/>
    <w:rsid w:val="3E42664B"/>
    <w:rsid w:val="3E4405D4"/>
    <w:rsid w:val="3E495BEB"/>
    <w:rsid w:val="3E4B7B72"/>
    <w:rsid w:val="3E506F79"/>
    <w:rsid w:val="3E522CF1"/>
    <w:rsid w:val="3E587BDC"/>
    <w:rsid w:val="3E595E2E"/>
    <w:rsid w:val="3E5A7334"/>
    <w:rsid w:val="3E5C147A"/>
    <w:rsid w:val="3E612F34"/>
    <w:rsid w:val="3E624969"/>
    <w:rsid w:val="3E646581"/>
    <w:rsid w:val="3E6842C3"/>
    <w:rsid w:val="3E6A003B"/>
    <w:rsid w:val="3E730EFE"/>
    <w:rsid w:val="3E734A16"/>
    <w:rsid w:val="3E772758"/>
    <w:rsid w:val="3E774506"/>
    <w:rsid w:val="3E7762B4"/>
    <w:rsid w:val="3E7A2248"/>
    <w:rsid w:val="3E7B5D6B"/>
    <w:rsid w:val="3E7F160D"/>
    <w:rsid w:val="3E810EE1"/>
    <w:rsid w:val="3E843E66"/>
    <w:rsid w:val="3E88226F"/>
    <w:rsid w:val="3E886713"/>
    <w:rsid w:val="3E8A248B"/>
    <w:rsid w:val="3E8B7FB1"/>
    <w:rsid w:val="3E8E35FE"/>
    <w:rsid w:val="3E8F51FE"/>
    <w:rsid w:val="3E90381A"/>
    <w:rsid w:val="3E9230EE"/>
    <w:rsid w:val="3E926F87"/>
    <w:rsid w:val="3E927592"/>
    <w:rsid w:val="3E946E66"/>
    <w:rsid w:val="3E950E30"/>
    <w:rsid w:val="3E9A59DE"/>
    <w:rsid w:val="3E9E1A93"/>
    <w:rsid w:val="3EA370A9"/>
    <w:rsid w:val="3EA51073"/>
    <w:rsid w:val="3EA80B63"/>
    <w:rsid w:val="3EAB45EF"/>
    <w:rsid w:val="3EAC62CE"/>
    <w:rsid w:val="3EAF2F70"/>
    <w:rsid w:val="3EAF4836"/>
    <w:rsid w:val="3EB07A18"/>
    <w:rsid w:val="3EB412B6"/>
    <w:rsid w:val="3EB70DA6"/>
    <w:rsid w:val="3EB90436"/>
    <w:rsid w:val="3EB94B1E"/>
    <w:rsid w:val="3EC11C25"/>
    <w:rsid w:val="3EC15781"/>
    <w:rsid w:val="3EC33DFA"/>
    <w:rsid w:val="3EC3774B"/>
    <w:rsid w:val="3EC534C3"/>
    <w:rsid w:val="3EC55271"/>
    <w:rsid w:val="3EC62D97"/>
    <w:rsid w:val="3ECA2888"/>
    <w:rsid w:val="3ED454B4"/>
    <w:rsid w:val="3ED656D0"/>
    <w:rsid w:val="3ED92ACB"/>
    <w:rsid w:val="3EDA6843"/>
    <w:rsid w:val="3EE03535"/>
    <w:rsid w:val="3EE31B9B"/>
    <w:rsid w:val="3EE37DED"/>
    <w:rsid w:val="3EE651E8"/>
    <w:rsid w:val="3EEB27FE"/>
    <w:rsid w:val="3EED2A1A"/>
    <w:rsid w:val="3EF26BF1"/>
    <w:rsid w:val="3EF45B57"/>
    <w:rsid w:val="3EF47905"/>
    <w:rsid w:val="3EF50744"/>
    <w:rsid w:val="3EF5367D"/>
    <w:rsid w:val="3EFB6EE5"/>
    <w:rsid w:val="3EFE69D5"/>
    <w:rsid w:val="3F001EF8"/>
    <w:rsid w:val="3F0062A9"/>
    <w:rsid w:val="3F051B12"/>
    <w:rsid w:val="3F057D64"/>
    <w:rsid w:val="3F060E16"/>
    <w:rsid w:val="3F081602"/>
    <w:rsid w:val="3F0A6FBE"/>
    <w:rsid w:val="3F0D4E6A"/>
    <w:rsid w:val="3F0F0BE2"/>
    <w:rsid w:val="3F11495A"/>
    <w:rsid w:val="3F125FDD"/>
    <w:rsid w:val="3F163D1F"/>
    <w:rsid w:val="3F1B1335"/>
    <w:rsid w:val="3F1C6E5B"/>
    <w:rsid w:val="3F1D1096"/>
    <w:rsid w:val="3F1D32FF"/>
    <w:rsid w:val="3F1E7077"/>
    <w:rsid w:val="3F220916"/>
    <w:rsid w:val="3F253F62"/>
    <w:rsid w:val="3F2A77CA"/>
    <w:rsid w:val="3F2C52F0"/>
    <w:rsid w:val="3F2D1069"/>
    <w:rsid w:val="3F2D2E17"/>
    <w:rsid w:val="3F2F0234"/>
    <w:rsid w:val="3F322AD5"/>
    <w:rsid w:val="3F3356A6"/>
    <w:rsid w:val="3F3B19D7"/>
    <w:rsid w:val="3F3F65AD"/>
    <w:rsid w:val="3F450160"/>
    <w:rsid w:val="3F47037C"/>
    <w:rsid w:val="3F47212A"/>
    <w:rsid w:val="3F473ED8"/>
    <w:rsid w:val="3F4A39C9"/>
    <w:rsid w:val="3F4F5483"/>
    <w:rsid w:val="3F50095C"/>
    <w:rsid w:val="3F593C0C"/>
    <w:rsid w:val="3F5B3E28"/>
    <w:rsid w:val="3F5C5D42"/>
    <w:rsid w:val="3F5E1222"/>
    <w:rsid w:val="3F6031EC"/>
    <w:rsid w:val="3F620D12"/>
    <w:rsid w:val="3F632CDC"/>
    <w:rsid w:val="3F6363FE"/>
    <w:rsid w:val="3F650802"/>
    <w:rsid w:val="3F6A406B"/>
    <w:rsid w:val="3F710F55"/>
    <w:rsid w:val="3F744EE9"/>
    <w:rsid w:val="3F746C6A"/>
    <w:rsid w:val="3F746C97"/>
    <w:rsid w:val="3F756B8F"/>
    <w:rsid w:val="3F760C61"/>
    <w:rsid w:val="3F780536"/>
    <w:rsid w:val="3F786788"/>
    <w:rsid w:val="3F7F64A7"/>
    <w:rsid w:val="3F80563C"/>
    <w:rsid w:val="3F874C1D"/>
    <w:rsid w:val="3F8769CB"/>
    <w:rsid w:val="3F8E7D59"/>
    <w:rsid w:val="3F8F587F"/>
    <w:rsid w:val="3F93711E"/>
    <w:rsid w:val="3F9410E8"/>
    <w:rsid w:val="3F95482B"/>
    <w:rsid w:val="3F980BD8"/>
    <w:rsid w:val="3F984734"/>
    <w:rsid w:val="3F9904AC"/>
    <w:rsid w:val="3F9A4B71"/>
    <w:rsid w:val="3F9C0C67"/>
    <w:rsid w:val="3F9D1D4A"/>
    <w:rsid w:val="3F9E5AC2"/>
    <w:rsid w:val="3FA0183A"/>
    <w:rsid w:val="3FA05CDE"/>
    <w:rsid w:val="3FA255B3"/>
    <w:rsid w:val="3FA330D9"/>
    <w:rsid w:val="3FB3156E"/>
    <w:rsid w:val="3FB35A12"/>
    <w:rsid w:val="3FB452E6"/>
    <w:rsid w:val="3FBB48C6"/>
    <w:rsid w:val="3FBF43B6"/>
    <w:rsid w:val="3FBF6165"/>
    <w:rsid w:val="3FC65745"/>
    <w:rsid w:val="3FC740EB"/>
    <w:rsid w:val="3FC76DC7"/>
    <w:rsid w:val="3FD905A6"/>
    <w:rsid w:val="3FDB0124"/>
    <w:rsid w:val="3FDF05B5"/>
    <w:rsid w:val="3FDF6807"/>
    <w:rsid w:val="3FE060DB"/>
    <w:rsid w:val="3FE235B1"/>
    <w:rsid w:val="3FE47979"/>
    <w:rsid w:val="3FE67B95"/>
    <w:rsid w:val="3FE91433"/>
    <w:rsid w:val="3FEA0D08"/>
    <w:rsid w:val="3FEC4A80"/>
    <w:rsid w:val="3FF027C2"/>
    <w:rsid w:val="3FF04570"/>
    <w:rsid w:val="3FF102E8"/>
    <w:rsid w:val="3FFA0F4B"/>
    <w:rsid w:val="3FFB2F15"/>
    <w:rsid w:val="3FFD4EDF"/>
    <w:rsid w:val="40003751"/>
    <w:rsid w:val="40094AB4"/>
    <w:rsid w:val="400C4B76"/>
    <w:rsid w:val="400D3374"/>
    <w:rsid w:val="400E0E9A"/>
    <w:rsid w:val="400E49F6"/>
    <w:rsid w:val="401364B0"/>
    <w:rsid w:val="40152228"/>
    <w:rsid w:val="40153FD6"/>
    <w:rsid w:val="40155D85"/>
    <w:rsid w:val="4019356B"/>
    <w:rsid w:val="401A15ED"/>
    <w:rsid w:val="401F09B1"/>
    <w:rsid w:val="4024246B"/>
    <w:rsid w:val="40271F5C"/>
    <w:rsid w:val="40275AB8"/>
    <w:rsid w:val="402B1A4C"/>
    <w:rsid w:val="402B55A8"/>
    <w:rsid w:val="40300E10"/>
    <w:rsid w:val="40356427"/>
    <w:rsid w:val="4037219F"/>
    <w:rsid w:val="40381A73"/>
    <w:rsid w:val="403A1C8F"/>
    <w:rsid w:val="403C77B5"/>
    <w:rsid w:val="403F72A5"/>
    <w:rsid w:val="40427815"/>
    <w:rsid w:val="40460634"/>
    <w:rsid w:val="404843AC"/>
    <w:rsid w:val="40496264"/>
    <w:rsid w:val="404B17A6"/>
    <w:rsid w:val="404E74E8"/>
    <w:rsid w:val="40552625"/>
    <w:rsid w:val="40572841"/>
    <w:rsid w:val="405745EF"/>
    <w:rsid w:val="40592157"/>
    <w:rsid w:val="405C03BC"/>
    <w:rsid w:val="405D2655"/>
    <w:rsid w:val="405E58AD"/>
    <w:rsid w:val="405F16F6"/>
    <w:rsid w:val="4061721C"/>
    <w:rsid w:val="40640ABA"/>
    <w:rsid w:val="40644F5E"/>
    <w:rsid w:val="4065146E"/>
    <w:rsid w:val="40664832"/>
    <w:rsid w:val="406E1CAE"/>
    <w:rsid w:val="40721429"/>
    <w:rsid w:val="40747AD3"/>
    <w:rsid w:val="40750F19"/>
    <w:rsid w:val="40752CC7"/>
    <w:rsid w:val="40754A75"/>
    <w:rsid w:val="407F76A2"/>
    <w:rsid w:val="40842F0A"/>
    <w:rsid w:val="40844CB8"/>
    <w:rsid w:val="40860A30"/>
    <w:rsid w:val="40866C82"/>
    <w:rsid w:val="408D0011"/>
    <w:rsid w:val="408F1FDB"/>
    <w:rsid w:val="4090365D"/>
    <w:rsid w:val="409061EF"/>
    <w:rsid w:val="40970E8F"/>
    <w:rsid w:val="409A272E"/>
    <w:rsid w:val="409F5F96"/>
    <w:rsid w:val="40A0133A"/>
    <w:rsid w:val="40A06146"/>
    <w:rsid w:val="40A13ABC"/>
    <w:rsid w:val="40A23390"/>
    <w:rsid w:val="40A47108"/>
    <w:rsid w:val="40A67324"/>
    <w:rsid w:val="40A86BF9"/>
    <w:rsid w:val="40AC70B9"/>
    <w:rsid w:val="40AD06B3"/>
    <w:rsid w:val="40B03CFF"/>
    <w:rsid w:val="40B25CC9"/>
    <w:rsid w:val="40B3559D"/>
    <w:rsid w:val="40B732E0"/>
    <w:rsid w:val="40B97058"/>
    <w:rsid w:val="40BA0DD8"/>
    <w:rsid w:val="40BE58C5"/>
    <w:rsid w:val="40C003E6"/>
    <w:rsid w:val="40C31A53"/>
    <w:rsid w:val="40C477AB"/>
    <w:rsid w:val="40C55EEB"/>
    <w:rsid w:val="40CF687B"/>
    <w:rsid w:val="40D21EC7"/>
    <w:rsid w:val="40D75730"/>
    <w:rsid w:val="40D93256"/>
    <w:rsid w:val="40D961FE"/>
    <w:rsid w:val="40DC4AF4"/>
    <w:rsid w:val="40E165AE"/>
    <w:rsid w:val="40E178A6"/>
    <w:rsid w:val="40E37C31"/>
    <w:rsid w:val="40E8793D"/>
    <w:rsid w:val="40F01597"/>
    <w:rsid w:val="40F0234E"/>
    <w:rsid w:val="40F462E2"/>
    <w:rsid w:val="40F57964"/>
    <w:rsid w:val="40F736DC"/>
    <w:rsid w:val="40F77B80"/>
    <w:rsid w:val="40FA369A"/>
    <w:rsid w:val="40FB7670"/>
    <w:rsid w:val="40FF545D"/>
    <w:rsid w:val="410067C8"/>
    <w:rsid w:val="41012A9F"/>
    <w:rsid w:val="41032081"/>
    <w:rsid w:val="410A1661"/>
    <w:rsid w:val="410D73A4"/>
    <w:rsid w:val="410F49D4"/>
    <w:rsid w:val="411029F0"/>
    <w:rsid w:val="4110479E"/>
    <w:rsid w:val="41120516"/>
    <w:rsid w:val="411424E0"/>
    <w:rsid w:val="41171FD0"/>
    <w:rsid w:val="411B561D"/>
    <w:rsid w:val="411E510D"/>
    <w:rsid w:val="4125649B"/>
    <w:rsid w:val="41265D6F"/>
    <w:rsid w:val="41306BEE"/>
    <w:rsid w:val="4134048C"/>
    <w:rsid w:val="41395AA3"/>
    <w:rsid w:val="413B7A6D"/>
    <w:rsid w:val="413C5593"/>
    <w:rsid w:val="413E57AF"/>
    <w:rsid w:val="414032D5"/>
    <w:rsid w:val="4148218A"/>
    <w:rsid w:val="414F176A"/>
    <w:rsid w:val="415A6F31"/>
    <w:rsid w:val="415D3E87"/>
    <w:rsid w:val="41650F8E"/>
    <w:rsid w:val="41656898"/>
    <w:rsid w:val="416B08B7"/>
    <w:rsid w:val="416C39BC"/>
    <w:rsid w:val="416F5968"/>
    <w:rsid w:val="41724C5D"/>
    <w:rsid w:val="41727207"/>
    <w:rsid w:val="41760AA5"/>
    <w:rsid w:val="417967E7"/>
    <w:rsid w:val="417E7512"/>
    <w:rsid w:val="4185518C"/>
    <w:rsid w:val="41874A60"/>
    <w:rsid w:val="41894C7C"/>
    <w:rsid w:val="418D5DEE"/>
    <w:rsid w:val="418F0D2A"/>
    <w:rsid w:val="41916EBC"/>
    <w:rsid w:val="419453CF"/>
    <w:rsid w:val="419B675D"/>
    <w:rsid w:val="419E624E"/>
    <w:rsid w:val="41A35612"/>
    <w:rsid w:val="41A50EAD"/>
    <w:rsid w:val="41A51F5F"/>
    <w:rsid w:val="41A575DC"/>
    <w:rsid w:val="41A73354"/>
    <w:rsid w:val="41A970CC"/>
    <w:rsid w:val="41AC44C7"/>
    <w:rsid w:val="41B25855"/>
    <w:rsid w:val="41B31CF9"/>
    <w:rsid w:val="41B45A71"/>
    <w:rsid w:val="41B82E6B"/>
    <w:rsid w:val="41BB6E00"/>
    <w:rsid w:val="41BD0482"/>
    <w:rsid w:val="41BE41FA"/>
    <w:rsid w:val="41BF069E"/>
    <w:rsid w:val="41C2018E"/>
    <w:rsid w:val="41C23CEA"/>
    <w:rsid w:val="41C45CB4"/>
    <w:rsid w:val="41C55588"/>
    <w:rsid w:val="41C932CA"/>
    <w:rsid w:val="41CF6407"/>
    <w:rsid w:val="41D01505"/>
    <w:rsid w:val="41D34149"/>
    <w:rsid w:val="41D57EC1"/>
    <w:rsid w:val="41D61543"/>
    <w:rsid w:val="41D67795"/>
    <w:rsid w:val="41E33AEE"/>
    <w:rsid w:val="41E55C2A"/>
    <w:rsid w:val="41E90FA4"/>
    <w:rsid w:val="41EE2D31"/>
    <w:rsid w:val="41F320F5"/>
    <w:rsid w:val="41F85FC5"/>
    <w:rsid w:val="41F8770C"/>
    <w:rsid w:val="41FA3AEB"/>
    <w:rsid w:val="42010CB6"/>
    <w:rsid w:val="4202058A"/>
    <w:rsid w:val="420473BE"/>
    <w:rsid w:val="420A7AE5"/>
    <w:rsid w:val="420F2CA7"/>
    <w:rsid w:val="421107CE"/>
    <w:rsid w:val="42154762"/>
    <w:rsid w:val="42156510"/>
    <w:rsid w:val="421D53C4"/>
    <w:rsid w:val="421F738E"/>
    <w:rsid w:val="421F7A2F"/>
    <w:rsid w:val="422C3859"/>
    <w:rsid w:val="422C5607"/>
    <w:rsid w:val="4230334A"/>
    <w:rsid w:val="42341F06"/>
    <w:rsid w:val="423544BC"/>
    <w:rsid w:val="42383FAC"/>
    <w:rsid w:val="423D10B8"/>
    <w:rsid w:val="424164B7"/>
    <w:rsid w:val="4243056B"/>
    <w:rsid w:val="42440BA3"/>
    <w:rsid w:val="424566C9"/>
    <w:rsid w:val="42472441"/>
    <w:rsid w:val="424741EF"/>
    <w:rsid w:val="42474939"/>
    <w:rsid w:val="42495701"/>
    <w:rsid w:val="42497F67"/>
    <w:rsid w:val="424C3C57"/>
    <w:rsid w:val="424E557E"/>
    <w:rsid w:val="42521512"/>
    <w:rsid w:val="42552DB0"/>
    <w:rsid w:val="425A2175"/>
    <w:rsid w:val="425C413F"/>
    <w:rsid w:val="425D3A13"/>
    <w:rsid w:val="425D7EB7"/>
    <w:rsid w:val="42610F23"/>
    <w:rsid w:val="42613FF3"/>
    <w:rsid w:val="42644DA1"/>
    <w:rsid w:val="42660D96"/>
    <w:rsid w:val="42672AE3"/>
    <w:rsid w:val="4267663F"/>
    <w:rsid w:val="42677E7F"/>
    <w:rsid w:val="4269685C"/>
    <w:rsid w:val="426D00FA"/>
    <w:rsid w:val="42701998"/>
    <w:rsid w:val="42703746"/>
    <w:rsid w:val="42725710"/>
    <w:rsid w:val="42733236"/>
    <w:rsid w:val="427E2307"/>
    <w:rsid w:val="427F607F"/>
    <w:rsid w:val="4283791D"/>
    <w:rsid w:val="42843695"/>
    <w:rsid w:val="42862F6A"/>
    <w:rsid w:val="428667D2"/>
    <w:rsid w:val="4286740D"/>
    <w:rsid w:val="42892A5A"/>
    <w:rsid w:val="428E1E1E"/>
    <w:rsid w:val="428E62C2"/>
    <w:rsid w:val="42905B96"/>
    <w:rsid w:val="429A6B0D"/>
    <w:rsid w:val="429E0EC5"/>
    <w:rsid w:val="429F227D"/>
    <w:rsid w:val="42A11B51"/>
    <w:rsid w:val="42A27846"/>
    <w:rsid w:val="42A81132"/>
    <w:rsid w:val="42A930FC"/>
    <w:rsid w:val="42A94EAA"/>
    <w:rsid w:val="42AC04F6"/>
    <w:rsid w:val="42AD6748"/>
    <w:rsid w:val="42AE0712"/>
    <w:rsid w:val="42B06238"/>
    <w:rsid w:val="42BA70B7"/>
    <w:rsid w:val="42BC2E2F"/>
    <w:rsid w:val="42BE6BA7"/>
    <w:rsid w:val="42BF647C"/>
    <w:rsid w:val="42C615B8"/>
    <w:rsid w:val="42C74248"/>
    <w:rsid w:val="42C817D4"/>
    <w:rsid w:val="42C972FA"/>
    <w:rsid w:val="42CD1CE0"/>
    <w:rsid w:val="42CD2946"/>
    <w:rsid w:val="42CD3F43"/>
    <w:rsid w:val="42CF1434"/>
    <w:rsid w:val="42D77C69"/>
    <w:rsid w:val="42D81056"/>
    <w:rsid w:val="42D9273C"/>
    <w:rsid w:val="42DC0DDB"/>
    <w:rsid w:val="42DE0FF8"/>
    <w:rsid w:val="42DF08CC"/>
    <w:rsid w:val="42DF267A"/>
    <w:rsid w:val="42E1381E"/>
    <w:rsid w:val="42E3660E"/>
    <w:rsid w:val="42E67EAC"/>
    <w:rsid w:val="42EB101F"/>
    <w:rsid w:val="42ED4D97"/>
    <w:rsid w:val="42ED6459"/>
    <w:rsid w:val="42EE0B0F"/>
    <w:rsid w:val="42F0076D"/>
    <w:rsid w:val="42F04887"/>
    <w:rsid w:val="42F223AD"/>
    <w:rsid w:val="42F275C9"/>
    <w:rsid w:val="42FA74B4"/>
    <w:rsid w:val="42FE0D52"/>
    <w:rsid w:val="42FE58DD"/>
    <w:rsid w:val="43040332"/>
    <w:rsid w:val="43095949"/>
    <w:rsid w:val="430D71E7"/>
    <w:rsid w:val="430E43CD"/>
    <w:rsid w:val="43174B3D"/>
    <w:rsid w:val="43195B8C"/>
    <w:rsid w:val="431A7B56"/>
    <w:rsid w:val="4320784B"/>
    <w:rsid w:val="43252782"/>
    <w:rsid w:val="432664FB"/>
    <w:rsid w:val="4329203E"/>
    <w:rsid w:val="433107D0"/>
    <w:rsid w:val="43326C4D"/>
    <w:rsid w:val="43374264"/>
    <w:rsid w:val="433A3D54"/>
    <w:rsid w:val="433B01F8"/>
    <w:rsid w:val="433B1FA6"/>
    <w:rsid w:val="43430E5B"/>
    <w:rsid w:val="4348021F"/>
    <w:rsid w:val="43482915"/>
    <w:rsid w:val="434B790E"/>
    <w:rsid w:val="434F15AD"/>
    <w:rsid w:val="43505326"/>
    <w:rsid w:val="435272F0"/>
    <w:rsid w:val="4355293C"/>
    <w:rsid w:val="435A4BCB"/>
    <w:rsid w:val="435B2648"/>
    <w:rsid w:val="435B61A4"/>
    <w:rsid w:val="435C6144"/>
    <w:rsid w:val="4360274F"/>
    <w:rsid w:val="43607C5E"/>
    <w:rsid w:val="43615785"/>
    <w:rsid w:val="436C6603"/>
    <w:rsid w:val="436D237B"/>
    <w:rsid w:val="436F1C50"/>
    <w:rsid w:val="43762FDE"/>
    <w:rsid w:val="43784FA8"/>
    <w:rsid w:val="437B6846"/>
    <w:rsid w:val="437C611B"/>
    <w:rsid w:val="437D208E"/>
    <w:rsid w:val="437E6337"/>
    <w:rsid w:val="43805C0B"/>
    <w:rsid w:val="43813731"/>
    <w:rsid w:val="43827BD5"/>
    <w:rsid w:val="43860D47"/>
    <w:rsid w:val="43882D11"/>
    <w:rsid w:val="43903BBF"/>
    <w:rsid w:val="43923B90"/>
    <w:rsid w:val="43947908"/>
    <w:rsid w:val="43977AB6"/>
    <w:rsid w:val="439873F8"/>
    <w:rsid w:val="43996CCD"/>
    <w:rsid w:val="439B0C97"/>
    <w:rsid w:val="439B2A45"/>
    <w:rsid w:val="439D20AF"/>
    <w:rsid w:val="439E0787"/>
    <w:rsid w:val="43A318F9"/>
    <w:rsid w:val="43A3342B"/>
    <w:rsid w:val="43A7763B"/>
    <w:rsid w:val="43AC6A00"/>
    <w:rsid w:val="43AF029E"/>
    <w:rsid w:val="43B12268"/>
    <w:rsid w:val="43B22E45"/>
    <w:rsid w:val="43BB4E95"/>
    <w:rsid w:val="43BF2BD7"/>
    <w:rsid w:val="43C33D49"/>
    <w:rsid w:val="43C53F65"/>
    <w:rsid w:val="43C57E2B"/>
    <w:rsid w:val="43C7383A"/>
    <w:rsid w:val="43C77C27"/>
    <w:rsid w:val="43C95804"/>
    <w:rsid w:val="43CA2530"/>
    <w:rsid w:val="43CD4BC8"/>
    <w:rsid w:val="43CF6B92"/>
    <w:rsid w:val="43D254ED"/>
    <w:rsid w:val="43D441A9"/>
    <w:rsid w:val="43D47D05"/>
    <w:rsid w:val="43D877F5"/>
    <w:rsid w:val="43D917BF"/>
    <w:rsid w:val="43DD4E0B"/>
    <w:rsid w:val="43DE09EE"/>
    <w:rsid w:val="43E048FB"/>
    <w:rsid w:val="43E73EDC"/>
    <w:rsid w:val="43E75C8A"/>
    <w:rsid w:val="43EA7528"/>
    <w:rsid w:val="43EC32A0"/>
    <w:rsid w:val="43EE526A"/>
    <w:rsid w:val="43EE7018"/>
    <w:rsid w:val="43F16B09"/>
    <w:rsid w:val="43F32881"/>
    <w:rsid w:val="43F87E97"/>
    <w:rsid w:val="43FB1735"/>
    <w:rsid w:val="43FE2FD4"/>
    <w:rsid w:val="44002FAD"/>
    <w:rsid w:val="44020D16"/>
    <w:rsid w:val="44024872"/>
    <w:rsid w:val="440525B4"/>
    <w:rsid w:val="440C56F0"/>
    <w:rsid w:val="440C749E"/>
    <w:rsid w:val="440F51E1"/>
    <w:rsid w:val="44136E5D"/>
    <w:rsid w:val="441427F7"/>
    <w:rsid w:val="441507A1"/>
    <w:rsid w:val="4416031D"/>
    <w:rsid w:val="441647C1"/>
    <w:rsid w:val="44185E43"/>
    <w:rsid w:val="441A1A67"/>
    <w:rsid w:val="441A605F"/>
    <w:rsid w:val="442073EE"/>
    <w:rsid w:val="44226CC2"/>
    <w:rsid w:val="442347E8"/>
    <w:rsid w:val="44240C8C"/>
    <w:rsid w:val="442A5B49"/>
    <w:rsid w:val="44305883"/>
    <w:rsid w:val="443749C3"/>
    <w:rsid w:val="443A225E"/>
    <w:rsid w:val="443C4228"/>
    <w:rsid w:val="443F7874"/>
    <w:rsid w:val="44427364"/>
    <w:rsid w:val="44444E8A"/>
    <w:rsid w:val="444B65C3"/>
    <w:rsid w:val="444E7AB7"/>
    <w:rsid w:val="445350CD"/>
    <w:rsid w:val="44562E10"/>
    <w:rsid w:val="445A645C"/>
    <w:rsid w:val="445F7F16"/>
    <w:rsid w:val="44615A3C"/>
    <w:rsid w:val="4462484A"/>
    <w:rsid w:val="446472DA"/>
    <w:rsid w:val="4467501D"/>
    <w:rsid w:val="44691B4C"/>
    <w:rsid w:val="44692B43"/>
    <w:rsid w:val="446948F1"/>
    <w:rsid w:val="446F7A2D"/>
    <w:rsid w:val="447119F7"/>
    <w:rsid w:val="447137A5"/>
    <w:rsid w:val="44775260"/>
    <w:rsid w:val="447A4D50"/>
    <w:rsid w:val="447B3F61"/>
    <w:rsid w:val="447F2366"/>
    <w:rsid w:val="448160DE"/>
    <w:rsid w:val="44827761"/>
    <w:rsid w:val="44833B83"/>
    <w:rsid w:val="448E25A9"/>
    <w:rsid w:val="448E6105"/>
    <w:rsid w:val="449101DD"/>
    <w:rsid w:val="44911A8D"/>
    <w:rsid w:val="44917AE9"/>
    <w:rsid w:val="44986F84"/>
    <w:rsid w:val="449B49DA"/>
    <w:rsid w:val="449D0A3E"/>
    <w:rsid w:val="449D27EC"/>
    <w:rsid w:val="44A43B7B"/>
    <w:rsid w:val="44A8366B"/>
    <w:rsid w:val="44B02520"/>
    <w:rsid w:val="44B26298"/>
    <w:rsid w:val="44BC2C73"/>
    <w:rsid w:val="44C10289"/>
    <w:rsid w:val="44C91833"/>
    <w:rsid w:val="44CB55AC"/>
    <w:rsid w:val="44CD30D2"/>
    <w:rsid w:val="44CD4B7B"/>
    <w:rsid w:val="44D02BC2"/>
    <w:rsid w:val="44D04970"/>
    <w:rsid w:val="44D206E8"/>
    <w:rsid w:val="44D2693A"/>
    <w:rsid w:val="44D37FBC"/>
    <w:rsid w:val="44D73F50"/>
    <w:rsid w:val="44DA134B"/>
    <w:rsid w:val="44DD0E3B"/>
    <w:rsid w:val="44DE1391"/>
    <w:rsid w:val="44DF1057"/>
    <w:rsid w:val="44E16B7D"/>
    <w:rsid w:val="44E26451"/>
    <w:rsid w:val="44E81CBA"/>
    <w:rsid w:val="44E87F0C"/>
    <w:rsid w:val="44ED5522"/>
    <w:rsid w:val="44EE4DF6"/>
    <w:rsid w:val="44F01EAF"/>
    <w:rsid w:val="44F06DC0"/>
    <w:rsid w:val="44F248E6"/>
    <w:rsid w:val="44F3065E"/>
    <w:rsid w:val="44F7014F"/>
    <w:rsid w:val="44F71EFD"/>
    <w:rsid w:val="44FD328B"/>
    <w:rsid w:val="44FE3AFE"/>
    <w:rsid w:val="44FE772F"/>
    <w:rsid w:val="45010FCD"/>
    <w:rsid w:val="45036AF3"/>
    <w:rsid w:val="4504286C"/>
    <w:rsid w:val="4508235C"/>
    <w:rsid w:val="450D34CE"/>
    <w:rsid w:val="450F36EA"/>
    <w:rsid w:val="45102FBE"/>
    <w:rsid w:val="4517434D"/>
    <w:rsid w:val="45184A87"/>
    <w:rsid w:val="451900C5"/>
    <w:rsid w:val="45196317"/>
    <w:rsid w:val="451B225C"/>
    <w:rsid w:val="451D704F"/>
    <w:rsid w:val="451E0AF1"/>
    <w:rsid w:val="4521341D"/>
    <w:rsid w:val="452410C9"/>
    <w:rsid w:val="452627E2"/>
    <w:rsid w:val="452901C3"/>
    <w:rsid w:val="452B2AE3"/>
    <w:rsid w:val="452B604A"/>
    <w:rsid w:val="452B7DF8"/>
    <w:rsid w:val="452E1696"/>
    <w:rsid w:val="453018B3"/>
    <w:rsid w:val="45303661"/>
    <w:rsid w:val="45313B95"/>
    <w:rsid w:val="45317DFB"/>
    <w:rsid w:val="45344EFF"/>
    <w:rsid w:val="45350C77"/>
    <w:rsid w:val="453A003B"/>
    <w:rsid w:val="453C3DB3"/>
    <w:rsid w:val="453E5D7D"/>
    <w:rsid w:val="453E7B2C"/>
    <w:rsid w:val="45405D7F"/>
    <w:rsid w:val="454315E6"/>
    <w:rsid w:val="45433394"/>
    <w:rsid w:val="45442C68"/>
    <w:rsid w:val="45464C32"/>
    <w:rsid w:val="454964D0"/>
    <w:rsid w:val="454B2248"/>
    <w:rsid w:val="454F1EDE"/>
    <w:rsid w:val="4557299B"/>
    <w:rsid w:val="45596608"/>
    <w:rsid w:val="455C26A8"/>
    <w:rsid w:val="455C4456"/>
    <w:rsid w:val="455F7AA2"/>
    <w:rsid w:val="45605CF4"/>
    <w:rsid w:val="45637592"/>
    <w:rsid w:val="4565155C"/>
    <w:rsid w:val="456652D4"/>
    <w:rsid w:val="4568104C"/>
    <w:rsid w:val="456B6447"/>
    <w:rsid w:val="456D0411"/>
    <w:rsid w:val="456D3CE4"/>
    <w:rsid w:val="456E6B63"/>
    <w:rsid w:val="45717F01"/>
    <w:rsid w:val="4574354D"/>
    <w:rsid w:val="45763769"/>
    <w:rsid w:val="4579042C"/>
    <w:rsid w:val="45796DB6"/>
    <w:rsid w:val="457B2B2E"/>
    <w:rsid w:val="457F0571"/>
    <w:rsid w:val="45824D6D"/>
    <w:rsid w:val="45833790"/>
    <w:rsid w:val="45851176"/>
    <w:rsid w:val="458A0FC3"/>
    <w:rsid w:val="458A2D71"/>
    <w:rsid w:val="458D2B6C"/>
    <w:rsid w:val="458F7371"/>
    <w:rsid w:val="45901F42"/>
    <w:rsid w:val="459040FF"/>
    <w:rsid w:val="45912351"/>
    <w:rsid w:val="45967968"/>
    <w:rsid w:val="459736E0"/>
    <w:rsid w:val="4597723C"/>
    <w:rsid w:val="45991206"/>
    <w:rsid w:val="459C0CF6"/>
    <w:rsid w:val="459E05CA"/>
    <w:rsid w:val="45A0234D"/>
    <w:rsid w:val="45A2455E"/>
    <w:rsid w:val="45A55DFD"/>
    <w:rsid w:val="45A57BAB"/>
    <w:rsid w:val="45A831F7"/>
    <w:rsid w:val="45AD2F03"/>
    <w:rsid w:val="45AF0A29"/>
    <w:rsid w:val="45B1654F"/>
    <w:rsid w:val="45B47DEE"/>
    <w:rsid w:val="45BE2A1A"/>
    <w:rsid w:val="45C142B9"/>
    <w:rsid w:val="45C53DA9"/>
    <w:rsid w:val="45C63B94"/>
    <w:rsid w:val="45C67B21"/>
    <w:rsid w:val="45CD7313"/>
    <w:rsid w:val="45D40490"/>
    <w:rsid w:val="45D93CF8"/>
    <w:rsid w:val="45D97854"/>
    <w:rsid w:val="45DE130F"/>
    <w:rsid w:val="45DE4E6B"/>
    <w:rsid w:val="45DF3BFE"/>
    <w:rsid w:val="45E16709"/>
    <w:rsid w:val="45E31539"/>
    <w:rsid w:val="45E5444B"/>
    <w:rsid w:val="45E83F1B"/>
    <w:rsid w:val="45EC3A2B"/>
    <w:rsid w:val="45ED3300"/>
    <w:rsid w:val="45ED50AE"/>
    <w:rsid w:val="45EF0E26"/>
    <w:rsid w:val="45F34DBA"/>
    <w:rsid w:val="45FB34D6"/>
    <w:rsid w:val="45FE72BB"/>
    <w:rsid w:val="46004DE1"/>
    <w:rsid w:val="46032B23"/>
    <w:rsid w:val="460A3EB2"/>
    <w:rsid w:val="460A5C60"/>
    <w:rsid w:val="460E7DA5"/>
    <w:rsid w:val="460F3276"/>
    <w:rsid w:val="46115240"/>
    <w:rsid w:val="4614088C"/>
    <w:rsid w:val="46184820"/>
    <w:rsid w:val="461D3BE5"/>
    <w:rsid w:val="461D5993"/>
    <w:rsid w:val="461E170B"/>
    <w:rsid w:val="461F5BAF"/>
    <w:rsid w:val="462A4554"/>
    <w:rsid w:val="46333408"/>
    <w:rsid w:val="46366582"/>
    <w:rsid w:val="46366A55"/>
    <w:rsid w:val="46386C71"/>
    <w:rsid w:val="46394F03"/>
    <w:rsid w:val="463B050F"/>
    <w:rsid w:val="463D4287"/>
    <w:rsid w:val="46422483"/>
    <w:rsid w:val="46423C4A"/>
    <w:rsid w:val="464253F9"/>
    <w:rsid w:val="46445615"/>
    <w:rsid w:val="46451323"/>
    <w:rsid w:val="46456C98"/>
    <w:rsid w:val="464E0242"/>
    <w:rsid w:val="46517D32"/>
    <w:rsid w:val="4659254A"/>
    <w:rsid w:val="46592743"/>
    <w:rsid w:val="465B0637"/>
    <w:rsid w:val="465D66D7"/>
    <w:rsid w:val="465E3F0D"/>
    <w:rsid w:val="466A16E6"/>
    <w:rsid w:val="466A4950"/>
    <w:rsid w:val="466E61EE"/>
    <w:rsid w:val="466F1F67"/>
    <w:rsid w:val="4670640B"/>
    <w:rsid w:val="46715CDF"/>
    <w:rsid w:val="46731A57"/>
    <w:rsid w:val="46733805"/>
    <w:rsid w:val="46794B93"/>
    <w:rsid w:val="467A2DE5"/>
    <w:rsid w:val="467C4DAF"/>
    <w:rsid w:val="46821C9A"/>
    <w:rsid w:val="46845A12"/>
    <w:rsid w:val="4686494C"/>
    <w:rsid w:val="468772B0"/>
    <w:rsid w:val="46893028"/>
    <w:rsid w:val="46893F2B"/>
    <w:rsid w:val="468A0B4E"/>
    <w:rsid w:val="468B1BDA"/>
    <w:rsid w:val="468E6050"/>
    <w:rsid w:val="4691012F"/>
    <w:rsid w:val="4695585D"/>
    <w:rsid w:val="46955E71"/>
    <w:rsid w:val="4698326B"/>
    <w:rsid w:val="4698770F"/>
    <w:rsid w:val="4699566E"/>
    <w:rsid w:val="469B2D5C"/>
    <w:rsid w:val="469C7200"/>
    <w:rsid w:val="46A240EA"/>
    <w:rsid w:val="46A61E2C"/>
    <w:rsid w:val="46A95479"/>
    <w:rsid w:val="46AB2654"/>
    <w:rsid w:val="46B06807"/>
    <w:rsid w:val="46B34549"/>
    <w:rsid w:val="46B53E1D"/>
    <w:rsid w:val="46B75DE7"/>
    <w:rsid w:val="46BF0ACA"/>
    <w:rsid w:val="46C329DE"/>
    <w:rsid w:val="46C4686E"/>
    <w:rsid w:val="46C71DA3"/>
    <w:rsid w:val="46C81B7C"/>
    <w:rsid w:val="46C95B1B"/>
    <w:rsid w:val="46CC73B9"/>
    <w:rsid w:val="46CE4EDF"/>
    <w:rsid w:val="46D00C57"/>
    <w:rsid w:val="46D02A05"/>
    <w:rsid w:val="46D06EA9"/>
    <w:rsid w:val="46D22C21"/>
    <w:rsid w:val="46D37817"/>
    <w:rsid w:val="46D63D94"/>
    <w:rsid w:val="46D86BA4"/>
    <w:rsid w:val="46EB0968"/>
    <w:rsid w:val="46EB3CE3"/>
    <w:rsid w:val="46F10BCE"/>
    <w:rsid w:val="46F34946"/>
    <w:rsid w:val="46F64B3C"/>
    <w:rsid w:val="46F81F5C"/>
    <w:rsid w:val="46FA3F26"/>
    <w:rsid w:val="46FC5E48"/>
    <w:rsid w:val="46FC7C9E"/>
    <w:rsid w:val="46FF32EA"/>
    <w:rsid w:val="47024B89"/>
    <w:rsid w:val="47060B1D"/>
    <w:rsid w:val="470628CB"/>
    <w:rsid w:val="470703F1"/>
    <w:rsid w:val="470E1780"/>
    <w:rsid w:val="470E79D1"/>
    <w:rsid w:val="471072A6"/>
    <w:rsid w:val="47135863"/>
    <w:rsid w:val="4714323A"/>
    <w:rsid w:val="47152B0E"/>
    <w:rsid w:val="47170634"/>
    <w:rsid w:val="47174AD8"/>
    <w:rsid w:val="47190850"/>
    <w:rsid w:val="471C20EE"/>
    <w:rsid w:val="471D19C3"/>
    <w:rsid w:val="472471F5"/>
    <w:rsid w:val="47282841"/>
    <w:rsid w:val="47297A89"/>
    <w:rsid w:val="472D7E58"/>
    <w:rsid w:val="472F1E22"/>
    <w:rsid w:val="47321912"/>
    <w:rsid w:val="473229DA"/>
    <w:rsid w:val="473311E6"/>
    <w:rsid w:val="47360BFD"/>
    <w:rsid w:val="47372A84"/>
    <w:rsid w:val="47392CA0"/>
    <w:rsid w:val="473A6169"/>
    <w:rsid w:val="473E2065"/>
    <w:rsid w:val="473F25F0"/>
    <w:rsid w:val="47451645"/>
    <w:rsid w:val="474A6C5C"/>
    <w:rsid w:val="474D22A8"/>
    <w:rsid w:val="47515805"/>
    <w:rsid w:val="47523D62"/>
    <w:rsid w:val="47525B10"/>
    <w:rsid w:val="47543636"/>
    <w:rsid w:val="47555600"/>
    <w:rsid w:val="47574ED5"/>
    <w:rsid w:val="475F022D"/>
    <w:rsid w:val="47617B01"/>
    <w:rsid w:val="47627C1A"/>
    <w:rsid w:val="47655843"/>
    <w:rsid w:val="47662F95"/>
    <w:rsid w:val="47694C08"/>
    <w:rsid w:val="476B0980"/>
    <w:rsid w:val="476B4E24"/>
    <w:rsid w:val="476D64A6"/>
    <w:rsid w:val="4770243A"/>
    <w:rsid w:val="47737835"/>
    <w:rsid w:val="47754C00"/>
    <w:rsid w:val="47775577"/>
    <w:rsid w:val="47777325"/>
    <w:rsid w:val="47781E40"/>
    <w:rsid w:val="477934A6"/>
    <w:rsid w:val="47797541"/>
    <w:rsid w:val="477B778F"/>
    <w:rsid w:val="478163F5"/>
    <w:rsid w:val="478203EC"/>
    <w:rsid w:val="47841A42"/>
    <w:rsid w:val="478657BA"/>
    <w:rsid w:val="47867568"/>
    <w:rsid w:val="478704A5"/>
    <w:rsid w:val="47925F0D"/>
    <w:rsid w:val="47975C19"/>
    <w:rsid w:val="47A0687C"/>
    <w:rsid w:val="47A143A2"/>
    <w:rsid w:val="47A345BE"/>
    <w:rsid w:val="47A45C40"/>
    <w:rsid w:val="47A50E5C"/>
    <w:rsid w:val="47A53E92"/>
    <w:rsid w:val="47A83982"/>
    <w:rsid w:val="47A85730"/>
    <w:rsid w:val="47AD0F98"/>
    <w:rsid w:val="47AD2D46"/>
    <w:rsid w:val="47AD71EA"/>
    <w:rsid w:val="47AF2F63"/>
    <w:rsid w:val="47B025FA"/>
    <w:rsid w:val="47B10A89"/>
    <w:rsid w:val="47B24801"/>
    <w:rsid w:val="47B85E42"/>
    <w:rsid w:val="47B95B8F"/>
    <w:rsid w:val="47B9793D"/>
    <w:rsid w:val="47BB36B5"/>
    <w:rsid w:val="47C3256A"/>
    <w:rsid w:val="47C84024"/>
    <w:rsid w:val="47CF0F0F"/>
    <w:rsid w:val="47CF40C9"/>
    <w:rsid w:val="47D12ED9"/>
    <w:rsid w:val="47D14C87"/>
    <w:rsid w:val="47D20B55"/>
    <w:rsid w:val="47D429C9"/>
    <w:rsid w:val="47D604EF"/>
    <w:rsid w:val="47DB78B4"/>
    <w:rsid w:val="47DE55F6"/>
    <w:rsid w:val="47E0136E"/>
    <w:rsid w:val="47E250E6"/>
    <w:rsid w:val="47E36768"/>
    <w:rsid w:val="47E66258"/>
    <w:rsid w:val="47E86474"/>
    <w:rsid w:val="47EA7AF7"/>
    <w:rsid w:val="47EB386F"/>
    <w:rsid w:val="47EC7D13"/>
    <w:rsid w:val="47ED3A8B"/>
    <w:rsid w:val="47EF15B1"/>
    <w:rsid w:val="47F15329"/>
    <w:rsid w:val="47F15FD3"/>
    <w:rsid w:val="47F334C4"/>
    <w:rsid w:val="47F44E19"/>
    <w:rsid w:val="47F60B91"/>
    <w:rsid w:val="47F646ED"/>
    <w:rsid w:val="47F70466"/>
    <w:rsid w:val="47F92430"/>
    <w:rsid w:val="47FB3A63"/>
    <w:rsid w:val="47FE35A2"/>
    <w:rsid w:val="48054931"/>
    <w:rsid w:val="48074B4D"/>
    <w:rsid w:val="48084421"/>
    <w:rsid w:val="4809698F"/>
    <w:rsid w:val="480D1A37"/>
    <w:rsid w:val="480E5EDB"/>
    <w:rsid w:val="480F57AF"/>
    <w:rsid w:val="481132D5"/>
    <w:rsid w:val="4811697D"/>
    <w:rsid w:val="48194880"/>
    <w:rsid w:val="481D611E"/>
    <w:rsid w:val="481D7ECC"/>
    <w:rsid w:val="482C010F"/>
    <w:rsid w:val="482C289E"/>
    <w:rsid w:val="482E032B"/>
    <w:rsid w:val="482F19AD"/>
    <w:rsid w:val="48313978"/>
    <w:rsid w:val="48360F8E"/>
    <w:rsid w:val="48435459"/>
    <w:rsid w:val="48457423"/>
    <w:rsid w:val="484C6A03"/>
    <w:rsid w:val="484E53A6"/>
    <w:rsid w:val="484F3DFE"/>
    <w:rsid w:val="48563CF1"/>
    <w:rsid w:val="48580F04"/>
    <w:rsid w:val="485827BF"/>
    <w:rsid w:val="485901B2"/>
    <w:rsid w:val="48592ECE"/>
    <w:rsid w:val="485A1120"/>
    <w:rsid w:val="485B09F4"/>
    <w:rsid w:val="485E2293"/>
    <w:rsid w:val="486378A9"/>
    <w:rsid w:val="48657AC5"/>
    <w:rsid w:val="48682766"/>
    <w:rsid w:val="486A0C38"/>
    <w:rsid w:val="486C2C02"/>
    <w:rsid w:val="486C49B0"/>
    <w:rsid w:val="486F26F2"/>
    <w:rsid w:val="48710218"/>
    <w:rsid w:val="4876582E"/>
    <w:rsid w:val="487675DC"/>
    <w:rsid w:val="487877F8"/>
    <w:rsid w:val="487A3E25"/>
    <w:rsid w:val="48825CB0"/>
    <w:rsid w:val="48846D6F"/>
    <w:rsid w:val="488A5919"/>
    <w:rsid w:val="488B5503"/>
    <w:rsid w:val="488E0DCA"/>
    <w:rsid w:val="488F069E"/>
    <w:rsid w:val="48937E21"/>
    <w:rsid w:val="48942742"/>
    <w:rsid w:val="48967C7F"/>
    <w:rsid w:val="48981C49"/>
    <w:rsid w:val="48994F34"/>
    <w:rsid w:val="489A0361"/>
    <w:rsid w:val="489A776F"/>
    <w:rsid w:val="489D725F"/>
    <w:rsid w:val="489F6B33"/>
    <w:rsid w:val="48A04659"/>
    <w:rsid w:val="48A24875"/>
    <w:rsid w:val="48A709C8"/>
    <w:rsid w:val="48A979B2"/>
    <w:rsid w:val="48AC1250"/>
    <w:rsid w:val="48B40105"/>
    <w:rsid w:val="48B57211"/>
    <w:rsid w:val="48B620CF"/>
    <w:rsid w:val="48B85E47"/>
    <w:rsid w:val="48B94FF3"/>
    <w:rsid w:val="48BC5937"/>
    <w:rsid w:val="48BD6017"/>
    <w:rsid w:val="48C42A3E"/>
    <w:rsid w:val="48C52312"/>
    <w:rsid w:val="48CC18F2"/>
    <w:rsid w:val="48D03190"/>
    <w:rsid w:val="48D507A7"/>
    <w:rsid w:val="48D80297"/>
    <w:rsid w:val="48DB1B35"/>
    <w:rsid w:val="48DC4673"/>
    <w:rsid w:val="48DD58AD"/>
    <w:rsid w:val="48E0229A"/>
    <w:rsid w:val="48E1714C"/>
    <w:rsid w:val="48E37AAB"/>
    <w:rsid w:val="48E409EA"/>
    <w:rsid w:val="48EE7ABB"/>
    <w:rsid w:val="48F03833"/>
    <w:rsid w:val="48FD1AAC"/>
    <w:rsid w:val="48FD4B4C"/>
    <w:rsid w:val="48FE2C52"/>
    <w:rsid w:val="48FF5823"/>
    <w:rsid w:val="49042E3A"/>
    <w:rsid w:val="490746D8"/>
    <w:rsid w:val="490A68E0"/>
    <w:rsid w:val="490B41C9"/>
    <w:rsid w:val="490E0AFB"/>
    <w:rsid w:val="491055FE"/>
    <w:rsid w:val="49107A31"/>
    <w:rsid w:val="49115557"/>
    <w:rsid w:val="49117305"/>
    <w:rsid w:val="49153299"/>
    <w:rsid w:val="49155047"/>
    <w:rsid w:val="49172B6D"/>
    <w:rsid w:val="491A08B0"/>
    <w:rsid w:val="491A265E"/>
    <w:rsid w:val="491C4628"/>
    <w:rsid w:val="491D5CAA"/>
    <w:rsid w:val="49211C3E"/>
    <w:rsid w:val="49221512"/>
    <w:rsid w:val="4929464F"/>
    <w:rsid w:val="49294C96"/>
    <w:rsid w:val="49325BF9"/>
    <w:rsid w:val="493354CD"/>
    <w:rsid w:val="49357497"/>
    <w:rsid w:val="49396E43"/>
    <w:rsid w:val="493A2D00"/>
    <w:rsid w:val="493C4382"/>
    <w:rsid w:val="493D00FA"/>
    <w:rsid w:val="49415E3C"/>
    <w:rsid w:val="49437E06"/>
    <w:rsid w:val="494476DB"/>
    <w:rsid w:val="494E2307"/>
    <w:rsid w:val="495042D1"/>
    <w:rsid w:val="4953484F"/>
    <w:rsid w:val="49553696"/>
    <w:rsid w:val="495A5150"/>
    <w:rsid w:val="495F5B3E"/>
    <w:rsid w:val="4961028C"/>
    <w:rsid w:val="49647D7D"/>
    <w:rsid w:val="49675177"/>
    <w:rsid w:val="4968161B"/>
    <w:rsid w:val="49690EEF"/>
    <w:rsid w:val="49697141"/>
    <w:rsid w:val="496C13B8"/>
    <w:rsid w:val="496D4E83"/>
    <w:rsid w:val="496F0BFB"/>
    <w:rsid w:val="496F77D7"/>
    <w:rsid w:val="49706721"/>
    <w:rsid w:val="49725FF6"/>
    <w:rsid w:val="497654FD"/>
    <w:rsid w:val="4977185E"/>
    <w:rsid w:val="497C0C22"/>
    <w:rsid w:val="49804BB7"/>
    <w:rsid w:val="49816239"/>
    <w:rsid w:val="49836455"/>
    <w:rsid w:val="4985306E"/>
    <w:rsid w:val="49865F45"/>
    <w:rsid w:val="498F4DFA"/>
    <w:rsid w:val="49940662"/>
    <w:rsid w:val="49956188"/>
    <w:rsid w:val="49961AB2"/>
    <w:rsid w:val="49971F00"/>
    <w:rsid w:val="499A554C"/>
    <w:rsid w:val="499B4A9F"/>
    <w:rsid w:val="499F0DB5"/>
    <w:rsid w:val="49A068D7"/>
    <w:rsid w:val="49A308A5"/>
    <w:rsid w:val="49A5461D"/>
    <w:rsid w:val="49A81A17"/>
    <w:rsid w:val="49A87C69"/>
    <w:rsid w:val="49B44860"/>
    <w:rsid w:val="49B64211"/>
    <w:rsid w:val="49B760FE"/>
    <w:rsid w:val="49B77EAC"/>
    <w:rsid w:val="49B91E77"/>
    <w:rsid w:val="49B93C25"/>
    <w:rsid w:val="49C56A6D"/>
    <w:rsid w:val="49C64593"/>
    <w:rsid w:val="49C83E68"/>
    <w:rsid w:val="49CB3958"/>
    <w:rsid w:val="49CC500E"/>
    <w:rsid w:val="49CD5922"/>
    <w:rsid w:val="49CF3448"/>
    <w:rsid w:val="49D2118A"/>
    <w:rsid w:val="49D22310"/>
    <w:rsid w:val="49D547D7"/>
    <w:rsid w:val="49D56585"/>
    <w:rsid w:val="49D767A1"/>
    <w:rsid w:val="49DE7B2F"/>
    <w:rsid w:val="49DF11B1"/>
    <w:rsid w:val="49E50EBD"/>
    <w:rsid w:val="49E8450A"/>
    <w:rsid w:val="49EA64D4"/>
    <w:rsid w:val="49ED1B20"/>
    <w:rsid w:val="49EF333E"/>
    <w:rsid w:val="49F17862"/>
    <w:rsid w:val="49F6167F"/>
    <w:rsid w:val="49F7474D"/>
    <w:rsid w:val="49F904C5"/>
    <w:rsid w:val="49FB423D"/>
    <w:rsid w:val="49FD0C23"/>
    <w:rsid w:val="49FE1F7F"/>
    <w:rsid w:val="49FF132D"/>
    <w:rsid w:val="4A007BF5"/>
    <w:rsid w:val="4A021E4C"/>
    <w:rsid w:val="4A050C18"/>
    <w:rsid w:val="4A064990"/>
    <w:rsid w:val="4A064FA0"/>
    <w:rsid w:val="4A080293"/>
    <w:rsid w:val="4A0A26D2"/>
    <w:rsid w:val="4A0D21C2"/>
    <w:rsid w:val="4A0F1A96"/>
    <w:rsid w:val="4A113A61"/>
    <w:rsid w:val="4A121587"/>
    <w:rsid w:val="4A1452FF"/>
    <w:rsid w:val="4A162E25"/>
    <w:rsid w:val="4A16615C"/>
    <w:rsid w:val="4A17094B"/>
    <w:rsid w:val="4A174DEF"/>
    <w:rsid w:val="4A1B668D"/>
    <w:rsid w:val="4A1D48B6"/>
    <w:rsid w:val="4A1E7F2C"/>
    <w:rsid w:val="4A25750C"/>
    <w:rsid w:val="4A275032"/>
    <w:rsid w:val="4A2B43F6"/>
    <w:rsid w:val="4A2C2648"/>
    <w:rsid w:val="4A2D63C1"/>
    <w:rsid w:val="4A314103"/>
    <w:rsid w:val="4A322A7B"/>
    <w:rsid w:val="4A3239D7"/>
    <w:rsid w:val="4A392FB7"/>
    <w:rsid w:val="4A3B288C"/>
    <w:rsid w:val="4A3C0AC7"/>
    <w:rsid w:val="4A3D6843"/>
    <w:rsid w:val="4A4060F4"/>
    <w:rsid w:val="4A437992"/>
    <w:rsid w:val="4A4424D7"/>
    <w:rsid w:val="4A45195C"/>
    <w:rsid w:val="4A45370A"/>
    <w:rsid w:val="4A4831FA"/>
    <w:rsid w:val="4A4C2CEB"/>
    <w:rsid w:val="4A4D0811"/>
    <w:rsid w:val="4A4F4589"/>
    <w:rsid w:val="4A513E5D"/>
    <w:rsid w:val="4A520FD4"/>
    <w:rsid w:val="4A5E2A1E"/>
    <w:rsid w:val="4A5E7C88"/>
    <w:rsid w:val="4A637799"/>
    <w:rsid w:val="4A657908"/>
    <w:rsid w:val="4A6C0C97"/>
    <w:rsid w:val="4A6C513B"/>
    <w:rsid w:val="4A6F2535"/>
    <w:rsid w:val="4A7144FF"/>
    <w:rsid w:val="4A7B35D0"/>
    <w:rsid w:val="4A7B3E41"/>
    <w:rsid w:val="4A7F5F45"/>
    <w:rsid w:val="4A833A63"/>
    <w:rsid w:val="4A834233"/>
    <w:rsid w:val="4A8C758B"/>
    <w:rsid w:val="4A8E6E5F"/>
    <w:rsid w:val="4A8F2BD7"/>
    <w:rsid w:val="4A963F66"/>
    <w:rsid w:val="4A985F30"/>
    <w:rsid w:val="4AA06B93"/>
    <w:rsid w:val="4AA448D5"/>
    <w:rsid w:val="4AA541A9"/>
    <w:rsid w:val="4AA76173"/>
    <w:rsid w:val="4AAC19DB"/>
    <w:rsid w:val="4AAC3789"/>
    <w:rsid w:val="4AAD305D"/>
    <w:rsid w:val="4AAE5753"/>
    <w:rsid w:val="4AB42918"/>
    <w:rsid w:val="4AB80380"/>
    <w:rsid w:val="4AB82D0F"/>
    <w:rsid w:val="4ABB1C1E"/>
    <w:rsid w:val="4AC40AD3"/>
    <w:rsid w:val="4AC46D25"/>
    <w:rsid w:val="4ACA3C0F"/>
    <w:rsid w:val="4AD056CA"/>
    <w:rsid w:val="4AD36F68"/>
    <w:rsid w:val="4AD4683C"/>
    <w:rsid w:val="4AD60806"/>
    <w:rsid w:val="4AD66A58"/>
    <w:rsid w:val="4ADD7DE7"/>
    <w:rsid w:val="4ADF590D"/>
    <w:rsid w:val="4AE747C1"/>
    <w:rsid w:val="4AE7656F"/>
    <w:rsid w:val="4AE90539"/>
    <w:rsid w:val="4AEA1B36"/>
    <w:rsid w:val="4AEB42B2"/>
    <w:rsid w:val="4AEB7664"/>
    <w:rsid w:val="4AEC1DD8"/>
    <w:rsid w:val="4AF13892"/>
    <w:rsid w:val="4AF173EE"/>
    <w:rsid w:val="4AF40C8C"/>
    <w:rsid w:val="4AF528F5"/>
    <w:rsid w:val="4AFA44F5"/>
    <w:rsid w:val="4AFD3FE5"/>
    <w:rsid w:val="4AFD7C19"/>
    <w:rsid w:val="4B013AD5"/>
    <w:rsid w:val="4B0233A9"/>
    <w:rsid w:val="4B0435C5"/>
    <w:rsid w:val="4B045373"/>
    <w:rsid w:val="4B0567D1"/>
    <w:rsid w:val="4B0610EB"/>
    <w:rsid w:val="4B074E64"/>
    <w:rsid w:val="4B0F492C"/>
    <w:rsid w:val="4B1650A7"/>
    <w:rsid w:val="4B180E1F"/>
    <w:rsid w:val="4B1D01E3"/>
    <w:rsid w:val="4B1F5D09"/>
    <w:rsid w:val="4B217CD3"/>
    <w:rsid w:val="4B223A4B"/>
    <w:rsid w:val="4B230484"/>
    <w:rsid w:val="4B236AAE"/>
    <w:rsid w:val="4B2477C4"/>
    <w:rsid w:val="4B257D58"/>
    <w:rsid w:val="4B2652EA"/>
    <w:rsid w:val="4B271062"/>
    <w:rsid w:val="4B285784"/>
    <w:rsid w:val="4B296B88"/>
    <w:rsid w:val="4B315A3D"/>
    <w:rsid w:val="4B332897"/>
    <w:rsid w:val="4B3A6FE7"/>
    <w:rsid w:val="4B3C2D5F"/>
    <w:rsid w:val="4B3D089A"/>
    <w:rsid w:val="4B3D284E"/>
    <w:rsid w:val="4B3F0159"/>
    <w:rsid w:val="4B3F63AB"/>
    <w:rsid w:val="4B4003C5"/>
    <w:rsid w:val="4B412124"/>
    <w:rsid w:val="4B43079C"/>
    <w:rsid w:val="4B441C14"/>
    <w:rsid w:val="4B490FD8"/>
    <w:rsid w:val="4B4A78AD"/>
    <w:rsid w:val="4B4C2876"/>
    <w:rsid w:val="4B517E8D"/>
    <w:rsid w:val="4B5E0F27"/>
    <w:rsid w:val="4B643A1E"/>
    <w:rsid w:val="4B7047B7"/>
    <w:rsid w:val="4B707271"/>
    <w:rsid w:val="4B736055"/>
    <w:rsid w:val="4B78366B"/>
    <w:rsid w:val="4B797B0F"/>
    <w:rsid w:val="4B7D0C82"/>
    <w:rsid w:val="4B7F0E9E"/>
    <w:rsid w:val="4B7F49FA"/>
    <w:rsid w:val="4B80232E"/>
    <w:rsid w:val="4B810772"/>
    <w:rsid w:val="4B87527B"/>
    <w:rsid w:val="4B885FA4"/>
    <w:rsid w:val="4B887D52"/>
    <w:rsid w:val="4B8B339F"/>
    <w:rsid w:val="4B8B7843"/>
    <w:rsid w:val="4B8E10E1"/>
    <w:rsid w:val="4B9227C3"/>
    <w:rsid w:val="4B95246F"/>
    <w:rsid w:val="4B9739F7"/>
    <w:rsid w:val="4B9761E7"/>
    <w:rsid w:val="4B9C37FE"/>
    <w:rsid w:val="4B9E1324"/>
    <w:rsid w:val="4B9F509C"/>
    <w:rsid w:val="4BA10E14"/>
    <w:rsid w:val="4BA3693A"/>
    <w:rsid w:val="4BA803F5"/>
    <w:rsid w:val="4BAD1567"/>
    <w:rsid w:val="4BAD34D3"/>
    <w:rsid w:val="4BAD77B9"/>
    <w:rsid w:val="4BB24DCF"/>
    <w:rsid w:val="4BB26FFD"/>
    <w:rsid w:val="4BB328F5"/>
    <w:rsid w:val="4BB52B12"/>
    <w:rsid w:val="4BB74194"/>
    <w:rsid w:val="4BB87F0C"/>
    <w:rsid w:val="4BC44A01"/>
    <w:rsid w:val="4BCB1D03"/>
    <w:rsid w:val="4BD121C5"/>
    <w:rsid w:val="4BD20FCE"/>
    <w:rsid w:val="4BD411EA"/>
    <w:rsid w:val="4BD42F98"/>
    <w:rsid w:val="4BD5286C"/>
    <w:rsid w:val="4BDA4326"/>
    <w:rsid w:val="4BDC1E4C"/>
    <w:rsid w:val="4BEE2503"/>
    <w:rsid w:val="4BF2341E"/>
    <w:rsid w:val="4BF54CBC"/>
    <w:rsid w:val="4BF90C50"/>
    <w:rsid w:val="4BF947AC"/>
    <w:rsid w:val="4BFB49C8"/>
    <w:rsid w:val="4C003D8D"/>
    <w:rsid w:val="4C03387D"/>
    <w:rsid w:val="4C043151"/>
    <w:rsid w:val="4C06511B"/>
    <w:rsid w:val="4C0B44E0"/>
    <w:rsid w:val="4C0D46FC"/>
    <w:rsid w:val="4C0D64AA"/>
    <w:rsid w:val="4C0F5D7E"/>
    <w:rsid w:val="4C115F9A"/>
    <w:rsid w:val="4C12586E"/>
    <w:rsid w:val="4C143394"/>
    <w:rsid w:val="4C1635B0"/>
    <w:rsid w:val="4C1710D6"/>
    <w:rsid w:val="4C1B2975"/>
    <w:rsid w:val="4C1C493F"/>
    <w:rsid w:val="4C207F8B"/>
    <w:rsid w:val="4C245A30"/>
    <w:rsid w:val="4C26756B"/>
    <w:rsid w:val="4C2832E3"/>
    <w:rsid w:val="4C285091"/>
    <w:rsid w:val="4C2A0E0A"/>
    <w:rsid w:val="4C2B6930"/>
    <w:rsid w:val="4C343A36"/>
    <w:rsid w:val="4C3677AE"/>
    <w:rsid w:val="4C373527"/>
    <w:rsid w:val="4C3B55CC"/>
    <w:rsid w:val="4C3E6663"/>
    <w:rsid w:val="4C40062D"/>
    <w:rsid w:val="4C416153"/>
    <w:rsid w:val="4C4243A5"/>
    <w:rsid w:val="4C43011D"/>
    <w:rsid w:val="4C433C79"/>
    <w:rsid w:val="4C4345C0"/>
    <w:rsid w:val="4C465518"/>
    <w:rsid w:val="4C4719BC"/>
    <w:rsid w:val="4C4874E2"/>
    <w:rsid w:val="4C51283A"/>
    <w:rsid w:val="4C5365B2"/>
    <w:rsid w:val="4C5440D8"/>
    <w:rsid w:val="4C567E51"/>
    <w:rsid w:val="4C5C2F8D"/>
    <w:rsid w:val="4C5D11DF"/>
    <w:rsid w:val="4C5E0AB3"/>
    <w:rsid w:val="4C667968"/>
    <w:rsid w:val="4C675BBA"/>
    <w:rsid w:val="4C6A38FC"/>
    <w:rsid w:val="4C6A7458"/>
    <w:rsid w:val="4C714C8A"/>
    <w:rsid w:val="4C72071F"/>
    <w:rsid w:val="4C7402D7"/>
    <w:rsid w:val="4C746529"/>
    <w:rsid w:val="4C765DFD"/>
    <w:rsid w:val="4C793B3F"/>
    <w:rsid w:val="4C7958ED"/>
    <w:rsid w:val="4C7C718B"/>
    <w:rsid w:val="4C871DB8"/>
    <w:rsid w:val="4C883D82"/>
    <w:rsid w:val="4C9170DB"/>
    <w:rsid w:val="4C942727"/>
    <w:rsid w:val="4C951AAA"/>
    <w:rsid w:val="4C9E7102"/>
    <w:rsid w:val="4CA010CC"/>
    <w:rsid w:val="4CA0731E"/>
    <w:rsid w:val="4CAA1F4A"/>
    <w:rsid w:val="4CAA3CF8"/>
    <w:rsid w:val="4CAB232C"/>
    <w:rsid w:val="4CAE158F"/>
    <w:rsid w:val="4CB137D6"/>
    <w:rsid w:val="4CB15087"/>
    <w:rsid w:val="4CB6685F"/>
    <w:rsid w:val="4CB9218D"/>
    <w:rsid w:val="4CBB4158"/>
    <w:rsid w:val="4CBB5F06"/>
    <w:rsid w:val="4CBD3A2C"/>
    <w:rsid w:val="4CBF09AB"/>
    <w:rsid w:val="4CC0351C"/>
    <w:rsid w:val="4CC052CA"/>
    <w:rsid w:val="4CC3505A"/>
    <w:rsid w:val="4CC35BEB"/>
    <w:rsid w:val="4CC367FE"/>
    <w:rsid w:val="4CC50B32"/>
    <w:rsid w:val="4CC83899"/>
    <w:rsid w:val="4CC90623"/>
    <w:rsid w:val="4CCE79E7"/>
    <w:rsid w:val="4CCF550D"/>
    <w:rsid w:val="4CD07C03"/>
    <w:rsid w:val="4CD86AB8"/>
    <w:rsid w:val="4CDA2830"/>
    <w:rsid w:val="4CE03BBE"/>
    <w:rsid w:val="4CE0771A"/>
    <w:rsid w:val="4CE23492"/>
    <w:rsid w:val="4CE27936"/>
    <w:rsid w:val="4CE30FB8"/>
    <w:rsid w:val="4CE511D4"/>
    <w:rsid w:val="4CE84F2B"/>
    <w:rsid w:val="4CEA2347"/>
    <w:rsid w:val="4CEE6E31"/>
    <w:rsid w:val="4CF65190"/>
    <w:rsid w:val="4CF66F3E"/>
    <w:rsid w:val="4CFB09F8"/>
    <w:rsid w:val="4CFB4554"/>
    <w:rsid w:val="4CFD651E"/>
    <w:rsid w:val="4CFF4044"/>
    <w:rsid w:val="4D021D86"/>
    <w:rsid w:val="4D0258E3"/>
    <w:rsid w:val="4D07739D"/>
    <w:rsid w:val="4D077F3C"/>
    <w:rsid w:val="4D0C050F"/>
    <w:rsid w:val="4D0C6761"/>
    <w:rsid w:val="4D113D78"/>
    <w:rsid w:val="4D123355"/>
    <w:rsid w:val="4D183358"/>
    <w:rsid w:val="4D1A0E7E"/>
    <w:rsid w:val="4D1B65FF"/>
    <w:rsid w:val="4D1D096E"/>
    <w:rsid w:val="4D203FBB"/>
    <w:rsid w:val="4D21045F"/>
    <w:rsid w:val="4D241CFD"/>
    <w:rsid w:val="4D2515D1"/>
    <w:rsid w:val="4D267823"/>
    <w:rsid w:val="4D297313"/>
    <w:rsid w:val="4D2A3B31"/>
    <w:rsid w:val="4D2C6E03"/>
    <w:rsid w:val="4D312C52"/>
    <w:rsid w:val="4D317F76"/>
    <w:rsid w:val="4D330192"/>
    <w:rsid w:val="4D3D5DE0"/>
    <w:rsid w:val="4D3F2693"/>
    <w:rsid w:val="4D40640B"/>
    <w:rsid w:val="4D4128AF"/>
    <w:rsid w:val="4D4144B0"/>
    <w:rsid w:val="4D4759EB"/>
    <w:rsid w:val="4D4F2329"/>
    <w:rsid w:val="4D502AF2"/>
    <w:rsid w:val="4D551EB6"/>
    <w:rsid w:val="4D565C2E"/>
    <w:rsid w:val="4D5679DC"/>
    <w:rsid w:val="4D573E80"/>
    <w:rsid w:val="4D602609"/>
    <w:rsid w:val="4D6420F9"/>
    <w:rsid w:val="4D677E3B"/>
    <w:rsid w:val="4D697710"/>
    <w:rsid w:val="4D6E4D26"/>
    <w:rsid w:val="4D754306"/>
    <w:rsid w:val="4D7560B4"/>
    <w:rsid w:val="4D79061A"/>
    <w:rsid w:val="4D7A191D"/>
    <w:rsid w:val="4D7B7443"/>
    <w:rsid w:val="4D812CAB"/>
    <w:rsid w:val="4D821300"/>
    <w:rsid w:val="4D826A23"/>
    <w:rsid w:val="4D866514"/>
    <w:rsid w:val="4D87403A"/>
    <w:rsid w:val="4D891B60"/>
    <w:rsid w:val="4D8C33FE"/>
    <w:rsid w:val="4D8D1626"/>
    <w:rsid w:val="4D8D5BC8"/>
    <w:rsid w:val="4D901140"/>
    <w:rsid w:val="4D905305"/>
    <w:rsid w:val="4D93478D"/>
    <w:rsid w:val="4D964A72"/>
    <w:rsid w:val="4D9724CF"/>
    <w:rsid w:val="4D97538E"/>
    <w:rsid w:val="4D9A5B1B"/>
    <w:rsid w:val="4D9C1254"/>
    <w:rsid w:val="4D9C1893"/>
    <w:rsid w:val="4D9D560B"/>
    <w:rsid w:val="4D9F3131"/>
    <w:rsid w:val="4DA150FB"/>
    <w:rsid w:val="4DA22C22"/>
    <w:rsid w:val="4DA42E3E"/>
    <w:rsid w:val="4DAB7D28"/>
    <w:rsid w:val="4DAE7818"/>
    <w:rsid w:val="4DBE5CAD"/>
    <w:rsid w:val="4DC1754C"/>
    <w:rsid w:val="4DC40DEA"/>
    <w:rsid w:val="4DC62DB4"/>
    <w:rsid w:val="4DC66910"/>
    <w:rsid w:val="4DCA28A4"/>
    <w:rsid w:val="4DCD4142"/>
    <w:rsid w:val="4DD3727F"/>
    <w:rsid w:val="4DD52FF7"/>
    <w:rsid w:val="4DDA060D"/>
    <w:rsid w:val="4DDA23BB"/>
    <w:rsid w:val="4DDB254D"/>
    <w:rsid w:val="4DDD3C5A"/>
    <w:rsid w:val="4DDD65FC"/>
    <w:rsid w:val="4DE374C2"/>
    <w:rsid w:val="4DE84AD8"/>
    <w:rsid w:val="4DEB2042"/>
    <w:rsid w:val="4DEB281B"/>
    <w:rsid w:val="4DEB45C9"/>
    <w:rsid w:val="4DEC34D2"/>
    <w:rsid w:val="4DEF230B"/>
    <w:rsid w:val="4DF25957"/>
    <w:rsid w:val="4DF3347D"/>
    <w:rsid w:val="4DF416CF"/>
    <w:rsid w:val="4DF711BF"/>
    <w:rsid w:val="4DFA0CB0"/>
    <w:rsid w:val="4DFC4A28"/>
    <w:rsid w:val="4DFC67D6"/>
    <w:rsid w:val="4DFE254E"/>
    <w:rsid w:val="4E037B64"/>
    <w:rsid w:val="4E0538DC"/>
    <w:rsid w:val="4E061402"/>
    <w:rsid w:val="4E0833CC"/>
    <w:rsid w:val="4E0F02B7"/>
    <w:rsid w:val="4E0F475B"/>
    <w:rsid w:val="4E10402F"/>
    <w:rsid w:val="4E125FF9"/>
    <w:rsid w:val="4E127DA7"/>
    <w:rsid w:val="4E19322E"/>
    <w:rsid w:val="4E1A6C5C"/>
    <w:rsid w:val="4E1E674C"/>
    <w:rsid w:val="4E1F4272"/>
    <w:rsid w:val="4E21623C"/>
    <w:rsid w:val="4E217FEA"/>
    <w:rsid w:val="4E224CE2"/>
    <w:rsid w:val="4E233D62"/>
    <w:rsid w:val="4E296E9F"/>
    <w:rsid w:val="4E2A50F1"/>
    <w:rsid w:val="4E2F2816"/>
    <w:rsid w:val="4E3061FA"/>
    <w:rsid w:val="4E30647F"/>
    <w:rsid w:val="4E320449"/>
    <w:rsid w:val="4E3441C2"/>
    <w:rsid w:val="4E383A52"/>
    <w:rsid w:val="4E3B5550"/>
    <w:rsid w:val="4E3B72FE"/>
    <w:rsid w:val="4E3C6BD2"/>
    <w:rsid w:val="4E3E2D7A"/>
    <w:rsid w:val="4E402B66"/>
    <w:rsid w:val="4E434B6B"/>
    <w:rsid w:val="4E437F61"/>
    <w:rsid w:val="4E487C6D"/>
    <w:rsid w:val="4E4A7541"/>
    <w:rsid w:val="4E4B5067"/>
    <w:rsid w:val="4E4D0DDF"/>
    <w:rsid w:val="4E4D7031"/>
    <w:rsid w:val="4E4F4B57"/>
    <w:rsid w:val="4E50267E"/>
    <w:rsid w:val="4E5B79A0"/>
    <w:rsid w:val="4E600B13"/>
    <w:rsid w:val="4E616639"/>
    <w:rsid w:val="4E630603"/>
    <w:rsid w:val="4E636855"/>
    <w:rsid w:val="4E656129"/>
    <w:rsid w:val="4E742810"/>
    <w:rsid w:val="4E793892"/>
    <w:rsid w:val="4E7D7917"/>
    <w:rsid w:val="4E800872"/>
    <w:rsid w:val="4E8011B5"/>
    <w:rsid w:val="4E811C22"/>
    <w:rsid w:val="4E854A1D"/>
    <w:rsid w:val="4E85550F"/>
    <w:rsid w:val="4E8642F1"/>
    <w:rsid w:val="4E8D5131"/>
    <w:rsid w:val="4EA03605"/>
    <w:rsid w:val="4EA07161"/>
    <w:rsid w:val="4EA12ED9"/>
    <w:rsid w:val="4EA529C9"/>
    <w:rsid w:val="4EAA6232"/>
    <w:rsid w:val="4EAA7FE0"/>
    <w:rsid w:val="4EAC1FAA"/>
    <w:rsid w:val="4EAC3D58"/>
    <w:rsid w:val="4EAF1A9A"/>
    <w:rsid w:val="4EAF3848"/>
    <w:rsid w:val="4EB40E5E"/>
    <w:rsid w:val="4EB470B0"/>
    <w:rsid w:val="4EC15329"/>
    <w:rsid w:val="4EC45545"/>
    <w:rsid w:val="4EC569ED"/>
    <w:rsid w:val="4EC63E32"/>
    <w:rsid w:val="4EC866B8"/>
    <w:rsid w:val="4ECC61A8"/>
    <w:rsid w:val="4ECD1F20"/>
    <w:rsid w:val="4ECE0172"/>
    <w:rsid w:val="4ED41763"/>
    <w:rsid w:val="4ED50EA1"/>
    <w:rsid w:val="4ED82D9F"/>
    <w:rsid w:val="4EDB463D"/>
    <w:rsid w:val="4EEC050C"/>
    <w:rsid w:val="4EED611E"/>
    <w:rsid w:val="4EEE303D"/>
    <w:rsid w:val="4EEE4370"/>
    <w:rsid w:val="4EF92D15"/>
    <w:rsid w:val="4EFA2729"/>
    <w:rsid w:val="4EFB4CDF"/>
    <w:rsid w:val="4F0374B4"/>
    <w:rsid w:val="4F0A0A7E"/>
    <w:rsid w:val="4F0D7768"/>
    <w:rsid w:val="4F0E056F"/>
    <w:rsid w:val="4F104EC3"/>
    <w:rsid w:val="4F130CF7"/>
    <w:rsid w:val="4F133DD7"/>
    <w:rsid w:val="4F18319B"/>
    <w:rsid w:val="4F195165"/>
    <w:rsid w:val="4F196F13"/>
    <w:rsid w:val="4F1D07B2"/>
    <w:rsid w:val="4F231B40"/>
    <w:rsid w:val="4F244236"/>
    <w:rsid w:val="4F253B0A"/>
    <w:rsid w:val="4F271630"/>
    <w:rsid w:val="4F275AD4"/>
    <w:rsid w:val="4F2B3F16"/>
    <w:rsid w:val="4F2C4E99"/>
    <w:rsid w:val="4F337FD5"/>
    <w:rsid w:val="4F386709"/>
    <w:rsid w:val="4F3D0681"/>
    <w:rsid w:val="4F47354A"/>
    <w:rsid w:val="4F4F2935"/>
    <w:rsid w:val="4F5D14F6"/>
    <w:rsid w:val="4F610FE6"/>
    <w:rsid w:val="4F674123"/>
    <w:rsid w:val="4F675ED1"/>
    <w:rsid w:val="4F691C49"/>
    <w:rsid w:val="4F6C34E7"/>
    <w:rsid w:val="4F701229"/>
    <w:rsid w:val="4F716D4F"/>
    <w:rsid w:val="4F74239C"/>
    <w:rsid w:val="4F7A5C04"/>
    <w:rsid w:val="4F7C5E20"/>
    <w:rsid w:val="4F7D3946"/>
    <w:rsid w:val="4F7D74A2"/>
    <w:rsid w:val="4F7E2395"/>
    <w:rsid w:val="4F7F146C"/>
    <w:rsid w:val="4F7F321A"/>
    <w:rsid w:val="4F7F68E8"/>
    <w:rsid w:val="4F820F5D"/>
    <w:rsid w:val="4F824AB9"/>
    <w:rsid w:val="4F8627FB"/>
    <w:rsid w:val="4F895E47"/>
    <w:rsid w:val="4F8D7C8F"/>
    <w:rsid w:val="4F8E5B53"/>
    <w:rsid w:val="4F8E7901"/>
    <w:rsid w:val="4F905428"/>
    <w:rsid w:val="4F911C54"/>
    <w:rsid w:val="4F917D25"/>
    <w:rsid w:val="4F936CC6"/>
    <w:rsid w:val="4F9842DC"/>
    <w:rsid w:val="4F9A1DAF"/>
    <w:rsid w:val="4FA2515B"/>
    <w:rsid w:val="4FA62E9D"/>
    <w:rsid w:val="4FA709C3"/>
    <w:rsid w:val="4FAA211F"/>
    <w:rsid w:val="4FAE3B00"/>
    <w:rsid w:val="4FB01626"/>
    <w:rsid w:val="4FB235F0"/>
    <w:rsid w:val="4FB25DFB"/>
    <w:rsid w:val="4FB31116"/>
    <w:rsid w:val="4FB37368"/>
    <w:rsid w:val="4FB530E0"/>
    <w:rsid w:val="4FB82BD0"/>
    <w:rsid w:val="4FBA24A4"/>
    <w:rsid w:val="4FBF3F5F"/>
    <w:rsid w:val="4FBF7ABB"/>
    <w:rsid w:val="4FC357FD"/>
    <w:rsid w:val="4FC82E13"/>
    <w:rsid w:val="4FC95CBA"/>
    <w:rsid w:val="4FCB6460"/>
    <w:rsid w:val="4FCC3F86"/>
    <w:rsid w:val="4FD03A76"/>
    <w:rsid w:val="4FD80B7D"/>
    <w:rsid w:val="4FD81D51"/>
    <w:rsid w:val="4FE17A31"/>
    <w:rsid w:val="4FE47521"/>
    <w:rsid w:val="4FE625E0"/>
    <w:rsid w:val="4FE63299"/>
    <w:rsid w:val="4FE85264"/>
    <w:rsid w:val="4FEA34A9"/>
    <w:rsid w:val="4FEB08B0"/>
    <w:rsid w:val="4FED4628"/>
    <w:rsid w:val="4FF14039"/>
    <w:rsid w:val="4FF151F5"/>
    <w:rsid w:val="4FF534DD"/>
    <w:rsid w:val="4FF9121F"/>
    <w:rsid w:val="4FFA0AF3"/>
    <w:rsid w:val="4FFE6835"/>
    <w:rsid w:val="4FFF435B"/>
    <w:rsid w:val="50023E82"/>
    <w:rsid w:val="5003209D"/>
    <w:rsid w:val="50033E4B"/>
    <w:rsid w:val="5006393C"/>
    <w:rsid w:val="500A342C"/>
    <w:rsid w:val="50153B7F"/>
    <w:rsid w:val="501716A5"/>
    <w:rsid w:val="501778F7"/>
    <w:rsid w:val="501A1195"/>
    <w:rsid w:val="50210776"/>
    <w:rsid w:val="50211B71"/>
    <w:rsid w:val="502142D2"/>
    <w:rsid w:val="5021480F"/>
    <w:rsid w:val="502A587C"/>
    <w:rsid w:val="503009B9"/>
    <w:rsid w:val="50354221"/>
    <w:rsid w:val="50357D7D"/>
    <w:rsid w:val="50373AF5"/>
    <w:rsid w:val="50395ABF"/>
    <w:rsid w:val="503B1837"/>
    <w:rsid w:val="5044333E"/>
    <w:rsid w:val="50454464"/>
    <w:rsid w:val="504601DC"/>
    <w:rsid w:val="504A1A7A"/>
    <w:rsid w:val="504B134F"/>
    <w:rsid w:val="50502E09"/>
    <w:rsid w:val="5052092F"/>
    <w:rsid w:val="50546455"/>
    <w:rsid w:val="505C355C"/>
    <w:rsid w:val="505F4DFA"/>
    <w:rsid w:val="5060129E"/>
    <w:rsid w:val="506643DA"/>
    <w:rsid w:val="506A3ECB"/>
    <w:rsid w:val="506D39BB"/>
    <w:rsid w:val="506D7517"/>
    <w:rsid w:val="506F7733"/>
    <w:rsid w:val="5071072C"/>
    <w:rsid w:val="507B4484"/>
    <w:rsid w:val="507B60D8"/>
    <w:rsid w:val="507C3BFE"/>
    <w:rsid w:val="507E34D2"/>
    <w:rsid w:val="507F17D3"/>
    <w:rsid w:val="50830D73"/>
    <w:rsid w:val="50836D3A"/>
    <w:rsid w:val="508807F5"/>
    <w:rsid w:val="50883755"/>
    <w:rsid w:val="50884351"/>
    <w:rsid w:val="508A1E77"/>
    <w:rsid w:val="50962ECB"/>
    <w:rsid w:val="50962F12"/>
    <w:rsid w:val="50966A6E"/>
    <w:rsid w:val="509727E6"/>
    <w:rsid w:val="509A5B6A"/>
    <w:rsid w:val="50A2798F"/>
    <w:rsid w:val="50A3118B"/>
    <w:rsid w:val="50A42E38"/>
    <w:rsid w:val="50A4577F"/>
    <w:rsid w:val="50A54F03"/>
    <w:rsid w:val="50A56CB1"/>
    <w:rsid w:val="50A62A29"/>
    <w:rsid w:val="50AA42C7"/>
    <w:rsid w:val="50AA708F"/>
    <w:rsid w:val="50AB1186"/>
    <w:rsid w:val="50B52C6C"/>
    <w:rsid w:val="50B73D1F"/>
    <w:rsid w:val="50B769E4"/>
    <w:rsid w:val="50BC224C"/>
    <w:rsid w:val="50BD5BC9"/>
    <w:rsid w:val="50BE4216"/>
    <w:rsid w:val="50C11EEE"/>
    <w:rsid w:val="50C23D07"/>
    <w:rsid w:val="50C64E79"/>
    <w:rsid w:val="50C7131D"/>
    <w:rsid w:val="50CC06E1"/>
    <w:rsid w:val="50D21A70"/>
    <w:rsid w:val="50D457E8"/>
    <w:rsid w:val="50D70E34"/>
    <w:rsid w:val="50D852D8"/>
    <w:rsid w:val="50D92DFE"/>
    <w:rsid w:val="50DE6667"/>
    <w:rsid w:val="50E21CB3"/>
    <w:rsid w:val="50E7376D"/>
    <w:rsid w:val="50E86A91"/>
    <w:rsid w:val="50E97CFC"/>
    <w:rsid w:val="50EA500B"/>
    <w:rsid w:val="50EC48E0"/>
    <w:rsid w:val="50ED2406"/>
    <w:rsid w:val="50ED6502"/>
    <w:rsid w:val="50F32112"/>
    <w:rsid w:val="50F47C38"/>
    <w:rsid w:val="50FA4028"/>
    <w:rsid w:val="50FB4B23"/>
    <w:rsid w:val="50FD4D3F"/>
    <w:rsid w:val="5100482F"/>
    <w:rsid w:val="510065DD"/>
    <w:rsid w:val="510460CD"/>
    <w:rsid w:val="510A2FB8"/>
    <w:rsid w:val="510A745C"/>
    <w:rsid w:val="510C31D4"/>
    <w:rsid w:val="510C4F82"/>
    <w:rsid w:val="510D4AFC"/>
    <w:rsid w:val="510D65B7"/>
    <w:rsid w:val="51110D0D"/>
    <w:rsid w:val="51112598"/>
    <w:rsid w:val="511157AB"/>
    <w:rsid w:val="511A58F1"/>
    <w:rsid w:val="511B3417"/>
    <w:rsid w:val="511D0F3D"/>
    <w:rsid w:val="51226553"/>
    <w:rsid w:val="51283F24"/>
    <w:rsid w:val="512D6CA6"/>
    <w:rsid w:val="51313B46"/>
    <w:rsid w:val="5133250E"/>
    <w:rsid w:val="51363DAD"/>
    <w:rsid w:val="51390DCB"/>
    <w:rsid w:val="513D338D"/>
    <w:rsid w:val="514069D9"/>
    <w:rsid w:val="5141363B"/>
    <w:rsid w:val="514209A3"/>
    <w:rsid w:val="5142540C"/>
    <w:rsid w:val="5144471C"/>
    <w:rsid w:val="51452242"/>
    <w:rsid w:val="5147420C"/>
    <w:rsid w:val="514E7348"/>
    <w:rsid w:val="514F4E6E"/>
    <w:rsid w:val="51501312"/>
    <w:rsid w:val="51510BE7"/>
    <w:rsid w:val="5153495F"/>
    <w:rsid w:val="515406D7"/>
    <w:rsid w:val="51556929"/>
    <w:rsid w:val="515801C7"/>
    <w:rsid w:val="51586419"/>
    <w:rsid w:val="515B1A65"/>
    <w:rsid w:val="515B7B4F"/>
    <w:rsid w:val="515E50B1"/>
    <w:rsid w:val="515F1555"/>
    <w:rsid w:val="5162713C"/>
    <w:rsid w:val="516528E4"/>
    <w:rsid w:val="5167665C"/>
    <w:rsid w:val="51685DEE"/>
    <w:rsid w:val="51695F30"/>
    <w:rsid w:val="516A1CA8"/>
    <w:rsid w:val="516A3A56"/>
    <w:rsid w:val="516B614C"/>
    <w:rsid w:val="516C5A20"/>
    <w:rsid w:val="517174DB"/>
    <w:rsid w:val="51735001"/>
    <w:rsid w:val="51750D79"/>
    <w:rsid w:val="5176064D"/>
    <w:rsid w:val="517A638F"/>
    <w:rsid w:val="517B5C63"/>
    <w:rsid w:val="518014CC"/>
    <w:rsid w:val="51870AAC"/>
    <w:rsid w:val="518832C8"/>
    <w:rsid w:val="51887260"/>
    <w:rsid w:val="51890380"/>
    <w:rsid w:val="51894824"/>
    <w:rsid w:val="518C7E71"/>
    <w:rsid w:val="518F170F"/>
    <w:rsid w:val="519136D9"/>
    <w:rsid w:val="519C4558"/>
    <w:rsid w:val="519D3C50"/>
    <w:rsid w:val="519D5BDA"/>
    <w:rsid w:val="51A0391C"/>
    <w:rsid w:val="51A0432A"/>
    <w:rsid w:val="51A0472B"/>
    <w:rsid w:val="51A11B6E"/>
    <w:rsid w:val="51A2607D"/>
    <w:rsid w:val="51A72EFC"/>
    <w:rsid w:val="51A86090"/>
    <w:rsid w:val="51AC406F"/>
    <w:rsid w:val="51AE428B"/>
    <w:rsid w:val="51AE7DE7"/>
    <w:rsid w:val="51B01DB1"/>
    <w:rsid w:val="51B318A1"/>
    <w:rsid w:val="51B3364F"/>
    <w:rsid w:val="51B6560A"/>
    <w:rsid w:val="51B7396D"/>
    <w:rsid w:val="51B977CF"/>
    <w:rsid w:val="51BC1787"/>
    <w:rsid w:val="51BD75E0"/>
    <w:rsid w:val="51BF1FF4"/>
    <w:rsid w:val="51BF3DA2"/>
    <w:rsid w:val="51C25640"/>
    <w:rsid w:val="51C70EA9"/>
    <w:rsid w:val="51CC64BF"/>
    <w:rsid w:val="51CD2963"/>
    <w:rsid w:val="51D04201"/>
    <w:rsid w:val="51D05FAF"/>
    <w:rsid w:val="51D13AD5"/>
    <w:rsid w:val="51D610EC"/>
    <w:rsid w:val="51DD6E5A"/>
    <w:rsid w:val="51E101BC"/>
    <w:rsid w:val="51E25CE3"/>
    <w:rsid w:val="51E732F9"/>
    <w:rsid w:val="51EB103B"/>
    <w:rsid w:val="51EB2DE9"/>
    <w:rsid w:val="51ED4DB3"/>
    <w:rsid w:val="51EE640D"/>
    <w:rsid w:val="51F31FFB"/>
    <w:rsid w:val="51F55A16"/>
    <w:rsid w:val="51F577C4"/>
    <w:rsid w:val="51F7178E"/>
    <w:rsid w:val="51FE0D6E"/>
    <w:rsid w:val="51FF0643"/>
    <w:rsid w:val="52020133"/>
    <w:rsid w:val="52036385"/>
    <w:rsid w:val="520420FD"/>
    <w:rsid w:val="52065E75"/>
    <w:rsid w:val="52067C23"/>
    <w:rsid w:val="52081BED"/>
    <w:rsid w:val="52091B85"/>
    <w:rsid w:val="520C2D5F"/>
    <w:rsid w:val="52120376"/>
    <w:rsid w:val="521340EE"/>
    <w:rsid w:val="52195BA8"/>
    <w:rsid w:val="522B58DB"/>
    <w:rsid w:val="522B768A"/>
    <w:rsid w:val="522D1654"/>
    <w:rsid w:val="522E4CC3"/>
    <w:rsid w:val="522E717A"/>
    <w:rsid w:val="523302EC"/>
    <w:rsid w:val="523A5B1F"/>
    <w:rsid w:val="523D116B"/>
    <w:rsid w:val="523F1387"/>
    <w:rsid w:val="52404DD5"/>
    <w:rsid w:val="524073F6"/>
    <w:rsid w:val="5244713B"/>
    <w:rsid w:val="52466271"/>
    <w:rsid w:val="524D13AE"/>
    <w:rsid w:val="52556A4B"/>
    <w:rsid w:val="52597080"/>
    <w:rsid w:val="5260529F"/>
    <w:rsid w:val="526130AB"/>
    <w:rsid w:val="52615633"/>
    <w:rsid w:val="52635075"/>
    <w:rsid w:val="52636E23"/>
    <w:rsid w:val="526426BA"/>
    <w:rsid w:val="5268268C"/>
    <w:rsid w:val="526A6404"/>
    <w:rsid w:val="526B5CD8"/>
    <w:rsid w:val="526F4DE4"/>
    <w:rsid w:val="527032EE"/>
    <w:rsid w:val="52720E14"/>
    <w:rsid w:val="52741030"/>
    <w:rsid w:val="527728CF"/>
    <w:rsid w:val="527A416D"/>
    <w:rsid w:val="527E0828"/>
    <w:rsid w:val="527E3C5D"/>
    <w:rsid w:val="52831274"/>
    <w:rsid w:val="5285323E"/>
    <w:rsid w:val="52862CBC"/>
    <w:rsid w:val="528B225E"/>
    <w:rsid w:val="528C2E2C"/>
    <w:rsid w:val="528D2EAA"/>
    <w:rsid w:val="52911BE2"/>
    <w:rsid w:val="5294522F"/>
    <w:rsid w:val="52950FA7"/>
    <w:rsid w:val="52977FD4"/>
    <w:rsid w:val="52A01914"/>
    <w:rsid w:val="52A01E26"/>
    <w:rsid w:val="52A25790"/>
    <w:rsid w:val="52A511EA"/>
    <w:rsid w:val="52A96B6F"/>
    <w:rsid w:val="52AB4326"/>
    <w:rsid w:val="52B00AE6"/>
    <w:rsid w:val="52B45975"/>
    <w:rsid w:val="52B94C95"/>
    <w:rsid w:val="52B96A43"/>
    <w:rsid w:val="52C2392B"/>
    <w:rsid w:val="52C27FEE"/>
    <w:rsid w:val="52C35B14"/>
    <w:rsid w:val="52C8312A"/>
    <w:rsid w:val="52CB6777"/>
    <w:rsid w:val="52CB6E2F"/>
    <w:rsid w:val="52CF44B9"/>
    <w:rsid w:val="52D10231"/>
    <w:rsid w:val="52D27B05"/>
    <w:rsid w:val="52D63A99"/>
    <w:rsid w:val="52D94AA4"/>
    <w:rsid w:val="52E46546"/>
    <w:rsid w:val="52E57838"/>
    <w:rsid w:val="52EA3A62"/>
    <w:rsid w:val="52EB0BC7"/>
    <w:rsid w:val="52F50BB8"/>
    <w:rsid w:val="52F656AA"/>
    <w:rsid w:val="52FB3500"/>
    <w:rsid w:val="52FC4B82"/>
    <w:rsid w:val="52FD1026"/>
    <w:rsid w:val="530028C4"/>
    <w:rsid w:val="53004672"/>
    <w:rsid w:val="530323B4"/>
    <w:rsid w:val="53051C89"/>
    <w:rsid w:val="53083527"/>
    <w:rsid w:val="53097272"/>
    <w:rsid w:val="530B2B81"/>
    <w:rsid w:val="530C1269"/>
    <w:rsid w:val="530C74BB"/>
    <w:rsid w:val="530F48B5"/>
    <w:rsid w:val="5311687F"/>
    <w:rsid w:val="531445C2"/>
    <w:rsid w:val="53163E96"/>
    <w:rsid w:val="531719BC"/>
    <w:rsid w:val="53195734"/>
    <w:rsid w:val="531A7D56"/>
    <w:rsid w:val="531B76FE"/>
    <w:rsid w:val="5322283B"/>
    <w:rsid w:val="532742F5"/>
    <w:rsid w:val="53277E51"/>
    <w:rsid w:val="532838FB"/>
    <w:rsid w:val="532A16EF"/>
    <w:rsid w:val="532A5B93"/>
    <w:rsid w:val="532C5467"/>
    <w:rsid w:val="53316F22"/>
    <w:rsid w:val="53334CD3"/>
    <w:rsid w:val="53373E0C"/>
    <w:rsid w:val="53373F15"/>
    <w:rsid w:val="533C1422"/>
    <w:rsid w:val="534031BD"/>
    <w:rsid w:val="534053B7"/>
    <w:rsid w:val="534327B1"/>
    <w:rsid w:val="5345477B"/>
    <w:rsid w:val="53456529"/>
    <w:rsid w:val="534B4DA2"/>
    <w:rsid w:val="534D3630"/>
    <w:rsid w:val="534E7AD3"/>
    <w:rsid w:val="534F55FA"/>
    <w:rsid w:val="53544462"/>
    <w:rsid w:val="535449BE"/>
    <w:rsid w:val="535B3F9E"/>
    <w:rsid w:val="535B5D4C"/>
    <w:rsid w:val="535D1AC5"/>
    <w:rsid w:val="535D2428"/>
    <w:rsid w:val="535E75EB"/>
    <w:rsid w:val="53603363"/>
    <w:rsid w:val="53620540"/>
    <w:rsid w:val="536270DB"/>
    <w:rsid w:val="53650979"/>
    <w:rsid w:val="536C23EF"/>
    <w:rsid w:val="536F35A6"/>
    <w:rsid w:val="53733096"/>
    <w:rsid w:val="537A08C9"/>
    <w:rsid w:val="537F5EDF"/>
    <w:rsid w:val="53890B0C"/>
    <w:rsid w:val="53901E9A"/>
    <w:rsid w:val="5391176E"/>
    <w:rsid w:val="5394125E"/>
    <w:rsid w:val="5397158E"/>
    <w:rsid w:val="53984811"/>
    <w:rsid w:val="539D6365"/>
    <w:rsid w:val="53A44BBD"/>
    <w:rsid w:val="53A92F5C"/>
    <w:rsid w:val="53A96AB8"/>
    <w:rsid w:val="53AB6CD4"/>
    <w:rsid w:val="53AE0572"/>
    <w:rsid w:val="53B4545D"/>
    <w:rsid w:val="53B8319F"/>
    <w:rsid w:val="53B92A73"/>
    <w:rsid w:val="53BA6F17"/>
    <w:rsid w:val="53BB6386"/>
    <w:rsid w:val="53BC2CAC"/>
    <w:rsid w:val="53BD2563"/>
    <w:rsid w:val="53BF452D"/>
    <w:rsid w:val="53BF62DB"/>
    <w:rsid w:val="53C71634"/>
    <w:rsid w:val="53CA4C80"/>
    <w:rsid w:val="53CD5259"/>
    <w:rsid w:val="53CE4770"/>
    <w:rsid w:val="53CE66E9"/>
    <w:rsid w:val="53CF08F5"/>
    <w:rsid w:val="53D17DBD"/>
    <w:rsid w:val="53D224B3"/>
    <w:rsid w:val="53D31D87"/>
    <w:rsid w:val="53D37FD9"/>
    <w:rsid w:val="53D63625"/>
    <w:rsid w:val="53D77AC9"/>
    <w:rsid w:val="53D8114B"/>
    <w:rsid w:val="53D8739D"/>
    <w:rsid w:val="53D94F3D"/>
    <w:rsid w:val="53DC50DF"/>
    <w:rsid w:val="53DF072C"/>
    <w:rsid w:val="53E53868"/>
    <w:rsid w:val="53E775E0"/>
    <w:rsid w:val="53E93358"/>
    <w:rsid w:val="53E977FC"/>
    <w:rsid w:val="53ED0C6A"/>
    <w:rsid w:val="53ED4843"/>
    <w:rsid w:val="53F22EE5"/>
    <w:rsid w:val="53F341D7"/>
    <w:rsid w:val="53F561A1"/>
    <w:rsid w:val="53F71F19"/>
    <w:rsid w:val="53FA0E14"/>
    <w:rsid w:val="53FD6E04"/>
    <w:rsid w:val="54013861"/>
    <w:rsid w:val="540208BE"/>
    <w:rsid w:val="54065CB8"/>
    <w:rsid w:val="540B7773"/>
    <w:rsid w:val="540C7047"/>
    <w:rsid w:val="540E1011"/>
    <w:rsid w:val="5411465D"/>
    <w:rsid w:val="54124B7D"/>
    <w:rsid w:val="54134879"/>
    <w:rsid w:val="54136627"/>
    <w:rsid w:val="5415414D"/>
    <w:rsid w:val="541A5CB0"/>
    <w:rsid w:val="541C1980"/>
    <w:rsid w:val="541E3671"/>
    <w:rsid w:val="54224ABC"/>
    <w:rsid w:val="542425E2"/>
    <w:rsid w:val="542645AC"/>
    <w:rsid w:val="5427219D"/>
    <w:rsid w:val="542C1497"/>
    <w:rsid w:val="5435659E"/>
    <w:rsid w:val="5438608E"/>
    <w:rsid w:val="54387E3C"/>
    <w:rsid w:val="54390279"/>
    <w:rsid w:val="543B3560"/>
    <w:rsid w:val="543F566E"/>
    <w:rsid w:val="543F741C"/>
    <w:rsid w:val="54437CEB"/>
    <w:rsid w:val="54487265"/>
    <w:rsid w:val="544D6070"/>
    <w:rsid w:val="544E58B1"/>
    <w:rsid w:val="54505185"/>
    <w:rsid w:val="54532EC8"/>
    <w:rsid w:val="54574766"/>
    <w:rsid w:val="545765C9"/>
    <w:rsid w:val="545C3B2A"/>
    <w:rsid w:val="54605E1E"/>
    <w:rsid w:val="54613836"/>
    <w:rsid w:val="546141E6"/>
    <w:rsid w:val="546155E5"/>
    <w:rsid w:val="54686973"/>
    <w:rsid w:val="546926EB"/>
    <w:rsid w:val="546D3F89"/>
    <w:rsid w:val="54703A7A"/>
    <w:rsid w:val="54705828"/>
    <w:rsid w:val="547215A0"/>
    <w:rsid w:val="54745318"/>
    <w:rsid w:val="54770964"/>
    <w:rsid w:val="547846DC"/>
    <w:rsid w:val="547A48F8"/>
    <w:rsid w:val="547C41CC"/>
    <w:rsid w:val="547E642B"/>
    <w:rsid w:val="5480715B"/>
    <w:rsid w:val="54813591"/>
    <w:rsid w:val="54837309"/>
    <w:rsid w:val="54857525"/>
    <w:rsid w:val="548D462B"/>
    <w:rsid w:val="548E3F00"/>
    <w:rsid w:val="548F2152"/>
    <w:rsid w:val="549459BA"/>
    <w:rsid w:val="54971006"/>
    <w:rsid w:val="549A35B5"/>
    <w:rsid w:val="549E2395"/>
    <w:rsid w:val="549F7EBB"/>
    <w:rsid w:val="54A13C33"/>
    <w:rsid w:val="54A35BFD"/>
    <w:rsid w:val="54A41E09"/>
    <w:rsid w:val="54A6749B"/>
    <w:rsid w:val="54A86D6F"/>
    <w:rsid w:val="54A92AE8"/>
    <w:rsid w:val="54AA6F8B"/>
    <w:rsid w:val="54AB2576"/>
    <w:rsid w:val="54AE00FE"/>
    <w:rsid w:val="54B24092"/>
    <w:rsid w:val="54B27BEE"/>
    <w:rsid w:val="54B3506A"/>
    <w:rsid w:val="54B41BB8"/>
    <w:rsid w:val="54B92B9F"/>
    <w:rsid w:val="54B9445F"/>
    <w:rsid w:val="54BE2A37"/>
    <w:rsid w:val="54BF40B9"/>
    <w:rsid w:val="54C31DFB"/>
    <w:rsid w:val="54C65448"/>
    <w:rsid w:val="54C811C0"/>
    <w:rsid w:val="54CA0D16"/>
    <w:rsid w:val="54CB0CB0"/>
    <w:rsid w:val="54CF254E"/>
    <w:rsid w:val="54D2203E"/>
    <w:rsid w:val="54D45DB6"/>
    <w:rsid w:val="54DD4057"/>
    <w:rsid w:val="54DE4E87"/>
    <w:rsid w:val="54DE6C35"/>
    <w:rsid w:val="54E0475B"/>
    <w:rsid w:val="54E0748A"/>
    <w:rsid w:val="54E3249D"/>
    <w:rsid w:val="54E3424B"/>
    <w:rsid w:val="54E65AEA"/>
    <w:rsid w:val="54E7490F"/>
    <w:rsid w:val="54EA382C"/>
    <w:rsid w:val="54EB1352"/>
    <w:rsid w:val="54EB3100"/>
    <w:rsid w:val="54ED6E78"/>
    <w:rsid w:val="54F71AA5"/>
    <w:rsid w:val="54F75F49"/>
    <w:rsid w:val="54F9581D"/>
    <w:rsid w:val="54FA08B4"/>
    <w:rsid w:val="54FC355F"/>
    <w:rsid w:val="54FC530D"/>
    <w:rsid w:val="55061CE8"/>
    <w:rsid w:val="550764A4"/>
    <w:rsid w:val="550B2BF6"/>
    <w:rsid w:val="5511700B"/>
    <w:rsid w:val="5516017D"/>
    <w:rsid w:val="55191A1B"/>
    <w:rsid w:val="551940AB"/>
    <w:rsid w:val="55197C6D"/>
    <w:rsid w:val="551B39E5"/>
    <w:rsid w:val="551B5793"/>
    <w:rsid w:val="551E5284"/>
    <w:rsid w:val="55214D3B"/>
    <w:rsid w:val="55214EB5"/>
    <w:rsid w:val="55244BE3"/>
    <w:rsid w:val="55284354"/>
    <w:rsid w:val="55287EB0"/>
    <w:rsid w:val="552A3C28"/>
    <w:rsid w:val="552A6E5F"/>
    <w:rsid w:val="552D196B"/>
    <w:rsid w:val="552F2C80"/>
    <w:rsid w:val="552F56E3"/>
    <w:rsid w:val="5531145B"/>
    <w:rsid w:val="55364EFD"/>
    <w:rsid w:val="55376345"/>
    <w:rsid w:val="553B5E36"/>
    <w:rsid w:val="553C395C"/>
    <w:rsid w:val="553E1482"/>
    <w:rsid w:val="553E76D4"/>
    <w:rsid w:val="5540344C"/>
    <w:rsid w:val="55466588"/>
    <w:rsid w:val="55472A2C"/>
    <w:rsid w:val="554D7917"/>
    <w:rsid w:val="55500B7A"/>
    <w:rsid w:val="55517407"/>
    <w:rsid w:val="555667CB"/>
    <w:rsid w:val="55572544"/>
    <w:rsid w:val="555C7B5A"/>
    <w:rsid w:val="555D4828"/>
    <w:rsid w:val="555E38D2"/>
    <w:rsid w:val="55603AEE"/>
    <w:rsid w:val="55652EB2"/>
    <w:rsid w:val="556F5ADF"/>
    <w:rsid w:val="556F788D"/>
    <w:rsid w:val="55757C92"/>
    <w:rsid w:val="55780E38"/>
    <w:rsid w:val="557A4C8B"/>
    <w:rsid w:val="557B26D6"/>
    <w:rsid w:val="55822579"/>
    <w:rsid w:val="55853555"/>
    <w:rsid w:val="558931E1"/>
    <w:rsid w:val="558A0B6B"/>
    <w:rsid w:val="558A2919"/>
    <w:rsid w:val="558A46C7"/>
    <w:rsid w:val="558E065B"/>
    <w:rsid w:val="558F1CDD"/>
    <w:rsid w:val="55915A56"/>
    <w:rsid w:val="55923347"/>
    <w:rsid w:val="55925180"/>
    <w:rsid w:val="559612BE"/>
    <w:rsid w:val="55967510"/>
    <w:rsid w:val="55983B1B"/>
    <w:rsid w:val="559B0682"/>
    <w:rsid w:val="55A41A91"/>
    <w:rsid w:val="55A72E04"/>
    <w:rsid w:val="55A8376B"/>
    <w:rsid w:val="55A97243"/>
    <w:rsid w:val="55AF05D2"/>
    <w:rsid w:val="55B1434A"/>
    <w:rsid w:val="55B41744"/>
    <w:rsid w:val="55BA1450"/>
    <w:rsid w:val="55BB0D24"/>
    <w:rsid w:val="55BD2CEE"/>
    <w:rsid w:val="55BF3C5C"/>
    <w:rsid w:val="55BF6A67"/>
    <w:rsid w:val="55C71477"/>
    <w:rsid w:val="55CE0A58"/>
    <w:rsid w:val="55D02A22"/>
    <w:rsid w:val="55D41DE6"/>
    <w:rsid w:val="55D83684"/>
    <w:rsid w:val="55D87B28"/>
    <w:rsid w:val="55DC29B6"/>
    <w:rsid w:val="55DD0C9B"/>
    <w:rsid w:val="55DD4241"/>
    <w:rsid w:val="55DF0675"/>
    <w:rsid w:val="55E77D6B"/>
    <w:rsid w:val="55E93AE3"/>
    <w:rsid w:val="55E95892"/>
    <w:rsid w:val="55EA33B8"/>
    <w:rsid w:val="55EB160A"/>
    <w:rsid w:val="55EC35D4"/>
    <w:rsid w:val="55F01A8B"/>
    <w:rsid w:val="55F04E72"/>
    <w:rsid w:val="55F12998"/>
    <w:rsid w:val="55F14746"/>
    <w:rsid w:val="55F304BE"/>
    <w:rsid w:val="55F67FAE"/>
    <w:rsid w:val="55F935FB"/>
    <w:rsid w:val="55FD30EB"/>
    <w:rsid w:val="55FD758F"/>
    <w:rsid w:val="55FF3307"/>
    <w:rsid w:val="56001CBA"/>
    <w:rsid w:val="56020701"/>
    <w:rsid w:val="56024BA5"/>
    <w:rsid w:val="56097CE2"/>
    <w:rsid w:val="560E52F8"/>
    <w:rsid w:val="561072C2"/>
    <w:rsid w:val="56114DE8"/>
    <w:rsid w:val="5612303A"/>
    <w:rsid w:val="5613290E"/>
    <w:rsid w:val="56150435"/>
    <w:rsid w:val="56161BD4"/>
    <w:rsid w:val="56186177"/>
    <w:rsid w:val="56187F25"/>
    <w:rsid w:val="561947D1"/>
    <w:rsid w:val="561D19DF"/>
    <w:rsid w:val="561D378D"/>
    <w:rsid w:val="5627460C"/>
    <w:rsid w:val="56275945"/>
    <w:rsid w:val="562C553B"/>
    <w:rsid w:val="56312D95"/>
    <w:rsid w:val="56327239"/>
    <w:rsid w:val="56356D29"/>
    <w:rsid w:val="563A433F"/>
    <w:rsid w:val="563B3C13"/>
    <w:rsid w:val="56412C14"/>
    <w:rsid w:val="56446F6C"/>
    <w:rsid w:val="56457822"/>
    <w:rsid w:val="56462CE4"/>
    <w:rsid w:val="564927D4"/>
    <w:rsid w:val="564D4072"/>
    <w:rsid w:val="564E3947"/>
    <w:rsid w:val="56552F27"/>
    <w:rsid w:val="56554CD5"/>
    <w:rsid w:val="565A22EB"/>
    <w:rsid w:val="565C2507"/>
    <w:rsid w:val="565C42B5"/>
    <w:rsid w:val="565F3DA6"/>
    <w:rsid w:val="566244D3"/>
    <w:rsid w:val="56625644"/>
    <w:rsid w:val="56633896"/>
    <w:rsid w:val="5664316A"/>
    <w:rsid w:val="56644F18"/>
    <w:rsid w:val="56666B5B"/>
    <w:rsid w:val="56670CF5"/>
    <w:rsid w:val="56682C5A"/>
    <w:rsid w:val="566B62A7"/>
    <w:rsid w:val="566B6D1E"/>
    <w:rsid w:val="566E5D97"/>
    <w:rsid w:val="5671683F"/>
    <w:rsid w:val="56731B2D"/>
    <w:rsid w:val="56737851"/>
    <w:rsid w:val="567535C9"/>
    <w:rsid w:val="56783B41"/>
    <w:rsid w:val="567C4958"/>
    <w:rsid w:val="567C6706"/>
    <w:rsid w:val="567D4DE2"/>
    <w:rsid w:val="567F7FA4"/>
    <w:rsid w:val="56815ACA"/>
    <w:rsid w:val="56835CE6"/>
    <w:rsid w:val="568455BA"/>
    <w:rsid w:val="56847368"/>
    <w:rsid w:val="56890E23"/>
    <w:rsid w:val="568D4560"/>
    <w:rsid w:val="568D48D7"/>
    <w:rsid w:val="568D58BE"/>
    <w:rsid w:val="568E01E7"/>
    <w:rsid w:val="568F0938"/>
    <w:rsid w:val="568F468B"/>
    <w:rsid w:val="568F660A"/>
    <w:rsid w:val="56941CA1"/>
    <w:rsid w:val="569A6B8C"/>
    <w:rsid w:val="569F0646"/>
    <w:rsid w:val="56A12D4D"/>
    <w:rsid w:val="56A31EE4"/>
    <w:rsid w:val="56A63783"/>
    <w:rsid w:val="56A95021"/>
    <w:rsid w:val="56A96DCF"/>
    <w:rsid w:val="56A97D4B"/>
    <w:rsid w:val="56AA3DFF"/>
    <w:rsid w:val="56AD68BF"/>
    <w:rsid w:val="56AE2637"/>
    <w:rsid w:val="56BC7408"/>
    <w:rsid w:val="56C1680E"/>
    <w:rsid w:val="56C63E25"/>
    <w:rsid w:val="56CB744A"/>
    <w:rsid w:val="56CD0D0F"/>
    <w:rsid w:val="56CF2CD9"/>
    <w:rsid w:val="56D402F0"/>
    <w:rsid w:val="56DA167E"/>
    <w:rsid w:val="56E04EE6"/>
    <w:rsid w:val="56E46059"/>
    <w:rsid w:val="56E524FD"/>
    <w:rsid w:val="56E60023"/>
    <w:rsid w:val="56EB73E7"/>
    <w:rsid w:val="56F40992"/>
    <w:rsid w:val="56F444EE"/>
    <w:rsid w:val="56FC15F5"/>
    <w:rsid w:val="56FE6A8B"/>
    <w:rsid w:val="57007337"/>
    <w:rsid w:val="57016C0B"/>
    <w:rsid w:val="57032983"/>
    <w:rsid w:val="57032A2C"/>
    <w:rsid w:val="57087F99"/>
    <w:rsid w:val="570C5CDB"/>
    <w:rsid w:val="570F5219"/>
    <w:rsid w:val="570F757A"/>
    <w:rsid w:val="5714693E"/>
    <w:rsid w:val="571903F8"/>
    <w:rsid w:val="571B5F1F"/>
    <w:rsid w:val="571F7091"/>
    <w:rsid w:val="57212E09"/>
    <w:rsid w:val="572528F9"/>
    <w:rsid w:val="572648C3"/>
    <w:rsid w:val="57296401"/>
    <w:rsid w:val="572B1EDA"/>
    <w:rsid w:val="572C012C"/>
    <w:rsid w:val="572D7A00"/>
    <w:rsid w:val="57323268"/>
    <w:rsid w:val="57340D8E"/>
    <w:rsid w:val="57342B3C"/>
    <w:rsid w:val="57361328"/>
    <w:rsid w:val="5737087F"/>
    <w:rsid w:val="5737262D"/>
    <w:rsid w:val="57390153"/>
    <w:rsid w:val="573945F7"/>
    <w:rsid w:val="573C40E7"/>
    <w:rsid w:val="574134AB"/>
    <w:rsid w:val="57426F2F"/>
    <w:rsid w:val="57435475"/>
    <w:rsid w:val="57437223"/>
    <w:rsid w:val="57462870"/>
    <w:rsid w:val="5748483A"/>
    <w:rsid w:val="574A05B2"/>
    <w:rsid w:val="574A6804"/>
    <w:rsid w:val="574C432A"/>
    <w:rsid w:val="574D1E50"/>
    <w:rsid w:val="574D3BFE"/>
    <w:rsid w:val="574F3E1A"/>
    <w:rsid w:val="57521214"/>
    <w:rsid w:val="575256B8"/>
    <w:rsid w:val="57530502"/>
    <w:rsid w:val="57545F54"/>
    <w:rsid w:val="575651A9"/>
    <w:rsid w:val="57566F57"/>
    <w:rsid w:val="575B27BF"/>
    <w:rsid w:val="575D12B5"/>
    <w:rsid w:val="575E405D"/>
    <w:rsid w:val="57601B83"/>
    <w:rsid w:val="57607F35"/>
    <w:rsid w:val="57610A87"/>
    <w:rsid w:val="576553EC"/>
    <w:rsid w:val="57672F12"/>
    <w:rsid w:val="576A0C54"/>
    <w:rsid w:val="576D604E"/>
    <w:rsid w:val="576F1DC6"/>
    <w:rsid w:val="57711FE2"/>
    <w:rsid w:val="577218B7"/>
    <w:rsid w:val="5774562F"/>
    <w:rsid w:val="57763155"/>
    <w:rsid w:val="577675F9"/>
    <w:rsid w:val="57776ECD"/>
    <w:rsid w:val="577B1140"/>
    <w:rsid w:val="577B7F21"/>
    <w:rsid w:val="577D0987"/>
    <w:rsid w:val="577E200A"/>
    <w:rsid w:val="577E64AD"/>
    <w:rsid w:val="577F181B"/>
    <w:rsid w:val="57810B57"/>
    <w:rsid w:val="57875362"/>
    <w:rsid w:val="57877110"/>
    <w:rsid w:val="578810DA"/>
    <w:rsid w:val="57921984"/>
    <w:rsid w:val="579637F7"/>
    <w:rsid w:val="579737F0"/>
    <w:rsid w:val="579932E7"/>
    <w:rsid w:val="579C4AA3"/>
    <w:rsid w:val="57A51C8C"/>
    <w:rsid w:val="57A53A3A"/>
    <w:rsid w:val="57A9177C"/>
    <w:rsid w:val="57AB7B30"/>
    <w:rsid w:val="57AC6B77"/>
    <w:rsid w:val="57AF5251"/>
    <w:rsid w:val="57B1418D"/>
    <w:rsid w:val="57B26373"/>
    <w:rsid w:val="57B343A9"/>
    <w:rsid w:val="57B36157"/>
    <w:rsid w:val="57B63F04"/>
    <w:rsid w:val="57B7551B"/>
    <w:rsid w:val="57BC2B32"/>
    <w:rsid w:val="57BD0D84"/>
    <w:rsid w:val="57BD5228"/>
    <w:rsid w:val="57BE4AFC"/>
    <w:rsid w:val="57C00874"/>
    <w:rsid w:val="57C628E6"/>
    <w:rsid w:val="57C71C02"/>
    <w:rsid w:val="57C739B1"/>
    <w:rsid w:val="57CD20C2"/>
    <w:rsid w:val="57D305A7"/>
    <w:rsid w:val="57D52571"/>
    <w:rsid w:val="57D60097"/>
    <w:rsid w:val="57D675AB"/>
    <w:rsid w:val="57D73717"/>
    <w:rsid w:val="57D83E10"/>
    <w:rsid w:val="57D936E4"/>
    <w:rsid w:val="57D95FDD"/>
    <w:rsid w:val="57DB3900"/>
    <w:rsid w:val="57DB745C"/>
    <w:rsid w:val="57E00F16"/>
    <w:rsid w:val="57E04A72"/>
    <w:rsid w:val="57EE53E1"/>
    <w:rsid w:val="57EE718F"/>
    <w:rsid w:val="57F66044"/>
    <w:rsid w:val="58005114"/>
    <w:rsid w:val="58030761"/>
    <w:rsid w:val="580469B3"/>
    <w:rsid w:val="58070251"/>
    <w:rsid w:val="5809221B"/>
    <w:rsid w:val="580A7D41"/>
    <w:rsid w:val="580E15DF"/>
    <w:rsid w:val="5814471C"/>
    <w:rsid w:val="58161499"/>
    <w:rsid w:val="581D5CC6"/>
    <w:rsid w:val="581D7A74"/>
    <w:rsid w:val="58226E39"/>
    <w:rsid w:val="5827444F"/>
    <w:rsid w:val="582B03E3"/>
    <w:rsid w:val="582E1C82"/>
    <w:rsid w:val="583077A8"/>
    <w:rsid w:val="58313520"/>
    <w:rsid w:val="583354EA"/>
    <w:rsid w:val="58346B6C"/>
    <w:rsid w:val="583D1EC5"/>
    <w:rsid w:val="583E71D6"/>
    <w:rsid w:val="5842572D"/>
    <w:rsid w:val="584414A5"/>
    <w:rsid w:val="5847689F"/>
    <w:rsid w:val="58490869"/>
    <w:rsid w:val="584B2834"/>
    <w:rsid w:val="58507E4A"/>
    <w:rsid w:val="585316E8"/>
    <w:rsid w:val="585338F8"/>
    <w:rsid w:val="58552E90"/>
    <w:rsid w:val="585711D8"/>
    <w:rsid w:val="58580AAD"/>
    <w:rsid w:val="58586CFE"/>
    <w:rsid w:val="585A2A77"/>
    <w:rsid w:val="585C67EF"/>
    <w:rsid w:val="5862192B"/>
    <w:rsid w:val="58675193"/>
    <w:rsid w:val="58690F0C"/>
    <w:rsid w:val="586B4C84"/>
    <w:rsid w:val="586C0B52"/>
    <w:rsid w:val="586C6306"/>
    <w:rsid w:val="586E207E"/>
    <w:rsid w:val="58704048"/>
    <w:rsid w:val="5870737E"/>
    <w:rsid w:val="58726012"/>
    <w:rsid w:val="58773629"/>
    <w:rsid w:val="587F428B"/>
    <w:rsid w:val="587F6FC8"/>
    <w:rsid w:val="588E44CE"/>
    <w:rsid w:val="58907F4D"/>
    <w:rsid w:val="589133FE"/>
    <w:rsid w:val="58917D2F"/>
    <w:rsid w:val="5894085C"/>
    <w:rsid w:val="589870FB"/>
    <w:rsid w:val="589917F1"/>
    <w:rsid w:val="589A2E73"/>
    <w:rsid w:val="589A7317"/>
    <w:rsid w:val="58A40196"/>
    <w:rsid w:val="58A41F44"/>
    <w:rsid w:val="58A43CF2"/>
    <w:rsid w:val="58AE4F0C"/>
    <w:rsid w:val="58B008E9"/>
    <w:rsid w:val="58B303D9"/>
    <w:rsid w:val="58B54151"/>
    <w:rsid w:val="58B57CAD"/>
    <w:rsid w:val="58B85899"/>
    <w:rsid w:val="58BA3515"/>
    <w:rsid w:val="58BD1CA3"/>
    <w:rsid w:val="58C12AF6"/>
    <w:rsid w:val="58C34E88"/>
    <w:rsid w:val="58CD4FF7"/>
    <w:rsid w:val="58D46932"/>
    <w:rsid w:val="58D5034F"/>
    <w:rsid w:val="58DC7930"/>
    <w:rsid w:val="58DF5427"/>
    <w:rsid w:val="58E363A9"/>
    <w:rsid w:val="58E6255C"/>
    <w:rsid w:val="58ED5699"/>
    <w:rsid w:val="58F00B56"/>
    <w:rsid w:val="58F9403E"/>
    <w:rsid w:val="58FF53CC"/>
    <w:rsid w:val="59044790"/>
    <w:rsid w:val="591075D9"/>
    <w:rsid w:val="59166304"/>
    <w:rsid w:val="59172716"/>
    <w:rsid w:val="591949F1"/>
    <w:rsid w:val="5919648E"/>
    <w:rsid w:val="591C41D0"/>
    <w:rsid w:val="591F15CA"/>
    <w:rsid w:val="591F781C"/>
    <w:rsid w:val="592A2449"/>
    <w:rsid w:val="593257A1"/>
    <w:rsid w:val="5934151A"/>
    <w:rsid w:val="593432C8"/>
    <w:rsid w:val="59350DEE"/>
    <w:rsid w:val="59374B66"/>
    <w:rsid w:val="593C217C"/>
    <w:rsid w:val="594159E5"/>
    <w:rsid w:val="594C6863"/>
    <w:rsid w:val="594D4389"/>
    <w:rsid w:val="594F0101"/>
    <w:rsid w:val="5952374E"/>
    <w:rsid w:val="59590F80"/>
    <w:rsid w:val="595E1678"/>
    <w:rsid w:val="59613991"/>
    <w:rsid w:val="59637709"/>
    <w:rsid w:val="596516D3"/>
    <w:rsid w:val="5966544B"/>
    <w:rsid w:val="596671F9"/>
    <w:rsid w:val="5967369D"/>
    <w:rsid w:val="596B480F"/>
    <w:rsid w:val="596D5BD4"/>
    <w:rsid w:val="596D722D"/>
    <w:rsid w:val="596F2552"/>
    <w:rsid w:val="596F60AE"/>
    <w:rsid w:val="59722042"/>
    <w:rsid w:val="597247E0"/>
    <w:rsid w:val="59725B9E"/>
    <w:rsid w:val="59783E7B"/>
    <w:rsid w:val="597A4A53"/>
    <w:rsid w:val="597C07CB"/>
    <w:rsid w:val="597E2795"/>
    <w:rsid w:val="597E3DD8"/>
    <w:rsid w:val="597E4543"/>
    <w:rsid w:val="59815DE1"/>
    <w:rsid w:val="59835FFD"/>
    <w:rsid w:val="59861515"/>
    <w:rsid w:val="598A738C"/>
    <w:rsid w:val="598D4786"/>
    <w:rsid w:val="598F49A2"/>
    <w:rsid w:val="59975042"/>
    <w:rsid w:val="599975CF"/>
    <w:rsid w:val="599D70BF"/>
    <w:rsid w:val="59A050B6"/>
    <w:rsid w:val="59A07D9A"/>
    <w:rsid w:val="59A60AFF"/>
    <w:rsid w:val="59A809A7"/>
    <w:rsid w:val="59A87812"/>
    <w:rsid w:val="59AC7302"/>
    <w:rsid w:val="59B12B6A"/>
    <w:rsid w:val="59B2243E"/>
    <w:rsid w:val="59B47F65"/>
    <w:rsid w:val="59B63CDD"/>
    <w:rsid w:val="59B85CA7"/>
    <w:rsid w:val="59B937CD"/>
    <w:rsid w:val="59BB12F3"/>
    <w:rsid w:val="59C3464B"/>
    <w:rsid w:val="59C52172"/>
    <w:rsid w:val="59C77C98"/>
    <w:rsid w:val="59C9701B"/>
    <w:rsid w:val="59C97EB4"/>
    <w:rsid w:val="59CA3C2C"/>
    <w:rsid w:val="59D2663D"/>
    <w:rsid w:val="59D40607"/>
    <w:rsid w:val="59DB1995"/>
    <w:rsid w:val="59E206B9"/>
    <w:rsid w:val="59E20F76"/>
    <w:rsid w:val="59E24AD2"/>
    <w:rsid w:val="59EC0196"/>
    <w:rsid w:val="59F42A57"/>
    <w:rsid w:val="59F477A1"/>
    <w:rsid w:val="59F64A21"/>
    <w:rsid w:val="59F667CF"/>
    <w:rsid w:val="59F80043"/>
    <w:rsid w:val="59F82547"/>
    <w:rsid w:val="59FD7B5D"/>
    <w:rsid w:val="5A040EEC"/>
    <w:rsid w:val="5A056A12"/>
    <w:rsid w:val="5A074538"/>
    <w:rsid w:val="5A09252F"/>
    <w:rsid w:val="5A096502"/>
    <w:rsid w:val="5A0A227A"/>
    <w:rsid w:val="5A0A5DD6"/>
    <w:rsid w:val="5A0B2778"/>
    <w:rsid w:val="5A0F163F"/>
    <w:rsid w:val="5A1153B7"/>
    <w:rsid w:val="5A160C1F"/>
    <w:rsid w:val="5A1844DE"/>
    <w:rsid w:val="5A1924BD"/>
    <w:rsid w:val="5A1B4488"/>
    <w:rsid w:val="5A1F7AD4"/>
    <w:rsid w:val="5A201A9E"/>
    <w:rsid w:val="5A221372"/>
    <w:rsid w:val="5A2309DB"/>
    <w:rsid w:val="5A252C10"/>
    <w:rsid w:val="5A2570B4"/>
    <w:rsid w:val="5A276988"/>
    <w:rsid w:val="5A2A46CB"/>
    <w:rsid w:val="5A2A6479"/>
    <w:rsid w:val="5A2A7C7B"/>
    <w:rsid w:val="5A2C21F1"/>
    <w:rsid w:val="5A2E5F69"/>
    <w:rsid w:val="5A3317D1"/>
    <w:rsid w:val="5A33357F"/>
    <w:rsid w:val="5A3617D9"/>
    <w:rsid w:val="5A382944"/>
    <w:rsid w:val="5A3966BC"/>
    <w:rsid w:val="5A3E2560"/>
    <w:rsid w:val="5A3E3CD2"/>
    <w:rsid w:val="5A461504"/>
    <w:rsid w:val="5A4968FF"/>
    <w:rsid w:val="5A513A05"/>
    <w:rsid w:val="5A5874C6"/>
    <w:rsid w:val="5A5A0B0C"/>
    <w:rsid w:val="5A5D3B6E"/>
    <w:rsid w:val="5A6220B6"/>
    <w:rsid w:val="5A637A76"/>
    <w:rsid w:val="5A655703"/>
    <w:rsid w:val="5A6776CD"/>
    <w:rsid w:val="5A690D4F"/>
    <w:rsid w:val="5A6C083F"/>
    <w:rsid w:val="5A6D33BA"/>
    <w:rsid w:val="5A6E0A5B"/>
    <w:rsid w:val="5A712B48"/>
    <w:rsid w:val="5A71428A"/>
    <w:rsid w:val="5A736072"/>
    <w:rsid w:val="5A751DEA"/>
    <w:rsid w:val="5A7542C1"/>
    <w:rsid w:val="5A76409B"/>
    <w:rsid w:val="5A783688"/>
    <w:rsid w:val="5A792B1F"/>
    <w:rsid w:val="5A7A3EAC"/>
    <w:rsid w:val="5A7D0C9E"/>
    <w:rsid w:val="5A7D47FA"/>
    <w:rsid w:val="5A81078E"/>
    <w:rsid w:val="5A865DA5"/>
    <w:rsid w:val="5A874767"/>
    <w:rsid w:val="5A8F6383"/>
    <w:rsid w:val="5A932270"/>
    <w:rsid w:val="5AA004E9"/>
    <w:rsid w:val="5AA224B3"/>
    <w:rsid w:val="5AA47FD9"/>
    <w:rsid w:val="5AA61FA3"/>
    <w:rsid w:val="5AA63D51"/>
    <w:rsid w:val="5AA85BE2"/>
    <w:rsid w:val="5AA92858"/>
    <w:rsid w:val="5AAD6225"/>
    <w:rsid w:val="5AAD6F28"/>
    <w:rsid w:val="5AB02E22"/>
    <w:rsid w:val="5AB126F6"/>
    <w:rsid w:val="5AB83A84"/>
    <w:rsid w:val="5ABD72ED"/>
    <w:rsid w:val="5ABE4A2C"/>
    <w:rsid w:val="5ABF12B7"/>
    <w:rsid w:val="5AC10B8B"/>
    <w:rsid w:val="5AC468CD"/>
    <w:rsid w:val="5AC62645"/>
    <w:rsid w:val="5AC643F3"/>
    <w:rsid w:val="5ACB37B8"/>
    <w:rsid w:val="5ACC12DE"/>
    <w:rsid w:val="5AD07020"/>
    <w:rsid w:val="5AD14B46"/>
    <w:rsid w:val="5AD16135"/>
    <w:rsid w:val="5AD308BE"/>
    <w:rsid w:val="5AD63A24"/>
    <w:rsid w:val="5ADA7E9F"/>
    <w:rsid w:val="5AE40D1D"/>
    <w:rsid w:val="5AE44879"/>
    <w:rsid w:val="5AE64A95"/>
    <w:rsid w:val="5AE96334"/>
    <w:rsid w:val="5AEE74A6"/>
    <w:rsid w:val="5AF34ABD"/>
    <w:rsid w:val="5AF72A21"/>
    <w:rsid w:val="5AF80325"/>
    <w:rsid w:val="5AF820D3"/>
    <w:rsid w:val="5AF96577"/>
    <w:rsid w:val="5AFA22EF"/>
    <w:rsid w:val="5AFD0D68"/>
    <w:rsid w:val="5AFF7905"/>
    <w:rsid w:val="5B046CCA"/>
    <w:rsid w:val="5B070568"/>
    <w:rsid w:val="5B0E1573"/>
    <w:rsid w:val="5B0E7B48"/>
    <w:rsid w:val="5B12588A"/>
    <w:rsid w:val="5B1722FF"/>
    <w:rsid w:val="5B172EA1"/>
    <w:rsid w:val="5B1A64ED"/>
    <w:rsid w:val="5B1E5FDD"/>
    <w:rsid w:val="5B1F3B03"/>
    <w:rsid w:val="5B1F58B2"/>
    <w:rsid w:val="5B202A51"/>
    <w:rsid w:val="5B21162A"/>
    <w:rsid w:val="5B264E92"/>
    <w:rsid w:val="5B266C40"/>
    <w:rsid w:val="5B292CDF"/>
    <w:rsid w:val="5B2A2BD4"/>
    <w:rsid w:val="5B2E1A1D"/>
    <w:rsid w:val="5B307FE1"/>
    <w:rsid w:val="5B3300A3"/>
    <w:rsid w:val="5B345801"/>
    <w:rsid w:val="5B3475AF"/>
    <w:rsid w:val="5B351579"/>
    <w:rsid w:val="5B353327"/>
    <w:rsid w:val="5B37709F"/>
    <w:rsid w:val="5B3D3D26"/>
    <w:rsid w:val="5B3E3A75"/>
    <w:rsid w:val="5B4459CD"/>
    <w:rsid w:val="5B490B80"/>
    <w:rsid w:val="5B4A5024"/>
    <w:rsid w:val="5B4B66A7"/>
    <w:rsid w:val="5B500161"/>
    <w:rsid w:val="5B5100CE"/>
    <w:rsid w:val="5B595267"/>
    <w:rsid w:val="5B5C6B06"/>
    <w:rsid w:val="5B61411C"/>
    <w:rsid w:val="5B653C0C"/>
    <w:rsid w:val="5B6854AA"/>
    <w:rsid w:val="5B6A0607"/>
    <w:rsid w:val="5B6A1223"/>
    <w:rsid w:val="5B6B4F9B"/>
    <w:rsid w:val="5B6B6D49"/>
    <w:rsid w:val="5B7420A1"/>
    <w:rsid w:val="5B743E4F"/>
    <w:rsid w:val="5B745BFD"/>
    <w:rsid w:val="5B7A2838"/>
    <w:rsid w:val="5B7B3430"/>
    <w:rsid w:val="5B7B3CC8"/>
    <w:rsid w:val="5B7E4CCE"/>
    <w:rsid w:val="5B7E6A7C"/>
    <w:rsid w:val="5B843A1C"/>
    <w:rsid w:val="5B865931"/>
    <w:rsid w:val="5B873E3F"/>
    <w:rsid w:val="5B8A5421"/>
    <w:rsid w:val="5B8B1199"/>
    <w:rsid w:val="5B8C73EB"/>
    <w:rsid w:val="5B9242D5"/>
    <w:rsid w:val="5B9C5154"/>
    <w:rsid w:val="5B9E711E"/>
    <w:rsid w:val="5BA02E12"/>
    <w:rsid w:val="5BA02E96"/>
    <w:rsid w:val="5BA069F2"/>
    <w:rsid w:val="5BA364E3"/>
    <w:rsid w:val="5BA858A7"/>
    <w:rsid w:val="5BA95605"/>
    <w:rsid w:val="5BB46942"/>
    <w:rsid w:val="5BB73D3C"/>
    <w:rsid w:val="5BC07095"/>
    <w:rsid w:val="5BC16969"/>
    <w:rsid w:val="5BC22E0D"/>
    <w:rsid w:val="5BC528FD"/>
    <w:rsid w:val="5BC5369D"/>
    <w:rsid w:val="5BC546AB"/>
    <w:rsid w:val="5BC76585"/>
    <w:rsid w:val="5BC776FE"/>
    <w:rsid w:val="5BC85F49"/>
    <w:rsid w:val="5BCA1CC1"/>
    <w:rsid w:val="5BCE7A03"/>
    <w:rsid w:val="5BCF1086"/>
    <w:rsid w:val="5BD20B76"/>
    <w:rsid w:val="5BD90156"/>
    <w:rsid w:val="5BD92F82"/>
    <w:rsid w:val="5BD963A8"/>
    <w:rsid w:val="5BDC19F5"/>
    <w:rsid w:val="5BDE751B"/>
    <w:rsid w:val="5BE014E5"/>
    <w:rsid w:val="5BE21270"/>
    <w:rsid w:val="5BE30FD5"/>
    <w:rsid w:val="5BE70AC5"/>
    <w:rsid w:val="5BE71B49"/>
    <w:rsid w:val="5BE865EB"/>
    <w:rsid w:val="5BF22FC6"/>
    <w:rsid w:val="5BF3746A"/>
    <w:rsid w:val="5BF44F90"/>
    <w:rsid w:val="5BF62AB6"/>
    <w:rsid w:val="5BF810FD"/>
    <w:rsid w:val="5C02145B"/>
    <w:rsid w:val="5C02690E"/>
    <w:rsid w:val="5C033815"/>
    <w:rsid w:val="5C07081F"/>
    <w:rsid w:val="5C0D7E00"/>
    <w:rsid w:val="5C11169E"/>
    <w:rsid w:val="5C196DA7"/>
    <w:rsid w:val="5C1B42CB"/>
    <w:rsid w:val="5C1D44E7"/>
    <w:rsid w:val="5C1E200D"/>
    <w:rsid w:val="5C2238AB"/>
    <w:rsid w:val="5C25339C"/>
    <w:rsid w:val="5C266425"/>
    <w:rsid w:val="5C2A048C"/>
    <w:rsid w:val="5C2C297C"/>
    <w:rsid w:val="5C2D3FFE"/>
    <w:rsid w:val="5C2F7D76"/>
    <w:rsid w:val="5C3727C0"/>
    <w:rsid w:val="5C3B2BBF"/>
    <w:rsid w:val="5C433822"/>
    <w:rsid w:val="5C441A74"/>
    <w:rsid w:val="5C466A1C"/>
    <w:rsid w:val="5C4952DC"/>
    <w:rsid w:val="5C4E644E"/>
    <w:rsid w:val="5C5123E2"/>
    <w:rsid w:val="5C531CB7"/>
    <w:rsid w:val="5C583771"/>
    <w:rsid w:val="5C58551F"/>
    <w:rsid w:val="5C5872CD"/>
    <w:rsid w:val="5C5B0B6B"/>
    <w:rsid w:val="5C5D2B35"/>
    <w:rsid w:val="5C5F065B"/>
    <w:rsid w:val="5C5F68AD"/>
    <w:rsid w:val="5C621EFA"/>
    <w:rsid w:val="5C657D92"/>
    <w:rsid w:val="5C6739B4"/>
    <w:rsid w:val="5C6C2D78"/>
    <w:rsid w:val="5C726720"/>
    <w:rsid w:val="5C734107"/>
    <w:rsid w:val="5C7560D1"/>
    <w:rsid w:val="5C794EB2"/>
    <w:rsid w:val="5C797243"/>
    <w:rsid w:val="5C7A3771"/>
    <w:rsid w:val="5C80234E"/>
    <w:rsid w:val="5C8A680C"/>
    <w:rsid w:val="5C91458D"/>
    <w:rsid w:val="5C946EE9"/>
    <w:rsid w:val="5C9522CF"/>
    <w:rsid w:val="5C95407D"/>
    <w:rsid w:val="5C961809"/>
    <w:rsid w:val="5C961BA3"/>
    <w:rsid w:val="5C974299"/>
    <w:rsid w:val="5C9B540C"/>
    <w:rsid w:val="5C9D1184"/>
    <w:rsid w:val="5C9F6CAA"/>
    <w:rsid w:val="5CA22C3E"/>
    <w:rsid w:val="5CA66AC1"/>
    <w:rsid w:val="5CA97B29"/>
    <w:rsid w:val="5CAB38A1"/>
    <w:rsid w:val="5CAC13C7"/>
    <w:rsid w:val="5CAC586B"/>
    <w:rsid w:val="5CAE15E3"/>
    <w:rsid w:val="5CAF2C65"/>
    <w:rsid w:val="5CB12E81"/>
    <w:rsid w:val="5CB52971"/>
    <w:rsid w:val="5CBA0C04"/>
    <w:rsid w:val="5CBB785C"/>
    <w:rsid w:val="5CBC5AAE"/>
    <w:rsid w:val="5CBD35D4"/>
    <w:rsid w:val="5CBD5382"/>
    <w:rsid w:val="5CC130C4"/>
    <w:rsid w:val="5CC52489"/>
    <w:rsid w:val="5CC606DB"/>
    <w:rsid w:val="5CC91F79"/>
    <w:rsid w:val="5CC93D27"/>
    <w:rsid w:val="5CC97269"/>
    <w:rsid w:val="5CCB5CF1"/>
    <w:rsid w:val="5CD03307"/>
    <w:rsid w:val="5CD252D1"/>
    <w:rsid w:val="5CD54DC2"/>
    <w:rsid w:val="5CDB3A5A"/>
    <w:rsid w:val="5CDD3C76"/>
    <w:rsid w:val="5CDD77D2"/>
    <w:rsid w:val="5CDF3DD1"/>
    <w:rsid w:val="5CDF79EE"/>
    <w:rsid w:val="5CE2303B"/>
    <w:rsid w:val="5CE24DE9"/>
    <w:rsid w:val="5CE60D7D"/>
    <w:rsid w:val="5CE9261B"/>
    <w:rsid w:val="5CEB1EEF"/>
    <w:rsid w:val="5CED3EB9"/>
    <w:rsid w:val="5CEF3C87"/>
    <w:rsid w:val="5CF35248"/>
    <w:rsid w:val="5CF60894"/>
    <w:rsid w:val="5CFA4828"/>
    <w:rsid w:val="5CFB5EAA"/>
    <w:rsid w:val="5D0336DD"/>
    <w:rsid w:val="5D080CF3"/>
    <w:rsid w:val="5D0905C7"/>
    <w:rsid w:val="5D0C00B7"/>
    <w:rsid w:val="5D0C4701"/>
    <w:rsid w:val="5D0E3E30"/>
    <w:rsid w:val="5D0F0395"/>
    <w:rsid w:val="5D0F3118"/>
    <w:rsid w:val="5D120110"/>
    <w:rsid w:val="5D131446"/>
    <w:rsid w:val="5D1A0A26"/>
    <w:rsid w:val="5D1A6C78"/>
    <w:rsid w:val="5D1E6C92"/>
    <w:rsid w:val="5D207CD3"/>
    <w:rsid w:val="5D211242"/>
    <w:rsid w:val="5D221076"/>
    <w:rsid w:val="5D221689"/>
    <w:rsid w:val="5D2673CB"/>
    <w:rsid w:val="5D276C9F"/>
    <w:rsid w:val="5D283143"/>
    <w:rsid w:val="5D284EF1"/>
    <w:rsid w:val="5D292A17"/>
    <w:rsid w:val="5D296EBB"/>
    <w:rsid w:val="5D2D2508"/>
    <w:rsid w:val="5D301FF8"/>
    <w:rsid w:val="5D325D70"/>
    <w:rsid w:val="5D327B1E"/>
    <w:rsid w:val="5D335644"/>
    <w:rsid w:val="5D3715D8"/>
    <w:rsid w:val="5D375AFF"/>
    <w:rsid w:val="5D380EAD"/>
    <w:rsid w:val="5D397964"/>
    <w:rsid w:val="5D3A4C25"/>
    <w:rsid w:val="5D485594"/>
    <w:rsid w:val="5D4930BA"/>
    <w:rsid w:val="5D4E698B"/>
    <w:rsid w:val="5D4F6E91"/>
    <w:rsid w:val="5D5932FD"/>
    <w:rsid w:val="5D5A391C"/>
    <w:rsid w:val="5D5E4DB7"/>
    <w:rsid w:val="5D5F10C0"/>
    <w:rsid w:val="5D5F468B"/>
    <w:rsid w:val="5D600B2F"/>
    <w:rsid w:val="5D63417B"/>
    <w:rsid w:val="5D6B74D4"/>
    <w:rsid w:val="5D6D6DA8"/>
    <w:rsid w:val="5D6F0D72"/>
    <w:rsid w:val="5D6F2B20"/>
    <w:rsid w:val="5D706898"/>
    <w:rsid w:val="5D79574D"/>
    <w:rsid w:val="5D7A3273"/>
    <w:rsid w:val="5D7C348F"/>
    <w:rsid w:val="5D7E2D63"/>
    <w:rsid w:val="5D7F6ADB"/>
    <w:rsid w:val="5D884451"/>
    <w:rsid w:val="5D891B7B"/>
    <w:rsid w:val="5D8A5BAC"/>
    <w:rsid w:val="5D8D2FA6"/>
    <w:rsid w:val="5D9500AD"/>
    <w:rsid w:val="5D997B9D"/>
    <w:rsid w:val="5D9C768D"/>
    <w:rsid w:val="5D9E51B4"/>
    <w:rsid w:val="5DA16A52"/>
    <w:rsid w:val="5DA84284"/>
    <w:rsid w:val="5DAD38EE"/>
    <w:rsid w:val="5DAF5613"/>
    <w:rsid w:val="5DAF73C1"/>
    <w:rsid w:val="5DB03139"/>
    <w:rsid w:val="5DB524FD"/>
    <w:rsid w:val="5DB6074F"/>
    <w:rsid w:val="5DBA4654"/>
    <w:rsid w:val="5DBC7D30"/>
    <w:rsid w:val="5DBD47D0"/>
    <w:rsid w:val="5DBE7604"/>
    <w:rsid w:val="5DBF512A"/>
    <w:rsid w:val="5DBF70F0"/>
    <w:rsid w:val="5DC866D4"/>
    <w:rsid w:val="5DCA244C"/>
    <w:rsid w:val="5DCB1360"/>
    <w:rsid w:val="5DCF390D"/>
    <w:rsid w:val="5DD07337"/>
    <w:rsid w:val="5DD230AF"/>
    <w:rsid w:val="5DD46E27"/>
    <w:rsid w:val="5DD5494D"/>
    <w:rsid w:val="5DD76917"/>
    <w:rsid w:val="5DDA7107"/>
    <w:rsid w:val="5DDB1F64"/>
    <w:rsid w:val="5DDC3F2E"/>
    <w:rsid w:val="5DDC5CDC"/>
    <w:rsid w:val="5DE60909"/>
    <w:rsid w:val="5DE75433"/>
    <w:rsid w:val="5DF272AD"/>
    <w:rsid w:val="5DF474C9"/>
    <w:rsid w:val="5DF66D9E"/>
    <w:rsid w:val="5E0019CA"/>
    <w:rsid w:val="5E006862"/>
    <w:rsid w:val="5E007C1C"/>
    <w:rsid w:val="5E0207B9"/>
    <w:rsid w:val="5E070FAB"/>
    <w:rsid w:val="5E0A0A9B"/>
    <w:rsid w:val="5E0A1511"/>
    <w:rsid w:val="5E0C7DF7"/>
    <w:rsid w:val="5E0D40E7"/>
    <w:rsid w:val="5E0E058B"/>
    <w:rsid w:val="5E17280A"/>
    <w:rsid w:val="5E174F66"/>
    <w:rsid w:val="5E1834A1"/>
    <w:rsid w:val="5E1B2CA8"/>
    <w:rsid w:val="5E1C432A"/>
    <w:rsid w:val="5E2033FB"/>
    <w:rsid w:val="5E203E1A"/>
    <w:rsid w:val="5E207FC0"/>
    <w:rsid w:val="5E211941"/>
    <w:rsid w:val="5E23390B"/>
    <w:rsid w:val="5E237B2A"/>
    <w:rsid w:val="5E261785"/>
    <w:rsid w:val="5E27164D"/>
    <w:rsid w:val="5E2C0A11"/>
    <w:rsid w:val="5E2C27BF"/>
    <w:rsid w:val="5E2E29DB"/>
    <w:rsid w:val="5E3033B1"/>
    <w:rsid w:val="5E303744"/>
    <w:rsid w:val="5E337FF2"/>
    <w:rsid w:val="5E343D6A"/>
    <w:rsid w:val="5E394EDC"/>
    <w:rsid w:val="5E3B0C54"/>
    <w:rsid w:val="5E3B6EA6"/>
    <w:rsid w:val="5E3C677A"/>
    <w:rsid w:val="5E3D49CC"/>
    <w:rsid w:val="5E4044BD"/>
    <w:rsid w:val="5E451AD3"/>
    <w:rsid w:val="5E4915C3"/>
    <w:rsid w:val="5E4A533B"/>
    <w:rsid w:val="5E4A7017"/>
    <w:rsid w:val="5E4C10B3"/>
    <w:rsid w:val="5E4D2736"/>
    <w:rsid w:val="5E4F5691"/>
    <w:rsid w:val="5E525F9E"/>
    <w:rsid w:val="5E552BBA"/>
    <w:rsid w:val="5E55537D"/>
    <w:rsid w:val="5E565A8E"/>
    <w:rsid w:val="5E611C10"/>
    <w:rsid w:val="5E6301AB"/>
    <w:rsid w:val="5E652175"/>
    <w:rsid w:val="5E6A32E8"/>
    <w:rsid w:val="5E6C6F25"/>
    <w:rsid w:val="5E6D4B86"/>
    <w:rsid w:val="5E6F08FE"/>
    <w:rsid w:val="5E6F73B4"/>
    <w:rsid w:val="5E710B1A"/>
    <w:rsid w:val="5E714676"/>
    <w:rsid w:val="5E7303EE"/>
    <w:rsid w:val="5E736640"/>
    <w:rsid w:val="5E7423B8"/>
    <w:rsid w:val="5E761C8C"/>
    <w:rsid w:val="5E7646B6"/>
    <w:rsid w:val="5E7A0F3F"/>
    <w:rsid w:val="5E7D126D"/>
    <w:rsid w:val="5E7E3E4A"/>
    <w:rsid w:val="5E7F3237"/>
    <w:rsid w:val="5E8048B9"/>
    <w:rsid w:val="5E850121"/>
    <w:rsid w:val="5E8B1BDC"/>
    <w:rsid w:val="5E8C325E"/>
    <w:rsid w:val="5E8C5954"/>
    <w:rsid w:val="5E9071F2"/>
    <w:rsid w:val="5E9112BE"/>
    <w:rsid w:val="5E930A90"/>
    <w:rsid w:val="5E940365"/>
    <w:rsid w:val="5E9A1E1F"/>
    <w:rsid w:val="5E9B5B97"/>
    <w:rsid w:val="5E9B7945"/>
    <w:rsid w:val="5EA52572"/>
    <w:rsid w:val="5EA91FF6"/>
    <w:rsid w:val="5EAB402C"/>
    <w:rsid w:val="5EB10F16"/>
    <w:rsid w:val="5EB17168"/>
    <w:rsid w:val="5EB56C59"/>
    <w:rsid w:val="5EB61B49"/>
    <w:rsid w:val="5EB804F7"/>
    <w:rsid w:val="5EB904CA"/>
    <w:rsid w:val="5EBA601D"/>
    <w:rsid w:val="5EBD5B0D"/>
    <w:rsid w:val="5EBD78BB"/>
    <w:rsid w:val="5EC01983"/>
    <w:rsid w:val="5EC450EE"/>
    <w:rsid w:val="5EC62C14"/>
    <w:rsid w:val="5EC92704"/>
    <w:rsid w:val="5ECC5D50"/>
    <w:rsid w:val="5ECE7D1A"/>
    <w:rsid w:val="5ED15115"/>
    <w:rsid w:val="5ED2780B"/>
    <w:rsid w:val="5ED510A9"/>
    <w:rsid w:val="5ED66BCF"/>
    <w:rsid w:val="5EE017FC"/>
    <w:rsid w:val="5EE237C6"/>
    <w:rsid w:val="5EE27322"/>
    <w:rsid w:val="5EE31B38"/>
    <w:rsid w:val="5EE412EC"/>
    <w:rsid w:val="5EE96902"/>
    <w:rsid w:val="5EEE5CC7"/>
    <w:rsid w:val="5EF07C91"/>
    <w:rsid w:val="5EF62DCD"/>
    <w:rsid w:val="5EF808F3"/>
    <w:rsid w:val="5EFA052E"/>
    <w:rsid w:val="5EFB03E4"/>
    <w:rsid w:val="5EFC7377"/>
    <w:rsid w:val="5EFD415C"/>
    <w:rsid w:val="5EFF1C82"/>
    <w:rsid w:val="5F011E9E"/>
    <w:rsid w:val="5F0454EA"/>
    <w:rsid w:val="5F053010"/>
    <w:rsid w:val="5F06174D"/>
    <w:rsid w:val="5F0A577B"/>
    <w:rsid w:val="5F0C25F1"/>
    <w:rsid w:val="5F131BD1"/>
    <w:rsid w:val="5F13397F"/>
    <w:rsid w:val="5F13572D"/>
    <w:rsid w:val="5F182D44"/>
    <w:rsid w:val="5F1871E8"/>
    <w:rsid w:val="5F1C2834"/>
    <w:rsid w:val="5F1C6CD8"/>
    <w:rsid w:val="5F1D47FE"/>
    <w:rsid w:val="5F1F7A66"/>
    <w:rsid w:val="5F2142EE"/>
    <w:rsid w:val="5F2416E8"/>
    <w:rsid w:val="5F2E6A0B"/>
    <w:rsid w:val="5F3062DF"/>
    <w:rsid w:val="5F3538F6"/>
    <w:rsid w:val="5F3A3602"/>
    <w:rsid w:val="5F3A53B0"/>
    <w:rsid w:val="5F3D27AA"/>
    <w:rsid w:val="5F3E6C4E"/>
    <w:rsid w:val="5F434264"/>
    <w:rsid w:val="5F441D8B"/>
    <w:rsid w:val="5F45733B"/>
    <w:rsid w:val="5F4B4EC7"/>
    <w:rsid w:val="5F4D50E3"/>
    <w:rsid w:val="5F4F0E5B"/>
    <w:rsid w:val="5F557AF4"/>
    <w:rsid w:val="5F571ABE"/>
    <w:rsid w:val="5F5D2E4C"/>
    <w:rsid w:val="5F5D4BFA"/>
    <w:rsid w:val="5F5E109E"/>
    <w:rsid w:val="5F6277C6"/>
    <w:rsid w:val="5F63348B"/>
    <w:rsid w:val="5F683CCB"/>
    <w:rsid w:val="5F685A79"/>
    <w:rsid w:val="5F6917F1"/>
    <w:rsid w:val="5F697A43"/>
    <w:rsid w:val="5F6B37BB"/>
    <w:rsid w:val="5F6D0B1D"/>
    <w:rsid w:val="5F6D12E1"/>
    <w:rsid w:val="5F70492E"/>
    <w:rsid w:val="5F7206A6"/>
    <w:rsid w:val="5F7408C2"/>
    <w:rsid w:val="5F7563E8"/>
    <w:rsid w:val="5F7D704B"/>
    <w:rsid w:val="5F7F1015"/>
    <w:rsid w:val="5F7F2DC3"/>
    <w:rsid w:val="5F8403D9"/>
    <w:rsid w:val="5F8605F5"/>
    <w:rsid w:val="5F881C77"/>
    <w:rsid w:val="5F88611B"/>
    <w:rsid w:val="5F8A1E93"/>
    <w:rsid w:val="5F8B5C0B"/>
    <w:rsid w:val="5F8D0B82"/>
    <w:rsid w:val="5F8E1258"/>
    <w:rsid w:val="5F924513"/>
    <w:rsid w:val="5F9439FA"/>
    <w:rsid w:val="5F954394"/>
    <w:rsid w:val="5F97010C"/>
    <w:rsid w:val="5F9745B0"/>
    <w:rsid w:val="5F990328"/>
    <w:rsid w:val="5F9D5C03"/>
    <w:rsid w:val="5FA56CCD"/>
    <w:rsid w:val="5FA647F3"/>
    <w:rsid w:val="5FAA42E4"/>
    <w:rsid w:val="5FAA6092"/>
    <w:rsid w:val="5FAB005C"/>
    <w:rsid w:val="5FAB3BB8"/>
    <w:rsid w:val="5FB54A36"/>
    <w:rsid w:val="5FB94527"/>
    <w:rsid w:val="5FB962D5"/>
    <w:rsid w:val="5FBC4017"/>
    <w:rsid w:val="5FC03B07"/>
    <w:rsid w:val="5FC133DB"/>
    <w:rsid w:val="5FC30F01"/>
    <w:rsid w:val="5FC627A0"/>
    <w:rsid w:val="5FC86518"/>
    <w:rsid w:val="5FCB425A"/>
    <w:rsid w:val="5FCC5339"/>
    <w:rsid w:val="5FD0361E"/>
    <w:rsid w:val="5FD50C35"/>
    <w:rsid w:val="5FD924D3"/>
    <w:rsid w:val="5FDA624B"/>
    <w:rsid w:val="5FDD1850"/>
    <w:rsid w:val="5FE34A5B"/>
    <w:rsid w:val="5FE76832"/>
    <w:rsid w:val="5FEA46E0"/>
    <w:rsid w:val="5FEF1CF6"/>
    <w:rsid w:val="5FF4555F"/>
    <w:rsid w:val="5FFB68ED"/>
    <w:rsid w:val="5FFE1E36"/>
    <w:rsid w:val="5FFE1F39"/>
    <w:rsid w:val="60002155"/>
    <w:rsid w:val="60025ECE"/>
    <w:rsid w:val="600725DB"/>
    <w:rsid w:val="600A2FD4"/>
    <w:rsid w:val="600B28A8"/>
    <w:rsid w:val="601E25DC"/>
    <w:rsid w:val="602045A6"/>
    <w:rsid w:val="60215D53"/>
    <w:rsid w:val="60232584"/>
    <w:rsid w:val="60237BF2"/>
    <w:rsid w:val="602776E2"/>
    <w:rsid w:val="602A5424"/>
    <w:rsid w:val="602C2F4B"/>
    <w:rsid w:val="602D0A71"/>
    <w:rsid w:val="603040BD"/>
    <w:rsid w:val="60324DF8"/>
    <w:rsid w:val="60343BAD"/>
    <w:rsid w:val="603B13E0"/>
    <w:rsid w:val="603C0CB4"/>
    <w:rsid w:val="603D6F06"/>
    <w:rsid w:val="603E2C7E"/>
    <w:rsid w:val="603E4A2C"/>
    <w:rsid w:val="604007A4"/>
    <w:rsid w:val="60420D6C"/>
    <w:rsid w:val="60430294"/>
    <w:rsid w:val="60433DF0"/>
    <w:rsid w:val="60483AFC"/>
    <w:rsid w:val="604A517F"/>
    <w:rsid w:val="604E1113"/>
    <w:rsid w:val="6051650D"/>
    <w:rsid w:val="605204D7"/>
    <w:rsid w:val="605424A1"/>
    <w:rsid w:val="60567FC7"/>
    <w:rsid w:val="60591866"/>
    <w:rsid w:val="60593614"/>
    <w:rsid w:val="605B55DE"/>
    <w:rsid w:val="605D3104"/>
    <w:rsid w:val="6062071A"/>
    <w:rsid w:val="60630D2F"/>
    <w:rsid w:val="60652FF7"/>
    <w:rsid w:val="6065645C"/>
    <w:rsid w:val="60675D31"/>
    <w:rsid w:val="606A75CF"/>
    <w:rsid w:val="606C55E6"/>
    <w:rsid w:val="606C77EB"/>
    <w:rsid w:val="606D5311"/>
    <w:rsid w:val="607330CE"/>
    <w:rsid w:val="60787F3E"/>
    <w:rsid w:val="60793CB6"/>
    <w:rsid w:val="607C4752"/>
    <w:rsid w:val="60803296"/>
    <w:rsid w:val="60820DBC"/>
    <w:rsid w:val="60825176"/>
    <w:rsid w:val="6082700E"/>
    <w:rsid w:val="608368E3"/>
    <w:rsid w:val="60854409"/>
    <w:rsid w:val="608763D3"/>
    <w:rsid w:val="608A5EC3"/>
    <w:rsid w:val="608C1C3B"/>
    <w:rsid w:val="608F5287"/>
    <w:rsid w:val="608F7035"/>
    <w:rsid w:val="60934D78"/>
    <w:rsid w:val="6094289E"/>
    <w:rsid w:val="609A4358"/>
    <w:rsid w:val="609B00D0"/>
    <w:rsid w:val="609B59DA"/>
    <w:rsid w:val="609F2AC4"/>
    <w:rsid w:val="60A800F7"/>
    <w:rsid w:val="60AE1BB1"/>
    <w:rsid w:val="60B13450"/>
    <w:rsid w:val="60B151FE"/>
    <w:rsid w:val="60B42F40"/>
    <w:rsid w:val="60B847DE"/>
    <w:rsid w:val="60BB42CE"/>
    <w:rsid w:val="60C2740B"/>
    <w:rsid w:val="60C43183"/>
    <w:rsid w:val="60C5514D"/>
    <w:rsid w:val="60C767CF"/>
    <w:rsid w:val="60C82547"/>
    <w:rsid w:val="60CC028A"/>
    <w:rsid w:val="60CC2038"/>
    <w:rsid w:val="60D13AF2"/>
    <w:rsid w:val="60D158A0"/>
    <w:rsid w:val="60D1764E"/>
    <w:rsid w:val="60D4713E"/>
    <w:rsid w:val="60D809DC"/>
    <w:rsid w:val="60DD2497"/>
    <w:rsid w:val="60E07891"/>
    <w:rsid w:val="60E143CA"/>
    <w:rsid w:val="60E2185B"/>
    <w:rsid w:val="60E92BEA"/>
    <w:rsid w:val="60EA6962"/>
    <w:rsid w:val="60EC6236"/>
    <w:rsid w:val="60F15F42"/>
    <w:rsid w:val="60F17CF0"/>
    <w:rsid w:val="60F5158E"/>
    <w:rsid w:val="60F6604E"/>
    <w:rsid w:val="60F670B5"/>
    <w:rsid w:val="60FA2EE8"/>
    <w:rsid w:val="60FA4DF7"/>
    <w:rsid w:val="60FB0B6F"/>
    <w:rsid w:val="60FF065F"/>
    <w:rsid w:val="60FF240D"/>
    <w:rsid w:val="61054A27"/>
    <w:rsid w:val="6106379C"/>
    <w:rsid w:val="610A52BC"/>
    <w:rsid w:val="610E08A2"/>
    <w:rsid w:val="6110461A"/>
    <w:rsid w:val="61161505"/>
    <w:rsid w:val="611807AB"/>
    <w:rsid w:val="611A7247"/>
    <w:rsid w:val="611D2366"/>
    <w:rsid w:val="611D2893"/>
    <w:rsid w:val="611F03B9"/>
    <w:rsid w:val="611F485D"/>
    <w:rsid w:val="61202383"/>
    <w:rsid w:val="612105D5"/>
    <w:rsid w:val="61286145"/>
    <w:rsid w:val="612C2AD6"/>
    <w:rsid w:val="61300818"/>
    <w:rsid w:val="613025C6"/>
    <w:rsid w:val="61314591"/>
    <w:rsid w:val="6131633F"/>
    <w:rsid w:val="61354081"/>
    <w:rsid w:val="61371BA7"/>
    <w:rsid w:val="6138591F"/>
    <w:rsid w:val="613C540F"/>
    <w:rsid w:val="61406582"/>
    <w:rsid w:val="61421856"/>
    <w:rsid w:val="61453B98"/>
    <w:rsid w:val="61474CB9"/>
    <w:rsid w:val="61475B62"/>
    <w:rsid w:val="614E0C9F"/>
    <w:rsid w:val="614E5143"/>
    <w:rsid w:val="61504233"/>
    <w:rsid w:val="615227C4"/>
    <w:rsid w:val="61565DA5"/>
    <w:rsid w:val="615C160D"/>
    <w:rsid w:val="615C785F"/>
    <w:rsid w:val="616404C2"/>
    <w:rsid w:val="61654E3F"/>
    <w:rsid w:val="616D55C9"/>
    <w:rsid w:val="6170330B"/>
    <w:rsid w:val="61706E67"/>
    <w:rsid w:val="61722BDF"/>
    <w:rsid w:val="617A0FD8"/>
    <w:rsid w:val="617C3A5E"/>
    <w:rsid w:val="6182292A"/>
    <w:rsid w:val="61830BFA"/>
    <w:rsid w:val="61842912"/>
    <w:rsid w:val="618741B1"/>
    <w:rsid w:val="61891CD7"/>
    <w:rsid w:val="619012B7"/>
    <w:rsid w:val="61923281"/>
    <w:rsid w:val="61926DDD"/>
    <w:rsid w:val="61970898"/>
    <w:rsid w:val="619A155F"/>
    <w:rsid w:val="619C1A0A"/>
    <w:rsid w:val="619C7B32"/>
    <w:rsid w:val="619C7C5C"/>
    <w:rsid w:val="619F14FA"/>
    <w:rsid w:val="619F7F92"/>
    <w:rsid w:val="61A30FEA"/>
    <w:rsid w:val="61A3723C"/>
    <w:rsid w:val="61A42FB4"/>
    <w:rsid w:val="61A46B11"/>
    <w:rsid w:val="61A66D2D"/>
    <w:rsid w:val="61B054B5"/>
    <w:rsid w:val="61B52ACC"/>
    <w:rsid w:val="61B825BC"/>
    <w:rsid w:val="61BC3E5A"/>
    <w:rsid w:val="61BE5E24"/>
    <w:rsid w:val="61BF7DEE"/>
    <w:rsid w:val="61C61346"/>
    <w:rsid w:val="61C62F2B"/>
    <w:rsid w:val="61CA2A1B"/>
    <w:rsid w:val="61CD250B"/>
    <w:rsid w:val="61D07906"/>
    <w:rsid w:val="61D2367E"/>
    <w:rsid w:val="61D513C0"/>
    <w:rsid w:val="61D54F1C"/>
    <w:rsid w:val="61DB4C28"/>
    <w:rsid w:val="61DF3FED"/>
    <w:rsid w:val="61E0223F"/>
    <w:rsid w:val="61E15FB7"/>
    <w:rsid w:val="61E33ADD"/>
    <w:rsid w:val="61E810F3"/>
    <w:rsid w:val="61EA6C19"/>
    <w:rsid w:val="61F01D56"/>
    <w:rsid w:val="61F335F4"/>
    <w:rsid w:val="61F743AD"/>
    <w:rsid w:val="61F94C26"/>
    <w:rsid w:val="61FC4B9F"/>
    <w:rsid w:val="6200008A"/>
    <w:rsid w:val="62000E56"/>
    <w:rsid w:val="62015D11"/>
    <w:rsid w:val="620174BF"/>
    <w:rsid w:val="62053A53"/>
    <w:rsid w:val="62092E18"/>
    <w:rsid w:val="620F6680"/>
    <w:rsid w:val="62143C96"/>
    <w:rsid w:val="621444A4"/>
    <w:rsid w:val="621C2B4B"/>
    <w:rsid w:val="621E2D67"/>
    <w:rsid w:val="621E68C3"/>
    <w:rsid w:val="6220263B"/>
    <w:rsid w:val="622163B3"/>
    <w:rsid w:val="62251F1F"/>
    <w:rsid w:val="62255EA3"/>
    <w:rsid w:val="62297E0B"/>
    <w:rsid w:val="62347E94"/>
    <w:rsid w:val="62373E29"/>
    <w:rsid w:val="6239194F"/>
    <w:rsid w:val="623923D4"/>
    <w:rsid w:val="623954AB"/>
    <w:rsid w:val="623A1223"/>
    <w:rsid w:val="623A61BF"/>
    <w:rsid w:val="623C143F"/>
    <w:rsid w:val="623E6F65"/>
    <w:rsid w:val="62465E1A"/>
    <w:rsid w:val="624F3E49"/>
    <w:rsid w:val="62514EEA"/>
    <w:rsid w:val="625247BE"/>
    <w:rsid w:val="62555998"/>
    <w:rsid w:val="62566E28"/>
    <w:rsid w:val="625B18C5"/>
    <w:rsid w:val="625C185F"/>
    <w:rsid w:val="6261136A"/>
    <w:rsid w:val="62632286"/>
    <w:rsid w:val="62634C1E"/>
    <w:rsid w:val="62650996"/>
    <w:rsid w:val="62685D90"/>
    <w:rsid w:val="626D784A"/>
    <w:rsid w:val="626F35C2"/>
    <w:rsid w:val="627110E9"/>
    <w:rsid w:val="62721728"/>
    <w:rsid w:val="62740BD9"/>
    <w:rsid w:val="62755297"/>
    <w:rsid w:val="627604AD"/>
    <w:rsid w:val="62774225"/>
    <w:rsid w:val="62775FD3"/>
    <w:rsid w:val="62784BFA"/>
    <w:rsid w:val="627E3805"/>
    <w:rsid w:val="627E55B4"/>
    <w:rsid w:val="627F48F3"/>
    <w:rsid w:val="6283706E"/>
    <w:rsid w:val="62885958"/>
    <w:rsid w:val="628F156F"/>
    <w:rsid w:val="62922E0D"/>
    <w:rsid w:val="62986BDB"/>
    <w:rsid w:val="629923ED"/>
    <w:rsid w:val="6299419B"/>
    <w:rsid w:val="629D3C8C"/>
    <w:rsid w:val="629E7A04"/>
    <w:rsid w:val="62A3326C"/>
    <w:rsid w:val="62A51D97"/>
    <w:rsid w:val="62A74B0A"/>
    <w:rsid w:val="62AA45FB"/>
    <w:rsid w:val="62AD7C47"/>
    <w:rsid w:val="62B10EC3"/>
    <w:rsid w:val="62B66AFB"/>
    <w:rsid w:val="62B92A90"/>
    <w:rsid w:val="62BB6808"/>
    <w:rsid w:val="62BC7E8A"/>
    <w:rsid w:val="62BD432E"/>
    <w:rsid w:val="62BD60DC"/>
    <w:rsid w:val="62C70D09"/>
    <w:rsid w:val="62C751AC"/>
    <w:rsid w:val="62C76F5B"/>
    <w:rsid w:val="62C84A81"/>
    <w:rsid w:val="62CC27C3"/>
    <w:rsid w:val="62CC631F"/>
    <w:rsid w:val="62CF7BBD"/>
    <w:rsid w:val="62D13935"/>
    <w:rsid w:val="62D358FF"/>
    <w:rsid w:val="62D60F4C"/>
    <w:rsid w:val="62D6719E"/>
    <w:rsid w:val="62D82F16"/>
    <w:rsid w:val="62D84CC4"/>
    <w:rsid w:val="62DF24F6"/>
    <w:rsid w:val="62E0626E"/>
    <w:rsid w:val="62E21FE6"/>
    <w:rsid w:val="62E25B42"/>
    <w:rsid w:val="62E403D8"/>
    <w:rsid w:val="62E66672"/>
    <w:rsid w:val="62EB7913"/>
    <w:rsid w:val="62EE2739"/>
    <w:rsid w:val="62EF025F"/>
    <w:rsid w:val="62F40B65"/>
    <w:rsid w:val="62F615EE"/>
    <w:rsid w:val="62F66167"/>
    <w:rsid w:val="62FC2CFE"/>
    <w:rsid w:val="63024505"/>
    <w:rsid w:val="63097573"/>
    <w:rsid w:val="630D43EE"/>
    <w:rsid w:val="63110999"/>
    <w:rsid w:val="631141FF"/>
    <w:rsid w:val="631B1054"/>
    <w:rsid w:val="6320666B"/>
    <w:rsid w:val="632443AD"/>
    <w:rsid w:val="6324615B"/>
    <w:rsid w:val="632779F9"/>
    <w:rsid w:val="632919C3"/>
    <w:rsid w:val="632B573B"/>
    <w:rsid w:val="632C5010"/>
    <w:rsid w:val="632F68AE"/>
    <w:rsid w:val="63402869"/>
    <w:rsid w:val="63421592"/>
    <w:rsid w:val="63442359"/>
    <w:rsid w:val="63464323"/>
    <w:rsid w:val="634E142A"/>
    <w:rsid w:val="63500CFE"/>
    <w:rsid w:val="63534C92"/>
    <w:rsid w:val="635600A5"/>
    <w:rsid w:val="635B1DB5"/>
    <w:rsid w:val="63620A31"/>
    <w:rsid w:val="63640C4D"/>
    <w:rsid w:val="636522D0"/>
    <w:rsid w:val="636C18B0"/>
    <w:rsid w:val="637013A0"/>
    <w:rsid w:val="63711FED"/>
    <w:rsid w:val="63780255"/>
    <w:rsid w:val="638210D3"/>
    <w:rsid w:val="6382143C"/>
    <w:rsid w:val="638766EA"/>
    <w:rsid w:val="63880DDC"/>
    <w:rsid w:val="63892462"/>
    <w:rsid w:val="638C3D00"/>
    <w:rsid w:val="638D5B7C"/>
    <w:rsid w:val="638D750D"/>
    <w:rsid w:val="63913F53"/>
    <w:rsid w:val="639332E1"/>
    <w:rsid w:val="63957059"/>
    <w:rsid w:val="639A641D"/>
    <w:rsid w:val="639C2195"/>
    <w:rsid w:val="63A728E8"/>
    <w:rsid w:val="63A92B04"/>
    <w:rsid w:val="63AB23D8"/>
    <w:rsid w:val="63AC6CC0"/>
    <w:rsid w:val="63AE011A"/>
    <w:rsid w:val="63B05C41"/>
    <w:rsid w:val="63B3128D"/>
    <w:rsid w:val="63B374DF"/>
    <w:rsid w:val="63B842E9"/>
    <w:rsid w:val="63B84AF5"/>
    <w:rsid w:val="63BA086D"/>
    <w:rsid w:val="63BD3EBA"/>
    <w:rsid w:val="63BE035D"/>
    <w:rsid w:val="63C17E4E"/>
    <w:rsid w:val="63C27722"/>
    <w:rsid w:val="63C33BC6"/>
    <w:rsid w:val="63C67212"/>
    <w:rsid w:val="63C74D38"/>
    <w:rsid w:val="63C82F8A"/>
    <w:rsid w:val="63C94F54"/>
    <w:rsid w:val="63CC67B3"/>
    <w:rsid w:val="63CE4319"/>
    <w:rsid w:val="63CF256B"/>
    <w:rsid w:val="63D74F7B"/>
    <w:rsid w:val="63D86F45"/>
    <w:rsid w:val="63DC6A36"/>
    <w:rsid w:val="63DF2082"/>
    <w:rsid w:val="63E1229E"/>
    <w:rsid w:val="63E37DC4"/>
    <w:rsid w:val="63E43B3C"/>
    <w:rsid w:val="63E473A9"/>
    <w:rsid w:val="63E678B4"/>
    <w:rsid w:val="63E8362C"/>
    <w:rsid w:val="63E92F01"/>
    <w:rsid w:val="63EB0A27"/>
    <w:rsid w:val="63EB6C79"/>
    <w:rsid w:val="63EC01F2"/>
    <w:rsid w:val="63ED479F"/>
    <w:rsid w:val="63F0428F"/>
    <w:rsid w:val="63F21E60"/>
    <w:rsid w:val="63F518A5"/>
    <w:rsid w:val="63FA2E95"/>
    <w:rsid w:val="640146EE"/>
    <w:rsid w:val="64055776"/>
    <w:rsid w:val="64065861"/>
    <w:rsid w:val="640815D9"/>
    <w:rsid w:val="64085A7D"/>
    <w:rsid w:val="6408782B"/>
    <w:rsid w:val="64095351"/>
    <w:rsid w:val="640970FF"/>
    <w:rsid w:val="640D6BEF"/>
    <w:rsid w:val="6411743B"/>
    <w:rsid w:val="64124205"/>
    <w:rsid w:val="641461CF"/>
    <w:rsid w:val="6416019A"/>
    <w:rsid w:val="641A130C"/>
    <w:rsid w:val="642108EC"/>
    <w:rsid w:val="64240056"/>
    <w:rsid w:val="64243F39"/>
    <w:rsid w:val="64265F03"/>
    <w:rsid w:val="64281C7B"/>
    <w:rsid w:val="64287ECD"/>
    <w:rsid w:val="642A0B61"/>
    <w:rsid w:val="642B3519"/>
    <w:rsid w:val="64306D81"/>
    <w:rsid w:val="64357EF4"/>
    <w:rsid w:val="643C1282"/>
    <w:rsid w:val="643E143A"/>
    <w:rsid w:val="64412D3D"/>
    <w:rsid w:val="644665A5"/>
    <w:rsid w:val="64491666"/>
    <w:rsid w:val="644A7E43"/>
    <w:rsid w:val="64502F80"/>
    <w:rsid w:val="645038A3"/>
    <w:rsid w:val="64504D2E"/>
    <w:rsid w:val="64524F4A"/>
    <w:rsid w:val="64576046"/>
    <w:rsid w:val="64591E34"/>
    <w:rsid w:val="645962D8"/>
    <w:rsid w:val="645B3DFE"/>
    <w:rsid w:val="645C1924"/>
    <w:rsid w:val="646A2293"/>
    <w:rsid w:val="646A4041"/>
    <w:rsid w:val="646C600B"/>
    <w:rsid w:val="646F3406"/>
    <w:rsid w:val="64754794"/>
    <w:rsid w:val="647C3D75"/>
    <w:rsid w:val="647C5B23"/>
    <w:rsid w:val="6486074F"/>
    <w:rsid w:val="648A0240"/>
    <w:rsid w:val="648B6EEF"/>
    <w:rsid w:val="648C1B70"/>
    <w:rsid w:val="648D5F82"/>
    <w:rsid w:val="64942E6C"/>
    <w:rsid w:val="64A05CB5"/>
    <w:rsid w:val="64A21A2D"/>
    <w:rsid w:val="64A37553"/>
    <w:rsid w:val="64A55079"/>
    <w:rsid w:val="64AC465A"/>
    <w:rsid w:val="64AD03D2"/>
    <w:rsid w:val="64AF414A"/>
    <w:rsid w:val="64B11C70"/>
    <w:rsid w:val="64B13A1E"/>
    <w:rsid w:val="64B330A9"/>
    <w:rsid w:val="64B4710A"/>
    <w:rsid w:val="64B90B25"/>
    <w:rsid w:val="64B96D77"/>
    <w:rsid w:val="64BB489D"/>
    <w:rsid w:val="64BB664B"/>
    <w:rsid w:val="64BD2BD3"/>
    <w:rsid w:val="64C158BF"/>
    <w:rsid w:val="64C319A4"/>
    <w:rsid w:val="64C5396E"/>
    <w:rsid w:val="64CC6AAA"/>
    <w:rsid w:val="64CE2EAA"/>
    <w:rsid w:val="64D23995"/>
    <w:rsid w:val="64D43BB1"/>
    <w:rsid w:val="64D67929"/>
    <w:rsid w:val="64D771FD"/>
    <w:rsid w:val="64D92F75"/>
    <w:rsid w:val="64DC42B2"/>
    <w:rsid w:val="64DD0CB7"/>
    <w:rsid w:val="64DE67DD"/>
    <w:rsid w:val="64E21E2A"/>
    <w:rsid w:val="64E262CE"/>
    <w:rsid w:val="64E738E4"/>
    <w:rsid w:val="64EC4A56"/>
    <w:rsid w:val="64EF09EB"/>
    <w:rsid w:val="64F16511"/>
    <w:rsid w:val="64F733FB"/>
    <w:rsid w:val="64F8164D"/>
    <w:rsid w:val="64F93617"/>
    <w:rsid w:val="64FD4EB5"/>
    <w:rsid w:val="64FD6C64"/>
    <w:rsid w:val="6509385A"/>
    <w:rsid w:val="650A1380"/>
    <w:rsid w:val="65130235"/>
    <w:rsid w:val="651421FF"/>
    <w:rsid w:val="65165F77"/>
    <w:rsid w:val="651915C4"/>
    <w:rsid w:val="651B358E"/>
    <w:rsid w:val="651D5558"/>
    <w:rsid w:val="65206DF6"/>
    <w:rsid w:val="6522491C"/>
    <w:rsid w:val="652D6F8B"/>
    <w:rsid w:val="652F2B95"/>
    <w:rsid w:val="652F7039"/>
    <w:rsid w:val="6531690D"/>
    <w:rsid w:val="65346E5E"/>
    <w:rsid w:val="6535464F"/>
    <w:rsid w:val="65366619"/>
    <w:rsid w:val="653C3090"/>
    <w:rsid w:val="653F0AA9"/>
    <w:rsid w:val="653F54CE"/>
    <w:rsid w:val="65404DA2"/>
    <w:rsid w:val="6546685C"/>
    <w:rsid w:val="654725D5"/>
    <w:rsid w:val="65493C57"/>
    <w:rsid w:val="654A5C21"/>
    <w:rsid w:val="654C1999"/>
    <w:rsid w:val="654E3963"/>
    <w:rsid w:val="654E5711"/>
    <w:rsid w:val="654E74BF"/>
    <w:rsid w:val="65510D5D"/>
    <w:rsid w:val="65515201"/>
    <w:rsid w:val="65554CF2"/>
    <w:rsid w:val="65575CDF"/>
    <w:rsid w:val="655A40B6"/>
    <w:rsid w:val="65652A5B"/>
    <w:rsid w:val="65695A9D"/>
    <w:rsid w:val="65711400"/>
    <w:rsid w:val="65766A16"/>
    <w:rsid w:val="657809E0"/>
    <w:rsid w:val="657A6506"/>
    <w:rsid w:val="657B5DDA"/>
    <w:rsid w:val="65854376"/>
    <w:rsid w:val="658767BE"/>
    <w:rsid w:val="65892531"/>
    <w:rsid w:val="65931376"/>
    <w:rsid w:val="65953340"/>
    <w:rsid w:val="6595362A"/>
    <w:rsid w:val="65A13A93"/>
    <w:rsid w:val="65A215B9"/>
    <w:rsid w:val="65A25A5D"/>
    <w:rsid w:val="65A417D5"/>
    <w:rsid w:val="65A75A3F"/>
    <w:rsid w:val="65AB2B63"/>
    <w:rsid w:val="65AE4402"/>
    <w:rsid w:val="65B337C6"/>
    <w:rsid w:val="65B512EC"/>
    <w:rsid w:val="65B5753E"/>
    <w:rsid w:val="65B71508"/>
    <w:rsid w:val="65B85280"/>
    <w:rsid w:val="65B869C4"/>
    <w:rsid w:val="65BA2DA7"/>
    <w:rsid w:val="65BD2897"/>
    <w:rsid w:val="65C14135"/>
    <w:rsid w:val="65C362FB"/>
    <w:rsid w:val="65C634F9"/>
    <w:rsid w:val="65C6799D"/>
    <w:rsid w:val="65CB2E66"/>
    <w:rsid w:val="65CD0D2C"/>
    <w:rsid w:val="65D26342"/>
    <w:rsid w:val="65D61CA9"/>
    <w:rsid w:val="65D9213D"/>
    <w:rsid w:val="65DC0F6F"/>
    <w:rsid w:val="65DD0843"/>
    <w:rsid w:val="65DD6A95"/>
    <w:rsid w:val="65DF0A5F"/>
    <w:rsid w:val="65DF280D"/>
    <w:rsid w:val="65E87914"/>
    <w:rsid w:val="65E971E8"/>
    <w:rsid w:val="65EB7404"/>
    <w:rsid w:val="65F146D3"/>
    <w:rsid w:val="65F454D6"/>
    <w:rsid w:val="65F8567D"/>
    <w:rsid w:val="65FE7137"/>
    <w:rsid w:val="65FF07B9"/>
    <w:rsid w:val="660109D5"/>
    <w:rsid w:val="66027ADA"/>
    <w:rsid w:val="660758C0"/>
    <w:rsid w:val="66083B12"/>
    <w:rsid w:val="660E6C4E"/>
    <w:rsid w:val="66100C18"/>
    <w:rsid w:val="6611613F"/>
    <w:rsid w:val="66124991"/>
    <w:rsid w:val="66140709"/>
    <w:rsid w:val="66195831"/>
    <w:rsid w:val="661A3845"/>
    <w:rsid w:val="661A55F3"/>
    <w:rsid w:val="661E50E3"/>
    <w:rsid w:val="66220FAA"/>
    <w:rsid w:val="662326FA"/>
    <w:rsid w:val="66263F98"/>
    <w:rsid w:val="662841B4"/>
    <w:rsid w:val="66285F62"/>
    <w:rsid w:val="66293A88"/>
    <w:rsid w:val="662E75B1"/>
    <w:rsid w:val="6632293D"/>
    <w:rsid w:val="66342C2E"/>
    <w:rsid w:val="663761A5"/>
    <w:rsid w:val="66383CCB"/>
    <w:rsid w:val="663848B9"/>
    <w:rsid w:val="66391F1D"/>
    <w:rsid w:val="663A7A43"/>
    <w:rsid w:val="663D12E2"/>
    <w:rsid w:val="663E784C"/>
    <w:rsid w:val="663F14FE"/>
    <w:rsid w:val="664803B2"/>
    <w:rsid w:val="66482160"/>
    <w:rsid w:val="664A237C"/>
    <w:rsid w:val="664B39FF"/>
    <w:rsid w:val="664D2080"/>
    <w:rsid w:val="664D7777"/>
    <w:rsid w:val="664E34EF"/>
    <w:rsid w:val="664F7993"/>
    <w:rsid w:val="66501015"/>
    <w:rsid w:val="66546D57"/>
    <w:rsid w:val="66594935"/>
    <w:rsid w:val="665F56FC"/>
    <w:rsid w:val="66613222"/>
    <w:rsid w:val="66617209"/>
    <w:rsid w:val="666B22F3"/>
    <w:rsid w:val="667165ED"/>
    <w:rsid w:val="6672542F"/>
    <w:rsid w:val="66742F55"/>
    <w:rsid w:val="667967BE"/>
    <w:rsid w:val="667C1E0A"/>
    <w:rsid w:val="667E3DD4"/>
    <w:rsid w:val="66882EA5"/>
    <w:rsid w:val="66886A01"/>
    <w:rsid w:val="668B6A45"/>
    <w:rsid w:val="668F4233"/>
    <w:rsid w:val="668F5FE1"/>
    <w:rsid w:val="66993CB4"/>
    <w:rsid w:val="669C5B77"/>
    <w:rsid w:val="669D1BD8"/>
    <w:rsid w:val="66A070C9"/>
    <w:rsid w:val="66A31A8D"/>
    <w:rsid w:val="66A7157D"/>
    <w:rsid w:val="66AA6977"/>
    <w:rsid w:val="66AF21DF"/>
    <w:rsid w:val="66B5531C"/>
    <w:rsid w:val="66B71094"/>
    <w:rsid w:val="66BC48FC"/>
    <w:rsid w:val="66BD399D"/>
    <w:rsid w:val="66BE0674"/>
    <w:rsid w:val="66C043ED"/>
    <w:rsid w:val="66C0619B"/>
    <w:rsid w:val="66C13CC1"/>
    <w:rsid w:val="66C33EDD"/>
    <w:rsid w:val="66C765D1"/>
    <w:rsid w:val="66C8504F"/>
    <w:rsid w:val="66CA526B"/>
    <w:rsid w:val="66CD4D5B"/>
    <w:rsid w:val="66CD6B09"/>
    <w:rsid w:val="66D165FA"/>
    <w:rsid w:val="66D460EA"/>
    <w:rsid w:val="66D63C10"/>
    <w:rsid w:val="66D94689"/>
    <w:rsid w:val="66E14363"/>
    <w:rsid w:val="66E520A5"/>
    <w:rsid w:val="66EB166F"/>
    <w:rsid w:val="66ED2D08"/>
    <w:rsid w:val="66F347C2"/>
    <w:rsid w:val="66F44096"/>
    <w:rsid w:val="66F45E44"/>
    <w:rsid w:val="66F66060"/>
    <w:rsid w:val="66F81DD8"/>
    <w:rsid w:val="66F9345B"/>
    <w:rsid w:val="66F978FF"/>
    <w:rsid w:val="67006EDF"/>
    <w:rsid w:val="67010561"/>
    <w:rsid w:val="670267B3"/>
    <w:rsid w:val="6703077D"/>
    <w:rsid w:val="67095D94"/>
    <w:rsid w:val="670A38BA"/>
    <w:rsid w:val="670A76AB"/>
    <w:rsid w:val="67112E9A"/>
    <w:rsid w:val="67135CAA"/>
    <w:rsid w:val="67144738"/>
    <w:rsid w:val="672002AE"/>
    <w:rsid w:val="672506F4"/>
    <w:rsid w:val="6727446C"/>
    <w:rsid w:val="672C1A82"/>
    <w:rsid w:val="672C7F92"/>
    <w:rsid w:val="672E57FA"/>
    <w:rsid w:val="672F3F24"/>
    <w:rsid w:val="67310E46"/>
    <w:rsid w:val="673426E5"/>
    <w:rsid w:val="67362901"/>
    <w:rsid w:val="67380427"/>
    <w:rsid w:val="673E055F"/>
    <w:rsid w:val="673F17B5"/>
    <w:rsid w:val="67401089"/>
    <w:rsid w:val="67407898"/>
    <w:rsid w:val="67423054"/>
    <w:rsid w:val="67472418"/>
    <w:rsid w:val="674E19F8"/>
    <w:rsid w:val="6752596B"/>
    <w:rsid w:val="67535261"/>
    <w:rsid w:val="67542D87"/>
    <w:rsid w:val="67551CE3"/>
    <w:rsid w:val="67580AC9"/>
    <w:rsid w:val="675B4115"/>
    <w:rsid w:val="6760172C"/>
    <w:rsid w:val="676353B3"/>
    <w:rsid w:val="6764121C"/>
    <w:rsid w:val="67674868"/>
    <w:rsid w:val="676C00D0"/>
    <w:rsid w:val="676F7BC1"/>
    <w:rsid w:val="6773145F"/>
    <w:rsid w:val="67762CFD"/>
    <w:rsid w:val="67780823"/>
    <w:rsid w:val="677A0A3F"/>
    <w:rsid w:val="677D0530"/>
    <w:rsid w:val="677D408C"/>
    <w:rsid w:val="678436AC"/>
    <w:rsid w:val="678A0557"/>
    <w:rsid w:val="678E6299"/>
    <w:rsid w:val="67902011"/>
    <w:rsid w:val="679118E5"/>
    <w:rsid w:val="67915D89"/>
    <w:rsid w:val="6796339F"/>
    <w:rsid w:val="67966EFB"/>
    <w:rsid w:val="67982C74"/>
    <w:rsid w:val="6799363C"/>
    <w:rsid w:val="679A69EC"/>
    <w:rsid w:val="67A0618E"/>
    <w:rsid w:val="67A22552"/>
    <w:rsid w:val="67A45ABC"/>
    <w:rsid w:val="67A55390"/>
    <w:rsid w:val="67A930D3"/>
    <w:rsid w:val="67A96C2F"/>
    <w:rsid w:val="67AC28B8"/>
    <w:rsid w:val="67AC671F"/>
    <w:rsid w:val="67B101D9"/>
    <w:rsid w:val="67B22DCC"/>
    <w:rsid w:val="67B37AAD"/>
    <w:rsid w:val="67BC2E06"/>
    <w:rsid w:val="67BC609B"/>
    <w:rsid w:val="67BE71AA"/>
    <w:rsid w:val="67C30502"/>
    <w:rsid w:val="67C43A69"/>
    <w:rsid w:val="67C73559"/>
    <w:rsid w:val="67C90656"/>
    <w:rsid w:val="67C9107F"/>
    <w:rsid w:val="67CE2B39"/>
    <w:rsid w:val="67CE3081"/>
    <w:rsid w:val="67CF79DD"/>
    <w:rsid w:val="67D0240D"/>
    <w:rsid w:val="67D3541E"/>
    <w:rsid w:val="67D57A24"/>
    <w:rsid w:val="67D619EE"/>
    <w:rsid w:val="67D90273"/>
    <w:rsid w:val="67DA7730"/>
    <w:rsid w:val="67DD4B2A"/>
    <w:rsid w:val="67DE5875"/>
    <w:rsid w:val="67DF08A2"/>
    <w:rsid w:val="67DF6F78"/>
    <w:rsid w:val="67E00067"/>
    <w:rsid w:val="67E45EB9"/>
    <w:rsid w:val="67E469E8"/>
    <w:rsid w:val="67E55852"/>
    <w:rsid w:val="67E73BFB"/>
    <w:rsid w:val="67E91721"/>
    <w:rsid w:val="67EB1AB4"/>
    <w:rsid w:val="67EB5179"/>
    <w:rsid w:val="67EB5499"/>
    <w:rsid w:val="67EC1211"/>
    <w:rsid w:val="67EC2295"/>
    <w:rsid w:val="67F65BEC"/>
    <w:rsid w:val="67F9077B"/>
    <w:rsid w:val="67FA1285"/>
    <w:rsid w:val="67FF2CF3"/>
    <w:rsid w:val="68000819"/>
    <w:rsid w:val="68012F0F"/>
    <w:rsid w:val="68120C78"/>
    <w:rsid w:val="68126ECA"/>
    <w:rsid w:val="681346C4"/>
    <w:rsid w:val="681349F0"/>
    <w:rsid w:val="6817003C"/>
    <w:rsid w:val="68212C69"/>
    <w:rsid w:val="68216989"/>
    <w:rsid w:val="68264723"/>
    <w:rsid w:val="682826AF"/>
    <w:rsid w:val="682C160E"/>
    <w:rsid w:val="682D666D"/>
    <w:rsid w:val="6841330B"/>
    <w:rsid w:val="6844104D"/>
    <w:rsid w:val="68460921"/>
    <w:rsid w:val="684921C0"/>
    <w:rsid w:val="684A6664"/>
    <w:rsid w:val="685079F2"/>
    <w:rsid w:val="68534DEC"/>
    <w:rsid w:val="68541290"/>
    <w:rsid w:val="68550B65"/>
    <w:rsid w:val="68551F4F"/>
    <w:rsid w:val="68555008"/>
    <w:rsid w:val="68570D81"/>
    <w:rsid w:val="68572B2F"/>
    <w:rsid w:val="685748DD"/>
    <w:rsid w:val="685D400B"/>
    <w:rsid w:val="68694610"/>
    <w:rsid w:val="686B0388"/>
    <w:rsid w:val="686D2352"/>
    <w:rsid w:val="686E1C26"/>
    <w:rsid w:val="6870599E"/>
    <w:rsid w:val="68790CF7"/>
    <w:rsid w:val="687C10C9"/>
    <w:rsid w:val="68840C16"/>
    <w:rsid w:val="6885769C"/>
    <w:rsid w:val="68876EFB"/>
    <w:rsid w:val="68884654"/>
    <w:rsid w:val="68896A60"/>
    <w:rsid w:val="688B0A2A"/>
    <w:rsid w:val="68907DEF"/>
    <w:rsid w:val="68923B67"/>
    <w:rsid w:val="6894168D"/>
    <w:rsid w:val="689F444F"/>
    <w:rsid w:val="68A37B22"/>
    <w:rsid w:val="68A5389A"/>
    <w:rsid w:val="68A613C0"/>
    <w:rsid w:val="68A660BF"/>
    <w:rsid w:val="68AB61CD"/>
    <w:rsid w:val="68AF4719"/>
    <w:rsid w:val="68B96DBB"/>
    <w:rsid w:val="68BB130F"/>
    <w:rsid w:val="68BC6E36"/>
    <w:rsid w:val="68BE5C06"/>
    <w:rsid w:val="68C006D4"/>
    <w:rsid w:val="68C87588"/>
    <w:rsid w:val="68CA2805"/>
    <w:rsid w:val="68CA3301"/>
    <w:rsid w:val="68CA50AF"/>
    <w:rsid w:val="68CD4B9F"/>
    <w:rsid w:val="68CE56FB"/>
    <w:rsid w:val="68D0468F"/>
    <w:rsid w:val="68D26659"/>
    <w:rsid w:val="68D93544"/>
    <w:rsid w:val="68DB72BC"/>
    <w:rsid w:val="68DC1286"/>
    <w:rsid w:val="68E048D2"/>
    <w:rsid w:val="68E1689C"/>
    <w:rsid w:val="68E72104"/>
    <w:rsid w:val="68E85E7D"/>
    <w:rsid w:val="68E937A3"/>
    <w:rsid w:val="68EB77F4"/>
    <w:rsid w:val="68EC0C84"/>
    <w:rsid w:val="68EF2D67"/>
    <w:rsid w:val="68F22857"/>
    <w:rsid w:val="68F44821"/>
    <w:rsid w:val="68F760C0"/>
    <w:rsid w:val="68F77E6E"/>
    <w:rsid w:val="68FB170C"/>
    <w:rsid w:val="68FB5BB0"/>
    <w:rsid w:val="68FE11FC"/>
    <w:rsid w:val="690507DD"/>
    <w:rsid w:val="69074555"/>
    <w:rsid w:val="6908207B"/>
    <w:rsid w:val="690B56C7"/>
    <w:rsid w:val="690C3919"/>
    <w:rsid w:val="69110F2F"/>
    <w:rsid w:val="69146C72"/>
    <w:rsid w:val="691C78D4"/>
    <w:rsid w:val="69211004"/>
    <w:rsid w:val="69216C99"/>
    <w:rsid w:val="69236EB5"/>
    <w:rsid w:val="69272501"/>
    <w:rsid w:val="692769A5"/>
    <w:rsid w:val="69286279"/>
    <w:rsid w:val="692D1AE1"/>
    <w:rsid w:val="69344C1E"/>
    <w:rsid w:val="693B41FE"/>
    <w:rsid w:val="693E15D3"/>
    <w:rsid w:val="693E3CEF"/>
    <w:rsid w:val="69422D06"/>
    <w:rsid w:val="69470DF5"/>
    <w:rsid w:val="69486D80"/>
    <w:rsid w:val="6954706E"/>
    <w:rsid w:val="69584DB0"/>
    <w:rsid w:val="695D23C7"/>
    <w:rsid w:val="695F0FA6"/>
    <w:rsid w:val="695F613F"/>
    <w:rsid w:val="69601EB7"/>
    <w:rsid w:val="696077C1"/>
    <w:rsid w:val="69627681"/>
    <w:rsid w:val="69653029"/>
    <w:rsid w:val="696848C8"/>
    <w:rsid w:val="696E0A9A"/>
    <w:rsid w:val="69763488"/>
    <w:rsid w:val="6977531D"/>
    <w:rsid w:val="697B0A9F"/>
    <w:rsid w:val="697F058F"/>
    <w:rsid w:val="69811339"/>
    <w:rsid w:val="69821E2D"/>
    <w:rsid w:val="69836C1E"/>
    <w:rsid w:val="698C071C"/>
    <w:rsid w:val="6990454A"/>
    <w:rsid w:val="69931944"/>
    <w:rsid w:val="69942868"/>
    <w:rsid w:val="69951B60"/>
    <w:rsid w:val="6999478B"/>
    <w:rsid w:val="699B6A4B"/>
    <w:rsid w:val="699D0A15"/>
    <w:rsid w:val="699E02E9"/>
    <w:rsid w:val="69A578CA"/>
    <w:rsid w:val="69AC6EAA"/>
    <w:rsid w:val="69AE49D0"/>
    <w:rsid w:val="69B00327"/>
    <w:rsid w:val="69B12712"/>
    <w:rsid w:val="69B1341E"/>
    <w:rsid w:val="69B144C0"/>
    <w:rsid w:val="69B646BF"/>
    <w:rsid w:val="69BB0E9B"/>
    <w:rsid w:val="69BF098B"/>
    <w:rsid w:val="69C064B2"/>
    <w:rsid w:val="69C2222A"/>
    <w:rsid w:val="69CC12FA"/>
    <w:rsid w:val="69CC2BFF"/>
    <w:rsid w:val="69CC30A8"/>
    <w:rsid w:val="69CE6E20"/>
    <w:rsid w:val="69CF4947"/>
    <w:rsid w:val="69D72179"/>
    <w:rsid w:val="69D81A4D"/>
    <w:rsid w:val="69DD3507"/>
    <w:rsid w:val="69DD52B6"/>
    <w:rsid w:val="69DF2DDC"/>
    <w:rsid w:val="69E00902"/>
    <w:rsid w:val="69E14DA6"/>
    <w:rsid w:val="69E403F2"/>
    <w:rsid w:val="69E421A0"/>
    <w:rsid w:val="69E623BC"/>
    <w:rsid w:val="69E70743"/>
    <w:rsid w:val="69E71C90"/>
    <w:rsid w:val="69E93C5A"/>
    <w:rsid w:val="69EC374B"/>
    <w:rsid w:val="69EE301F"/>
    <w:rsid w:val="69F10D61"/>
    <w:rsid w:val="69F525FF"/>
    <w:rsid w:val="69F745C9"/>
    <w:rsid w:val="69FA7C16"/>
    <w:rsid w:val="69FC398E"/>
    <w:rsid w:val="69FD14B4"/>
    <w:rsid w:val="69FD55B8"/>
    <w:rsid w:val="69FD7706"/>
    <w:rsid w:val="69FF347E"/>
    <w:rsid w:val="6A002D52"/>
    <w:rsid w:val="6A06480C"/>
    <w:rsid w:val="6A070584"/>
    <w:rsid w:val="6A072332"/>
    <w:rsid w:val="6A0B1C62"/>
    <w:rsid w:val="6A0B1E23"/>
    <w:rsid w:val="6A0E36C1"/>
    <w:rsid w:val="6A11675A"/>
    <w:rsid w:val="6A132A85"/>
    <w:rsid w:val="6A170E8B"/>
    <w:rsid w:val="6A1862EE"/>
    <w:rsid w:val="6A1F0D5E"/>
    <w:rsid w:val="6A2406C8"/>
    <w:rsid w:val="6A2627B9"/>
    <w:rsid w:val="6A294057"/>
    <w:rsid w:val="6A2F0853"/>
    <w:rsid w:val="6A3053E5"/>
    <w:rsid w:val="6A3A0C2B"/>
    <w:rsid w:val="6A3A44B6"/>
    <w:rsid w:val="6A3D7B02"/>
    <w:rsid w:val="6A3F1ACC"/>
    <w:rsid w:val="6A413A96"/>
    <w:rsid w:val="6A470981"/>
    <w:rsid w:val="6A486BD3"/>
    <w:rsid w:val="6A493FCB"/>
    <w:rsid w:val="6A4E1D0F"/>
    <w:rsid w:val="6A4F66FC"/>
    <w:rsid w:val="6A521800"/>
    <w:rsid w:val="6A576E16"/>
    <w:rsid w:val="6A5D1F52"/>
    <w:rsid w:val="6A615EE7"/>
    <w:rsid w:val="6A627569"/>
    <w:rsid w:val="6A633A0D"/>
    <w:rsid w:val="6A6432E1"/>
    <w:rsid w:val="6A68311E"/>
    <w:rsid w:val="6A721EA2"/>
    <w:rsid w:val="6A7554EE"/>
    <w:rsid w:val="6A7F636D"/>
    <w:rsid w:val="6A813E93"/>
    <w:rsid w:val="6A837C0B"/>
    <w:rsid w:val="6A892D47"/>
    <w:rsid w:val="6A8C669E"/>
    <w:rsid w:val="6A8D2838"/>
    <w:rsid w:val="6A8F3B8F"/>
    <w:rsid w:val="6A8F4802"/>
    <w:rsid w:val="6A9242F2"/>
    <w:rsid w:val="6A995680"/>
    <w:rsid w:val="6A9F07BD"/>
    <w:rsid w:val="6AA33E09"/>
    <w:rsid w:val="6AA45DD3"/>
    <w:rsid w:val="6AA47B81"/>
    <w:rsid w:val="6AA53F0D"/>
    <w:rsid w:val="6AA61B4B"/>
    <w:rsid w:val="6AA915A7"/>
    <w:rsid w:val="6AAB53B4"/>
    <w:rsid w:val="6AB1009A"/>
    <w:rsid w:val="6AB44268"/>
    <w:rsid w:val="6AB51D8E"/>
    <w:rsid w:val="6AB9362D"/>
    <w:rsid w:val="6ABA73A5"/>
    <w:rsid w:val="6ABE50E7"/>
    <w:rsid w:val="6ABE6E95"/>
    <w:rsid w:val="6ABF49BB"/>
    <w:rsid w:val="6ACA583A"/>
    <w:rsid w:val="6ACE4BFE"/>
    <w:rsid w:val="6AD00976"/>
    <w:rsid w:val="6AD13942"/>
    <w:rsid w:val="6AD62431"/>
    <w:rsid w:val="6AD77F57"/>
    <w:rsid w:val="6AD9782B"/>
    <w:rsid w:val="6ADA212D"/>
    <w:rsid w:val="6ADB5E22"/>
    <w:rsid w:val="6ADE0BD1"/>
    <w:rsid w:val="6AE14931"/>
    <w:rsid w:val="6AE306AA"/>
    <w:rsid w:val="6AE54422"/>
    <w:rsid w:val="6AE85CC0"/>
    <w:rsid w:val="6AE96859"/>
    <w:rsid w:val="6AEA7C8A"/>
    <w:rsid w:val="6AEB3A02"/>
    <w:rsid w:val="6AEB57B0"/>
    <w:rsid w:val="6AED32D6"/>
    <w:rsid w:val="6AEF34F2"/>
    <w:rsid w:val="6AF503DD"/>
    <w:rsid w:val="6AF64881"/>
    <w:rsid w:val="6AF705F9"/>
    <w:rsid w:val="6AF91C7B"/>
    <w:rsid w:val="6AFA59F3"/>
    <w:rsid w:val="6AFC176B"/>
    <w:rsid w:val="6AFC4C97"/>
    <w:rsid w:val="6B013226"/>
    <w:rsid w:val="6B064398"/>
    <w:rsid w:val="6B147746"/>
    <w:rsid w:val="6B19056F"/>
    <w:rsid w:val="6B1E16E2"/>
    <w:rsid w:val="6B1E33D8"/>
    <w:rsid w:val="6B2018FE"/>
    <w:rsid w:val="6B20545A"/>
    <w:rsid w:val="6B225676"/>
    <w:rsid w:val="6B2313EE"/>
    <w:rsid w:val="6B24787C"/>
    <w:rsid w:val="6B2A44E1"/>
    <w:rsid w:val="6B2D5DC9"/>
    <w:rsid w:val="6B3233DF"/>
    <w:rsid w:val="6B32518D"/>
    <w:rsid w:val="6B34619F"/>
    <w:rsid w:val="6B3727A3"/>
    <w:rsid w:val="6B3929BF"/>
    <w:rsid w:val="6B4052E2"/>
    <w:rsid w:val="6B416772"/>
    <w:rsid w:val="6B43383E"/>
    <w:rsid w:val="6B453112"/>
    <w:rsid w:val="6B4A24D7"/>
    <w:rsid w:val="6B511AB7"/>
    <w:rsid w:val="6B5415A7"/>
    <w:rsid w:val="6B573233"/>
    <w:rsid w:val="6B59096C"/>
    <w:rsid w:val="6B5B6274"/>
    <w:rsid w:val="6B5E2426"/>
    <w:rsid w:val="6B5E5F82"/>
    <w:rsid w:val="6B621F16"/>
    <w:rsid w:val="6B685053"/>
    <w:rsid w:val="6B7E03D2"/>
    <w:rsid w:val="6B841E8D"/>
    <w:rsid w:val="6B892397"/>
    <w:rsid w:val="6B8A6D77"/>
    <w:rsid w:val="6B916358"/>
    <w:rsid w:val="6B930322"/>
    <w:rsid w:val="6B9320D0"/>
    <w:rsid w:val="6B935D53"/>
    <w:rsid w:val="6B943239"/>
    <w:rsid w:val="6B947BF6"/>
    <w:rsid w:val="6B95409A"/>
    <w:rsid w:val="6B961BC0"/>
    <w:rsid w:val="6B9B2D32"/>
    <w:rsid w:val="6B9F6CC6"/>
    <w:rsid w:val="6BA02A3F"/>
    <w:rsid w:val="6BA047ED"/>
    <w:rsid w:val="6BA442DD"/>
    <w:rsid w:val="6BA77929"/>
    <w:rsid w:val="6BA8544F"/>
    <w:rsid w:val="6BA918F3"/>
    <w:rsid w:val="6BA964AF"/>
    <w:rsid w:val="6BAA566B"/>
    <w:rsid w:val="6BAA7419"/>
    <w:rsid w:val="6BB32772"/>
    <w:rsid w:val="6BB41665"/>
    <w:rsid w:val="6BB47F24"/>
    <w:rsid w:val="6BB64010"/>
    <w:rsid w:val="6BB838E4"/>
    <w:rsid w:val="6BC009EB"/>
    <w:rsid w:val="6BC229B5"/>
    <w:rsid w:val="6BC93D43"/>
    <w:rsid w:val="6BCA3618"/>
    <w:rsid w:val="6BD6020E"/>
    <w:rsid w:val="6BD821D8"/>
    <w:rsid w:val="6BE0108D"/>
    <w:rsid w:val="6BE446D9"/>
    <w:rsid w:val="6BE741CA"/>
    <w:rsid w:val="6BE75F78"/>
    <w:rsid w:val="6BE96194"/>
    <w:rsid w:val="6BEA2E75"/>
    <w:rsid w:val="6BEB1F0C"/>
    <w:rsid w:val="6BEE4CFB"/>
    <w:rsid w:val="6BEE5558"/>
    <w:rsid w:val="6BF15048"/>
    <w:rsid w:val="6BF344BD"/>
    <w:rsid w:val="6BF6440D"/>
    <w:rsid w:val="6BFA214F"/>
    <w:rsid w:val="6BFB5EC7"/>
    <w:rsid w:val="6BFB6192"/>
    <w:rsid w:val="6BFF1513"/>
    <w:rsid w:val="6BFF7765"/>
    <w:rsid w:val="6C007039"/>
    <w:rsid w:val="6C042FCD"/>
    <w:rsid w:val="6C046B2A"/>
    <w:rsid w:val="6C0E5BFA"/>
    <w:rsid w:val="6C0E79A8"/>
    <w:rsid w:val="6C103720"/>
    <w:rsid w:val="6C153260"/>
    <w:rsid w:val="6C164AAF"/>
    <w:rsid w:val="6C196F71"/>
    <w:rsid w:val="6C1D45C3"/>
    <w:rsid w:val="6C1D7BEB"/>
    <w:rsid w:val="6C1F1AB4"/>
    <w:rsid w:val="6C1F1BB5"/>
    <w:rsid w:val="6C205FA7"/>
    <w:rsid w:val="6C2076DB"/>
    <w:rsid w:val="6C226FCB"/>
    <w:rsid w:val="6C267BFC"/>
    <w:rsid w:val="6C272818"/>
    <w:rsid w:val="6C290B81"/>
    <w:rsid w:val="6C296590"/>
    <w:rsid w:val="6C2B67AC"/>
    <w:rsid w:val="6C305B70"/>
    <w:rsid w:val="6C30791F"/>
    <w:rsid w:val="6C31226F"/>
    <w:rsid w:val="6C325071"/>
    <w:rsid w:val="6C33740F"/>
    <w:rsid w:val="6C384A25"/>
    <w:rsid w:val="6C3A69EF"/>
    <w:rsid w:val="6C3B431E"/>
    <w:rsid w:val="6C3F7B62"/>
    <w:rsid w:val="6C506213"/>
    <w:rsid w:val="6C507FC1"/>
    <w:rsid w:val="6C517895"/>
    <w:rsid w:val="6C53185F"/>
    <w:rsid w:val="6C552F0B"/>
    <w:rsid w:val="6C586E75"/>
    <w:rsid w:val="6C5D26DE"/>
    <w:rsid w:val="6C5E0930"/>
    <w:rsid w:val="6C5F6456"/>
    <w:rsid w:val="6C612FA7"/>
    <w:rsid w:val="6C661592"/>
    <w:rsid w:val="6C67530A"/>
    <w:rsid w:val="6C691082"/>
    <w:rsid w:val="6C692E30"/>
    <w:rsid w:val="6C6B0957"/>
    <w:rsid w:val="6C6C6979"/>
    <w:rsid w:val="6C6F33C1"/>
    <w:rsid w:val="6C702411"/>
    <w:rsid w:val="6C764765"/>
    <w:rsid w:val="6C7B4FDE"/>
    <w:rsid w:val="6C7C2B64"/>
    <w:rsid w:val="6C7C7008"/>
    <w:rsid w:val="6C7D68DC"/>
    <w:rsid w:val="6C7F08A6"/>
    <w:rsid w:val="6C8163CC"/>
    <w:rsid w:val="6C832144"/>
    <w:rsid w:val="6C861C34"/>
    <w:rsid w:val="6C891725"/>
    <w:rsid w:val="6C8A3532"/>
    <w:rsid w:val="6C8B2DA7"/>
    <w:rsid w:val="6C8C67B7"/>
    <w:rsid w:val="6C8E2897"/>
    <w:rsid w:val="6C90660F"/>
    <w:rsid w:val="6C944351"/>
    <w:rsid w:val="6C983716"/>
    <w:rsid w:val="6C9C3206"/>
    <w:rsid w:val="6C9C4FB4"/>
    <w:rsid w:val="6C9C6D62"/>
    <w:rsid w:val="6C9D744C"/>
    <w:rsid w:val="6C9E6F7E"/>
    <w:rsid w:val="6CA36342"/>
    <w:rsid w:val="6CA64085"/>
    <w:rsid w:val="6CA976D1"/>
    <w:rsid w:val="6CAD71C1"/>
    <w:rsid w:val="6CAE2F39"/>
    <w:rsid w:val="6CAE4CE7"/>
    <w:rsid w:val="6CB344B1"/>
    <w:rsid w:val="6CB632C2"/>
    <w:rsid w:val="6CC4450B"/>
    <w:rsid w:val="6CC81EA4"/>
    <w:rsid w:val="6CC83FFB"/>
    <w:rsid w:val="6CD209D6"/>
    <w:rsid w:val="6CD429A0"/>
    <w:rsid w:val="6CD75FEC"/>
    <w:rsid w:val="6CD92F05"/>
    <w:rsid w:val="6CDE15A9"/>
    <w:rsid w:val="6CE54BAD"/>
    <w:rsid w:val="6CE626D3"/>
    <w:rsid w:val="6CE801F9"/>
    <w:rsid w:val="6CEA21C3"/>
    <w:rsid w:val="6CEE3336"/>
    <w:rsid w:val="6CF12FBF"/>
    <w:rsid w:val="6CF46B9E"/>
    <w:rsid w:val="6D013069"/>
    <w:rsid w:val="6D035033"/>
    <w:rsid w:val="6D042B59"/>
    <w:rsid w:val="6D0668D1"/>
    <w:rsid w:val="6D075097"/>
    <w:rsid w:val="6D08089B"/>
    <w:rsid w:val="6D0D1A0E"/>
    <w:rsid w:val="6D0D5EB2"/>
    <w:rsid w:val="6D0E5786"/>
    <w:rsid w:val="6D1014FE"/>
    <w:rsid w:val="6D12171A"/>
    <w:rsid w:val="6D125276"/>
    <w:rsid w:val="6D147240"/>
    <w:rsid w:val="6D167928"/>
    <w:rsid w:val="6D1B05CF"/>
    <w:rsid w:val="6D1E1E6D"/>
    <w:rsid w:val="6D21195D"/>
    <w:rsid w:val="6D2356D5"/>
    <w:rsid w:val="6D260D22"/>
    <w:rsid w:val="6D26299B"/>
    <w:rsid w:val="6D262AD0"/>
    <w:rsid w:val="6D266F73"/>
    <w:rsid w:val="6D286921"/>
    <w:rsid w:val="6D2A6A64"/>
    <w:rsid w:val="6D2D797C"/>
    <w:rsid w:val="6D2E2793"/>
    <w:rsid w:val="6D2F7BD6"/>
    <w:rsid w:val="6D301BA0"/>
    <w:rsid w:val="6D30394E"/>
    <w:rsid w:val="6D317DF2"/>
    <w:rsid w:val="6D321474"/>
    <w:rsid w:val="6D321530"/>
    <w:rsid w:val="6D3276C6"/>
    <w:rsid w:val="6D350F65"/>
    <w:rsid w:val="6D371181"/>
    <w:rsid w:val="6D374CDD"/>
    <w:rsid w:val="6D390A55"/>
    <w:rsid w:val="6D3B2A1F"/>
    <w:rsid w:val="6D3C6797"/>
    <w:rsid w:val="6D410C09"/>
    <w:rsid w:val="6D4772EC"/>
    <w:rsid w:val="6D48131E"/>
    <w:rsid w:val="6D4A0EB4"/>
    <w:rsid w:val="6D4C4C2C"/>
    <w:rsid w:val="6D4D2752"/>
    <w:rsid w:val="6D521B17"/>
    <w:rsid w:val="6D54763D"/>
    <w:rsid w:val="6D5533B5"/>
    <w:rsid w:val="6D57025E"/>
    <w:rsid w:val="6D5835D1"/>
    <w:rsid w:val="6D5C5AB8"/>
    <w:rsid w:val="6D605470"/>
    <w:rsid w:val="6D611D5A"/>
    <w:rsid w:val="6D6261FE"/>
    <w:rsid w:val="6D6668C3"/>
    <w:rsid w:val="6D6A3304"/>
    <w:rsid w:val="6D6A6E60"/>
    <w:rsid w:val="6D6B4986"/>
    <w:rsid w:val="6D7952F5"/>
    <w:rsid w:val="6D7D4DE5"/>
    <w:rsid w:val="6D7E290C"/>
    <w:rsid w:val="6D7E46BA"/>
    <w:rsid w:val="6D800432"/>
    <w:rsid w:val="6D87733D"/>
    <w:rsid w:val="6D8D6DE8"/>
    <w:rsid w:val="6D8F4B19"/>
    <w:rsid w:val="6D9078AF"/>
    <w:rsid w:val="6D91263F"/>
    <w:rsid w:val="6D924450"/>
    <w:rsid w:val="6D9263B7"/>
    <w:rsid w:val="6D943EDD"/>
    <w:rsid w:val="6D97577B"/>
    <w:rsid w:val="6D986B81"/>
    <w:rsid w:val="6D9914F3"/>
    <w:rsid w:val="6DA13AA7"/>
    <w:rsid w:val="6DA32372"/>
    <w:rsid w:val="6DA46816"/>
    <w:rsid w:val="6DA87988"/>
    <w:rsid w:val="6DAA3FEF"/>
    <w:rsid w:val="6DAC56CB"/>
    <w:rsid w:val="6DAD4F9F"/>
    <w:rsid w:val="6DAE1443"/>
    <w:rsid w:val="6DB427D1"/>
    <w:rsid w:val="6DB620A5"/>
    <w:rsid w:val="6DB63E53"/>
    <w:rsid w:val="6DB66549"/>
    <w:rsid w:val="6DB93944"/>
    <w:rsid w:val="6DB97DE8"/>
    <w:rsid w:val="6DBB76BC"/>
    <w:rsid w:val="6DBC51E2"/>
    <w:rsid w:val="6DBD3434"/>
    <w:rsid w:val="6DC0172B"/>
    <w:rsid w:val="6DC02F24"/>
    <w:rsid w:val="6DC5678C"/>
    <w:rsid w:val="6DC742B3"/>
    <w:rsid w:val="6DC9057F"/>
    <w:rsid w:val="6DCB1511"/>
    <w:rsid w:val="6DCB690C"/>
    <w:rsid w:val="6DCD1AD1"/>
    <w:rsid w:val="6DCD73EF"/>
    <w:rsid w:val="6DCE5641"/>
    <w:rsid w:val="6DD15131"/>
    <w:rsid w:val="6DD30DBA"/>
    <w:rsid w:val="6DD4077E"/>
    <w:rsid w:val="6DD41A5B"/>
    <w:rsid w:val="6DD469CF"/>
    <w:rsid w:val="6DD50263"/>
    <w:rsid w:val="6DDB1B0C"/>
    <w:rsid w:val="6DE05374"/>
    <w:rsid w:val="6DE210EC"/>
    <w:rsid w:val="6DE24C48"/>
    <w:rsid w:val="6DE72678"/>
    <w:rsid w:val="6DEA61F3"/>
    <w:rsid w:val="6DF130DE"/>
    <w:rsid w:val="6DF42BCE"/>
    <w:rsid w:val="6DF43C2E"/>
    <w:rsid w:val="6DF51CA3"/>
    <w:rsid w:val="6E0077C5"/>
    <w:rsid w:val="6E02353D"/>
    <w:rsid w:val="6E080427"/>
    <w:rsid w:val="6E080C99"/>
    <w:rsid w:val="6E0948CB"/>
    <w:rsid w:val="6E0A23F1"/>
    <w:rsid w:val="6E0A419F"/>
    <w:rsid w:val="6E0E3C8F"/>
    <w:rsid w:val="6E1119D2"/>
    <w:rsid w:val="6E153270"/>
    <w:rsid w:val="6E182D60"/>
    <w:rsid w:val="6E1B45FE"/>
    <w:rsid w:val="6E1F40EF"/>
    <w:rsid w:val="6E245261"/>
    <w:rsid w:val="6E2A4841"/>
    <w:rsid w:val="6E301E58"/>
    <w:rsid w:val="6E34121C"/>
    <w:rsid w:val="6E3631E6"/>
    <w:rsid w:val="6E3A2CD6"/>
    <w:rsid w:val="6E470F4F"/>
    <w:rsid w:val="6E4771A1"/>
    <w:rsid w:val="6E4E0530"/>
    <w:rsid w:val="6E4E6782"/>
    <w:rsid w:val="6E510020"/>
    <w:rsid w:val="6E55366C"/>
    <w:rsid w:val="6E587601"/>
    <w:rsid w:val="6E5A0C83"/>
    <w:rsid w:val="6E5F44EB"/>
    <w:rsid w:val="6E602011"/>
    <w:rsid w:val="6E625D89"/>
    <w:rsid w:val="6E647D53"/>
    <w:rsid w:val="6E661D1D"/>
    <w:rsid w:val="6E697118"/>
    <w:rsid w:val="6E6B2E90"/>
    <w:rsid w:val="6E6E0BD2"/>
    <w:rsid w:val="6E781A51"/>
    <w:rsid w:val="6E7A1325"/>
    <w:rsid w:val="6E7D579A"/>
    <w:rsid w:val="6E82467D"/>
    <w:rsid w:val="6E8335BD"/>
    <w:rsid w:val="6E8403F6"/>
    <w:rsid w:val="6E8D72AA"/>
    <w:rsid w:val="6E8E12EF"/>
    <w:rsid w:val="6E8E6B7E"/>
    <w:rsid w:val="6E9248C1"/>
    <w:rsid w:val="6E934195"/>
    <w:rsid w:val="6E972936"/>
    <w:rsid w:val="6E9817AB"/>
    <w:rsid w:val="6E9A3775"/>
    <w:rsid w:val="6E9B3E8E"/>
    <w:rsid w:val="6EA12D56"/>
    <w:rsid w:val="6EA6036C"/>
    <w:rsid w:val="6EA77C40"/>
    <w:rsid w:val="6EAD16FA"/>
    <w:rsid w:val="6EAE0FCF"/>
    <w:rsid w:val="6EB20ABF"/>
    <w:rsid w:val="6EB5235D"/>
    <w:rsid w:val="6EB84DF6"/>
    <w:rsid w:val="6EC425A0"/>
    <w:rsid w:val="6EC6456A"/>
    <w:rsid w:val="6ECD58F9"/>
    <w:rsid w:val="6ECE1671"/>
    <w:rsid w:val="6ED446C5"/>
    <w:rsid w:val="6ED529FF"/>
    <w:rsid w:val="6ED742C8"/>
    <w:rsid w:val="6ED749C9"/>
    <w:rsid w:val="6ED8429D"/>
    <w:rsid w:val="6EDA1DC4"/>
    <w:rsid w:val="6EDA6267"/>
    <w:rsid w:val="6EE113A4"/>
    <w:rsid w:val="6EE669BA"/>
    <w:rsid w:val="6EE82732"/>
    <w:rsid w:val="6EEA46FD"/>
    <w:rsid w:val="6EED3736"/>
    <w:rsid w:val="6EF331E4"/>
    <w:rsid w:val="6EF410D7"/>
    <w:rsid w:val="6EF74724"/>
    <w:rsid w:val="6EFA06B8"/>
    <w:rsid w:val="6EFC1D3A"/>
    <w:rsid w:val="6EFD5AB2"/>
    <w:rsid w:val="6F062BB9"/>
    <w:rsid w:val="6F0A08FB"/>
    <w:rsid w:val="6F0D3F47"/>
    <w:rsid w:val="6F0E7CBF"/>
    <w:rsid w:val="6F0F5F11"/>
    <w:rsid w:val="6F103A37"/>
    <w:rsid w:val="6F173018"/>
    <w:rsid w:val="6F1A48B6"/>
    <w:rsid w:val="6F1C418A"/>
    <w:rsid w:val="6F1C6503"/>
    <w:rsid w:val="6F1E315D"/>
    <w:rsid w:val="6F213E96"/>
    <w:rsid w:val="6F23376B"/>
    <w:rsid w:val="6F241291"/>
    <w:rsid w:val="6F2614AD"/>
    <w:rsid w:val="6F286FD3"/>
    <w:rsid w:val="6F2A2D4B"/>
    <w:rsid w:val="6F2A7D94"/>
    <w:rsid w:val="6F2D45E9"/>
    <w:rsid w:val="6F305E09"/>
    <w:rsid w:val="6F310AF8"/>
    <w:rsid w:val="6F334FFC"/>
    <w:rsid w:val="6F345978"/>
    <w:rsid w:val="6F3516F0"/>
    <w:rsid w:val="6F392F8E"/>
    <w:rsid w:val="6F3B6D06"/>
    <w:rsid w:val="6F4436E1"/>
    <w:rsid w:val="6F467459"/>
    <w:rsid w:val="6F4A519B"/>
    <w:rsid w:val="6F4B2CC1"/>
    <w:rsid w:val="6F4D07E7"/>
    <w:rsid w:val="6F4F4560"/>
    <w:rsid w:val="6F5222A2"/>
    <w:rsid w:val="6F573414"/>
    <w:rsid w:val="6F593630"/>
    <w:rsid w:val="6F5B73A8"/>
    <w:rsid w:val="6F5C0A2B"/>
    <w:rsid w:val="6F5E0C47"/>
    <w:rsid w:val="6F6049BF"/>
    <w:rsid w:val="6F631DB9"/>
    <w:rsid w:val="6F653D83"/>
    <w:rsid w:val="6F655B31"/>
    <w:rsid w:val="6F670AA8"/>
    <w:rsid w:val="6F6A75EB"/>
    <w:rsid w:val="6F71097A"/>
    <w:rsid w:val="6F743FC6"/>
    <w:rsid w:val="6F765F90"/>
    <w:rsid w:val="6F7915DC"/>
    <w:rsid w:val="6F795A80"/>
    <w:rsid w:val="6F7B6F1E"/>
    <w:rsid w:val="6F7C10CD"/>
    <w:rsid w:val="6F7C731F"/>
    <w:rsid w:val="6F810491"/>
    <w:rsid w:val="6F814935"/>
    <w:rsid w:val="6F8331F1"/>
    <w:rsid w:val="6F9208F0"/>
    <w:rsid w:val="6F9401C4"/>
    <w:rsid w:val="6F9D48C5"/>
    <w:rsid w:val="6FA06B69"/>
    <w:rsid w:val="6FA50623"/>
    <w:rsid w:val="6FA77FA8"/>
    <w:rsid w:val="6FAA3E8C"/>
    <w:rsid w:val="6FAC62C3"/>
    <w:rsid w:val="6FAC7C04"/>
    <w:rsid w:val="6FAD74D8"/>
    <w:rsid w:val="6FAE1A09"/>
    <w:rsid w:val="6FB10D76"/>
    <w:rsid w:val="6FB1521A"/>
    <w:rsid w:val="6FB2689C"/>
    <w:rsid w:val="6FB40867"/>
    <w:rsid w:val="6FB97C2B"/>
    <w:rsid w:val="6FBB7E47"/>
    <w:rsid w:val="6FC00FB9"/>
    <w:rsid w:val="6FC208C0"/>
    <w:rsid w:val="6FC211D5"/>
    <w:rsid w:val="6FC9296C"/>
    <w:rsid w:val="6FCA62DC"/>
    <w:rsid w:val="6FCE7B7A"/>
    <w:rsid w:val="6FD40F09"/>
    <w:rsid w:val="6FD75BF8"/>
    <w:rsid w:val="6FE23626"/>
    <w:rsid w:val="6FE253D4"/>
    <w:rsid w:val="6FE70C3C"/>
    <w:rsid w:val="6FE729EA"/>
    <w:rsid w:val="6FE74798"/>
    <w:rsid w:val="6FEA072C"/>
    <w:rsid w:val="6FED5B27"/>
    <w:rsid w:val="6FEF189F"/>
    <w:rsid w:val="6FF11ABB"/>
    <w:rsid w:val="6FF61A33"/>
    <w:rsid w:val="6FF670D1"/>
    <w:rsid w:val="6FF869A5"/>
    <w:rsid w:val="6FFC58A5"/>
    <w:rsid w:val="6FFD220E"/>
    <w:rsid w:val="70003AAC"/>
    <w:rsid w:val="7000585A"/>
    <w:rsid w:val="700233CF"/>
    <w:rsid w:val="70025A76"/>
    <w:rsid w:val="70057314"/>
    <w:rsid w:val="70082960"/>
    <w:rsid w:val="70090BB2"/>
    <w:rsid w:val="700A0487"/>
    <w:rsid w:val="700A6939"/>
    <w:rsid w:val="700F0193"/>
    <w:rsid w:val="700F3CEF"/>
    <w:rsid w:val="70115CB9"/>
    <w:rsid w:val="70141305"/>
    <w:rsid w:val="701632CF"/>
    <w:rsid w:val="701778DC"/>
    <w:rsid w:val="70180DF5"/>
    <w:rsid w:val="7019691C"/>
    <w:rsid w:val="701A7C45"/>
    <w:rsid w:val="701B6B38"/>
    <w:rsid w:val="7020414E"/>
    <w:rsid w:val="70223A22"/>
    <w:rsid w:val="7023779A"/>
    <w:rsid w:val="70271038"/>
    <w:rsid w:val="702A6B12"/>
    <w:rsid w:val="702F7EED"/>
    <w:rsid w:val="70311EB7"/>
    <w:rsid w:val="7036127C"/>
    <w:rsid w:val="70381498"/>
    <w:rsid w:val="703B0F88"/>
    <w:rsid w:val="703B2D36"/>
    <w:rsid w:val="703D6AAE"/>
    <w:rsid w:val="703E4A19"/>
    <w:rsid w:val="70453BB5"/>
    <w:rsid w:val="70495453"/>
    <w:rsid w:val="704E4817"/>
    <w:rsid w:val="705160B5"/>
    <w:rsid w:val="70521BB1"/>
    <w:rsid w:val="7056191E"/>
    <w:rsid w:val="70585696"/>
    <w:rsid w:val="705A140E"/>
    <w:rsid w:val="705D2CAC"/>
    <w:rsid w:val="705F07D2"/>
    <w:rsid w:val="70622071"/>
    <w:rsid w:val="7064228D"/>
    <w:rsid w:val="70645DE9"/>
    <w:rsid w:val="70763D6E"/>
    <w:rsid w:val="707723D0"/>
    <w:rsid w:val="707A148C"/>
    <w:rsid w:val="707D334E"/>
    <w:rsid w:val="7081689B"/>
    <w:rsid w:val="70822713"/>
    <w:rsid w:val="70860455"/>
    <w:rsid w:val="708A15C7"/>
    <w:rsid w:val="708B5A6B"/>
    <w:rsid w:val="708C533F"/>
    <w:rsid w:val="70903082"/>
    <w:rsid w:val="70912956"/>
    <w:rsid w:val="709366CE"/>
    <w:rsid w:val="70946244"/>
    <w:rsid w:val="70986263"/>
    <w:rsid w:val="709A7A5C"/>
    <w:rsid w:val="709C1A26"/>
    <w:rsid w:val="70A22DB5"/>
    <w:rsid w:val="70A26911"/>
    <w:rsid w:val="70A95EF1"/>
    <w:rsid w:val="70AE0489"/>
    <w:rsid w:val="70AE52B6"/>
    <w:rsid w:val="70B12FF8"/>
    <w:rsid w:val="70B86135"/>
    <w:rsid w:val="70BA1EAD"/>
    <w:rsid w:val="70BC3E77"/>
    <w:rsid w:val="70BD199D"/>
    <w:rsid w:val="70BD374B"/>
    <w:rsid w:val="70C40F7D"/>
    <w:rsid w:val="70C42D2B"/>
    <w:rsid w:val="70C83C00"/>
    <w:rsid w:val="70CB230C"/>
    <w:rsid w:val="70CD7E32"/>
    <w:rsid w:val="70D2369A"/>
    <w:rsid w:val="70D24CB2"/>
    <w:rsid w:val="70D72A5F"/>
    <w:rsid w:val="70DD5B9B"/>
    <w:rsid w:val="70DF7B65"/>
    <w:rsid w:val="70E433CD"/>
    <w:rsid w:val="70E46F2A"/>
    <w:rsid w:val="70E605BB"/>
    <w:rsid w:val="70E60EF4"/>
    <w:rsid w:val="70E64A50"/>
    <w:rsid w:val="70E76A1A"/>
    <w:rsid w:val="70EB475C"/>
    <w:rsid w:val="70ED4030"/>
    <w:rsid w:val="70EE5FFA"/>
    <w:rsid w:val="70F133F4"/>
    <w:rsid w:val="70F353BF"/>
    <w:rsid w:val="70F5661B"/>
    <w:rsid w:val="70F76C5D"/>
    <w:rsid w:val="70FD7FEB"/>
    <w:rsid w:val="710475CC"/>
    <w:rsid w:val="71066EA0"/>
    <w:rsid w:val="71080E6A"/>
    <w:rsid w:val="71096990"/>
    <w:rsid w:val="71124D16"/>
    <w:rsid w:val="71125845"/>
    <w:rsid w:val="71145A61"/>
    <w:rsid w:val="711517D9"/>
    <w:rsid w:val="711C2B67"/>
    <w:rsid w:val="711C66C3"/>
    <w:rsid w:val="711E068D"/>
    <w:rsid w:val="71211F2C"/>
    <w:rsid w:val="71213CDA"/>
    <w:rsid w:val="71241A1C"/>
    <w:rsid w:val="712437CA"/>
    <w:rsid w:val="71257C6E"/>
    <w:rsid w:val="712A5284"/>
    <w:rsid w:val="712B2CEC"/>
    <w:rsid w:val="712B6906"/>
    <w:rsid w:val="712C417C"/>
    <w:rsid w:val="71341C5F"/>
    <w:rsid w:val="71347EB1"/>
    <w:rsid w:val="71360107"/>
    <w:rsid w:val="713A123F"/>
    <w:rsid w:val="713B688E"/>
    <w:rsid w:val="714B6FA9"/>
    <w:rsid w:val="714E0847"/>
    <w:rsid w:val="715045BF"/>
    <w:rsid w:val="71535E5D"/>
    <w:rsid w:val="71566079"/>
    <w:rsid w:val="71597917"/>
    <w:rsid w:val="715B2707"/>
    <w:rsid w:val="715C11B6"/>
    <w:rsid w:val="715F7CE3"/>
    <w:rsid w:val="71632544"/>
    <w:rsid w:val="716360A0"/>
    <w:rsid w:val="71663DE2"/>
    <w:rsid w:val="71687B5B"/>
    <w:rsid w:val="716A38D3"/>
    <w:rsid w:val="716A5681"/>
    <w:rsid w:val="71706A0F"/>
    <w:rsid w:val="71765265"/>
    <w:rsid w:val="718129CA"/>
    <w:rsid w:val="71867FE1"/>
    <w:rsid w:val="718908C6"/>
    <w:rsid w:val="718A3708"/>
    <w:rsid w:val="718A7AD1"/>
    <w:rsid w:val="718B3849"/>
    <w:rsid w:val="718C1A9B"/>
    <w:rsid w:val="718D136F"/>
    <w:rsid w:val="71902C0D"/>
    <w:rsid w:val="719170B1"/>
    <w:rsid w:val="71950224"/>
    <w:rsid w:val="719A5D7F"/>
    <w:rsid w:val="719C5A56"/>
    <w:rsid w:val="71A212BE"/>
    <w:rsid w:val="71AD37BF"/>
    <w:rsid w:val="71B2527A"/>
    <w:rsid w:val="71B52674"/>
    <w:rsid w:val="71B7463E"/>
    <w:rsid w:val="71BA7C8A"/>
    <w:rsid w:val="71BB412E"/>
    <w:rsid w:val="71BC7EA6"/>
    <w:rsid w:val="71BE777B"/>
    <w:rsid w:val="71C27838"/>
    <w:rsid w:val="71C50B09"/>
    <w:rsid w:val="71CC633B"/>
    <w:rsid w:val="71CF1988"/>
    <w:rsid w:val="71CF3736"/>
    <w:rsid w:val="71D43752"/>
    <w:rsid w:val="71D64AC4"/>
    <w:rsid w:val="71D7083C"/>
    <w:rsid w:val="71D945B4"/>
    <w:rsid w:val="71DE7E1D"/>
    <w:rsid w:val="71E60A7F"/>
    <w:rsid w:val="71E73175"/>
    <w:rsid w:val="71F15DA2"/>
    <w:rsid w:val="71F1796A"/>
    <w:rsid w:val="71F426C7"/>
    <w:rsid w:val="71F4319C"/>
    <w:rsid w:val="71F75E09"/>
    <w:rsid w:val="71FD4747"/>
    <w:rsid w:val="72023B0B"/>
    <w:rsid w:val="720535FB"/>
    <w:rsid w:val="72062ED0"/>
    <w:rsid w:val="720C498A"/>
    <w:rsid w:val="72127AC6"/>
    <w:rsid w:val="72154626"/>
    <w:rsid w:val="721645D1"/>
    <w:rsid w:val="721675B7"/>
    <w:rsid w:val="72192C03"/>
    <w:rsid w:val="721B4BCD"/>
    <w:rsid w:val="722021E3"/>
    <w:rsid w:val="72247F25"/>
    <w:rsid w:val="72262B5D"/>
    <w:rsid w:val="72283FF7"/>
    <w:rsid w:val="7229553C"/>
    <w:rsid w:val="72297844"/>
    <w:rsid w:val="722A4E10"/>
    <w:rsid w:val="722E4900"/>
    <w:rsid w:val="722E7212"/>
    <w:rsid w:val="723536EF"/>
    <w:rsid w:val="72367C59"/>
    <w:rsid w:val="723A0474"/>
    <w:rsid w:val="723B701D"/>
    <w:rsid w:val="723D2D95"/>
    <w:rsid w:val="723D4B43"/>
    <w:rsid w:val="72477770"/>
    <w:rsid w:val="724D1E41"/>
    <w:rsid w:val="7258372B"/>
    <w:rsid w:val="72587BCF"/>
    <w:rsid w:val="725923E4"/>
    <w:rsid w:val="725956F5"/>
    <w:rsid w:val="725B321B"/>
    <w:rsid w:val="725B76BF"/>
    <w:rsid w:val="725D51E5"/>
    <w:rsid w:val="725D6F93"/>
    <w:rsid w:val="7265409A"/>
    <w:rsid w:val="72655E48"/>
    <w:rsid w:val="72671940"/>
    <w:rsid w:val="72691DDC"/>
    <w:rsid w:val="726B5B54"/>
    <w:rsid w:val="726C5429"/>
    <w:rsid w:val="727D63C7"/>
    <w:rsid w:val="72822E9E"/>
    <w:rsid w:val="72834520"/>
    <w:rsid w:val="72864BF7"/>
    <w:rsid w:val="72897D89"/>
    <w:rsid w:val="728C1627"/>
    <w:rsid w:val="729023FC"/>
    <w:rsid w:val="72914E8F"/>
    <w:rsid w:val="72943D5B"/>
    <w:rsid w:val="72952BD1"/>
    <w:rsid w:val="72987FCC"/>
    <w:rsid w:val="729A1F96"/>
    <w:rsid w:val="72A050D2"/>
    <w:rsid w:val="72A66B8C"/>
    <w:rsid w:val="72A746B3"/>
    <w:rsid w:val="72A93F87"/>
    <w:rsid w:val="72AC1CC9"/>
    <w:rsid w:val="72AC3A77"/>
    <w:rsid w:val="72AE77EF"/>
    <w:rsid w:val="72B017B9"/>
    <w:rsid w:val="72B03567"/>
    <w:rsid w:val="72B172DF"/>
    <w:rsid w:val="72BD3ED6"/>
    <w:rsid w:val="72C139C6"/>
    <w:rsid w:val="72C25048"/>
    <w:rsid w:val="72C47013"/>
    <w:rsid w:val="72C94629"/>
    <w:rsid w:val="72CE18E2"/>
    <w:rsid w:val="72CE7E91"/>
    <w:rsid w:val="72D27981"/>
    <w:rsid w:val="72D80D10"/>
    <w:rsid w:val="72DA05E4"/>
    <w:rsid w:val="72E164F6"/>
    <w:rsid w:val="72E2393D"/>
    <w:rsid w:val="72E6342D"/>
    <w:rsid w:val="72F112A6"/>
    <w:rsid w:val="72F33FD8"/>
    <w:rsid w:val="72FA3D18"/>
    <w:rsid w:val="72FD0776"/>
    <w:rsid w:val="72FF44EF"/>
    <w:rsid w:val="73005B71"/>
    <w:rsid w:val="730218E9"/>
    <w:rsid w:val="73041B05"/>
    <w:rsid w:val="730438B3"/>
    <w:rsid w:val="730613D9"/>
    <w:rsid w:val="73075151"/>
    <w:rsid w:val="730833A3"/>
    <w:rsid w:val="73092C77"/>
    <w:rsid w:val="730C2768"/>
    <w:rsid w:val="73102258"/>
    <w:rsid w:val="731C0BFD"/>
    <w:rsid w:val="73214465"/>
    <w:rsid w:val="73216213"/>
    <w:rsid w:val="73217FC1"/>
    <w:rsid w:val="73247AB1"/>
    <w:rsid w:val="732F2481"/>
    <w:rsid w:val="73353A6C"/>
    <w:rsid w:val="73383B77"/>
    <w:rsid w:val="733D0B73"/>
    <w:rsid w:val="733F0D8F"/>
    <w:rsid w:val="734819F2"/>
    <w:rsid w:val="73497518"/>
    <w:rsid w:val="734B14E2"/>
    <w:rsid w:val="734D7008"/>
    <w:rsid w:val="735859AD"/>
    <w:rsid w:val="73593BFF"/>
    <w:rsid w:val="735B13FB"/>
    <w:rsid w:val="735E7467"/>
    <w:rsid w:val="735F6D3B"/>
    <w:rsid w:val="73610D05"/>
    <w:rsid w:val="736425A4"/>
    <w:rsid w:val="73661E78"/>
    <w:rsid w:val="73691968"/>
    <w:rsid w:val="73697BBA"/>
    <w:rsid w:val="736B56E0"/>
    <w:rsid w:val="736D1458"/>
    <w:rsid w:val="736E6F7E"/>
    <w:rsid w:val="7372081D"/>
    <w:rsid w:val="737C5B3F"/>
    <w:rsid w:val="737E18B7"/>
    <w:rsid w:val="737F118B"/>
    <w:rsid w:val="737F734B"/>
    <w:rsid w:val="73840550"/>
    <w:rsid w:val="738549F4"/>
    <w:rsid w:val="7386076C"/>
    <w:rsid w:val="7386251A"/>
    <w:rsid w:val="73886F6D"/>
    <w:rsid w:val="73897499"/>
    <w:rsid w:val="738A025C"/>
    <w:rsid w:val="738A200A"/>
    <w:rsid w:val="738B5D82"/>
    <w:rsid w:val="73911760"/>
    <w:rsid w:val="739357C1"/>
    <w:rsid w:val="739358D2"/>
    <w:rsid w:val="73942E89"/>
    <w:rsid w:val="73964142"/>
    <w:rsid w:val="73970283"/>
    <w:rsid w:val="7399049F"/>
    <w:rsid w:val="739C3AEB"/>
    <w:rsid w:val="73A3131E"/>
    <w:rsid w:val="73A40BF2"/>
    <w:rsid w:val="73AA6208"/>
    <w:rsid w:val="73B928EF"/>
    <w:rsid w:val="73BB3091"/>
    <w:rsid w:val="73BD0A2D"/>
    <w:rsid w:val="73C0646E"/>
    <w:rsid w:val="73C13552"/>
    <w:rsid w:val="73C179F6"/>
    <w:rsid w:val="73C3376E"/>
    <w:rsid w:val="73C60B68"/>
    <w:rsid w:val="73CA0659"/>
    <w:rsid w:val="73CC79FC"/>
    <w:rsid w:val="73CD0149"/>
    <w:rsid w:val="73CF3EC1"/>
    <w:rsid w:val="73D03795"/>
    <w:rsid w:val="73D43285"/>
    <w:rsid w:val="73DE2356"/>
    <w:rsid w:val="73E01C2A"/>
    <w:rsid w:val="73E02686"/>
    <w:rsid w:val="73E13BF4"/>
    <w:rsid w:val="73E3796C"/>
    <w:rsid w:val="73E80822"/>
    <w:rsid w:val="73E831D5"/>
    <w:rsid w:val="73EA0CFB"/>
    <w:rsid w:val="73F05BE5"/>
    <w:rsid w:val="73F13E37"/>
    <w:rsid w:val="73F2195D"/>
    <w:rsid w:val="73F43927"/>
    <w:rsid w:val="73F751C6"/>
    <w:rsid w:val="73FB2F08"/>
    <w:rsid w:val="73FC0A2E"/>
    <w:rsid w:val="73FC458A"/>
    <w:rsid w:val="74024296"/>
    <w:rsid w:val="74031DBD"/>
    <w:rsid w:val="740718AD"/>
    <w:rsid w:val="740A6D83"/>
    <w:rsid w:val="740C0C71"/>
    <w:rsid w:val="74100036"/>
    <w:rsid w:val="741144D9"/>
    <w:rsid w:val="74123DAE"/>
    <w:rsid w:val="741B7106"/>
    <w:rsid w:val="741C69DA"/>
    <w:rsid w:val="741E2752"/>
    <w:rsid w:val="7420471D"/>
    <w:rsid w:val="74212243"/>
    <w:rsid w:val="742222F5"/>
    <w:rsid w:val="74277859"/>
    <w:rsid w:val="742A7349"/>
    <w:rsid w:val="742B4C2C"/>
    <w:rsid w:val="743261FE"/>
    <w:rsid w:val="74381A66"/>
    <w:rsid w:val="74387230"/>
    <w:rsid w:val="74387CB8"/>
    <w:rsid w:val="74393A30"/>
    <w:rsid w:val="744228E5"/>
    <w:rsid w:val="74455F31"/>
    <w:rsid w:val="74463A57"/>
    <w:rsid w:val="74471CA9"/>
    <w:rsid w:val="74476126"/>
    <w:rsid w:val="74477EFB"/>
    <w:rsid w:val="74493C73"/>
    <w:rsid w:val="744C72C0"/>
    <w:rsid w:val="744D11B3"/>
    <w:rsid w:val="744D62DD"/>
    <w:rsid w:val="74511518"/>
    <w:rsid w:val="7452064E"/>
    <w:rsid w:val="74534AF2"/>
    <w:rsid w:val="745B39A7"/>
    <w:rsid w:val="745E567C"/>
    <w:rsid w:val="745F3B1C"/>
    <w:rsid w:val="746740F9"/>
    <w:rsid w:val="746C354F"/>
    <w:rsid w:val="746E5488"/>
    <w:rsid w:val="746F1200"/>
    <w:rsid w:val="74706664"/>
    <w:rsid w:val="74732A9E"/>
    <w:rsid w:val="74736F42"/>
    <w:rsid w:val="74785E04"/>
    <w:rsid w:val="747B7BA5"/>
    <w:rsid w:val="747F3682"/>
    <w:rsid w:val="747F58E7"/>
    <w:rsid w:val="74827185"/>
    <w:rsid w:val="748527D2"/>
    <w:rsid w:val="7487654A"/>
    <w:rsid w:val="748C1DB2"/>
    <w:rsid w:val="748D1686"/>
    <w:rsid w:val="748D6B9A"/>
    <w:rsid w:val="748E5B2A"/>
    <w:rsid w:val="748F3650"/>
    <w:rsid w:val="74940C67"/>
    <w:rsid w:val="749649DF"/>
    <w:rsid w:val="74994362"/>
    <w:rsid w:val="749B3DA3"/>
    <w:rsid w:val="749C4185"/>
    <w:rsid w:val="74A013B9"/>
    <w:rsid w:val="74A7099A"/>
    <w:rsid w:val="74A71D7F"/>
    <w:rsid w:val="74AB66DC"/>
    <w:rsid w:val="74AC4202"/>
    <w:rsid w:val="74AE1D28"/>
    <w:rsid w:val="74B11819"/>
    <w:rsid w:val="74B231F1"/>
    <w:rsid w:val="74B31275"/>
    <w:rsid w:val="74B44E65"/>
    <w:rsid w:val="74B60BDD"/>
    <w:rsid w:val="74B75CE7"/>
    <w:rsid w:val="74B84955"/>
    <w:rsid w:val="74BB2697"/>
    <w:rsid w:val="74C4154C"/>
    <w:rsid w:val="74C432FA"/>
    <w:rsid w:val="74C4779E"/>
    <w:rsid w:val="74C7103C"/>
    <w:rsid w:val="74C72DEA"/>
    <w:rsid w:val="74CC145C"/>
    <w:rsid w:val="74CE4179"/>
    <w:rsid w:val="74CE5F27"/>
    <w:rsid w:val="74CF1C9F"/>
    <w:rsid w:val="74D27A1A"/>
    <w:rsid w:val="74D379E1"/>
    <w:rsid w:val="74D53759"/>
    <w:rsid w:val="74D55507"/>
    <w:rsid w:val="74D6127F"/>
    <w:rsid w:val="74DA2B1D"/>
    <w:rsid w:val="74DB0643"/>
    <w:rsid w:val="74DD0860"/>
    <w:rsid w:val="74DF6386"/>
    <w:rsid w:val="74E514C2"/>
    <w:rsid w:val="74E67714"/>
    <w:rsid w:val="74EB6AD9"/>
    <w:rsid w:val="74F17E67"/>
    <w:rsid w:val="74F82FA3"/>
    <w:rsid w:val="74FC053B"/>
    <w:rsid w:val="74FC0CE6"/>
    <w:rsid w:val="74FD4A5E"/>
    <w:rsid w:val="75022074"/>
    <w:rsid w:val="75045DEC"/>
    <w:rsid w:val="75063912"/>
    <w:rsid w:val="75067759"/>
    <w:rsid w:val="750758DC"/>
    <w:rsid w:val="75096F5F"/>
    <w:rsid w:val="750C6A4F"/>
    <w:rsid w:val="750E0A19"/>
    <w:rsid w:val="75104791"/>
    <w:rsid w:val="751122B7"/>
    <w:rsid w:val="75157FF9"/>
    <w:rsid w:val="75181898"/>
    <w:rsid w:val="751D2A0A"/>
    <w:rsid w:val="751E7BDB"/>
    <w:rsid w:val="751F49D4"/>
    <w:rsid w:val="75210778"/>
    <w:rsid w:val="75242FB6"/>
    <w:rsid w:val="75267B11"/>
    <w:rsid w:val="752B5127"/>
    <w:rsid w:val="752E6DCD"/>
    <w:rsid w:val="75377F70"/>
    <w:rsid w:val="75383CE8"/>
    <w:rsid w:val="75387844"/>
    <w:rsid w:val="753F6E24"/>
    <w:rsid w:val="75422471"/>
    <w:rsid w:val="754461E9"/>
    <w:rsid w:val="75491A51"/>
    <w:rsid w:val="754D1541"/>
    <w:rsid w:val="754D7793"/>
    <w:rsid w:val="754E0E15"/>
    <w:rsid w:val="754E52B9"/>
    <w:rsid w:val="7551380D"/>
    <w:rsid w:val="7553467E"/>
    <w:rsid w:val="75556648"/>
    <w:rsid w:val="75565720"/>
    <w:rsid w:val="7557416E"/>
    <w:rsid w:val="75596138"/>
    <w:rsid w:val="75600BE5"/>
    <w:rsid w:val="75630D65"/>
    <w:rsid w:val="7564475C"/>
    <w:rsid w:val="75662603"/>
    <w:rsid w:val="756845CD"/>
    <w:rsid w:val="7568637B"/>
    <w:rsid w:val="756B51A6"/>
    <w:rsid w:val="756D1BE3"/>
    <w:rsid w:val="75720FA8"/>
    <w:rsid w:val="7576441D"/>
    <w:rsid w:val="7583797F"/>
    <w:rsid w:val="75840CDB"/>
    <w:rsid w:val="75864A53"/>
    <w:rsid w:val="75866801"/>
    <w:rsid w:val="75882579"/>
    <w:rsid w:val="758E3908"/>
    <w:rsid w:val="758E56B6"/>
    <w:rsid w:val="75954C96"/>
    <w:rsid w:val="759D0D09"/>
    <w:rsid w:val="759D1E72"/>
    <w:rsid w:val="759E7FEF"/>
    <w:rsid w:val="75A35605"/>
    <w:rsid w:val="75A4312B"/>
    <w:rsid w:val="75A43949"/>
    <w:rsid w:val="75A66EA3"/>
    <w:rsid w:val="75AB44BA"/>
    <w:rsid w:val="75AB6268"/>
    <w:rsid w:val="75AD0232"/>
    <w:rsid w:val="75AD3D8E"/>
    <w:rsid w:val="75AE2269"/>
    <w:rsid w:val="75AF5D58"/>
    <w:rsid w:val="75B01AD0"/>
    <w:rsid w:val="75B22650"/>
    <w:rsid w:val="75B570E6"/>
    <w:rsid w:val="75BB4292"/>
    <w:rsid w:val="75BF1D13"/>
    <w:rsid w:val="75C15A8B"/>
    <w:rsid w:val="75C537CD"/>
    <w:rsid w:val="75C64E50"/>
    <w:rsid w:val="75CA0DE4"/>
    <w:rsid w:val="75CA2B92"/>
    <w:rsid w:val="75CB06B8"/>
    <w:rsid w:val="75D20F1D"/>
    <w:rsid w:val="75D21A46"/>
    <w:rsid w:val="75D41F21"/>
    <w:rsid w:val="75D45844"/>
    <w:rsid w:val="75D528E1"/>
    <w:rsid w:val="75D73501"/>
    <w:rsid w:val="75D7705D"/>
    <w:rsid w:val="75D92DD5"/>
    <w:rsid w:val="75D94B83"/>
    <w:rsid w:val="75DA2C18"/>
    <w:rsid w:val="75DC4673"/>
    <w:rsid w:val="75E17EDC"/>
    <w:rsid w:val="75E63744"/>
    <w:rsid w:val="75E706DE"/>
    <w:rsid w:val="75EA3234"/>
    <w:rsid w:val="75EB6898"/>
    <w:rsid w:val="75EF084A"/>
    <w:rsid w:val="75F54412"/>
    <w:rsid w:val="75FC4D15"/>
    <w:rsid w:val="760360A4"/>
    <w:rsid w:val="760616F0"/>
    <w:rsid w:val="7608190C"/>
    <w:rsid w:val="760F67F7"/>
    <w:rsid w:val="76164029"/>
    <w:rsid w:val="76197675"/>
    <w:rsid w:val="761D08E0"/>
    <w:rsid w:val="762429D2"/>
    <w:rsid w:val="762646E1"/>
    <w:rsid w:val="762A1882"/>
    <w:rsid w:val="76312C11"/>
    <w:rsid w:val="76342701"/>
    <w:rsid w:val="76393874"/>
    <w:rsid w:val="763B75EC"/>
    <w:rsid w:val="763C5112"/>
    <w:rsid w:val="763E70DC"/>
    <w:rsid w:val="763E790A"/>
    <w:rsid w:val="76404C02"/>
    <w:rsid w:val="76426BCC"/>
    <w:rsid w:val="76472434"/>
    <w:rsid w:val="764B35A7"/>
    <w:rsid w:val="764C63FC"/>
    <w:rsid w:val="764D37C3"/>
    <w:rsid w:val="764E6B00"/>
    <w:rsid w:val="76515061"/>
    <w:rsid w:val="76526197"/>
    <w:rsid w:val="76564426"/>
    <w:rsid w:val="7657019E"/>
    <w:rsid w:val="76593F16"/>
    <w:rsid w:val="76595CC4"/>
    <w:rsid w:val="765D347C"/>
    <w:rsid w:val="766034F6"/>
    <w:rsid w:val="766052A4"/>
    <w:rsid w:val="76617192"/>
    <w:rsid w:val="76654669"/>
    <w:rsid w:val="766703E1"/>
    <w:rsid w:val="76676633"/>
    <w:rsid w:val="766C1E9B"/>
    <w:rsid w:val="7671125F"/>
    <w:rsid w:val="767174B1"/>
    <w:rsid w:val="767237FC"/>
    <w:rsid w:val="76726D86"/>
    <w:rsid w:val="76740D50"/>
    <w:rsid w:val="76746FA2"/>
    <w:rsid w:val="76796366"/>
    <w:rsid w:val="767B0330"/>
    <w:rsid w:val="76816FC9"/>
    <w:rsid w:val="7682346D"/>
    <w:rsid w:val="76826699"/>
    <w:rsid w:val="76856AB9"/>
    <w:rsid w:val="76867187"/>
    <w:rsid w:val="768947FB"/>
    <w:rsid w:val="768D3BBF"/>
    <w:rsid w:val="768F7938"/>
    <w:rsid w:val="76981E32"/>
    <w:rsid w:val="769A6A08"/>
    <w:rsid w:val="769E7B7B"/>
    <w:rsid w:val="76A42E74"/>
    <w:rsid w:val="76A553AD"/>
    <w:rsid w:val="76AA4771"/>
    <w:rsid w:val="76AC2297"/>
    <w:rsid w:val="76AE4262"/>
    <w:rsid w:val="76AE6010"/>
    <w:rsid w:val="76B178AE"/>
    <w:rsid w:val="76B80C3C"/>
    <w:rsid w:val="76B92C06"/>
    <w:rsid w:val="76BA0E58"/>
    <w:rsid w:val="76BB24DB"/>
    <w:rsid w:val="76C23869"/>
    <w:rsid w:val="76C37C6F"/>
    <w:rsid w:val="76C70E7F"/>
    <w:rsid w:val="76C87133"/>
    <w:rsid w:val="76C92E49"/>
    <w:rsid w:val="76CC75F6"/>
    <w:rsid w:val="76CD08D5"/>
    <w:rsid w:val="76CF41D8"/>
    <w:rsid w:val="76D37824"/>
    <w:rsid w:val="76D4359C"/>
    <w:rsid w:val="76D85607"/>
    <w:rsid w:val="76D87530"/>
    <w:rsid w:val="76DB2B7D"/>
    <w:rsid w:val="76DB492B"/>
    <w:rsid w:val="76DB4B92"/>
    <w:rsid w:val="76DD06A3"/>
    <w:rsid w:val="76E35B18"/>
    <w:rsid w:val="76E61C4D"/>
    <w:rsid w:val="76E77774"/>
    <w:rsid w:val="76E9529A"/>
    <w:rsid w:val="76EA1012"/>
    <w:rsid w:val="76EA1469"/>
    <w:rsid w:val="76EC2FDC"/>
    <w:rsid w:val="76F0554B"/>
    <w:rsid w:val="76F31C74"/>
    <w:rsid w:val="76F679B7"/>
    <w:rsid w:val="76FD2AF3"/>
    <w:rsid w:val="77040325"/>
    <w:rsid w:val="770519A8"/>
    <w:rsid w:val="77052AA4"/>
    <w:rsid w:val="77071BC4"/>
    <w:rsid w:val="77136511"/>
    <w:rsid w:val="7715608F"/>
    <w:rsid w:val="77161E07"/>
    <w:rsid w:val="771A18F7"/>
    <w:rsid w:val="771A5453"/>
    <w:rsid w:val="771D4F43"/>
    <w:rsid w:val="77212C85"/>
    <w:rsid w:val="77244524"/>
    <w:rsid w:val="7726029C"/>
    <w:rsid w:val="77277B70"/>
    <w:rsid w:val="772B3B04"/>
    <w:rsid w:val="772C33D8"/>
    <w:rsid w:val="773109EF"/>
    <w:rsid w:val="77324E93"/>
    <w:rsid w:val="77340A39"/>
    <w:rsid w:val="773504DF"/>
    <w:rsid w:val="77351FD0"/>
    <w:rsid w:val="7735228D"/>
    <w:rsid w:val="773724A9"/>
    <w:rsid w:val="77387FCF"/>
    <w:rsid w:val="773D3837"/>
    <w:rsid w:val="773D6723"/>
    <w:rsid w:val="77416E84"/>
    <w:rsid w:val="77453774"/>
    <w:rsid w:val="77472422"/>
    <w:rsid w:val="774B1AB0"/>
    <w:rsid w:val="774E15A1"/>
    <w:rsid w:val="774E77F3"/>
    <w:rsid w:val="77505319"/>
    <w:rsid w:val="775766A7"/>
    <w:rsid w:val="77585F7B"/>
    <w:rsid w:val="775B5A6C"/>
    <w:rsid w:val="775C1F10"/>
    <w:rsid w:val="775C3CBE"/>
    <w:rsid w:val="775D7A36"/>
    <w:rsid w:val="775F37AE"/>
    <w:rsid w:val="7760037C"/>
    <w:rsid w:val="77617526"/>
    <w:rsid w:val="7763329E"/>
    <w:rsid w:val="77644920"/>
    <w:rsid w:val="77674410"/>
    <w:rsid w:val="77707769"/>
    <w:rsid w:val="7772528F"/>
    <w:rsid w:val="77725362"/>
    <w:rsid w:val="77731007"/>
    <w:rsid w:val="777803CC"/>
    <w:rsid w:val="777811D4"/>
    <w:rsid w:val="777C4360"/>
    <w:rsid w:val="777D1E86"/>
    <w:rsid w:val="777F31F2"/>
    <w:rsid w:val="778154D2"/>
    <w:rsid w:val="7782124A"/>
    <w:rsid w:val="77852348"/>
    <w:rsid w:val="77884AB3"/>
    <w:rsid w:val="77886049"/>
    <w:rsid w:val="778925D9"/>
    <w:rsid w:val="778B45A3"/>
    <w:rsid w:val="778E7BEF"/>
    <w:rsid w:val="7790745B"/>
    <w:rsid w:val="77935DDC"/>
    <w:rsid w:val="779416A9"/>
    <w:rsid w:val="77974CF6"/>
    <w:rsid w:val="77980A6E"/>
    <w:rsid w:val="779A47E6"/>
    <w:rsid w:val="779A6594"/>
    <w:rsid w:val="779D7E32"/>
    <w:rsid w:val="77A967D7"/>
    <w:rsid w:val="77AB07A1"/>
    <w:rsid w:val="77B37475"/>
    <w:rsid w:val="77B43AFA"/>
    <w:rsid w:val="77B51620"/>
    <w:rsid w:val="77BC3493"/>
    <w:rsid w:val="77C655DB"/>
    <w:rsid w:val="77C96E79"/>
    <w:rsid w:val="77CB0E43"/>
    <w:rsid w:val="77D1700D"/>
    <w:rsid w:val="77D221D2"/>
    <w:rsid w:val="77D25D2E"/>
    <w:rsid w:val="77D31AA6"/>
    <w:rsid w:val="77D575CC"/>
    <w:rsid w:val="77D93560"/>
    <w:rsid w:val="77DC6BAC"/>
    <w:rsid w:val="77DF669D"/>
    <w:rsid w:val="77E02B9B"/>
    <w:rsid w:val="77E37F3B"/>
    <w:rsid w:val="77EB3293"/>
    <w:rsid w:val="77EC04CC"/>
    <w:rsid w:val="77EE514F"/>
    <w:rsid w:val="77F4039A"/>
    <w:rsid w:val="77F43EF6"/>
    <w:rsid w:val="77F71C38"/>
    <w:rsid w:val="77F9775E"/>
    <w:rsid w:val="77FE2FC7"/>
    <w:rsid w:val="780D320A"/>
    <w:rsid w:val="780D4890"/>
    <w:rsid w:val="780D6D66"/>
    <w:rsid w:val="78112CFA"/>
    <w:rsid w:val="781225CE"/>
    <w:rsid w:val="78174088"/>
    <w:rsid w:val="78186DD1"/>
    <w:rsid w:val="7819395D"/>
    <w:rsid w:val="781E4EE8"/>
    <w:rsid w:val="78202F3D"/>
    <w:rsid w:val="78281DF2"/>
    <w:rsid w:val="782A012C"/>
    <w:rsid w:val="782A3DBC"/>
    <w:rsid w:val="782C7B34"/>
    <w:rsid w:val="782F13D2"/>
    <w:rsid w:val="78322C70"/>
    <w:rsid w:val="783267CC"/>
    <w:rsid w:val="78342545"/>
    <w:rsid w:val="78372035"/>
    <w:rsid w:val="783764D9"/>
    <w:rsid w:val="78393FFF"/>
    <w:rsid w:val="78397B5B"/>
    <w:rsid w:val="783C3AEF"/>
    <w:rsid w:val="783E7867"/>
    <w:rsid w:val="78434E7D"/>
    <w:rsid w:val="78454752"/>
    <w:rsid w:val="78482494"/>
    <w:rsid w:val="784A7FBA"/>
    <w:rsid w:val="784B788E"/>
    <w:rsid w:val="784F4642"/>
    <w:rsid w:val="784F737E"/>
    <w:rsid w:val="7851759A"/>
    <w:rsid w:val="785250C1"/>
    <w:rsid w:val="78542BE7"/>
    <w:rsid w:val="78544995"/>
    <w:rsid w:val="785504B4"/>
    <w:rsid w:val="78574485"/>
    <w:rsid w:val="7859644F"/>
    <w:rsid w:val="785A227F"/>
    <w:rsid w:val="785B21C7"/>
    <w:rsid w:val="786077DD"/>
    <w:rsid w:val="7863107C"/>
    <w:rsid w:val="78680440"/>
    <w:rsid w:val="78686692"/>
    <w:rsid w:val="787119EB"/>
    <w:rsid w:val="787212BF"/>
    <w:rsid w:val="7877401B"/>
    <w:rsid w:val="78774B27"/>
    <w:rsid w:val="78775729"/>
    <w:rsid w:val="787B4617"/>
    <w:rsid w:val="78801C2E"/>
    <w:rsid w:val="788039DC"/>
    <w:rsid w:val="78811502"/>
    <w:rsid w:val="78915BE9"/>
    <w:rsid w:val="78964FAD"/>
    <w:rsid w:val="78970D25"/>
    <w:rsid w:val="78992CEF"/>
    <w:rsid w:val="789B25C4"/>
    <w:rsid w:val="789D17C4"/>
    <w:rsid w:val="78A23952"/>
    <w:rsid w:val="78A37F4B"/>
    <w:rsid w:val="78A42DB0"/>
    <w:rsid w:val="78A656AB"/>
    <w:rsid w:val="78A771BA"/>
    <w:rsid w:val="78A84CE1"/>
    <w:rsid w:val="78A91184"/>
    <w:rsid w:val="78AF42C1"/>
    <w:rsid w:val="78AF5D62"/>
    <w:rsid w:val="78B2245C"/>
    <w:rsid w:val="78B25AD1"/>
    <w:rsid w:val="78B2790D"/>
    <w:rsid w:val="78B638A1"/>
    <w:rsid w:val="78B83176"/>
    <w:rsid w:val="78BB2C66"/>
    <w:rsid w:val="78BE62B2"/>
    <w:rsid w:val="78C0027C"/>
    <w:rsid w:val="78C027E9"/>
    <w:rsid w:val="78C064CE"/>
    <w:rsid w:val="78C80EDF"/>
    <w:rsid w:val="78CC1378"/>
    <w:rsid w:val="78CF6711"/>
    <w:rsid w:val="78D45AD6"/>
    <w:rsid w:val="78DA7590"/>
    <w:rsid w:val="78DE0702"/>
    <w:rsid w:val="78E172CC"/>
    <w:rsid w:val="78E33F6B"/>
    <w:rsid w:val="78E35D19"/>
    <w:rsid w:val="78E71CAD"/>
    <w:rsid w:val="78EA1D1F"/>
    <w:rsid w:val="78EA354B"/>
    <w:rsid w:val="78EA70A7"/>
    <w:rsid w:val="78EC1071"/>
    <w:rsid w:val="78EE303B"/>
    <w:rsid w:val="78EF0B61"/>
    <w:rsid w:val="78EF46BD"/>
    <w:rsid w:val="78F16688"/>
    <w:rsid w:val="78F30652"/>
    <w:rsid w:val="78FA71CA"/>
    <w:rsid w:val="78FB3062"/>
    <w:rsid w:val="78FB5758"/>
    <w:rsid w:val="78FF3476"/>
    <w:rsid w:val="79004B1D"/>
    <w:rsid w:val="790072D7"/>
    <w:rsid w:val="79022643"/>
    <w:rsid w:val="7904172F"/>
    <w:rsid w:val="7908577F"/>
    <w:rsid w:val="790C526F"/>
    <w:rsid w:val="790C5A7A"/>
    <w:rsid w:val="790E2D96"/>
    <w:rsid w:val="790E548B"/>
    <w:rsid w:val="790F7E27"/>
    <w:rsid w:val="791660EE"/>
    <w:rsid w:val="791800B8"/>
    <w:rsid w:val="79183C14"/>
    <w:rsid w:val="791B54B2"/>
    <w:rsid w:val="79222CE5"/>
    <w:rsid w:val="79224A93"/>
    <w:rsid w:val="79226841"/>
    <w:rsid w:val="792A231A"/>
    <w:rsid w:val="792C76C0"/>
    <w:rsid w:val="792E3438"/>
    <w:rsid w:val="79314CD6"/>
    <w:rsid w:val="79316829"/>
    <w:rsid w:val="793547C6"/>
    <w:rsid w:val="7936053E"/>
    <w:rsid w:val="79372177"/>
    <w:rsid w:val="793B4618"/>
    <w:rsid w:val="793F3897"/>
    <w:rsid w:val="79450781"/>
    <w:rsid w:val="794830FC"/>
    <w:rsid w:val="7950774B"/>
    <w:rsid w:val="79537342"/>
    <w:rsid w:val="795409C4"/>
    <w:rsid w:val="795452DC"/>
    <w:rsid w:val="79584959"/>
    <w:rsid w:val="79586707"/>
    <w:rsid w:val="795A422D"/>
    <w:rsid w:val="796055BB"/>
    <w:rsid w:val="79621333"/>
    <w:rsid w:val="796230E1"/>
    <w:rsid w:val="796432FD"/>
    <w:rsid w:val="796C5D0E"/>
    <w:rsid w:val="796E7CD8"/>
    <w:rsid w:val="79703A50"/>
    <w:rsid w:val="797057FE"/>
    <w:rsid w:val="797C08AB"/>
    <w:rsid w:val="797C23F5"/>
    <w:rsid w:val="797E66A9"/>
    <w:rsid w:val="79817A0B"/>
    <w:rsid w:val="798219D5"/>
    <w:rsid w:val="798412AA"/>
    <w:rsid w:val="798474FC"/>
    <w:rsid w:val="79847713"/>
    <w:rsid w:val="798518A4"/>
    <w:rsid w:val="79872B48"/>
    <w:rsid w:val="798B6ADC"/>
    <w:rsid w:val="798E3ED6"/>
    <w:rsid w:val="799040F2"/>
    <w:rsid w:val="79905EA0"/>
    <w:rsid w:val="79975481"/>
    <w:rsid w:val="799C4845"/>
    <w:rsid w:val="799F7E92"/>
    <w:rsid w:val="79A0755C"/>
    <w:rsid w:val="79A97383"/>
    <w:rsid w:val="79AA3C58"/>
    <w:rsid w:val="79B17BC5"/>
    <w:rsid w:val="79B20979"/>
    <w:rsid w:val="79B53B59"/>
    <w:rsid w:val="79B61ECB"/>
    <w:rsid w:val="79B80F53"/>
    <w:rsid w:val="79BA116F"/>
    <w:rsid w:val="79BA2F1D"/>
    <w:rsid w:val="79BD47BC"/>
    <w:rsid w:val="79BF6786"/>
    <w:rsid w:val="79C618C2"/>
    <w:rsid w:val="79CB0C87"/>
    <w:rsid w:val="79CC49FF"/>
    <w:rsid w:val="79D20267"/>
    <w:rsid w:val="79D24C3C"/>
    <w:rsid w:val="79D55FA9"/>
    <w:rsid w:val="79D73ACF"/>
    <w:rsid w:val="79D83DD5"/>
    <w:rsid w:val="79DA2016"/>
    <w:rsid w:val="79DD09BA"/>
    <w:rsid w:val="79DE6506"/>
    <w:rsid w:val="79E1494E"/>
    <w:rsid w:val="79E27E8B"/>
    <w:rsid w:val="79E32474"/>
    <w:rsid w:val="79E41D48"/>
    <w:rsid w:val="79ED32F3"/>
    <w:rsid w:val="79ED6E4F"/>
    <w:rsid w:val="79F160BD"/>
    <w:rsid w:val="79F301DD"/>
    <w:rsid w:val="79F850CE"/>
    <w:rsid w:val="79F91C98"/>
    <w:rsid w:val="79F9484F"/>
    <w:rsid w:val="79FC7092"/>
    <w:rsid w:val="79FD443C"/>
    <w:rsid w:val="79FE105C"/>
    <w:rsid w:val="7A010B4C"/>
    <w:rsid w:val="7A0423EA"/>
    <w:rsid w:val="7A052DF2"/>
    <w:rsid w:val="7A083C89"/>
    <w:rsid w:val="7A0A5C53"/>
    <w:rsid w:val="7A0B3779"/>
    <w:rsid w:val="7A1173D2"/>
    <w:rsid w:val="7A13262E"/>
    <w:rsid w:val="7A137FC7"/>
    <w:rsid w:val="7A177DD8"/>
    <w:rsid w:val="7A195E96"/>
    <w:rsid w:val="7A1C1079"/>
    <w:rsid w:val="7A1C5986"/>
    <w:rsid w:val="7A1D1975"/>
    <w:rsid w:val="7A205476"/>
    <w:rsid w:val="7A2134D3"/>
    <w:rsid w:val="7A2465E9"/>
    <w:rsid w:val="7A2860D9"/>
    <w:rsid w:val="7A291E51"/>
    <w:rsid w:val="7A2B2283"/>
    <w:rsid w:val="7A2D430B"/>
    <w:rsid w:val="7A320D06"/>
    <w:rsid w:val="7A363D39"/>
    <w:rsid w:val="7A3727C0"/>
    <w:rsid w:val="7A37631C"/>
    <w:rsid w:val="7A3E5150"/>
    <w:rsid w:val="7A4078C7"/>
    <w:rsid w:val="7A432F13"/>
    <w:rsid w:val="7A4670D6"/>
    <w:rsid w:val="7A480529"/>
    <w:rsid w:val="7A48677B"/>
    <w:rsid w:val="7A4A1526"/>
    <w:rsid w:val="7A4B0019"/>
    <w:rsid w:val="7A4B1DC7"/>
    <w:rsid w:val="7A4B626B"/>
    <w:rsid w:val="7A4D5B40"/>
    <w:rsid w:val="7A534B63"/>
    <w:rsid w:val="7A5549F4"/>
    <w:rsid w:val="7A5B1910"/>
    <w:rsid w:val="7A5C3762"/>
    <w:rsid w:val="7A5C3FD5"/>
    <w:rsid w:val="7A5F22BC"/>
    <w:rsid w:val="7A601D17"/>
    <w:rsid w:val="7A603AC5"/>
    <w:rsid w:val="7A613399"/>
    <w:rsid w:val="7A615382"/>
    <w:rsid w:val="7A652E89"/>
    <w:rsid w:val="7A666C01"/>
    <w:rsid w:val="7A67303B"/>
    <w:rsid w:val="7A680BCB"/>
    <w:rsid w:val="7A6A66F1"/>
    <w:rsid w:val="7A6C06BC"/>
    <w:rsid w:val="7A6D61E2"/>
    <w:rsid w:val="7A6D7F90"/>
    <w:rsid w:val="7A6F5AB6"/>
    <w:rsid w:val="7A70182E"/>
    <w:rsid w:val="7A777060"/>
    <w:rsid w:val="7A805F15"/>
    <w:rsid w:val="7A8208A6"/>
    <w:rsid w:val="7A835A05"/>
    <w:rsid w:val="7A8C2A1A"/>
    <w:rsid w:val="7A8D23E0"/>
    <w:rsid w:val="7A97325F"/>
    <w:rsid w:val="7A9B4AFD"/>
    <w:rsid w:val="7A9C0875"/>
    <w:rsid w:val="7A9E639B"/>
    <w:rsid w:val="7AA00365"/>
    <w:rsid w:val="7AA31C03"/>
    <w:rsid w:val="7AA5772A"/>
    <w:rsid w:val="7AA80FC8"/>
    <w:rsid w:val="7AA82DC9"/>
    <w:rsid w:val="7AAB1D04"/>
    <w:rsid w:val="7AAD4830"/>
    <w:rsid w:val="7AAD65DE"/>
    <w:rsid w:val="7AB01E15"/>
    <w:rsid w:val="7AB21E46"/>
    <w:rsid w:val="7AB4796D"/>
    <w:rsid w:val="7AB67B89"/>
    <w:rsid w:val="7AB756AF"/>
    <w:rsid w:val="7AB91427"/>
    <w:rsid w:val="7ABA3CDD"/>
    <w:rsid w:val="7ABA4368"/>
    <w:rsid w:val="7AC36B4A"/>
    <w:rsid w:val="7AC53928"/>
    <w:rsid w:val="7AC5601E"/>
    <w:rsid w:val="7AC57DCC"/>
    <w:rsid w:val="7AC6403B"/>
    <w:rsid w:val="7AC8166A"/>
    <w:rsid w:val="7ACB4CB6"/>
    <w:rsid w:val="7ACF29F8"/>
    <w:rsid w:val="7AD05746"/>
    <w:rsid w:val="7AD46261"/>
    <w:rsid w:val="7AD81021"/>
    <w:rsid w:val="7AD9224A"/>
    <w:rsid w:val="7AD924B1"/>
    <w:rsid w:val="7ADE1919"/>
    <w:rsid w:val="7AE04C06"/>
    <w:rsid w:val="7AE069B4"/>
    <w:rsid w:val="7AE55D78"/>
    <w:rsid w:val="7AE91D0C"/>
    <w:rsid w:val="7AEC5358"/>
    <w:rsid w:val="7AEC7106"/>
    <w:rsid w:val="7AF1296F"/>
    <w:rsid w:val="7AF661D7"/>
    <w:rsid w:val="7AF75AAB"/>
    <w:rsid w:val="7AFD1314"/>
    <w:rsid w:val="7AFE6E3A"/>
    <w:rsid w:val="7B000E04"/>
    <w:rsid w:val="7B027FCA"/>
    <w:rsid w:val="7B072192"/>
    <w:rsid w:val="7B086666"/>
    <w:rsid w:val="7B087CB8"/>
    <w:rsid w:val="7B0A1C83"/>
    <w:rsid w:val="7B0F7299"/>
    <w:rsid w:val="7B116B6D"/>
    <w:rsid w:val="7B1623D5"/>
    <w:rsid w:val="7B164183"/>
    <w:rsid w:val="7B185926"/>
    <w:rsid w:val="7B2368A0"/>
    <w:rsid w:val="7B257FFD"/>
    <w:rsid w:val="7B2E5971"/>
    <w:rsid w:val="7B310FBD"/>
    <w:rsid w:val="7B3330BB"/>
    <w:rsid w:val="7B343476"/>
    <w:rsid w:val="7B3A4316"/>
    <w:rsid w:val="7B445194"/>
    <w:rsid w:val="7B454A69"/>
    <w:rsid w:val="7B474C85"/>
    <w:rsid w:val="7B4C4049"/>
    <w:rsid w:val="7B4D2521"/>
    <w:rsid w:val="7B503B39"/>
    <w:rsid w:val="7B5178B1"/>
    <w:rsid w:val="7B542EFE"/>
    <w:rsid w:val="7B5829EE"/>
    <w:rsid w:val="7B5A2978"/>
    <w:rsid w:val="7B5A7E4C"/>
    <w:rsid w:val="7B5B428C"/>
    <w:rsid w:val="7B5D1DB2"/>
    <w:rsid w:val="7B6273C9"/>
    <w:rsid w:val="7B667AF9"/>
    <w:rsid w:val="7B672C31"/>
    <w:rsid w:val="7B71585E"/>
    <w:rsid w:val="7B7468F8"/>
    <w:rsid w:val="7B7610C6"/>
    <w:rsid w:val="7B786BEC"/>
    <w:rsid w:val="7B7A0BB6"/>
    <w:rsid w:val="7B7A2964"/>
    <w:rsid w:val="7B8657AD"/>
    <w:rsid w:val="7B8732D3"/>
    <w:rsid w:val="7B947887"/>
    <w:rsid w:val="7B962A52"/>
    <w:rsid w:val="7B963516"/>
    <w:rsid w:val="7B9854E0"/>
    <w:rsid w:val="7B9D48A5"/>
    <w:rsid w:val="7B9F686F"/>
    <w:rsid w:val="7BA2010D"/>
    <w:rsid w:val="7BA479E1"/>
    <w:rsid w:val="7BA619AB"/>
    <w:rsid w:val="7BA67BFD"/>
    <w:rsid w:val="7BAC2D3A"/>
    <w:rsid w:val="7BAE6AB2"/>
    <w:rsid w:val="7BB10350"/>
    <w:rsid w:val="7BB8348D"/>
    <w:rsid w:val="7BBC2F7D"/>
    <w:rsid w:val="7BC02341"/>
    <w:rsid w:val="7BC167E5"/>
    <w:rsid w:val="7BC40083"/>
    <w:rsid w:val="7BC57958"/>
    <w:rsid w:val="7BC938EC"/>
    <w:rsid w:val="7BCD518A"/>
    <w:rsid w:val="7BD04C7A"/>
    <w:rsid w:val="7BD1454E"/>
    <w:rsid w:val="7BD5403F"/>
    <w:rsid w:val="7BD77DB7"/>
    <w:rsid w:val="7BDA3403"/>
    <w:rsid w:val="7BE10C35"/>
    <w:rsid w:val="7BE91898"/>
    <w:rsid w:val="7BEB3862"/>
    <w:rsid w:val="7BEE0103"/>
    <w:rsid w:val="7BF02C26"/>
    <w:rsid w:val="7BF302A3"/>
    <w:rsid w:val="7BF546E1"/>
    <w:rsid w:val="7C06244A"/>
    <w:rsid w:val="7C084414"/>
    <w:rsid w:val="7C0A0FE4"/>
    <w:rsid w:val="7C0D37D8"/>
    <w:rsid w:val="7C10239C"/>
    <w:rsid w:val="7C1032C9"/>
    <w:rsid w:val="7C156B31"/>
    <w:rsid w:val="7C1F52BA"/>
    <w:rsid w:val="7C211BE0"/>
    <w:rsid w:val="7C2247B1"/>
    <w:rsid w:val="7C2428D0"/>
    <w:rsid w:val="7C254906"/>
    <w:rsid w:val="7C262AEC"/>
    <w:rsid w:val="7C266648"/>
    <w:rsid w:val="7C2D79D7"/>
    <w:rsid w:val="7C2E374F"/>
    <w:rsid w:val="7C2F7ACB"/>
    <w:rsid w:val="7C2F7BF3"/>
    <w:rsid w:val="7C3074C7"/>
    <w:rsid w:val="7C3475CF"/>
    <w:rsid w:val="7C38637B"/>
    <w:rsid w:val="7C39281F"/>
    <w:rsid w:val="7C3C40BE"/>
    <w:rsid w:val="7C3E0920"/>
    <w:rsid w:val="7C4116D4"/>
    <w:rsid w:val="7C482A62"/>
    <w:rsid w:val="7C492337"/>
    <w:rsid w:val="7C4A67DB"/>
    <w:rsid w:val="7C4B4301"/>
    <w:rsid w:val="7C4B60AF"/>
    <w:rsid w:val="7C4D62CB"/>
    <w:rsid w:val="7C52757E"/>
    <w:rsid w:val="7C5807CC"/>
    <w:rsid w:val="7C590818"/>
    <w:rsid w:val="7C596A1E"/>
    <w:rsid w:val="7C5A4544"/>
    <w:rsid w:val="7C653614"/>
    <w:rsid w:val="7C66113B"/>
    <w:rsid w:val="7C6F4493"/>
    <w:rsid w:val="7C703D67"/>
    <w:rsid w:val="7C7375DA"/>
    <w:rsid w:val="7C75137E"/>
    <w:rsid w:val="7C75312C"/>
    <w:rsid w:val="7C7C10F6"/>
    <w:rsid w:val="7C817D22"/>
    <w:rsid w:val="7C831CEC"/>
    <w:rsid w:val="7C853BEA"/>
    <w:rsid w:val="7C881368"/>
    <w:rsid w:val="7C8B6DF3"/>
    <w:rsid w:val="7C8E41ED"/>
    <w:rsid w:val="7C8F243F"/>
    <w:rsid w:val="7C9061B7"/>
    <w:rsid w:val="7C943EFA"/>
    <w:rsid w:val="7C945CA8"/>
    <w:rsid w:val="7C975798"/>
    <w:rsid w:val="7C9A79F1"/>
    <w:rsid w:val="7C9E08D4"/>
    <w:rsid w:val="7CA01BE5"/>
    <w:rsid w:val="7CA0528F"/>
    <w:rsid w:val="7CA53A11"/>
    <w:rsid w:val="7CAA1027"/>
    <w:rsid w:val="7CAC1211"/>
    <w:rsid w:val="7CB225D2"/>
    <w:rsid w:val="7CB37868"/>
    <w:rsid w:val="7CB400F8"/>
    <w:rsid w:val="7CB63E70"/>
    <w:rsid w:val="7CB71996"/>
    <w:rsid w:val="7CC3658D"/>
    <w:rsid w:val="7CC77E2B"/>
    <w:rsid w:val="7CC83BA3"/>
    <w:rsid w:val="7CC876FF"/>
    <w:rsid w:val="7CCD11BA"/>
    <w:rsid w:val="7CD42548"/>
    <w:rsid w:val="7CD442F6"/>
    <w:rsid w:val="7CD71937"/>
    <w:rsid w:val="7CD74B2F"/>
    <w:rsid w:val="7CE16A13"/>
    <w:rsid w:val="7CE24569"/>
    <w:rsid w:val="7CE27788"/>
    <w:rsid w:val="7CE34539"/>
    <w:rsid w:val="7CE64029"/>
    <w:rsid w:val="7CEC7892"/>
    <w:rsid w:val="7CEF7382"/>
    <w:rsid w:val="7CF77FE5"/>
    <w:rsid w:val="7CF84488"/>
    <w:rsid w:val="7CF93D5D"/>
    <w:rsid w:val="7D052701"/>
    <w:rsid w:val="7D056BA5"/>
    <w:rsid w:val="7D0B583E"/>
    <w:rsid w:val="7D0C32F1"/>
    <w:rsid w:val="7D0C34C4"/>
    <w:rsid w:val="7D0F408D"/>
    <w:rsid w:val="7D16490F"/>
    <w:rsid w:val="7D17603D"/>
    <w:rsid w:val="7D1868D9"/>
    <w:rsid w:val="7D1B0177"/>
    <w:rsid w:val="7D225061"/>
    <w:rsid w:val="7D24527D"/>
    <w:rsid w:val="7D256900"/>
    <w:rsid w:val="7D2708CA"/>
    <w:rsid w:val="7D292894"/>
    <w:rsid w:val="7D2C5EE0"/>
    <w:rsid w:val="7D2C7534"/>
    <w:rsid w:val="7D2E7EAA"/>
    <w:rsid w:val="7D2F3C22"/>
    <w:rsid w:val="7D31799A"/>
    <w:rsid w:val="7D33726F"/>
    <w:rsid w:val="7D341239"/>
    <w:rsid w:val="7D343E11"/>
    <w:rsid w:val="7D382AD7"/>
    <w:rsid w:val="7D3905FD"/>
    <w:rsid w:val="7D3C25A3"/>
    <w:rsid w:val="7D3E3E65"/>
    <w:rsid w:val="7D416415"/>
    <w:rsid w:val="7D450D50"/>
    <w:rsid w:val="7D474AC8"/>
    <w:rsid w:val="7D491C6C"/>
    <w:rsid w:val="7D4A280A"/>
    <w:rsid w:val="7D4A45B8"/>
    <w:rsid w:val="7D513B99"/>
    <w:rsid w:val="7D52346D"/>
    <w:rsid w:val="7D5429C0"/>
    <w:rsid w:val="7D592A4D"/>
    <w:rsid w:val="7D5B67C5"/>
    <w:rsid w:val="7D632B7B"/>
    <w:rsid w:val="7D6531A0"/>
    <w:rsid w:val="7D692C90"/>
    <w:rsid w:val="7D6A4C5A"/>
    <w:rsid w:val="7D6B2EAC"/>
    <w:rsid w:val="7D6E6D43"/>
    <w:rsid w:val="7D782ED3"/>
    <w:rsid w:val="7D7A4E9D"/>
    <w:rsid w:val="7D7B6E68"/>
    <w:rsid w:val="7D7C4ECA"/>
    <w:rsid w:val="7D7E4262"/>
    <w:rsid w:val="7D7F0706"/>
    <w:rsid w:val="7D7F24B4"/>
    <w:rsid w:val="7D851A94"/>
    <w:rsid w:val="7D87580C"/>
    <w:rsid w:val="7D891584"/>
    <w:rsid w:val="7D8A547F"/>
    <w:rsid w:val="7D8C2E23"/>
    <w:rsid w:val="7D8E0949"/>
    <w:rsid w:val="7D9046C1"/>
    <w:rsid w:val="7D937D0D"/>
    <w:rsid w:val="7D9817C8"/>
    <w:rsid w:val="7D985324"/>
    <w:rsid w:val="7D99109C"/>
    <w:rsid w:val="7D9B3066"/>
    <w:rsid w:val="7D9B4E14"/>
    <w:rsid w:val="7D9D6DDE"/>
    <w:rsid w:val="7DA0067C"/>
    <w:rsid w:val="7DA71A0B"/>
    <w:rsid w:val="7DA95783"/>
    <w:rsid w:val="7DAC5273"/>
    <w:rsid w:val="7DB008BF"/>
    <w:rsid w:val="7DB06B11"/>
    <w:rsid w:val="7DB30F95"/>
    <w:rsid w:val="7DB33B66"/>
    <w:rsid w:val="7DB54128"/>
    <w:rsid w:val="7DB57A34"/>
    <w:rsid w:val="7DB87774"/>
    <w:rsid w:val="7DBD122E"/>
    <w:rsid w:val="7DBD4D8A"/>
    <w:rsid w:val="7DC205F3"/>
    <w:rsid w:val="7DC26844"/>
    <w:rsid w:val="7DC46119"/>
    <w:rsid w:val="7DC600E3"/>
    <w:rsid w:val="7DC75C09"/>
    <w:rsid w:val="7DCE6F97"/>
    <w:rsid w:val="7DD65E4C"/>
    <w:rsid w:val="7DD722F0"/>
    <w:rsid w:val="7DDA3B8E"/>
    <w:rsid w:val="7DDA593C"/>
    <w:rsid w:val="7DDB770F"/>
    <w:rsid w:val="7DE60973"/>
    <w:rsid w:val="7DE71E07"/>
    <w:rsid w:val="7DE844FD"/>
    <w:rsid w:val="7DED1B13"/>
    <w:rsid w:val="7DEF0916"/>
    <w:rsid w:val="7DF10ED8"/>
    <w:rsid w:val="7DF34C50"/>
    <w:rsid w:val="7DFD162B"/>
    <w:rsid w:val="7E01111B"/>
    <w:rsid w:val="7E066731"/>
    <w:rsid w:val="7E0724A9"/>
    <w:rsid w:val="7E094473"/>
    <w:rsid w:val="7E0B1F99"/>
    <w:rsid w:val="7E0B3D48"/>
    <w:rsid w:val="7E10135E"/>
    <w:rsid w:val="7E105802"/>
    <w:rsid w:val="7E12157A"/>
    <w:rsid w:val="7E130E4E"/>
    <w:rsid w:val="7E132BFC"/>
    <w:rsid w:val="7E1370A0"/>
    <w:rsid w:val="7E152E18"/>
    <w:rsid w:val="7E1C5F55"/>
    <w:rsid w:val="7E1E5218"/>
    <w:rsid w:val="7E1F77F3"/>
    <w:rsid w:val="7E266DD3"/>
    <w:rsid w:val="7E282B4B"/>
    <w:rsid w:val="7E2968C4"/>
    <w:rsid w:val="7E2D0162"/>
    <w:rsid w:val="7E307C52"/>
    <w:rsid w:val="7E3314F0"/>
    <w:rsid w:val="7E334FFB"/>
    <w:rsid w:val="7E350DC4"/>
    <w:rsid w:val="7E35423F"/>
    <w:rsid w:val="7E374B3D"/>
    <w:rsid w:val="7E394D59"/>
    <w:rsid w:val="7E3C2153"/>
    <w:rsid w:val="7E3C69AB"/>
    <w:rsid w:val="7E3F1C43"/>
    <w:rsid w:val="7E431733"/>
    <w:rsid w:val="7E447259"/>
    <w:rsid w:val="7E486D4A"/>
    <w:rsid w:val="7E490D14"/>
    <w:rsid w:val="7E491E00"/>
    <w:rsid w:val="7E494870"/>
    <w:rsid w:val="7E4E00D8"/>
    <w:rsid w:val="7E521976"/>
    <w:rsid w:val="7E543940"/>
    <w:rsid w:val="7E584145"/>
    <w:rsid w:val="7E5971A9"/>
    <w:rsid w:val="7E5A4CCF"/>
    <w:rsid w:val="7E616938"/>
    <w:rsid w:val="7E6478FC"/>
    <w:rsid w:val="7E6B0C8A"/>
    <w:rsid w:val="7E6B2A38"/>
    <w:rsid w:val="7E7023CC"/>
    <w:rsid w:val="7E73248E"/>
    <w:rsid w:val="7E747B3F"/>
    <w:rsid w:val="7E7E276B"/>
    <w:rsid w:val="7E81225C"/>
    <w:rsid w:val="7E88183C"/>
    <w:rsid w:val="7E8A55B4"/>
    <w:rsid w:val="7E8C3B28"/>
    <w:rsid w:val="7E8E5955"/>
    <w:rsid w:val="7E927FC5"/>
    <w:rsid w:val="7E941F8F"/>
    <w:rsid w:val="7E955D07"/>
    <w:rsid w:val="7E977CD1"/>
    <w:rsid w:val="7E9A331D"/>
    <w:rsid w:val="7E9A4E1F"/>
    <w:rsid w:val="7E9C0E44"/>
    <w:rsid w:val="7E9E2E0E"/>
    <w:rsid w:val="7E9F0EEE"/>
    <w:rsid w:val="7E9F26E2"/>
    <w:rsid w:val="7EA5419C"/>
    <w:rsid w:val="7EA7723A"/>
    <w:rsid w:val="7EAF0B77"/>
    <w:rsid w:val="7EB10D93"/>
    <w:rsid w:val="7EB20667"/>
    <w:rsid w:val="7EB268B9"/>
    <w:rsid w:val="7EB42631"/>
    <w:rsid w:val="7EBB39C0"/>
    <w:rsid w:val="7EBB7543"/>
    <w:rsid w:val="7EBC09D3"/>
    <w:rsid w:val="7EBC3294"/>
    <w:rsid w:val="7EC02D84"/>
    <w:rsid w:val="7EC11C74"/>
    <w:rsid w:val="7EC16466"/>
    <w:rsid w:val="7EC40A15"/>
    <w:rsid w:val="7EC42148"/>
    <w:rsid w:val="7EC47257"/>
    <w:rsid w:val="7EC860DC"/>
    <w:rsid w:val="7EC9775F"/>
    <w:rsid w:val="7ECB1729"/>
    <w:rsid w:val="7ED24865"/>
    <w:rsid w:val="7ED54355"/>
    <w:rsid w:val="7EDB53EC"/>
    <w:rsid w:val="7EDB5E10"/>
    <w:rsid w:val="7EDC3936"/>
    <w:rsid w:val="7EDD1432"/>
    <w:rsid w:val="7EDD144D"/>
    <w:rsid w:val="7EDE145C"/>
    <w:rsid w:val="7EE06F82"/>
    <w:rsid w:val="7EE34CC4"/>
    <w:rsid w:val="7EEB5927"/>
    <w:rsid w:val="7EF04CF2"/>
    <w:rsid w:val="7EF40C80"/>
    <w:rsid w:val="7EF54BD7"/>
    <w:rsid w:val="7EF56FBB"/>
    <w:rsid w:val="7EF7251E"/>
    <w:rsid w:val="7EFB3DBC"/>
    <w:rsid w:val="7F005876"/>
    <w:rsid w:val="7F01514B"/>
    <w:rsid w:val="7F031A27"/>
    <w:rsid w:val="7F037115"/>
    <w:rsid w:val="7F0569E9"/>
    <w:rsid w:val="7F0768EB"/>
    <w:rsid w:val="7F0A046A"/>
    <w:rsid w:val="7F0A04A3"/>
    <w:rsid w:val="7F0D7F93"/>
    <w:rsid w:val="7F0F7867"/>
    <w:rsid w:val="7F111831"/>
    <w:rsid w:val="7F1255AA"/>
    <w:rsid w:val="7F1430D0"/>
    <w:rsid w:val="7F143BEC"/>
    <w:rsid w:val="7F17496E"/>
    <w:rsid w:val="7F196F4C"/>
    <w:rsid w:val="7F1C3D32"/>
    <w:rsid w:val="7F201A75"/>
    <w:rsid w:val="7F207CC7"/>
    <w:rsid w:val="7F211349"/>
    <w:rsid w:val="7F250E39"/>
    <w:rsid w:val="7F2826D7"/>
    <w:rsid w:val="7F2F1CB8"/>
    <w:rsid w:val="7F3472CE"/>
    <w:rsid w:val="7F370B6C"/>
    <w:rsid w:val="7F376DBE"/>
    <w:rsid w:val="7F390D88"/>
    <w:rsid w:val="7F3A2661"/>
    <w:rsid w:val="7F435763"/>
    <w:rsid w:val="7F4F4108"/>
    <w:rsid w:val="7F565496"/>
    <w:rsid w:val="7F590AE3"/>
    <w:rsid w:val="7F596D35"/>
    <w:rsid w:val="7F5B0CFF"/>
    <w:rsid w:val="7F5E259D"/>
    <w:rsid w:val="7F606315"/>
    <w:rsid w:val="7F623E3B"/>
    <w:rsid w:val="7F6A0F42"/>
    <w:rsid w:val="7F6C4CBA"/>
    <w:rsid w:val="7F6E0A32"/>
    <w:rsid w:val="7F6F6558"/>
    <w:rsid w:val="7F710522"/>
    <w:rsid w:val="7F71407E"/>
    <w:rsid w:val="7F715AF2"/>
    <w:rsid w:val="7F73429A"/>
    <w:rsid w:val="7F741DC0"/>
    <w:rsid w:val="7F7678E7"/>
    <w:rsid w:val="7F787239"/>
    <w:rsid w:val="7F7B4EFD"/>
    <w:rsid w:val="7F7C1752"/>
    <w:rsid w:val="7F7F6F7C"/>
    <w:rsid w:val="7F8042C1"/>
    <w:rsid w:val="7F840255"/>
    <w:rsid w:val="7F846F1D"/>
    <w:rsid w:val="7F886E69"/>
    <w:rsid w:val="7F8A15E4"/>
    <w:rsid w:val="7F8B34BE"/>
    <w:rsid w:val="7F8D69DE"/>
    <w:rsid w:val="7F8E4830"/>
    <w:rsid w:val="7F932247"/>
    <w:rsid w:val="7F963AE5"/>
    <w:rsid w:val="7F967F89"/>
    <w:rsid w:val="7F9D0021"/>
    <w:rsid w:val="7F9F508F"/>
    <w:rsid w:val="7FA06711"/>
    <w:rsid w:val="7FA206DC"/>
    <w:rsid w:val="7FA75CF2"/>
    <w:rsid w:val="7FA91A6A"/>
    <w:rsid w:val="7FAA7590"/>
    <w:rsid w:val="7FAC50B6"/>
    <w:rsid w:val="7FAE52D2"/>
    <w:rsid w:val="7FAF4BA7"/>
    <w:rsid w:val="7FB14DC3"/>
    <w:rsid w:val="7FBB179D"/>
    <w:rsid w:val="7FBB6EFF"/>
    <w:rsid w:val="7FBF303C"/>
    <w:rsid w:val="7FC05006"/>
    <w:rsid w:val="7FC142EE"/>
    <w:rsid w:val="7FC20D7E"/>
    <w:rsid w:val="7FC443B0"/>
    <w:rsid w:val="7FC44AF6"/>
    <w:rsid w:val="7FCA378E"/>
    <w:rsid w:val="7FCB7C32"/>
    <w:rsid w:val="7FCC39AA"/>
    <w:rsid w:val="7FCE5462"/>
    <w:rsid w:val="7FD14B1D"/>
    <w:rsid w:val="7FD30895"/>
    <w:rsid w:val="7FD5285F"/>
    <w:rsid w:val="7FDB3BED"/>
    <w:rsid w:val="7FDD34C2"/>
    <w:rsid w:val="7FDD5BB8"/>
    <w:rsid w:val="7FDF723A"/>
    <w:rsid w:val="7FE9630A"/>
    <w:rsid w:val="7FEE3921"/>
    <w:rsid w:val="7FFA0518"/>
    <w:rsid w:val="7FFA4074"/>
    <w:rsid w:val="7FFC4290"/>
    <w:rsid w:val="7FFD3B6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3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6">
    <w:name w:val="正文1"/>
    <w:basedOn w:val="7"/>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7">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0"/>
    <w:autoRedefine/>
    <w:qFormat/>
    <w:uiPriority w:val="0"/>
    <w:pPr>
      <w:shd w:val="clear" w:color="auto" w:fill="000080"/>
    </w:pPr>
  </w:style>
  <w:style w:type="paragraph" w:styleId="21">
    <w:name w:val="annotation text"/>
    <w:basedOn w:val="1"/>
    <w:link w:val="351"/>
    <w:autoRedefine/>
    <w:qFormat/>
    <w:uiPriority w:val="99"/>
    <w:pPr>
      <w:jc w:val="left"/>
    </w:pPr>
  </w:style>
  <w:style w:type="paragraph" w:styleId="22">
    <w:name w:val="Salutation"/>
    <w:basedOn w:val="1"/>
    <w:next w:val="1"/>
    <w:link w:val="305"/>
    <w:autoRedefine/>
    <w:qFormat/>
    <w:uiPriority w:val="0"/>
    <w:rPr>
      <w:rFonts w:ascii="仿宋_GB2312" w:eastAsia="仿宋_GB2312"/>
      <w:sz w:val="28"/>
      <w:szCs w:val="20"/>
    </w:rPr>
  </w:style>
  <w:style w:type="paragraph" w:styleId="23">
    <w:name w:val="Body Text 3"/>
    <w:basedOn w:val="1"/>
    <w:next w:val="1"/>
    <w:link w:val="33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3"/>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72"/>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cs="Arial"/>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Plain Text"/>
    <w:basedOn w:val="1"/>
    <w:link w:val="13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9"/>
    <w:autoRedefine/>
    <w:qFormat/>
    <w:uiPriority w:val="0"/>
    <w:pPr>
      <w:ind w:left="100" w:leftChars="2500"/>
    </w:pPr>
    <w:rPr>
      <w:rFonts w:ascii="宋体"/>
      <w:sz w:val="24"/>
      <w:szCs w:val="21"/>
      <w:lang w:val="zh-CN"/>
    </w:rPr>
  </w:style>
  <w:style w:type="paragraph" w:styleId="38">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6"/>
    <w:autoRedefine/>
    <w:qFormat/>
    <w:uiPriority w:val="0"/>
    <w:rPr>
      <w:lang w:val="zh-CN"/>
    </w:rPr>
  </w:style>
  <w:style w:type="paragraph" w:styleId="40">
    <w:name w:val="Balloon Text"/>
    <w:basedOn w:val="1"/>
    <w:link w:val="196"/>
    <w:autoRedefine/>
    <w:qFormat/>
    <w:uiPriority w:val="0"/>
    <w:rPr>
      <w:sz w:val="18"/>
      <w:szCs w:val="18"/>
    </w:rPr>
  </w:style>
  <w:style w:type="paragraph" w:styleId="41">
    <w:name w:val="footer"/>
    <w:basedOn w:val="1"/>
    <w:link w:val="390"/>
    <w:autoRedefine/>
    <w:qFormat/>
    <w:uiPriority w:val="99"/>
    <w:pPr>
      <w:tabs>
        <w:tab w:val="center" w:pos="4153"/>
        <w:tab w:val="right" w:pos="8306"/>
      </w:tabs>
      <w:snapToGrid w:val="0"/>
      <w:jc w:val="left"/>
    </w:pPr>
    <w:rPr>
      <w:sz w:val="18"/>
      <w:szCs w:val="18"/>
    </w:rPr>
  </w:style>
  <w:style w:type="paragraph" w:styleId="42">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
    <w:link w:val="317"/>
    <w:autoRedefine/>
    <w:qFormat/>
    <w:uiPriority w:val="0"/>
    <w:pPr>
      <w:adjustRightInd/>
      <w:spacing w:before="60" w:after="60" w:line="300" w:lineRule="exact"/>
    </w:pPr>
    <w:rPr>
      <w:rFonts w:ascii="Calibri"/>
      <w:color w:val="0000FF"/>
      <w:kern w:val="0"/>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9"/>
    <w:autoRedefine/>
    <w:qFormat/>
    <w:uiPriority w:val="0"/>
    <w:pPr>
      <w:spacing w:after="120" w:line="480" w:lineRule="auto"/>
    </w:pPr>
  </w:style>
  <w:style w:type="paragraph" w:styleId="58">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4"/>
    <w:autoRedefine/>
    <w:qFormat/>
    <w:uiPriority w:val="0"/>
    <w:rPr>
      <w:b/>
      <w:bCs/>
    </w:rPr>
  </w:style>
  <w:style w:type="paragraph" w:styleId="62">
    <w:name w:val="Body Text First Indent"/>
    <w:basedOn w:val="25"/>
    <w:next w:val="1"/>
    <w:link w:val="328"/>
    <w:autoRedefine/>
    <w:qFormat/>
    <w:uiPriority w:val="0"/>
    <w:pPr>
      <w:ind w:firstLine="420"/>
    </w:pPr>
    <w:rPr>
      <w:rFonts w:hAnsi="Calibri" w:cs="Times New Roman"/>
      <w:snapToGrid/>
      <w:szCs w:val="20"/>
    </w:rPr>
  </w:style>
  <w:style w:type="paragraph" w:styleId="63">
    <w:name w:val="Body Text First Indent 2"/>
    <w:basedOn w:val="26"/>
    <w:next w:val="64"/>
    <w:link w:val="129"/>
    <w:autoRedefine/>
    <w:qFormat/>
    <w:uiPriority w:val="0"/>
    <w:pPr>
      <w:adjustRightInd/>
      <w:spacing w:after="120" w:line="240" w:lineRule="auto"/>
      <w:ind w:left="420" w:leftChars="200" w:firstLine="210"/>
    </w:pPr>
    <w:rPr>
      <w:sz w:val="21"/>
    </w:rPr>
  </w:style>
  <w:style w:type="paragraph" w:customStyle="1" w:styleId="64">
    <w:name w:val="xl53"/>
    <w:basedOn w:val="1"/>
    <w:next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BodyText1I2"/>
    <w:basedOn w:val="83"/>
    <w:autoRedefine/>
    <w:qFormat/>
    <w:uiPriority w:val="0"/>
    <w:pPr>
      <w:spacing w:line="360" w:lineRule="auto"/>
      <w:ind w:firstLine="200" w:firstLineChars="200"/>
      <w:textAlignment w:val="baseline"/>
    </w:pPr>
    <w:rPr>
      <w:rFonts w:eastAsia="仿宋"/>
      <w:sz w:val="28"/>
    </w:rPr>
  </w:style>
  <w:style w:type="paragraph" w:customStyle="1" w:styleId="83">
    <w:name w:val="BodyTextIndent"/>
    <w:basedOn w:val="1"/>
    <w:qFormat/>
    <w:uiPriority w:val="0"/>
    <w:pPr>
      <w:spacing w:after="120"/>
      <w:ind w:left="420" w:leftChars="200"/>
      <w:textAlignment w:val="baseline"/>
    </w:pPr>
    <w:rPr>
      <w:color w:val="000000"/>
    </w:rPr>
  </w:style>
  <w:style w:type="paragraph" w:customStyle="1" w:styleId="84">
    <w:name w:val="[Normal]"/>
    <w:basedOn w:val="1"/>
    <w:autoRedefine/>
    <w:qFormat/>
    <w:uiPriority w:val="0"/>
    <w:pPr>
      <w:widowControl/>
      <w:jc w:val="left"/>
    </w:pPr>
    <w:rPr>
      <w:rFonts w:ascii="宋体" w:hAnsi="宋体" w:cs="宋体"/>
      <w:kern w:val="0"/>
      <w:sz w:val="24"/>
    </w:rPr>
  </w:style>
  <w:style w:type="paragraph" w:customStyle="1" w:styleId="8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6">
    <w:name w:val="Normal Indent1"/>
    <w:basedOn w:val="1"/>
    <w:autoRedefine/>
    <w:qFormat/>
    <w:uiPriority w:val="7"/>
    <w:pPr>
      <w:ind w:firstLine="420"/>
    </w:pPr>
  </w:style>
  <w:style w:type="paragraph" w:customStyle="1" w:styleId="8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Default"/>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Char1"/>
    <w:link w:val="61"/>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Char"/>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2"/>
    <w:autoRedefine/>
    <w:qFormat/>
    <w:uiPriority w:val="0"/>
    <w:rPr>
      <w:rFonts w:ascii="Arial" w:hAnsi="Arial" w:eastAsia="黑体" w:cs="Arial"/>
      <w:snapToGrid w:val="0"/>
      <w:kern w:val="0"/>
      <w:szCs w:val="21"/>
    </w:rPr>
  </w:style>
  <w:style w:type="character" w:customStyle="1" w:styleId="13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Char"/>
    <w:link w:val="48"/>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Char"/>
    <w:link w:val="9"/>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7"/>
    <w:autoRedefine/>
    <w:qFormat/>
    <w:uiPriority w:val="0"/>
    <w:rPr>
      <w:rFonts w:ascii="宋体"/>
      <w:kern w:val="2"/>
      <w:sz w:val="24"/>
      <w:szCs w:val="21"/>
      <w:lang w:val="zh-CN"/>
    </w:rPr>
  </w:style>
  <w:style w:type="character" w:customStyle="1" w:styleId="190">
    <w:name w:val="标题 9 Char"/>
    <w:link w:val="12"/>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0"/>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Char"/>
    <w:link w:val="40"/>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Char1"/>
    <w:link w:val="20"/>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2"/>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Char"/>
    <w:link w:val="32"/>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5"/>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Char"/>
    <w:link w:val="18"/>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8"/>
    <w:autoRedefine/>
    <w:qFormat/>
    <w:uiPriority w:val="0"/>
    <w:rPr>
      <w:rFonts w:ascii="仿宋_GB2312" w:eastAsia="仿宋_GB2312" w:cs="仿宋_GB2312"/>
      <w:color w:val="000000"/>
      <w:sz w:val="24"/>
      <w:szCs w:val="24"/>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autoRedefine/>
    <w:semiHidden/>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autoRedefine/>
    <w:qFormat/>
    <w:locked/>
    <w:uiPriority w:val="0"/>
    <w:rPr>
      <w:rFonts w:ascii="宋体" w:hAnsi="宋体" w:eastAsia="宋体"/>
      <w:b/>
      <w:kern w:val="2"/>
      <w:sz w:val="24"/>
      <w:szCs w:val="24"/>
      <w:lang w:val="en-US" w:eastAsia="zh-CN" w:bidi="ar-SA"/>
    </w:rPr>
  </w:style>
  <w:style w:type="character" w:customStyle="1" w:styleId="250">
    <w:name w:val="ca-131"/>
    <w:autoRedefine/>
    <w:qFormat/>
    <w:uiPriority w:val="0"/>
    <w:rPr>
      <w:rFonts w:hint="eastAsia" w:ascii="仿宋_GB2312" w:eastAsia="仿宋_GB2312"/>
      <w:b/>
      <w:bCs/>
      <w:color w:val="000000"/>
      <w:spacing w:val="-20"/>
      <w:sz w:val="24"/>
      <w:szCs w:val="24"/>
    </w:rPr>
  </w:style>
  <w:style w:type="character" w:customStyle="1" w:styleId="251">
    <w:name w:val="tw4winMark"/>
    <w:autoRedefine/>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autoRedefine/>
    <w:qFormat/>
    <w:uiPriority w:val="0"/>
    <w:pPr>
      <w:adjustRightInd/>
      <w:spacing w:line="360" w:lineRule="auto"/>
      <w:ind w:firstLine="480" w:firstLineChars="200"/>
    </w:pPr>
    <w:rPr>
      <w:kern w:val="0"/>
      <w:sz w:val="24"/>
    </w:rPr>
  </w:style>
  <w:style w:type="character" w:customStyle="1" w:styleId="254">
    <w:name w:val="表正文 Char3"/>
    <w:autoRedefine/>
    <w:qFormat/>
    <w:uiPriority w:val="0"/>
    <w:rPr>
      <w:rFonts w:eastAsia="宋体"/>
    </w:rPr>
  </w:style>
  <w:style w:type="character" w:customStyle="1" w:styleId="255">
    <w:name w:val="H5 Char"/>
    <w:autoRedefine/>
    <w:qFormat/>
    <w:uiPriority w:val="0"/>
    <w:rPr>
      <w:b/>
      <w:bCs/>
      <w:kern w:val="2"/>
      <w:sz w:val="28"/>
      <w:szCs w:val="28"/>
    </w:rPr>
  </w:style>
  <w:style w:type="character" w:customStyle="1" w:styleId="256">
    <w:name w:val="Char Char3"/>
    <w:autoRedefine/>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autoRedefine/>
    <w:qFormat/>
    <w:uiPriority w:val="6"/>
    <w:rPr>
      <w:rFonts w:ascii="Arial" w:hAnsi="Arial" w:eastAsia="黑体" w:cs="Arial"/>
      <w:snapToGrid w:val="0"/>
      <w:kern w:val="0"/>
      <w:szCs w:val="21"/>
    </w:rPr>
  </w:style>
  <w:style w:type="character" w:customStyle="1" w:styleId="259">
    <w:name w:val="gf正文1 Char Char"/>
    <w:link w:val="260"/>
    <w:autoRedefine/>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265"/>
    <w:link w:val="26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Char3"/>
    <w:link w:val="26"/>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Char"/>
    <w:link w:val="2"/>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Char2"/>
    <w:link w:val="60"/>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Char"/>
    <w:link w:val="8"/>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Char"/>
    <w:link w:val="22"/>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Char"/>
    <w:link w:val="58"/>
    <w:autoRedefine/>
    <w:qFormat/>
    <w:uiPriority w:val="0"/>
    <w:rPr>
      <w:rFonts w:ascii="黑体" w:hAnsi="Courier New" w:eastAsia="黑体"/>
    </w:rPr>
  </w:style>
  <w:style w:type="character" w:customStyle="1" w:styleId="309">
    <w:name w:val="正文文本 2 Char1"/>
    <w:link w:val="57"/>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5"/>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Char"/>
    <w:link w:val="10"/>
    <w:autoRedefine/>
    <w:qFormat/>
    <w:uiPriority w:val="0"/>
    <w:rPr>
      <w:b/>
      <w:bCs/>
      <w:kern w:val="2"/>
      <w:sz w:val="24"/>
      <w:szCs w:val="24"/>
    </w:rPr>
  </w:style>
  <w:style w:type="character" w:customStyle="1" w:styleId="315">
    <w:name w:val="正文文本缩进 2 Char"/>
    <w:link w:val="38"/>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Char"/>
    <w:link w:val="51"/>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basedOn w:val="72"/>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首行缩进 Char"/>
    <w:link w:val="62"/>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Char2"/>
    <w:link w:val="5"/>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Char"/>
    <w:link w:val="23"/>
    <w:autoRedefine/>
    <w:qFormat/>
    <w:uiPriority w:val="0"/>
    <w:rPr>
      <w:kern w:val="2"/>
      <w:sz w:val="21"/>
    </w:rPr>
  </w:style>
  <w:style w:type="character" w:customStyle="1" w:styleId="338">
    <w:name w:val="font31"/>
    <w:basedOn w:val="72"/>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Char1"/>
    <w:link w:val="21"/>
    <w:autoRedefine/>
    <w:qFormat/>
    <w:uiPriority w:val="0"/>
    <w:rPr>
      <w:kern w:val="2"/>
      <w:sz w:val="21"/>
      <w:szCs w:val="24"/>
    </w:rPr>
  </w:style>
  <w:style w:type="character" w:customStyle="1" w:styleId="352">
    <w:name w:val="签名 Char"/>
    <w:link w:val="43"/>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1"/>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autoRedefine/>
    <w:qFormat/>
    <w:uiPriority w:val="0"/>
    <w:rPr>
      <w:sz w:val="24"/>
      <w:szCs w:val="24"/>
      <w:lang w:val="en-US" w:eastAsia="zh-CN" w:bidi="ar-SA"/>
    </w:rPr>
  </w:style>
  <w:style w:type="character" w:customStyle="1" w:styleId="370">
    <w:name w:val="正文文本 Char"/>
    <w:autoRedefine/>
    <w:qFormat/>
    <w:uiPriority w:val="0"/>
    <w:rPr>
      <w:rFonts w:eastAsia="宋体"/>
      <w:kern w:val="2"/>
      <w:sz w:val="24"/>
      <w:szCs w:val="24"/>
      <w:lang w:val="en-US" w:eastAsia="zh-CN" w:bidi="ar-SA"/>
    </w:rPr>
  </w:style>
  <w:style w:type="character" w:customStyle="1" w:styleId="371">
    <w:name w:val="文档结构图 字符1"/>
    <w:autoRedefine/>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autoRedefine/>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autoRedefine/>
    <w:qFormat/>
    <w:uiPriority w:val="0"/>
    <w:rPr>
      <w:rFonts w:ascii="宋体" w:eastAsia="仿宋_GB2312" w:cs="宋体"/>
      <w:color w:val="000000"/>
      <w:sz w:val="24"/>
      <w:lang w:val="en-US" w:eastAsia="zh-CN" w:bidi="ar-SA"/>
    </w:rPr>
  </w:style>
  <w:style w:type="character" w:customStyle="1" w:styleId="376">
    <w:name w:val="Char Char212"/>
    <w:autoRedefine/>
    <w:qFormat/>
    <w:uiPriority w:val="0"/>
    <w:rPr>
      <w:rFonts w:eastAsia="宋体"/>
      <w:b/>
      <w:bCs/>
      <w:kern w:val="2"/>
      <w:sz w:val="21"/>
      <w:szCs w:val="24"/>
      <w:lang w:val="en-US" w:eastAsia="zh-CN" w:bidi="ar-SA"/>
    </w:rPr>
  </w:style>
  <w:style w:type="character" w:customStyle="1" w:styleId="377">
    <w:name w:val="文档结构图 Char"/>
    <w:autoRedefine/>
    <w:qFormat/>
    <w:uiPriority w:val="0"/>
    <w:rPr>
      <w:rFonts w:eastAsia="宋体"/>
      <w:kern w:val="2"/>
      <w:sz w:val="21"/>
      <w:szCs w:val="24"/>
      <w:lang w:val="en-US" w:eastAsia="zh-CN" w:bidi="ar-SA"/>
    </w:rPr>
  </w:style>
  <w:style w:type="character" w:customStyle="1" w:styleId="378">
    <w:name w:val="zbggmain style9"/>
    <w:autoRedefine/>
    <w:qFormat/>
    <w:uiPriority w:val="0"/>
  </w:style>
  <w:style w:type="character" w:customStyle="1" w:styleId="379">
    <w:name w:val="Char Char16"/>
    <w:autoRedefine/>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autoRedefine/>
    <w:qFormat/>
    <w:uiPriority w:val="0"/>
    <w:rPr>
      <w:rFonts w:eastAsia="宋体"/>
      <w:b/>
      <w:sz w:val="24"/>
      <w:lang w:val="en-GB" w:eastAsia="zh-CN"/>
    </w:rPr>
  </w:style>
  <w:style w:type="character" w:customStyle="1" w:styleId="382">
    <w:name w:val="正文文本缩进 3 Char"/>
    <w:link w:val="54"/>
    <w:autoRedefine/>
    <w:qFormat/>
    <w:uiPriority w:val="0"/>
    <w:rPr>
      <w:kern w:val="2"/>
      <w:sz w:val="24"/>
    </w:rPr>
  </w:style>
  <w:style w:type="character" w:customStyle="1" w:styleId="383">
    <w:name w:val="日期 Char1"/>
    <w:autoRedefine/>
    <w:semiHidden/>
    <w:qFormat/>
    <w:uiPriority w:val="99"/>
    <w:rPr>
      <w:rFonts w:ascii="Times New Roman" w:hAnsi="Times New Roman" w:eastAsia="宋体" w:cs="Times New Roman"/>
      <w:szCs w:val="24"/>
    </w:rPr>
  </w:style>
  <w:style w:type="character" w:customStyle="1" w:styleId="384">
    <w:name w:val="页眉 字符"/>
    <w:autoRedefine/>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autoRedefine/>
    <w:qFormat/>
    <w:uiPriority w:val="0"/>
    <w:rPr>
      <w:rFonts w:ascii="Verdana" w:hAnsi="Verdana"/>
      <w:b/>
      <w:bCs/>
      <w:color w:val="4A82CA"/>
      <w:sz w:val="17"/>
      <w:szCs w:val="17"/>
    </w:rPr>
  </w:style>
  <w:style w:type="paragraph" w:customStyle="1" w:styleId="387">
    <w:name w:val="b11_01b"/>
    <w:basedOn w:val="1"/>
    <w:next w:val="1"/>
    <w:link w:val="3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autoRedefine/>
    <w:qFormat/>
    <w:uiPriority w:val="6"/>
    <w:rPr>
      <w:rFonts w:ascii="仿宋_GB2312" w:eastAsia="仿宋_GB2312"/>
      <w:b/>
      <w:bCs/>
      <w:kern w:val="2"/>
      <w:sz w:val="24"/>
      <w:szCs w:val="24"/>
      <w:lang w:val="zh-CN" w:eastAsia="zh-CN" w:bidi="ar-SA"/>
    </w:rPr>
  </w:style>
  <w:style w:type="character" w:customStyle="1" w:styleId="389">
    <w:name w:val="Footer-Even Char"/>
    <w:autoRedefine/>
    <w:qFormat/>
    <w:uiPriority w:val="0"/>
    <w:rPr>
      <w:rFonts w:eastAsia="宋体"/>
      <w:kern w:val="2"/>
      <w:sz w:val="18"/>
      <w:lang w:val="en-US" w:eastAsia="zh-CN" w:bidi="ar-SA"/>
    </w:rPr>
  </w:style>
  <w:style w:type="character" w:customStyle="1" w:styleId="390">
    <w:name w:val="页脚 Char2"/>
    <w:link w:val="41"/>
    <w:autoRedefine/>
    <w:qFormat/>
    <w:locked/>
    <w:uiPriority w:val="99"/>
    <w:rPr>
      <w:kern w:val="2"/>
      <w:sz w:val="18"/>
      <w:szCs w:val="18"/>
    </w:rPr>
  </w:style>
  <w:style w:type="character" w:customStyle="1" w:styleId="3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autoRedefine/>
    <w:qFormat/>
    <w:uiPriority w:val="0"/>
    <w:rPr>
      <w:rFonts w:ascii="宋体" w:hAnsi="宋体"/>
      <w:sz w:val="24"/>
    </w:rPr>
  </w:style>
  <w:style w:type="paragraph" w:customStyle="1" w:styleId="396">
    <w:name w:val="段落"/>
    <w:basedOn w:val="1"/>
    <w:link w:val="395"/>
    <w:autoRedefine/>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autoRedefine/>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Char2"/>
    <w:link w:val="42"/>
    <w:autoRedefine/>
    <w:qFormat/>
    <w:uiPriority w:val="99"/>
    <w:rPr>
      <w:kern w:val="2"/>
      <w:sz w:val="18"/>
      <w:szCs w:val="18"/>
    </w:rPr>
  </w:style>
  <w:style w:type="character" w:customStyle="1" w:styleId="400">
    <w:name w:val="Char Char9"/>
    <w:autoRedefine/>
    <w:qFormat/>
    <w:uiPriority w:val="0"/>
    <w:rPr>
      <w:rFonts w:eastAsia="宋体"/>
      <w:kern w:val="2"/>
      <w:sz w:val="18"/>
      <w:szCs w:val="18"/>
      <w:lang w:val="en-US" w:eastAsia="zh-CN" w:bidi="ar-SA"/>
    </w:rPr>
  </w:style>
  <w:style w:type="character" w:customStyle="1" w:styleId="401">
    <w:name w:val="Char Char41"/>
    <w:autoRedefine/>
    <w:qFormat/>
    <w:uiPriority w:val="0"/>
    <w:rPr>
      <w:rFonts w:eastAsia="宋体"/>
      <w:b/>
      <w:sz w:val="24"/>
      <w:lang w:val="en-GB" w:eastAsia="zh-CN" w:bidi="ar-SA"/>
    </w:rPr>
  </w:style>
  <w:style w:type="character" w:customStyle="1" w:styleId="402">
    <w:name w:val="large1"/>
    <w:autoRedefine/>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autoRedefine/>
    <w:qFormat/>
    <w:uiPriority w:val="6"/>
    <w:rPr>
      <w:rFonts w:ascii="宋体" w:hAnsi="宋体"/>
      <w:kern w:val="1"/>
      <w:sz w:val="21"/>
      <w:szCs w:val="24"/>
    </w:rPr>
  </w:style>
  <w:style w:type="character" w:customStyle="1" w:styleId="4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autoRedefine/>
    <w:qFormat/>
    <w:uiPriority w:val="0"/>
    <w:rPr>
      <w:rFonts w:ascii="宋体" w:hAnsi="宋体"/>
      <w:kern w:val="2"/>
      <w:sz w:val="24"/>
      <w:szCs w:val="22"/>
    </w:rPr>
  </w:style>
  <w:style w:type="paragraph" w:customStyle="1" w:styleId="408">
    <w:name w:val="冯广丽"/>
    <w:basedOn w:val="1"/>
    <w:link w:val="407"/>
    <w:autoRedefine/>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autoRedefine/>
    <w:qFormat/>
    <w:uiPriority w:val="0"/>
    <w:rPr>
      <w:rFonts w:eastAsia="宋体"/>
      <w:b/>
      <w:kern w:val="2"/>
      <w:sz w:val="32"/>
      <w:lang w:val="en-US" w:eastAsia="zh-CN"/>
    </w:rPr>
  </w:style>
  <w:style w:type="character" w:customStyle="1" w:styleId="411">
    <w:name w:val="javascript"/>
    <w:autoRedefine/>
    <w:qFormat/>
    <w:uiPriority w:val="0"/>
  </w:style>
  <w:style w:type="character" w:customStyle="1" w:styleId="412">
    <w:name w:val="图名 Char"/>
    <w:autoRedefine/>
    <w:qFormat/>
    <w:uiPriority w:val="0"/>
    <w:rPr>
      <w:rFonts w:ascii="Arial" w:hAnsi="Arial" w:eastAsia="黑体"/>
      <w:kern w:val="2"/>
      <w:sz w:val="24"/>
      <w:szCs w:val="24"/>
      <w:lang w:val="en-US" w:eastAsia="zh-CN" w:bidi="ar-SA"/>
    </w:rPr>
  </w:style>
  <w:style w:type="character" w:customStyle="1" w:styleId="413">
    <w:name w:val="Used by Word for text of Help footnotes Char Char"/>
    <w:autoRedefine/>
    <w:qFormat/>
    <w:uiPriority w:val="0"/>
    <w:rPr>
      <w:rFonts w:ascii="Times New Roman" w:hAnsi="Times New Roman" w:eastAsia="宋体" w:cs="Times New Roman"/>
      <w:sz w:val="20"/>
      <w:szCs w:val="20"/>
    </w:rPr>
  </w:style>
  <w:style w:type="character" w:customStyle="1" w:styleId="414">
    <w:name w:val="编号，小四 Char"/>
    <w:link w:val="415"/>
    <w:autoRedefine/>
    <w:qFormat/>
    <w:uiPriority w:val="0"/>
    <w:rPr>
      <w:rFonts w:ascii="Arial" w:hAnsi="Arial"/>
      <w:sz w:val="24"/>
    </w:rPr>
  </w:style>
  <w:style w:type="paragraph" w:customStyle="1" w:styleId="415">
    <w:name w:val="编号，小四"/>
    <w:basedOn w:val="1"/>
    <w:link w:val="41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autoRedefine/>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autoRedefine/>
    <w:qFormat/>
    <w:uiPriority w:val="0"/>
    <w:rPr>
      <w:rFonts w:hint="default" w:ascii="ˎ̥" w:hAnsi="ˎ̥"/>
      <w:color w:val="000000"/>
      <w:sz w:val="20"/>
      <w:szCs w:val="20"/>
      <w:u w:val="none"/>
    </w:rPr>
  </w:style>
  <w:style w:type="character" w:customStyle="1" w:styleId="420">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autoRedefine/>
    <w:qFormat/>
    <w:uiPriority w:val="0"/>
    <w:rPr>
      <w:rFonts w:ascii="仿宋_GB2312" w:eastAsia="仿宋_GB2312"/>
      <w:kern w:val="2"/>
      <w:sz w:val="24"/>
      <w:lang w:val="en-US" w:eastAsia="zh-CN" w:bidi="ar-SA"/>
    </w:rPr>
  </w:style>
  <w:style w:type="paragraph" w:customStyle="1" w:styleId="423">
    <w:name w:val="仿宋正文"/>
    <w:basedOn w:val="1"/>
    <w:link w:val="422"/>
    <w:autoRedefine/>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autoRedefine/>
    <w:qFormat/>
    <w:uiPriority w:val="0"/>
    <w:rPr>
      <w:rFonts w:ascii="宋体" w:eastAsia="宋体"/>
      <w:kern w:val="2"/>
      <w:sz w:val="24"/>
      <w:lang w:val="zh-CN" w:bidi="ar-SA"/>
    </w:rPr>
  </w:style>
  <w:style w:type="character" w:customStyle="1" w:styleId="425">
    <w:name w:val="样式 宋体"/>
    <w:autoRedefine/>
    <w:qFormat/>
    <w:uiPriority w:val="0"/>
    <w:rPr>
      <w:rFonts w:ascii="宋体" w:hAnsi="宋体"/>
      <w:sz w:val="24"/>
    </w:rPr>
  </w:style>
  <w:style w:type="character" w:customStyle="1" w:styleId="426">
    <w:name w:val="tw4winJump"/>
    <w:autoRedefine/>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2"/>
    <w:autoRedefine/>
    <w:qFormat/>
    <w:uiPriority w:val="0"/>
    <w:rPr>
      <w:rFonts w:ascii="Arial" w:hAnsi="Arial" w:eastAsia="黑体" w:cs="Arial"/>
      <w:snapToGrid w:val="0"/>
      <w:kern w:val="0"/>
      <w:szCs w:val="21"/>
    </w:rPr>
  </w:style>
  <w:style w:type="character" w:customStyle="1" w:styleId="429">
    <w:name w:val="pt9"/>
    <w:autoRedefine/>
    <w:qFormat/>
    <w:uiPriority w:val="0"/>
    <w:rPr>
      <w:rFonts w:ascii="仿宋_GB2312" w:eastAsia="微软雅黑"/>
      <w:b/>
      <w:kern w:val="2"/>
      <w:sz w:val="32"/>
      <w:szCs w:val="32"/>
      <w:lang w:val="en-US" w:eastAsia="zh-CN" w:bidi="ar-SA"/>
    </w:rPr>
  </w:style>
  <w:style w:type="character" w:customStyle="1" w:styleId="430">
    <w:name w:val="DO_NOT_TRANSLATE"/>
    <w:autoRedefine/>
    <w:qFormat/>
    <w:uiPriority w:val="0"/>
    <w:rPr>
      <w:rFonts w:ascii="Courier New" w:hAnsi="Courier New" w:cs="Courier New"/>
      <w:color w:val="800000"/>
      <w:lang w:val="en-US" w:eastAsia="zh-CN"/>
    </w:rPr>
  </w:style>
  <w:style w:type="character" w:customStyle="1" w:styleId="431">
    <w:name w:val="标书1 Char1"/>
    <w:autoRedefine/>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7"/>
    <w:link w:val="43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8">
    <w:name w:val="gray6"/>
    <w:basedOn w:val="72"/>
    <w:autoRedefine/>
    <w:qFormat/>
    <w:uiPriority w:val="0"/>
    <w:rPr>
      <w:rFonts w:ascii="Arial" w:hAnsi="Arial" w:eastAsia="黑体" w:cs="Arial"/>
      <w:snapToGrid w:val="0"/>
      <w:kern w:val="0"/>
      <w:szCs w:val="21"/>
    </w:rPr>
  </w:style>
  <w:style w:type="character" w:customStyle="1" w:styleId="439">
    <w:name w:val="hui"/>
    <w:basedOn w:val="72"/>
    <w:autoRedefine/>
    <w:qFormat/>
    <w:uiPriority w:val="0"/>
    <w:rPr>
      <w:rFonts w:ascii="Arial" w:hAnsi="Arial" w:eastAsia="黑体" w:cs="Arial"/>
      <w:snapToGrid w:val="0"/>
      <w:kern w:val="0"/>
      <w:szCs w:val="21"/>
    </w:rPr>
  </w:style>
  <w:style w:type="character" w:customStyle="1" w:styleId="440">
    <w:name w:val="哈哈正文 Char Char"/>
    <w:autoRedefine/>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autoRedefine/>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autoRedefine/>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autoRedefine/>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autoRedefine/>
    <w:qFormat/>
    <w:uiPriority w:val="0"/>
    <w:pPr>
      <w:tabs>
        <w:tab w:val="left" w:pos="2790"/>
        <w:tab w:val="left" w:pos="4230"/>
      </w:tabs>
      <w:spacing w:beforeLines="100"/>
      <w:jc w:val="left"/>
    </w:pPr>
  </w:style>
  <w:style w:type="paragraph" w:customStyle="1" w:styleId="46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autoRedefine/>
    <w:qFormat/>
    <w:uiPriority w:val="0"/>
    <w:pPr>
      <w:adjustRightInd/>
      <w:spacing w:before="156" w:line="360" w:lineRule="auto"/>
      <w:ind w:firstLine="510" w:firstLineChars="200"/>
    </w:pPr>
    <w:rPr>
      <w:sz w:val="24"/>
      <w:szCs w:val="20"/>
    </w:rPr>
  </w:style>
  <w:style w:type="paragraph" w:customStyle="1" w:styleId="47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autoRedefine/>
    <w:qFormat/>
    <w:uiPriority w:val="0"/>
    <w:rPr>
      <w:rFonts w:ascii="仿宋_GB2312" w:eastAsia="仿宋_GB2312"/>
      <w:b/>
      <w:sz w:val="32"/>
      <w:szCs w:val="32"/>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autoRedefine/>
    <w:qFormat/>
    <w:uiPriority w:val="0"/>
    <w:pPr>
      <w:keepNext/>
      <w:tabs>
        <w:tab w:val="left" w:pos="360"/>
      </w:tabs>
      <w:outlineLvl w:val="5"/>
    </w:pPr>
  </w:style>
  <w:style w:type="paragraph" w:customStyle="1" w:styleId="481">
    <w:name w:val="5级标题"/>
    <w:basedOn w:val="48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26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4">
    <w:name w:val="Char2 Char Char"/>
    <w:basedOn w:val="1"/>
    <w:autoRedefine/>
    <w:qFormat/>
    <w:uiPriority w:val="0"/>
    <w:pPr>
      <w:adjustRightInd/>
    </w:pPr>
    <w:rPr>
      <w:rFonts w:ascii="Tahoma" w:hAnsi="Tahoma"/>
      <w:sz w:val="24"/>
      <w:szCs w:val="20"/>
    </w:rPr>
  </w:style>
  <w:style w:type="paragraph" w:customStyle="1" w:styleId="485">
    <w:name w:val="_Style 11"/>
    <w:basedOn w:val="1"/>
    <w:autoRedefine/>
    <w:qFormat/>
    <w:uiPriority w:val="34"/>
    <w:pPr>
      <w:adjustRightInd/>
      <w:ind w:firstLine="420" w:firstLineChars="200"/>
    </w:pPr>
    <w:rPr>
      <w:rFonts w:eastAsia="仿宋_GB2312"/>
      <w:sz w:val="28"/>
    </w:rPr>
  </w:style>
  <w:style w:type="paragraph" w:customStyle="1" w:styleId="48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autoRedefine/>
    <w:qFormat/>
    <w:uiPriority w:val="0"/>
    <w:rPr>
      <w:rFonts w:ascii="Tahoma" w:hAnsi="Tahoma"/>
      <w:sz w:val="24"/>
      <w:szCs w:val="20"/>
    </w:rPr>
  </w:style>
  <w:style w:type="paragraph" w:customStyle="1" w:styleId="488">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7"/>
    <w:autoRedefine/>
    <w:qFormat/>
    <w:uiPriority w:val="99"/>
    <w:rPr>
      <w:szCs w:val="22"/>
    </w:rPr>
  </w:style>
  <w:style w:type="paragraph" w:customStyle="1" w:styleId="49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autoRedefine/>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autoRedefine/>
    <w:qFormat/>
    <w:uiPriority w:val="0"/>
    <w:rPr>
      <w:rFonts w:ascii="仿宋_GB2312" w:eastAsia="仿宋_GB2312"/>
      <w:b/>
      <w:sz w:val="32"/>
      <w:szCs w:val="32"/>
    </w:rPr>
  </w:style>
  <w:style w:type="paragraph" w:customStyle="1" w:styleId="49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autoRedefine/>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autoRedefine/>
    <w:qFormat/>
    <w:uiPriority w:val="0"/>
    <w:rPr>
      <w:rFonts w:ascii="仿宋_GB2312" w:eastAsia="仿宋_GB2312"/>
      <w:b/>
      <w:sz w:val="32"/>
      <w:szCs w:val="32"/>
    </w:rPr>
  </w:style>
  <w:style w:type="paragraph" w:customStyle="1" w:styleId="503">
    <w:name w:val="数字标题3"/>
    <w:basedOn w:val="4"/>
    <w:next w:val="1"/>
    <w:autoRedefine/>
    <w:qFormat/>
    <w:uiPriority w:val="0"/>
    <w:pPr>
      <w:spacing w:line="240" w:lineRule="auto"/>
    </w:pPr>
    <w:rPr>
      <w:sz w:val="28"/>
      <w:szCs w:val="28"/>
    </w:rPr>
  </w:style>
  <w:style w:type="paragraph" w:customStyle="1" w:styleId="504">
    <w:name w:val="FA正文"/>
    <w:basedOn w:val="1"/>
    <w:autoRedefine/>
    <w:qFormat/>
    <w:uiPriority w:val="0"/>
    <w:pPr>
      <w:spacing w:line="360" w:lineRule="auto"/>
      <w:ind w:firstLine="480" w:firstLineChars="200"/>
    </w:pPr>
    <w:rPr>
      <w:rFonts w:hAnsi="宋体"/>
      <w:sz w:val="24"/>
      <w:szCs w:val="20"/>
    </w:rPr>
  </w:style>
  <w:style w:type="paragraph" w:customStyle="1" w:styleId="505">
    <w:name w:val="MM Topic 5"/>
    <w:basedOn w:val="8"/>
    <w:autoRedefine/>
    <w:qFormat/>
    <w:uiPriority w:val="0"/>
    <w:pPr>
      <w:tabs>
        <w:tab w:val="left" w:pos="2520"/>
      </w:tabs>
      <w:adjustRightInd/>
      <w:ind w:left="2520" w:hanging="420"/>
    </w:pPr>
  </w:style>
  <w:style w:type="paragraph" w:customStyle="1" w:styleId="506">
    <w:name w:val="Char Char Char Char Char Char Char Char Char Char1"/>
    <w:basedOn w:val="1"/>
    <w:autoRedefine/>
    <w:qFormat/>
    <w:uiPriority w:val="0"/>
    <w:rPr>
      <w:rFonts w:ascii="仿宋_GB2312" w:eastAsia="仿宋_GB2312"/>
      <w:b/>
      <w:sz w:val="32"/>
      <w:szCs w:val="32"/>
    </w:rPr>
  </w:style>
  <w:style w:type="paragraph" w:customStyle="1" w:styleId="50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autoRedefine/>
    <w:qFormat/>
    <w:uiPriority w:val="0"/>
    <w:pPr>
      <w:tabs>
        <w:tab w:val="left" w:pos="1680"/>
      </w:tabs>
      <w:adjustRightInd/>
      <w:ind w:left="1680" w:hanging="420"/>
    </w:pPr>
  </w:style>
  <w:style w:type="paragraph" w:customStyle="1" w:styleId="515">
    <w:name w:val="标准小四"/>
    <w:basedOn w:val="1"/>
    <w:autoRedefine/>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autoRedefine/>
    <w:qFormat/>
    <w:uiPriority w:val="0"/>
    <w:pPr>
      <w:adjustRightInd/>
      <w:snapToGrid w:val="0"/>
      <w:spacing w:line="300" w:lineRule="auto"/>
    </w:pPr>
    <w:rPr>
      <w:rFonts w:eastAsia="仿宋"/>
      <w:szCs w:val="21"/>
    </w:rPr>
  </w:style>
  <w:style w:type="paragraph" w:customStyle="1" w:styleId="51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autoRedefine/>
    <w:qFormat/>
    <w:uiPriority w:val="6"/>
    <w:pPr>
      <w:adjustRightInd/>
    </w:pPr>
    <w:rPr>
      <w:rFonts w:ascii="Tahoma" w:hAnsi="Tahoma"/>
      <w:sz w:val="24"/>
      <w:szCs w:val="20"/>
    </w:rPr>
  </w:style>
  <w:style w:type="paragraph" w:customStyle="1" w:styleId="52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523"/>
    <w:next w:val="25"/>
    <w:autoRedefine/>
    <w:qFormat/>
    <w:uiPriority w:val="0"/>
    <w:pPr>
      <w:adjustRightInd/>
      <w:ind w:firstLine="200" w:firstLineChars="200"/>
    </w:pPr>
    <w:rPr>
      <w:rFonts w:ascii="Arial" w:hAnsi="Arial"/>
      <w:spacing w:val="-5"/>
      <w:kern w:val="0"/>
      <w:sz w:val="24"/>
      <w:szCs w:val="20"/>
    </w:rPr>
  </w:style>
  <w:style w:type="paragraph" w:customStyle="1" w:styleId="523">
    <w:name w:val="表格"/>
    <w:basedOn w:val="1"/>
    <w:autoRedefine/>
    <w:qFormat/>
    <w:uiPriority w:val="0"/>
    <w:pPr>
      <w:snapToGrid w:val="0"/>
      <w:ind w:firstLine="42" w:firstLineChars="21"/>
    </w:pPr>
    <w:rPr>
      <w:rFonts w:ascii="宋体" w:hAnsi="宋体"/>
      <w:kern w:val="0"/>
      <w:sz w:val="20"/>
      <w:szCs w:val="20"/>
    </w:rPr>
  </w:style>
  <w:style w:type="paragraph" w:customStyle="1" w:styleId="52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_Style 3"/>
    <w:basedOn w:val="1"/>
    <w:autoRedefine/>
    <w:qFormat/>
    <w:uiPriority w:val="0"/>
    <w:pPr>
      <w:adjustRightInd/>
      <w:ind w:firstLine="420" w:firstLineChars="200"/>
    </w:pPr>
    <w:rPr>
      <w:rFonts w:eastAsia="仿宋_GB2312"/>
      <w:sz w:val="28"/>
    </w:rPr>
  </w:style>
  <w:style w:type="paragraph" w:customStyle="1" w:styleId="53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autoRedefine/>
    <w:qFormat/>
    <w:uiPriority w:val="0"/>
    <w:pPr>
      <w:adjustRightInd/>
      <w:ind w:firstLine="200" w:firstLineChars="200"/>
      <w:jc w:val="right"/>
    </w:pPr>
  </w:style>
  <w:style w:type="paragraph" w:customStyle="1" w:styleId="533">
    <w:name w:val="Char Char11 Char Char Char Char Char Char Char Char Char"/>
    <w:basedOn w:val="1"/>
    <w:autoRedefine/>
    <w:qFormat/>
    <w:uiPriority w:val="0"/>
    <w:pPr>
      <w:spacing w:line="360" w:lineRule="auto"/>
    </w:pPr>
    <w:rPr>
      <w:szCs w:val="20"/>
    </w:rPr>
  </w:style>
  <w:style w:type="paragraph" w:customStyle="1" w:styleId="534">
    <w:name w:val="正文1.25"/>
    <w:basedOn w:val="1"/>
    <w:autoRedefine/>
    <w:qFormat/>
    <w:uiPriority w:val="0"/>
    <w:pPr>
      <w:adjustRightInd/>
      <w:spacing w:line="300" w:lineRule="auto"/>
      <w:ind w:firstLine="480" w:firstLineChars="200"/>
    </w:pPr>
    <w:rPr>
      <w:sz w:val="24"/>
      <w:szCs w:val="20"/>
    </w:rPr>
  </w:style>
  <w:style w:type="paragraph" w:customStyle="1" w:styleId="53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autoRedefine/>
    <w:qFormat/>
    <w:uiPriority w:val="6"/>
    <w:rPr>
      <w:rFonts w:ascii="仿宋_GB2312" w:eastAsia="仿宋_GB2312"/>
      <w:b/>
      <w:sz w:val="32"/>
      <w:szCs w:val="20"/>
    </w:rPr>
  </w:style>
  <w:style w:type="paragraph" w:customStyle="1" w:styleId="539">
    <w:name w:val="列出段落2"/>
    <w:basedOn w:val="1"/>
    <w:autoRedefine/>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autoRedefine/>
    <w:qFormat/>
    <w:uiPriority w:val="0"/>
    <w:rPr>
      <w:rFonts w:eastAsia="仿宋_GB2312"/>
      <w:sz w:val="28"/>
      <w:szCs w:val="20"/>
    </w:rPr>
  </w:style>
  <w:style w:type="paragraph" w:customStyle="1" w:styleId="54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5"/>
    <w:autoRedefine/>
    <w:qFormat/>
    <w:uiPriority w:val="0"/>
    <w:pPr>
      <w:widowControl/>
      <w:jc w:val="left"/>
    </w:pPr>
    <w:rPr>
      <w:rFonts w:cs="宋体"/>
      <w:sz w:val="24"/>
      <w:szCs w:val="20"/>
    </w:rPr>
  </w:style>
  <w:style w:type="paragraph" w:customStyle="1" w:styleId="543">
    <w:name w:val="彩色列表 - 强调文字颜色 11"/>
    <w:basedOn w:val="1"/>
    <w:autoRedefine/>
    <w:qFormat/>
    <w:uiPriority w:val="0"/>
    <w:pPr>
      <w:adjustRightInd/>
      <w:ind w:firstLine="420" w:firstLineChars="200"/>
    </w:pPr>
    <w:rPr>
      <w:rFonts w:ascii="Calibri" w:hAnsi="Calibri"/>
      <w:szCs w:val="22"/>
    </w:rPr>
  </w:style>
  <w:style w:type="paragraph" w:customStyle="1" w:styleId="54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autoRedefine/>
    <w:qFormat/>
    <w:uiPriority w:val="6"/>
    <w:rPr>
      <w:szCs w:val="20"/>
    </w:rPr>
  </w:style>
  <w:style w:type="paragraph" w:customStyle="1" w:styleId="54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88"/>
    <w:next w:val="88"/>
    <w:autoRedefine/>
    <w:qFormat/>
    <w:uiPriority w:val="0"/>
    <w:pPr>
      <w:spacing w:after="68"/>
    </w:pPr>
    <w:rPr>
      <w:rFonts w:ascii="FHLHE E+ Futura Bk" w:eastAsia="FHLHE E+ Futura Bk" w:cs="Times New Roman"/>
      <w:color w:val="auto"/>
    </w:rPr>
  </w:style>
  <w:style w:type="paragraph" w:customStyle="1" w:styleId="55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88"/>
    <w:next w:val="88"/>
    <w:autoRedefine/>
    <w:qFormat/>
    <w:uiPriority w:val="0"/>
    <w:rPr>
      <w:rFonts w:ascii="宋体" w:eastAsia="宋体" w:cs="Times New Roman"/>
      <w:color w:val="auto"/>
    </w:rPr>
  </w:style>
  <w:style w:type="paragraph" w:customStyle="1" w:styleId="55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autoRedefine/>
    <w:qFormat/>
    <w:uiPriority w:val="0"/>
    <w:rPr>
      <w:rFonts w:ascii="仿宋_GB2312" w:eastAsia="仿宋_GB2312"/>
      <w:b/>
      <w:sz w:val="32"/>
      <w:szCs w:val="32"/>
    </w:rPr>
  </w:style>
  <w:style w:type="paragraph" w:customStyle="1" w:styleId="56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autoRedefine/>
    <w:qFormat/>
    <w:uiPriority w:val="0"/>
    <w:pPr>
      <w:spacing w:line="360" w:lineRule="auto"/>
    </w:pPr>
    <w:rPr>
      <w:szCs w:val="20"/>
    </w:rPr>
  </w:style>
  <w:style w:type="paragraph" w:customStyle="1" w:styleId="563">
    <w:name w:val="Char"/>
    <w:basedOn w:val="1"/>
    <w:autoRedefine/>
    <w:qFormat/>
    <w:uiPriority w:val="0"/>
    <w:rPr>
      <w:rFonts w:ascii="仿宋_GB2312" w:eastAsia="仿宋_GB2312"/>
      <w:b/>
      <w:sz w:val="32"/>
      <w:szCs w:val="32"/>
    </w:rPr>
  </w:style>
  <w:style w:type="paragraph" w:customStyle="1" w:styleId="56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autoRedefine/>
    <w:qFormat/>
    <w:uiPriority w:val="0"/>
    <w:rPr>
      <w:szCs w:val="20"/>
    </w:rPr>
  </w:style>
  <w:style w:type="paragraph" w:customStyle="1" w:styleId="56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7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autoRedefine/>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autoRedefine/>
    <w:qFormat/>
    <w:uiPriority w:val="0"/>
    <w:rPr>
      <w:szCs w:val="20"/>
    </w:rPr>
  </w:style>
  <w:style w:type="paragraph" w:customStyle="1" w:styleId="59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autoRedefine/>
    <w:qFormat/>
    <w:uiPriority w:val="0"/>
    <w:rPr>
      <w:rFonts w:ascii="Tahoma" w:hAnsi="Tahoma"/>
      <w:sz w:val="24"/>
      <w:szCs w:val="20"/>
    </w:rPr>
  </w:style>
  <w:style w:type="paragraph" w:customStyle="1" w:styleId="592">
    <w:name w:val="标题五"/>
    <w:basedOn w:val="1"/>
    <w:autoRedefine/>
    <w:qFormat/>
    <w:uiPriority w:val="0"/>
    <w:pPr>
      <w:adjustRightInd/>
      <w:spacing w:beforeLines="50" w:line="360" w:lineRule="auto"/>
    </w:pPr>
    <w:rPr>
      <w:b/>
      <w:sz w:val="24"/>
    </w:rPr>
  </w:style>
  <w:style w:type="paragraph" w:customStyle="1" w:styleId="593">
    <w:name w:val="Char Char1101"/>
    <w:basedOn w:val="1"/>
    <w:autoRedefine/>
    <w:qFormat/>
    <w:uiPriority w:val="0"/>
    <w:pPr>
      <w:spacing w:line="360" w:lineRule="auto"/>
    </w:pPr>
    <w:rPr>
      <w:rFonts w:ascii="Tahoma" w:hAnsi="Tahoma"/>
      <w:sz w:val="24"/>
      <w:szCs w:val="20"/>
    </w:rPr>
  </w:style>
  <w:style w:type="paragraph" w:customStyle="1" w:styleId="594">
    <w:name w:val="Char Char Char Char Char Char Char Char1"/>
    <w:basedOn w:val="1"/>
    <w:autoRedefine/>
    <w:qFormat/>
    <w:uiPriority w:val="0"/>
    <w:pPr>
      <w:tabs>
        <w:tab w:val="left" w:pos="360"/>
      </w:tabs>
    </w:pPr>
    <w:rPr>
      <w:sz w:val="24"/>
      <w:szCs w:val="20"/>
    </w:rPr>
  </w:style>
  <w:style w:type="paragraph" w:customStyle="1" w:styleId="595">
    <w:name w:val="Char Char Char 字元 字元"/>
    <w:basedOn w:val="1"/>
    <w:autoRedefine/>
    <w:qFormat/>
    <w:uiPriority w:val="0"/>
    <w:pPr>
      <w:adjustRightInd/>
      <w:spacing w:line="360" w:lineRule="auto"/>
      <w:ind w:firstLine="200" w:firstLineChars="200"/>
    </w:pPr>
    <w:rPr>
      <w:szCs w:val="20"/>
    </w:rPr>
  </w:style>
  <w:style w:type="paragraph" w:customStyle="1" w:styleId="59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0"/>
    <w:rPr>
      <w:rFonts w:ascii="仿宋_GB2312" w:eastAsia="仿宋_GB2312"/>
      <w:b/>
      <w:sz w:val="32"/>
      <w:szCs w:val="32"/>
    </w:rPr>
  </w:style>
  <w:style w:type="paragraph" w:customStyle="1" w:styleId="59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autoRedefine/>
    <w:qFormat/>
    <w:uiPriority w:val="0"/>
    <w:pPr>
      <w:adjustRightInd/>
    </w:pPr>
    <w:rPr>
      <w:sz w:val="18"/>
      <w:szCs w:val="20"/>
    </w:rPr>
  </w:style>
  <w:style w:type="paragraph" w:customStyle="1" w:styleId="60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autoRedefine/>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57"/>
    <w:autoRedefine/>
    <w:qFormat/>
    <w:uiPriority w:val="0"/>
    <w:pPr>
      <w:snapToGrid w:val="0"/>
      <w:spacing w:line="360" w:lineRule="auto"/>
    </w:pPr>
    <w:rPr>
      <w:rFonts w:ascii="宋体"/>
      <w:b/>
      <w:sz w:val="24"/>
      <w:szCs w:val="20"/>
    </w:rPr>
  </w:style>
  <w:style w:type="paragraph" w:customStyle="1" w:styleId="61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autoRedefine/>
    <w:qFormat/>
    <w:uiPriority w:val="7"/>
    <w:pPr>
      <w:adjustRightInd/>
    </w:pPr>
    <w:rPr>
      <w:rFonts w:ascii="宋体" w:hAnsi="Courier New"/>
    </w:rPr>
  </w:style>
  <w:style w:type="paragraph" w:customStyle="1" w:styleId="616">
    <w:name w:val="Char3"/>
    <w:basedOn w:val="1"/>
    <w:autoRedefine/>
    <w:qFormat/>
    <w:uiPriority w:val="0"/>
    <w:pPr>
      <w:adjustRightInd/>
    </w:pPr>
    <w:rPr>
      <w:rFonts w:ascii="仿宋_GB2312" w:eastAsia="仿宋_GB2312"/>
      <w:b/>
      <w:sz w:val="32"/>
      <w:szCs w:val="32"/>
    </w:rPr>
  </w:style>
  <w:style w:type="paragraph" w:customStyle="1" w:styleId="61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autoRedefine/>
    <w:qFormat/>
    <w:uiPriority w:val="0"/>
    <w:pPr>
      <w:widowControl/>
      <w:adjustRightInd/>
      <w:spacing w:after="160" w:line="240" w:lineRule="exact"/>
      <w:jc w:val="left"/>
    </w:pPr>
    <w:rPr>
      <w:szCs w:val="20"/>
    </w:rPr>
  </w:style>
  <w:style w:type="paragraph" w:customStyle="1" w:styleId="625">
    <w:name w:val="表格标题2"/>
    <w:basedOn w:val="626"/>
    <w:autoRedefine/>
    <w:qFormat/>
    <w:uiPriority w:val="0"/>
    <w:rPr>
      <w:b/>
    </w:rPr>
  </w:style>
  <w:style w:type="paragraph" w:customStyle="1" w:styleId="626">
    <w:name w:val="表格内文"/>
    <w:basedOn w:val="1"/>
    <w:autoRedefine/>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autoRedefine/>
    <w:qFormat/>
    <w:uiPriority w:val="0"/>
    <w:rPr>
      <w:rFonts w:ascii="仿宋_GB2312" w:eastAsia="仿宋_GB2312"/>
      <w:b/>
      <w:sz w:val="32"/>
      <w:szCs w:val="32"/>
    </w:rPr>
  </w:style>
  <w:style w:type="paragraph" w:customStyle="1" w:styleId="62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autoRedefine/>
    <w:qFormat/>
    <w:uiPriority w:val="0"/>
    <w:pPr>
      <w:spacing w:line="360" w:lineRule="auto"/>
    </w:pPr>
    <w:rPr>
      <w:szCs w:val="20"/>
    </w:rPr>
  </w:style>
  <w:style w:type="paragraph" w:customStyle="1" w:styleId="63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3">
    <w:name w:val="MM Topic 1"/>
    <w:basedOn w:val="2"/>
    <w:autoRedefine/>
    <w:qFormat/>
    <w:uiPriority w:val="0"/>
    <w:pPr>
      <w:tabs>
        <w:tab w:val="left" w:pos="840"/>
      </w:tabs>
      <w:adjustRightInd/>
      <w:ind w:left="840" w:hanging="420"/>
    </w:pPr>
  </w:style>
  <w:style w:type="paragraph" w:customStyle="1" w:styleId="63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autoRedefine/>
    <w:qFormat/>
    <w:uiPriority w:val="0"/>
    <w:pPr>
      <w:spacing w:line="360" w:lineRule="auto"/>
      <w:ind w:firstLine="200" w:firstLineChars="200"/>
    </w:pPr>
    <w:rPr>
      <w:kern w:val="0"/>
      <w:sz w:val="24"/>
      <w:szCs w:val="20"/>
    </w:rPr>
  </w:style>
  <w:style w:type="paragraph" w:customStyle="1" w:styleId="63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autoRedefine/>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8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trademark"/>
    <w:autoRedefine/>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0"/>
    <w:rPr>
      <w:rFonts w:ascii="仿宋_GB2312" w:eastAsia="仿宋_GB2312"/>
      <w:b/>
      <w:sz w:val="32"/>
      <w:szCs w:val="20"/>
    </w:rPr>
  </w:style>
  <w:style w:type="paragraph" w:customStyle="1" w:styleId="65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0"/>
    <w:pPr>
      <w:adjustRightInd/>
      <w:ind w:firstLine="200" w:firstLineChars="200"/>
    </w:pPr>
    <w:rPr>
      <w:rFonts w:ascii="Tahoma" w:hAnsi="Tahoma"/>
      <w:sz w:val="24"/>
      <w:szCs w:val="20"/>
    </w:rPr>
  </w:style>
  <w:style w:type="paragraph" w:customStyle="1" w:styleId="653">
    <w:name w:val="a1"/>
    <w:basedOn w:val="1"/>
    <w:autoRedefine/>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0"/>
    <w:pPr>
      <w:spacing w:afterLines="50"/>
      <w:jc w:val="left"/>
      <w:outlineLvl w:val="3"/>
    </w:pPr>
    <w:rPr>
      <w:sz w:val="24"/>
      <w:szCs w:val="24"/>
    </w:rPr>
  </w:style>
  <w:style w:type="paragraph" w:customStyle="1" w:styleId="65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0"/>
    <w:pPr>
      <w:adjustRightInd/>
    </w:pPr>
    <w:rPr>
      <w:rFonts w:ascii="Tahoma" w:hAnsi="Tahoma"/>
      <w:sz w:val="24"/>
      <w:szCs w:val="20"/>
    </w:rPr>
  </w:style>
  <w:style w:type="paragraph" w:customStyle="1" w:styleId="66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87"/>
    <w:autoRedefine/>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87"/>
    <w:autoRedefine/>
    <w:qFormat/>
    <w:uiPriority w:val="0"/>
    <w:pPr>
      <w:tabs>
        <w:tab w:val="left" w:pos="1260"/>
        <w:tab w:val="left" w:pos="1680"/>
        <w:tab w:val="left" w:pos="2100"/>
      </w:tabs>
      <w:ind w:left="0"/>
      <w:outlineLvl w:val="3"/>
    </w:pPr>
  </w:style>
  <w:style w:type="paragraph" w:customStyle="1" w:styleId="663">
    <w:name w:val="一级条标题"/>
    <w:basedOn w:val="664"/>
    <w:next w:val="87"/>
    <w:autoRedefine/>
    <w:qFormat/>
    <w:uiPriority w:val="0"/>
    <w:pPr>
      <w:tabs>
        <w:tab w:val="left" w:pos="1260"/>
        <w:tab w:val="left" w:pos="1680"/>
      </w:tabs>
      <w:spacing w:beforeLines="0" w:afterLines="0"/>
      <w:ind w:left="1680"/>
      <w:outlineLvl w:val="2"/>
    </w:pPr>
  </w:style>
  <w:style w:type="paragraph" w:customStyle="1" w:styleId="664">
    <w:name w:val="章标题"/>
    <w:next w:val="8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autoRedefine/>
    <w:qFormat/>
    <w:uiPriority w:val="0"/>
    <w:pPr>
      <w:tabs>
        <w:tab w:val="left" w:pos="840"/>
      </w:tabs>
      <w:spacing w:after="0"/>
      <w:ind w:left="900"/>
    </w:pPr>
  </w:style>
  <w:style w:type="paragraph" w:customStyle="1" w:styleId="67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6"/>
    <w:pPr>
      <w:widowControl/>
      <w:adjustRightInd/>
      <w:ind w:left="720" w:hanging="720"/>
    </w:pPr>
    <w:rPr>
      <w:color w:val="000000"/>
      <w:kern w:val="0"/>
      <w:sz w:val="24"/>
      <w:szCs w:val="20"/>
      <w:lang w:val="en-GB"/>
    </w:rPr>
  </w:style>
  <w:style w:type="paragraph" w:customStyle="1" w:styleId="674">
    <w:name w:val="表1"/>
    <w:basedOn w:val="1"/>
    <w:autoRedefine/>
    <w:qFormat/>
    <w:uiPriority w:val="0"/>
    <w:pPr>
      <w:tabs>
        <w:tab w:val="left" w:pos="703"/>
      </w:tabs>
      <w:adjustRightInd/>
      <w:spacing w:line="360" w:lineRule="auto"/>
      <w:ind w:left="703"/>
      <w:jc w:val="center"/>
    </w:pPr>
  </w:style>
  <w:style w:type="paragraph" w:customStyle="1" w:styleId="67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6"/>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5"/>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87"/>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87"/>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2"/>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20"/>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5"/>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6"/>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autoRedefine/>
    <w:qFormat/>
    <w:uiPriority w:val="0"/>
    <w:pPr>
      <w:tabs>
        <w:tab w:val="left" w:pos="1080"/>
      </w:tabs>
      <w:ind w:left="1080" w:hanging="1080"/>
    </w:pPr>
  </w:style>
  <w:style w:type="paragraph" w:customStyle="1" w:styleId="901">
    <w:name w:val="数字标题1"/>
    <w:basedOn w:val="2"/>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50"/>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70"/>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39"/>
    <w:autoRedefine/>
    <w:qFormat/>
    <w:uiPriority w:val="0"/>
    <w:rPr>
      <w:kern w:val="2"/>
      <w:sz w:val="21"/>
      <w:szCs w:val="24"/>
      <w:lang w:val="zh-CN"/>
    </w:rPr>
  </w:style>
  <w:style w:type="character" w:customStyle="1" w:styleId="937">
    <w:name w:val="无间隔 Char"/>
    <w:link w:val="490"/>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5"/>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DAS正文"/>
    <w:basedOn w:val="1"/>
    <w:autoRedefine/>
    <w:qFormat/>
    <w:uiPriority w:val="0"/>
    <w:pPr>
      <w:ind w:right="181" w:firstLine="480"/>
    </w:pPr>
    <w:rPr>
      <w:rFonts w:ascii="Verdana" w:hAnsi="Verdana"/>
      <w:sz w:val="24"/>
    </w:rPr>
  </w:style>
  <w:style w:type="paragraph" w:customStyle="1" w:styleId="970">
    <w:name w:val="！正文"/>
    <w:basedOn w:val="1"/>
    <w:autoRedefine/>
    <w:qFormat/>
    <w:uiPriority w:val="0"/>
    <w:pPr>
      <w:spacing w:line="360" w:lineRule="auto"/>
      <w:ind w:firstLine="200" w:firstLineChars="200"/>
    </w:pPr>
    <w:rPr>
      <w:rFonts w:ascii="宋体" w:hAnsi="宋体" w:cs="Times New Roman"/>
      <w:lang w:val="zh-CN"/>
    </w:rPr>
  </w:style>
  <w:style w:type="paragraph" w:customStyle="1" w:styleId="971">
    <w:name w:val="表格内文字"/>
    <w:basedOn w:val="1"/>
    <w:autoRedefine/>
    <w:qFormat/>
    <w:uiPriority w:val="0"/>
    <w:pPr>
      <w:adjustRightInd w:val="0"/>
      <w:snapToGrid w:val="0"/>
      <w:spacing w:before="0" w:beforeAutospacing="0" w:after="0" w:afterAutospacing="0" w:line="240" w:lineRule="auto"/>
      <w:ind w:firstLine="0" w:firstLineChars="0"/>
      <w:jc w:val="center"/>
    </w:pPr>
    <w:rPr>
      <w:snapToGrid w:val="0"/>
      <w:spacing w:val="0"/>
      <w:kern w:val="0"/>
      <w:sz w:val="21"/>
      <w:szCs w:val="20"/>
    </w:rPr>
  </w:style>
  <w:style w:type="table" w:customStyle="1" w:styleId="972">
    <w:name w:val="Table Normal"/>
    <w:autoRedefine/>
    <w:semiHidden/>
    <w:unhideWhenUsed/>
    <w:qFormat/>
    <w:uiPriority w:val="0"/>
    <w:tblPr>
      <w:tblCellMar>
        <w:top w:w="0" w:type="dxa"/>
        <w:left w:w="0" w:type="dxa"/>
        <w:bottom w:w="0" w:type="dxa"/>
        <w:right w:w="0" w:type="dxa"/>
      </w:tblCellMar>
    </w:tblPr>
  </w:style>
  <w:style w:type="paragraph" w:customStyle="1" w:styleId="973">
    <w:name w:val="样式 标题 1 + 黑体 三号"/>
    <w:basedOn w:val="2"/>
    <w:autoRedefine/>
    <w:qFormat/>
    <w:uiPriority w:val="0"/>
    <w:pPr>
      <w:spacing w:line="578" w:lineRule="auto"/>
    </w:pPr>
    <w:rPr>
      <w:rFonts w:ascii="黑体" w:hAnsi="黑体" w:eastAsia="黑体"/>
      <w:b w:val="0"/>
      <w:sz w:val="32"/>
    </w:rPr>
  </w:style>
  <w:style w:type="paragraph" w:customStyle="1" w:styleId="974">
    <w:name w:val="样式 标题 2 + 段前: 0 磅 段后: 0 磅 行距: 多倍行距 1.73 字行"/>
    <w:basedOn w:val="3"/>
    <w:autoRedefine/>
    <w:qFormat/>
    <w:uiPriority w:val="0"/>
    <w:pPr>
      <w:keepLines/>
      <w:spacing w:line="415" w:lineRule="auto"/>
      <w:jc w:val="both"/>
    </w:pPr>
    <w:rPr>
      <w:rFonts w:ascii="Arial" w:hAnsi="Arial" w:eastAsia="黑体" w:cs="宋体"/>
      <w:b w:val="0"/>
      <w:bCs w:val="0"/>
      <w:sz w:val="30"/>
    </w:rPr>
  </w:style>
  <w:style w:type="character" w:customStyle="1" w:styleId="975">
    <w:name w:val="NormalCharacter"/>
    <w:autoRedefine/>
    <w:qFormat/>
    <w:uiPriority w:val="0"/>
  </w:style>
  <w:style w:type="paragraph" w:customStyle="1" w:styleId="976">
    <w:name w:val="招标文件－标准正文"/>
    <w:basedOn w:val="34"/>
    <w:autoRedefine/>
    <w:qFormat/>
    <w:uiPriority w:val="0"/>
    <w:pPr>
      <w:spacing w:before="0" w:after="0" w:line="360" w:lineRule="auto"/>
    </w:pPr>
    <w:rPr>
      <w:rFonts w:ascii="Times New Roman" w:hAnsi="Times New Roman" w:cs="宋体"/>
      <w:color w:val="000000"/>
      <w:szCs w:val="20"/>
      <w:lang w:bidi="ar-SA"/>
    </w:rPr>
  </w:style>
  <w:style w:type="character" w:customStyle="1" w:styleId="977">
    <w:name w:val="font111"/>
    <w:basedOn w:val="72"/>
    <w:qFormat/>
    <w:uiPriority w:val="0"/>
    <w:rPr>
      <w:rFonts w:hint="eastAsia" w:ascii="宋体" w:hAnsi="宋体" w:eastAsia="宋体" w:cs="宋体"/>
      <w:b/>
      <w:bCs/>
      <w:color w:val="000000"/>
      <w:sz w:val="22"/>
      <w:szCs w:val="22"/>
      <w:u w:val="none"/>
    </w:rPr>
  </w:style>
  <w:style w:type="character" w:customStyle="1" w:styleId="978">
    <w:name w:val="font122"/>
    <w:basedOn w:val="72"/>
    <w:qFormat/>
    <w:uiPriority w:val="0"/>
    <w:rPr>
      <w:rFonts w:hint="default" w:ascii="Times New Roman" w:hAnsi="Times New Roman" w:eastAsia="宋体" w:cs="Times New Roman"/>
      <w:color w:val="000000"/>
      <w:sz w:val="18"/>
      <w:szCs w:val="18"/>
      <w:u w:val="none"/>
    </w:rPr>
  </w:style>
  <w:style w:type="character" w:customStyle="1" w:styleId="979">
    <w:name w:val="font131"/>
    <w:basedOn w:val="72"/>
    <w:qFormat/>
    <w:uiPriority w:val="0"/>
    <w:rPr>
      <w:rFonts w:hint="eastAsia" w:ascii="宋体" w:hAnsi="宋体" w:eastAsia="宋体" w:cs="宋体"/>
      <w:color w:val="000000"/>
      <w:sz w:val="18"/>
      <w:szCs w:val="18"/>
      <w:u w:val="none"/>
    </w:rPr>
  </w:style>
  <w:style w:type="paragraph" w:customStyle="1" w:styleId="980">
    <w:name w:val="自动更正"/>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147</Pages>
  <Words>9979</Words>
  <Characters>11424</Characters>
  <Lines>323</Lines>
  <Paragraphs>91</Paragraphs>
  <TotalTime>1</TotalTime>
  <ScaleCrop>false</ScaleCrop>
  <LinksUpToDate>false</LinksUpToDate>
  <CharactersWithSpaces>11809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WJ1413422648</cp:lastModifiedBy>
  <cp:lastPrinted>2024-03-11T04:37:00Z</cp:lastPrinted>
  <dcterms:modified xsi:type="dcterms:W3CDTF">2025-03-10T01:53:39Z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8E95975E181F4119B2F07093EB82051A_13</vt:lpwstr>
  </property>
  <property fmtid="{D5CDD505-2E9C-101B-9397-08002B2CF9AE}" pid="5" name="KSOTemplateDocerSaveRecord">
    <vt:lpwstr>eyJoZGlkIjoiM2M0Mjk1MGY1ZWQ0NmI4YmY1NWJjY2MzYzMzYWE3MGIiLCJ1c2VySWQiOiIyMzE1MjM4NCJ9</vt:lpwstr>
  </property>
</Properties>
</file>