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附件一：</w:t>
      </w:r>
    </w:p>
    <w:p>
      <w:pPr>
        <w:pStyle w:val="15"/>
        <w:numPr>
          <w:ilvl w:val="0"/>
          <w:numId w:val="0"/>
        </w:numPr>
        <w:jc w:val="both"/>
        <w:rPr>
          <w:rFonts w:ascii="宋体" w:hAnsi="宋体"/>
          <w:highlight w:val="none"/>
        </w:rPr>
      </w:pPr>
    </w:p>
    <w:p>
      <w:pPr>
        <w:pStyle w:val="15"/>
        <w:numPr>
          <w:ilvl w:val="-1"/>
          <w:numId w:val="0"/>
        </w:numPr>
        <w:ind w:left="0" w:firstLine="0"/>
        <w:rPr>
          <w:rFonts w:hint="default" w:ascii="宋体" w:hAnsi="宋体" w:eastAsia="黑体"/>
          <w:highlight w:val="none"/>
          <w:lang w:val="en-US" w:eastAsia="zh-CN"/>
        </w:rPr>
      </w:pPr>
      <w:bookmarkStart w:id="0" w:name="_Toc17883042"/>
      <w:r>
        <w:rPr>
          <w:highlight w:val="none"/>
        </w:rPr>
        <w:t>工作</w:t>
      </w:r>
      <w:bookmarkEnd w:id="0"/>
      <w:r>
        <w:rPr>
          <w:rFonts w:hint="eastAsia"/>
          <w:highlight w:val="none"/>
          <w:lang w:val="en-US" w:eastAsia="zh-CN"/>
        </w:rPr>
        <w:t>范围和技术要求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 项目简介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中海油河北能源有限公司（以下简称河北能源）成立于2013年10月29日，由中海石油气电集团有限责任公司（以下简称气电集团）、河北世纪方舟实业集团有限公司（以下简称世纪方舟）共同出资成立，气电集团占股60%，世纪方舟占股40%，注册资本2800万元。河北能源经营范围包括:从事工业、民用、汽车、船舶加汽（油）站及相关基础设施的投资建设和管理；加汽（油）站的设计、安装、维修、保养；房屋租赁；天然气储运设备的销售；城镇燃气的销售。现有直签员工4人，劳务派遣员工66人，其中14名劳务派遣员工外派到北京能源下属加气站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根据《中海油河北能源有限公司薪酬管理办法》中关于福利第2条“公司原则上组织一次员工体检”，为体现公司对员工的关怀，保障员工身体，全身心投入到工作中去。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功能描述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为河北能源全体员工进行体检服务，除去外派北京能源员工，体检对象直签员工4人，劳务派遣52人，共计56人，其中直男士43人，女士13人。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 工作标准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本次工作执行的所有的法律、法规、标准、规范均以最新颁布版本为准，包括但不限于以下：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《中华人民共和国执业医师法》《医疗机构临床实验管理办法》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4. 工作范围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1) 我方与服务商的工作界面划分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服务商工作界面：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1.按照体检项目为河北能源员工进行体检服务；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2.出具河北能源员工体检报告。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2) 与其它各服务商的接口界面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3)我方的权利与义务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1.接受服务商提供的员工体检服务；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2.根据员工个人体检报告向服务商咨询医疗建议。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工作量清单</w:t>
      </w:r>
    </w:p>
    <w:tbl>
      <w:tblPr>
        <w:tblStyle w:val="12"/>
        <w:tblW w:w="97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83"/>
        <w:gridCol w:w="8"/>
        <w:gridCol w:w="6925"/>
        <w:gridCol w:w="7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体检项目清单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男士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体检费(内、外科、身高、体重、血压）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血常规五分类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尿常规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肝功五项（谷丙转氨酶、总蛋白、白蛋白、球蛋白、总胆红素）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肾功①（尿素、肌酐、尿酸）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血脂①（胆固醇、甘油三脂、高、低密度脂蛋白）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空腹血糖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同型半胱氨酸测定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乙肝五项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血一氧化氮分析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肿瘤二项定量(甲胎蛋白、癌胚抗原）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甲状腺功能三项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多导心电图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腹部彩超（肝、胆、胰、脾、双肾）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甲状腺彩超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颈动脉彩超(6根血管)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碳十三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心脏彩超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头CT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螺旋肺部CT扫描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体检档案+材料费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男性肿瘤三项（CA50、CA199、TPSA</w:t>
            </w: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膀胱、前列腺彩超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体检项目清单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女士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  目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体检费(内、外科、身高、体重、血压）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血常规五分类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尿常规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肝功五项（谷丙转氨酶、总蛋白、白蛋白、球蛋白、总胆红素）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肾功①（尿素、肌酐、尿酸）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血脂①（胆固醇、甘油三脂、高、低密度脂蛋白）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空腹血糖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同型半胱氨酸测定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乙肝五项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血一氧化氮分析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肿瘤二项定量(甲胎蛋白、癌胚抗原）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甲状腺功能三项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多导心电图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腹部彩超（肝、胆、胰、脾、双肾）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甲状腺彩超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颈动脉彩超(6根血管)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碳十三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心脏彩超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头CT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螺旋肺部CT扫描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体检档案+材料费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子宫附件彩超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乳腺彩超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女性肿瘤三项（CA125、CA153、HCG)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妇科常规检查+液基细胞学检查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妇科检查+高危型人乳头状瘤病毒检测（HPV）（已婚）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里程碑计划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合同期限内，员工在30日体检完毕，全体员工体检结束后，在14个工作日内接收到体检报告。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交付形式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 xml:space="preserve">   全体员工体检结束后，在14个工作日内接收到体检报告。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交付地点：石家庄市裕华区体育大街399号枢纽指挥中心大楼1-4层。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验收方式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收到全体员工体检报告。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9.支付里程碑点建议</w:t>
      </w:r>
    </w:p>
    <w:tbl>
      <w:tblPr>
        <w:tblStyle w:val="1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650"/>
        <w:gridCol w:w="3817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款项名称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里程碑条件</w:t>
            </w:r>
          </w:p>
        </w:tc>
        <w:tc>
          <w:tcPr>
            <w:tcW w:w="226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付款百分比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合同全款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收到体检报告后</w:t>
            </w:r>
          </w:p>
        </w:tc>
        <w:tc>
          <w:tcPr>
            <w:tcW w:w="226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-SA"/>
              </w:rPr>
              <w:t>支付合同价格</w:t>
            </w: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</w:tbl>
    <w:tbl>
      <w:tblPr>
        <w:tblStyle w:val="12"/>
        <w:tblpPr w:leftFromText="180" w:rightFromText="180" w:vertAnchor="text" w:horzAnchor="page" w:tblpX="1574" w:tblpY="901"/>
        <w:tblOverlap w:val="never"/>
        <w:tblW w:w="903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3298"/>
        <w:gridCol w:w="28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906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需求部门</w:t>
            </w:r>
          </w:p>
          <w:p>
            <w:pPr>
              <w:pStyle w:val="2"/>
            </w:pP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编制人</w:t>
            </w:r>
            <w:r>
              <w:rPr>
                <w:rFonts w:hint="eastAsia" w:ascii="宋体" w:hAnsi="宋体"/>
                <w:sz w:val="20"/>
                <w:szCs w:val="20"/>
              </w:rPr>
              <w:t>：________________</w:t>
            </w:r>
          </w:p>
        </w:tc>
        <w:tc>
          <w:tcPr>
            <w:tcW w:w="3298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需求部门</w:t>
            </w:r>
          </w:p>
          <w:p>
            <w:pPr>
              <w:pStyle w:val="2"/>
            </w:pP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审核人</w:t>
            </w:r>
            <w:r>
              <w:rPr>
                <w:rFonts w:hint="eastAsia" w:ascii="宋体" w:hAnsi="宋体"/>
                <w:sz w:val="20"/>
                <w:szCs w:val="20"/>
              </w:rPr>
              <w:t>：_______________</w:t>
            </w:r>
          </w:p>
        </w:tc>
        <w:tc>
          <w:tcPr>
            <w:tcW w:w="2835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需求部门</w:t>
            </w:r>
          </w:p>
          <w:p>
            <w:pPr>
              <w:pStyle w:val="2"/>
            </w:pP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批准人</w:t>
            </w:r>
            <w:r>
              <w:rPr>
                <w:rFonts w:hint="eastAsia" w:ascii="宋体" w:hAnsi="宋体"/>
                <w:sz w:val="20"/>
                <w:szCs w:val="20"/>
              </w:rPr>
              <w:t>：_______________</w:t>
            </w: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954A6"/>
    <w:multiLevelType w:val="singleLevel"/>
    <w:tmpl w:val="E55954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92FF68A"/>
    <w:multiLevelType w:val="singleLevel"/>
    <w:tmpl w:val="292FF68A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47B3FDBC"/>
    <w:multiLevelType w:val="singleLevel"/>
    <w:tmpl w:val="47B3FD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2FA4B93"/>
    <w:multiLevelType w:val="multilevel"/>
    <w:tmpl w:val="62FA4B93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3261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210"/>
    </w:pPr>
    <w:rPr>
      <w:sz w:val="21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sz w:val="24"/>
    </w:rPr>
  </w:style>
  <w:style w:type="paragraph" w:customStyle="1" w:styleId="4">
    <w:name w:val="Body Text1"/>
    <w:basedOn w:val="5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customStyle="1" w:styleId="5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Body Text First Indent"/>
    <w:basedOn w:val="7"/>
    <w:next w:val="8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styleId="7">
    <w:name w:val="Body Text"/>
    <w:basedOn w:val="1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</w:rPr>
  </w:style>
  <w:style w:type="paragraph" w:styleId="8">
    <w:name w:val="toc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table" w:styleId="13">
    <w:name w:val="Table Grid"/>
    <w:basedOn w:val="1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第1级别"/>
    <w:basedOn w:val="9"/>
    <w:qFormat/>
    <w:uiPriority w:val="0"/>
    <w:pPr>
      <w:numPr>
        <w:ilvl w:val="0"/>
        <w:numId w:val="1"/>
      </w:numPr>
      <w:tabs>
        <w:tab w:val="left" w:pos="360"/>
      </w:tabs>
      <w:adjustRightInd w:val="0"/>
      <w:snapToGrid w:val="0"/>
      <w:spacing w:before="0" w:after="0" w:line="360" w:lineRule="auto"/>
      <w:ind w:left="425" w:firstLine="0"/>
      <w:jc w:val="center"/>
    </w:pPr>
    <w:rPr>
      <w:rFonts w:ascii="Times New Roman" w:hAnsi="Times New Roman" w:eastAsia="黑体" w:cs="Times New Roman"/>
      <w:snapToGrid w:val="0"/>
      <w:kern w:val="0"/>
      <w:sz w:val="30"/>
      <w:lang w:val="zh-CN"/>
    </w:rPr>
  </w:style>
  <w:style w:type="paragraph" w:customStyle="1" w:styleId="16">
    <w:name w:val="7 会签部门负责人"/>
    <w:basedOn w:val="17"/>
    <w:qFormat/>
    <w:uiPriority w:val="0"/>
    <w:rPr>
      <w:spacing w:val="26"/>
    </w:rPr>
  </w:style>
  <w:style w:type="paragraph" w:customStyle="1" w:styleId="17">
    <w:name w:val="3 领导批示"/>
    <w:basedOn w:val="1"/>
    <w:qFormat/>
    <w:uiPriority w:val="0"/>
    <w:pPr>
      <w:spacing w:line="360" w:lineRule="auto"/>
    </w:pPr>
    <w:rPr>
      <w:rFonts w:ascii="楷体" w:hAnsi="楷体" w:eastAsia="楷体"/>
      <w:sz w:val="36"/>
      <w:szCs w:val="36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b/>
      <w:bCs/>
      <w:color w:val="00B05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2025-12-22T07:19:26Z</dcterms:created>
  <dc:creator>user</dc:creator>
  <cp:lastModifiedBy>戚海燕</cp:lastModifiedBy>
  <dcterms:modified xsi:type="dcterms:W3CDTF">2025-12-22T07:19:42Z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E09B3A6A5536464A9D657BC82397A5C9</vt:lpwstr>
  </property>
</Properties>
</file>