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F057E">
      <w:pPr>
        <w:pStyle w:val="16"/>
        <w:ind w:firstLine="0"/>
        <w:jc w:val="center"/>
        <w:rPr>
          <w:rFonts w:hint="eastAsia" w:ascii="黑体" w:hAnsi="黑体" w:eastAsia="黑体" w:cs="黑体"/>
          <w:b w:val="0"/>
          <w:bCs/>
          <w:color w:val="auto"/>
          <w:kern w:val="0"/>
          <w:sz w:val="36"/>
          <w:szCs w:val="36"/>
        </w:rPr>
      </w:pPr>
      <w:r>
        <w:rPr>
          <w:rFonts w:hint="eastAsia" w:ascii="黑体" w:hAnsi="黑体" w:eastAsia="黑体" w:cs="黑体"/>
          <w:b w:val="0"/>
          <w:bCs/>
          <w:color w:val="auto"/>
          <w:kern w:val="0"/>
          <w:sz w:val="36"/>
          <w:szCs w:val="36"/>
        </w:rPr>
        <w:t>广东西江流域（云浮市</w:t>
      </w:r>
      <w:r>
        <w:rPr>
          <w:rFonts w:hint="eastAsia" w:ascii="黑体" w:hAnsi="黑体" w:eastAsia="黑体" w:cs="黑体"/>
          <w:b w:val="0"/>
          <w:bCs/>
          <w:color w:val="auto"/>
          <w:kern w:val="0"/>
          <w:sz w:val="36"/>
          <w:szCs w:val="36"/>
          <w:lang w:val="en-US" w:eastAsia="zh-CN"/>
        </w:rPr>
        <w:t>罗定市</w:t>
      </w:r>
      <w:r>
        <w:rPr>
          <w:rFonts w:hint="eastAsia" w:ascii="黑体" w:hAnsi="黑体" w:eastAsia="黑体" w:cs="黑体"/>
          <w:b w:val="0"/>
          <w:bCs/>
          <w:color w:val="auto"/>
          <w:kern w:val="0"/>
          <w:sz w:val="36"/>
          <w:szCs w:val="36"/>
        </w:rPr>
        <w:t>）</w:t>
      </w:r>
    </w:p>
    <w:p w14:paraId="12452783">
      <w:pPr>
        <w:pStyle w:val="16"/>
        <w:keepNext w:val="0"/>
        <w:keepLines w:val="0"/>
        <w:pageBreakBefore w:val="0"/>
        <w:widowControl/>
        <w:kinsoku/>
        <w:wordWrap/>
        <w:overflowPunct/>
        <w:topLinePunct w:val="0"/>
        <w:autoSpaceDE/>
        <w:autoSpaceDN/>
        <w:bidi w:val="0"/>
        <w:adjustRightInd/>
        <w:snapToGrid/>
        <w:spacing w:before="157" w:beforeLines="50" w:after="157" w:afterLines="50"/>
        <w:ind w:left="0" w:right="0" w:firstLine="0"/>
        <w:jc w:val="center"/>
        <w:textAlignment w:val="auto"/>
        <w:rPr>
          <w:rFonts w:hint="eastAsia" w:ascii="黑体" w:hAnsi="黑体" w:eastAsia="黑体" w:cs="黑体"/>
          <w:b w:val="0"/>
          <w:bCs/>
          <w:color w:val="auto"/>
          <w:kern w:val="0"/>
          <w:sz w:val="36"/>
          <w:szCs w:val="36"/>
          <w:lang w:val="en-US" w:eastAsia="zh-CN"/>
        </w:rPr>
      </w:pPr>
      <w:r>
        <w:rPr>
          <w:rFonts w:hint="eastAsia" w:ascii="黑体" w:hAnsi="黑体" w:eastAsia="黑体" w:cs="黑体"/>
          <w:b w:val="0"/>
          <w:bCs/>
          <w:color w:val="auto"/>
          <w:kern w:val="0"/>
          <w:sz w:val="36"/>
          <w:szCs w:val="36"/>
        </w:rPr>
        <w:t>中央财政国土绿化示范项目</w:t>
      </w:r>
      <w:r>
        <w:rPr>
          <w:rFonts w:hint="eastAsia" w:ascii="黑体" w:hAnsi="黑体" w:eastAsia="黑体" w:cs="黑体"/>
          <w:b w:val="0"/>
          <w:bCs/>
          <w:color w:val="auto"/>
          <w:kern w:val="0"/>
          <w:sz w:val="36"/>
          <w:szCs w:val="36"/>
          <w:lang w:val="en-US" w:eastAsia="zh-CN"/>
        </w:rPr>
        <w:t>作业</w:t>
      </w:r>
      <w:r>
        <w:rPr>
          <w:rFonts w:hint="eastAsia" w:ascii="黑体" w:hAnsi="黑体" w:eastAsia="黑体" w:cs="黑体"/>
          <w:b w:val="0"/>
          <w:bCs/>
          <w:color w:val="auto"/>
          <w:kern w:val="0"/>
          <w:sz w:val="36"/>
          <w:szCs w:val="36"/>
        </w:rPr>
        <w:t>设计</w:t>
      </w:r>
      <w:r>
        <w:rPr>
          <w:rFonts w:hint="eastAsia" w:ascii="黑体" w:hAnsi="黑体" w:eastAsia="黑体" w:cs="黑体"/>
          <w:b w:val="0"/>
          <w:bCs/>
          <w:color w:val="auto"/>
          <w:kern w:val="0"/>
          <w:sz w:val="36"/>
          <w:szCs w:val="36"/>
          <w:lang w:val="en-US" w:eastAsia="zh-CN"/>
        </w:rPr>
        <w:t>技术服务</w:t>
      </w:r>
    </w:p>
    <w:p w14:paraId="52D33C07">
      <w:pPr>
        <w:pStyle w:val="16"/>
        <w:keepNext w:val="0"/>
        <w:keepLines w:val="0"/>
        <w:pageBreakBefore w:val="0"/>
        <w:widowControl/>
        <w:kinsoku/>
        <w:wordWrap/>
        <w:overflowPunct/>
        <w:topLinePunct w:val="0"/>
        <w:autoSpaceDE/>
        <w:autoSpaceDN/>
        <w:bidi w:val="0"/>
        <w:adjustRightInd/>
        <w:snapToGrid/>
        <w:spacing w:before="157" w:beforeLines="50" w:after="157" w:afterLines="50"/>
        <w:ind w:left="0" w:right="0" w:firstLine="0"/>
        <w:jc w:val="center"/>
        <w:textAlignment w:val="auto"/>
        <w:rPr>
          <w:rFonts w:ascii="宋体" w:hAnsi="宋体"/>
          <w:b/>
          <w:color w:val="auto"/>
          <w:kern w:val="0"/>
          <w:sz w:val="40"/>
          <w:szCs w:val="40"/>
        </w:rPr>
      </w:pPr>
      <w:r>
        <w:rPr>
          <w:rFonts w:hint="eastAsia" w:ascii="黑体" w:hAnsi="黑体" w:eastAsia="黑体" w:cs="黑体"/>
          <w:b w:val="0"/>
          <w:bCs/>
          <w:color w:val="auto"/>
          <w:kern w:val="0"/>
          <w:sz w:val="36"/>
          <w:szCs w:val="36"/>
        </w:rPr>
        <w:t>用户需求书</w:t>
      </w:r>
    </w:p>
    <w:p w14:paraId="4C5DE3A6">
      <w:pPr>
        <w:pStyle w:val="2"/>
        <w:keepNext/>
        <w:keepLines/>
        <w:pageBreakBefore w:val="0"/>
        <w:widowControl/>
        <w:kinsoku/>
        <w:wordWrap/>
        <w:overflowPunct/>
        <w:topLinePunct w:val="0"/>
        <w:autoSpaceDE/>
        <w:autoSpaceDN/>
        <w:bidi w:val="0"/>
        <w:adjustRightInd/>
        <w:snapToGrid/>
        <w:spacing w:before="157" w:beforeLines="50" w:after="157" w:afterLines="50" w:line="480" w:lineRule="auto"/>
        <w:ind w:left="0" w:right="0"/>
        <w:jc w:val="left"/>
        <w:textAlignment w:val="auto"/>
        <w:rPr>
          <w:sz w:val="30"/>
          <w:szCs w:val="30"/>
        </w:rPr>
      </w:pPr>
      <w:r>
        <w:rPr>
          <w:rFonts w:hint="eastAsia"/>
          <w:sz w:val="32"/>
          <w:szCs w:val="32"/>
        </w:rPr>
        <w:t>一、供应商资格</w:t>
      </w:r>
    </w:p>
    <w:p w14:paraId="5241D1A2">
      <w:pPr>
        <w:pStyle w:val="16"/>
        <w:keepNext w:val="0"/>
        <w:keepLines w:val="0"/>
        <w:pageBreakBefore w:val="0"/>
        <w:kinsoku/>
        <w:wordWrap/>
        <w:overflowPunct/>
        <w:topLinePunct w:val="0"/>
        <w:autoSpaceDN/>
        <w:bidi w:val="0"/>
        <w:spacing w:line="360" w:lineRule="auto"/>
        <w:ind w:firstLine="480" w:firstLineChars="200"/>
        <w:jc w:val="both"/>
        <w:textAlignment w:val="auto"/>
        <w:rPr>
          <w:rFonts w:hint="default" w:ascii="宋体" w:hAnsi="宋体" w:eastAsia="宋体"/>
          <w:color w:val="auto"/>
          <w:sz w:val="24"/>
        </w:rPr>
      </w:pPr>
      <w:r>
        <w:rPr>
          <w:rFonts w:hint="eastAsia" w:ascii="宋体" w:hAnsi="宋体" w:eastAsia="宋体"/>
          <w:color w:val="auto"/>
          <w:sz w:val="24"/>
          <w:lang w:eastAsia="zh-CN"/>
        </w:rPr>
        <w:t>（</w:t>
      </w:r>
      <w:r>
        <w:rPr>
          <w:rFonts w:hint="eastAsia" w:ascii="宋体" w:hAnsi="宋体" w:eastAsia="宋体"/>
          <w:color w:val="auto"/>
          <w:sz w:val="24"/>
          <w:lang w:val="en-US" w:eastAsia="zh-CN"/>
        </w:rPr>
        <w:t>一</w:t>
      </w:r>
      <w:r>
        <w:rPr>
          <w:rFonts w:hint="eastAsia" w:ascii="宋体" w:hAnsi="宋体" w:eastAsia="宋体"/>
          <w:color w:val="auto"/>
          <w:sz w:val="24"/>
          <w:lang w:eastAsia="zh-CN"/>
        </w:rPr>
        <w:t>）</w:t>
      </w:r>
      <w:r>
        <w:rPr>
          <w:rFonts w:hint="eastAsia" w:ascii="宋体" w:hAnsi="宋体" w:eastAsia="宋体"/>
          <w:color w:val="auto"/>
          <w:sz w:val="24"/>
        </w:rPr>
        <w:t>供应商应具备《中华人民共和国政府采购法》第二十二条规定的条件，提供下列材料：</w:t>
      </w:r>
    </w:p>
    <w:p w14:paraId="713D1E41">
      <w:pPr>
        <w:pStyle w:val="16"/>
        <w:keepNext w:val="0"/>
        <w:keepLines w:val="0"/>
        <w:pageBreakBefore w:val="0"/>
        <w:kinsoku/>
        <w:wordWrap/>
        <w:overflowPunct/>
        <w:topLinePunct w:val="0"/>
        <w:autoSpaceDN/>
        <w:bidi w:val="0"/>
        <w:spacing w:line="360" w:lineRule="auto"/>
        <w:ind w:firstLine="480" w:firstLineChars="200"/>
        <w:jc w:val="both"/>
        <w:textAlignment w:val="auto"/>
        <w:rPr>
          <w:rFonts w:hint="default" w:ascii="宋体" w:hAnsi="宋体" w:eastAsia="宋体"/>
          <w:color w:val="auto"/>
          <w:sz w:val="24"/>
        </w:rPr>
      </w:pPr>
      <w:r>
        <w:rPr>
          <w:rFonts w:hint="eastAsia" w:ascii="宋体" w:hAnsi="宋体" w:eastAsia="宋体"/>
          <w:color w:val="auto"/>
          <w:sz w:val="24"/>
        </w:rPr>
        <w:t>1</w:t>
      </w:r>
      <w:r>
        <w:rPr>
          <w:rFonts w:hint="eastAsia" w:ascii="宋体" w:hAnsi="宋体" w:eastAsia="宋体"/>
          <w:color w:val="auto"/>
          <w:sz w:val="24"/>
          <w:lang w:eastAsia="zh-CN"/>
        </w:rPr>
        <w:t>、</w:t>
      </w:r>
      <w:r>
        <w:rPr>
          <w:rFonts w:hint="eastAsia" w:ascii="宋体" w:hAnsi="宋体" w:eastAsia="宋体"/>
          <w:color w:val="auto"/>
          <w:sz w:val="24"/>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3E172156">
      <w:pPr>
        <w:pStyle w:val="16"/>
        <w:keepNext w:val="0"/>
        <w:keepLines w:val="0"/>
        <w:pageBreakBefore w:val="0"/>
        <w:kinsoku/>
        <w:wordWrap/>
        <w:overflowPunct/>
        <w:topLinePunct w:val="0"/>
        <w:autoSpaceDN/>
        <w:bidi w:val="0"/>
        <w:spacing w:line="360" w:lineRule="auto"/>
        <w:ind w:firstLine="480" w:firstLineChars="200"/>
        <w:jc w:val="both"/>
        <w:textAlignment w:val="auto"/>
        <w:rPr>
          <w:rFonts w:hint="default" w:ascii="宋体" w:hAnsi="宋体" w:eastAsia="宋体"/>
          <w:color w:val="auto"/>
          <w:sz w:val="24"/>
        </w:rPr>
      </w:pPr>
      <w:r>
        <w:rPr>
          <w:rFonts w:hint="eastAsia" w:ascii="宋体" w:hAnsi="宋体" w:eastAsia="宋体"/>
          <w:color w:val="auto"/>
          <w:sz w:val="24"/>
        </w:rPr>
        <w:t>2</w:t>
      </w:r>
      <w:r>
        <w:rPr>
          <w:rFonts w:hint="eastAsia" w:ascii="宋体" w:hAnsi="宋体" w:eastAsia="宋体"/>
          <w:color w:val="auto"/>
          <w:sz w:val="24"/>
          <w:lang w:eastAsia="zh-CN"/>
        </w:rPr>
        <w:t>、</w:t>
      </w:r>
      <w:r>
        <w:rPr>
          <w:rFonts w:hint="eastAsia" w:ascii="宋体" w:hAnsi="宋体" w:eastAsia="宋体"/>
          <w:color w:val="auto"/>
          <w:sz w:val="24"/>
        </w:rPr>
        <w:t>有依法缴纳税收和社会保障资金的良好记录：提供《资格</w:t>
      </w:r>
      <w:r>
        <w:rPr>
          <w:rFonts w:hint="eastAsia" w:ascii="宋体" w:hAnsi="宋体"/>
          <w:color w:val="0000FF"/>
          <w:sz w:val="24"/>
          <w:lang w:val="en-US" w:eastAsia="zh-CN"/>
        </w:rPr>
        <w:t>承诺</w:t>
      </w:r>
      <w:r>
        <w:rPr>
          <w:rFonts w:hint="eastAsia" w:ascii="宋体" w:hAnsi="宋体" w:eastAsia="宋体"/>
          <w:color w:val="auto"/>
          <w:sz w:val="24"/>
        </w:rPr>
        <w:t>函》。</w:t>
      </w:r>
    </w:p>
    <w:p w14:paraId="2034E97D">
      <w:pPr>
        <w:pStyle w:val="16"/>
        <w:keepNext w:val="0"/>
        <w:keepLines w:val="0"/>
        <w:pageBreakBefore w:val="0"/>
        <w:kinsoku/>
        <w:wordWrap/>
        <w:overflowPunct/>
        <w:topLinePunct w:val="0"/>
        <w:autoSpaceDN/>
        <w:bidi w:val="0"/>
        <w:spacing w:line="360" w:lineRule="auto"/>
        <w:ind w:firstLine="480" w:firstLineChars="200"/>
        <w:jc w:val="both"/>
        <w:textAlignment w:val="auto"/>
        <w:rPr>
          <w:rFonts w:hint="default" w:ascii="宋体" w:hAnsi="宋体" w:eastAsia="宋体"/>
          <w:color w:val="auto"/>
          <w:sz w:val="24"/>
        </w:rPr>
      </w:pPr>
      <w:r>
        <w:rPr>
          <w:rFonts w:hint="eastAsia" w:ascii="宋体" w:hAnsi="宋体" w:eastAsia="宋体"/>
          <w:color w:val="auto"/>
          <w:sz w:val="24"/>
        </w:rPr>
        <w:t>3</w:t>
      </w:r>
      <w:r>
        <w:rPr>
          <w:rFonts w:hint="eastAsia" w:ascii="宋体" w:hAnsi="宋体" w:eastAsia="宋体"/>
          <w:color w:val="auto"/>
          <w:sz w:val="24"/>
          <w:lang w:eastAsia="zh-CN"/>
        </w:rPr>
        <w:t>、</w:t>
      </w:r>
      <w:r>
        <w:rPr>
          <w:rFonts w:hint="eastAsia" w:ascii="宋体" w:hAnsi="宋体" w:eastAsia="宋体"/>
          <w:color w:val="auto"/>
          <w:sz w:val="24"/>
        </w:rPr>
        <w:t>具有良好的商业信誉和健全的财务会计制度：提供《资格</w:t>
      </w:r>
      <w:r>
        <w:rPr>
          <w:rFonts w:hint="eastAsia" w:ascii="宋体" w:hAnsi="宋体"/>
          <w:color w:val="0000FF"/>
          <w:sz w:val="24"/>
          <w:lang w:val="en-US" w:eastAsia="zh-CN"/>
        </w:rPr>
        <w:t>承诺</w:t>
      </w:r>
      <w:r>
        <w:rPr>
          <w:rFonts w:hint="eastAsia" w:ascii="宋体" w:hAnsi="宋体" w:eastAsia="宋体"/>
          <w:color w:val="auto"/>
          <w:sz w:val="24"/>
        </w:rPr>
        <w:t>函》。</w:t>
      </w:r>
    </w:p>
    <w:p w14:paraId="1A4FE669">
      <w:pPr>
        <w:pStyle w:val="16"/>
        <w:keepNext w:val="0"/>
        <w:keepLines w:val="0"/>
        <w:pageBreakBefore w:val="0"/>
        <w:kinsoku/>
        <w:wordWrap/>
        <w:overflowPunct/>
        <w:topLinePunct w:val="0"/>
        <w:autoSpaceDN/>
        <w:bidi w:val="0"/>
        <w:spacing w:line="360" w:lineRule="auto"/>
        <w:ind w:firstLine="480" w:firstLineChars="200"/>
        <w:jc w:val="both"/>
        <w:textAlignment w:val="auto"/>
        <w:rPr>
          <w:rFonts w:hint="default" w:ascii="宋体" w:hAnsi="宋体" w:eastAsia="宋体"/>
          <w:color w:val="auto"/>
          <w:sz w:val="24"/>
        </w:rPr>
      </w:pPr>
      <w:r>
        <w:rPr>
          <w:rFonts w:hint="eastAsia" w:ascii="宋体" w:hAnsi="宋体" w:eastAsia="宋体"/>
          <w:color w:val="auto"/>
          <w:sz w:val="24"/>
        </w:rPr>
        <w:t>4</w:t>
      </w:r>
      <w:r>
        <w:rPr>
          <w:rFonts w:hint="eastAsia" w:ascii="宋体" w:hAnsi="宋体" w:eastAsia="宋体"/>
          <w:color w:val="auto"/>
          <w:sz w:val="24"/>
          <w:lang w:eastAsia="zh-CN"/>
        </w:rPr>
        <w:t>、</w:t>
      </w:r>
      <w:r>
        <w:rPr>
          <w:rFonts w:hint="eastAsia" w:ascii="宋体" w:hAnsi="宋体" w:eastAsia="宋体"/>
          <w:color w:val="auto"/>
          <w:sz w:val="24"/>
        </w:rPr>
        <w:t>履行合同所必需的设备和专业技术能力：提供《资格</w:t>
      </w:r>
      <w:r>
        <w:rPr>
          <w:rFonts w:hint="eastAsia" w:ascii="宋体" w:hAnsi="宋体"/>
          <w:color w:val="0000FF"/>
          <w:sz w:val="24"/>
          <w:lang w:val="en-US" w:eastAsia="zh-CN"/>
        </w:rPr>
        <w:t>承诺</w:t>
      </w:r>
      <w:r>
        <w:rPr>
          <w:rFonts w:hint="eastAsia" w:ascii="宋体" w:hAnsi="宋体" w:eastAsia="宋体"/>
          <w:color w:val="auto"/>
          <w:sz w:val="24"/>
        </w:rPr>
        <w:t>函》。</w:t>
      </w:r>
    </w:p>
    <w:p w14:paraId="431B7C5B">
      <w:pPr>
        <w:pStyle w:val="16"/>
        <w:keepNext w:val="0"/>
        <w:keepLines w:val="0"/>
        <w:pageBreakBefore w:val="0"/>
        <w:kinsoku/>
        <w:wordWrap/>
        <w:overflowPunct/>
        <w:topLinePunct w:val="0"/>
        <w:autoSpaceDN/>
        <w:bidi w:val="0"/>
        <w:spacing w:line="360" w:lineRule="auto"/>
        <w:ind w:firstLine="480" w:firstLineChars="200"/>
        <w:jc w:val="both"/>
        <w:textAlignment w:val="auto"/>
        <w:rPr>
          <w:rFonts w:hint="default" w:ascii="宋体" w:hAnsi="宋体" w:eastAsia="宋体"/>
          <w:color w:val="auto"/>
          <w:sz w:val="24"/>
        </w:rPr>
      </w:pPr>
      <w:r>
        <w:rPr>
          <w:rFonts w:hint="eastAsia" w:ascii="宋体" w:hAnsi="宋体" w:eastAsia="宋体"/>
          <w:color w:val="auto"/>
          <w:sz w:val="24"/>
        </w:rPr>
        <w:t>5</w:t>
      </w:r>
      <w:r>
        <w:rPr>
          <w:rFonts w:hint="eastAsia" w:ascii="宋体" w:hAnsi="宋体" w:eastAsia="宋体"/>
          <w:color w:val="auto"/>
          <w:sz w:val="24"/>
          <w:lang w:eastAsia="zh-CN"/>
        </w:rPr>
        <w:t>、</w:t>
      </w:r>
      <w:r>
        <w:rPr>
          <w:rFonts w:hint="eastAsia" w:ascii="宋体" w:hAnsi="宋体" w:eastAsia="宋体"/>
          <w:color w:val="auto"/>
          <w:sz w:val="24"/>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资格</w:t>
      </w:r>
      <w:r>
        <w:rPr>
          <w:rFonts w:hint="eastAsia" w:ascii="宋体" w:hAnsi="宋体"/>
          <w:color w:val="0000FF"/>
          <w:sz w:val="24"/>
          <w:lang w:val="en-US" w:eastAsia="zh-CN"/>
        </w:rPr>
        <w:t>承诺</w:t>
      </w:r>
      <w:r>
        <w:rPr>
          <w:rFonts w:hint="eastAsia" w:ascii="宋体" w:hAnsi="宋体" w:eastAsia="宋体"/>
          <w:color w:val="auto"/>
          <w:sz w:val="24"/>
        </w:rPr>
        <w:t>函》。</w:t>
      </w:r>
    </w:p>
    <w:p w14:paraId="378D68C2">
      <w:pPr>
        <w:pStyle w:val="16"/>
        <w:keepNext w:val="0"/>
        <w:keepLines w:val="0"/>
        <w:pageBreakBefore w:val="0"/>
        <w:kinsoku/>
        <w:wordWrap/>
        <w:overflowPunct/>
        <w:topLinePunct w:val="0"/>
        <w:autoSpaceDN/>
        <w:bidi w:val="0"/>
        <w:spacing w:line="360" w:lineRule="auto"/>
        <w:ind w:firstLine="480" w:firstLineChars="200"/>
        <w:jc w:val="both"/>
        <w:textAlignment w:val="auto"/>
        <w:rPr>
          <w:rFonts w:hint="default" w:ascii="宋体" w:hAnsi="宋体" w:eastAsia="宋体"/>
          <w:color w:val="auto"/>
          <w:sz w:val="24"/>
        </w:rPr>
      </w:pPr>
      <w:r>
        <w:rPr>
          <w:rFonts w:hint="eastAsia" w:ascii="宋体" w:hAnsi="宋体" w:eastAsia="宋体"/>
          <w:color w:val="auto"/>
          <w:sz w:val="24"/>
          <w:lang w:eastAsia="zh-CN"/>
        </w:rPr>
        <w:t>（</w:t>
      </w:r>
      <w:r>
        <w:rPr>
          <w:rFonts w:hint="eastAsia" w:ascii="宋体" w:hAnsi="宋体" w:eastAsia="宋体"/>
          <w:color w:val="auto"/>
          <w:sz w:val="24"/>
          <w:lang w:val="en-US" w:eastAsia="zh-CN"/>
        </w:rPr>
        <w:t>二</w:t>
      </w:r>
      <w:r>
        <w:rPr>
          <w:rFonts w:hint="eastAsia" w:ascii="宋体" w:hAnsi="宋体" w:eastAsia="宋体"/>
          <w:color w:val="auto"/>
          <w:sz w:val="24"/>
          <w:lang w:eastAsia="zh-CN"/>
        </w:rPr>
        <w:t>）</w:t>
      </w:r>
      <w:r>
        <w:rPr>
          <w:rFonts w:hint="eastAsia" w:ascii="宋体" w:hAnsi="宋体" w:eastAsia="宋体"/>
          <w:color w:val="auto"/>
          <w:sz w:val="24"/>
        </w:rPr>
        <w:t>落实政府采购政策需满足的资格要求：本项目专门面向</w:t>
      </w:r>
      <w:r>
        <w:rPr>
          <w:rFonts w:hint="eastAsia" w:ascii="宋体" w:hAnsi="宋体" w:eastAsia="宋体"/>
          <w:color w:val="0000FF"/>
          <w:sz w:val="24"/>
        </w:rPr>
        <w:t>中小企业</w:t>
      </w:r>
      <w:r>
        <w:rPr>
          <w:rFonts w:hint="eastAsia" w:ascii="宋体" w:hAnsi="宋体" w:eastAsia="宋体"/>
          <w:color w:val="auto"/>
          <w:sz w:val="24"/>
        </w:rPr>
        <w:t>采购。</w:t>
      </w:r>
    </w:p>
    <w:p w14:paraId="7CF28F67">
      <w:pPr>
        <w:pStyle w:val="16"/>
        <w:keepNext w:val="0"/>
        <w:keepLines w:val="0"/>
        <w:pageBreakBefore w:val="0"/>
        <w:kinsoku/>
        <w:wordWrap/>
        <w:overflowPunct/>
        <w:topLinePunct w:val="0"/>
        <w:autoSpaceDN/>
        <w:bidi w:val="0"/>
        <w:spacing w:line="360" w:lineRule="auto"/>
        <w:ind w:firstLine="480" w:firstLineChars="200"/>
        <w:jc w:val="both"/>
        <w:textAlignment w:val="auto"/>
        <w:rPr>
          <w:rFonts w:hint="default" w:ascii="宋体" w:hAnsi="宋体" w:eastAsia="宋体"/>
          <w:color w:val="auto"/>
          <w:sz w:val="24"/>
        </w:rPr>
      </w:pPr>
      <w:r>
        <w:rPr>
          <w:rFonts w:hint="eastAsia" w:ascii="宋体" w:hAnsi="宋体" w:eastAsia="宋体"/>
          <w:color w:val="auto"/>
          <w:sz w:val="24"/>
          <w:lang w:eastAsia="zh-CN"/>
        </w:rPr>
        <w:t>（</w:t>
      </w:r>
      <w:r>
        <w:rPr>
          <w:rFonts w:hint="eastAsia" w:ascii="宋体" w:hAnsi="宋体" w:eastAsia="宋体"/>
          <w:color w:val="auto"/>
          <w:sz w:val="24"/>
          <w:lang w:val="en-US" w:eastAsia="zh-CN"/>
        </w:rPr>
        <w:t>三</w:t>
      </w:r>
      <w:r>
        <w:rPr>
          <w:rFonts w:hint="eastAsia" w:ascii="宋体" w:hAnsi="宋体" w:eastAsia="宋体"/>
          <w:color w:val="auto"/>
          <w:sz w:val="24"/>
          <w:lang w:eastAsia="zh-CN"/>
        </w:rPr>
        <w:t>）</w:t>
      </w:r>
      <w:r>
        <w:rPr>
          <w:rFonts w:hint="eastAsia" w:ascii="宋体" w:hAnsi="宋体" w:eastAsia="宋体"/>
          <w:color w:val="auto"/>
          <w:sz w:val="24"/>
        </w:rPr>
        <w:t>本项目特定的资格要求：</w:t>
      </w:r>
    </w:p>
    <w:p w14:paraId="6C66E77B">
      <w:pPr>
        <w:pStyle w:val="16"/>
        <w:keepNext w:val="0"/>
        <w:keepLines w:val="0"/>
        <w:pageBreakBefore w:val="0"/>
        <w:kinsoku/>
        <w:wordWrap/>
        <w:overflowPunct/>
        <w:topLinePunct w:val="0"/>
        <w:autoSpaceDN/>
        <w:bidi w:val="0"/>
        <w:spacing w:line="360" w:lineRule="auto"/>
        <w:ind w:firstLine="480" w:firstLineChars="200"/>
        <w:jc w:val="both"/>
        <w:textAlignment w:val="auto"/>
        <w:rPr>
          <w:rFonts w:hint="default" w:ascii="宋体" w:hAnsi="宋体" w:eastAsia="宋体"/>
          <w:color w:val="auto"/>
          <w:sz w:val="24"/>
        </w:rPr>
      </w:pPr>
      <w:r>
        <w:rPr>
          <w:rFonts w:hint="eastAsia" w:ascii="宋体" w:hAnsi="宋体" w:eastAsia="宋体"/>
          <w:color w:val="auto"/>
          <w:sz w:val="24"/>
        </w:rPr>
        <w:t>1</w:t>
      </w:r>
      <w:r>
        <w:rPr>
          <w:rFonts w:hint="eastAsia" w:ascii="宋体" w:hAnsi="宋体" w:eastAsia="宋体"/>
          <w:color w:val="auto"/>
          <w:sz w:val="24"/>
          <w:lang w:eastAsia="zh-CN"/>
        </w:rPr>
        <w:t>、</w:t>
      </w:r>
      <w:r>
        <w:rPr>
          <w:rFonts w:hint="eastAsia" w:ascii="宋体" w:hAnsi="宋体" w:eastAsia="宋体"/>
          <w:color w:val="auto"/>
          <w:sz w:val="24"/>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242FC4AD">
      <w:pPr>
        <w:pStyle w:val="16"/>
        <w:keepNext w:val="0"/>
        <w:keepLines w:val="0"/>
        <w:pageBreakBefore w:val="0"/>
        <w:kinsoku/>
        <w:wordWrap/>
        <w:overflowPunct/>
        <w:topLinePunct w:val="0"/>
        <w:autoSpaceDN/>
        <w:bidi w:val="0"/>
        <w:spacing w:line="360" w:lineRule="auto"/>
        <w:ind w:firstLine="480" w:firstLineChars="200"/>
        <w:jc w:val="both"/>
        <w:textAlignment w:val="auto"/>
        <w:rPr>
          <w:rFonts w:hint="eastAsia" w:ascii="宋体" w:hAnsi="宋体" w:eastAsia="宋体"/>
          <w:color w:val="auto"/>
          <w:sz w:val="24"/>
          <w:lang w:eastAsia="zh-CN"/>
        </w:rPr>
      </w:pPr>
      <w:r>
        <w:rPr>
          <w:rFonts w:hint="eastAsia" w:ascii="宋体" w:hAnsi="宋体" w:eastAsia="宋体"/>
          <w:color w:val="auto"/>
          <w:sz w:val="24"/>
        </w:rPr>
        <w:t>2</w:t>
      </w:r>
      <w:r>
        <w:rPr>
          <w:rFonts w:hint="eastAsia" w:ascii="宋体" w:hAnsi="宋体" w:eastAsia="宋体"/>
          <w:color w:val="auto"/>
          <w:sz w:val="24"/>
          <w:lang w:eastAsia="zh-CN"/>
        </w:rPr>
        <w:t>、</w:t>
      </w:r>
      <w:r>
        <w:rPr>
          <w:rFonts w:hint="eastAsia" w:ascii="宋体" w:hAnsi="宋体" w:eastAsia="宋体"/>
          <w:color w:val="auto"/>
          <w:sz w:val="24"/>
        </w:rPr>
        <w:t>单位负责人为同一人或者存在直接控股、管理关系的不同供应商，不得同时参加本采购项目（或采购包）投标（响应）。提供《资格声明函》</w:t>
      </w:r>
      <w:r>
        <w:rPr>
          <w:rFonts w:hint="eastAsia" w:ascii="宋体" w:hAnsi="宋体" w:eastAsia="宋体"/>
          <w:color w:val="auto"/>
          <w:sz w:val="24"/>
          <w:lang w:eastAsia="zh-CN"/>
        </w:rPr>
        <w:t>。</w:t>
      </w:r>
    </w:p>
    <w:p w14:paraId="7951183C">
      <w:pPr>
        <w:pStyle w:val="16"/>
        <w:keepNext w:val="0"/>
        <w:keepLines w:val="0"/>
        <w:pageBreakBefore w:val="0"/>
        <w:kinsoku/>
        <w:wordWrap/>
        <w:overflowPunct/>
        <w:topLinePunct w:val="0"/>
        <w:autoSpaceDN/>
        <w:bidi w:val="0"/>
        <w:spacing w:line="360" w:lineRule="auto"/>
        <w:ind w:firstLine="480" w:firstLineChars="200"/>
        <w:jc w:val="both"/>
        <w:textAlignment w:val="auto"/>
        <w:rPr>
          <w:rFonts w:hint="default" w:ascii="宋体" w:hAnsi="宋体" w:eastAsia="宋体"/>
          <w:color w:val="auto"/>
          <w:sz w:val="24"/>
        </w:rPr>
      </w:pPr>
      <w:r>
        <w:rPr>
          <w:rFonts w:hint="eastAsia" w:ascii="宋体" w:hAnsi="宋体" w:eastAsia="宋体"/>
          <w:color w:val="auto"/>
          <w:sz w:val="24"/>
          <w:lang w:eastAsia="zh-CN"/>
        </w:rPr>
        <w:t>3、</w:t>
      </w:r>
      <w:r>
        <w:rPr>
          <w:rFonts w:hint="eastAsia" w:ascii="宋体" w:hAnsi="宋体" w:eastAsia="宋体"/>
          <w:color w:val="auto"/>
          <w:sz w:val="24"/>
        </w:rPr>
        <w:t>为本项目提供整体设计、规范编制或者项目管理、监理、检测等服务的供应商，不得再参与本项目投标（响应）。提供《资格声明函》</w:t>
      </w:r>
    </w:p>
    <w:p w14:paraId="3DF8D854">
      <w:pPr>
        <w:pStyle w:val="16"/>
        <w:keepNext w:val="0"/>
        <w:keepLines w:val="0"/>
        <w:pageBreakBefore w:val="0"/>
        <w:kinsoku/>
        <w:wordWrap/>
        <w:overflowPunct/>
        <w:topLinePunct w:val="0"/>
        <w:autoSpaceDN/>
        <w:bidi w:val="0"/>
        <w:spacing w:line="360" w:lineRule="auto"/>
        <w:ind w:firstLine="480" w:firstLineChars="200"/>
        <w:jc w:val="both"/>
        <w:textAlignment w:val="auto"/>
        <w:rPr>
          <w:rFonts w:hint="eastAsia" w:ascii="宋体" w:hAnsi="宋体" w:eastAsia="宋体"/>
          <w:color w:val="auto"/>
          <w:sz w:val="24"/>
        </w:rPr>
      </w:pPr>
      <w:r>
        <w:rPr>
          <w:rFonts w:hint="eastAsia" w:ascii="宋体" w:hAnsi="宋体" w:eastAsia="宋体"/>
          <w:color w:val="auto"/>
          <w:sz w:val="24"/>
          <w:lang w:eastAsia="zh-CN"/>
        </w:rPr>
        <w:t>（</w:t>
      </w:r>
      <w:r>
        <w:rPr>
          <w:rFonts w:hint="eastAsia" w:ascii="宋体" w:hAnsi="宋体" w:eastAsia="宋体"/>
          <w:color w:val="auto"/>
          <w:sz w:val="24"/>
          <w:lang w:val="en-US" w:eastAsia="zh-CN"/>
        </w:rPr>
        <w:t>四</w:t>
      </w:r>
      <w:r>
        <w:rPr>
          <w:rFonts w:hint="eastAsia" w:ascii="宋体" w:hAnsi="宋体" w:eastAsia="宋体"/>
          <w:color w:val="auto"/>
          <w:sz w:val="24"/>
          <w:lang w:eastAsia="zh-CN"/>
        </w:rPr>
        <w:t>）</w:t>
      </w:r>
      <w:r>
        <w:rPr>
          <w:rFonts w:hint="eastAsia" w:ascii="宋体" w:hAnsi="宋体" w:eastAsia="宋体"/>
          <w:color w:val="auto"/>
          <w:sz w:val="24"/>
        </w:rPr>
        <w:t>本项目接受联合体投标。</w:t>
      </w:r>
    </w:p>
    <w:p w14:paraId="03F57EAF">
      <w:pPr>
        <w:pStyle w:val="16"/>
        <w:keepNext w:val="0"/>
        <w:keepLines w:val="0"/>
        <w:pageBreakBefore w:val="0"/>
        <w:kinsoku/>
        <w:wordWrap/>
        <w:overflowPunct/>
        <w:topLinePunct w:val="0"/>
        <w:autoSpaceDN/>
        <w:bidi w:val="0"/>
        <w:spacing w:line="360" w:lineRule="auto"/>
        <w:ind w:firstLine="480" w:firstLineChars="200"/>
        <w:jc w:val="both"/>
        <w:textAlignment w:val="auto"/>
        <w:rPr>
          <w:rFonts w:hint="eastAsia" w:ascii="宋体" w:hAnsi="宋体" w:eastAsia="宋体"/>
          <w:color w:val="auto"/>
          <w:sz w:val="24"/>
        </w:rPr>
      </w:pPr>
      <w:r>
        <w:rPr>
          <w:rFonts w:hint="eastAsia" w:ascii="宋体" w:hAnsi="宋体" w:eastAsia="宋体"/>
          <w:color w:val="auto"/>
          <w:sz w:val="24"/>
          <w:lang w:eastAsia="zh-CN"/>
        </w:rPr>
        <w:t>（</w:t>
      </w:r>
      <w:r>
        <w:rPr>
          <w:rFonts w:hint="eastAsia" w:ascii="宋体" w:hAnsi="宋体" w:eastAsia="宋体"/>
          <w:color w:val="auto"/>
          <w:sz w:val="24"/>
          <w:lang w:val="en-US" w:eastAsia="zh-CN"/>
        </w:rPr>
        <w:t>五</w:t>
      </w:r>
      <w:r>
        <w:rPr>
          <w:rFonts w:hint="eastAsia" w:ascii="宋体" w:hAnsi="宋体" w:eastAsia="宋体"/>
          <w:color w:val="auto"/>
          <w:sz w:val="24"/>
          <w:lang w:eastAsia="zh-CN"/>
        </w:rPr>
        <w:t>）</w:t>
      </w:r>
      <w:r>
        <w:rPr>
          <w:rFonts w:hint="eastAsia" w:ascii="宋体" w:hAnsi="宋体" w:eastAsia="宋体"/>
          <w:color w:val="auto"/>
          <w:sz w:val="24"/>
        </w:rPr>
        <w:t>投标人须具有有效期内的林业调查规划设计</w:t>
      </w:r>
      <w:r>
        <w:rPr>
          <w:rFonts w:hint="eastAsia" w:ascii="宋体" w:hAnsi="宋体" w:eastAsia="宋体"/>
          <w:color w:val="auto"/>
          <w:sz w:val="24"/>
          <w:lang w:val="en-US" w:eastAsia="zh-CN"/>
        </w:rPr>
        <w:t>丙</w:t>
      </w:r>
      <w:r>
        <w:rPr>
          <w:rFonts w:hint="eastAsia" w:ascii="宋体" w:hAnsi="宋体" w:eastAsia="宋体"/>
          <w:color w:val="auto"/>
          <w:sz w:val="24"/>
        </w:rPr>
        <w:t>级</w:t>
      </w:r>
      <w:r>
        <w:rPr>
          <w:rFonts w:hint="eastAsia" w:ascii="宋体" w:hAnsi="宋体" w:eastAsia="宋体"/>
          <w:color w:val="auto"/>
          <w:sz w:val="24"/>
        </w:rPr>
        <w:t>或以上资质。</w:t>
      </w:r>
    </w:p>
    <w:p w14:paraId="1014677F">
      <w:pPr>
        <w:pStyle w:val="2"/>
        <w:keepNext/>
        <w:keepLines/>
        <w:pageBreakBefore w:val="0"/>
        <w:widowControl/>
        <w:kinsoku/>
        <w:wordWrap/>
        <w:overflowPunct/>
        <w:topLinePunct w:val="0"/>
        <w:autoSpaceDE/>
        <w:autoSpaceDN/>
        <w:bidi w:val="0"/>
        <w:adjustRightInd/>
        <w:snapToGrid/>
        <w:spacing w:before="157" w:beforeLines="50" w:after="157" w:afterLines="50" w:line="480" w:lineRule="auto"/>
        <w:ind w:left="0" w:right="0"/>
        <w:jc w:val="left"/>
        <w:textAlignment w:val="auto"/>
        <w:rPr>
          <w:rFonts w:hint="eastAsia"/>
          <w:b/>
          <w:sz w:val="32"/>
          <w:szCs w:val="32"/>
        </w:rPr>
      </w:pPr>
      <w:r>
        <w:rPr>
          <w:rFonts w:hint="eastAsia"/>
          <w:b/>
          <w:sz w:val="32"/>
          <w:szCs w:val="32"/>
        </w:rPr>
        <w:t>二、采购项目需求一览表</w:t>
      </w:r>
    </w:p>
    <w:tbl>
      <w:tblPr>
        <w:tblStyle w:val="12"/>
        <w:tblW w:w="8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188"/>
        <w:gridCol w:w="984"/>
        <w:gridCol w:w="1299"/>
        <w:gridCol w:w="2323"/>
      </w:tblGrid>
      <w:tr w14:paraId="7E66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55" w:type="dxa"/>
            <w:vAlign w:val="center"/>
          </w:tcPr>
          <w:p w14:paraId="00E5F6C3">
            <w:pPr>
              <w:keepNext w:val="0"/>
              <w:keepLines w:val="0"/>
              <w:pageBreakBefore w:val="0"/>
              <w:widowControl/>
              <w:kinsoku/>
              <w:wordWrap/>
              <w:overflowPunct/>
              <w:topLinePunct w:val="0"/>
              <w:autoSpaceDE/>
              <w:autoSpaceDN/>
              <w:bidi w:val="0"/>
              <w:adjustRightInd/>
              <w:snapToGrid/>
              <w:spacing w:line="320" w:lineRule="exact"/>
              <w:ind w:left="0" w:right="0" w:firstLine="0" w:firstLineChars="0"/>
              <w:jc w:val="center"/>
              <w:textAlignment w:val="auto"/>
              <w:rPr>
                <w:rFonts w:hint="eastAsia" w:eastAsia="宋体"/>
                <w:b/>
                <w:bCs/>
                <w:color w:val="auto"/>
                <w:sz w:val="24"/>
                <w:lang w:val="en-US" w:eastAsia="zh-CN"/>
              </w:rPr>
            </w:pPr>
            <w:r>
              <w:rPr>
                <w:rFonts w:hint="eastAsia"/>
                <w:b/>
                <w:bCs/>
                <w:color w:val="auto"/>
                <w:sz w:val="24"/>
              </w:rPr>
              <w:t>编</w:t>
            </w:r>
            <w:r>
              <w:rPr>
                <w:rFonts w:hint="eastAsia"/>
                <w:b/>
                <w:bCs/>
                <w:color w:val="auto"/>
                <w:sz w:val="24"/>
                <w:lang w:val="en-US" w:eastAsia="zh-CN"/>
              </w:rPr>
              <w:t>号</w:t>
            </w:r>
          </w:p>
        </w:tc>
        <w:tc>
          <w:tcPr>
            <w:tcW w:w="3188" w:type="dxa"/>
            <w:vAlign w:val="center"/>
          </w:tcPr>
          <w:p w14:paraId="6DD67467">
            <w:pPr>
              <w:keepNext w:val="0"/>
              <w:keepLines w:val="0"/>
              <w:pageBreakBefore w:val="0"/>
              <w:widowControl/>
              <w:kinsoku/>
              <w:wordWrap/>
              <w:overflowPunct/>
              <w:topLinePunct w:val="0"/>
              <w:autoSpaceDE/>
              <w:autoSpaceDN/>
              <w:bidi w:val="0"/>
              <w:adjustRightInd/>
              <w:snapToGrid/>
              <w:spacing w:line="320" w:lineRule="exact"/>
              <w:ind w:left="0" w:right="0" w:firstLine="0" w:firstLineChars="0"/>
              <w:jc w:val="center"/>
              <w:textAlignment w:val="auto"/>
              <w:rPr>
                <w:b/>
                <w:bCs/>
                <w:color w:val="auto"/>
                <w:sz w:val="24"/>
              </w:rPr>
            </w:pPr>
            <w:r>
              <w:rPr>
                <w:rFonts w:hint="eastAsia"/>
                <w:b/>
                <w:bCs/>
                <w:color w:val="auto"/>
                <w:sz w:val="24"/>
              </w:rPr>
              <w:t>采购标的</w:t>
            </w:r>
          </w:p>
        </w:tc>
        <w:tc>
          <w:tcPr>
            <w:tcW w:w="984" w:type="dxa"/>
            <w:vAlign w:val="center"/>
          </w:tcPr>
          <w:p w14:paraId="7542D2B2">
            <w:pPr>
              <w:keepNext w:val="0"/>
              <w:keepLines w:val="0"/>
              <w:pageBreakBefore w:val="0"/>
              <w:widowControl/>
              <w:kinsoku/>
              <w:wordWrap/>
              <w:overflowPunct/>
              <w:topLinePunct w:val="0"/>
              <w:autoSpaceDE/>
              <w:autoSpaceDN/>
              <w:bidi w:val="0"/>
              <w:adjustRightInd/>
              <w:snapToGrid/>
              <w:spacing w:line="320" w:lineRule="exact"/>
              <w:ind w:left="0" w:right="0" w:firstLine="0" w:firstLineChars="0"/>
              <w:jc w:val="center"/>
              <w:textAlignment w:val="auto"/>
              <w:rPr>
                <w:b/>
                <w:bCs/>
                <w:color w:val="auto"/>
                <w:sz w:val="24"/>
              </w:rPr>
            </w:pPr>
            <w:r>
              <w:rPr>
                <w:rFonts w:hint="eastAsia"/>
                <w:b/>
                <w:bCs/>
                <w:color w:val="auto"/>
                <w:sz w:val="24"/>
              </w:rPr>
              <w:t>数量</w:t>
            </w:r>
          </w:p>
        </w:tc>
        <w:tc>
          <w:tcPr>
            <w:tcW w:w="1299" w:type="dxa"/>
            <w:vAlign w:val="center"/>
          </w:tcPr>
          <w:p w14:paraId="70E3E372">
            <w:pPr>
              <w:keepNext w:val="0"/>
              <w:keepLines w:val="0"/>
              <w:pageBreakBefore w:val="0"/>
              <w:widowControl/>
              <w:kinsoku/>
              <w:wordWrap/>
              <w:overflowPunct/>
              <w:topLinePunct w:val="0"/>
              <w:autoSpaceDE/>
              <w:autoSpaceDN/>
              <w:bidi w:val="0"/>
              <w:adjustRightInd/>
              <w:snapToGrid/>
              <w:spacing w:line="320" w:lineRule="exact"/>
              <w:ind w:left="0" w:right="0" w:firstLine="0" w:firstLineChars="0"/>
              <w:jc w:val="center"/>
              <w:textAlignment w:val="auto"/>
              <w:rPr>
                <w:rFonts w:hint="eastAsia"/>
                <w:b/>
                <w:bCs/>
                <w:color w:val="auto"/>
                <w:sz w:val="24"/>
              </w:rPr>
            </w:pPr>
            <w:r>
              <w:rPr>
                <w:rFonts w:hint="eastAsia"/>
                <w:b/>
                <w:bCs/>
                <w:color w:val="auto"/>
                <w:sz w:val="24"/>
              </w:rPr>
              <w:t>主要技术</w:t>
            </w:r>
          </w:p>
          <w:p w14:paraId="3AD27206">
            <w:pPr>
              <w:keepNext w:val="0"/>
              <w:keepLines w:val="0"/>
              <w:pageBreakBefore w:val="0"/>
              <w:widowControl/>
              <w:kinsoku/>
              <w:wordWrap/>
              <w:overflowPunct/>
              <w:topLinePunct w:val="0"/>
              <w:autoSpaceDE/>
              <w:autoSpaceDN/>
              <w:bidi w:val="0"/>
              <w:adjustRightInd/>
              <w:snapToGrid/>
              <w:spacing w:line="320" w:lineRule="exact"/>
              <w:ind w:left="0" w:right="0" w:firstLine="0" w:firstLineChars="0"/>
              <w:jc w:val="center"/>
              <w:textAlignment w:val="auto"/>
              <w:rPr>
                <w:b/>
                <w:bCs/>
                <w:color w:val="auto"/>
                <w:sz w:val="24"/>
              </w:rPr>
            </w:pPr>
            <w:r>
              <w:rPr>
                <w:rFonts w:hint="eastAsia"/>
                <w:b/>
                <w:bCs/>
                <w:color w:val="auto"/>
                <w:sz w:val="24"/>
              </w:rPr>
              <w:t>规格</w:t>
            </w:r>
          </w:p>
        </w:tc>
        <w:tc>
          <w:tcPr>
            <w:tcW w:w="2323" w:type="dxa"/>
            <w:vAlign w:val="center"/>
          </w:tcPr>
          <w:p w14:paraId="52DC6282">
            <w:pPr>
              <w:keepNext w:val="0"/>
              <w:keepLines w:val="0"/>
              <w:pageBreakBefore w:val="0"/>
              <w:widowControl/>
              <w:kinsoku/>
              <w:wordWrap/>
              <w:overflowPunct/>
              <w:topLinePunct w:val="0"/>
              <w:autoSpaceDE/>
              <w:autoSpaceDN/>
              <w:bidi w:val="0"/>
              <w:adjustRightInd/>
              <w:snapToGrid/>
              <w:spacing w:line="320" w:lineRule="exact"/>
              <w:ind w:left="0" w:right="0" w:firstLine="0" w:firstLineChars="0"/>
              <w:jc w:val="center"/>
              <w:textAlignment w:val="auto"/>
              <w:rPr>
                <w:b/>
                <w:bCs/>
                <w:color w:val="auto"/>
                <w:sz w:val="24"/>
              </w:rPr>
            </w:pPr>
            <w:r>
              <w:rPr>
                <w:rFonts w:hint="eastAsia"/>
                <w:b/>
                <w:bCs/>
                <w:color w:val="auto"/>
                <w:sz w:val="24"/>
              </w:rPr>
              <w:t>预算金额（元）</w:t>
            </w:r>
          </w:p>
        </w:tc>
      </w:tr>
      <w:tr w14:paraId="4534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855" w:type="dxa"/>
            <w:vAlign w:val="center"/>
          </w:tcPr>
          <w:p w14:paraId="6AE40188">
            <w:pPr>
              <w:keepNext w:val="0"/>
              <w:keepLines w:val="0"/>
              <w:pageBreakBefore w:val="0"/>
              <w:widowControl/>
              <w:kinsoku/>
              <w:wordWrap/>
              <w:overflowPunct/>
              <w:topLinePunct w:val="0"/>
              <w:autoSpaceDE/>
              <w:autoSpaceDN/>
              <w:bidi w:val="0"/>
              <w:adjustRightInd/>
              <w:snapToGrid/>
              <w:spacing w:line="320" w:lineRule="exact"/>
              <w:ind w:left="0" w:right="0" w:firstLine="0" w:firstLineChars="0"/>
              <w:jc w:val="center"/>
              <w:textAlignment w:val="auto"/>
              <w:rPr>
                <w:color w:val="auto"/>
                <w:sz w:val="24"/>
              </w:rPr>
            </w:pPr>
            <w:r>
              <w:rPr>
                <w:rFonts w:hint="eastAsia"/>
                <w:color w:val="auto"/>
                <w:sz w:val="24"/>
              </w:rPr>
              <w:t>1</w:t>
            </w:r>
          </w:p>
        </w:tc>
        <w:tc>
          <w:tcPr>
            <w:tcW w:w="3188" w:type="dxa"/>
            <w:vAlign w:val="center"/>
          </w:tcPr>
          <w:p w14:paraId="49DC3A5D">
            <w:pPr>
              <w:keepNext w:val="0"/>
              <w:keepLines w:val="0"/>
              <w:pageBreakBefore w:val="0"/>
              <w:widowControl/>
              <w:kinsoku/>
              <w:wordWrap/>
              <w:overflowPunct/>
              <w:topLinePunct w:val="0"/>
              <w:autoSpaceDE/>
              <w:autoSpaceDN/>
              <w:bidi w:val="0"/>
              <w:adjustRightInd/>
              <w:snapToGrid/>
              <w:spacing w:line="320" w:lineRule="exact"/>
              <w:ind w:left="0" w:right="0" w:firstLine="0" w:firstLineChars="0"/>
              <w:jc w:val="center"/>
              <w:textAlignment w:val="auto"/>
              <w:rPr>
                <w:rFonts w:hint="default" w:eastAsia="宋体"/>
                <w:color w:val="auto"/>
                <w:sz w:val="24"/>
                <w:lang w:val="en-US" w:eastAsia="zh-CN"/>
              </w:rPr>
            </w:pPr>
            <w:r>
              <w:rPr>
                <w:rFonts w:hint="eastAsia"/>
                <w:color w:val="auto"/>
                <w:sz w:val="24"/>
              </w:rPr>
              <w:t>广东西江流域（云浮市</w:t>
            </w:r>
            <w:r>
              <w:rPr>
                <w:rFonts w:hint="eastAsia"/>
                <w:color w:val="auto"/>
                <w:sz w:val="24"/>
                <w:lang w:eastAsia="zh-CN"/>
              </w:rPr>
              <w:t>罗定市</w:t>
            </w:r>
            <w:r>
              <w:rPr>
                <w:rFonts w:hint="eastAsia"/>
                <w:color w:val="auto"/>
                <w:sz w:val="24"/>
              </w:rPr>
              <w:t>）中央财政国土绿化示范项目</w:t>
            </w:r>
            <w:r>
              <w:rPr>
                <w:rFonts w:hint="eastAsia"/>
                <w:color w:val="auto"/>
                <w:sz w:val="24"/>
                <w:lang w:val="en-US" w:eastAsia="zh-CN"/>
              </w:rPr>
              <w:t>作业</w:t>
            </w:r>
            <w:r>
              <w:rPr>
                <w:rFonts w:hint="eastAsia"/>
                <w:color w:val="auto"/>
                <w:sz w:val="24"/>
              </w:rPr>
              <w:t>设计</w:t>
            </w:r>
            <w:r>
              <w:rPr>
                <w:rFonts w:hint="eastAsia"/>
                <w:color w:val="auto"/>
                <w:sz w:val="24"/>
                <w:lang w:val="en-US" w:eastAsia="zh-CN"/>
              </w:rPr>
              <w:t>技术服务</w:t>
            </w:r>
          </w:p>
        </w:tc>
        <w:tc>
          <w:tcPr>
            <w:tcW w:w="984" w:type="dxa"/>
            <w:vAlign w:val="center"/>
          </w:tcPr>
          <w:p w14:paraId="727E288E">
            <w:pPr>
              <w:keepNext w:val="0"/>
              <w:keepLines w:val="0"/>
              <w:pageBreakBefore w:val="0"/>
              <w:widowControl/>
              <w:kinsoku/>
              <w:wordWrap/>
              <w:overflowPunct/>
              <w:topLinePunct w:val="0"/>
              <w:autoSpaceDE/>
              <w:autoSpaceDN/>
              <w:bidi w:val="0"/>
              <w:adjustRightInd/>
              <w:snapToGrid/>
              <w:spacing w:line="320" w:lineRule="exact"/>
              <w:ind w:left="0" w:right="0" w:firstLine="0" w:firstLineChars="0"/>
              <w:jc w:val="center"/>
              <w:textAlignment w:val="auto"/>
              <w:rPr>
                <w:color w:val="auto"/>
                <w:sz w:val="24"/>
              </w:rPr>
            </w:pPr>
            <w:r>
              <w:rPr>
                <w:rFonts w:hint="eastAsia"/>
                <w:color w:val="auto"/>
                <w:sz w:val="24"/>
              </w:rPr>
              <w:t>一项</w:t>
            </w:r>
          </w:p>
        </w:tc>
        <w:tc>
          <w:tcPr>
            <w:tcW w:w="1299" w:type="dxa"/>
            <w:vAlign w:val="center"/>
          </w:tcPr>
          <w:p w14:paraId="32461520">
            <w:pPr>
              <w:keepNext w:val="0"/>
              <w:keepLines w:val="0"/>
              <w:pageBreakBefore w:val="0"/>
              <w:widowControl/>
              <w:kinsoku/>
              <w:wordWrap/>
              <w:overflowPunct/>
              <w:topLinePunct w:val="0"/>
              <w:autoSpaceDE/>
              <w:autoSpaceDN/>
              <w:bidi w:val="0"/>
              <w:adjustRightInd/>
              <w:snapToGrid/>
              <w:spacing w:line="320" w:lineRule="exact"/>
              <w:ind w:left="0" w:right="0" w:firstLine="0" w:firstLineChars="0"/>
              <w:jc w:val="center"/>
              <w:textAlignment w:val="auto"/>
              <w:rPr>
                <w:rFonts w:hint="eastAsia"/>
                <w:color w:val="auto"/>
                <w:sz w:val="24"/>
              </w:rPr>
            </w:pPr>
            <w:r>
              <w:rPr>
                <w:rFonts w:hint="eastAsia"/>
                <w:color w:val="auto"/>
                <w:sz w:val="24"/>
              </w:rPr>
              <w:t>详见具体</w:t>
            </w:r>
          </w:p>
          <w:p w14:paraId="1AEB5611">
            <w:pPr>
              <w:keepNext w:val="0"/>
              <w:keepLines w:val="0"/>
              <w:pageBreakBefore w:val="0"/>
              <w:widowControl/>
              <w:kinsoku/>
              <w:wordWrap/>
              <w:overflowPunct/>
              <w:topLinePunct w:val="0"/>
              <w:autoSpaceDE/>
              <w:autoSpaceDN/>
              <w:bidi w:val="0"/>
              <w:adjustRightInd/>
              <w:snapToGrid/>
              <w:spacing w:line="320" w:lineRule="exact"/>
              <w:ind w:left="0" w:right="0" w:firstLine="0" w:firstLineChars="0"/>
              <w:jc w:val="center"/>
              <w:textAlignment w:val="auto"/>
              <w:rPr>
                <w:color w:val="auto"/>
                <w:sz w:val="24"/>
              </w:rPr>
            </w:pPr>
            <w:r>
              <w:rPr>
                <w:rFonts w:hint="eastAsia"/>
                <w:color w:val="auto"/>
                <w:sz w:val="24"/>
              </w:rPr>
              <w:t>需求</w:t>
            </w:r>
          </w:p>
        </w:tc>
        <w:tc>
          <w:tcPr>
            <w:tcW w:w="2323" w:type="dxa"/>
            <w:vAlign w:val="center"/>
          </w:tcPr>
          <w:p w14:paraId="55E1CC9F">
            <w:pPr>
              <w:keepNext w:val="0"/>
              <w:keepLines w:val="0"/>
              <w:pageBreakBefore w:val="0"/>
              <w:widowControl/>
              <w:kinsoku/>
              <w:wordWrap/>
              <w:overflowPunct/>
              <w:topLinePunct w:val="0"/>
              <w:autoSpaceDE/>
              <w:autoSpaceDN/>
              <w:bidi w:val="0"/>
              <w:adjustRightInd/>
              <w:snapToGrid/>
              <w:spacing w:line="320" w:lineRule="exact"/>
              <w:ind w:left="0" w:right="0" w:firstLine="0" w:firstLineChars="0"/>
              <w:jc w:val="center"/>
              <w:textAlignment w:val="auto"/>
              <w:rPr>
                <w:rFonts w:hint="default" w:ascii="宋体" w:hAnsi="宋体" w:eastAsia="宋体" w:cs="宋体"/>
                <w:color w:val="auto"/>
                <w:sz w:val="24"/>
                <w:highlight w:val="yellow"/>
                <w:lang w:val="en-US" w:eastAsia="zh-CN"/>
              </w:rPr>
            </w:pPr>
            <w:r>
              <w:rPr>
                <w:rFonts w:hint="eastAsia" w:ascii="宋体" w:hAnsi="宋体" w:cs="宋体"/>
                <w:color w:val="auto"/>
                <w:sz w:val="24"/>
                <w:lang w:val="en-US" w:eastAsia="zh-CN"/>
              </w:rPr>
              <w:t>叁佰捌拾捌万元整（¥3,880,0</w:t>
            </w:r>
            <w:r>
              <w:rPr>
                <w:rFonts w:ascii="宋体" w:hAnsi="宋体" w:cs="宋体"/>
                <w:color w:val="auto"/>
                <w:sz w:val="24"/>
              </w:rPr>
              <w:t>0</w:t>
            </w:r>
            <w:r>
              <w:rPr>
                <w:rFonts w:hint="eastAsia" w:ascii="宋体" w:hAnsi="宋体" w:cs="宋体"/>
                <w:color w:val="auto"/>
                <w:sz w:val="24"/>
                <w:lang w:val="en-US" w:eastAsia="zh-CN"/>
              </w:rPr>
              <w:t>0.00）</w:t>
            </w:r>
          </w:p>
        </w:tc>
      </w:tr>
    </w:tbl>
    <w:p w14:paraId="7B10A495">
      <w:pPr>
        <w:pStyle w:val="16"/>
        <w:keepNext w:val="0"/>
        <w:keepLines w:val="0"/>
        <w:pageBreakBefore w:val="0"/>
        <w:kinsoku/>
        <w:wordWrap/>
        <w:overflowPunct/>
        <w:topLinePunct w:val="0"/>
        <w:autoSpaceDN/>
        <w:bidi w:val="0"/>
        <w:spacing w:line="360" w:lineRule="auto"/>
        <w:ind w:firstLine="480" w:firstLineChars="200"/>
        <w:jc w:val="both"/>
        <w:textAlignment w:val="auto"/>
        <w:rPr>
          <w:rFonts w:hint="eastAsia" w:ascii="宋体" w:hAnsi="宋体"/>
          <w:color w:val="auto"/>
          <w:sz w:val="24"/>
        </w:rPr>
      </w:pPr>
      <w:r>
        <w:rPr>
          <w:rFonts w:hint="eastAsia" w:ascii="宋体" w:hAnsi="宋体"/>
          <w:color w:val="auto"/>
          <w:sz w:val="24"/>
        </w:rPr>
        <w:t>注：1．报价超出预算金额的列为无效响应处理。2．报价应为人民币含税全包价，包括但不仅限于办公、交通、人员、差旅、文件、税费、管理费以及会议评审费用等，在合同实施过程中包干使用。</w:t>
      </w:r>
    </w:p>
    <w:p w14:paraId="59A36CE8">
      <w:pPr>
        <w:pStyle w:val="2"/>
        <w:keepNext/>
        <w:keepLines/>
        <w:pageBreakBefore w:val="0"/>
        <w:widowControl/>
        <w:kinsoku/>
        <w:wordWrap/>
        <w:overflowPunct/>
        <w:topLinePunct w:val="0"/>
        <w:autoSpaceDE/>
        <w:autoSpaceDN/>
        <w:bidi w:val="0"/>
        <w:adjustRightInd/>
        <w:snapToGrid/>
        <w:spacing w:before="157" w:beforeLines="50" w:after="157" w:afterLines="50" w:line="480" w:lineRule="auto"/>
        <w:ind w:left="0" w:right="0"/>
        <w:jc w:val="left"/>
        <w:textAlignment w:val="auto"/>
        <w:rPr>
          <w:rFonts w:hint="eastAsia"/>
          <w:b/>
          <w:sz w:val="32"/>
          <w:szCs w:val="32"/>
        </w:rPr>
      </w:pPr>
      <w:r>
        <w:rPr>
          <w:rFonts w:hint="eastAsia"/>
          <w:b/>
          <w:sz w:val="32"/>
          <w:szCs w:val="32"/>
          <w:lang w:val="en-US" w:eastAsia="zh-CN"/>
        </w:rPr>
        <w:t>三、</w:t>
      </w:r>
      <w:r>
        <w:rPr>
          <w:rFonts w:hint="eastAsia"/>
          <w:b/>
          <w:sz w:val="32"/>
          <w:szCs w:val="32"/>
        </w:rPr>
        <w:t>技术服务用户需求书</w:t>
      </w:r>
    </w:p>
    <w:p w14:paraId="2B39E8FF">
      <w:pPr>
        <w:pStyle w:val="16"/>
        <w:keepNext w:val="0"/>
        <w:keepLines w:val="0"/>
        <w:pageBreakBefore w:val="0"/>
        <w:kinsoku/>
        <w:wordWrap/>
        <w:overflowPunct/>
        <w:topLinePunct w:val="0"/>
        <w:autoSpaceDN/>
        <w:bidi w:val="0"/>
        <w:spacing w:line="360" w:lineRule="auto"/>
        <w:ind w:firstLine="480" w:firstLineChars="200"/>
        <w:jc w:val="both"/>
        <w:textAlignment w:val="auto"/>
        <w:rPr>
          <w:rFonts w:hint="eastAsia" w:ascii="宋体" w:hAnsi="宋体"/>
          <w:color w:val="auto"/>
          <w:sz w:val="24"/>
        </w:rPr>
      </w:pPr>
      <w:r>
        <w:rPr>
          <w:rFonts w:hint="eastAsia" w:ascii="宋体" w:hAnsi="宋体"/>
          <w:color w:val="auto"/>
          <w:sz w:val="24"/>
        </w:rPr>
        <w:t>根据《财政部办公厅国家</w:t>
      </w:r>
      <w:r>
        <w:rPr>
          <w:rFonts w:hint="eastAsia" w:ascii="宋体" w:hAnsi="宋体"/>
          <w:color w:val="auto"/>
          <w:sz w:val="24"/>
          <w:lang w:val="en-US" w:eastAsia="zh-CN"/>
        </w:rPr>
        <w:t>林草局办</w:t>
      </w:r>
      <w:r>
        <w:rPr>
          <w:rFonts w:hint="eastAsia" w:ascii="宋体" w:hAnsi="宋体"/>
          <w:color w:val="auto"/>
          <w:sz w:val="24"/>
        </w:rPr>
        <w:t>公室关于修改完善2025年中央财政国土绿化示范项目实施方案并加快推进项目实施的通知》（财办资环〔202</w:t>
      </w: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20</w:t>
      </w:r>
      <w:r>
        <w:rPr>
          <w:rFonts w:hint="eastAsia" w:ascii="宋体" w:hAnsi="宋体"/>
          <w:color w:val="auto"/>
          <w:sz w:val="24"/>
        </w:rPr>
        <w:t>号）和《广东西江流域中央财政国土绿化示范项目实施方案》</w:t>
      </w:r>
      <w:r>
        <w:rPr>
          <w:rFonts w:hint="eastAsia" w:ascii="宋体" w:hAnsi="宋体" w:cs="宋体"/>
          <w:color w:val="auto"/>
          <w:kern w:val="0"/>
          <w:sz w:val="24"/>
        </w:rPr>
        <w:t>，</w:t>
      </w:r>
      <w:r>
        <w:rPr>
          <w:rFonts w:hint="eastAsia" w:ascii="宋体" w:hAnsi="宋体"/>
          <w:color w:val="auto"/>
          <w:sz w:val="24"/>
          <w:lang w:val="en-US" w:eastAsia="zh-CN"/>
        </w:rPr>
        <w:t>云浮市罗定市</w:t>
      </w:r>
      <w:r>
        <w:rPr>
          <w:rFonts w:hint="eastAsia" w:ascii="宋体" w:hAnsi="宋体"/>
          <w:color w:val="auto"/>
          <w:sz w:val="24"/>
        </w:rPr>
        <w:t>是项目实施主体单位之一，将实施云浮市</w:t>
      </w:r>
      <w:r>
        <w:rPr>
          <w:rFonts w:hint="eastAsia" w:ascii="宋体" w:hAnsi="宋体"/>
          <w:color w:val="auto"/>
          <w:sz w:val="24"/>
          <w:lang w:eastAsia="zh-CN"/>
        </w:rPr>
        <w:t>罗定市</w:t>
      </w:r>
      <w:r>
        <w:rPr>
          <w:rFonts w:hint="eastAsia" w:ascii="宋体" w:hAnsi="宋体"/>
          <w:color w:val="auto"/>
          <w:sz w:val="24"/>
        </w:rPr>
        <w:t>中央财政国土绿化示范项目</w:t>
      </w:r>
      <w:r>
        <w:rPr>
          <w:rFonts w:hint="eastAsia" w:ascii="宋体" w:hAnsi="宋体"/>
          <w:color w:val="auto"/>
          <w:sz w:val="24"/>
          <w:lang w:eastAsia="zh-CN"/>
        </w:rPr>
        <w:t>。</w:t>
      </w:r>
      <w:r>
        <w:rPr>
          <w:rFonts w:hint="eastAsia" w:ascii="宋体" w:hAnsi="宋体"/>
          <w:color w:val="auto"/>
          <w:sz w:val="24"/>
          <w:highlight w:val="none"/>
        </w:rPr>
        <w:t>建设总任务</w:t>
      </w:r>
      <w:r>
        <w:rPr>
          <w:rFonts w:hint="eastAsia" w:ascii="宋体" w:hAnsi="宋体"/>
          <w:color w:val="auto"/>
          <w:sz w:val="24"/>
          <w:highlight w:val="none"/>
          <w:lang w:val="en-US" w:eastAsia="zh-CN"/>
        </w:rPr>
        <w:t>49779</w:t>
      </w:r>
      <w:r>
        <w:rPr>
          <w:rFonts w:hint="eastAsia" w:ascii="宋体" w:hAnsi="宋体"/>
          <w:color w:val="auto"/>
          <w:sz w:val="24"/>
          <w:highlight w:val="none"/>
        </w:rPr>
        <w:t>亩，计划完成中龄林抚育</w:t>
      </w:r>
      <w:r>
        <w:rPr>
          <w:rFonts w:hint="eastAsia" w:ascii="宋体" w:hAnsi="宋体"/>
          <w:color w:val="auto"/>
          <w:sz w:val="24"/>
          <w:highlight w:val="none"/>
          <w:lang w:val="en-US" w:eastAsia="zh-CN"/>
        </w:rPr>
        <w:t>9074</w:t>
      </w:r>
      <w:r>
        <w:rPr>
          <w:rFonts w:hint="eastAsia" w:ascii="宋体" w:hAnsi="宋体"/>
          <w:color w:val="auto"/>
          <w:sz w:val="24"/>
          <w:highlight w:val="none"/>
        </w:rPr>
        <w:t>亩</w:t>
      </w:r>
      <w:r>
        <w:rPr>
          <w:rFonts w:hint="eastAsia" w:ascii="宋体" w:hAnsi="宋体"/>
          <w:color w:val="auto"/>
          <w:sz w:val="24"/>
          <w:highlight w:val="none"/>
          <w:lang w:eastAsia="zh-CN"/>
        </w:rPr>
        <w:t>、</w:t>
      </w:r>
      <w:r>
        <w:rPr>
          <w:rFonts w:hint="eastAsia" w:ascii="宋体" w:hAnsi="宋体"/>
          <w:color w:val="auto"/>
          <w:sz w:val="24"/>
          <w:highlight w:val="none"/>
        </w:rPr>
        <w:t>退化</w:t>
      </w:r>
      <w:r>
        <w:rPr>
          <w:rFonts w:hint="eastAsia" w:ascii="宋体" w:hAnsi="宋体"/>
          <w:color w:val="auto"/>
          <w:sz w:val="24"/>
          <w:highlight w:val="none"/>
          <w:lang w:val="en-US" w:eastAsia="zh-CN"/>
        </w:rPr>
        <w:t>松树</w:t>
      </w:r>
      <w:r>
        <w:rPr>
          <w:rFonts w:hint="eastAsia" w:ascii="宋体" w:hAnsi="宋体"/>
          <w:color w:val="auto"/>
          <w:sz w:val="24"/>
          <w:highlight w:val="none"/>
        </w:rPr>
        <w:t>林</w:t>
      </w:r>
      <w:r>
        <w:rPr>
          <w:rFonts w:hint="eastAsia" w:ascii="宋体" w:hAnsi="宋体"/>
          <w:color w:val="auto"/>
          <w:sz w:val="24"/>
          <w:highlight w:val="none"/>
          <w:lang w:val="en-US" w:eastAsia="zh-CN"/>
        </w:rPr>
        <w:t>更替</w:t>
      </w:r>
      <w:r>
        <w:rPr>
          <w:rFonts w:hint="eastAsia" w:ascii="宋体" w:hAnsi="宋体"/>
          <w:color w:val="auto"/>
          <w:sz w:val="24"/>
          <w:highlight w:val="none"/>
        </w:rPr>
        <w:t>修复</w:t>
      </w:r>
      <w:r>
        <w:rPr>
          <w:rFonts w:hint="eastAsia" w:ascii="宋体" w:hAnsi="宋体"/>
          <w:color w:val="auto"/>
          <w:sz w:val="24"/>
          <w:highlight w:val="none"/>
          <w:lang w:val="en-US" w:eastAsia="zh-CN"/>
        </w:rPr>
        <w:t>38561</w:t>
      </w:r>
      <w:r>
        <w:rPr>
          <w:rFonts w:hint="eastAsia" w:ascii="宋体" w:hAnsi="宋体"/>
          <w:color w:val="auto"/>
          <w:sz w:val="24"/>
          <w:highlight w:val="none"/>
        </w:rPr>
        <w:t>亩</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补植修复2144</w:t>
      </w:r>
      <w:r>
        <w:rPr>
          <w:rFonts w:hint="eastAsia" w:ascii="宋体" w:hAnsi="宋体"/>
          <w:color w:val="auto"/>
          <w:sz w:val="24"/>
          <w:highlight w:val="none"/>
        </w:rPr>
        <w:t>亩</w:t>
      </w:r>
      <w:r>
        <w:rPr>
          <w:rFonts w:hint="eastAsia" w:ascii="宋体" w:hAnsi="宋体"/>
          <w:color w:val="auto"/>
          <w:sz w:val="24"/>
          <w:highlight w:val="none"/>
          <w:lang w:val="en-US" w:eastAsia="zh-CN"/>
        </w:rPr>
        <w:t>；项目</w:t>
      </w:r>
      <w:r>
        <w:rPr>
          <w:rFonts w:hint="eastAsia" w:ascii="宋体" w:hAnsi="宋体"/>
          <w:color w:val="auto"/>
          <w:sz w:val="24"/>
          <w:highlight w:val="none"/>
        </w:rPr>
        <w:t>总投资约</w:t>
      </w:r>
      <w:r>
        <w:rPr>
          <w:rFonts w:hint="eastAsia" w:ascii="宋体" w:hAnsi="宋体"/>
          <w:color w:val="auto"/>
          <w:sz w:val="24"/>
          <w:highlight w:val="none"/>
          <w:lang w:val="en-US" w:eastAsia="zh-CN"/>
        </w:rPr>
        <w:t>12564.9</w:t>
      </w:r>
      <w:r>
        <w:rPr>
          <w:rFonts w:hint="eastAsia" w:ascii="宋体" w:hAnsi="宋体"/>
          <w:color w:val="auto"/>
          <w:sz w:val="24"/>
          <w:highlight w:val="none"/>
        </w:rPr>
        <w:t>万元</w:t>
      </w:r>
      <w:r>
        <w:rPr>
          <w:rFonts w:hint="eastAsia" w:ascii="宋体" w:hAnsi="宋体"/>
          <w:color w:val="auto"/>
          <w:sz w:val="24"/>
          <w:highlight w:val="none"/>
          <w:lang w:val="en-US" w:eastAsia="zh-CN"/>
        </w:rPr>
        <w:t>；</w:t>
      </w:r>
      <w:r>
        <w:rPr>
          <w:rFonts w:hint="eastAsia" w:ascii="宋体" w:hAnsi="宋体"/>
          <w:color w:val="auto"/>
          <w:sz w:val="24"/>
        </w:rPr>
        <w:t>项目建设期为202</w:t>
      </w:r>
      <w:r>
        <w:rPr>
          <w:rFonts w:hint="eastAsia" w:ascii="宋体" w:hAnsi="宋体"/>
          <w:color w:val="auto"/>
          <w:sz w:val="24"/>
          <w:lang w:val="en-US" w:eastAsia="zh-CN"/>
        </w:rPr>
        <w:t>5</w:t>
      </w:r>
      <w:r>
        <w:rPr>
          <w:rFonts w:hint="eastAsia" w:ascii="宋体" w:hAnsi="宋体"/>
          <w:color w:val="auto"/>
          <w:sz w:val="24"/>
        </w:rPr>
        <w:t>年—202</w:t>
      </w:r>
      <w:r>
        <w:rPr>
          <w:rFonts w:hint="eastAsia" w:ascii="宋体" w:hAnsi="宋体"/>
          <w:color w:val="auto"/>
          <w:sz w:val="24"/>
          <w:lang w:val="en-US" w:eastAsia="zh-CN"/>
        </w:rPr>
        <w:t>7</w:t>
      </w:r>
      <w:r>
        <w:rPr>
          <w:rFonts w:hint="eastAsia" w:ascii="宋体" w:hAnsi="宋体"/>
          <w:color w:val="auto"/>
          <w:sz w:val="24"/>
        </w:rPr>
        <w:t>年。</w:t>
      </w:r>
    </w:p>
    <w:p w14:paraId="0EF4ABCA">
      <w:pPr>
        <w:pStyle w:val="16"/>
        <w:keepNext w:val="0"/>
        <w:keepLines w:val="0"/>
        <w:pageBreakBefore w:val="0"/>
        <w:kinsoku/>
        <w:wordWrap/>
        <w:overflowPunct/>
        <w:topLinePunct w:val="0"/>
        <w:autoSpaceDN/>
        <w:bidi w:val="0"/>
        <w:spacing w:line="360" w:lineRule="auto"/>
        <w:ind w:firstLine="480" w:firstLineChars="200"/>
        <w:jc w:val="both"/>
        <w:textAlignment w:val="auto"/>
        <w:rPr>
          <w:rFonts w:ascii="宋体" w:hAnsi="宋体"/>
          <w:color w:val="auto"/>
          <w:sz w:val="24"/>
        </w:rPr>
      </w:pPr>
      <w:r>
        <w:rPr>
          <w:rFonts w:hint="eastAsia" w:ascii="宋体" w:hAnsi="宋体" w:cs="宋体"/>
          <w:color w:val="auto"/>
          <w:kern w:val="0"/>
          <w:sz w:val="24"/>
        </w:rPr>
        <w:t>为做好</w:t>
      </w:r>
      <w:r>
        <w:rPr>
          <w:rFonts w:hint="eastAsia" w:ascii="宋体" w:hAnsi="宋体"/>
          <w:color w:val="auto"/>
          <w:sz w:val="24"/>
        </w:rPr>
        <w:t>项目</w:t>
      </w:r>
      <w:r>
        <w:rPr>
          <w:rFonts w:hint="eastAsia" w:ascii="宋体" w:hAnsi="宋体" w:cs="宋体"/>
          <w:color w:val="auto"/>
          <w:kern w:val="0"/>
          <w:sz w:val="24"/>
          <w:lang w:val="en-US" w:eastAsia="zh-CN"/>
        </w:rPr>
        <w:t>落地</w:t>
      </w:r>
      <w:r>
        <w:rPr>
          <w:rFonts w:hint="eastAsia" w:ascii="宋体" w:hAnsi="宋体" w:cs="宋体"/>
          <w:color w:val="auto"/>
          <w:kern w:val="0"/>
          <w:sz w:val="24"/>
        </w:rPr>
        <w:t>设计及建设实施，</w:t>
      </w:r>
      <w:r>
        <w:rPr>
          <w:rFonts w:hint="eastAsia" w:ascii="宋体" w:hAnsi="宋体"/>
          <w:color w:val="auto"/>
          <w:sz w:val="24"/>
          <w:lang w:val="en-US" w:eastAsia="zh-CN"/>
        </w:rPr>
        <w:t>在</w:t>
      </w:r>
      <w:r>
        <w:rPr>
          <w:rFonts w:hint="eastAsia" w:ascii="宋体" w:hAnsi="宋体"/>
          <w:color w:val="auto"/>
          <w:sz w:val="24"/>
        </w:rPr>
        <w:t>调查</w:t>
      </w:r>
      <w:r>
        <w:rPr>
          <w:rFonts w:hint="eastAsia" w:ascii="宋体" w:hAnsi="宋体"/>
          <w:color w:val="auto"/>
          <w:sz w:val="24"/>
          <w:lang w:val="en-US" w:eastAsia="zh-CN"/>
        </w:rPr>
        <w:t>掌握罗定市</w:t>
      </w:r>
      <w:r>
        <w:rPr>
          <w:rFonts w:hint="eastAsia"/>
          <w:color w:val="auto"/>
          <w:sz w:val="24"/>
        </w:rPr>
        <w:t>国土绿化</w:t>
      </w:r>
      <w:r>
        <w:rPr>
          <w:rFonts w:hint="eastAsia"/>
          <w:color w:val="auto"/>
          <w:sz w:val="24"/>
          <w:lang w:val="en-US" w:eastAsia="zh-CN"/>
        </w:rPr>
        <w:t>本底</w:t>
      </w:r>
      <w:r>
        <w:rPr>
          <w:rFonts w:hint="eastAsia"/>
          <w:color w:val="auto"/>
          <w:sz w:val="24"/>
        </w:rPr>
        <w:t>现状</w:t>
      </w:r>
      <w:r>
        <w:rPr>
          <w:rFonts w:hint="eastAsia"/>
          <w:color w:val="auto"/>
          <w:sz w:val="24"/>
          <w:lang w:val="en-US" w:eastAsia="zh-CN"/>
        </w:rPr>
        <w:t>基础上</w:t>
      </w:r>
      <w:r>
        <w:rPr>
          <w:rFonts w:hint="eastAsia" w:ascii="宋体" w:hAnsi="宋体"/>
          <w:color w:val="auto"/>
          <w:sz w:val="24"/>
        </w:rPr>
        <w:t>，</w:t>
      </w:r>
      <w:r>
        <w:rPr>
          <w:rFonts w:hint="eastAsia" w:ascii="宋体" w:hAnsi="宋体"/>
          <w:color w:val="auto"/>
          <w:sz w:val="24"/>
          <w:highlight w:val="none"/>
        </w:rPr>
        <w:t>聚焦项目区</w:t>
      </w:r>
      <w:r>
        <w:rPr>
          <w:rFonts w:hint="eastAsia" w:ascii="宋体" w:hAnsi="宋体"/>
          <w:color w:val="auto"/>
          <w:sz w:val="24"/>
          <w:highlight w:val="none"/>
          <w:lang w:val="en-US" w:eastAsia="zh-CN"/>
        </w:rPr>
        <w:t>内</w:t>
      </w:r>
      <w:r>
        <w:rPr>
          <w:rFonts w:hint="eastAsia" w:ascii="宋体" w:hAnsi="宋体"/>
          <w:color w:val="auto"/>
          <w:sz w:val="24"/>
          <w:highlight w:val="none"/>
        </w:rPr>
        <w:t>生态破碎化、森林质量不高、松材线虫病等问题，以提升区域森林生态系统稳定性和碳汇能力为主要目标</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选择合适的作业小班，</w:t>
      </w:r>
      <w:r>
        <w:rPr>
          <w:rFonts w:hint="eastAsia" w:ascii="宋体" w:hAnsi="宋体"/>
          <w:color w:val="auto"/>
          <w:sz w:val="24"/>
          <w:highlight w:val="none"/>
        </w:rPr>
        <w:t>实施中林抚育、退化林修复、</w:t>
      </w:r>
      <w:r>
        <w:rPr>
          <w:rFonts w:hint="eastAsia" w:ascii="宋体" w:hAnsi="宋体"/>
          <w:color w:val="auto"/>
          <w:sz w:val="24"/>
          <w:highlight w:val="none"/>
          <w:lang w:val="en-US" w:eastAsia="zh-CN"/>
        </w:rPr>
        <w:t>补植修复</w:t>
      </w:r>
      <w:r>
        <w:rPr>
          <w:rFonts w:hint="eastAsia" w:ascii="宋体" w:hAnsi="宋体"/>
          <w:color w:val="auto"/>
          <w:sz w:val="24"/>
          <w:highlight w:val="none"/>
        </w:rPr>
        <w:t>等措施，采用大面积森林景观斑块统筹提升区域森林质量，重点推进高质量水源涵养林建设，加强珍贵树种</w:t>
      </w:r>
      <w:r>
        <w:rPr>
          <w:rFonts w:hint="eastAsia" w:ascii="宋体" w:hAnsi="宋体"/>
          <w:color w:val="auto"/>
          <w:sz w:val="24"/>
          <w:highlight w:val="none"/>
          <w:lang w:val="en-US" w:eastAsia="zh-CN"/>
        </w:rPr>
        <w:t>及大径材</w:t>
      </w:r>
      <w:r>
        <w:rPr>
          <w:rFonts w:hint="eastAsia" w:ascii="宋体" w:hAnsi="宋体"/>
          <w:color w:val="auto"/>
          <w:sz w:val="24"/>
          <w:highlight w:val="none"/>
        </w:rPr>
        <w:t>培育，提升阔叶混交林比例，实现</w:t>
      </w:r>
      <w:r>
        <w:rPr>
          <w:rFonts w:hint="eastAsia" w:ascii="宋体" w:hAnsi="宋体"/>
          <w:color w:val="auto"/>
          <w:sz w:val="24"/>
          <w:highlight w:val="none"/>
          <w:lang w:val="en-US" w:eastAsia="zh-CN"/>
        </w:rPr>
        <w:t>罗定市</w:t>
      </w:r>
      <w:r>
        <w:rPr>
          <w:rFonts w:hint="eastAsia" w:ascii="宋体" w:hAnsi="宋体"/>
          <w:color w:val="auto"/>
          <w:sz w:val="24"/>
          <w:highlight w:val="none"/>
        </w:rPr>
        <w:t>西江流域国土绿化质量系统性提升。</w:t>
      </w:r>
      <w:r>
        <w:rPr>
          <w:rFonts w:hint="eastAsia" w:ascii="宋体" w:hAnsi="宋体"/>
          <w:color w:val="auto"/>
          <w:sz w:val="24"/>
        </w:rPr>
        <w:t>为此，</w:t>
      </w:r>
      <w:r>
        <w:rPr>
          <w:rFonts w:hint="eastAsia" w:ascii="宋体" w:hAnsi="宋体"/>
          <w:color w:val="auto"/>
          <w:sz w:val="24"/>
          <w:lang w:val="en-US" w:eastAsia="zh-CN"/>
        </w:rPr>
        <w:t>罗定市林</w:t>
      </w:r>
      <w:r>
        <w:rPr>
          <w:rFonts w:hint="eastAsia" w:ascii="宋体" w:hAnsi="宋体"/>
          <w:color w:val="auto"/>
          <w:sz w:val="24"/>
        </w:rPr>
        <w:t>业局拟委托林业调查规划专业机构</w:t>
      </w:r>
      <w:r>
        <w:rPr>
          <w:rFonts w:hint="eastAsia" w:ascii="宋体" w:hAnsi="宋体"/>
          <w:color w:val="auto"/>
          <w:sz w:val="24"/>
          <w:lang w:eastAsia="zh-CN"/>
        </w:rPr>
        <w:t>，</w:t>
      </w:r>
      <w:r>
        <w:rPr>
          <w:rFonts w:hint="eastAsia" w:ascii="宋体" w:hAnsi="宋体"/>
          <w:color w:val="auto"/>
          <w:sz w:val="24"/>
          <w:lang w:val="en-US" w:eastAsia="zh-CN"/>
        </w:rPr>
        <w:t>为</w:t>
      </w:r>
      <w:r>
        <w:rPr>
          <w:rFonts w:hint="eastAsia"/>
          <w:color w:val="auto"/>
          <w:sz w:val="24"/>
        </w:rPr>
        <w:t>广东西江流域（云浮市罗定市）中央财政国土绿化示范项目</w:t>
      </w:r>
      <w:r>
        <w:rPr>
          <w:rFonts w:hint="eastAsia"/>
          <w:color w:val="auto"/>
          <w:sz w:val="24"/>
          <w:lang w:val="en-US" w:eastAsia="zh-CN"/>
        </w:rPr>
        <w:t>提供作业</w:t>
      </w:r>
      <w:r>
        <w:rPr>
          <w:rFonts w:hint="eastAsia"/>
          <w:color w:val="auto"/>
          <w:sz w:val="24"/>
        </w:rPr>
        <w:t>设计技术服务</w:t>
      </w:r>
      <w:r>
        <w:rPr>
          <w:rFonts w:hint="eastAsia" w:ascii="宋体" w:hAnsi="宋体"/>
          <w:color w:val="auto"/>
          <w:sz w:val="24"/>
        </w:rPr>
        <w:t>。</w:t>
      </w:r>
    </w:p>
    <w:p w14:paraId="52F87FAA">
      <w:pPr>
        <w:pStyle w:val="3"/>
        <w:keepNext w:val="0"/>
        <w:keepLines/>
        <w:pageBreakBefore w:val="0"/>
        <w:widowControl w:val="0"/>
        <w:numPr>
          <w:ilvl w:val="0"/>
          <w:numId w:val="0"/>
        </w:numPr>
        <w:kinsoku/>
        <w:wordWrap/>
        <w:overflowPunct/>
        <w:topLinePunct w:val="0"/>
        <w:autoSpaceDE/>
        <w:autoSpaceDN/>
        <w:bidi w:val="0"/>
        <w:adjustRightInd/>
        <w:snapToGrid/>
        <w:ind w:leftChars="0" w:right="0" w:rightChars="0" w:firstLine="562" w:firstLineChars="200"/>
        <w:jc w:val="both"/>
        <w:textAlignment w:val="auto"/>
        <w:rPr>
          <w:sz w:val="28"/>
          <w:szCs w:val="28"/>
        </w:rPr>
      </w:pPr>
      <w:r>
        <w:rPr>
          <w:rFonts w:hint="eastAsia"/>
          <w:sz w:val="28"/>
          <w:szCs w:val="28"/>
        </w:rPr>
        <w:t>（一）工作目的和任务</w:t>
      </w:r>
    </w:p>
    <w:p w14:paraId="2BC4EA6B">
      <w:pPr>
        <w:pStyle w:val="16"/>
        <w:keepNext w:val="0"/>
        <w:keepLines w:val="0"/>
        <w:pageBreakBefore w:val="0"/>
        <w:kinsoku/>
        <w:wordWrap/>
        <w:overflowPunct/>
        <w:topLinePunct w:val="0"/>
        <w:autoSpaceDN/>
        <w:bidi w:val="0"/>
        <w:spacing w:line="360" w:lineRule="auto"/>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1、工作目的</w:t>
      </w:r>
    </w:p>
    <w:p w14:paraId="3C8D336A">
      <w:pPr>
        <w:pStyle w:val="16"/>
        <w:keepNext w:val="0"/>
        <w:keepLines w:val="0"/>
        <w:pageBreakBefore w:val="0"/>
        <w:kinsoku/>
        <w:wordWrap/>
        <w:overflowPunct/>
        <w:topLinePunct w:val="0"/>
        <w:autoSpaceDN/>
        <w:bidi w:val="0"/>
        <w:spacing w:line="360" w:lineRule="auto"/>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根据广东西江流域中央财政国土绿化示范项目实施方案，明确</w:t>
      </w:r>
      <w:r>
        <w:rPr>
          <w:rFonts w:hint="eastAsia" w:ascii="宋体" w:hAnsi="宋体" w:cs="宋体"/>
          <w:color w:val="auto"/>
          <w:kern w:val="0"/>
          <w:sz w:val="24"/>
          <w:lang w:val="en-US" w:eastAsia="zh-CN"/>
        </w:rPr>
        <w:t>罗定市</w:t>
      </w:r>
      <w:r>
        <w:rPr>
          <w:rFonts w:hint="eastAsia" w:ascii="宋体" w:hAnsi="宋体" w:cs="宋体"/>
          <w:color w:val="auto"/>
          <w:kern w:val="0"/>
          <w:sz w:val="24"/>
        </w:rPr>
        <w:t>国土绿化示范项目建设内容、技术标准和投资概算等，结合</w:t>
      </w:r>
      <w:r>
        <w:rPr>
          <w:rFonts w:hint="eastAsia" w:ascii="宋体" w:hAnsi="宋体" w:cs="宋体"/>
          <w:color w:val="auto"/>
          <w:kern w:val="0"/>
          <w:sz w:val="24"/>
          <w:lang w:val="en-US" w:eastAsia="zh-CN"/>
        </w:rPr>
        <w:t>罗定市</w:t>
      </w:r>
      <w:r>
        <w:rPr>
          <w:rFonts w:hint="eastAsia" w:ascii="宋体" w:hAnsi="宋体" w:cs="宋体"/>
          <w:color w:val="auto"/>
          <w:kern w:val="0"/>
          <w:sz w:val="24"/>
        </w:rPr>
        <w:t>实际，组织开展作业设计地块现地调查，科学编制</w:t>
      </w:r>
      <w:r>
        <w:rPr>
          <w:rFonts w:hint="eastAsia" w:ascii="宋体" w:hAnsi="宋体" w:cs="宋体"/>
          <w:color w:val="auto"/>
          <w:kern w:val="0"/>
          <w:sz w:val="24"/>
          <w:lang w:val="en-US" w:eastAsia="zh-CN"/>
        </w:rPr>
        <w:t>罗定市</w:t>
      </w:r>
      <w:r>
        <w:rPr>
          <w:rFonts w:hint="eastAsia" w:ascii="宋体" w:hAnsi="宋体" w:cs="宋体"/>
          <w:color w:val="auto"/>
          <w:kern w:val="0"/>
          <w:sz w:val="24"/>
        </w:rPr>
        <w:t>中央财政国土绿化示范项目作业设计。</w:t>
      </w:r>
    </w:p>
    <w:p w14:paraId="4526AD77">
      <w:pPr>
        <w:pStyle w:val="16"/>
        <w:keepNext w:val="0"/>
        <w:keepLines w:val="0"/>
        <w:pageBreakBefore w:val="0"/>
        <w:kinsoku/>
        <w:wordWrap/>
        <w:overflowPunct/>
        <w:topLinePunct w:val="0"/>
        <w:autoSpaceDN/>
        <w:bidi w:val="0"/>
        <w:spacing w:line="360" w:lineRule="auto"/>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2、工作任务</w:t>
      </w:r>
    </w:p>
    <w:p w14:paraId="03B26EF2">
      <w:pPr>
        <w:pStyle w:val="16"/>
        <w:keepNext w:val="0"/>
        <w:keepLines w:val="0"/>
        <w:pageBreakBefore w:val="0"/>
        <w:kinsoku/>
        <w:wordWrap/>
        <w:overflowPunct/>
        <w:topLinePunct w:val="0"/>
        <w:autoSpaceDN/>
        <w:bidi w:val="0"/>
        <w:spacing w:line="360" w:lineRule="auto"/>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在罗定市</w:t>
      </w:r>
      <w:r>
        <w:rPr>
          <w:rFonts w:hint="eastAsia" w:ascii="宋体" w:hAnsi="宋体" w:cs="宋体"/>
          <w:color w:val="auto"/>
          <w:kern w:val="0"/>
          <w:sz w:val="24"/>
        </w:rPr>
        <w:t>国土绿化</w:t>
      </w:r>
      <w:r>
        <w:rPr>
          <w:rFonts w:hint="eastAsia" w:ascii="宋体" w:hAnsi="宋体" w:cs="宋体"/>
          <w:color w:val="auto"/>
          <w:kern w:val="0"/>
          <w:sz w:val="24"/>
          <w:lang w:val="en-US" w:eastAsia="zh-CN"/>
        </w:rPr>
        <w:t>本底</w:t>
      </w:r>
      <w:r>
        <w:rPr>
          <w:rFonts w:hint="eastAsia" w:ascii="宋体" w:hAnsi="宋体" w:cs="宋体"/>
          <w:color w:val="auto"/>
          <w:kern w:val="0"/>
          <w:sz w:val="24"/>
        </w:rPr>
        <w:t>现状</w:t>
      </w:r>
      <w:r>
        <w:rPr>
          <w:rFonts w:hint="eastAsia" w:ascii="宋体" w:hAnsi="宋体" w:cs="宋体"/>
          <w:color w:val="auto"/>
          <w:kern w:val="0"/>
          <w:sz w:val="24"/>
          <w:lang w:val="en-US" w:eastAsia="zh-CN"/>
        </w:rPr>
        <w:t>基础上</w:t>
      </w:r>
      <w:r>
        <w:rPr>
          <w:rFonts w:hint="eastAsia" w:ascii="宋体" w:hAnsi="宋体" w:cs="宋体"/>
          <w:color w:val="auto"/>
          <w:kern w:val="0"/>
          <w:sz w:val="24"/>
        </w:rPr>
        <w:t>，分析</w:t>
      </w:r>
      <w:r>
        <w:rPr>
          <w:rFonts w:hint="eastAsia" w:ascii="宋体" w:hAnsi="宋体" w:cs="宋体"/>
          <w:color w:val="auto"/>
          <w:kern w:val="0"/>
          <w:sz w:val="24"/>
          <w:lang w:val="en-US" w:eastAsia="zh-CN"/>
        </w:rPr>
        <w:t>罗定市</w:t>
      </w:r>
      <w:r>
        <w:rPr>
          <w:rFonts w:hint="eastAsia" w:ascii="宋体" w:hAnsi="宋体" w:cs="宋体"/>
          <w:color w:val="auto"/>
          <w:kern w:val="0"/>
          <w:sz w:val="24"/>
        </w:rPr>
        <w:t>区域特点、地形地貌、土壤情况、气候条件、水资源情况、林草资源状况等自然条件以及社会经济情况；相关区域发展、林草生态修复等建设和规划情况。以“因地制宜、突出重点、试点先行、示范引领”为工作思路，按照集中连片、综合治理的方式，筛选合适的山头地块</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开展造林地调查，做好中龄</w:t>
      </w:r>
      <w:r>
        <w:rPr>
          <w:rFonts w:hint="eastAsia" w:ascii="宋体" w:hAnsi="宋体" w:cs="宋体"/>
          <w:color w:val="auto"/>
          <w:kern w:val="0"/>
          <w:sz w:val="24"/>
        </w:rPr>
        <w:t>林抚育</w:t>
      </w:r>
      <w:r>
        <w:rPr>
          <w:rFonts w:hint="eastAsia" w:ascii="宋体" w:hAnsi="宋体" w:cs="宋体"/>
          <w:color w:val="auto"/>
          <w:kern w:val="0"/>
          <w:sz w:val="24"/>
          <w:lang w:eastAsia="zh-CN"/>
        </w:rPr>
        <w:t>、</w:t>
      </w:r>
      <w:r>
        <w:rPr>
          <w:rFonts w:hint="eastAsia" w:ascii="宋体" w:hAnsi="宋体" w:cs="宋体"/>
          <w:color w:val="auto"/>
          <w:kern w:val="0"/>
          <w:sz w:val="24"/>
        </w:rPr>
        <w:t>退化</w:t>
      </w:r>
      <w:r>
        <w:rPr>
          <w:rFonts w:hint="eastAsia" w:ascii="宋体" w:hAnsi="宋体" w:cs="宋体"/>
          <w:color w:val="auto"/>
          <w:kern w:val="0"/>
          <w:sz w:val="24"/>
          <w:lang w:val="en-US" w:eastAsia="zh-CN"/>
        </w:rPr>
        <w:t>松树</w:t>
      </w:r>
      <w:r>
        <w:rPr>
          <w:rFonts w:hint="eastAsia" w:ascii="宋体" w:hAnsi="宋体" w:cs="宋体"/>
          <w:color w:val="auto"/>
          <w:kern w:val="0"/>
          <w:sz w:val="24"/>
        </w:rPr>
        <w:t>林修复</w:t>
      </w:r>
      <w:r>
        <w:rPr>
          <w:rFonts w:hint="eastAsia" w:ascii="宋体" w:hAnsi="宋体" w:cs="宋体"/>
          <w:color w:val="auto"/>
          <w:kern w:val="0"/>
          <w:sz w:val="24"/>
          <w:lang w:val="en-US" w:eastAsia="zh-CN"/>
        </w:rPr>
        <w:t>和补植修复作业设计，及相应小班的采伐作业设计</w:t>
      </w:r>
      <w:r>
        <w:rPr>
          <w:rFonts w:hint="eastAsia" w:ascii="宋体" w:hAnsi="宋体" w:cs="宋体"/>
          <w:color w:val="auto"/>
          <w:kern w:val="0"/>
          <w:sz w:val="24"/>
        </w:rPr>
        <w:t>。</w:t>
      </w:r>
    </w:p>
    <w:p w14:paraId="2ADAED6A">
      <w:pPr>
        <w:pStyle w:val="16"/>
        <w:keepNext w:val="0"/>
        <w:keepLines w:val="0"/>
        <w:pageBreakBefore w:val="0"/>
        <w:kinsoku/>
        <w:wordWrap/>
        <w:overflowPunct/>
        <w:topLinePunct w:val="0"/>
        <w:autoSpaceDN/>
        <w:bidi w:val="0"/>
        <w:spacing w:line="360" w:lineRule="auto"/>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（2）全程跟踪项目建设，提供专业技术服务。</w:t>
      </w:r>
    </w:p>
    <w:p w14:paraId="7972721C">
      <w:pPr>
        <w:pStyle w:val="3"/>
        <w:keepNext w:val="0"/>
        <w:keepLines/>
        <w:pageBreakBefore w:val="0"/>
        <w:widowControl w:val="0"/>
        <w:numPr>
          <w:ilvl w:val="0"/>
          <w:numId w:val="0"/>
        </w:numPr>
        <w:kinsoku/>
        <w:wordWrap/>
        <w:overflowPunct/>
        <w:topLinePunct w:val="0"/>
        <w:autoSpaceDE/>
        <w:autoSpaceDN/>
        <w:bidi w:val="0"/>
        <w:adjustRightInd/>
        <w:snapToGrid/>
        <w:ind w:leftChars="0" w:right="0" w:rightChars="0" w:firstLine="562" w:firstLineChars="200"/>
        <w:jc w:val="both"/>
        <w:textAlignment w:val="auto"/>
        <w:rPr>
          <w:rFonts w:hint="eastAsia"/>
          <w:sz w:val="28"/>
          <w:szCs w:val="28"/>
        </w:rPr>
      </w:pPr>
      <w:r>
        <w:rPr>
          <w:rFonts w:hint="eastAsia"/>
          <w:sz w:val="28"/>
          <w:szCs w:val="28"/>
          <w:lang w:eastAsia="zh-CN"/>
        </w:rPr>
        <w:t>（</w:t>
      </w:r>
      <w:r>
        <w:rPr>
          <w:rFonts w:hint="eastAsia"/>
          <w:sz w:val="28"/>
          <w:szCs w:val="28"/>
          <w:lang w:val="en-US" w:eastAsia="zh-CN"/>
        </w:rPr>
        <w:t>二</w:t>
      </w:r>
      <w:r>
        <w:rPr>
          <w:rFonts w:hint="eastAsia"/>
          <w:sz w:val="28"/>
          <w:szCs w:val="28"/>
          <w:lang w:eastAsia="zh-CN"/>
        </w:rPr>
        <w:t>）</w:t>
      </w:r>
      <w:r>
        <w:rPr>
          <w:rFonts w:hint="eastAsia"/>
          <w:sz w:val="28"/>
          <w:szCs w:val="28"/>
        </w:rPr>
        <w:t>工作依据</w:t>
      </w:r>
    </w:p>
    <w:p w14:paraId="7609C38B">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1、法律法规</w:t>
      </w:r>
    </w:p>
    <w:p w14:paraId="3D453654">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1</w:t>
      </w:r>
      <w:r>
        <w:rPr>
          <w:rFonts w:hint="eastAsia" w:ascii="宋体" w:hAnsi="宋体" w:cs="宋体"/>
          <w:color w:val="auto"/>
          <w:kern w:val="0"/>
          <w:sz w:val="24"/>
        </w:rPr>
        <w:t>）《中华人民共和国森林法》（20</w:t>
      </w:r>
      <w:r>
        <w:rPr>
          <w:rFonts w:hint="eastAsia" w:ascii="宋体" w:hAnsi="宋体" w:cs="宋体"/>
          <w:color w:val="auto"/>
          <w:kern w:val="0"/>
          <w:sz w:val="24"/>
          <w:lang w:val="en-US" w:eastAsia="zh-CN"/>
        </w:rPr>
        <w:t>1</w:t>
      </w:r>
      <w:r>
        <w:rPr>
          <w:rFonts w:hint="eastAsia" w:ascii="宋体" w:hAnsi="宋体" w:cs="宋体"/>
          <w:color w:val="auto"/>
          <w:kern w:val="0"/>
          <w:sz w:val="24"/>
        </w:rPr>
        <w:t>9年</w:t>
      </w:r>
      <w:r>
        <w:rPr>
          <w:rFonts w:hint="eastAsia" w:ascii="宋体" w:hAnsi="宋体" w:cs="宋体"/>
          <w:color w:val="auto"/>
          <w:kern w:val="0"/>
          <w:sz w:val="24"/>
          <w:lang w:val="en-US" w:eastAsia="zh-CN"/>
        </w:rPr>
        <w:t>12月修订</w:t>
      </w:r>
      <w:r>
        <w:rPr>
          <w:rFonts w:hint="eastAsia" w:ascii="宋体" w:hAnsi="宋体" w:cs="宋体"/>
          <w:color w:val="auto"/>
          <w:kern w:val="0"/>
          <w:sz w:val="24"/>
        </w:rPr>
        <w:t>）；</w:t>
      </w:r>
    </w:p>
    <w:p w14:paraId="685377BA">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w:t>
      </w:r>
      <w:r>
        <w:rPr>
          <w:rFonts w:hint="eastAsia" w:ascii="宋体" w:hAnsi="宋体" w:cs="宋体"/>
          <w:color w:val="auto"/>
          <w:kern w:val="0"/>
          <w:sz w:val="24"/>
          <w:lang w:eastAsia="zh-CN"/>
        </w:rPr>
        <w:t>）《</w:t>
      </w:r>
      <w:r>
        <w:rPr>
          <w:rFonts w:hint="eastAsia" w:ascii="宋体" w:hAnsi="宋体" w:cs="宋体"/>
          <w:color w:val="auto"/>
          <w:kern w:val="0"/>
          <w:sz w:val="24"/>
        </w:rPr>
        <w:t>中华人民共和国森林法</w:t>
      </w:r>
      <w:r>
        <w:rPr>
          <w:rFonts w:hint="eastAsia" w:ascii="宋体" w:hAnsi="宋体" w:cs="宋体"/>
          <w:color w:val="auto"/>
          <w:kern w:val="0"/>
          <w:sz w:val="24"/>
          <w:lang w:val="en-US" w:eastAsia="zh-CN"/>
        </w:rPr>
        <w:t>实施条例</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2018年3月修订</w:t>
      </w:r>
      <w:r>
        <w:rPr>
          <w:rFonts w:hint="eastAsia" w:ascii="宋体" w:hAnsi="宋体" w:cs="宋体"/>
          <w:color w:val="auto"/>
          <w:kern w:val="0"/>
          <w:sz w:val="24"/>
          <w:lang w:eastAsia="zh-CN"/>
        </w:rPr>
        <w:t>）；</w:t>
      </w:r>
    </w:p>
    <w:p w14:paraId="2C77E2F6">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3</w:t>
      </w:r>
      <w:r>
        <w:rPr>
          <w:rFonts w:hint="eastAsia" w:ascii="宋体" w:hAnsi="宋体" w:cs="宋体"/>
          <w:color w:val="auto"/>
          <w:kern w:val="0"/>
          <w:sz w:val="24"/>
          <w:lang w:eastAsia="zh-CN"/>
        </w:rPr>
        <w:t>）《</w:t>
      </w:r>
      <w:r>
        <w:rPr>
          <w:rFonts w:hint="eastAsia" w:ascii="宋体" w:hAnsi="宋体" w:cs="宋体"/>
          <w:color w:val="auto"/>
          <w:kern w:val="0"/>
          <w:sz w:val="24"/>
        </w:rPr>
        <w:t>中华人民共和国</w:t>
      </w:r>
      <w:r>
        <w:rPr>
          <w:rFonts w:hint="eastAsia" w:ascii="宋体" w:hAnsi="宋体" w:cs="宋体"/>
          <w:color w:val="auto"/>
          <w:kern w:val="0"/>
          <w:sz w:val="24"/>
          <w:lang w:val="en-US" w:eastAsia="zh-CN"/>
        </w:rPr>
        <w:t>土地管理</w:t>
      </w:r>
      <w:r>
        <w:rPr>
          <w:rFonts w:hint="eastAsia" w:ascii="宋体" w:hAnsi="宋体" w:cs="宋体"/>
          <w:color w:val="auto"/>
          <w:kern w:val="0"/>
          <w:sz w:val="24"/>
        </w:rPr>
        <w:t>法</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2019年8月</w:t>
      </w:r>
      <w:r>
        <w:rPr>
          <w:rFonts w:hint="eastAsia" w:ascii="宋体" w:hAnsi="宋体" w:cs="宋体"/>
          <w:color w:val="auto"/>
          <w:kern w:val="0"/>
          <w:sz w:val="24"/>
          <w:lang w:eastAsia="zh-CN"/>
        </w:rPr>
        <w:t>）；</w:t>
      </w:r>
    </w:p>
    <w:p w14:paraId="7E245887">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4</w:t>
      </w:r>
      <w:r>
        <w:rPr>
          <w:rFonts w:hint="eastAsia" w:ascii="宋体" w:hAnsi="宋体" w:cs="宋体"/>
          <w:color w:val="auto"/>
          <w:kern w:val="0"/>
          <w:sz w:val="24"/>
          <w:lang w:eastAsia="zh-CN"/>
        </w:rPr>
        <w:t>）《</w:t>
      </w:r>
      <w:r>
        <w:rPr>
          <w:rFonts w:hint="eastAsia" w:ascii="宋体" w:hAnsi="宋体" w:cs="宋体"/>
          <w:color w:val="auto"/>
          <w:kern w:val="0"/>
          <w:sz w:val="24"/>
        </w:rPr>
        <w:t>中华人民共和国</w:t>
      </w:r>
      <w:r>
        <w:rPr>
          <w:rFonts w:hint="eastAsia" w:ascii="宋体" w:hAnsi="宋体" w:cs="宋体"/>
          <w:color w:val="auto"/>
          <w:kern w:val="0"/>
          <w:sz w:val="24"/>
          <w:lang w:val="en-US" w:eastAsia="zh-CN"/>
        </w:rPr>
        <w:t>水土保持</w:t>
      </w:r>
      <w:r>
        <w:rPr>
          <w:rFonts w:hint="eastAsia" w:ascii="宋体" w:hAnsi="宋体" w:cs="宋体"/>
          <w:color w:val="auto"/>
          <w:kern w:val="0"/>
          <w:sz w:val="24"/>
        </w:rPr>
        <w:t>法</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2010年12月</w:t>
      </w:r>
      <w:r>
        <w:rPr>
          <w:rFonts w:hint="eastAsia" w:ascii="宋体" w:hAnsi="宋体" w:cs="宋体"/>
          <w:color w:val="auto"/>
          <w:kern w:val="0"/>
          <w:sz w:val="24"/>
          <w:lang w:eastAsia="zh-CN"/>
        </w:rPr>
        <w:t>）；</w:t>
      </w:r>
    </w:p>
    <w:p w14:paraId="624DC841">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5</w:t>
      </w:r>
      <w:r>
        <w:rPr>
          <w:rFonts w:hint="eastAsia" w:ascii="宋体" w:hAnsi="宋体" w:cs="宋体"/>
          <w:color w:val="auto"/>
          <w:kern w:val="0"/>
          <w:sz w:val="24"/>
          <w:lang w:eastAsia="zh-CN"/>
        </w:rPr>
        <w:t>）《</w:t>
      </w:r>
      <w:r>
        <w:rPr>
          <w:rFonts w:hint="eastAsia" w:ascii="宋体" w:hAnsi="宋体" w:cs="宋体"/>
          <w:color w:val="auto"/>
          <w:kern w:val="0"/>
          <w:sz w:val="24"/>
        </w:rPr>
        <w:t>中华人民共和国</w:t>
      </w:r>
      <w:r>
        <w:rPr>
          <w:rFonts w:hint="eastAsia" w:ascii="宋体" w:hAnsi="宋体" w:cs="宋体"/>
          <w:color w:val="auto"/>
          <w:kern w:val="0"/>
          <w:sz w:val="24"/>
          <w:lang w:val="en-US" w:eastAsia="zh-CN"/>
        </w:rPr>
        <w:t>水法</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2016年7月修订</w:t>
      </w:r>
      <w:r>
        <w:rPr>
          <w:rFonts w:hint="eastAsia" w:ascii="宋体" w:hAnsi="宋体" w:cs="宋体"/>
          <w:color w:val="auto"/>
          <w:kern w:val="0"/>
          <w:sz w:val="24"/>
          <w:lang w:eastAsia="zh-CN"/>
        </w:rPr>
        <w:t>）；</w:t>
      </w:r>
    </w:p>
    <w:p w14:paraId="67ABE48D">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6</w:t>
      </w:r>
      <w:r>
        <w:rPr>
          <w:rFonts w:hint="eastAsia" w:ascii="宋体" w:hAnsi="宋体" w:cs="宋体"/>
          <w:color w:val="auto"/>
          <w:kern w:val="0"/>
          <w:sz w:val="24"/>
          <w:lang w:eastAsia="zh-CN"/>
        </w:rPr>
        <w:t>）《</w:t>
      </w:r>
      <w:r>
        <w:rPr>
          <w:rFonts w:hint="eastAsia" w:ascii="宋体" w:hAnsi="宋体" w:cs="宋体"/>
          <w:color w:val="auto"/>
          <w:kern w:val="0"/>
          <w:sz w:val="24"/>
        </w:rPr>
        <w:t>中华人民共和国</w:t>
      </w:r>
      <w:r>
        <w:rPr>
          <w:rFonts w:hint="eastAsia" w:ascii="宋体" w:hAnsi="宋体" w:cs="宋体"/>
          <w:color w:val="auto"/>
          <w:kern w:val="0"/>
          <w:sz w:val="24"/>
          <w:lang w:val="en-US" w:eastAsia="zh-CN"/>
        </w:rPr>
        <w:t>湿地保护</w:t>
      </w:r>
      <w:r>
        <w:rPr>
          <w:rFonts w:hint="eastAsia" w:ascii="宋体" w:hAnsi="宋体" w:cs="宋体"/>
          <w:color w:val="auto"/>
          <w:kern w:val="0"/>
          <w:sz w:val="24"/>
        </w:rPr>
        <w:t>法</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2021年12月</w:t>
      </w:r>
      <w:r>
        <w:rPr>
          <w:rFonts w:hint="eastAsia" w:ascii="宋体" w:hAnsi="宋体" w:cs="宋体"/>
          <w:color w:val="auto"/>
          <w:kern w:val="0"/>
          <w:sz w:val="24"/>
          <w:lang w:eastAsia="zh-CN"/>
        </w:rPr>
        <w:t>）；</w:t>
      </w:r>
    </w:p>
    <w:p w14:paraId="7BC1CCA9">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7</w:t>
      </w:r>
      <w:r>
        <w:rPr>
          <w:rFonts w:hint="eastAsia" w:ascii="宋体" w:hAnsi="宋体" w:cs="宋体"/>
          <w:color w:val="auto"/>
          <w:kern w:val="0"/>
          <w:sz w:val="24"/>
          <w:lang w:eastAsia="zh-CN"/>
        </w:rPr>
        <w:t>）《广东省森林保护管理条例》（2023年5月修订）。</w:t>
      </w:r>
    </w:p>
    <w:p w14:paraId="7B203DCB">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2、技术规范</w:t>
      </w:r>
    </w:p>
    <w:p w14:paraId="1A82AE70">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1</w:t>
      </w:r>
      <w:r>
        <w:rPr>
          <w:rFonts w:hint="eastAsia" w:ascii="宋体" w:hAnsi="宋体" w:cs="宋体"/>
          <w:color w:val="auto"/>
          <w:kern w:val="0"/>
          <w:sz w:val="24"/>
        </w:rPr>
        <w:t>）《</w:t>
      </w:r>
      <w:r>
        <w:rPr>
          <w:rFonts w:hint="eastAsia" w:ascii="宋体" w:hAnsi="宋体" w:cs="宋体"/>
          <w:color w:val="auto"/>
          <w:kern w:val="0"/>
          <w:sz w:val="24"/>
          <w:lang w:val="en-US" w:eastAsia="zh-CN"/>
        </w:rPr>
        <w:t>营造林总体设计</w:t>
      </w:r>
      <w:r>
        <w:rPr>
          <w:rFonts w:hint="eastAsia" w:ascii="宋体" w:hAnsi="宋体" w:cs="宋体"/>
          <w:color w:val="auto"/>
          <w:kern w:val="0"/>
          <w:sz w:val="24"/>
        </w:rPr>
        <w:t>规程》（GB/T1</w:t>
      </w:r>
      <w:r>
        <w:rPr>
          <w:rFonts w:hint="eastAsia" w:ascii="宋体" w:hAnsi="宋体" w:cs="宋体"/>
          <w:color w:val="auto"/>
          <w:kern w:val="0"/>
          <w:sz w:val="24"/>
          <w:lang w:val="en-US" w:eastAsia="zh-CN"/>
        </w:rPr>
        <w:t>5782</w:t>
      </w:r>
      <w:r>
        <w:rPr>
          <w:rFonts w:hint="eastAsia" w:ascii="宋体" w:hAnsi="宋体" w:cs="宋体"/>
          <w:color w:val="auto"/>
          <w:kern w:val="0"/>
          <w:sz w:val="24"/>
        </w:rPr>
        <w:t>-200</w:t>
      </w:r>
      <w:r>
        <w:rPr>
          <w:rFonts w:hint="eastAsia" w:ascii="宋体" w:hAnsi="宋体" w:cs="宋体"/>
          <w:color w:val="auto"/>
          <w:kern w:val="0"/>
          <w:sz w:val="24"/>
          <w:lang w:val="en-US" w:eastAsia="zh-CN"/>
        </w:rPr>
        <w:t>9</w:t>
      </w:r>
      <w:r>
        <w:rPr>
          <w:rFonts w:hint="eastAsia" w:ascii="宋体" w:hAnsi="宋体" w:cs="宋体"/>
          <w:color w:val="auto"/>
          <w:kern w:val="0"/>
          <w:sz w:val="24"/>
        </w:rPr>
        <w:t>）；</w:t>
      </w:r>
    </w:p>
    <w:p w14:paraId="41DBEC6C">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eastAsia="zh-CN"/>
        </w:rPr>
      </w:pPr>
      <w:r>
        <w:rPr>
          <w:rFonts w:hint="eastAsia" w:ascii="宋体" w:hAnsi="宋体" w:cs="宋体"/>
          <w:color w:val="auto"/>
          <w:kern w:val="0"/>
          <w:sz w:val="24"/>
        </w:rPr>
        <w:t>（</w:t>
      </w:r>
      <w:r>
        <w:rPr>
          <w:rFonts w:hint="eastAsia" w:ascii="宋体" w:hAnsi="宋体" w:cs="宋体"/>
          <w:color w:val="auto"/>
          <w:kern w:val="0"/>
          <w:sz w:val="24"/>
          <w:lang w:val="en-US" w:eastAsia="zh-CN"/>
        </w:rPr>
        <w:t>2</w:t>
      </w:r>
      <w:r>
        <w:rPr>
          <w:rFonts w:hint="eastAsia" w:ascii="宋体" w:hAnsi="宋体" w:cs="宋体"/>
          <w:color w:val="auto"/>
          <w:kern w:val="0"/>
          <w:sz w:val="24"/>
        </w:rPr>
        <w:t>）《造林技术规程》（GB/T15776-</w:t>
      </w:r>
      <w:r>
        <w:rPr>
          <w:rFonts w:hint="eastAsia" w:ascii="宋体" w:hAnsi="宋体" w:cs="宋体"/>
          <w:color w:val="auto"/>
          <w:kern w:val="0"/>
          <w:sz w:val="24"/>
          <w:lang w:val="en-US" w:eastAsia="zh-CN"/>
        </w:rPr>
        <w:t>2023</w:t>
      </w:r>
      <w:r>
        <w:rPr>
          <w:rFonts w:hint="eastAsia" w:ascii="宋体" w:hAnsi="宋体" w:cs="宋体"/>
          <w:color w:val="auto"/>
          <w:kern w:val="0"/>
          <w:sz w:val="24"/>
        </w:rPr>
        <w:t>）</w:t>
      </w:r>
      <w:r>
        <w:rPr>
          <w:rFonts w:hint="eastAsia" w:ascii="宋体" w:hAnsi="宋体" w:cs="宋体"/>
          <w:color w:val="auto"/>
          <w:kern w:val="0"/>
          <w:sz w:val="24"/>
          <w:lang w:eastAsia="zh-CN"/>
        </w:rPr>
        <w:t>；</w:t>
      </w:r>
    </w:p>
    <w:p w14:paraId="685544C1">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3</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森林资源规划设计调查技术规程</w:t>
      </w:r>
      <w:r>
        <w:rPr>
          <w:rFonts w:hint="eastAsia" w:ascii="宋体" w:hAnsi="宋体" w:cs="宋体"/>
          <w:color w:val="auto"/>
          <w:kern w:val="0"/>
          <w:sz w:val="24"/>
          <w:lang w:eastAsia="zh-CN"/>
        </w:rPr>
        <w:t>》（</w:t>
      </w:r>
      <w:r>
        <w:rPr>
          <w:rFonts w:hint="eastAsia" w:ascii="宋体" w:hAnsi="宋体" w:cs="宋体"/>
          <w:color w:val="auto"/>
          <w:kern w:val="0"/>
          <w:sz w:val="24"/>
        </w:rPr>
        <w:t>GB/T</w:t>
      </w:r>
      <w:r>
        <w:rPr>
          <w:rFonts w:hint="eastAsia" w:ascii="宋体" w:hAnsi="宋体" w:cs="宋体"/>
          <w:color w:val="auto"/>
          <w:kern w:val="0"/>
          <w:sz w:val="24"/>
          <w:lang w:val="en-US" w:eastAsia="zh-CN"/>
        </w:rPr>
        <w:t>26424</w:t>
      </w:r>
      <w:r>
        <w:rPr>
          <w:rFonts w:hint="eastAsia" w:ascii="宋体" w:hAnsi="宋体" w:cs="宋体"/>
          <w:color w:val="auto"/>
          <w:kern w:val="0"/>
          <w:sz w:val="24"/>
        </w:rPr>
        <w:t>-</w:t>
      </w:r>
      <w:r>
        <w:rPr>
          <w:rFonts w:hint="eastAsia" w:ascii="宋体" w:hAnsi="宋体" w:cs="宋体"/>
          <w:color w:val="auto"/>
          <w:kern w:val="0"/>
          <w:sz w:val="24"/>
          <w:lang w:val="en-US" w:eastAsia="zh-CN"/>
        </w:rPr>
        <w:t>2010</w:t>
      </w:r>
      <w:r>
        <w:rPr>
          <w:rFonts w:hint="eastAsia" w:ascii="宋体" w:hAnsi="宋体" w:cs="宋体"/>
          <w:color w:val="auto"/>
          <w:kern w:val="0"/>
          <w:sz w:val="24"/>
          <w:lang w:eastAsia="zh-CN"/>
        </w:rPr>
        <w:t>）；</w:t>
      </w:r>
    </w:p>
    <w:p w14:paraId="5D72C112">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4</w:t>
      </w:r>
      <w:r>
        <w:rPr>
          <w:rFonts w:hint="eastAsia" w:ascii="宋体" w:hAnsi="宋体" w:cs="宋体"/>
          <w:color w:val="auto"/>
          <w:kern w:val="0"/>
          <w:sz w:val="24"/>
        </w:rPr>
        <w:t>）《森林抚育规程》（GB/T15781-2015）；</w:t>
      </w:r>
    </w:p>
    <w:p w14:paraId="63907C09">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5</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封山（沙）育林技术规程</w:t>
      </w:r>
      <w:r>
        <w:rPr>
          <w:rFonts w:hint="eastAsia" w:ascii="宋体" w:hAnsi="宋体" w:cs="宋体"/>
          <w:color w:val="auto"/>
          <w:kern w:val="0"/>
          <w:sz w:val="24"/>
          <w:lang w:eastAsia="zh-CN"/>
        </w:rPr>
        <w:t>》</w:t>
      </w:r>
      <w:r>
        <w:rPr>
          <w:rFonts w:hint="eastAsia" w:ascii="宋体" w:hAnsi="宋体" w:cs="宋体"/>
          <w:color w:val="auto"/>
          <w:kern w:val="0"/>
          <w:sz w:val="24"/>
        </w:rPr>
        <w:t>（GB/T15</w:t>
      </w:r>
      <w:r>
        <w:rPr>
          <w:rFonts w:hint="eastAsia" w:ascii="宋体" w:hAnsi="宋体" w:cs="宋体"/>
          <w:color w:val="auto"/>
          <w:kern w:val="0"/>
          <w:sz w:val="24"/>
          <w:lang w:val="en-US" w:eastAsia="zh-CN"/>
        </w:rPr>
        <w:t>163</w:t>
      </w:r>
      <w:r>
        <w:rPr>
          <w:rFonts w:hint="eastAsia" w:ascii="宋体" w:hAnsi="宋体" w:cs="宋体"/>
          <w:color w:val="auto"/>
          <w:kern w:val="0"/>
          <w:sz w:val="24"/>
        </w:rPr>
        <w:t>-201</w:t>
      </w:r>
      <w:r>
        <w:rPr>
          <w:rFonts w:hint="eastAsia" w:ascii="宋体" w:hAnsi="宋体" w:cs="宋体"/>
          <w:color w:val="auto"/>
          <w:kern w:val="0"/>
          <w:sz w:val="24"/>
          <w:lang w:val="en-US" w:eastAsia="zh-CN"/>
        </w:rPr>
        <w:t>8</w:t>
      </w:r>
      <w:r>
        <w:rPr>
          <w:rFonts w:hint="eastAsia" w:ascii="宋体" w:hAnsi="宋体" w:cs="宋体"/>
          <w:color w:val="auto"/>
          <w:kern w:val="0"/>
          <w:sz w:val="24"/>
        </w:rPr>
        <w:t>）</w:t>
      </w:r>
      <w:r>
        <w:rPr>
          <w:rFonts w:hint="eastAsia" w:ascii="宋体" w:hAnsi="宋体" w:cs="宋体"/>
          <w:color w:val="auto"/>
          <w:kern w:val="0"/>
          <w:sz w:val="24"/>
          <w:lang w:eastAsia="zh-CN"/>
        </w:rPr>
        <w:t>；</w:t>
      </w:r>
    </w:p>
    <w:p w14:paraId="0D3B064B">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6</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育苗技术规程</w:t>
      </w:r>
      <w:r>
        <w:rPr>
          <w:rFonts w:hint="eastAsia" w:ascii="宋体" w:hAnsi="宋体" w:cs="宋体"/>
          <w:color w:val="auto"/>
          <w:kern w:val="0"/>
          <w:sz w:val="24"/>
          <w:lang w:eastAsia="zh-CN"/>
        </w:rPr>
        <w:t>》（</w:t>
      </w:r>
      <w:r>
        <w:rPr>
          <w:rFonts w:hint="eastAsia" w:ascii="宋体" w:hAnsi="宋体" w:cs="宋体"/>
          <w:color w:val="auto"/>
          <w:kern w:val="0"/>
          <w:sz w:val="24"/>
        </w:rPr>
        <w:t>GB/</w:t>
      </w:r>
      <w:r>
        <w:rPr>
          <w:rFonts w:hint="eastAsia" w:ascii="宋体" w:hAnsi="宋体" w:cs="宋体"/>
          <w:color w:val="auto"/>
          <w:kern w:val="0"/>
          <w:sz w:val="24"/>
          <w:lang w:val="en-US" w:eastAsia="zh-CN"/>
        </w:rPr>
        <w:t>6001</w:t>
      </w:r>
      <w:r>
        <w:rPr>
          <w:rFonts w:hint="eastAsia" w:ascii="宋体" w:hAnsi="宋体" w:cs="宋体"/>
          <w:color w:val="auto"/>
          <w:kern w:val="0"/>
          <w:sz w:val="24"/>
        </w:rPr>
        <w:t>-</w:t>
      </w:r>
      <w:r>
        <w:rPr>
          <w:rFonts w:hint="eastAsia" w:ascii="宋体" w:hAnsi="宋体" w:cs="宋体"/>
          <w:color w:val="auto"/>
          <w:kern w:val="0"/>
          <w:sz w:val="24"/>
          <w:lang w:val="en-US" w:eastAsia="zh-CN"/>
        </w:rPr>
        <w:t>1985</w:t>
      </w:r>
      <w:r>
        <w:rPr>
          <w:rFonts w:hint="eastAsia" w:ascii="宋体" w:hAnsi="宋体" w:cs="宋体"/>
          <w:color w:val="auto"/>
          <w:kern w:val="0"/>
          <w:sz w:val="24"/>
          <w:lang w:eastAsia="zh-CN"/>
        </w:rPr>
        <w:t>）；</w:t>
      </w:r>
    </w:p>
    <w:p w14:paraId="331F5298">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7</w:t>
      </w:r>
      <w:r>
        <w:rPr>
          <w:rFonts w:hint="eastAsia" w:ascii="宋体" w:hAnsi="宋体" w:cs="宋体"/>
          <w:color w:val="auto"/>
          <w:kern w:val="0"/>
          <w:sz w:val="24"/>
          <w:lang w:eastAsia="zh-CN"/>
        </w:rPr>
        <w:t>）《主要造林树种苗木质量分级》（GB6000-1999）；</w:t>
      </w:r>
    </w:p>
    <w:p w14:paraId="53F3F3EE">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8</w:t>
      </w:r>
      <w:r>
        <w:rPr>
          <w:rFonts w:hint="eastAsia" w:ascii="宋体" w:hAnsi="宋体" w:cs="宋体"/>
          <w:color w:val="auto"/>
          <w:kern w:val="0"/>
          <w:sz w:val="24"/>
          <w:lang w:eastAsia="zh-CN"/>
        </w:rPr>
        <w:t>）</w:t>
      </w:r>
      <w:r>
        <w:rPr>
          <w:rFonts w:hint="eastAsia" w:ascii="宋体" w:hAnsi="宋体" w:cs="宋体"/>
          <w:color w:val="auto"/>
          <w:kern w:val="0"/>
          <w:sz w:val="24"/>
        </w:rPr>
        <w:t>《造林作业设计规程》（LY/T1607-20</w:t>
      </w:r>
      <w:r>
        <w:rPr>
          <w:rFonts w:hint="eastAsia" w:ascii="宋体" w:hAnsi="宋体" w:cs="宋体"/>
          <w:color w:val="auto"/>
          <w:kern w:val="0"/>
          <w:sz w:val="24"/>
          <w:lang w:val="en-US" w:eastAsia="zh-CN"/>
        </w:rPr>
        <w:t>24</w:t>
      </w:r>
      <w:r>
        <w:rPr>
          <w:rFonts w:hint="eastAsia" w:ascii="宋体" w:hAnsi="宋体" w:cs="宋体"/>
          <w:color w:val="auto"/>
          <w:kern w:val="0"/>
          <w:sz w:val="24"/>
        </w:rPr>
        <w:t>）；</w:t>
      </w:r>
    </w:p>
    <w:p w14:paraId="07C3F390">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9</w:t>
      </w:r>
      <w:r>
        <w:rPr>
          <w:rFonts w:hint="eastAsia" w:ascii="宋体" w:hAnsi="宋体" w:cs="宋体"/>
          <w:color w:val="auto"/>
          <w:kern w:val="0"/>
          <w:sz w:val="24"/>
          <w:lang w:eastAsia="zh-CN"/>
        </w:rPr>
        <w:t>）《林木采伐技术规程》（GB/T 45088-2024）；</w:t>
      </w:r>
    </w:p>
    <w:p w14:paraId="3AC00A49">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10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低效林改造技术规程</w:t>
      </w:r>
      <w:r>
        <w:rPr>
          <w:rFonts w:hint="eastAsia" w:ascii="宋体" w:hAnsi="宋体" w:cs="宋体"/>
          <w:color w:val="auto"/>
          <w:kern w:val="0"/>
          <w:sz w:val="24"/>
          <w:lang w:eastAsia="zh-CN"/>
        </w:rPr>
        <w:t>》（</w:t>
      </w:r>
      <w:r>
        <w:rPr>
          <w:rFonts w:hint="eastAsia" w:ascii="宋体" w:hAnsi="宋体" w:cs="宋体"/>
          <w:color w:val="auto"/>
          <w:kern w:val="0"/>
          <w:sz w:val="24"/>
        </w:rPr>
        <w:t>LY/T16</w:t>
      </w:r>
      <w:r>
        <w:rPr>
          <w:rFonts w:hint="eastAsia" w:ascii="宋体" w:hAnsi="宋体" w:cs="宋体"/>
          <w:color w:val="auto"/>
          <w:kern w:val="0"/>
          <w:sz w:val="24"/>
          <w:lang w:val="en-US" w:eastAsia="zh-CN"/>
        </w:rPr>
        <w:t>90</w:t>
      </w:r>
      <w:r>
        <w:rPr>
          <w:rFonts w:hint="eastAsia" w:ascii="宋体" w:hAnsi="宋体" w:cs="宋体"/>
          <w:color w:val="auto"/>
          <w:kern w:val="0"/>
          <w:sz w:val="24"/>
        </w:rPr>
        <w:t>-20</w:t>
      </w:r>
      <w:r>
        <w:rPr>
          <w:rFonts w:hint="eastAsia" w:ascii="宋体" w:hAnsi="宋体" w:cs="宋体"/>
          <w:color w:val="auto"/>
          <w:kern w:val="0"/>
          <w:sz w:val="24"/>
          <w:lang w:val="en-US" w:eastAsia="zh-CN"/>
        </w:rPr>
        <w:t>17</w:t>
      </w:r>
      <w:r>
        <w:rPr>
          <w:rFonts w:hint="eastAsia" w:ascii="宋体" w:hAnsi="宋体" w:cs="宋体"/>
          <w:color w:val="auto"/>
          <w:kern w:val="0"/>
          <w:sz w:val="24"/>
          <w:lang w:eastAsia="zh-CN"/>
        </w:rPr>
        <w:t>）；</w:t>
      </w:r>
    </w:p>
    <w:p w14:paraId="174FA024">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11</w:t>
      </w:r>
      <w:r>
        <w:rPr>
          <w:rFonts w:hint="eastAsia" w:ascii="宋体" w:hAnsi="宋体" w:cs="宋体"/>
          <w:color w:val="auto"/>
          <w:kern w:val="0"/>
          <w:sz w:val="24"/>
          <w:lang w:eastAsia="zh-CN"/>
        </w:rPr>
        <w:t>）《广东省营造林工程定额与造价》（DB44/T773-2010）；</w:t>
      </w:r>
    </w:p>
    <w:p w14:paraId="5C4E1E55">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eastAsia="zh-CN"/>
        </w:rPr>
      </w:pPr>
      <w:r>
        <w:rPr>
          <w:rFonts w:hint="eastAsia" w:ascii="宋体" w:hAnsi="宋体" w:cs="宋体"/>
          <w:color w:val="auto"/>
          <w:kern w:val="0"/>
          <w:sz w:val="24"/>
        </w:rPr>
        <w:t>（</w:t>
      </w:r>
      <w:r>
        <w:rPr>
          <w:rFonts w:hint="eastAsia" w:ascii="宋体" w:hAnsi="宋体" w:cs="宋体"/>
          <w:color w:val="auto"/>
          <w:kern w:val="0"/>
          <w:sz w:val="24"/>
          <w:lang w:val="en-US" w:eastAsia="zh-CN"/>
        </w:rPr>
        <w:t>12</w:t>
      </w:r>
      <w:r>
        <w:rPr>
          <w:rFonts w:hint="eastAsia" w:ascii="宋体" w:hAnsi="宋体" w:cs="宋体"/>
          <w:color w:val="auto"/>
          <w:kern w:val="0"/>
          <w:sz w:val="24"/>
        </w:rPr>
        <w:t>）《</w:t>
      </w:r>
      <w:r>
        <w:rPr>
          <w:rFonts w:hint="eastAsia" w:ascii="宋体" w:hAnsi="宋体" w:cs="宋体"/>
          <w:color w:val="auto"/>
          <w:kern w:val="0"/>
          <w:sz w:val="24"/>
          <w:lang w:val="en-US" w:eastAsia="zh-CN"/>
        </w:rPr>
        <w:t>土地复垦质量控制标准</w:t>
      </w:r>
      <w:r>
        <w:rPr>
          <w:rFonts w:hint="eastAsia" w:ascii="宋体" w:hAnsi="宋体" w:cs="宋体"/>
          <w:color w:val="auto"/>
          <w:kern w:val="0"/>
          <w:sz w:val="24"/>
        </w:rPr>
        <w:t>》</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TD</w:t>
      </w:r>
      <w:r>
        <w:rPr>
          <w:rFonts w:hint="eastAsia" w:ascii="宋体" w:hAnsi="宋体" w:cs="宋体"/>
          <w:color w:val="auto"/>
          <w:kern w:val="0"/>
          <w:sz w:val="24"/>
        </w:rPr>
        <w:t>/T1</w:t>
      </w:r>
      <w:r>
        <w:rPr>
          <w:rFonts w:hint="eastAsia" w:ascii="宋体" w:hAnsi="宋体" w:cs="宋体"/>
          <w:color w:val="auto"/>
          <w:kern w:val="0"/>
          <w:sz w:val="24"/>
          <w:lang w:val="en-US" w:eastAsia="zh-CN"/>
        </w:rPr>
        <w:t>036</w:t>
      </w:r>
      <w:r>
        <w:rPr>
          <w:rFonts w:hint="eastAsia" w:ascii="宋体" w:hAnsi="宋体" w:cs="宋体"/>
          <w:color w:val="auto"/>
          <w:kern w:val="0"/>
          <w:sz w:val="24"/>
        </w:rPr>
        <w:t>-201</w:t>
      </w:r>
      <w:r>
        <w:rPr>
          <w:rFonts w:hint="eastAsia" w:ascii="宋体" w:hAnsi="宋体" w:cs="宋体"/>
          <w:color w:val="auto"/>
          <w:kern w:val="0"/>
          <w:sz w:val="24"/>
          <w:lang w:val="en-US" w:eastAsia="zh-CN"/>
        </w:rPr>
        <w:t>3</w:t>
      </w:r>
      <w:r>
        <w:rPr>
          <w:rFonts w:hint="eastAsia" w:ascii="宋体" w:hAnsi="宋体" w:cs="宋体"/>
          <w:color w:val="auto"/>
          <w:kern w:val="0"/>
          <w:sz w:val="24"/>
          <w:lang w:eastAsia="zh-CN"/>
        </w:rPr>
        <w:t>）。</w:t>
      </w:r>
    </w:p>
    <w:p w14:paraId="1235FD37">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3、相关资料</w:t>
      </w:r>
    </w:p>
    <w:p w14:paraId="433D3903">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1</w:t>
      </w:r>
      <w:r>
        <w:rPr>
          <w:rFonts w:hint="eastAsia" w:ascii="宋体" w:hAnsi="宋体" w:cs="宋体"/>
          <w:color w:val="auto"/>
          <w:kern w:val="0"/>
          <w:sz w:val="24"/>
          <w:lang w:eastAsia="zh-CN"/>
        </w:rPr>
        <w:t>）</w:t>
      </w:r>
      <w:r>
        <w:rPr>
          <w:rFonts w:hint="eastAsia" w:ascii="宋体" w:hAnsi="宋体"/>
          <w:color w:val="auto"/>
          <w:sz w:val="24"/>
        </w:rPr>
        <w:t>《财政部办公厅国家</w:t>
      </w:r>
      <w:r>
        <w:rPr>
          <w:rFonts w:hint="eastAsia" w:ascii="宋体" w:hAnsi="宋体"/>
          <w:color w:val="auto"/>
          <w:sz w:val="24"/>
          <w:lang w:val="en-US" w:eastAsia="zh-CN"/>
        </w:rPr>
        <w:t>林草局办</w:t>
      </w:r>
      <w:r>
        <w:rPr>
          <w:rFonts w:hint="eastAsia" w:ascii="宋体" w:hAnsi="宋体"/>
          <w:color w:val="auto"/>
          <w:sz w:val="24"/>
        </w:rPr>
        <w:t>公室关于修改完善2025年中央财政国土绿化示范项目实施方案并加快推进项目实施的通知》（财办资环〔202</w:t>
      </w: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20</w:t>
      </w:r>
      <w:r>
        <w:rPr>
          <w:rFonts w:hint="eastAsia" w:ascii="宋体" w:hAnsi="宋体"/>
          <w:color w:val="auto"/>
          <w:sz w:val="24"/>
        </w:rPr>
        <w:t>号）</w:t>
      </w:r>
      <w:r>
        <w:rPr>
          <w:rFonts w:hint="eastAsia" w:ascii="宋体" w:hAnsi="宋体"/>
          <w:color w:val="auto"/>
          <w:sz w:val="24"/>
          <w:lang w:val="en-US" w:eastAsia="zh-CN"/>
        </w:rPr>
        <w:t>；</w:t>
      </w:r>
    </w:p>
    <w:p w14:paraId="55E6BB52">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中共广东省委关于深入推进绿美广东生态建设的决定</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粤发〔2022〕21号</w:t>
      </w:r>
      <w:r>
        <w:rPr>
          <w:rFonts w:hint="eastAsia" w:ascii="宋体" w:hAnsi="宋体" w:cs="宋体"/>
          <w:color w:val="auto"/>
          <w:kern w:val="0"/>
          <w:sz w:val="24"/>
          <w:lang w:eastAsia="zh-CN"/>
        </w:rPr>
        <w:t>）；</w:t>
      </w:r>
    </w:p>
    <w:p w14:paraId="4162373B">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3</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广东省林业局关于印发森林质量精准提升行动技术指南的通知</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粤林函〔2023〕11号</w:t>
      </w:r>
      <w:r>
        <w:rPr>
          <w:rFonts w:hint="eastAsia" w:ascii="宋体" w:hAnsi="宋体" w:cs="宋体"/>
          <w:color w:val="auto"/>
          <w:kern w:val="0"/>
          <w:sz w:val="24"/>
          <w:lang w:eastAsia="zh-CN"/>
        </w:rPr>
        <w:t>）；</w:t>
      </w:r>
    </w:p>
    <w:p w14:paraId="01EE06F7">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4</w:t>
      </w:r>
      <w:r>
        <w:rPr>
          <w:rFonts w:hint="eastAsia" w:ascii="宋体" w:hAnsi="宋体" w:cs="宋体"/>
          <w:color w:val="auto"/>
          <w:kern w:val="0"/>
          <w:sz w:val="24"/>
          <w:lang w:eastAsia="zh-CN"/>
        </w:rPr>
        <w:t>）《广东省森林质量精准提升行动方案（2023—2035年）》（</w:t>
      </w:r>
      <w:r>
        <w:rPr>
          <w:rFonts w:hint="eastAsia" w:ascii="宋体" w:hAnsi="宋体" w:cs="宋体"/>
          <w:color w:val="auto"/>
          <w:kern w:val="0"/>
          <w:sz w:val="24"/>
          <w:lang w:val="en-US" w:eastAsia="zh-CN"/>
        </w:rPr>
        <w:t>2023年2月</w:t>
      </w:r>
      <w:r>
        <w:rPr>
          <w:rFonts w:hint="eastAsia" w:ascii="宋体" w:hAnsi="宋体" w:cs="宋体"/>
          <w:color w:val="auto"/>
          <w:kern w:val="0"/>
          <w:sz w:val="24"/>
          <w:lang w:eastAsia="zh-CN"/>
        </w:rPr>
        <w:t>）；</w:t>
      </w:r>
    </w:p>
    <w:p w14:paraId="23332ED3">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5</w:t>
      </w:r>
      <w:r>
        <w:rPr>
          <w:rFonts w:hint="eastAsia" w:ascii="宋体" w:hAnsi="宋体" w:cs="宋体"/>
          <w:color w:val="auto"/>
          <w:kern w:val="0"/>
          <w:sz w:val="24"/>
          <w:lang w:eastAsia="zh-CN"/>
        </w:rPr>
        <w:t>）《广东省林业局办公室关于修改完善森林质量精准提升行动实施方案的通知》（2023</w:t>
      </w:r>
      <w:r>
        <w:rPr>
          <w:rFonts w:hint="eastAsia" w:ascii="宋体" w:hAnsi="宋体" w:cs="宋体"/>
          <w:color w:val="auto"/>
          <w:kern w:val="0"/>
          <w:sz w:val="24"/>
          <w:lang w:val="en-US" w:eastAsia="zh-CN"/>
        </w:rPr>
        <w:t>年</w:t>
      </w:r>
      <w:r>
        <w:rPr>
          <w:rFonts w:hint="eastAsia" w:ascii="宋体" w:hAnsi="宋体" w:cs="宋体"/>
          <w:color w:val="auto"/>
          <w:kern w:val="0"/>
          <w:sz w:val="24"/>
          <w:lang w:eastAsia="zh-CN"/>
        </w:rPr>
        <w:t>5</w:t>
      </w:r>
      <w:r>
        <w:rPr>
          <w:rFonts w:hint="eastAsia" w:ascii="宋体" w:hAnsi="宋体" w:cs="宋体"/>
          <w:color w:val="auto"/>
          <w:kern w:val="0"/>
          <w:sz w:val="24"/>
          <w:lang w:val="en-US" w:eastAsia="zh-CN"/>
        </w:rPr>
        <w:t>月</w:t>
      </w:r>
      <w:r>
        <w:rPr>
          <w:rFonts w:hint="eastAsia" w:ascii="宋体" w:hAnsi="宋体" w:cs="宋体"/>
          <w:color w:val="auto"/>
          <w:kern w:val="0"/>
          <w:sz w:val="24"/>
          <w:lang w:eastAsia="zh-CN"/>
        </w:rPr>
        <w:t>）；</w:t>
      </w:r>
    </w:p>
    <w:p w14:paraId="5E5CE9A9">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w:t>
      </w:r>
      <w:r>
        <w:rPr>
          <w:rFonts w:hint="eastAsia" w:ascii="宋体" w:hAnsi="宋体" w:cs="宋体"/>
          <w:color w:val="auto"/>
          <w:kern w:val="0"/>
          <w:sz w:val="24"/>
          <w:lang w:val="en-US" w:eastAsia="zh-CN"/>
        </w:rPr>
        <w:t>6</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广东西江流域中央财政国土绿化示范项目实施方案</w:t>
      </w:r>
      <w:r>
        <w:rPr>
          <w:rFonts w:hint="eastAsia" w:ascii="宋体" w:hAnsi="宋体" w:eastAsia="宋体" w:cs="宋体"/>
          <w:color w:val="auto"/>
          <w:kern w:val="0"/>
          <w:sz w:val="24"/>
          <w:lang w:eastAsia="zh-CN"/>
        </w:rPr>
        <w:t>》。</w:t>
      </w:r>
    </w:p>
    <w:p w14:paraId="6F8A5AFA">
      <w:pPr>
        <w:pStyle w:val="3"/>
        <w:keepNext w:val="0"/>
        <w:keepLines/>
        <w:pageBreakBefore w:val="0"/>
        <w:widowControl w:val="0"/>
        <w:numPr>
          <w:ilvl w:val="0"/>
          <w:numId w:val="0"/>
        </w:numPr>
        <w:kinsoku/>
        <w:wordWrap/>
        <w:overflowPunct/>
        <w:topLinePunct w:val="0"/>
        <w:autoSpaceDE/>
        <w:autoSpaceDN/>
        <w:bidi w:val="0"/>
        <w:adjustRightInd/>
        <w:snapToGrid/>
        <w:ind w:leftChars="0" w:right="0" w:rightChars="0" w:firstLine="562" w:firstLineChars="200"/>
        <w:jc w:val="both"/>
        <w:textAlignment w:val="auto"/>
        <w:rPr>
          <w:rFonts w:hint="eastAsia"/>
          <w:sz w:val="28"/>
          <w:szCs w:val="28"/>
        </w:rPr>
      </w:pPr>
      <w:r>
        <w:rPr>
          <w:rFonts w:hint="eastAsia"/>
          <w:sz w:val="28"/>
          <w:szCs w:val="28"/>
        </w:rPr>
        <w:t>（三）工作内容</w:t>
      </w:r>
    </w:p>
    <w:p w14:paraId="02DB81B8">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1、前期工作准备</w:t>
      </w:r>
    </w:p>
    <w:p w14:paraId="4378022D">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（1）梳理任务</w:t>
      </w:r>
    </w:p>
    <w:p w14:paraId="3678AFC9">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根据《广东西江流域中央财政国土绿化示范项目实施方案》，梳理罗定市国土绿化示范项目建设内容、技术标准和投资概算等内容。</w:t>
      </w:r>
    </w:p>
    <w:p w14:paraId="7C89120E">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（2）收集资料</w:t>
      </w:r>
    </w:p>
    <w:p w14:paraId="6CE86D51">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收集罗定市林草湿荒普查、森林资源归档数据、生态公益林数据、天然林落界数据、自然保护地数据、往期营造林建设数据等专题基础数据。</w:t>
      </w:r>
    </w:p>
    <w:p w14:paraId="20FFB1A7">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lang w:val="en-US" w:eastAsia="zh-CN"/>
        </w:rPr>
      </w:pPr>
    </w:p>
    <w:p w14:paraId="232FE0A0">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heme="minorEastAsia" w:hAnsiTheme="minorEastAsia" w:eastAsiaTheme="minorEastAsia" w:cstheme="minorEastAsia"/>
          <w:sz w:val="24"/>
          <w:szCs w:val="24"/>
          <w:highlight w:val="none"/>
          <w:lang w:val="en-US" w:eastAsia="zh-CN"/>
        </w:rPr>
      </w:pPr>
    </w:p>
    <w:p w14:paraId="29AFAA49">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（3）制作底图</w:t>
      </w:r>
    </w:p>
    <w:p w14:paraId="177F9164">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采用地理信息系统（GIS），对罗定市多项森林资源专题数据进行数据分析，获取罗定市国土绿化现状本底数据，结合遥感影像数据，初步筛选出造林地块，制作外业调查工作底图。</w:t>
      </w:r>
    </w:p>
    <w:p w14:paraId="3296CD92">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2、外业调查核实</w:t>
      </w:r>
    </w:p>
    <w:p w14:paraId="7D7CD604">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实地调查核实项目所有作业地块，并按相关技术要求填写小班因子调查表等资料，同时拍摄所有作业地块的正射影像图。</w:t>
      </w:r>
    </w:p>
    <w:p w14:paraId="29660B59">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3、资料整理分析</w:t>
      </w:r>
    </w:p>
    <w:p w14:paraId="4949436A">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根据外业调查结果，结合相关技术要求，整理分析作业设计所需的作业小班卡片等相关资料，为科学编制作业设计做好准备。</w:t>
      </w:r>
    </w:p>
    <w:p w14:paraId="60F7DBF6">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4、作业设计编制</w:t>
      </w:r>
    </w:p>
    <w:p w14:paraId="6A1E92EE">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客观分析罗定市国土绿化现状调查、存在问题，根据建设内容，整合现有的投资政策和渠道，综合考虑年度建设任务、地方财力、资金来源，提出分年度投资计划，科学编制罗定市国土绿化示范项目作业设计，包括采伐设计和作业设计。</w:t>
      </w:r>
    </w:p>
    <w:p w14:paraId="59BF72CD">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5、造林落地上图</w:t>
      </w:r>
    </w:p>
    <w:p w14:paraId="03AEC97D">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核实造林地块负面清单，确保不存在违规占用耕地、生态保护红线、自然保护区等疑似问题图斑，按照“能上图能落地能种上树”的原则开展造林计划任务上图工作，根据《国土绿化项目落地上图管理规定(试行)》要求，建立项目建设范围地理信息数据库，提交国家造林绿化落地上图管理系统。</w:t>
      </w:r>
    </w:p>
    <w:p w14:paraId="51B445D6">
      <w:pPr>
        <w:pStyle w:val="3"/>
        <w:keepNext w:val="0"/>
        <w:keepLines/>
        <w:pageBreakBefore w:val="0"/>
        <w:widowControl w:val="0"/>
        <w:numPr>
          <w:ilvl w:val="0"/>
          <w:numId w:val="0"/>
        </w:numPr>
        <w:kinsoku/>
        <w:wordWrap/>
        <w:overflowPunct/>
        <w:topLinePunct w:val="0"/>
        <w:autoSpaceDE/>
        <w:autoSpaceDN/>
        <w:bidi w:val="0"/>
        <w:adjustRightInd/>
        <w:snapToGrid/>
        <w:ind w:leftChars="0" w:right="0" w:rightChars="0" w:firstLine="562" w:firstLineChars="200"/>
        <w:jc w:val="both"/>
        <w:textAlignment w:val="auto"/>
        <w:rPr>
          <w:rFonts w:hint="eastAsia"/>
          <w:sz w:val="28"/>
          <w:szCs w:val="28"/>
        </w:rPr>
      </w:pPr>
      <w:r>
        <w:rPr>
          <w:rFonts w:hint="eastAsia"/>
          <w:sz w:val="28"/>
          <w:szCs w:val="28"/>
        </w:rPr>
        <w:t>（四）提交成果清单</w:t>
      </w:r>
    </w:p>
    <w:p w14:paraId="3F06B200">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sz w:val="24"/>
        </w:rPr>
      </w:pPr>
      <w:r>
        <w:rPr>
          <w:rFonts w:hint="eastAsia" w:ascii="宋体" w:hAnsi="宋体" w:cs="宋体"/>
          <w:color w:val="auto"/>
          <w:sz w:val="24"/>
        </w:rPr>
        <w:t>1、《广东西江流域（云浮市</w:t>
      </w:r>
      <w:r>
        <w:rPr>
          <w:rFonts w:hint="eastAsia" w:ascii="宋体" w:hAnsi="宋体" w:cs="宋体"/>
          <w:color w:val="auto"/>
          <w:sz w:val="24"/>
          <w:lang w:eastAsia="zh-CN"/>
        </w:rPr>
        <w:t>罗定市</w:t>
      </w:r>
      <w:r>
        <w:rPr>
          <w:rFonts w:hint="eastAsia" w:ascii="宋体" w:hAnsi="宋体" w:cs="宋体"/>
          <w:color w:val="auto"/>
          <w:sz w:val="24"/>
        </w:rPr>
        <w:t>）中央财政国土绿化示范项目设计作业设计》：包括项目设计文本、统计表、投资概算、作业小班设计图等。</w:t>
      </w:r>
    </w:p>
    <w:p w14:paraId="6857B022">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sz w:val="24"/>
        </w:rPr>
      </w:pPr>
      <w:r>
        <w:rPr>
          <w:rFonts w:hint="eastAsia" w:ascii="宋体" w:hAnsi="宋体" w:cs="宋体"/>
          <w:color w:val="auto"/>
          <w:sz w:val="24"/>
        </w:rPr>
        <w:t>2、《广东西江流域（云浮市</w:t>
      </w:r>
      <w:r>
        <w:rPr>
          <w:rFonts w:hint="eastAsia" w:ascii="宋体" w:hAnsi="宋体" w:cs="宋体"/>
          <w:color w:val="auto"/>
          <w:sz w:val="24"/>
          <w:lang w:eastAsia="zh-CN"/>
        </w:rPr>
        <w:t>罗定市</w:t>
      </w:r>
      <w:r>
        <w:rPr>
          <w:rFonts w:hint="eastAsia" w:ascii="宋体" w:hAnsi="宋体" w:cs="宋体"/>
          <w:color w:val="auto"/>
          <w:sz w:val="24"/>
        </w:rPr>
        <w:t>）中央财政国土绿化示范项目</w:t>
      </w:r>
      <w:r>
        <w:rPr>
          <w:rFonts w:hint="eastAsia" w:ascii="宋体" w:hAnsi="宋体" w:cs="宋体"/>
          <w:color w:val="auto"/>
          <w:sz w:val="24"/>
          <w:lang w:val="en-US" w:eastAsia="zh-CN"/>
        </w:rPr>
        <w:t>采伐设计</w:t>
      </w:r>
      <w:r>
        <w:rPr>
          <w:rFonts w:hint="eastAsia" w:ascii="宋体" w:hAnsi="宋体" w:cs="宋体"/>
          <w:color w:val="auto"/>
          <w:sz w:val="24"/>
        </w:rPr>
        <w:t>》：</w:t>
      </w:r>
      <w:r>
        <w:rPr>
          <w:rFonts w:hint="eastAsia" w:ascii="宋体" w:hAnsi="宋体" w:cs="宋体"/>
          <w:color w:val="auto"/>
          <w:sz w:val="24"/>
          <w:lang w:val="en-US" w:eastAsia="zh-CN"/>
        </w:rPr>
        <w:t>采伐设计需要按照国家和省的技术要求编制，</w:t>
      </w:r>
      <w:r>
        <w:rPr>
          <w:rFonts w:hint="eastAsia" w:ascii="宋体" w:hAnsi="宋体" w:cs="宋体"/>
          <w:color w:val="auto"/>
          <w:sz w:val="24"/>
        </w:rPr>
        <w:t>主要包括</w:t>
      </w:r>
      <w:r>
        <w:rPr>
          <w:rFonts w:hint="eastAsia" w:ascii="宋体" w:hAnsi="宋体" w:cs="宋体"/>
          <w:color w:val="auto"/>
          <w:sz w:val="24"/>
          <w:lang w:val="en-US" w:eastAsia="zh-CN"/>
        </w:rPr>
        <w:t>文本、附件、附表和附图</w:t>
      </w:r>
      <w:r>
        <w:rPr>
          <w:rFonts w:hint="eastAsia" w:ascii="宋体" w:hAnsi="宋体" w:cs="宋体"/>
          <w:color w:val="auto"/>
          <w:sz w:val="24"/>
        </w:rPr>
        <w:t>等内容。</w:t>
      </w:r>
    </w:p>
    <w:p w14:paraId="30DBC530">
      <w:pPr>
        <w:keepNext w:val="0"/>
        <w:keepLines w:val="0"/>
        <w:pageBreakBefore w:val="0"/>
        <w:kinsoku/>
        <w:wordWrap/>
        <w:overflowPunct/>
        <w:topLinePunct w:val="0"/>
        <w:autoSpaceDN/>
        <w:bidi w:val="0"/>
        <w:spacing w:line="312" w:lineRule="auto"/>
        <w:ind w:firstLine="480" w:firstLineChars="200"/>
        <w:jc w:val="both"/>
        <w:textAlignment w:val="auto"/>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、按照“能上图能落地能种上树”的原则开展造林计划任务上图工作，建立shp格式的项目建设图斑地理信息数据库，提交到国家造林绿化落地上图管理系统。</w:t>
      </w:r>
    </w:p>
    <w:p w14:paraId="41671E60">
      <w:pPr>
        <w:pStyle w:val="3"/>
        <w:keepNext w:val="0"/>
        <w:keepLines/>
        <w:pageBreakBefore w:val="0"/>
        <w:widowControl w:val="0"/>
        <w:numPr>
          <w:ilvl w:val="0"/>
          <w:numId w:val="0"/>
        </w:numPr>
        <w:kinsoku/>
        <w:wordWrap/>
        <w:overflowPunct/>
        <w:topLinePunct w:val="0"/>
        <w:autoSpaceDE/>
        <w:autoSpaceDN/>
        <w:bidi w:val="0"/>
        <w:adjustRightInd/>
        <w:snapToGrid/>
        <w:ind w:leftChars="0" w:right="0" w:rightChars="0" w:firstLine="562" w:firstLineChars="200"/>
        <w:jc w:val="both"/>
        <w:textAlignment w:val="auto"/>
        <w:rPr>
          <w:rFonts w:hint="eastAsia"/>
          <w:sz w:val="28"/>
          <w:szCs w:val="28"/>
        </w:rPr>
      </w:pPr>
      <w:r>
        <w:rPr>
          <w:rFonts w:hint="eastAsia"/>
          <w:sz w:val="28"/>
          <w:szCs w:val="28"/>
        </w:rPr>
        <w:t>（五）工期要求</w:t>
      </w:r>
    </w:p>
    <w:p w14:paraId="3D80AF49">
      <w:pPr>
        <w:keepNext w:val="0"/>
        <w:keepLines w:val="0"/>
        <w:pageBreakBefore w:val="0"/>
        <w:kinsoku/>
        <w:wordWrap/>
        <w:overflowPunct/>
        <w:topLinePunct w:val="0"/>
        <w:autoSpaceDN/>
        <w:bidi w:val="0"/>
        <w:spacing w:line="312" w:lineRule="auto"/>
        <w:ind w:firstLine="480" w:firstLineChars="200"/>
        <w:jc w:val="both"/>
        <w:textAlignment w:val="auto"/>
        <w:rPr>
          <w:rFonts w:hint="default" w:ascii="宋体" w:hAnsi="宋体" w:eastAsia="宋体" w:cs="宋体"/>
          <w:color w:val="auto"/>
          <w:sz w:val="24"/>
          <w:lang w:val="en-US" w:eastAsia="zh-CN"/>
        </w:rPr>
      </w:pPr>
      <w:r>
        <w:rPr>
          <w:rFonts w:hint="eastAsia" w:ascii="宋体" w:hAnsi="宋体" w:cs="宋体"/>
          <w:color w:val="auto"/>
          <w:sz w:val="24"/>
        </w:rPr>
        <w:t>服务期限：</w:t>
      </w:r>
      <w:r>
        <w:rPr>
          <w:rFonts w:hint="eastAsia" w:ascii="宋体" w:hAnsi="宋体" w:cs="宋体"/>
          <w:color w:val="auto"/>
          <w:sz w:val="24"/>
          <w:lang w:val="en-US" w:eastAsia="zh-CN"/>
        </w:rPr>
        <w:t>签订合同之日起90个工作日内完成作业设计编制；后续为变更设计跟进技术服务到2027年12月31日。</w:t>
      </w:r>
    </w:p>
    <w:p w14:paraId="5A610C87">
      <w:pPr>
        <w:pStyle w:val="2"/>
        <w:keepNext/>
        <w:keepLines/>
        <w:pageBreakBefore w:val="0"/>
        <w:widowControl/>
        <w:kinsoku/>
        <w:wordWrap/>
        <w:overflowPunct/>
        <w:topLinePunct w:val="0"/>
        <w:autoSpaceDE/>
        <w:autoSpaceDN/>
        <w:bidi w:val="0"/>
        <w:adjustRightInd/>
        <w:snapToGrid/>
        <w:spacing w:before="157" w:beforeLines="50" w:after="157" w:afterLines="50" w:line="480" w:lineRule="auto"/>
        <w:ind w:left="0" w:right="0"/>
        <w:jc w:val="left"/>
        <w:textAlignment w:val="auto"/>
        <w:rPr>
          <w:rFonts w:hint="eastAsia"/>
          <w:b/>
          <w:sz w:val="32"/>
          <w:szCs w:val="32"/>
        </w:rPr>
      </w:pPr>
      <w:r>
        <w:rPr>
          <w:rFonts w:hint="eastAsia"/>
          <w:b/>
          <w:sz w:val="32"/>
          <w:szCs w:val="32"/>
        </w:rPr>
        <w:t>四、采购项目商务要求</w:t>
      </w:r>
    </w:p>
    <w:p w14:paraId="2820BFBC">
      <w:pPr>
        <w:pStyle w:val="3"/>
        <w:keepNext w:val="0"/>
        <w:keepLines/>
        <w:pageBreakBefore w:val="0"/>
        <w:widowControl w:val="0"/>
        <w:numPr>
          <w:ilvl w:val="0"/>
          <w:numId w:val="0"/>
        </w:numPr>
        <w:kinsoku/>
        <w:wordWrap/>
        <w:overflowPunct/>
        <w:topLinePunct w:val="0"/>
        <w:autoSpaceDE/>
        <w:autoSpaceDN/>
        <w:bidi w:val="0"/>
        <w:adjustRightInd/>
        <w:snapToGrid/>
        <w:ind w:leftChars="0" w:right="0" w:rightChars="0" w:firstLine="562" w:firstLineChars="200"/>
        <w:jc w:val="both"/>
        <w:textAlignment w:val="auto"/>
        <w:rPr>
          <w:rFonts w:hint="eastAsia"/>
          <w:sz w:val="28"/>
          <w:szCs w:val="28"/>
        </w:rPr>
      </w:pPr>
      <w:r>
        <w:rPr>
          <w:rFonts w:hint="eastAsia"/>
          <w:sz w:val="28"/>
          <w:szCs w:val="28"/>
        </w:rPr>
        <w:t>（一）报价要求</w:t>
      </w:r>
    </w:p>
    <w:p w14:paraId="0E0CE0F5">
      <w:pPr>
        <w:keepNext w:val="0"/>
        <w:keepLines w:val="0"/>
        <w:pageBreakBefore w:val="0"/>
        <w:kinsoku/>
        <w:wordWrap/>
        <w:overflowPunct/>
        <w:topLinePunct w:val="0"/>
        <w:autoSpaceDE w:val="0"/>
        <w:autoSpaceDN/>
        <w:bidi w:val="0"/>
        <w:adjustRightInd w:val="0"/>
        <w:snapToGrid w:val="0"/>
        <w:spacing w:line="400" w:lineRule="exact"/>
        <w:ind w:firstLine="480" w:firstLineChars="200"/>
        <w:jc w:val="both"/>
        <w:textAlignment w:val="auto"/>
        <w:rPr>
          <w:rFonts w:ascii="宋体" w:hAnsi="宋体" w:cs="宋体"/>
          <w:color w:val="auto"/>
          <w:sz w:val="24"/>
        </w:rPr>
      </w:pPr>
      <w:r>
        <w:rPr>
          <w:rFonts w:ascii="宋体" w:hAnsi="宋体" w:cs="宋体"/>
          <w:color w:val="auto"/>
          <w:sz w:val="24"/>
        </w:rPr>
        <w:t>1</w:t>
      </w:r>
      <w:r>
        <w:rPr>
          <w:rFonts w:hint="eastAsia" w:ascii="宋体" w:hAnsi="宋体" w:cs="宋体"/>
          <w:color w:val="auto"/>
          <w:sz w:val="24"/>
          <w:lang w:eastAsia="zh-CN"/>
        </w:rPr>
        <w:t>、</w:t>
      </w:r>
      <w:r>
        <w:rPr>
          <w:rFonts w:ascii="宋体" w:hAnsi="宋体" w:cs="宋体"/>
          <w:color w:val="auto"/>
          <w:sz w:val="24"/>
        </w:rPr>
        <w:t>本项目调查评价费用应包括劳务费、工具费、劳保费、安全费、法定税费和企业的利润。由投标人根据招标文件所提供的资料自行测算投标报价；一经中标，投标报价总价作为中标单位签订的合同金额，合同期限内不作调整；</w:t>
      </w:r>
    </w:p>
    <w:p w14:paraId="5B9C7BAF">
      <w:pPr>
        <w:keepNext w:val="0"/>
        <w:keepLines w:val="0"/>
        <w:pageBreakBefore w:val="0"/>
        <w:kinsoku/>
        <w:wordWrap/>
        <w:overflowPunct/>
        <w:topLinePunct w:val="0"/>
        <w:autoSpaceDE w:val="0"/>
        <w:autoSpaceDN/>
        <w:bidi w:val="0"/>
        <w:adjustRightInd w:val="0"/>
        <w:snapToGrid w:val="0"/>
        <w:spacing w:line="400" w:lineRule="exact"/>
        <w:ind w:firstLine="480" w:firstLineChars="200"/>
        <w:jc w:val="both"/>
        <w:textAlignment w:val="auto"/>
        <w:rPr>
          <w:rFonts w:ascii="宋体" w:hAnsi="宋体" w:cs="宋体"/>
          <w:color w:val="auto"/>
          <w:sz w:val="24"/>
        </w:rPr>
      </w:pPr>
      <w:r>
        <w:rPr>
          <w:rFonts w:ascii="宋体" w:hAnsi="宋体" w:cs="宋体"/>
          <w:color w:val="auto"/>
          <w:sz w:val="24"/>
        </w:rPr>
        <w:t>2</w:t>
      </w:r>
      <w:r>
        <w:rPr>
          <w:rFonts w:hint="eastAsia" w:ascii="宋体" w:hAnsi="宋体" w:cs="宋体"/>
          <w:color w:val="auto"/>
          <w:sz w:val="24"/>
          <w:lang w:eastAsia="zh-CN"/>
        </w:rPr>
        <w:t>、</w:t>
      </w:r>
      <w:r>
        <w:rPr>
          <w:rFonts w:ascii="宋体" w:hAnsi="宋体" w:cs="宋体"/>
          <w:color w:val="auto"/>
          <w:sz w:val="24"/>
        </w:rPr>
        <w:t>投标人应根据本企业的成本自行决定报价，但不得以低于其企业成本的报价投标；</w:t>
      </w:r>
    </w:p>
    <w:p w14:paraId="77A3A720">
      <w:pPr>
        <w:keepNext w:val="0"/>
        <w:keepLines w:val="0"/>
        <w:pageBreakBefore w:val="0"/>
        <w:kinsoku/>
        <w:wordWrap/>
        <w:overflowPunct/>
        <w:topLinePunct w:val="0"/>
        <w:autoSpaceDE w:val="0"/>
        <w:autoSpaceDN/>
        <w:bidi w:val="0"/>
        <w:adjustRightInd w:val="0"/>
        <w:snapToGrid w:val="0"/>
        <w:spacing w:line="400" w:lineRule="exact"/>
        <w:ind w:firstLine="480" w:firstLineChars="200"/>
        <w:jc w:val="both"/>
        <w:textAlignment w:val="auto"/>
        <w:rPr>
          <w:rFonts w:ascii="宋体" w:hAnsi="宋体" w:cs="宋体"/>
          <w:color w:val="auto"/>
          <w:sz w:val="24"/>
        </w:rPr>
      </w:pPr>
      <w:r>
        <w:rPr>
          <w:rFonts w:ascii="宋体" w:hAnsi="宋体" w:cs="宋体"/>
          <w:color w:val="auto"/>
          <w:sz w:val="24"/>
        </w:rPr>
        <w:t>3</w:t>
      </w:r>
      <w:r>
        <w:rPr>
          <w:rFonts w:hint="eastAsia" w:ascii="宋体" w:hAnsi="宋体" w:cs="宋体"/>
          <w:color w:val="auto"/>
          <w:sz w:val="24"/>
          <w:lang w:eastAsia="zh-CN"/>
        </w:rPr>
        <w:t>、</w:t>
      </w:r>
      <w:r>
        <w:rPr>
          <w:rFonts w:ascii="宋体" w:hAnsi="宋体" w:cs="宋体"/>
          <w:color w:val="auto"/>
          <w:sz w:val="24"/>
        </w:rPr>
        <w:t>投标人的投标报价不得超过财政预算限额，投标报价超出预算金额的将作废标处理；本项目财政预算为：</w:t>
      </w:r>
      <w:r>
        <w:rPr>
          <w:rFonts w:ascii="宋体" w:hAnsi="宋体" w:cs="宋体"/>
          <w:b/>
          <w:bCs/>
          <w:color w:val="auto"/>
          <w:sz w:val="24"/>
        </w:rPr>
        <w:t>人民币</w:t>
      </w:r>
      <w:r>
        <w:rPr>
          <w:rFonts w:hint="eastAsia" w:ascii="宋体" w:hAnsi="宋体" w:cs="宋体"/>
          <w:b/>
          <w:bCs/>
          <w:color w:val="auto"/>
          <w:sz w:val="24"/>
          <w:lang w:val="en-US" w:eastAsia="zh-CN"/>
        </w:rPr>
        <w:t>叁佰捌拾捌万元整（¥3,880,000.00）</w:t>
      </w:r>
      <w:r>
        <w:rPr>
          <w:rFonts w:ascii="宋体" w:hAnsi="宋体" w:cs="宋体"/>
          <w:b/>
          <w:bCs/>
          <w:color w:val="auto"/>
          <w:sz w:val="24"/>
        </w:rPr>
        <w:t>；</w:t>
      </w:r>
    </w:p>
    <w:p w14:paraId="1CD7231D">
      <w:pPr>
        <w:keepNext w:val="0"/>
        <w:keepLines w:val="0"/>
        <w:pageBreakBefore w:val="0"/>
        <w:kinsoku/>
        <w:wordWrap/>
        <w:overflowPunct/>
        <w:topLinePunct w:val="0"/>
        <w:autoSpaceDE w:val="0"/>
        <w:autoSpaceDN/>
        <w:bidi w:val="0"/>
        <w:adjustRightInd w:val="0"/>
        <w:snapToGrid w:val="0"/>
        <w:spacing w:line="400" w:lineRule="exact"/>
        <w:ind w:firstLine="480" w:firstLineChars="200"/>
        <w:jc w:val="both"/>
        <w:textAlignment w:val="auto"/>
        <w:rPr>
          <w:rFonts w:ascii="宋体" w:hAnsi="宋体" w:cs="宋体"/>
          <w:color w:val="auto"/>
          <w:sz w:val="24"/>
        </w:rPr>
      </w:pPr>
      <w:r>
        <w:rPr>
          <w:rFonts w:ascii="宋体" w:hAnsi="宋体" w:cs="宋体"/>
          <w:color w:val="auto"/>
          <w:sz w:val="24"/>
        </w:rPr>
        <w:t>4</w:t>
      </w:r>
      <w:r>
        <w:rPr>
          <w:rFonts w:hint="eastAsia" w:ascii="宋体" w:hAnsi="宋体" w:cs="宋体"/>
          <w:color w:val="auto"/>
          <w:sz w:val="24"/>
          <w:lang w:eastAsia="zh-CN"/>
        </w:rPr>
        <w:t>、</w:t>
      </w:r>
      <w:r>
        <w:rPr>
          <w:rFonts w:ascii="宋体" w:hAnsi="宋体" w:cs="宋体"/>
          <w:color w:val="auto"/>
          <w:sz w:val="24"/>
        </w:rPr>
        <w:t>投标人的投标报价，应是本项目招标范围和招标文件及合同条款上所列的各项内容中所述的全部，不得以任何理由予以重复，并以投标人提出的综合单价或总价为依据；</w:t>
      </w:r>
    </w:p>
    <w:p w14:paraId="4467B308">
      <w:pPr>
        <w:keepNext w:val="0"/>
        <w:keepLines w:val="0"/>
        <w:pageBreakBefore w:val="0"/>
        <w:kinsoku/>
        <w:wordWrap/>
        <w:overflowPunct/>
        <w:topLinePunct w:val="0"/>
        <w:autoSpaceDE w:val="0"/>
        <w:autoSpaceDN/>
        <w:bidi w:val="0"/>
        <w:adjustRightInd w:val="0"/>
        <w:snapToGrid w:val="0"/>
        <w:spacing w:line="400" w:lineRule="exact"/>
        <w:ind w:firstLine="480" w:firstLineChars="200"/>
        <w:jc w:val="both"/>
        <w:textAlignment w:val="auto"/>
        <w:rPr>
          <w:rFonts w:ascii="宋体" w:hAnsi="宋体" w:cs="宋体"/>
          <w:color w:val="auto"/>
          <w:sz w:val="24"/>
        </w:rPr>
      </w:pPr>
      <w:r>
        <w:rPr>
          <w:rFonts w:ascii="宋体" w:hAnsi="宋体" w:cs="宋体"/>
          <w:color w:val="auto"/>
          <w:sz w:val="24"/>
        </w:rPr>
        <w:t>5</w:t>
      </w:r>
      <w:r>
        <w:rPr>
          <w:rFonts w:hint="eastAsia" w:ascii="宋体" w:hAnsi="宋体" w:cs="宋体"/>
          <w:color w:val="auto"/>
          <w:sz w:val="24"/>
          <w:lang w:eastAsia="zh-CN"/>
        </w:rPr>
        <w:t>、</w:t>
      </w:r>
      <w:r>
        <w:rPr>
          <w:rFonts w:ascii="宋体" w:hAnsi="宋体" w:cs="宋体"/>
          <w:color w:val="auto"/>
          <w:sz w:val="24"/>
        </w:rPr>
        <w:t>参与报价供应商应先到项目地点踏勘以充分了解项目的位置、情况、道路及任何其它足以影响投标报价的情况，任何因忽视或误解项目情况而导致的索赔或服务期限延长申请将不获批准；</w:t>
      </w:r>
    </w:p>
    <w:p w14:paraId="2A8D781D">
      <w:pPr>
        <w:keepNext w:val="0"/>
        <w:keepLines w:val="0"/>
        <w:pageBreakBefore w:val="0"/>
        <w:kinsoku/>
        <w:wordWrap/>
        <w:overflowPunct/>
        <w:topLinePunct w:val="0"/>
        <w:autoSpaceDE w:val="0"/>
        <w:autoSpaceDN/>
        <w:bidi w:val="0"/>
        <w:adjustRightInd w:val="0"/>
        <w:snapToGrid w:val="0"/>
        <w:spacing w:line="400" w:lineRule="exact"/>
        <w:ind w:firstLine="480" w:firstLineChars="200"/>
        <w:jc w:val="both"/>
        <w:textAlignment w:val="auto"/>
        <w:rPr>
          <w:rFonts w:ascii="宋体" w:hAnsi="宋体" w:cs="宋体"/>
          <w:color w:val="auto"/>
          <w:sz w:val="24"/>
        </w:rPr>
      </w:pPr>
      <w:r>
        <w:rPr>
          <w:rFonts w:ascii="宋体" w:hAnsi="宋体" w:cs="宋体"/>
          <w:color w:val="auto"/>
          <w:sz w:val="24"/>
        </w:rPr>
        <w:t>6</w:t>
      </w:r>
      <w:r>
        <w:rPr>
          <w:rFonts w:hint="eastAsia" w:ascii="宋体" w:hAnsi="宋体" w:cs="宋体"/>
          <w:color w:val="auto"/>
          <w:sz w:val="24"/>
          <w:lang w:eastAsia="zh-CN"/>
        </w:rPr>
        <w:t>、</w:t>
      </w:r>
      <w:r>
        <w:rPr>
          <w:rFonts w:ascii="宋体" w:hAnsi="宋体" w:cs="宋体"/>
          <w:color w:val="auto"/>
          <w:sz w:val="24"/>
        </w:rPr>
        <w:t>投标人不得期望通过索赔等方式获取补偿，否则，除可能遭到拒绝外，还有可能将被作为不良行为记录在案，并可能影响其以后参加政府采购的项目投标。各投标人在投标报价时，应充分考虑投标报价的风险。</w:t>
      </w:r>
    </w:p>
    <w:p w14:paraId="4902AA2B">
      <w:pPr>
        <w:pStyle w:val="3"/>
        <w:keepNext w:val="0"/>
        <w:keepLines/>
        <w:pageBreakBefore w:val="0"/>
        <w:widowControl w:val="0"/>
        <w:numPr>
          <w:ilvl w:val="0"/>
          <w:numId w:val="0"/>
        </w:numPr>
        <w:kinsoku/>
        <w:wordWrap/>
        <w:overflowPunct/>
        <w:topLinePunct w:val="0"/>
        <w:autoSpaceDE/>
        <w:autoSpaceDN/>
        <w:bidi w:val="0"/>
        <w:adjustRightInd/>
        <w:snapToGrid/>
        <w:ind w:leftChars="0" w:right="0" w:rightChars="0" w:firstLine="562" w:firstLineChars="200"/>
        <w:jc w:val="both"/>
        <w:textAlignment w:val="auto"/>
        <w:rPr>
          <w:rFonts w:hint="eastAsia"/>
          <w:sz w:val="28"/>
          <w:szCs w:val="28"/>
        </w:rPr>
      </w:pPr>
      <w:r>
        <w:rPr>
          <w:rFonts w:hint="eastAsia"/>
          <w:sz w:val="28"/>
          <w:szCs w:val="28"/>
        </w:rPr>
        <w:t>（二）项目实施地点</w:t>
      </w:r>
    </w:p>
    <w:p w14:paraId="4A949B03">
      <w:pPr>
        <w:keepNext w:val="0"/>
        <w:keepLines w:val="0"/>
        <w:pageBreakBefore w:val="0"/>
        <w:kinsoku/>
        <w:wordWrap/>
        <w:overflowPunct/>
        <w:topLinePunct w:val="0"/>
        <w:autoSpaceDE w:val="0"/>
        <w:autoSpaceDN/>
        <w:bidi w:val="0"/>
        <w:adjustRightInd w:val="0"/>
        <w:snapToGrid w:val="0"/>
        <w:spacing w:line="400" w:lineRule="exact"/>
        <w:ind w:firstLine="480" w:firstLineChars="200"/>
        <w:jc w:val="both"/>
        <w:textAlignment w:val="auto"/>
        <w:rPr>
          <w:rFonts w:ascii="宋体" w:hAnsi="宋体" w:cs="宋体"/>
          <w:color w:val="auto"/>
          <w:sz w:val="24"/>
        </w:rPr>
      </w:pPr>
      <w:r>
        <w:rPr>
          <w:rFonts w:hint="eastAsia" w:ascii="宋体" w:hAnsi="宋体" w:cs="宋体"/>
          <w:color w:val="auto"/>
          <w:sz w:val="24"/>
        </w:rPr>
        <w:t>本项目实施地点为广东省</w:t>
      </w:r>
      <w:r>
        <w:rPr>
          <w:rFonts w:hint="eastAsia" w:ascii="宋体" w:hAnsi="宋体" w:cs="宋体"/>
          <w:color w:val="auto"/>
          <w:sz w:val="24"/>
          <w:lang w:val="en-US" w:eastAsia="zh-CN"/>
        </w:rPr>
        <w:t>云浮罗定市</w:t>
      </w:r>
      <w:r>
        <w:rPr>
          <w:rFonts w:hint="eastAsia" w:ascii="宋体" w:hAnsi="宋体" w:cs="宋体"/>
          <w:color w:val="auto"/>
          <w:sz w:val="24"/>
        </w:rPr>
        <w:t>。</w:t>
      </w:r>
    </w:p>
    <w:p w14:paraId="31CEA096">
      <w:pPr>
        <w:pStyle w:val="3"/>
        <w:keepNext w:val="0"/>
        <w:keepLines/>
        <w:pageBreakBefore w:val="0"/>
        <w:widowControl w:val="0"/>
        <w:numPr>
          <w:ilvl w:val="0"/>
          <w:numId w:val="0"/>
        </w:numPr>
        <w:kinsoku/>
        <w:wordWrap/>
        <w:overflowPunct/>
        <w:topLinePunct w:val="0"/>
        <w:autoSpaceDE/>
        <w:autoSpaceDN/>
        <w:bidi w:val="0"/>
        <w:adjustRightInd/>
        <w:snapToGrid/>
        <w:ind w:leftChars="0" w:right="0" w:rightChars="0" w:firstLine="562" w:firstLineChars="200"/>
        <w:jc w:val="both"/>
        <w:textAlignment w:val="auto"/>
        <w:rPr>
          <w:rFonts w:hint="eastAsia"/>
          <w:sz w:val="28"/>
          <w:szCs w:val="28"/>
        </w:rPr>
      </w:pPr>
    </w:p>
    <w:p w14:paraId="6ED29336">
      <w:pPr>
        <w:pStyle w:val="3"/>
        <w:keepNext w:val="0"/>
        <w:keepLines/>
        <w:pageBreakBefore w:val="0"/>
        <w:widowControl w:val="0"/>
        <w:numPr>
          <w:ilvl w:val="0"/>
          <w:numId w:val="0"/>
        </w:numPr>
        <w:kinsoku/>
        <w:wordWrap/>
        <w:overflowPunct/>
        <w:topLinePunct w:val="0"/>
        <w:autoSpaceDE/>
        <w:autoSpaceDN/>
        <w:bidi w:val="0"/>
        <w:adjustRightInd/>
        <w:snapToGrid/>
        <w:ind w:leftChars="0" w:right="0" w:rightChars="0" w:firstLine="562" w:firstLineChars="200"/>
        <w:jc w:val="both"/>
        <w:textAlignment w:val="auto"/>
        <w:rPr>
          <w:rFonts w:hint="eastAsia"/>
          <w:sz w:val="28"/>
          <w:szCs w:val="28"/>
        </w:rPr>
      </w:pPr>
    </w:p>
    <w:p w14:paraId="08EB5D6C">
      <w:pPr>
        <w:pStyle w:val="3"/>
        <w:keepNext w:val="0"/>
        <w:keepLines/>
        <w:pageBreakBefore w:val="0"/>
        <w:widowControl w:val="0"/>
        <w:numPr>
          <w:ilvl w:val="0"/>
          <w:numId w:val="0"/>
        </w:numPr>
        <w:kinsoku/>
        <w:wordWrap/>
        <w:overflowPunct/>
        <w:topLinePunct w:val="0"/>
        <w:autoSpaceDE/>
        <w:autoSpaceDN/>
        <w:bidi w:val="0"/>
        <w:adjustRightInd/>
        <w:snapToGrid/>
        <w:ind w:leftChars="0" w:right="0" w:rightChars="0" w:firstLine="562" w:firstLineChars="200"/>
        <w:jc w:val="both"/>
        <w:textAlignment w:val="auto"/>
        <w:rPr>
          <w:rFonts w:hint="eastAsia"/>
          <w:sz w:val="28"/>
          <w:szCs w:val="28"/>
        </w:rPr>
      </w:pPr>
      <w:r>
        <w:rPr>
          <w:rFonts w:hint="eastAsia"/>
          <w:sz w:val="28"/>
          <w:szCs w:val="28"/>
        </w:rPr>
        <w:t>（三）项目付款方式</w:t>
      </w:r>
    </w:p>
    <w:p w14:paraId="1BF99229">
      <w:pPr>
        <w:keepNext w:val="0"/>
        <w:keepLines w:val="0"/>
        <w:pageBreakBefore w:val="0"/>
        <w:kinsoku/>
        <w:wordWrap/>
        <w:overflowPunct/>
        <w:topLinePunct w:val="0"/>
        <w:autoSpaceDE w:val="0"/>
        <w:autoSpaceDN/>
        <w:bidi w:val="0"/>
        <w:adjustRightInd w:val="0"/>
        <w:snapToGrid w:val="0"/>
        <w:spacing w:line="400" w:lineRule="exact"/>
        <w:ind w:firstLine="480" w:firstLineChars="200"/>
        <w:jc w:val="both"/>
        <w:textAlignment w:val="auto"/>
        <w:rPr>
          <w:rFonts w:ascii="宋体" w:hAnsi="宋体" w:cs="宋体"/>
          <w:color w:val="auto"/>
          <w:sz w:val="24"/>
        </w:rPr>
      </w:pPr>
      <w:r>
        <w:rPr>
          <w:rFonts w:ascii="宋体" w:hAnsi="宋体" w:cs="宋体"/>
          <w:color w:val="auto"/>
          <w:sz w:val="24"/>
        </w:rPr>
        <w:t>1</w:t>
      </w:r>
      <w:r>
        <w:rPr>
          <w:rFonts w:hint="eastAsia" w:ascii="宋体" w:hAnsi="宋体" w:cs="宋体"/>
          <w:color w:val="auto"/>
          <w:sz w:val="24"/>
          <w:lang w:eastAsia="zh-CN"/>
        </w:rPr>
        <w:t>、</w:t>
      </w:r>
      <w:r>
        <w:rPr>
          <w:rFonts w:ascii="宋体" w:hAnsi="宋体" w:cs="宋体"/>
          <w:color w:val="auto"/>
          <w:sz w:val="24"/>
        </w:rPr>
        <w:t>分期付款，</w:t>
      </w:r>
      <w:r>
        <w:rPr>
          <w:rFonts w:hint="eastAsia" w:ascii="宋体" w:hAnsi="宋体" w:cs="宋体"/>
          <w:color w:val="auto"/>
          <w:sz w:val="24"/>
        </w:rPr>
        <w:t>合同生效后</w:t>
      </w:r>
      <w:r>
        <w:rPr>
          <w:rFonts w:hint="eastAsia" w:ascii="宋体" w:hAnsi="宋体" w:cs="宋体"/>
          <w:color w:val="auto"/>
          <w:sz w:val="24"/>
          <w:lang w:val="en-US" w:eastAsia="zh-CN"/>
        </w:rPr>
        <w:t>15</w:t>
      </w:r>
      <w:r>
        <w:rPr>
          <w:rFonts w:hint="eastAsia" w:ascii="宋体" w:hAnsi="宋体" w:cs="宋体"/>
          <w:color w:val="auto"/>
          <w:sz w:val="24"/>
        </w:rPr>
        <w:t>个工作日内支付合同总</w:t>
      </w:r>
      <w:r>
        <w:rPr>
          <w:rFonts w:hint="eastAsia" w:ascii="宋体" w:hAnsi="宋体" w:cs="宋体"/>
          <w:color w:val="auto"/>
          <w:sz w:val="24"/>
          <w:lang w:val="en-US" w:eastAsia="zh-CN"/>
        </w:rPr>
        <w:t>金额</w:t>
      </w:r>
      <w:r>
        <w:rPr>
          <w:rFonts w:hint="eastAsia" w:ascii="宋体" w:hAnsi="宋体" w:cs="宋体"/>
          <w:color w:val="auto"/>
          <w:sz w:val="24"/>
        </w:rPr>
        <w:t>的</w:t>
      </w:r>
      <w:r>
        <w:rPr>
          <w:rFonts w:hint="eastAsia" w:ascii="宋体" w:hAnsi="宋体" w:cs="宋体"/>
          <w:color w:val="auto"/>
          <w:sz w:val="24"/>
          <w:lang w:val="en-US" w:eastAsia="zh-CN"/>
        </w:rPr>
        <w:t>3</w:t>
      </w:r>
      <w:r>
        <w:rPr>
          <w:rFonts w:hint="eastAsia" w:ascii="宋体" w:hAnsi="宋体" w:cs="宋体"/>
          <w:color w:val="auto"/>
          <w:sz w:val="24"/>
        </w:rPr>
        <w:t>0%，提交成果并通过上级林业主管部门审核批复后30个工作日内支付合同总</w:t>
      </w:r>
      <w:r>
        <w:rPr>
          <w:rFonts w:hint="eastAsia" w:ascii="宋体" w:hAnsi="宋体" w:cs="宋体"/>
          <w:color w:val="auto"/>
          <w:sz w:val="24"/>
          <w:lang w:val="en-US" w:eastAsia="zh-CN"/>
        </w:rPr>
        <w:t>金额</w:t>
      </w:r>
      <w:r>
        <w:rPr>
          <w:rFonts w:hint="eastAsia" w:ascii="宋体" w:hAnsi="宋体" w:cs="宋体"/>
          <w:color w:val="auto"/>
          <w:sz w:val="24"/>
        </w:rPr>
        <w:t>的</w:t>
      </w:r>
      <w:r>
        <w:rPr>
          <w:rFonts w:hint="eastAsia" w:ascii="宋体" w:hAnsi="宋体" w:cs="宋体"/>
          <w:color w:val="auto"/>
          <w:sz w:val="24"/>
          <w:lang w:val="en-US" w:eastAsia="zh-CN"/>
        </w:rPr>
        <w:t>5</w:t>
      </w:r>
      <w:r>
        <w:rPr>
          <w:rFonts w:hint="eastAsia" w:ascii="宋体" w:hAnsi="宋体" w:cs="宋体"/>
          <w:color w:val="auto"/>
          <w:sz w:val="24"/>
        </w:rPr>
        <w:t>0%</w:t>
      </w:r>
      <w:r>
        <w:rPr>
          <w:rFonts w:hint="eastAsia" w:ascii="宋体" w:hAnsi="宋体" w:cs="宋体"/>
          <w:color w:val="auto"/>
          <w:sz w:val="24"/>
          <w:lang w:eastAsia="zh-CN"/>
        </w:rPr>
        <w:t>，</w:t>
      </w:r>
      <w:r>
        <w:rPr>
          <w:rFonts w:hint="eastAsia" w:ascii="宋体" w:hAnsi="宋体" w:cs="宋体"/>
          <w:color w:val="auto"/>
          <w:sz w:val="24"/>
          <w:lang w:val="en-US" w:eastAsia="zh-CN"/>
        </w:rPr>
        <w:t>项目验收后15个工作日内支付合同总金额的20%</w:t>
      </w:r>
      <w:r>
        <w:rPr>
          <w:rFonts w:hint="eastAsia" w:ascii="宋体" w:hAnsi="宋体" w:cs="宋体"/>
          <w:color w:val="auto"/>
          <w:sz w:val="24"/>
        </w:rPr>
        <w:t>。</w:t>
      </w:r>
    </w:p>
    <w:p w14:paraId="70D8C970">
      <w:pPr>
        <w:keepNext w:val="0"/>
        <w:keepLines w:val="0"/>
        <w:pageBreakBefore w:val="0"/>
        <w:kinsoku/>
        <w:wordWrap/>
        <w:overflowPunct/>
        <w:topLinePunct w:val="0"/>
        <w:autoSpaceDE w:val="0"/>
        <w:autoSpaceDN/>
        <w:bidi w:val="0"/>
        <w:adjustRightInd w:val="0"/>
        <w:snapToGrid w:val="0"/>
        <w:spacing w:line="400" w:lineRule="exact"/>
        <w:ind w:firstLine="480" w:firstLineChars="200"/>
        <w:jc w:val="both"/>
        <w:textAlignment w:val="auto"/>
        <w:rPr>
          <w:rFonts w:ascii="宋体" w:hAnsi="宋体" w:cs="宋体"/>
          <w:color w:val="auto"/>
          <w:sz w:val="24"/>
        </w:rPr>
      </w:pPr>
      <w:r>
        <w:rPr>
          <w:rFonts w:ascii="宋体" w:hAnsi="宋体" w:cs="宋体"/>
          <w:color w:val="auto"/>
          <w:sz w:val="24"/>
        </w:rPr>
        <w:t>2</w:t>
      </w:r>
      <w:r>
        <w:rPr>
          <w:rFonts w:hint="eastAsia" w:ascii="宋体" w:hAnsi="宋体" w:cs="宋体"/>
          <w:color w:val="auto"/>
          <w:sz w:val="24"/>
          <w:lang w:eastAsia="zh-CN"/>
        </w:rPr>
        <w:t>、</w:t>
      </w:r>
      <w:r>
        <w:rPr>
          <w:rFonts w:ascii="宋体" w:hAnsi="宋体" w:cs="宋体"/>
          <w:color w:val="auto"/>
          <w:sz w:val="24"/>
        </w:rPr>
        <w:t>付款方式：采用银行汇付（含电汇）等形式。</w:t>
      </w:r>
    </w:p>
    <w:p w14:paraId="5B261A2B">
      <w:pPr>
        <w:keepNext w:val="0"/>
        <w:keepLines w:val="0"/>
        <w:pageBreakBefore w:val="0"/>
        <w:kinsoku/>
        <w:wordWrap/>
        <w:overflowPunct/>
        <w:topLinePunct w:val="0"/>
        <w:autoSpaceDE w:val="0"/>
        <w:autoSpaceDN/>
        <w:bidi w:val="0"/>
        <w:adjustRightInd w:val="0"/>
        <w:snapToGrid w:val="0"/>
        <w:spacing w:line="400" w:lineRule="exact"/>
        <w:ind w:firstLine="480" w:firstLineChars="200"/>
        <w:jc w:val="both"/>
        <w:textAlignment w:val="auto"/>
        <w:rPr>
          <w:rFonts w:hint="eastAsia" w:ascii="宋体" w:hAnsi="宋体" w:cs="宋体"/>
          <w:color w:val="auto"/>
          <w:sz w:val="24"/>
        </w:rPr>
      </w:pPr>
      <w:r>
        <w:rPr>
          <w:rFonts w:ascii="宋体" w:hAnsi="宋体" w:cs="宋体"/>
          <w:color w:val="auto"/>
          <w:sz w:val="24"/>
        </w:rPr>
        <w:t>3</w:t>
      </w:r>
      <w:r>
        <w:rPr>
          <w:rFonts w:hint="eastAsia" w:ascii="宋体" w:hAnsi="宋体" w:cs="宋体"/>
          <w:color w:val="auto"/>
          <w:sz w:val="24"/>
          <w:lang w:eastAsia="zh-CN"/>
        </w:rPr>
        <w:t>、</w:t>
      </w:r>
      <w:r>
        <w:rPr>
          <w:rFonts w:hint="eastAsia" w:ascii="宋体" w:hAnsi="宋体" w:cs="宋体"/>
          <w:color w:val="auto"/>
          <w:sz w:val="24"/>
        </w:rPr>
        <w:t>中标人每次收取费用时，须向采购人出具相关符合要求的项目所在地税务部门开具的增值税发票。</w:t>
      </w:r>
    </w:p>
    <w:p w14:paraId="6810B5A6">
      <w:pPr>
        <w:keepNext w:val="0"/>
        <w:keepLines w:val="0"/>
        <w:pageBreakBefore w:val="0"/>
        <w:kinsoku/>
        <w:wordWrap/>
        <w:overflowPunct/>
        <w:topLinePunct w:val="0"/>
        <w:autoSpaceDE w:val="0"/>
        <w:autoSpaceDN/>
        <w:bidi w:val="0"/>
        <w:adjustRightInd w:val="0"/>
        <w:snapToGrid w:val="0"/>
        <w:spacing w:line="400" w:lineRule="exact"/>
        <w:ind w:firstLine="480" w:firstLineChars="200"/>
        <w:jc w:val="both"/>
        <w:textAlignment w:val="auto"/>
        <w:rPr>
          <w:rFonts w:ascii="宋体" w:hAnsi="宋体" w:cs="宋体"/>
          <w:color w:val="auto"/>
          <w:sz w:val="24"/>
        </w:rPr>
      </w:pPr>
      <w:r>
        <w:rPr>
          <w:rFonts w:hint="eastAsia" w:ascii="宋体" w:hAnsi="宋体" w:cs="宋体"/>
          <w:color w:val="auto"/>
          <w:sz w:val="24"/>
        </w:rPr>
        <w:t>注：因本项目使用的是财政资金，采购人在付款期限内向财政部门申请支付合同价款时，视为采购人已按期付款，财政部门未能按期支付时，采购人有义务催促财政部门尽快付款。</w:t>
      </w:r>
    </w:p>
    <w:p w14:paraId="0BDE937A">
      <w:pPr>
        <w:pStyle w:val="3"/>
        <w:keepNext w:val="0"/>
        <w:keepLines/>
        <w:pageBreakBefore w:val="0"/>
        <w:widowControl w:val="0"/>
        <w:numPr>
          <w:ilvl w:val="0"/>
          <w:numId w:val="0"/>
        </w:numPr>
        <w:kinsoku/>
        <w:wordWrap/>
        <w:overflowPunct/>
        <w:topLinePunct w:val="0"/>
        <w:autoSpaceDE/>
        <w:autoSpaceDN/>
        <w:bidi w:val="0"/>
        <w:adjustRightInd/>
        <w:snapToGrid/>
        <w:ind w:leftChars="0" w:right="0" w:rightChars="0" w:firstLine="562" w:firstLineChars="200"/>
        <w:jc w:val="both"/>
        <w:textAlignment w:val="auto"/>
        <w:rPr>
          <w:rFonts w:hint="eastAsia"/>
          <w:sz w:val="28"/>
          <w:szCs w:val="28"/>
        </w:rPr>
      </w:pPr>
      <w:r>
        <w:rPr>
          <w:rFonts w:hint="eastAsia"/>
          <w:sz w:val="28"/>
          <w:szCs w:val="28"/>
        </w:rPr>
        <w:t>（</w:t>
      </w:r>
      <w:r>
        <w:rPr>
          <w:rFonts w:hint="eastAsia"/>
          <w:sz w:val="28"/>
          <w:szCs w:val="28"/>
          <w:lang w:val="en-US" w:eastAsia="zh-CN"/>
        </w:rPr>
        <w:t>四</w:t>
      </w:r>
      <w:r>
        <w:rPr>
          <w:rFonts w:hint="eastAsia"/>
          <w:sz w:val="28"/>
          <w:szCs w:val="28"/>
        </w:rPr>
        <w:t>）人员及设备配置要求</w:t>
      </w:r>
    </w:p>
    <w:p w14:paraId="33AAA2E1">
      <w:pPr>
        <w:keepNext w:val="0"/>
        <w:keepLines w:val="0"/>
        <w:pageBreakBefore w:val="0"/>
        <w:kinsoku/>
        <w:wordWrap/>
        <w:overflowPunct/>
        <w:topLinePunct w:val="0"/>
        <w:autoSpaceDE w:val="0"/>
        <w:autoSpaceDN/>
        <w:bidi w:val="0"/>
        <w:adjustRightInd w:val="0"/>
        <w:snapToGrid w:val="0"/>
        <w:spacing w:line="400" w:lineRule="exact"/>
        <w:ind w:firstLine="480" w:firstLineChars="200"/>
        <w:jc w:val="both"/>
        <w:textAlignment w:val="auto"/>
        <w:rPr>
          <w:rFonts w:hint="eastAsia" w:eastAsia="宋体"/>
          <w:lang w:eastAsia="zh-CN"/>
        </w:rPr>
      </w:pPr>
      <w:r>
        <w:rPr>
          <w:rFonts w:hint="eastAsia" w:ascii="宋体" w:hAnsi="宋体" w:cs="宋体"/>
          <w:color w:val="auto"/>
          <w:sz w:val="24"/>
        </w:rPr>
        <w:t>1</w:t>
      </w:r>
      <w:r>
        <w:rPr>
          <w:rFonts w:hint="eastAsia" w:ascii="宋体" w:hAnsi="宋体" w:cs="宋体"/>
          <w:color w:val="auto"/>
          <w:sz w:val="24"/>
          <w:lang w:eastAsia="zh-CN"/>
        </w:rPr>
        <w:t>、</w:t>
      </w:r>
      <w:r>
        <w:rPr>
          <w:rFonts w:hint="eastAsia" w:ascii="宋体" w:hAnsi="宋体" w:cs="宋体"/>
          <w:color w:val="auto"/>
          <w:sz w:val="24"/>
        </w:rPr>
        <w:t>由于本项目工作量大、专业性强，投标人须组织一支具有丰富经验的团队</w:t>
      </w:r>
      <w:r>
        <w:rPr>
          <w:rFonts w:hint="eastAsia" w:ascii="宋体" w:hAnsi="宋体" w:cs="宋体"/>
          <w:color w:val="auto"/>
          <w:sz w:val="24"/>
          <w:lang w:eastAsia="zh-CN"/>
        </w:rPr>
        <w:t>配备相应设备</w:t>
      </w:r>
      <w:r>
        <w:rPr>
          <w:rFonts w:hint="eastAsia" w:ascii="宋体" w:hAnsi="宋体" w:cs="宋体"/>
          <w:color w:val="auto"/>
          <w:sz w:val="24"/>
        </w:rPr>
        <w:t>来开展此项目，团队人员分工明确、责任到人，严格按照各项规章制度、工作流程开展工作</w:t>
      </w:r>
      <w:r>
        <w:rPr>
          <w:rFonts w:hint="eastAsia" w:ascii="宋体" w:hAnsi="宋体" w:cs="宋体"/>
          <w:color w:val="auto"/>
          <w:sz w:val="24"/>
          <w:lang w:eastAsia="zh-CN"/>
        </w:rPr>
        <w:t>。</w:t>
      </w:r>
    </w:p>
    <w:p w14:paraId="4353DAEA">
      <w:pPr>
        <w:pStyle w:val="3"/>
        <w:keepNext w:val="0"/>
        <w:keepLines/>
        <w:pageBreakBefore w:val="0"/>
        <w:widowControl w:val="0"/>
        <w:numPr>
          <w:ilvl w:val="0"/>
          <w:numId w:val="0"/>
        </w:numPr>
        <w:tabs>
          <w:tab w:val="left" w:pos="3790"/>
        </w:tabs>
        <w:kinsoku/>
        <w:wordWrap/>
        <w:overflowPunct/>
        <w:topLinePunct w:val="0"/>
        <w:autoSpaceDE/>
        <w:autoSpaceDN/>
        <w:bidi w:val="0"/>
        <w:adjustRightInd/>
        <w:snapToGrid/>
        <w:ind w:leftChars="0" w:right="0" w:rightChars="0" w:firstLine="562" w:firstLineChars="200"/>
        <w:jc w:val="both"/>
        <w:textAlignment w:val="auto"/>
        <w:rPr>
          <w:rFonts w:hint="eastAsia" w:eastAsia="宋体"/>
          <w:sz w:val="28"/>
          <w:szCs w:val="28"/>
          <w:lang w:eastAsia="zh-CN"/>
        </w:rPr>
      </w:pPr>
      <w:r>
        <w:rPr>
          <w:rFonts w:hint="eastAsia"/>
          <w:sz w:val="28"/>
          <w:szCs w:val="28"/>
        </w:rPr>
        <w:t>（</w:t>
      </w:r>
      <w:r>
        <w:rPr>
          <w:rFonts w:hint="eastAsia"/>
          <w:sz w:val="28"/>
          <w:szCs w:val="28"/>
          <w:lang w:val="en-US" w:eastAsia="zh-CN"/>
        </w:rPr>
        <w:t>五</w:t>
      </w:r>
      <w:r>
        <w:rPr>
          <w:rFonts w:hint="eastAsia"/>
          <w:sz w:val="28"/>
          <w:szCs w:val="28"/>
        </w:rPr>
        <w:t>）项目服务要求</w:t>
      </w:r>
      <w:r>
        <w:rPr>
          <w:rFonts w:hint="eastAsia"/>
          <w:sz w:val="28"/>
          <w:szCs w:val="28"/>
          <w:lang w:eastAsia="zh-CN"/>
        </w:rPr>
        <w:tab/>
      </w:r>
    </w:p>
    <w:p w14:paraId="3E463D08">
      <w:pPr>
        <w:keepNext w:val="0"/>
        <w:keepLines w:val="0"/>
        <w:pageBreakBefore w:val="0"/>
        <w:kinsoku/>
        <w:wordWrap/>
        <w:overflowPunct/>
        <w:topLinePunct w:val="0"/>
        <w:autoSpaceDE w:val="0"/>
        <w:autoSpaceDN/>
        <w:bidi w:val="0"/>
        <w:adjustRightInd w:val="0"/>
        <w:snapToGrid w:val="0"/>
        <w:spacing w:line="400" w:lineRule="exact"/>
        <w:ind w:firstLine="480" w:firstLineChars="200"/>
        <w:jc w:val="both"/>
        <w:textAlignment w:val="auto"/>
        <w:rPr>
          <w:rFonts w:ascii="宋体" w:hAnsi="宋体" w:cs="宋体"/>
          <w:color w:val="auto"/>
          <w:sz w:val="24"/>
        </w:rPr>
      </w:pPr>
      <w:r>
        <w:rPr>
          <w:rFonts w:ascii="宋体" w:hAnsi="宋体" w:cs="宋体"/>
          <w:color w:val="auto"/>
          <w:sz w:val="24"/>
        </w:rPr>
        <w:t>1</w:t>
      </w:r>
      <w:r>
        <w:rPr>
          <w:rFonts w:hint="eastAsia" w:ascii="宋体" w:hAnsi="宋体" w:cs="宋体"/>
          <w:color w:val="auto"/>
          <w:sz w:val="24"/>
          <w:lang w:eastAsia="zh-CN"/>
        </w:rPr>
        <w:t>、</w:t>
      </w:r>
      <w:r>
        <w:rPr>
          <w:rFonts w:ascii="宋体" w:hAnsi="宋体" w:cs="宋体"/>
          <w:color w:val="auto"/>
          <w:sz w:val="24"/>
        </w:rPr>
        <w:t>中标方应按合同要求按时、保质、保量推进项目工作。</w:t>
      </w:r>
    </w:p>
    <w:p w14:paraId="585DB353">
      <w:pPr>
        <w:keepNext w:val="0"/>
        <w:keepLines w:val="0"/>
        <w:pageBreakBefore w:val="0"/>
        <w:kinsoku/>
        <w:wordWrap/>
        <w:overflowPunct/>
        <w:topLinePunct w:val="0"/>
        <w:autoSpaceDE w:val="0"/>
        <w:autoSpaceDN/>
        <w:bidi w:val="0"/>
        <w:adjustRightInd w:val="0"/>
        <w:snapToGrid w:val="0"/>
        <w:spacing w:line="400" w:lineRule="exact"/>
        <w:ind w:firstLine="480" w:firstLineChars="200"/>
        <w:jc w:val="both"/>
        <w:textAlignment w:val="auto"/>
        <w:rPr>
          <w:rFonts w:ascii="宋体" w:hAnsi="宋体" w:cs="宋体"/>
          <w:color w:val="auto"/>
          <w:sz w:val="24"/>
        </w:rPr>
      </w:pPr>
      <w:r>
        <w:rPr>
          <w:rFonts w:ascii="宋体" w:hAnsi="宋体" w:cs="宋体"/>
          <w:color w:val="auto"/>
          <w:sz w:val="24"/>
        </w:rPr>
        <w:t>2</w:t>
      </w:r>
      <w:r>
        <w:rPr>
          <w:rFonts w:hint="eastAsia" w:ascii="宋体" w:hAnsi="宋体" w:cs="宋体"/>
          <w:color w:val="auto"/>
          <w:sz w:val="24"/>
          <w:lang w:eastAsia="zh-CN"/>
        </w:rPr>
        <w:t>、</w:t>
      </w:r>
      <w:r>
        <w:rPr>
          <w:rFonts w:ascii="宋体" w:hAnsi="宋体" w:cs="宋体"/>
          <w:color w:val="auto"/>
          <w:sz w:val="24"/>
        </w:rPr>
        <w:t>中标方项目负责人应按采购方的要求参加本项目审查和讨论的全部工作会议，并负责汇报和答疑相关工作。</w:t>
      </w:r>
    </w:p>
    <w:p w14:paraId="01A551B7">
      <w:pPr>
        <w:keepNext w:val="0"/>
        <w:keepLines w:val="0"/>
        <w:pageBreakBefore w:val="0"/>
        <w:kinsoku/>
        <w:wordWrap/>
        <w:overflowPunct/>
        <w:topLinePunct w:val="0"/>
        <w:autoSpaceDE w:val="0"/>
        <w:autoSpaceDN/>
        <w:bidi w:val="0"/>
        <w:adjustRightInd w:val="0"/>
        <w:snapToGrid w:val="0"/>
        <w:spacing w:line="400" w:lineRule="exact"/>
        <w:ind w:firstLine="480" w:firstLineChars="200"/>
        <w:jc w:val="both"/>
        <w:textAlignment w:val="auto"/>
        <w:rPr>
          <w:rFonts w:ascii="宋体" w:hAnsi="宋体" w:cs="宋体"/>
          <w:color w:val="auto"/>
          <w:sz w:val="24"/>
        </w:rPr>
      </w:pPr>
      <w:r>
        <w:rPr>
          <w:rFonts w:ascii="宋体" w:hAnsi="宋体" w:cs="宋体"/>
          <w:color w:val="auto"/>
          <w:sz w:val="24"/>
        </w:rPr>
        <w:t>3</w:t>
      </w:r>
      <w:r>
        <w:rPr>
          <w:rFonts w:hint="eastAsia" w:ascii="宋体" w:hAnsi="宋体" w:cs="宋体"/>
          <w:color w:val="auto"/>
          <w:sz w:val="24"/>
          <w:lang w:eastAsia="zh-CN"/>
        </w:rPr>
        <w:t>、</w:t>
      </w:r>
      <w:r>
        <w:rPr>
          <w:rFonts w:ascii="宋体" w:hAnsi="宋体" w:cs="宋体"/>
          <w:color w:val="auto"/>
          <w:sz w:val="24"/>
        </w:rPr>
        <w:t>中标方应接受采购方对项目内容、项目完成质量、完成进度等方面的监督和管理。</w:t>
      </w:r>
    </w:p>
    <w:p w14:paraId="0811B88D">
      <w:pPr>
        <w:pStyle w:val="3"/>
        <w:keepNext w:val="0"/>
        <w:keepLines/>
        <w:pageBreakBefore w:val="0"/>
        <w:widowControl w:val="0"/>
        <w:numPr>
          <w:ilvl w:val="0"/>
          <w:numId w:val="0"/>
        </w:numPr>
        <w:kinsoku/>
        <w:wordWrap/>
        <w:overflowPunct/>
        <w:topLinePunct w:val="0"/>
        <w:autoSpaceDE/>
        <w:autoSpaceDN/>
        <w:bidi w:val="0"/>
        <w:adjustRightInd/>
        <w:snapToGrid/>
        <w:ind w:leftChars="0" w:right="0" w:rightChars="0" w:firstLine="562" w:firstLineChars="200"/>
        <w:jc w:val="both"/>
        <w:textAlignment w:val="auto"/>
        <w:rPr>
          <w:rFonts w:hint="eastAsia"/>
          <w:sz w:val="28"/>
          <w:szCs w:val="28"/>
        </w:rPr>
      </w:pPr>
      <w:r>
        <w:rPr>
          <w:rFonts w:hint="eastAsia"/>
          <w:sz w:val="28"/>
          <w:szCs w:val="28"/>
          <w:lang w:eastAsia="zh-CN"/>
        </w:rPr>
        <w:t>（</w:t>
      </w:r>
      <w:r>
        <w:rPr>
          <w:rFonts w:hint="eastAsia"/>
          <w:sz w:val="28"/>
          <w:szCs w:val="28"/>
          <w:lang w:val="en-US" w:eastAsia="zh-CN"/>
        </w:rPr>
        <w:t>六</w:t>
      </w:r>
      <w:r>
        <w:rPr>
          <w:rFonts w:hint="eastAsia"/>
          <w:sz w:val="28"/>
          <w:szCs w:val="28"/>
          <w:lang w:eastAsia="zh-CN"/>
        </w:rPr>
        <w:t>）</w:t>
      </w:r>
      <w:r>
        <w:rPr>
          <w:rFonts w:hint="eastAsia"/>
          <w:sz w:val="28"/>
          <w:szCs w:val="28"/>
        </w:rPr>
        <w:t>验收要求</w:t>
      </w:r>
    </w:p>
    <w:p w14:paraId="6DD0E828">
      <w:pPr>
        <w:keepNext w:val="0"/>
        <w:keepLines w:val="0"/>
        <w:pageBreakBefore w:val="0"/>
        <w:kinsoku/>
        <w:wordWrap/>
        <w:overflowPunct/>
        <w:topLinePunct w:val="0"/>
        <w:autoSpaceDE w:val="0"/>
        <w:autoSpaceDN/>
        <w:bidi w:val="0"/>
        <w:adjustRightInd w:val="0"/>
        <w:snapToGrid w:val="0"/>
        <w:spacing w:line="400" w:lineRule="exact"/>
        <w:ind w:firstLine="480" w:firstLineChars="200"/>
        <w:jc w:val="both"/>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根据采购人规定的时间完成相应工作，并提交工作成果；</w:t>
      </w:r>
    </w:p>
    <w:p w14:paraId="0438799C">
      <w:pPr>
        <w:keepNext w:val="0"/>
        <w:keepLines w:val="0"/>
        <w:pageBreakBefore w:val="0"/>
        <w:kinsoku/>
        <w:wordWrap/>
        <w:overflowPunct/>
        <w:topLinePunct w:val="0"/>
        <w:autoSpaceDE w:val="0"/>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《广东西江流城(云浮市</w:t>
      </w:r>
      <w:r>
        <w:rPr>
          <w:rFonts w:hint="eastAsia" w:ascii="宋体" w:hAnsi="宋体" w:cs="宋体"/>
          <w:color w:val="auto"/>
          <w:sz w:val="24"/>
          <w:lang w:val="en-US" w:eastAsia="zh-CN"/>
        </w:rPr>
        <w:t>罗定市</w:t>
      </w:r>
      <w:r>
        <w:rPr>
          <w:rFonts w:hint="eastAsia" w:ascii="宋体" w:hAnsi="宋体" w:cs="宋体"/>
          <w:color w:val="auto"/>
          <w:sz w:val="24"/>
        </w:rPr>
        <w:t>)中央财政国土绿化示范项目作业设计》报云浮市林业局审批通过。</w:t>
      </w:r>
    </w:p>
    <w:p w14:paraId="061DD034">
      <w:pPr>
        <w:pStyle w:val="3"/>
        <w:keepNext w:val="0"/>
        <w:keepLines/>
        <w:pageBreakBefore w:val="0"/>
        <w:widowControl w:val="0"/>
        <w:numPr>
          <w:ilvl w:val="0"/>
          <w:numId w:val="0"/>
        </w:numPr>
        <w:kinsoku/>
        <w:wordWrap/>
        <w:overflowPunct/>
        <w:topLinePunct w:val="0"/>
        <w:autoSpaceDE/>
        <w:autoSpaceDN/>
        <w:bidi w:val="0"/>
        <w:adjustRightInd/>
        <w:snapToGrid/>
        <w:ind w:leftChars="0" w:right="0" w:rightChars="0" w:firstLine="562" w:firstLineChars="200"/>
        <w:jc w:val="both"/>
        <w:textAlignment w:val="auto"/>
        <w:rPr>
          <w:rFonts w:hint="eastAsia"/>
          <w:sz w:val="28"/>
          <w:szCs w:val="28"/>
        </w:rPr>
      </w:pPr>
      <w:r>
        <w:rPr>
          <w:rFonts w:hint="eastAsia"/>
          <w:sz w:val="28"/>
          <w:szCs w:val="28"/>
        </w:rPr>
        <w:t>（五）其他要求</w:t>
      </w:r>
    </w:p>
    <w:p w14:paraId="7EF15706">
      <w:pPr>
        <w:keepNext w:val="0"/>
        <w:keepLines w:val="0"/>
        <w:pageBreakBefore w:val="0"/>
        <w:kinsoku/>
        <w:wordWrap/>
        <w:overflowPunct/>
        <w:topLinePunct w:val="0"/>
        <w:autoSpaceDE w:val="0"/>
        <w:autoSpaceDN/>
        <w:bidi w:val="0"/>
        <w:adjustRightInd w:val="0"/>
        <w:snapToGrid w:val="0"/>
        <w:spacing w:line="400" w:lineRule="exact"/>
        <w:ind w:firstLine="480" w:firstLineChars="200"/>
        <w:jc w:val="both"/>
        <w:textAlignment w:val="auto"/>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保密要求：中标人在项目实施过程中，对招标人及企业所提供的所有相关资料、矢量数据，未经招标人书面同意不得向任何第三方泄露。且保密责任不因合同的中止、终止或解除而失效。招标人保留因中标人泄密而造成的一切损失的追究权利，但允许中标人把项目作为业绩成果（纸质版节选）应用于单位的职称评审及评奖。</w:t>
      </w:r>
    </w:p>
    <w:p w14:paraId="6E912002">
      <w:pPr>
        <w:keepNext w:val="0"/>
        <w:keepLines w:val="0"/>
        <w:pageBreakBefore w:val="0"/>
        <w:kinsoku/>
        <w:wordWrap/>
        <w:overflowPunct/>
        <w:topLinePunct w:val="0"/>
        <w:autoSpaceDE w:val="0"/>
        <w:autoSpaceDN/>
        <w:bidi w:val="0"/>
        <w:adjustRightInd w:val="0"/>
        <w:snapToGrid w:val="0"/>
        <w:spacing w:line="400" w:lineRule="exact"/>
        <w:ind w:firstLine="480" w:firstLineChars="200"/>
        <w:jc w:val="both"/>
        <w:textAlignment w:val="auto"/>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知识产权要求：投标人需对所有成果的知识产权负有瑕疵担保责任，因使用未被授权使用的技术、组件、系统软件、通用软件等知识产权问题引起的纠纷所产生的所有责任及费用由投标人自行承担。</w:t>
      </w:r>
    </w:p>
    <w:p w14:paraId="327E30D8">
      <w:pPr>
        <w:keepNext w:val="0"/>
        <w:keepLines w:val="0"/>
        <w:pageBreakBefore w:val="0"/>
        <w:kinsoku/>
        <w:wordWrap/>
        <w:overflowPunct/>
        <w:topLinePunct w:val="0"/>
        <w:autoSpaceDE w:val="0"/>
        <w:autoSpaceDN/>
        <w:bidi w:val="0"/>
        <w:adjustRightInd w:val="0"/>
        <w:snapToGrid w:val="0"/>
        <w:spacing w:line="400" w:lineRule="exact"/>
        <w:ind w:firstLine="480" w:firstLineChars="200"/>
        <w:jc w:val="both"/>
        <w:textAlignment w:val="auto"/>
        <w:rPr>
          <w:rFonts w:ascii="宋体" w:hAnsi="宋体" w:cs="宋体"/>
          <w:color w:val="auto"/>
          <w:sz w:val="24"/>
        </w:rPr>
      </w:pPr>
      <w:r>
        <w:rPr>
          <w:rFonts w:hint="eastAsia" w:ascii="宋体" w:hAnsi="宋体" w:cs="宋体"/>
          <w:color w:val="0000FF"/>
          <w:sz w:val="24"/>
          <w:lang w:val="en-US" w:eastAsia="zh-CN"/>
        </w:rPr>
        <w:t>3、</w:t>
      </w:r>
      <w:r>
        <w:rPr>
          <w:rFonts w:hint="eastAsia" w:ascii="宋体" w:hAnsi="宋体" w:cs="宋体"/>
          <w:color w:val="auto"/>
          <w:sz w:val="24"/>
        </w:rPr>
        <w:t>投标人不得将本项目中的内容拆散进行投标。</w:t>
      </w:r>
    </w:p>
    <w:p w14:paraId="6C07287E">
      <w:pPr>
        <w:spacing w:line="360" w:lineRule="auto"/>
        <w:ind w:left="0"/>
        <w:jc w:val="right"/>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14:paraId="38B770B3">
      <w:pPr>
        <w:spacing w:line="360" w:lineRule="auto"/>
        <w:ind w:left="0"/>
        <w:jc w:val="right"/>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14:paraId="21728BEF">
      <w:pPr>
        <w:spacing w:line="360" w:lineRule="auto"/>
        <w:ind w:left="0"/>
        <w:jc w:val="right"/>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14:paraId="6BC98AEB">
      <w:pPr>
        <w:pStyle w:val="11"/>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罗定市林业局</w:t>
      </w:r>
    </w:p>
    <w:p w14:paraId="63CE02B0">
      <w:pPr>
        <w:pStyle w:val="11"/>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2025年9月15 日</w:t>
      </w:r>
    </w:p>
    <w:p w14:paraId="4B14155A">
      <w:pPr>
        <w:jc w:val="righ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bookmarkStart w:id="2" w:name="_GoBack"/>
      <w:bookmarkEnd w:id="2"/>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br w:type="page"/>
      </w:r>
    </w:p>
    <w:p w14:paraId="2D30A4E6">
      <w:pPr>
        <w:pStyle w:val="3"/>
        <w:numPr>
          <w:ilvl w:val="0"/>
          <w:numId w:val="0"/>
        </w:numPr>
        <w:ind w:leftChars="0" w:right="113" w:rightChars="0"/>
        <w:jc w:val="both"/>
      </w:pPr>
      <w:bookmarkStart w:id="0" w:name="_Toc10747"/>
      <w:r>
        <w:rPr>
          <w:rFonts w:hint="eastAsia" w:hAnsi="宋体"/>
          <w:color w:val="auto"/>
        </w:rPr>
        <w:t>附表二：技术评审表</w:t>
      </w:r>
      <w:bookmarkEnd w:id="0"/>
    </w:p>
    <w:tbl>
      <w:tblPr>
        <w:tblStyle w:val="12"/>
        <w:tblW w:w="97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9"/>
        <w:gridCol w:w="993"/>
        <w:gridCol w:w="7140"/>
        <w:gridCol w:w="931"/>
      </w:tblGrid>
      <w:tr w14:paraId="2B76F3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659" w:type="dxa"/>
            <w:noWrap w:val="0"/>
            <w:vAlign w:val="center"/>
          </w:tcPr>
          <w:p w14:paraId="19CA20E6">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93" w:type="dxa"/>
            <w:noWrap w:val="0"/>
            <w:vAlign w:val="center"/>
          </w:tcPr>
          <w:p w14:paraId="0A5F7489">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评审项目</w:t>
            </w:r>
          </w:p>
        </w:tc>
        <w:tc>
          <w:tcPr>
            <w:tcW w:w="7140" w:type="dxa"/>
            <w:noWrap w:val="0"/>
            <w:vAlign w:val="center"/>
          </w:tcPr>
          <w:p w14:paraId="5D54E72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评分细则</w:t>
            </w:r>
          </w:p>
        </w:tc>
        <w:tc>
          <w:tcPr>
            <w:tcW w:w="931" w:type="dxa"/>
            <w:noWrap w:val="0"/>
            <w:vAlign w:val="center"/>
          </w:tcPr>
          <w:p w14:paraId="109C87C9">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单项分数</w:t>
            </w:r>
          </w:p>
        </w:tc>
      </w:tr>
      <w:tr w14:paraId="66461D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9" w:type="dxa"/>
            <w:noWrap w:val="0"/>
            <w:vAlign w:val="center"/>
          </w:tcPr>
          <w:p w14:paraId="5355265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93" w:type="dxa"/>
            <w:noWrap w:val="0"/>
            <w:vAlign w:val="center"/>
          </w:tcPr>
          <w:p w14:paraId="58257B74">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对项目的理解情况</w:t>
            </w:r>
          </w:p>
        </w:tc>
        <w:tc>
          <w:tcPr>
            <w:tcW w:w="7140" w:type="dxa"/>
            <w:noWrap w:val="0"/>
            <w:vAlign w:val="center"/>
          </w:tcPr>
          <w:p w14:paraId="7FA3031E">
            <w:pPr>
              <w:pStyle w:val="17"/>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提供的对项目的理解情况进行评审，能提供对项目的理解情况的，得</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分，不提供不得分；如未能提供对项目的理解情况的，以下评分项均不得分。</w:t>
            </w:r>
          </w:p>
          <w:p w14:paraId="4686A905">
            <w:pPr>
              <w:pStyle w:val="17"/>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提供的对项目的理解情况</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背景、②</w:t>
            </w:r>
            <w:r>
              <w:rPr>
                <w:rFonts w:hint="eastAsia" w:ascii="宋体" w:hAnsi="宋体" w:eastAsia="宋体" w:cs="宋体"/>
                <w:color w:val="auto"/>
                <w:sz w:val="21"/>
                <w:szCs w:val="21"/>
                <w:highlight w:val="none"/>
                <w:lang w:eastAsia="zh-CN"/>
              </w:rPr>
              <w:t>对本项目</w:t>
            </w:r>
            <w:r>
              <w:rPr>
                <w:rFonts w:hint="eastAsia" w:ascii="宋体" w:hAnsi="宋体" w:eastAsia="宋体" w:cs="宋体"/>
                <w:color w:val="auto"/>
                <w:sz w:val="21"/>
                <w:szCs w:val="21"/>
                <w:highlight w:val="none"/>
              </w:rPr>
              <w:t>现状特征</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理解的，每具有1项得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分；如提供的对项目的理解情况未</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背景、②</w:t>
            </w:r>
            <w:r>
              <w:rPr>
                <w:rFonts w:hint="eastAsia" w:ascii="宋体" w:hAnsi="宋体" w:eastAsia="宋体" w:cs="宋体"/>
                <w:color w:val="auto"/>
                <w:sz w:val="21"/>
                <w:szCs w:val="21"/>
                <w:highlight w:val="none"/>
                <w:lang w:eastAsia="zh-CN"/>
              </w:rPr>
              <w:t>对本项目</w:t>
            </w:r>
            <w:r>
              <w:rPr>
                <w:rFonts w:hint="eastAsia" w:ascii="宋体" w:hAnsi="宋体" w:eastAsia="宋体" w:cs="宋体"/>
                <w:color w:val="auto"/>
                <w:sz w:val="21"/>
                <w:szCs w:val="21"/>
                <w:highlight w:val="none"/>
              </w:rPr>
              <w:t>现状特征</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理解任意1项内容的，以下评分项均不得分。</w:t>
            </w:r>
          </w:p>
          <w:p w14:paraId="2E577617">
            <w:pPr>
              <w:spacing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提供的对项目的理解情况能完全满足且优于采购需求的，得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分；能完全满足采购需求的，得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分，能部分满足采购需求的，得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分；不能满足采购需求的，不得分。</w:t>
            </w:r>
          </w:p>
        </w:tc>
        <w:tc>
          <w:tcPr>
            <w:tcW w:w="931" w:type="dxa"/>
            <w:noWrap w:val="0"/>
            <w:vAlign w:val="center"/>
          </w:tcPr>
          <w:p w14:paraId="1EE01B9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r>
      <w:tr w14:paraId="356619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9" w:type="dxa"/>
            <w:noWrap w:val="0"/>
            <w:vAlign w:val="center"/>
          </w:tcPr>
          <w:p w14:paraId="42B5CF1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93" w:type="dxa"/>
            <w:noWrap w:val="0"/>
            <w:vAlign w:val="center"/>
          </w:tcPr>
          <w:p w14:paraId="1DC908A1">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项目实施方案情况</w:t>
            </w:r>
          </w:p>
        </w:tc>
        <w:tc>
          <w:tcPr>
            <w:tcW w:w="7140" w:type="dxa"/>
            <w:noWrap w:val="0"/>
            <w:vAlign w:val="center"/>
          </w:tcPr>
          <w:p w14:paraId="244AF315">
            <w:pPr>
              <w:pStyle w:val="17"/>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提供的项目实施方案进行评审，能提供项目实施方案，得1分，不提供不得分；如未能提供项目实施方案的，以下评分项均不得分。</w:t>
            </w:r>
          </w:p>
          <w:p w14:paraId="6592E0E5">
            <w:pPr>
              <w:pStyle w:val="17"/>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提供的项目实施方案</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对本项目内容编制的技术方案、②对项目重点难点的理解的，每具有1项得</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分；如提供的项目实施方案未</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对本项目内容编制的技术方案、②对项目重点难点的理解任意1项内容的，以下评分项均不得分。</w:t>
            </w:r>
          </w:p>
          <w:p w14:paraId="3D44FEA5">
            <w:pPr>
              <w:spacing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提供的项目实施方案能完全满足且优于采购需求的，得</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分；能完全满足采购需求的，得</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分，能部分满足采购需求的，得1分；不能满足采购需求的，不得分。</w:t>
            </w:r>
          </w:p>
        </w:tc>
        <w:tc>
          <w:tcPr>
            <w:tcW w:w="931" w:type="dxa"/>
            <w:noWrap w:val="0"/>
            <w:vAlign w:val="center"/>
          </w:tcPr>
          <w:p w14:paraId="121AB2D6">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10分</w:t>
            </w:r>
          </w:p>
        </w:tc>
      </w:tr>
      <w:tr w14:paraId="1D70F8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9" w:type="dxa"/>
            <w:noWrap w:val="0"/>
            <w:vAlign w:val="center"/>
          </w:tcPr>
          <w:p w14:paraId="694869D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93" w:type="dxa"/>
            <w:noWrap w:val="0"/>
            <w:vAlign w:val="center"/>
          </w:tcPr>
          <w:p w14:paraId="5D30FFBD">
            <w:pPr>
              <w:pStyle w:val="1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质量保障措施</w:t>
            </w:r>
          </w:p>
        </w:tc>
        <w:tc>
          <w:tcPr>
            <w:tcW w:w="7140" w:type="dxa"/>
            <w:noWrap w:val="0"/>
            <w:vAlign w:val="center"/>
          </w:tcPr>
          <w:p w14:paraId="264C682A">
            <w:pPr>
              <w:spacing w:line="36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1.根据供应商提供的质量保障措施进行评审，能提供质量保障措施</w:t>
            </w:r>
            <w:r>
              <w:rPr>
                <w:rFonts w:hint="eastAsia" w:ascii="宋体" w:hAnsi="宋体" w:eastAsia="宋体" w:cs="宋体"/>
                <w:bCs/>
                <w:color w:val="auto"/>
                <w:sz w:val="21"/>
                <w:szCs w:val="21"/>
                <w:highlight w:val="none"/>
              </w:rPr>
              <w:t>的</w:t>
            </w:r>
            <w:r>
              <w:rPr>
                <w:rFonts w:hint="eastAsia" w:ascii="宋体" w:hAnsi="宋体" w:eastAsia="宋体" w:cs="宋体"/>
                <w:color w:val="auto"/>
                <w:sz w:val="21"/>
                <w:szCs w:val="21"/>
                <w:highlight w:val="none"/>
              </w:rPr>
              <w:t>，得1分，不提供不得分；如未能提供质量保障措施的，以下评分项均不得分。</w:t>
            </w:r>
          </w:p>
          <w:p w14:paraId="137AFAD2">
            <w:pPr>
              <w:spacing w:line="36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2.供应商提供的质量保障措施具有①质量目标、②项目质量的控制</w:t>
            </w:r>
            <w:r>
              <w:rPr>
                <w:rFonts w:hint="eastAsia" w:ascii="宋体" w:hAnsi="宋体" w:eastAsia="宋体" w:cs="宋体"/>
                <w:color w:val="auto"/>
                <w:sz w:val="21"/>
                <w:szCs w:val="21"/>
                <w:highlight w:val="none"/>
                <w:lang w:eastAsia="zh-CN"/>
              </w:rPr>
              <w:t>措施的</w:t>
            </w:r>
            <w:r>
              <w:rPr>
                <w:rFonts w:hint="eastAsia" w:ascii="宋体" w:hAnsi="宋体" w:eastAsia="宋体" w:cs="宋体"/>
                <w:color w:val="auto"/>
                <w:sz w:val="21"/>
                <w:szCs w:val="21"/>
                <w:highlight w:val="none"/>
              </w:rPr>
              <w:t>，每具有1项得1分，最高得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分；如提供的质量保障措施未具有①质量目标、②项目质量的控制</w:t>
            </w:r>
            <w:r>
              <w:rPr>
                <w:rFonts w:hint="eastAsia" w:ascii="宋体" w:hAnsi="宋体" w:eastAsia="宋体" w:cs="宋体"/>
                <w:color w:val="auto"/>
                <w:sz w:val="21"/>
                <w:szCs w:val="21"/>
                <w:highlight w:val="none"/>
                <w:lang w:eastAsia="zh-CN"/>
              </w:rPr>
              <w:t>措施</w:t>
            </w:r>
            <w:r>
              <w:rPr>
                <w:rFonts w:hint="eastAsia" w:ascii="宋体" w:hAnsi="宋体" w:eastAsia="宋体" w:cs="宋体"/>
                <w:color w:val="auto"/>
                <w:sz w:val="21"/>
                <w:szCs w:val="21"/>
                <w:highlight w:val="none"/>
              </w:rPr>
              <w:t>任意1项内容的，以下评分项均不得分。</w:t>
            </w:r>
          </w:p>
          <w:p w14:paraId="4966FEC3">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3.供应商提供的质量保障措施能完全满足且优于采购需求的，得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分；能完全满足采购需求的，得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分，能部分满足采购需求的，得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分；不能满足采购需求的，不得分。</w:t>
            </w:r>
          </w:p>
        </w:tc>
        <w:tc>
          <w:tcPr>
            <w:tcW w:w="931" w:type="dxa"/>
            <w:noWrap w:val="0"/>
            <w:vAlign w:val="center"/>
          </w:tcPr>
          <w:p w14:paraId="04B918D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r>
      <w:tr w14:paraId="074343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9" w:type="dxa"/>
            <w:noWrap w:val="0"/>
            <w:vAlign w:val="center"/>
          </w:tcPr>
          <w:p w14:paraId="72113A0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93" w:type="dxa"/>
            <w:noWrap w:val="0"/>
            <w:vAlign w:val="center"/>
          </w:tcPr>
          <w:p w14:paraId="2F8BC03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项目进度计划</w:t>
            </w:r>
          </w:p>
        </w:tc>
        <w:tc>
          <w:tcPr>
            <w:tcW w:w="7140" w:type="dxa"/>
            <w:noWrap w:val="0"/>
            <w:vAlign w:val="center"/>
          </w:tcPr>
          <w:p w14:paraId="64CF4926">
            <w:pPr>
              <w:pStyle w:val="17"/>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提供的项目进度计划进行评审，能提供项目进度计划的，得1分，不提供不得分；如未能提供项目进度计划的，以下评分项均不得分。</w:t>
            </w:r>
          </w:p>
          <w:p w14:paraId="55DF5A67">
            <w:pPr>
              <w:pStyle w:val="17"/>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提供的项目进度计划</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①前期资料收集与整理、②数据调查核实</w:t>
            </w:r>
            <w:r>
              <w:rPr>
                <w:rFonts w:hint="eastAsia" w:ascii="宋体" w:hAnsi="宋体" w:eastAsia="宋体" w:cs="宋体"/>
                <w:color w:val="auto"/>
                <w:sz w:val="21"/>
                <w:szCs w:val="21"/>
                <w:highlight w:val="none"/>
                <w:lang w:eastAsia="zh-CN"/>
              </w:rPr>
              <w:t>、③报告编制</w:t>
            </w:r>
            <w:r>
              <w:rPr>
                <w:rFonts w:hint="eastAsia" w:ascii="宋体" w:hAnsi="宋体" w:eastAsia="宋体" w:cs="宋体"/>
                <w:color w:val="auto"/>
                <w:sz w:val="21"/>
                <w:szCs w:val="21"/>
                <w:highlight w:val="none"/>
              </w:rPr>
              <w:t>的，每具有1项得1分，最高得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分；如提供的项目进度计划未</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①前期资料收集与整理、②数据调查核实</w:t>
            </w:r>
            <w:r>
              <w:rPr>
                <w:rFonts w:hint="eastAsia" w:ascii="宋体" w:hAnsi="宋体" w:eastAsia="宋体" w:cs="宋体"/>
                <w:color w:val="auto"/>
                <w:sz w:val="21"/>
                <w:szCs w:val="21"/>
                <w:highlight w:val="none"/>
                <w:lang w:eastAsia="zh-CN"/>
              </w:rPr>
              <w:t>、③报告编制</w:t>
            </w:r>
            <w:r>
              <w:rPr>
                <w:rFonts w:hint="eastAsia" w:ascii="宋体" w:hAnsi="宋体" w:eastAsia="宋体" w:cs="宋体"/>
                <w:color w:val="auto"/>
                <w:sz w:val="21"/>
                <w:szCs w:val="21"/>
                <w:highlight w:val="none"/>
              </w:rPr>
              <w:t>任意1项内容的，以下评分项均不得分。</w:t>
            </w:r>
          </w:p>
          <w:p w14:paraId="180A2D92">
            <w:pPr>
              <w:spacing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提供的项目进度计划能完全满足且优于采购需求的，得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分；能完全满足采购需求的，得</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分，能部分满足采购需求的，得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分；不能满足采购需求的，不得分。</w:t>
            </w:r>
          </w:p>
        </w:tc>
        <w:tc>
          <w:tcPr>
            <w:tcW w:w="931" w:type="dxa"/>
            <w:noWrap w:val="0"/>
            <w:vAlign w:val="center"/>
          </w:tcPr>
          <w:p w14:paraId="628C3CC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r>
      <w:tr w14:paraId="11AA7F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9" w:type="dxa"/>
            <w:noWrap w:val="0"/>
            <w:vAlign w:val="center"/>
          </w:tcPr>
          <w:p w14:paraId="638E8F1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93" w:type="dxa"/>
            <w:noWrap w:val="0"/>
            <w:vAlign w:val="center"/>
          </w:tcPr>
          <w:p w14:paraId="1249DF1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安全保密方案</w:t>
            </w:r>
          </w:p>
        </w:tc>
        <w:tc>
          <w:tcPr>
            <w:tcW w:w="7140" w:type="dxa"/>
            <w:noWrap w:val="0"/>
            <w:vAlign w:val="center"/>
          </w:tcPr>
          <w:p w14:paraId="2035F0CE">
            <w:pPr>
              <w:pStyle w:val="17"/>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提供的安全保密方案进行评审，能提供安全保密方案的，得1分，不提供不得分；如未能提供安全保密方案的，以下评分项均不得分。</w:t>
            </w:r>
          </w:p>
          <w:p w14:paraId="712965D6">
            <w:pPr>
              <w:pStyle w:val="17"/>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提供的安全保密方案</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①保密保证措施、②技术防范相关措施</w:t>
            </w:r>
            <w:r>
              <w:rPr>
                <w:rFonts w:hint="eastAsia" w:ascii="宋体" w:hAnsi="宋体" w:eastAsia="宋体" w:cs="宋体"/>
                <w:color w:val="auto"/>
                <w:sz w:val="21"/>
                <w:szCs w:val="21"/>
                <w:highlight w:val="none"/>
                <w:lang w:eastAsia="zh-CN"/>
              </w:rPr>
              <w:t>、③档案资料安全保密制度</w:t>
            </w:r>
            <w:r>
              <w:rPr>
                <w:rFonts w:hint="eastAsia" w:ascii="宋体" w:hAnsi="宋体" w:eastAsia="宋体" w:cs="宋体"/>
                <w:color w:val="auto"/>
                <w:sz w:val="21"/>
                <w:szCs w:val="21"/>
                <w:highlight w:val="none"/>
              </w:rPr>
              <w:t>的，每具有1项得1分，最高得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分；如提供的安全保密方案未</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①保密保证措施、②技术防范相关措施</w:t>
            </w:r>
            <w:r>
              <w:rPr>
                <w:rFonts w:hint="eastAsia" w:ascii="宋体" w:hAnsi="宋体" w:eastAsia="宋体" w:cs="宋体"/>
                <w:color w:val="auto"/>
                <w:sz w:val="21"/>
                <w:szCs w:val="21"/>
                <w:highlight w:val="none"/>
                <w:lang w:eastAsia="zh-CN"/>
              </w:rPr>
              <w:t>、③档案资料安全保密制度</w:t>
            </w:r>
            <w:r>
              <w:rPr>
                <w:rFonts w:hint="eastAsia" w:ascii="宋体" w:hAnsi="宋体" w:eastAsia="宋体" w:cs="宋体"/>
                <w:color w:val="auto"/>
                <w:sz w:val="21"/>
                <w:szCs w:val="21"/>
                <w:highlight w:val="none"/>
              </w:rPr>
              <w:t>任意1项内容的，以下评分项均不得分。</w:t>
            </w:r>
          </w:p>
          <w:p w14:paraId="64E41F6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提供的安全保密方案能完全满足且优于采购需求的，得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分；能完全满足采购需求的，得</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分，能部分满足采购需求的，得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分；不能满足采购需求的，不得分。</w:t>
            </w:r>
          </w:p>
        </w:tc>
        <w:tc>
          <w:tcPr>
            <w:tcW w:w="931" w:type="dxa"/>
            <w:noWrap w:val="0"/>
            <w:vAlign w:val="center"/>
          </w:tcPr>
          <w:p w14:paraId="6DAB6F4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r>
      <w:tr w14:paraId="6F26F5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792" w:type="dxa"/>
            <w:gridSpan w:val="3"/>
            <w:noWrap w:val="0"/>
            <w:vAlign w:val="center"/>
          </w:tcPr>
          <w:p w14:paraId="5BC21FB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931" w:type="dxa"/>
            <w:noWrap w:val="0"/>
            <w:vAlign w:val="center"/>
          </w:tcPr>
          <w:p w14:paraId="4CC9BBB4">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50分</w:t>
            </w:r>
          </w:p>
        </w:tc>
      </w:tr>
    </w:tbl>
    <w:p w14:paraId="16F9F68D">
      <w:pPr>
        <w:pStyle w:val="3"/>
        <w:numPr>
          <w:ilvl w:val="0"/>
          <w:numId w:val="0"/>
        </w:numPr>
        <w:ind w:leftChars="0" w:right="113" w:rightChars="0"/>
        <w:jc w:val="both"/>
        <w:rPr>
          <w:rFonts w:hAnsi="宋体"/>
          <w:b w:val="0"/>
          <w:bCs/>
          <w:color w:val="auto"/>
          <w:sz w:val="28"/>
          <w:szCs w:val="24"/>
        </w:rPr>
      </w:pPr>
      <w:r>
        <w:rPr>
          <w:rFonts w:hAnsi="宋体"/>
          <w:color w:val="auto"/>
        </w:rPr>
        <w:br w:type="page"/>
      </w:r>
      <w:bookmarkStart w:id="1" w:name="_Toc8816"/>
      <w:r>
        <w:rPr>
          <w:rFonts w:hint="eastAsia" w:hAnsi="宋体"/>
          <w:color w:val="auto"/>
        </w:rPr>
        <w:t>附表三：商务评审表</w:t>
      </w:r>
      <w:bookmarkEnd w:id="1"/>
    </w:p>
    <w:tbl>
      <w:tblPr>
        <w:tblStyle w:val="12"/>
        <w:tblW w:w="97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9"/>
        <w:gridCol w:w="1085"/>
        <w:gridCol w:w="7230"/>
        <w:gridCol w:w="749"/>
      </w:tblGrid>
      <w:tr w14:paraId="3E5D9E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659" w:type="dxa"/>
            <w:noWrap w:val="0"/>
            <w:vAlign w:val="center"/>
          </w:tcPr>
          <w:p w14:paraId="626E0B73">
            <w:pPr>
              <w:spacing w:line="276"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85" w:type="dxa"/>
            <w:noWrap w:val="0"/>
            <w:vAlign w:val="center"/>
          </w:tcPr>
          <w:p w14:paraId="3B02EAF2">
            <w:pPr>
              <w:spacing w:line="276" w:lineRule="auto"/>
              <w:jc w:val="center"/>
              <w:rPr>
                <w:rFonts w:hint="eastAsia" w:ascii="宋体" w:hAnsi="宋体"/>
                <w:b/>
                <w:color w:val="auto"/>
                <w:sz w:val="21"/>
                <w:szCs w:val="21"/>
                <w:highlight w:val="none"/>
              </w:rPr>
            </w:pPr>
            <w:r>
              <w:rPr>
                <w:rFonts w:hint="eastAsia" w:ascii="宋体" w:hAnsi="宋体"/>
                <w:b/>
                <w:color w:val="auto"/>
                <w:sz w:val="21"/>
                <w:szCs w:val="21"/>
                <w:highlight w:val="none"/>
              </w:rPr>
              <w:t>评审</w:t>
            </w:r>
          </w:p>
          <w:p w14:paraId="68D631CD">
            <w:pPr>
              <w:spacing w:line="276" w:lineRule="auto"/>
              <w:jc w:val="center"/>
              <w:rPr>
                <w:rFonts w:ascii="宋体" w:hAnsi="宋体"/>
                <w:b/>
                <w:color w:val="auto"/>
                <w:sz w:val="21"/>
                <w:szCs w:val="21"/>
                <w:highlight w:val="none"/>
              </w:rPr>
            </w:pPr>
            <w:r>
              <w:rPr>
                <w:rFonts w:hint="eastAsia" w:ascii="宋体" w:hAnsi="宋体"/>
                <w:b/>
                <w:color w:val="auto"/>
                <w:sz w:val="21"/>
                <w:szCs w:val="21"/>
                <w:highlight w:val="none"/>
              </w:rPr>
              <w:t>项目</w:t>
            </w:r>
          </w:p>
        </w:tc>
        <w:tc>
          <w:tcPr>
            <w:tcW w:w="7230" w:type="dxa"/>
            <w:noWrap w:val="0"/>
            <w:vAlign w:val="center"/>
          </w:tcPr>
          <w:p w14:paraId="0826A8A9">
            <w:pPr>
              <w:spacing w:line="276" w:lineRule="auto"/>
              <w:jc w:val="center"/>
              <w:rPr>
                <w:rFonts w:ascii="宋体" w:hAnsi="宋体"/>
                <w:b/>
                <w:color w:val="auto"/>
                <w:sz w:val="21"/>
                <w:szCs w:val="21"/>
                <w:highlight w:val="none"/>
              </w:rPr>
            </w:pPr>
            <w:r>
              <w:rPr>
                <w:rFonts w:hint="eastAsia" w:ascii="宋体" w:hAnsi="宋体"/>
                <w:b/>
                <w:color w:val="auto"/>
                <w:sz w:val="21"/>
                <w:szCs w:val="21"/>
                <w:highlight w:val="none"/>
              </w:rPr>
              <w:t>评分细则</w:t>
            </w:r>
          </w:p>
        </w:tc>
        <w:tc>
          <w:tcPr>
            <w:tcW w:w="749" w:type="dxa"/>
            <w:noWrap w:val="0"/>
            <w:vAlign w:val="center"/>
          </w:tcPr>
          <w:p w14:paraId="2CF4A462">
            <w:pPr>
              <w:spacing w:line="276" w:lineRule="auto"/>
              <w:jc w:val="center"/>
              <w:rPr>
                <w:rFonts w:ascii="宋体" w:hAnsi="宋体"/>
                <w:b/>
                <w:color w:val="auto"/>
                <w:sz w:val="21"/>
                <w:szCs w:val="21"/>
                <w:highlight w:val="none"/>
              </w:rPr>
            </w:pPr>
            <w:r>
              <w:rPr>
                <w:rFonts w:hint="eastAsia" w:ascii="宋体" w:hAnsi="宋体"/>
                <w:b/>
                <w:color w:val="auto"/>
                <w:sz w:val="21"/>
                <w:szCs w:val="21"/>
                <w:highlight w:val="none"/>
              </w:rPr>
              <w:t>单项分数</w:t>
            </w:r>
          </w:p>
        </w:tc>
      </w:tr>
      <w:tr w14:paraId="36F286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9" w:type="dxa"/>
            <w:noWrap w:val="0"/>
            <w:vAlign w:val="center"/>
          </w:tcPr>
          <w:p w14:paraId="088CF920">
            <w:pPr>
              <w:spacing w:line="276" w:lineRule="auto"/>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1085" w:type="dxa"/>
            <w:noWrap w:val="0"/>
            <w:vAlign w:val="center"/>
          </w:tcPr>
          <w:p w14:paraId="4C966930">
            <w:pPr>
              <w:spacing w:line="360" w:lineRule="auto"/>
              <w:jc w:val="center"/>
              <w:rPr>
                <w:rFonts w:ascii="宋体" w:hAnsi="宋体"/>
                <w:color w:val="auto"/>
                <w:sz w:val="21"/>
                <w:szCs w:val="21"/>
                <w:highlight w:val="none"/>
              </w:rPr>
            </w:pPr>
            <w:r>
              <w:rPr>
                <w:rFonts w:hint="eastAsia" w:ascii="宋体" w:hAnsi="宋体" w:eastAsia="宋体" w:cs="宋体"/>
                <w:color w:val="auto"/>
                <w:sz w:val="21"/>
                <w:szCs w:val="21"/>
                <w:highlight w:val="none"/>
                <w:lang w:bidi="ar"/>
              </w:rPr>
              <w:t>同类项目业绩</w:t>
            </w:r>
          </w:p>
        </w:tc>
        <w:tc>
          <w:tcPr>
            <w:tcW w:w="7230" w:type="dxa"/>
            <w:noWrap w:val="0"/>
            <w:vAlign w:val="top"/>
          </w:tcPr>
          <w:p w14:paraId="2B6C8B6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供应商提供自202</w:t>
            </w:r>
            <w:r>
              <w:rPr>
                <w:rFonts w:hint="eastAsia" w:ascii="宋体" w:hAnsi="宋体" w:eastAsia="宋体" w:cs="宋体"/>
                <w:color w:val="auto"/>
                <w:sz w:val="21"/>
                <w:szCs w:val="21"/>
                <w:highlight w:val="none"/>
                <w:lang w:val="en-US" w:eastAsia="zh-CN" w:bidi="ar"/>
              </w:rPr>
              <w:t>0</w:t>
            </w:r>
            <w:r>
              <w:rPr>
                <w:rFonts w:hint="eastAsia" w:ascii="宋体" w:hAnsi="宋体" w:eastAsia="宋体" w:cs="宋体"/>
                <w:color w:val="auto"/>
                <w:sz w:val="21"/>
                <w:szCs w:val="21"/>
                <w:highlight w:val="none"/>
                <w:lang w:bidi="ar"/>
              </w:rPr>
              <w:t>年以来承接的同类项目业绩，每提供</w:t>
            </w:r>
            <w:r>
              <w:rPr>
                <w:rFonts w:hint="eastAsia" w:ascii="宋体" w:hAnsi="宋体" w:eastAsia="宋体" w:cs="Tahoma"/>
                <w:color w:val="auto"/>
                <w:sz w:val="21"/>
                <w:szCs w:val="21"/>
                <w:highlight w:val="none"/>
                <w:lang w:bidi="ar"/>
              </w:rPr>
              <w:t>1</w:t>
            </w:r>
            <w:r>
              <w:rPr>
                <w:rFonts w:hint="eastAsia" w:ascii="宋体" w:hAnsi="宋体" w:eastAsia="宋体" w:cs="宋体"/>
                <w:color w:val="auto"/>
                <w:sz w:val="21"/>
                <w:szCs w:val="21"/>
                <w:highlight w:val="none"/>
                <w:lang w:bidi="ar"/>
              </w:rPr>
              <w:t>份同类项目业绩得</w:t>
            </w:r>
            <w:r>
              <w:rPr>
                <w:rFonts w:hint="eastAsia" w:ascii="宋体" w:hAnsi="宋体" w:eastAsia="宋体" w:cs="Tahoma"/>
                <w:color w:val="auto"/>
                <w:sz w:val="21"/>
                <w:szCs w:val="21"/>
                <w:highlight w:val="none"/>
                <w:lang w:bidi="ar"/>
              </w:rPr>
              <w:t>3</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val="en-US" w:eastAsia="zh-CN" w:bidi="ar"/>
              </w:rPr>
              <w:t>最高</w:t>
            </w:r>
            <w:r>
              <w:rPr>
                <w:rFonts w:hint="eastAsia" w:ascii="宋体" w:hAnsi="宋体" w:eastAsia="宋体" w:cs="宋体"/>
                <w:color w:val="auto"/>
                <w:sz w:val="21"/>
                <w:szCs w:val="21"/>
                <w:highlight w:val="none"/>
                <w:lang w:bidi="ar"/>
              </w:rPr>
              <w:t>分</w:t>
            </w:r>
            <w:r>
              <w:rPr>
                <w:rFonts w:hint="eastAsia" w:ascii="宋体" w:hAnsi="宋体" w:cs="Tahoma"/>
                <w:color w:val="auto"/>
                <w:sz w:val="21"/>
                <w:szCs w:val="21"/>
                <w:highlight w:val="none"/>
                <w:lang w:val="en-US" w:eastAsia="zh-CN" w:bidi="ar"/>
              </w:rPr>
              <w:t>15</w:t>
            </w:r>
            <w:r>
              <w:rPr>
                <w:rFonts w:hint="eastAsia" w:ascii="宋体" w:hAnsi="宋体" w:eastAsia="宋体" w:cs="宋体"/>
                <w:color w:val="auto"/>
                <w:sz w:val="21"/>
                <w:szCs w:val="21"/>
                <w:highlight w:val="none"/>
                <w:lang w:bidi="ar"/>
              </w:rPr>
              <w:t>分。</w:t>
            </w:r>
          </w:p>
          <w:p w14:paraId="0ED2FE9C">
            <w:pPr>
              <w:spacing w:line="360" w:lineRule="auto"/>
              <w:jc w:val="left"/>
              <w:rPr>
                <w:rFonts w:ascii="宋体" w:hAnsi="宋体"/>
                <w:color w:val="auto"/>
                <w:sz w:val="21"/>
                <w:szCs w:val="21"/>
                <w:highlight w:val="none"/>
              </w:rPr>
            </w:pPr>
            <w:r>
              <w:rPr>
                <w:rFonts w:hint="eastAsia" w:ascii="宋体" w:hAnsi="宋体" w:eastAsia="宋体" w:cs="宋体"/>
                <w:color w:val="auto"/>
                <w:sz w:val="21"/>
                <w:szCs w:val="21"/>
                <w:highlight w:val="none"/>
                <w:lang w:bidi="ar"/>
              </w:rPr>
              <w:t>注：提供合同复印件并加盖供应商公章，以合同签订时间为准，不符合或无提供不得分。</w:t>
            </w:r>
            <w:r>
              <w:t>如为联合体响应，联合体各方提供均可。</w:t>
            </w:r>
          </w:p>
        </w:tc>
        <w:tc>
          <w:tcPr>
            <w:tcW w:w="749" w:type="dxa"/>
            <w:noWrap w:val="0"/>
            <w:vAlign w:val="center"/>
          </w:tcPr>
          <w:p w14:paraId="1F2E33D7">
            <w:pPr>
              <w:spacing w:line="276" w:lineRule="auto"/>
              <w:jc w:val="center"/>
              <w:rPr>
                <w:rFonts w:hint="eastAsia" w:ascii="宋体" w:hAnsi="宋体"/>
                <w:color w:val="auto"/>
                <w:sz w:val="21"/>
                <w:szCs w:val="21"/>
                <w:highlight w:val="none"/>
              </w:rPr>
            </w:pPr>
            <w:r>
              <w:rPr>
                <w:rFonts w:hint="eastAsia" w:ascii="宋体" w:hAnsi="宋体" w:cs="宋体"/>
                <w:bCs/>
                <w:color w:val="auto"/>
                <w:sz w:val="21"/>
                <w:szCs w:val="21"/>
                <w:highlight w:val="none"/>
                <w:lang w:val="en-US" w:eastAsia="zh-CN" w:bidi="ar"/>
              </w:rPr>
              <w:t>15</w:t>
            </w:r>
            <w:r>
              <w:rPr>
                <w:rFonts w:hint="eastAsia" w:ascii="宋体" w:hAnsi="宋体" w:eastAsia="宋体" w:cs="宋体"/>
                <w:bCs/>
                <w:color w:val="auto"/>
                <w:sz w:val="21"/>
                <w:szCs w:val="21"/>
                <w:highlight w:val="none"/>
                <w:lang w:bidi="ar"/>
              </w:rPr>
              <w:t>分</w:t>
            </w:r>
          </w:p>
        </w:tc>
      </w:tr>
      <w:tr w14:paraId="04C4BE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9" w:type="dxa"/>
            <w:noWrap w:val="0"/>
            <w:vAlign w:val="center"/>
          </w:tcPr>
          <w:p w14:paraId="45BB0C12">
            <w:pPr>
              <w:spacing w:line="276" w:lineRule="auto"/>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1085" w:type="dxa"/>
            <w:shd w:val="clear" w:color="auto" w:fill="auto"/>
            <w:noWrap w:val="0"/>
            <w:vAlign w:val="center"/>
          </w:tcPr>
          <w:p w14:paraId="7C91F7E9">
            <w:pPr>
              <w:spacing w:line="360" w:lineRule="auto"/>
              <w:ind w:left="113" w:leftChars="0" w:right="113" w:rightChars="0"/>
              <w:jc w:val="center"/>
              <w:rPr>
                <w:rFonts w:hint="eastAsia" w:ascii="宋体" w:hAnsi="宋体" w:eastAsia="宋体" w:cs="宋体"/>
                <w:color w:val="auto"/>
                <w:kern w:val="0"/>
                <w:sz w:val="21"/>
                <w:szCs w:val="21"/>
                <w:highlight w:val="none"/>
                <w:lang w:val="en-US" w:eastAsia="zh-CN" w:bidi="ar"/>
              </w:rPr>
            </w:pPr>
            <w:r>
              <w:rPr>
                <w:color w:val="0000FF"/>
              </w:rPr>
              <w:t>设备配置情况</w:t>
            </w:r>
            <w:r>
              <w:t xml:space="preserve"> </w:t>
            </w:r>
          </w:p>
        </w:tc>
        <w:tc>
          <w:tcPr>
            <w:tcW w:w="7230" w:type="dxa"/>
            <w:shd w:val="clear" w:color="auto" w:fill="auto"/>
            <w:noWrap w:val="0"/>
            <w:vAlign w:val="top"/>
          </w:tcPr>
          <w:p w14:paraId="1CACD22B">
            <w:pPr>
              <w:numPr>
                <w:ilvl w:val="0"/>
                <w:numId w:val="0"/>
              </w:numPr>
              <w:spacing w:line="360" w:lineRule="auto"/>
              <w:jc w:val="left"/>
            </w:pPr>
            <w:r>
              <w:t>供应商具有航拍工具（无人机），每台航拍工具（无人机）对应一名具有</w:t>
            </w:r>
            <w:r>
              <w:rPr>
                <w:kern w:val="0"/>
                <w:szCs w:val="21"/>
                <w:highlight w:val="none"/>
              </w:rPr>
              <w:t>UTC无人驾驶航空器系统操作手合格证</w:t>
            </w:r>
            <w:r>
              <w:rPr>
                <w:kern w:val="0"/>
                <w:szCs w:val="21"/>
              </w:rPr>
              <w:t>或中国民航局颁发的无人机驾驶员执照</w:t>
            </w:r>
            <w:r>
              <w:t>（操作人员需为投标人本单位员工，否则对应的航拍工具不得分），每投入一台航拍工具（无人机）得0.5分，本项累计最高得5分。</w:t>
            </w:r>
          </w:p>
          <w:p w14:paraId="445395FF">
            <w:pPr>
              <w:numPr>
                <w:ilvl w:val="0"/>
                <w:numId w:val="0"/>
              </w:numPr>
              <w:spacing w:line="360" w:lineRule="auto"/>
              <w:ind w:left="0" w:leftChars="0" w:firstLine="0" w:firstLineChars="0"/>
              <w:jc w:val="left"/>
              <w:rPr>
                <w:rFonts w:hint="eastAsia" w:ascii="宋体" w:hAnsi="宋体" w:eastAsia="宋体" w:cs="宋体"/>
                <w:color w:val="auto"/>
                <w:kern w:val="0"/>
                <w:sz w:val="21"/>
                <w:szCs w:val="21"/>
                <w:highlight w:val="none"/>
                <w:lang w:val="en-US" w:eastAsia="zh-CN" w:bidi="ar"/>
              </w:rPr>
            </w:pPr>
            <w:r>
              <w:t>注：提供设备购买发票或租赁证明材料、</w:t>
            </w:r>
            <w:r>
              <w:rPr>
                <w:kern w:val="0"/>
                <w:szCs w:val="21"/>
                <w:highlight w:val="none"/>
              </w:rPr>
              <w:t>无人驾驶航空器系统操作手合格证</w:t>
            </w:r>
            <w:r>
              <w:rPr>
                <w:kern w:val="0"/>
                <w:szCs w:val="21"/>
              </w:rPr>
              <w:t>或中国民航局颁发的无人机驾驶员执照</w:t>
            </w:r>
            <w:r>
              <w:t>及投标人为其缴纳的开标日前近三个月内的任意一个月的社保证明作为本单位员工的证明依据（不可与项目团队人员重复）</w:t>
            </w:r>
            <w:r>
              <w:rPr>
                <w:rFonts w:hint="eastAsia"/>
                <w:lang w:eastAsia="zh-CN"/>
              </w:rPr>
              <w:t>，</w:t>
            </w:r>
            <w:r>
              <w:rPr>
                <w:rFonts w:hint="eastAsia"/>
                <w:lang w:val="en-US" w:eastAsia="zh-CN"/>
              </w:rPr>
              <w:t>以上证明材料需加盖投标人公章</w:t>
            </w:r>
            <w:r>
              <w:t>。若投标人成立不足一个月的，需提供成立情况说明函（格式自拟），无需提供相关人员社保，亦视为满足要求。如为联合体响应，联合体各方提供均可。</w:t>
            </w:r>
          </w:p>
        </w:tc>
        <w:tc>
          <w:tcPr>
            <w:tcW w:w="749" w:type="dxa"/>
            <w:shd w:val="clear" w:color="auto" w:fill="auto"/>
            <w:noWrap w:val="0"/>
            <w:vAlign w:val="center"/>
          </w:tcPr>
          <w:p w14:paraId="00CBF82B">
            <w:pPr>
              <w:snapToGrid w:val="0"/>
              <w:spacing w:line="360" w:lineRule="auto"/>
              <w:ind w:left="113" w:leftChars="0" w:right="113"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sz w:val="21"/>
                <w:szCs w:val="21"/>
                <w:highlight w:val="none"/>
                <w:lang w:val="en-US" w:eastAsia="zh-CN" w:bidi="ar"/>
              </w:rPr>
              <w:t>5分</w:t>
            </w:r>
          </w:p>
        </w:tc>
      </w:tr>
      <w:tr w14:paraId="0DECA8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9" w:type="dxa"/>
            <w:noWrap w:val="0"/>
            <w:vAlign w:val="center"/>
          </w:tcPr>
          <w:p w14:paraId="0EC685DB">
            <w:pPr>
              <w:spacing w:line="276" w:lineRule="auto"/>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1085" w:type="dxa"/>
            <w:noWrap w:val="0"/>
            <w:vAlign w:val="center"/>
          </w:tcPr>
          <w:p w14:paraId="0F8E52F4">
            <w:pPr>
              <w:spacing w:line="360" w:lineRule="auto"/>
              <w:jc w:val="center"/>
              <w:rPr>
                <w:rFonts w:hint="eastAsia" w:hAnsi="宋体"/>
                <w:color w:val="auto"/>
                <w:sz w:val="21"/>
                <w:szCs w:val="21"/>
                <w:highlight w:val="none"/>
              </w:rPr>
            </w:pPr>
            <w:r>
              <w:rPr>
                <w:rFonts w:hint="eastAsia" w:ascii="宋体" w:hAnsi="宋体" w:eastAsia="宋体" w:cs="宋体"/>
                <w:color w:val="0000FF"/>
                <w:sz w:val="21"/>
                <w:szCs w:val="21"/>
                <w:highlight w:val="none"/>
                <w:lang w:bidi="ar"/>
              </w:rPr>
              <w:t>项目负责人</w:t>
            </w:r>
          </w:p>
        </w:tc>
        <w:tc>
          <w:tcPr>
            <w:tcW w:w="7230" w:type="dxa"/>
            <w:noWrap w:val="0"/>
            <w:vAlign w:val="top"/>
          </w:tcPr>
          <w:p w14:paraId="1DCF09E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供应商拟投入的本项目服务团队成员中：</w:t>
            </w:r>
          </w:p>
          <w:p w14:paraId="16F63ECC">
            <w:pPr>
              <w:spacing w:line="360" w:lineRule="auto"/>
              <w:jc w:val="left"/>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bidi="ar"/>
              </w:rPr>
              <w:t>项目负责人具有林业</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或园林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专业</w:t>
            </w:r>
            <w:r>
              <w:rPr>
                <w:rFonts w:hint="eastAsia" w:ascii="宋体" w:hAnsi="宋体" w:eastAsia="宋体" w:cs="宋体"/>
                <w:color w:val="auto"/>
                <w:sz w:val="21"/>
                <w:szCs w:val="21"/>
                <w:highlight w:val="none"/>
                <w:lang w:bidi="ar"/>
              </w:rPr>
              <w:t>正高级职称的，得</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分；副高级职称的，得</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分</w:t>
            </w:r>
            <w:r>
              <w:rPr>
                <w:rFonts w:hint="eastAsia" w:ascii="宋体" w:hAnsi="宋体" w:eastAsia="宋体" w:cs="宋体"/>
                <w:color w:val="auto"/>
                <w:sz w:val="21"/>
                <w:szCs w:val="21"/>
                <w:highlight w:val="none"/>
                <w:lang w:eastAsia="zh-CN" w:bidi="ar"/>
              </w:rPr>
              <w:t>。</w:t>
            </w:r>
          </w:p>
          <w:p w14:paraId="14ED22E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注：提供</w:t>
            </w:r>
            <w:r>
              <w:rPr>
                <w:rFonts w:hint="eastAsia" w:ascii="宋体" w:hAnsi="宋体" w:cs="宋体"/>
                <w:color w:val="auto"/>
                <w:sz w:val="21"/>
                <w:szCs w:val="21"/>
                <w:highlight w:val="none"/>
                <w:lang w:val="en-US" w:eastAsia="zh-CN" w:bidi="ar"/>
              </w:rPr>
              <w:t>相关人员</w:t>
            </w:r>
            <w:r>
              <w:rPr>
                <w:rFonts w:hint="eastAsia" w:ascii="宋体" w:hAnsi="宋体" w:eastAsia="宋体" w:cs="宋体"/>
                <w:color w:val="auto"/>
                <w:sz w:val="21"/>
                <w:szCs w:val="21"/>
                <w:highlight w:val="none"/>
                <w:lang w:val="en-US" w:eastAsia="zh-CN" w:bidi="ar"/>
              </w:rPr>
              <w:t>职称</w:t>
            </w:r>
            <w:r>
              <w:rPr>
                <w:rFonts w:hint="eastAsia" w:ascii="宋体" w:hAnsi="宋体" w:eastAsia="宋体" w:cs="宋体"/>
                <w:color w:val="auto"/>
                <w:sz w:val="21"/>
                <w:szCs w:val="21"/>
                <w:highlight w:val="none"/>
                <w:lang w:bidi="ar"/>
              </w:rPr>
              <w:t>证书复印件</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证明材料为以响应供应商至</w:t>
            </w:r>
            <w:r>
              <w:rPr>
                <w:rFonts w:hint="eastAsia" w:ascii="宋体" w:hAnsi="宋体" w:cs="宋体"/>
                <w:color w:val="0000FF"/>
                <w:sz w:val="21"/>
                <w:szCs w:val="21"/>
                <w:highlight w:val="none"/>
                <w:lang w:val="en-US" w:eastAsia="zh-CN" w:bidi="ar"/>
              </w:rPr>
              <w:t>投标</w:t>
            </w:r>
            <w:r>
              <w:rPr>
                <w:rFonts w:hint="eastAsia" w:ascii="宋体" w:hAnsi="宋体" w:eastAsia="宋体" w:cs="宋体"/>
                <w:color w:val="0000FF"/>
                <w:sz w:val="21"/>
                <w:szCs w:val="21"/>
                <w:highlight w:val="none"/>
                <w:lang w:bidi="ar"/>
              </w:rPr>
              <w:t>截止之日</w:t>
            </w:r>
            <w:r>
              <w:rPr>
                <w:rFonts w:hint="eastAsia" w:ascii="宋体" w:hAnsi="宋体" w:cs="宋体"/>
                <w:color w:val="0000FF"/>
                <w:sz w:val="21"/>
                <w:szCs w:val="21"/>
                <w:highlight w:val="none"/>
                <w:lang w:val="en-US" w:eastAsia="zh-CN" w:bidi="ar"/>
              </w:rPr>
              <w:t>前</w:t>
            </w:r>
            <w:r>
              <w:rPr>
                <w:rFonts w:hint="eastAsia" w:ascii="宋体" w:hAnsi="宋体" w:eastAsia="宋体" w:cs="宋体"/>
                <w:color w:val="auto"/>
                <w:sz w:val="21"/>
                <w:szCs w:val="21"/>
                <w:highlight w:val="none"/>
                <w:lang w:bidi="ar"/>
              </w:rPr>
              <w:t>近三个月内任意一个月为其购买社保证明材料为准</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否则不得分。</w:t>
            </w:r>
            <w:r>
              <w:t>如为联合体响应，由联合体牵头方提供。</w:t>
            </w:r>
          </w:p>
        </w:tc>
        <w:tc>
          <w:tcPr>
            <w:tcW w:w="749" w:type="dxa"/>
            <w:noWrap w:val="0"/>
            <w:vAlign w:val="center"/>
          </w:tcPr>
          <w:p w14:paraId="7AC66594">
            <w:pPr>
              <w:snapToGrid w:val="0"/>
              <w:spacing w:line="360" w:lineRule="auto"/>
              <w:jc w:val="center"/>
              <w:rPr>
                <w:rFonts w:hint="eastAsia" w:ascii="宋体" w:hAnsi="宋体"/>
                <w:color w:val="auto"/>
                <w:sz w:val="21"/>
                <w:szCs w:val="21"/>
                <w:highlight w:val="none"/>
              </w:rPr>
            </w:pPr>
            <w:r>
              <w:rPr>
                <w:rFonts w:hint="eastAsia" w:ascii="宋体" w:hAnsi="宋体" w:eastAsia="宋体" w:cs="宋体"/>
                <w:color w:val="auto"/>
                <w:sz w:val="21"/>
                <w:szCs w:val="21"/>
                <w:highlight w:val="none"/>
                <w:lang w:bidi="ar"/>
              </w:rPr>
              <w:t>4分</w:t>
            </w:r>
          </w:p>
        </w:tc>
      </w:tr>
      <w:tr w14:paraId="06C90F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9" w:type="dxa"/>
            <w:noWrap w:val="0"/>
            <w:vAlign w:val="center"/>
          </w:tcPr>
          <w:p w14:paraId="04482567">
            <w:pPr>
              <w:spacing w:line="276" w:lineRule="auto"/>
              <w:jc w:val="center"/>
              <w:rPr>
                <w:rFonts w:hint="eastAsia" w:ascii="宋体" w:hAnsi="宋体"/>
                <w:color w:val="auto"/>
                <w:sz w:val="21"/>
                <w:szCs w:val="21"/>
                <w:highlight w:val="none"/>
              </w:rPr>
            </w:pPr>
            <w:r>
              <w:rPr>
                <w:rFonts w:hint="eastAsia" w:ascii="宋体" w:hAnsi="宋体"/>
                <w:color w:val="auto"/>
                <w:sz w:val="21"/>
                <w:szCs w:val="21"/>
                <w:highlight w:val="none"/>
              </w:rPr>
              <w:t>4</w:t>
            </w:r>
          </w:p>
        </w:tc>
        <w:tc>
          <w:tcPr>
            <w:tcW w:w="1085" w:type="dxa"/>
            <w:noWrap w:val="0"/>
            <w:vAlign w:val="center"/>
          </w:tcPr>
          <w:p w14:paraId="03C333A9">
            <w:pPr>
              <w:spacing w:line="360" w:lineRule="auto"/>
              <w:jc w:val="center"/>
              <w:rPr>
                <w:rFonts w:ascii="宋体" w:hAnsi="宋体"/>
                <w:color w:val="auto"/>
                <w:sz w:val="21"/>
                <w:szCs w:val="21"/>
                <w:highlight w:val="none"/>
              </w:rPr>
            </w:pPr>
            <w:r>
              <w:rPr>
                <w:rFonts w:hint="eastAsia" w:ascii="宋体" w:hAnsi="宋体" w:eastAsia="宋体" w:cs="宋体"/>
                <w:color w:val="auto"/>
                <w:sz w:val="21"/>
                <w:szCs w:val="21"/>
                <w:highlight w:val="none"/>
                <w:lang w:bidi="ar"/>
              </w:rPr>
              <w:t>团队人员</w:t>
            </w:r>
          </w:p>
        </w:tc>
        <w:tc>
          <w:tcPr>
            <w:tcW w:w="7230" w:type="dxa"/>
            <w:noWrap w:val="0"/>
            <w:vAlign w:val="top"/>
          </w:tcPr>
          <w:p w14:paraId="7099C6A0">
            <w:pPr>
              <w:pStyle w:val="5"/>
              <w:rPr>
                <w:rFonts w:hint="eastAsia"/>
                <w:highlight w:val="yellow"/>
              </w:rPr>
            </w:pPr>
            <w:r>
              <w:rPr>
                <w:rFonts w:hint="eastAsia"/>
                <w:highlight w:val="none"/>
              </w:rPr>
              <w:t>项目团队人员（主要负责人除外）具有与本项目相关专业（林业</w:t>
            </w:r>
            <w:r>
              <w:rPr>
                <w:rFonts w:hint="eastAsia"/>
                <w:highlight w:val="none"/>
                <w:lang w:eastAsia="zh-CN"/>
              </w:rPr>
              <w:t>类</w:t>
            </w:r>
            <w:r>
              <w:rPr>
                <w:rFonts w:hint="eastAsia"/>
                <w:highlight w:val="none"/>
              </w:rPr>
              <w:t>或园林）</w:t>
            </w:r>
            <w:r>
              <w:rPr>
                <w:rFonts w:hint="eastAsia"/>
                <w:highlight w:val="none"/>
                <w:lang w:eastAsia="zh-CN"/>
              </w:rPr>
              <w:t>副</w:t>
            </w:r>
            <w:r>
              <w:rPr>
                <w:rFonts w:hint="eastAsia"/>
                <w:highlight w:val="none"/>
              </w:rPr>
              <w:t>高</w:t>
            </w:r>
            <w:r>
              <w:rPr>
                <w:rFonts w:hint="eastAsia"/>
                <w:highlight w:val="none"/>
                <w:lang w:eastAsia="zh-CN"/>
              </w:rPr>
              <w:t>及</w:t>
            </w:r>
            <w:r>
              <w:rPr>
                <w:rFonts w:hint="eastAsia"/>
                <w:highlight w:val="none"/>
              </w:rPr>
              <w:t>以上职称的，每个得2分；中级或以上职称的，每个得1分，同一人具备多项证书、同一专业多人具备不可累计计算；本项最高得1</w:t>
            </w:r>
            <w:r>
              <w:rPr>
                <w:rFonts w:hint="eastAsia"/>
                <w:highlight w:val="none"/>
                <w:lang w:val="en-US" w:eastAsia="zh-CN"/>
              </w:rPr>
              <w:t>6</w:t>
            </w:r>
            <w:r>
              <w:rPr>
                <w:rFonts w:hint="eastAsia"/>
                <w:highlight w:val="none"/>
              </w:rPr>
              <w:t>分。</w:t>
            </w:r>
            <w:r>
              <w:rPr>
                <w:rFonts w:hint="eastAsia" w:ascii="Times New Roman" w:hAnsi="Times New Roman" w:eastAsia="宋体" w:cs="Times New Roman"/>
                <w:kern w:val="0"/>
                <w:sz w:val="21"/>
                <w:szCs w:val="20"/>
                <w:lang w:val="en-US" w:eastAsia="zh-CN" w:bidi="ar-SA"/>
              </w:rPr>
              <w:t xml:space="preserve"> </w:t>
            </w:r>
          </w:p>
          <w:p w14:paraId="7D56B746">
            <w:pPr>
              <w:numPr>
                <w:ilvl w:val="0"/>
                <w:numId w:val="0"/>
              </w:numPr>
              <w:spacing w:line="360" w:lineRule="auto"/>
              <w:jc w:val="left"/>
              <w:rPr>
                <w:rFonts w:hint="eastAsia" w:ascii="宋体" w:hAnsi="宋体" w:eastAsia="宋体" w:cs="宋体"/>
                <w:color w:val="auto"/>
                <w:sz w:val="21"/>
                <w:szCs w:val="21"/>
                <w:highlight w:val="none"/>
              </w:rPr>
            </w:pPr>
            <w:r>
              <w:rPr>
                <w:rFonts w:hint="eastAsia"/>
              </w:rPr>
              <w:t>注：提供相关人员职称证书、毕业证书及外部证明材料（证明材料为以响应供应商至响应截止之日止近三个月内任意一个月为其购买社保证明材料为准），否则不得分。同一人员只计一次最优得分，同一专业不重复计分，专业是指学历证书上的专业名称。如为联合体响应，联合体各方提供均可。</w:t>
            </w:r>
          </w:p>
        </w:tc>
        <w:tc>
          <w:tcPr>
            <w:tcW w:w="749" w:type="dxa"/>
            <w:noWrap w:val="0"/>
            <w:vAlign w:val="center"/>
          </w:tcPr>
          <w:p w14:paraId="1E880257">
            <w:pPr>
              <w:snapToGrid w:val="0"/>
              <w:spacing w:line="360" w:lineRule="auto"/>
              <w:jc w:val="center"/>
              <w:rPr>
                <w:rFonts w:hint="eastAsia" w:ascii="宋体" w:hAnsi="宋体"/>
                <w:color w:val="auto"/>
                <w:sz w:val="21"/>
                <w:szCs w:val="21"/>
                <w:highlight w:val="none"/>
              </w:rPr>
            </w:pPr>
            <w:r>
              <w:rPr>
                <w:rFonts w:hint="eastAsia" w:ascii="宋体" w:hAnsi="宋体" w:cs="宋体"/>
                <w:color w:val="auto"/>
                <w:sz w:val="21"/>
                <w:szCs w:val="21"/>
                <w:highlight w:val="none"/>
                <w:lang w:val="en-US" w:eastAsia="zh-CN" w:bidi="ar"/>
              </w:rPr>
              <w:t>16</w:t>
            </w:r>
            <w:r>
              <w:rPr>
                <w:rFonts w:hint="eastAsia" w:ascii="宋体" w:hAnsi="宋体" w:eastAsia="宋体" w:cs="宋体"/>
                <w:color w:val="auto"/>
                <w:sz w:val="21"/>
                <w:szCs w:val="21"/>
                <w:highlight w:val="none"/>
                <w:lang w:bidi="ar"/>
              </w:rPr>
              <w:t>分</w:t>
            </w:r>
          </w:p>
        </w:tc>
      </w:tr>
      <w:tr w14:paraId="25C77F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974" w:type="dxa"/>
            <w:gridSpan w:val="3"/>
            <w:noWrap w:val="0"/>
            <w:vAlign w:val="center"/>
          </w:tcPr>
          <w:p w14:paraId="19181077">
            <w:pPr>
              <w:spacing w:line="276" w:lineRule="auto"/>
              <w:jc w:val="center"/>
              <w:rPr>
                <w:rFonts w:ascii="宋体" w:hAnsi="宋体"/>
                <w:b/>
                <w:color w:val="auto"/>
                <w:sz w:val="21"/>
                <w:szCs w:val="21"/>
                <w:highlight w:val="none"/>
              </w:rPr>
            </w:pPr>
            <w:r>
              <w:rPr>
                <w:rFonts w:hint="eastAsia" w:ascii="宋体" w:hAnsi="宋体"/>
                <w:b/>
                <w:color w:val="auto"/>
                <w:sz w:val="21"/>
                <w:szCs w:val="21"/>
                <w:highlight w:val="none"/>
              </w:rPr>
              <w:t>合计</w:t>
            </w:r>
          </w:p>
        </w:tc>
        <w:tc>
          <w:tcPr>
            <w:tcW w:w="749" w:type="dxa"/>
            <w:noWrap w:val="0"/>
            <w:vAlign w:val="center"/>
          </w:tcPr>
          <w:p w14:paraId="4A3B65B8">
            <w:pPr>
              <w:spacing w:line="276" w:lineRule="auto"/>
              <w:jc w:val="center"/>
              <w:rPr>
                <w:rFonts w:hint="eastAsia" w:ascii="宋体" w:hAnsi="宋体"/>
                <w:b/>
                <w:color w:val="auto"/>
                <w:sz w:val="21"/>
                <w:szCs w:val="21"/>
                <w:highlight w:val="none"/>
              </w:rPr>
            </w:pPr>
            <w:r>
              <w:rPr>
                <w:rFonts w:hint="eastAsia" w:ascii="宋体" w:hAnsi="宋体"/>
                <w:b/>
                <w:color w:val="auto"/>
                <w:sz w:val="21"/>
                <w:szCs w:val="21"/>
                <w:highlight w:val="none"/>
              </w:rPr>
              <w:t>40分</w:t>
            </w:r>
          </w:p>
        </w:tc>
      </w:tr>
    </w:tbl>
    <w:tbl>
      <w:tblPr>
        <w:tblStyle w:val="13"/>
        <w:tblW w:w="9726" w:type="dxa"/>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097"/>
        <w:gridCol w:w="7210"/>
        <w:gridCol w:w="742"/>
      </w:tblGrid>
      <w:tr w14:paraId="25F5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shd w:val="clear" w:color="auto" w:fill="auto"/>
            <w:vAlign w:val="top"/>
          </w:tcPr>
          <w:p w14:paraId="086F80D6">
            <w:pPr>
              <w:widowControl w:val="0"/>
              <w:ind w:left="113" w:leftChars="0" w:right="113" w:rightChars="0"/>
              <w:jc w:val="center"/>
              <w:rPr>
                <w:rFonts w:hint="default" w:ascii="宋体" w:hAnsi="宋体" w:eastAsia="宋体" w:cs="宋体"/>
                <w:kern w:val="0"/>
                <w:sz w:val="24"/>
                <w:szCs w:val="24"/>
                <w:lang w:val="en-US" w:eastAsia="zh-CN" w:bidi="ar-SA"/>
              </w:rPr>
            </w:pPr>
          </w:p>
        </w:tc>
        <w:tc>
          <w:tcPr>
            <w:tcW w:w="1097" w:type="dxa"/>
            <w:shd w:val="clear" w:color="auto" w:fill="auto"/>
            <w:vAlign w:val="top"/>
          </w:tcPr>
          <w:p w14:paraId="42D5258D">
            <w:pPr>
              <w:widowControl w:val="0"/>
              <w:ind w:left="113" w:leftChars="0" w:right="113" w:rightChars="0"/>
              <w:jc w:val="left"/>
              <w:rPr>
                <w:rFonts w:hint="default" w:ascii="宋体" w:hAnsi="宋体" w:eastAsia="宋体" w:cs="宋体"/>
                <w:kern w:val="0"/>
                <w:sz w:val="24"/>
                <w:szCs w:val="24"/>
                <w:lang w:val="en-US" w:eastAsia="zh-CN" w:bidi="ar-SA"/>
              </w:rPr>
            </w:pPr>
            <w:r>
              <w:rPr>
                <w:rFonts w:hint="eastAsia" w:ascii="宋体" w:hAnsi="宋体" w:eastAsia="宋体" w:cs="宋体"/>
                <w:sz w:val="24"/>
                <w:szCs w:val="24"/>
              </w:rPr>
              <w:t xml:space="preserve">投标报价得分 </w:t>
            </w:r>
          </w:p>
        </w:tc>
        <w:tc>
          <w:tcPr>
            <w:tcW w:w="7210" w:type="dxa"/>
            <w:shd w:val="clear" w:color="auto" w:fill="auto"/>
            <w:vAlign w:val="top"/>
          </w:tcPr>
          <w:p w14:paraId="742BDB52">
            <w:pPr>
              <w:widowControl w:val="0"/>
              <w:ind w:left="113" w:leftChars="0" w:right="113" w:rightChars="0"/>
              <w:jc w:val="left"/>
              <w:rPr>
                <w:rFonts w:hint="default" w:ascii="宋体" w:hAnsi="宋体" w:eastAsia="宋体" w:cs="宋体"/>
                <w:kern w:val="0"/>
                <w:sz w:val="24"/>
                <w:szCs w:val="24"/>
                <w:lang w:val="en-US" w:eastAsia="zh-CN" w:bidi="ar-SA"/>
              </w:rPr>
            </w:pPr>
            <w:r>
              <w:rPr>
                <w:rFonts w:hint="eastAsia" w:ascii="宋体" w:hAnsi="宋体" w:eastAsia="宋体" w:cs="宋体"/>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c>
          <w:tcPr>
            <w:tcW w:w="742" w:type="dxa"/>
          </w:tcPr>
          <w:p w14:paraId="487A8990">
            <w:pPr>
              <w:widowControl w:val="0"/>
              <w:spacing w:line="276" w:lineRule="auto"/>
              <w:jc w:val="center"/>
              <w:rPr>
                <w:rFonts w:hint="default"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10分</w:t>
            </w:r>
          </w:p>
        </w:tc>
      </w:tr>
    </w:tbl>
    <w:p w14:paraId="7F9381D1">
      <w:pPr>
        <w:pStyle w:val="11"/>
        <w:jc w:val="both"/>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4D2AD8"/>
    <w:multiLevelType w:val="multilevel"/>
    <w:tmpl w:val="134D2AD8"/>
    <w:lvl w:ilvl="0" w:tentative="0">
      <w:start w:val="1"/>
      <w:numFmt w:val="decimal"/>
      <w:pStyle w:val="3"/>
      <w:lvlText w:val="%1."/>
      <w:lvlJc w:val="left"/>
      <w:pPr>
        <w:tabs>
          <w:tab w:val="left" w:pos="851"/>
        </w:tabs>
        <w:ind w:left="851" w:hanging="851"/>
      </w:pPr>
      <w:rPr>
        <w:rFonts w:hint="eastAsia" w:eastAsia="宋体" w:cs="Times New Roman"/>
        <w:b/>
        <w:i w:val="0"/>
        <w:sz w:val="24"/>
      </w:rPr>
    </w:lvl>
    <w:lvl w:ilvl="1" w:tentative="0">
      <w:start w:val="1"/>
      <w:numFmt w:val="decimal"/>
      <w:lvlText w:val="%1.%2"/>
      <w:lvlJc w:val="left"/>
      <w:pPr>
        <w:tabs>
          <w:tab w:val="left" w:pos="851"/>
        </w:tabs>
        <w:ind w:left="851" w:hanging="851"/>
      </w:pPr>
      <w:rPr>
        <w:rFonts w:hint="eastAsia" w:eastAsia="宋体" w:cs="Times New Roman"/>
        <w:b w:val="0"/>
        <w:i w:val="0"/>
        <w:color w:val="auto"/>
        <w:sz w:val="21"/>
        <w:szCs w:val="21"/>
      </w:rPr>
    </w:lvl>
    <w:lvl w:ilvl="2" w:tentative="0">
      <w:start w:val="1"/>
      <w:numFmt w:val="decimal"/>
      <w:lvlText w:val="（%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0NDk0MWM0YzNlMmU0NzI2NDJkZDE5NzQ5MTYyOTQifQ=="/>
  </w:docVars>
  <w:rsids>
    <w:rsidRoot w:val="517D3469"/>
    <w:rsid w:val="00BD1729"/>
    <w:rsid w:val="01516BA6"/>
    <w:rsid w:val="07C33227"/>
    <w:rsid w:val="11F2097D"/>
    <w:rsid w:val="15044616"/>
    <w:rsid w:val="15766853"/>
    <w:rsid w:val="159D5775"/>
    <w:rsid w:val="1B207A39"/>
    <w:rsid w:val="1BE614F8"/>
    <w:rsid w:val="1CE43C9D"/>
    <w:rsid w:val="1D255C29"/>
    <w:rsid w:val="1D5E3A3C"/>
    <w:rsid w:val="1D776E3D"/>
    <w:rsid w:val="1E0D696B"/>
    <w:rsid w:val="217B730E"/>
    <w:rsid w:val="21B440D8"/>
    <w:rsid w:val="222B78BA"/>
    <w:rsid w:val="22310E63"/>
    <w:rsid w:val="22B934C3"/>
    <w:rsid w:val="263527CB"/>
    <w:rsid w:val="27B8643F"/>
    <w:rsid w:val="294E705B"/>
    <w:rsid w:val="2C11436F"/>
    <w:rsid w:val="2DE762AA"/>
    <w:rsid w:val="354E3AEE"/>
    <w:rsid w:val="368742E7"/>
    <w:rsid w:val="36FB0319"/>
    <w:rsid w:val="373977C8"/>
    <w:rsid w:val="38227386"/>
    <w:rsid w:val="3A846B9B"/>
    <w:rsid w:val="3FF60994"/>
    <w:rsid w:val="40E6632B"/>
    <w:rsid w:val="418C1049"/>
    <w:rsid w:val="41F2420D"/>
    <w:rsid w:val="45B73B2D"/>
    <w:rsid w:val="495711BC"/>
    <w:rsid w:val="4AB10DA0"/>
    <w:rsid w:val="4E7E6745"/>
    <w:rsid w:val="50AF3052"/>
    <w:rsid w:val="517D3469"/>
    <w:rsid w:val="51D07D5D"/>
    <w:rsid w:val="54D11D32"/>
    <w:rsid w:val="57186916"/>
    <w:rsid w:val="58175B95"/>
    <w:rsid w:val="59E720E8"/>
    <w:rsid w:val="5A58486A"/>
    <w:rsid w:val="5B800A46"/>
    <w:rsid w:val="5CF6124B"/>
    <w:rsid w:val="5DD955B9"/>
    <w:rsid w:val="5F88575A"/>
    <w:rsid w:val="600532C8"/>
    <w:rsid w:val="66747232"/>
    <w:rsid w:val="68A3579D"/>
    <w:rsid w:val="6BE4292B"/>
    <w:rsid w:val="6C0B610A"/>
    <w:rsid w:val="6C4A5AF3"/>
    <w:rsid w:val="6E1965AE"/>
    <w:rsid w:val="735C73AE"/>
    <w:rsid w:val="73CD4EE1"/>
    <w:rsid w:val="74BE4E47"/>
    <w:rsid w:val="75B32C76"/>
    <w:rsid w:val="76C112D3"/>
    <w:rsid w:val="79315AA5"/>
    <w:rsid w:val="799030D1"/>
    <w:rsid w:val="7A7A57B1"/>
    <w:rsid w:val="7D3635D1"/>
    <w:rsid w:val="7DE14A84"/>
    <w:rsid w:val="7E246903"/>
    <w:rsid w:val="7EEE2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ind w:left="113" w:right="113"/>
      <w:jc w:val="center"/>
    </w:pPr>
    <w:rPr>
      <w:rFonts w:ascii="Times New Roman" w:hAnsi="Times New Roman" w:eastAsia="宋体" w:cs="Times New Roman"/>
      <w:kern w:val="0"/>
      <w:sz w:val="21"/>
      <w:szCs w:val="20"/>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autoRedefine/>
    <w:qFormat/>
    <w:uiPriority w:val="99"/>
    <w:pPr>
      <w:keepLines/>
      <w:widowControl w:val="0"/>
      <w:numPr>
        <w:ilvl w:val="0"/>
        <w:numId w:val="1"/>
      </w:numPr>
      <w:spacing w:beforeLines="50" w:afterLines="50" w:line="360" w:lineRule="auto"/>
      <w:outlineLvl w:val="1"/>
    </w:pPr>
    <w:rPr>
      <w:rFonts w:ascii="宋体" w:hAnsi="Arial"/>
      <w:b/>
      <w:bCs/>
      <w:sz w:val="24"/>
      <w:szCs w:val="32"/>
    </w:rPr>
  </w:style>
  <w:style w:type="character" w:default="1" w:styleId="14">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rPr>
      <w:szCs w:val="21"/>
    </w:rPr>
  </w:style>
  <w:style w:type="paragraph" w:styleId="5">
    <w:name w:val="annotation text"/>
    <w:basedOn w:val="1"/>
    <w:autoRedefine/>
    <w:qFormat/>
    <w:uiPriority w:val="0"/>
    <w:pPr>
      <w:jc w:val="left"/>
    </w:pPr>
  </w:style>
  <w:style w:type="paragraph" w:styleId="6">
    <w:name w:val="Body Text"/>
    <w:basedOn w:val="1"/>
    <w:qFormat/>
    <w:uiPriority w:val="99"/>
    <w:pPr>
      <w:spacing w:line="360" w:lineRule="auto"/>
    </w:pPr>
    <w:rPr>
      <w:rFonts w:ascii="等线" w:hAnsi="等线"/>
      <w:szCs w:val="20"/>
    </w:rPr>
  </w:style>
  <w:style w:type="paragraph" w:styleId="7">
    <w:name w:val="Body Text Indent"/>
    <w:basedOn w:val="1"/>
    <w:qFormat/>
    <w:uiPriority w:val="0"/>
    <w:pPr>
      <w:spacing w:line="240" w:lineRule="auto"/>
      <w:ind w:firstLine="570" w:firstLineChars="0"/>
    </w:pPr>
    <w:rPr>
      <w:rFonts w:ascii="仿宋_GB2312"/>
      <w:sz w:val="28"/>
      <w:szCs w:val="24"/>
    </w:rPr>
  </w:style>
  <w:style w:type="paragraph" w:styleId="8">
    <w:name w:val="Plain Text"/>
    <w:basedOn w:val="1"/>
    <w:qFormat/>
    <w:uiPriority w:val="99"/>
    <w:pPr>
      <w:widowControl w:val="0"/>
      <w:ind w:left="0" w:right="0"/>
      <w:jc w:val="both"/>
    </w:pPr>
    <w:rPr>
      <w:rFonts w:ascii="宋体" w:hAnsi="Courier New"/>
      <w:sz w:val="20"/>
    </w:rPr>
  </w:style>
  <w:style w:type="paragraph" w:styleId="9">
    <w:name w:val="footer"/>
    <w:basedOn w:val="1"/>
    <w:autoRedefine/>
    <w:qFormat/>
    <w:uiPriority w:val="99"/>
    <w:pPr>
      <w:tabs>
        <w:tab w:val="center" w:pos="4153"/>
        <w:tab w:val="right" w:pos="8306"/>
      </w:tabs>
      <w:snapToGrid w:val="0"/>
      <w:jc w:val="left"/>
    </w:pPr>
    <w:rPr>
      <w:sz w:val="18"/>
    </w:rPr>
  </w:style>
  <w:style w:type="paragraph" w:styleId="10">
    <w:name w:val="header"/>
    <w:basedOn w:val="1"/>
    <w:autoRedefine/>
    <w:qFormat/>
    <w:uiPriority w:val="99"/>
    <w:pPr>
      <w:pBdr>
        <w:bottom w:val="single" w:color="auto" w:sz="6" w:space="1"/>
      </w:pBdr>
      <w:tabs>
        <w:tab w:val="center" w:pos="4153"/>
        <w:tab w:val="right" w:pos="8306"/>
      </w:tabs>
      <w:snapToGrid w:val="0"/>
    </w:pPr>
    <w:rPr>
      <w:sz w:val="18"/>
      <w:szCs w:val="18"/>
    </w:rPr>
  </w:style>
  <w:style w:type="paragraph" w:styleId="11">
    <w:name w:val="Body Text First Indent 2"/>
    <w:basedOn w:val="7"/>
    <w:unhideWhenUsed/>
    <w:qFormat/>
    <w:uiPriority w:val="99"/>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autoRedefine/>
    <w:qFormat/>
    <w:uiPriority w:val="99"/>
    <w:pPr>
      <w:widowControl w:val="0"/>
      <w:ind w:left="0" w:right="0" w:firstLine="420" w:firstLineChars="200"/>
      <w:jc w:val="both"/>
    </w:pPr>
    <w:rPr>
      <w:rFonts w:ascii="Calibri" w:hAnsi="Calibri"/>
      <w:kern w:val="2"/>
      <w:szCs w:val="22"/>
    </w:rPr>
  </w:style>
  <w:style w:type="paragraph" w:customStyle="1" w:styleId="16">
    <w:name w:val="正文正"/>
    <w:basedOn w:val="1"/>
    <w:autoRedefine/>
    <w:qFormat/>
    <w:uiPriority w:val="0"/>
    <w:pPr>
      <w:spacing w:line="560" w:lineRule="exact"/>
      <w:ind w:firstLine="561"/>
    </w:pPr>
    <w:rPr>
      <w:rFonts w:ascii="Calibri" w:hAnsi="Calibri"/>
      <w:sz w:val="28"/>
    </w:rPr>
  </w:style>
  <w:style w:type="paragraph" w:customStyle="1" w:styleId="17">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2447</Words>
  <Characters>2779</Characters>
  <Lines>0</Lines>
  <Paragraphs>0</Paragraphs>
  <TotalTime>14</TotalTime>
  <ScaleCrop>false</ScaleCrop>
  <LinksUpToDate>false</LinksUpToDate>
  <CharactersWithSpaces>2780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2025-09-12T03:47:00Z</dcterms:created>
  <dc:creator>言午</dc:creator>
  <cp:lastModifiedBy>生财</cp:lastModifiedBy>
  <cp:lastPrinted>2025-10-11T09:14:00Z</cp:lastPrinted>
  <dcterms:modified xsi:type="dcterms:W3CDTF">2025-10-16T00:32:12Z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6F69DF0A86AB4097AECB50F324E3D058_13</vt:lpwstr>
  </property>
  <property fmtid="{D5CDD505-2E9C-101B-9397-08002B2CF9AE}" pid="4" name="KSOTemplateDocerSaveRecord">
    <vt:lpwstr>eyJoZGlkIjoiN2NiNjQxZTA4YmI5M2NlM2EwY2IzMGI5OGU2YjEwODAiLCJ1c2VySWQiOiIyOTc5MTg5MTgifQ==</vt:lpwstr>
  </property>
</Properties>
</file>