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800"/>
        <w:contextualSpacing/>
        <w:jc w:val="center"/>
        <w:rPr>
          <w:rFonts w:ascii="黑体" w:hAnsi="黑体" w:eastAsia="黑体"/>
          <w:b/>
          <w:sz w:val="32"/>
          <w:szCs w:val="32"/>
        </w:rPr>
      </w:pPr>
      <w:bookmarkStart w:id="4" w:name="_GoBack"/>
      <w:bookmarkEnd w:id="4"/>
      <w:r>
        <w:rPr>
          <w:rFonts w:hint="eastAsia" w:ascii="黑体" w:hAnsi="黑体" w:eastAsia="黑体"/>
          <w:b/>
          <w:sz w:val="32"/>
          <w:szCs w:val="32"/>
        </w:rPr>
        <w:t>报价须知及要求</w:t>
      </w:r>
    </w:p>
    <w:p>
      <w:pPr>
        <w:spacing w:line="600" w:lineRule="exact"/>
        <w:contextualSpacing/>
        <w:jc w:val="left"/>
        <w:rPr>
          <w:rFonts w:hint="eastAsia" w:ascii="仿宋" w:hAnsi="仿宋" w:eastAsia="仿宋" w:cs="仿宋"/>
          <w:b/>
          <w:sz w:val="24"/>
          <w:szCs w:val="24"/>
        </w:rPr>
      </w:pPr>
      <w:r>
        <w:rPr>
          <w:rFonts w:hint="eastAsia" w:ascii="仿宋_GB2312" w:eastAsia="仿宋_GB2312"/>
          <w:sz w:val="32"/>
          <w:szCs w:val="32"/>
        </w:rPr>
        <w:t xml:space="preserve">    </w:t>
      </w:r>
      <w:r>
        <w:rPr>
          <w:rFonts w:hint="eastAsia" w:ascii="仿宋" w:hAnsi="仿宋" w:eastAsia="仿宋" w:cs="仿宋"/>
          <w:sz w:val="24"/>
          <w:szCs w:val="24"/>
        </w:rPr>
        <w:t>本文件适用于华能国际电力股份有限公司德州电厂、华能德州热力有限公司、华能德州新能源有限公司，及其上述公司的分公司的华能电子商务平台询比价采购业务。</w:t>
      </w:r>
    </w:p>
    <w:p>
      <w:pPr>
        <w:tabs>
          <w:tab w:val="left" w:pos="0"/>
          <w:tab w:val="left" w:pos="993"/>
        </w:tabs>
        <w:spacing w:line="600" w:lineRule="exact"/>
        <w:contextualSpacing/>
        <w:jc w:val="left"/>
        <w:rPr>
          <w:rFonts w:hint="eastAsia" w:ascii="仿宋" w:hAnsi="仿宋" w:eastAsia="仿宋" w:cs="仿宋"/>
          <w:b/>
          <w:sz w:val="24"/>
          <w:szCs w:val="24"/>
        </w:rPr>
      </w:pPr>
      <w:r>
        <w:rPr>
          <w:rFonts w:hint="eastAsia" w:ascii="仿宋" w:hAnsi="仿宋" w:eastAsia="仿宋" w:cs="仿宋"/>
          <w:b/>
          <w:sz w:val="24"/>
          <w:szCs w:val="24"/>
        </w:rPr>
        <w:t>一、供应商基本资质条件</w:t>
      </w:r>
    </w:p>
    <w:p>
      <w:pPr>
        <w:spacing w:line="600" w:lineRule="exact"/>
        <w:contextualSpacing/>
        <w:jc w:val="left"/>
        <w:rPr>
          <w:rFonts w:hint="eastAsia" w:ascii="仿宋" w:hAnsi="仿宋" w:eastAsia="仿宋" w:cs="仿宋"/>
          <w:sz w:val="24"/>
          <w:szCs w:val="24"/>
        </w:rPr>
      </w:pPr>
      <w:r>
        <w:rPr>
          <w:rFonts w:hint="eastAsia" w:ascii="仿宋" w:hAnsi="仿宋" w:eastAsia="仿宋" w:cs="仿宋"/>
          <w:sz w:val="24"/>
          <w:szCs w:val="24"/>
        </w:rPr>
        <w:t>1.具有一般纳税人资格；能够独立承担民事责任的法人、其它组织。</w:t>
      </w:r>
    </w:p>
    <w:p>
      <w:pPr>
        <w:spacing w:line="600" w:lineRule="exact"/>
        <w:contextualSpacing/>
        <w:jc w:val="left"/>
        <w:rPr>
          <w:rFonts w:hint="eastAsia" w:ascii="仿宋" w:hAnsi="仿宋" w:eastAsia="仿宋" w:cs="仿宋"/>
          <w:sz w:val="24"/>
          <w:szCs w:val="24"/>
        </w:rPr>
      </w:pPr>
      <w:r>
        <w:rPr>
          <w:rFonts w:hint="eastAsia" w:ascii="仿宋" w:hAnsi="仿宋" w:eastAsia="仿宋" w:cs="仿宋"/>
          <w:sz w:val="24"/>
          <w:szCs w:val="24"/>
        </w:rPr>
        <w:t>2.须为华能集团、山东公司供应商库内的合格供应商，且不处于供应商暂停采购活动期限内。</w:t>
      </w:r>
    </w:p>
    <w:p>
      <w:pPr>
        <w:tabs>
          <w:tab w:val="left" w:pos="1276"/>
        </w:tabs>
        <w:spacing w:line="600" w:lineRule="exact"/>
        <w:contextualSpacing/>
        <w:jc w:val="left"/>
        <w:rPr>
          <w:rFonts w:hint="eastAsia" w:ascii="仿宋" w:hAnsi="仿宋" w:eastAsia="仿宋" w:cs="仿宋"/>
          <w:sz w:val="24"/>
          <w:szCs w:val="24"/>
        </w:rPr>
      </w:pPr>
      <w:r>
        <w:rPr>
          <w:rFonts w:hint="eastAsia" w:ascii="仿宋" w:hAnsi="仿宋" w:eastAsia="仿宋" w:cs="仿宋"/>
          <w:sz w:val="24"/>
          <w:szCs w:val="24"/>
        </w:rPr>
        <w:t>3.经“信用中国”“国家企业信用信息公示系统”查询，不存在失信被执行人（处罚期内）、行贿受贿行为人、被列入严重违法失信企业名单等情况；</w:t>
      </w:r>
    </w:p>
    <w:p>
      <w:pPr>
        <w:tabs>
          <w:tab w:val="left" w:pos="1276"/>
        </w:tabs>
        <w:spacing w:line="600" w:lineRule="exact"/>
        <w:contextualSpacing/>
        <w:jc w:val="left"/>
        <w:rPr>
          <w:rFonts w:hint="eastAsia" w:ascii="仿宋" w:hAnsi="仿宋" w:eastAsia="仿宋" w:cs="仿宋"/>
          <w:sz w:val="24"/>
          <w:szCs w:val="24"/>
        </w:rPr>
      </w:pPr>
      <w:r>
        <w:rPr>
          <w:rFonts w:hint="eastAsia" w:ascii="仿宋" w:hAnsi="仿宋" w:eastAsia="仿宋" w:cs="仿宋"/>
          <w:sz w:val="24"/>
          <w:szCs w:val="24"/>
        </w:rPr>
        <w:t>4.经“天眼查”“企查查”或类似网站查询不存在法律所禁止关联关系的供应商，如存在，则只允许其中一家供应商参与采购项目。存在法律所禁止关联关系供应商报价无效。</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 投标供应商报价时凡涉及以下任一条款和违反</w:t>
      </w:r>
      <w:bookmarkStart w:id="0" w:name="bookmark618"/>
      <w:bookmarkStart w:id="1" w:name="bookmark616"/>
      <w:bookmarkStart w:id="2" w:name="bookmark617"/>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中国华能集团有限公司</w:t>
      </w:r>
      <w:bookmarkEnd w:id="0"/>
      <w:bookmarkStart w:id="3" w:name="bookmark619"/>
      <w:r>
        <w:rPr>
          <w:rFonts w:hint="eastAsia" w:ascii="仿宋" w:hAnsi="仿宋" w:eastAsia="仿宋" w:cs="仿宋"/>
          <w:sz w:val="24"/>
          <w:szCs w:val="24"/>
          <w:highlight w:val="none"/>
        </w:rPr>
        <w:t>供应商管理实施细则</w:t>
      </w:r>
      <w:bookmarkEnd w:id="1"/>
      <w:bookmarkEnd w:id="2"/>
      <w:bookmarkEnd w:id="3"/>
      <w:r>
        <w:rPr>
          <w:rFonts w:hint="eastAsia" w:ascii="仿宋" w:hAnsi="仿宋" w:eastAsia="仿宋" w:cs="仿宋"/>
          <w:sz w:val="24"/>
          <w:szCs w:val="24"/>
          <w:highlight w:val="none"/>
          <w:lang w:eastAsia="zh-CN"/>
        </w:rPr>
        <w:t>》要求</w:t>
      </w:r>
      <w:r>
        <w:rPr>
          <w:rFonts w:hint="eastAsia" w:ascii="仿宋" w:hAnsi="仿宋" w:eastAsia="仿宋" w:cs="仿宋"/>
          <w:sz w:val="24"/>
          <w:szCs w:val="24"/>
          <w:highlight w:val="none"/>
          <w:lang w:val="en-US" w:eastAsia="zh-CN"/>
        </w:rPr>
        <w:t>均视为无效报价或串通投标并否决其投标。同时纳入供应商年度考核评价，具体条款如下：</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5.1供应商单位负责人为同一人或存在控股、管理关系的。</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5.2供应商未按询价要求上传附件（响应文件），上传文件未加盖本单位公章，上传的资质文件非原件扫描的。</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5.3供应商未按询价要求上传报价清单或报价清单未盖章，分项报价与总价不一致的。</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5.4存在上传数据或响应文件的互联网协议地址（IP地址）信息检查一致的。</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5.5 供应商无法接受到货付款方式的。</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5.6 供应商提供上传的资质、业绩、证明等附件材料存在造假行为的。</w:t>
      </w:r>
    </w:p>
    <w:p>
      <w:pPr>
        <w:pStyle w:val="7"/>
        <w:spacing w:line="600" w:lineRule="exact"/>
        <w:ind w:firstLine="0" w:firstLineChars="0"/>
        <w:contextualSpacing/>
        <w:jc w:val="left"/>
        <w:rPr>
          <w:rFonts w:ascii="仿宋_GB2312" w:hAnsi="黑体" w:eastAsia="仿宋_GB2312"/>
          <w:b/>
          <w:sz w:val="24"/>
          <w:szCs w:val="24"/>
        </w:rPr>
      </w:pPr>
      <w:r>
        <w:rPr>
          <w:rFonts w:hint="eastAsia" w:ascii="仿宋_GB2312" w:hAnsi="黑体" w:eastAsia="仿宋_GB2312"/>
          <w:b/>
          <w:sz w:val="24"/>
          <w:szCs w:val="24"/>
        </w:rPr>
        <w:t>二、报价要求</w:t>
      </w:r>
    </w:p>
    <w:p>
      <w:pPr>
        <w:tabs>
          <w:tab w:val="left" w:pos="1276"/>
        </w:tabs>
        <w:spacing w:line="600" w:lineRule="exact"/>
        <w:contextualSpacing/>
        <w:jc w:val="left"/>
        <w:rPr>
          <w:rFonts w:ascii="仿宋_GB2312" w:eastAsia="仿宋_GB2312"/>
          <w:sz w:val="24"/>
          <w:szCs w:val="24"/>
        </w:rPr>
      </w:pPr>
      <w:r>
        <w:rPr>
          <w:rFonts w:hint="eastAsia" w:ascii="仿宋_GB2312" w:eastAsia="仿宋_GB2312"/>
          <w:sz w:val="24"/>
          <w:szCs w:val="24"/>
        </w:rPr>
        <w:t>1.各供应商在报价前务必仔细阅读我方在中国华能集团公司电子商务平台上发布询价书中产品信息的物料描述和用途及说明栏的规格型号、技术参数、及本文件采购需求等要求；报价截止前请务必关注公告、备注、说明、附件及澄清/答疑文件信息。供应商应当一次报出不得更改的价格，报价即承诺电厂平台和询价文件的所有技术商务要求。</w:t>
      </w:r>
    </w:p>
    <w:p>
      <w:pPr>
        <w:tabs>
          <w:tab w:val="left" w:pos="1276"/>
        </w:tabs>
        <w:spacing w:line="600" w:lineRule="exact"/>
        <w:contextualSpacing/>
        <w:jc w:val="left"/>
        <w:rPr>
          <w:rFonts w:ascii="仿宋_GB2312" w:eastAsia="仿宋_GB2312"/>
          <w:sz w:val="24"/>
          <w:szCs w:val="24"/>
        </w:rPr>
      </w:pPr>
      <w:r>
        <w:rPr>
          <w:rFonts w:hint="eastAsia" w:ascii="仿宋_GB2312" w:eastAsia="仿宋_GB2312"/>
          <w:sz w:val="24"/>
          <w:szCs w:val="24"/>
        </w:rPr>
        <w:t>2.</w:t>
      </w:r>
      <w:r>
        <w:rPr>
          <w:rFonts w:hint="eastAsia" w:ascii="仿宋_GB2312" w:eastAsia="仿宋_GB2312"/>
          <w:color w:val="FF0000"/>
          <w:sz w:val="24"/>
          <w:szCs w:val="24"/>
        </w:rPr>
        <w:t>供应商报价须含包装费、运杂费、保险费用等到达华能国际电力股份有限公司德州电厂物资仓库（或询价文件规定的其他交货地点）的所有费用。注意：包装费、运杂费、保险费不单列，均包含在总价中。具体每项物资请报不含税单价，货物采购税率13%。</w:t>
      </w:r>
    </w:p>
    <w:p>
      <w:pPr>
        <w:tabs>
          <w:tab w:val="left" w:pos="1276"/>
        </w:tabs>
        <w:spacing w:line="600" w:lineRule="exact"/>
        <w:contextualSpacing/>
        <w:jc w:val="left"/>
        <w:rPr>
          <w:rFonts w:ascii="仿宋_GB2312" w:eastAsia="仿宋_GB2312"/>
          <w:sz w:val="24"/>
          <w:szCs w:val="24"/>
        </w:rPr>
      </w:pPr>
      <w:r>
        <w:rPr>
          <w:rFonts w:hint="eastAsia" w:ascii="仿宋_GB2312" w:eastAsia="仿宋_GB2312"/>
          <w:sz w:val="24"/>
          <w:szCs w:val="24"/>
        </w:rPr>
        <w:t xml:space="preserve">3.原则上从原生产商或制造商处购买产品，如果生产商或制造商只通过代理商渠道销售产品的，代理商应出具生产商或制造商的直接授权代理资格或证明供货产品的合格性证明，禁止代理商转授权参与报价。 </w:t>
      </w:r>
    </w:p>
    <w:p>
      <w:pPr>
        <w:tabs>
          <w:tab w:val="left" w:pos="1276"/>
        </w:tabs>
        <w:spacing w:line="600" w:lineRule="exact"/>
        <w:contextualSpacing/>
        <w:jc w:val="left"/>
        <w:rPr>
          <w:rFonts w:ascii="仿宋_GB2312" w:eastAsia="仿宋_GB2312"/>
          <w:sz w:val="24"/>
          <w:szCs w:val="24"/>
        </w:rPr>
      </w:pPr>
      <w:r>
        <w:rPr>
          <w:rFonts w:hint="eastAsia" w:ascii="仿宋_GB2312" w:eastAsia="仿宋_GB2312"/>
          <w:sz w:val="24"/>
          <w:szCs w:val="24"/>
        </w:rPr>
        <w:t>4.</w:t>
      </w:r>
      <w:r>
        <w:rPr>
          <w:rFonts w:hint="eastAsia" w:ascii="仿宋_GB2312" w:eastAsia="仿宋_GB2312"/>
          <w:color w:val="FF0000"/>
          <w:sz w:val="24"/>
          <w:szCs w:val="24"/>
        </w:rPr>
        <w:t>当采购文件明确要求是进口产品时，供应商必须提供进口产品的原产地证明，还应提供海关报关单、商检证明等</w:t>
      </w:r>
      <w:r>
        <w:rPr>
          <w:rFonts w:hint="eastAsia" w:ascii="仿宋_GB2312" w:eastAsia="仿宋_GB2312"/>
          <w:sz w:val="24"/>
          <w:szCs w:val="24"/>
        </w:rPr>
        <w:t>。</w:t>
      </w:r>
    </w:p>
    <w:p>
      <w:pPr>
        <w:tabs>
          <w:tab w:val="left" w:pos="1276"/>
        </w:tabs>
        <w:spacing w:line="600" w:lineRule="exact"/>
        <w:contextualSpacing/>
        <w:jc w:val="left"/>
        <w:rPr>
          <w:rFonts w:ascii="仿宋_GB2312" w:eastAsia="仿宋_GB2312"/>
          <w:color w:val="FF0000"/>
          <w:sz w:val="24"/>
          <w:szCs w:val="24"/>
        </w:rPr>
      </w:pPr>
      <w:r>
        <w:rPr>
          <w:rFonts w:hint="eastAsia" w:ascii="仿宋_GB2312" w:eastAsia="仿宋_GB2312"/>
          <w:sz w:val="24"/>
          <w:szCs w:val="24"/>
        </w:rPr>
        <w:t>5.</w:t>
      </w:r>
      <w:r>
        <w:rPr>
          <w:rFonts w:hint="eastAsia" w:ascii="仿宋_GB2312" w:eastAsia="仿宋_GB2312"/>
          <w:color w:val="FF0000"/>
          <w:sz w:val="24"/>
          <w:szCs w:val="24"/>
        </w:rPr>
        <w:t>供应商所报价的产品须在营业执照核定的经营范围之内。危化品、特殊用途产品等采购项目应具有相关经营资质。询价文件中明确要求供应商必须具有的相关专项资质方可报价，否则报价无效。</w:t>
      </w:r>
    </w:p>
    <w:p>
      <w:pPr>
        <w:tabs>
          <w:tab w:val="left" w:pos="1276"/>
        </w:tabs>
        <w:spacing w:line="600" w:lineRule="exact"/>
        <w:contextualSpacing/>
        <w:jc w:val="left"/>
        <w:rPr>
          <w:rFonts w:ascii="仿宋_GB2312" w:eastAsia="仿宋_GB2312"/>
          <w:sz w:val="24"/>
          <w:szCs w:val="24"/>
        </w:rPr>
      </w:pPr>
      <w:r>
        <w:rPr>
          <w:rFonts w:hint="eastAsia" w:ascii="仿宋_GB2312" w:eastAsia="仿宋_GB2312"/>
          <w:sz w:val="24"/>
          <w:szCs w:val="24"/>
        </w:rPr>
        <w:t>6.对询价公告中的所有询价项目均要报价，选择性报价将被视为无效报价，报价为0视为选择性报价。</w:t>
      </w:r>
    </w:p>
    <w:p>
      <w:pPr>
        <w:tabs>
          <w:tab w:val="left" w:pos="1276"/>
        </w:tabs>
        <w:spacing w:line="600" w:lineRule="exact"/>
        <w:contextualSpacing/>
        <w:jc w:val="left"/>
        <w:rPr>
          <w:rFonts w:hint="eastAsia" w:ascii="仿宋_GB2312" w:eastAsia="仿宋_GB2312"/>
          <w:sz w:val="24"/>
          <w:szCs w:val="24"/>
        </w:rPr>
      </w:pPr>
      <w:r>
        <w:rPr>
          <w:rFonts w:hint="eastAsia" w:ascii="仿宋_GB2312" w:eastAsia="仿宋_GB2312"/>
          <w:sz w:val="24"/>
          <w:szCs w:val="24"/>
        </w:rPr>
        <w:t>7.由于供应商对采购文件理解存在误解可能影响报价的，应在报价前书面澄清。由于误解而导致询价失败或成交后的任何风险，其责任由报价供应商负责。</w:t>
      </w:r>
    </w:p>
    <w:p>
      <w:pPr>
        <w:pStyle w:val="2"/>
        <w:rPr>
          <w:rFonts w:hint="default" w:eastAsia="仿宋_GB2312"/>
          <w:lang w:val="en-US" w:eastAsia="zh-CN"/>
        </w:rPr>
      </w:pPr>
      <w:r>
        <w:rPr>
          <w:rFonts w:hint="eastAsia" w:ascii="仿宋_GB2312" w:eastAsia="仿宋_GB2312"/>
          <w:sz w:val="24"/>
          <w:szCs w:val="24"/>
          <w:lang w:val="en-US" w:eastAsia="zh-CN"/>
        </w:rPr>
        <w:t>8.所有货物均为货到付款，有专人接洽，具体付款时间一般不超过3个月。参与报价的视为同意我方付款方式。</w:t>
      </w:r>
    </w:p>
    <w:p>
      <w:pPr>
        <w:spacing w:line="600" w:lineRule="exact"/>
        <w:contextualSpacing/>
        <w:jc w:val="left"/>
        <w:rPr>
          <w:rFonts w:ascii="仿宋_GB2312" w:hAnsi="黑体" w:eastAsia="仿宋_GB2312"/>
          <w:b/>
          <w:sz w:val="24"/>
          <w:szCs w:val="24"/>
        </w:rPr>
      </w:pPr>
      <w:r>
        <w:rPr>
          <w:rFonts w:hint="eastAsia" w:ascii="仿宋_GB2312" w:hAnsi="黑体" w:eastAsia="仿宋_GB2312"/>
          <w:b/>
          <w:sz w:val="24"/>
          <w:szCs w:val="24"/>
        </w:rPr>
        <w:t>三、询比价定标</w:t>
      </w:r>
    </w:p>
    <w:p>
      <w:pPr>
        <w:spacing w:line="600" w:lineRule="exact"/>
        <w:contextualSpacing/>
        <w:jc w:val="left"/>
        <w:rPr>
          <w:rFonts w:ascii="仿宋_GB2312" w:eastAsia="仿宋_GB2312"/>
          <w:sz w:val="24"/>
          <w:szCs w:val="24"/>
        </w:rPr>
      </w:pPr>
      <w:r>
        <w:rPr>
          <w:rFonts w:hint="eastAsia" w:ascii="仿宋_GB2312" w:eastAsia="仿宋_GB2312"/>
          <w:sz w:val="24"/>
          <w:szCs w:val="24"/>
        </w:rPr>
        <w:t>1.依据《中国华能集团有限公司非招标采购管理办法》。</w:t>
      </w:r>
    </w:p>
    <w:p>
      <w:pPr>
        <w:tabs>
          <w:tab w:val="left" w:pos="1276"/>
        </w:tabs>
        <w:spacing w:line="600" w:lineRule="exact"/>
        <w:contextualSpacing/>
        <w:jc w:val="left"/>
        <w:rPr>
          <w:rFonts w:ascii="仿宋_GB2312" w:eastAsia="仿宋_GB2312"/>
          <w:sz w:val="24"/>
          <w:szCs w:val="24"/>
        </w:rPr>
      </w:pPr>
      <w:r>
        <w:rPr>
          <w:rFonts w:hint="eastAsia" w:ascii="仿宋_GB2312" w:eastAsia="仿宋_GB2312"/>
          <w:sz w:val="24"/>
          <w:szCs w:val="24"/>
        </w:rPr>
        <w:t>2.供应商报价时，应关注总价最低还是分项最低的定价原则，无论该项目采用哪种原则，均请合理提报各分项的报价。</w:t>
      </w:r>
    </w:p>
    <w:p>
      <w:pPr>
        <w:tabs>
          <w:tab w:val="left" w:pos="1276"/>
        </w:tabs>
        <w:spacing w:line="600" w:lineRule="exact"/>
        <w:contextualSpacing/>
        <w:jc w:val="left"/>
        <w:rPr>
          <w:rFonts w:ascii="仿宋_GB2312" w:eastAsia="仿宋_GB2312"/>
          <w:sz w:val="24"/>
          <w:szCs w:val="24"/>
        </w:rPr>
      </w:pPr>
      <w:r>
        <w:rPr>
          <w:rFonts w:hint="eastAsia" w:ascii="仿宋_GB2312" w:eastAsia="仿宋_GB2312"/>
          <w:sz w:val="24"/>
          <w:szCs w:val="24"/>
        </w:rPr>
        <w:t>3.</w:t>
      </w:r>
      <w:r>
        <w:rPr>
          <w:rFonts w:hint="eastAsia" w:ascii="仿宋_GB2312" w:eastAsia="仿宋_GB2312"/>
          <w:color w:val="FF0000"/>
          <w:sz w:val="24"/>
          <w:szCs w:val="24"/>
        </w:rPr>
        <w:t>对于扰乱采购秩序的恶意报价、超出营业执照经营许可范围报价、以及明显高于或低于市场价格的供应商报价、存在串标围标嫌疑的报价，采购人复议后对相关供应商提出警告或约谈，违反供应商管理办法的，进行供应商评价。</w:t>
      </w:r>
    </w:p>
    <w:p>
      <w:pPr>
        <w:tabs>
          <w:tab w:val="left" w:pos="1276"/>
        </w:tabs>
        <w:spacing w:line="600" w:lineRule="exact"/>
        <w:contextualSpacing/>
        <w:jc w:val="left"/>
        <w:rPr>
          <w:rFonts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.部分采购项目采购文件如明确要求只能生产制造企业参与的项目，代理商、经销商报价无效。</w:t>
      </w:r>
    </w:p>
    <w:p>
      <w:pPr>
        <w:tabs>
          <w:tab w:val="left" w:pos="1276"/>
        </w:tabs>
        <w:spacing w:line="600" w:lineRule="exact"/>
        <w:contextualSpacing/>
        <w:jc w:val="left"/>
        <w:rPr>
          <w:rFonts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.如明确要求必须上传报价响应文件的，不上传文件的报价视为无效报价。</w:t>
      </w:r>
    </w:p>
    <w:p>
      <w:pPr>
        <w:tabs>
          <w:tab w:val="left" w:pos="1276"/>
        </w:tabs>
        <w:spacing w:line="600" w:lineRule="exact"/>
        <w:contextualSpacing/>
        <w:jc w:val="left"/>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rPr>
        <w:t>.属于小额零星采购的土产杂品类物资（仅限此类），有小额纳税人参与报价时，对比不含税价。</w:t>
      </w:r>
    </w:p>
    <w:p>
      <w:pPr>
        <w:pStyle w:val="2"/>
        <w:rPr>
          <w:rFonts w:hint="default" w:eastAsia="仿宋_GB2312"/>
          <w:color w:val="FF0000"/>
          <w:lang w:val="en-US" w:eastAsia="zh-CN"/>
        </w:rPr>
      </w:pPr>
      <w:r>
        <w:rPr>
          <w:rFonts w:hint="eastAsia" w:ascii="仿宋_GB2312" w:eastAsia="仿宋_GB2312"/>
          <w:color w:val="FF0000"/>
          <w:sz w:val="24"/>
          <w:szCs w:val="24"/>
          <w:lang w:val="en-US" w:eastAsia="zh-CN"/>
        </w:rPr>
        <w:t>7.采用最低价中标原则，报价揭示后，供应商无论出于什么原因报价错误，一旦中标必须按要求供货，如果主动提出弃标，按照制度将受到相应的惩罚。</w:t>
      </w:r>
    </w:p>
    <w:p>
      <w:pPr>
        <w:autoSpaceDE w:val="0"/>
        <w:autoSpaceDN w:val="0"/>
        <w:spacing w:line="600" w:lineRule="exact"/>
        <w:contextualSpacing/>
        <w:jc w:val="left"/>
        <w:textAlignment w:val="bottom"/>
        <w:rPr>
          <w:rFonts w:ascii="仿宋_GB2312" w:hAnsi="宋体" w:eastAsia="仿宋_GB2312"/>
          <w:b/>
          <w:sz w:val="24"/>
          <w:szCs w:val="24"/>
        </w:rPr>
      </w:pPr>
      <w:r>
        <w:rPr>
          <w:rFonts w:hint="eastAsia" w:ascii="仿宋_GB2312" w:hAnsi="黑体" w:eastAsia="仿宋_GB2312"/>
          <w:b/>
          <w:sz w:val="24"/>
          <w:szCs w:val="24"/>
        </w:rPr>
        <w:t>四、交货</w:t>
      </w:r>
    </w:p>
    <w:p>
      <w:pPr>
        <w:autoSpaceDE w:val="0"/>
        <w:autoSpaceDN w:val="0"/>
        <w:spacing w:line="600" w:lineRule="exact"/>
        <w:contextualSpacing/>
        <w:jc w:val="left"/>
        <w:textAlignment w:val="bottom"/>
        <w:rPr>
          <w:rFonts w:ascii="仿宋_GB2312" w:hAnsi="宋体" w:eastAsia="仿宋_GB2312"/>
          <w:sz w:val="24"/>
          <w:szCs w:val="24"/>
        </w:rPr>
      </w:pPr>
      <w:r>
        <w:rPr>
          <w:rFonts w:hint="eastAsia" w:ascii="仿宋_GB2312" w:hAnsi="宋体" w:eastAsia="仿宋_GB2312"/>
          <w:sz w:val="24"/>
          <w:szCs w:val="24"/>
        </w:rPr>
        <w:t>1.交货时包装应符合采购文件或合同要求，货物随箱资料、质量证明文件齐全，应与货物同步交付，不接受包装物上货物原始出厂信息损失或人为破坏不能检索、扫描、验证来源与品质的货物。</w:t>
      </w:r>
    </w:p>
    <w:p>
      <w:pPr>
        <w:autoSpaceDE w:val="0"/>
        <w:autoSpaceDN w:val="0"/>
        <w:spacing w:line="600" w:lineRule="exact"/>
        <w:contextualSpacing/>
        <w:jc w:val="left"/>
        <w:textAlignment w:val="bottom"/>
        <w:rPr>
          <w:rFonts w:ascii="仿宋_GB2312" w:hAnsi="宋体" w:eastAsia="仿宋_GB2312"/>
          <w:sz w:val="24"/>
          <w:szCs w:val="24"/>
        </w:rPr>
      </w:pPr>
      <w:r>
        <w:rPr>
          <w:rFonts w:hint="eastAsia" w:ascii="仿宋_GB2312" w:hAnsi="宋体" w:eastAsia="仿宋_GB2312"/>
          <w:sz w:val="24"/>
          <w:szCs w:val="24"/>
        </w:rPr>
        <w:t>2.除非采购文件对交货地点有特殊要求的，供应商按交货期将合同货物全部运到华能国际电力股份有限公司德州电厂物资站仓库（地址：山东省德州市东风西路1868号）。特殊货物双方协商或按合同约定执行。</w:t>
      </w:r>
    </w:p>
    <w:p>
      <w:pPr>
        <w:autoSpaceDE w:val="0"/>
        <w:autoSpaceDN w:val="0"/>
        <w:spacing w:line="600" w:lineRule="exact"/>
        <w:contextualSpacing/>
        <w:jc w:val="left"/>
        <w:textAlignment w:val="bottom"/>
        <w:rPr>
          <w:rFonts w:ascii="仿宋_GB2312" w:hAnsi="宋体" w:eastAsia="仿宋_GB2312"/>
          <w:sz w:val="24"/>
          <w:szCs w:val="24"/>
        </w:rPr>
      </w:pPr>
      <w:r>
        <w:rPr>
          <w:rFonts w:hint="eastAsia" w:ascii="仿宋_GB2312" w:hAnsi="宋体" w:eastAsia="仿宋_GB2312"/>
          <w:sz w:val="24"/>
          <w:szCs w:val="24"/>
        </w:rPr>
        <w:t>3.供应商应对因供应商原因不能到场开箱验收货物验收结果负责，包括运输过程中的损伤、损坏、损失。经初步验收合格，取得验收凭证后，供应商方可开具发票，履行后续付款手续。</w:t>
      </w:r>
    </w:p>
    <w:p>
      <w:pPr>
        <w:autoSpaceDE w:val="0"/>
        <w:autoSpaceDN w:val="0"/>
        <w:spacing w:line="600" w:lineRule="exact"/>
        <w:contextualSpacing/>
        <w:jc w:val="left"/>
        <w:textAlignment w:val="bottom"/>
        <w:rPr>
          <w:rFonts w:ascii="仿宋_GB2312" w:hAnsi="宋体" w:eastAsia="仿宋_GB2312"/>
          <w:sz w:val="24"/>
          <w:szCs w:val="24"/>
        </w:rPr>
      </w:pPr>
      <w:r>
        <w:rPr>
          <w:rFonts w:hint="eastAsia" w:ascii="仿宋_GB2312" w:hAnsi="宋体" w:eastAsia="仿宋_GB2312"/>
          <w:sz w:val="24"/>
          <w:szCs w:val="24"/>
        </w:rPr>
        <w:t>4.定尺产品，供应商自行切割后交货的视为不合格产品。同一批同一品种货物交货规格、品质、厂商不一视为不合格产品。随意改变或加大交货规格尺寸，即使货物品质相同，但单位包装规格不符合要求视为不合格产品。</w:t>
      </w:r>
    </w:p>
    <w:p>
      <w:pPr>
        <w:autoSpaceDE w:val="0"/>
        <w:autoSpaceDN w:val="0"/>
        <w:spacing w:line="600" w:lineRule="exact"/>
        <w:contextualSpacing/>
        <w:jc w:val="left"/>
        <w:textAlignment w:val="bottom"/>
        <w:rPr>
          <w:rFonts w:ascii="仿宋_GB2312" w:hAnsi="宋体" w:eastAsia="仿宋_GB2312"/>
          <w:sz w:val="24"/>
          <w:szCs w:val="24"/>
        </w:rPr>
      </w:pPr>
      <w:r>
        <w:rPr>
          <w:rFonts w:hint="eastAsia" w:ascii="仿宋_GB2312" w:hAnsi="宋体" w:eastAsia="仿宋_GB2312"/>
          <w:sz w:val="24"/>
          <w:szCs w:val="24"/>
        </w:rPr>
        <w:t>5.须检斤过磅货物，入库须提供检斤过磅凭证原件，需到厂化验检验的产品须提供化验单原件。</w:t>
      </w:r>
    </w:p>
    <w:p>
      <w:pPr>
        <w:autoSpaceDE w:val="0"/>
        <w:autoSpaceDN w:val="0"/>
        <w:spacing w:line="600" w:lineRule="exact"/>
        <w:contextualSpacing/>
        <w:jc w:val="left"/>
        <w:textAlignment w:val="bottom"/>
        <w:rPr>
          <w:rFonts w:ascii="仿宋_GB2312" w:hAnsi="宋体" w:eastAsia="仿宋_GB2312"/>
          <w:sz w:val="24"/>
          <w:szCs w:val="24"/>
        </w:rPr>
      </w:pPr>
      <w:r>
        <w:rPr>
          <w:rFonts w:hint="eastAsia" w:ascii="仿宋_GB2312" w:hAnsi="宋体" w:eastAsia="仿宋_GB2312"/>
          <w:sz w:val="24"/>
          <w:szCs w:val="24"/>
        </w:rPr>
        <w:t>6.供应商应根据采购文件有明确要求的条款负责特殊货物的接卸。</w:t>
      </w:r>
    </w:p>
    <w:p>
      <w:pPr>
        <w:autoSpaceDE w:val="0"/>
        <w:autoSpaceDN w:val="0"/>
        <w:spacing w:line="600" w:lineRule="exact"/>
        <w:contextualSpacing/>
        <w:jc w:val="left"/>
        <w:textAlignment w:val="bottom"/>
        <w:rPr>
          <w:rFonts w:ascii="仿宋_GB2312" w:hAnsi="宋体" w:eastAsia="仿宋_GB2312"/>
          <w:sz w:val="24"/>
          <w:szCs w:val="24"/>
        </w:rPr>
      </w:pPr>
      <w:r>
        <w:rPr>
          <w:rFonts w:hint="eastAsia" w:ascii="仿宋_GB2312" w:hAnsi="宋体" w:eastAsia="仿宋_GB2312"/>
          <w:sz w:val="24"/>
          <w:szCs w:val="24"/>
        </w:rPr>
        <w:t>7.送货车辆须满足国五以上排放标准。</w:t>
      </w:r>
    </w:p>
    <w:p>
      <w:pPr>
        <w:autoSpaceDE w:val="0"/>
        <w:autoSpaceDN w:val="0"/>
        <w:spacing w:line="600" w:lineRule="exact"/>
        <w:contextualSpacing/>
        <w:jc w:val="left"/>
        <w:textAlignment w:val="bottom"/>
        <w:rPr>
          <w:rFonts w:ascii="仿宋_GB2312" w:hAnsi="宋体" w:eastAsia="仿宋_GB2312"/>
          <w:sz w:val="24"/>
          <w:szCs w:val="24"/>
        </w:rPr>
      </w:pPr>
      <w:r>
        <w:rPr>
          <w:rFonts w:hint="eastAsia" w:ascii="仿宋_GB2312" w:hAnsi="宋体" w:eastAsia="仿宋_GB2312"/>
          <w:sz w:val="24"/>
          <w:szCs w:val="24"/>
        </w:rPr>
        <w:t>8.供应商委托物流公司交货的，供应商及其委托的物流公司对物流公司送货人员进厂后的行为负责。</w:t>
      </w:r>
    </w:p>
    <w:p>
      <w:pPr>
        <w:spacing w:line="600" w:lineRule="exact"/>
        <w:contextualSpacing/>
        <w:jc w:val="left"/>
        <w:rPr>
          <w:rFonts w:ascii="仿宋_GB2312" w:hAnsi="黑体" w:eastAsia="仿宋_GB2312"/>
          <w:b/>
          <w:sz w:val="24"/>
          <w:szCs w:val="24"/>
        </w:rPr>
      </w:pPr>
      <w:r>
        <w:rPr>
          <w:rFonts w:hint="eastAsia" w:ascii="仿宋_GB2312" w:hAnsi="黑体" w:eastAsia="仿宋_GB2312"/>
          <w:b/>
          <w:sz w:val="24"/>
          <w:szCs w:val="24"/>
        </w:rPr>
        <w:t>五、供应商的质量责任</w:t>
      </w:r>
    </w:p>
    <w:p>
      <w:pPr>
        <w:spacing w:line="600" w:lineRule="exact"/>
        <w:contextualSpacing/>
        <w:jc w:val="left"/>
        <w:rPr>
          <w:rFonts w:ascii="仿宋_GB2312" w:hAnsi="宋体" w:eastAsia="仿宋_GB2312"/>
          <w:sz w:val="24"/>
          <w:szCs w:val="24"/>
        </w:rPr>
      </w:pPr>
      <w:r>
        <w:rPr>
          <w:rFonts w:hint="eastAsia" w:ascii="仿宋_GB2312" w:hAnsi="宋体" w:eastAsia="仿宋_GB2312"/>
          <w:sz w:val="24"/>
          <w:szCs w:val="24"/>
        </w:rPr>
        <w:t>1.供应商应提供优质货物，杜绝假冒伪劣。</w:t>
      </w:r>
    </w:p>
    <w:p>
      <w:pPr>
        <w:spacing w:line="600" w:lineRule="exact"/>
        <w:contextualSpacing/>
        <w:jc w:val="left"/>
        <w:rPr>
          <w:rFonts w:ascii="仿宋_GB2312" w:hAnsi="宋体" w:eastAsia="仿宋_GB2312"/>
          <w:sz w:val="24"/>
          <w:szCs w:val="24"/>
        </w:rPr>
      </w:pPr>
      <w:r>
        <w:rPr>
          <w:rFonts w:hint="eastAsia" w:ascii="仿宋_GB2312" w:hAnsi="宋体" w:eastAsia="仿宋_GB2312"/>
          <w:sz w:val="24"/>
          <w:szCs w:val="24"/>
        </w:rPr>
        <w:t>2.采购文件对质保期有明确要求的按要求执行，无明确要求的质保期一年，且不能低于国家相关规定。</w:t>
      </w:r>
    </w:p>
    <w:p>
      <w:pPr>
        <w:spacing w:line="600" w:lineRule="exact"/>
        <w:contextualSpacing/>
        <w:jc w:val="left"/>
        <w:rPr>
          <w:rFonts w:ascii="仿宋_GB2312" w:hAnsi="宋体" w:eastAsia="仿宋_GB2312"/>
          <w:sz w:val="24"/>
          <w:szCs w:val="24"/>
        </w:rPr>
      </w:pPr>
      <w:r>
        <w:rPr>
          <w:rFonts w:hint="eastAsia" w:ascii="仿宋_GB2312" w:hAnsi="宋体" w:eastAsia="仿宋_GB2312"/>
          <w:sz w:val="24"/>
          <w:szCs w:val="24"/>
        </w:rPr>
        <w:t>3.质保期内产品出现质量问题，供应商负有免费更换、维护、退货的责任和义务，采购方有权选择终止合同、退换货处理方式。</w:t>
      </w:r>
    </w:p>
    <w:p>
      <w:pPr>
        <w:spacing w:line="600" w:lineRule="exact"/>
        <w:contextualSpacing/>
        <w:jc w:val="left"/>
        <w:rPr>
          <w:rFonts w:ascii="仿宋_GB2312" w:hAnsi="宋体" w:eastAsia="仿宋_GB2312"/>
          <w:sz w:val="24"/>
          <w:szCs w:val="24"/>
        </w:rPr>
      </w:pPr>
      <w:r>
        <w:rPr>
          <w:rFonts w:hint="eastAsia" w:ascii="仿宋_GB2312" w:hAnsi="宋体" w:eastAsia="仿宋_GB2312"/>
          <w:sz w:val="24"/>
          <w:szCs w:val="24"/>
        </w:rPr>
        <w:t>4.关于质保期与质量责任。留有质保金的项目办理支付质保金不代表撤销质量责任。无论是否出质保期，货物寿命期内因产品质量原因造成的重大损失、生产事故，供应商仍负有相关责任。</w:t>
      </w:r>
    </w:p>
    <w:p>
      <w:pPr>
        <w:spacing w:line="600" w:lineRule="exact"/>
        <w:contextualSpacing/>
        <w:jc w:val="left"/>
        <w:rPr>
          <w:rFonts w:ascii="仿宋_GB2312" w:hAnsi="黑体" w:eastAsia="仿宋_GB2312"/>
          <w:b/>
          <w:sz w:val="24"/>
          <w:szCs w:val="24"/>
        </w:rPr>
      </w:pPr>
      <w:r>
        <w:rPr>
          <w:rFonts w:hint="eastAsia" w:ascii="仿宋_GB2312" w:hAnsi="黑体" w:eastAsia="仿宋_GB2312"/>
          <w:b/>
          <w:sz w:val="24"/>
          <w:szCs w:val="24"/>
        </w:rPr>
        <w:t>六、常见供应商不良行为</w:t>
      </w:r>
    </w:p>
    <w:p>
      <w:pPr>
        <w:spacing w:line="600" w:lineRule="exact"/>
        <w:contextualSpacing/>
        <w:jc w:val="left"/>
        <w:rPr>
          <w:rFonts w:ascii="仿宋_GB2312" w:hAnsi="宋体" w:eastAsia="仿宋_GB2312"/>
          <w:sz w:val="24"/>
          <w:szCs w:val="24"/>
        </w:rPr>
      </w:pPr>
      <w:r>
        <w:rPr>
          <w:rFonts w:hint="eastAsia" w:ascii="仿宋_GB2312" w:hAnsi="宋体" w:eastAsia="仿宋_GB2312"/>
          <w:sz w:val="24"/>
          <w:szCs w:val="24"/>
        </w:rPr>
        <w:t>1.提供虚假采购材料的。</w:t>
      </w:r>
    </w:p>
    <w:p>
      <w:pPr>
        <w:spacing w:line="600" w:lineRule="exact"/>
        <w:contextualSpacing/>
        <w:jc w:val="left"/>
        <w:rPr>
          <w:rFonts w:ascii="仿宋_GB2312" w:hAnsi="宋体" w:eastAsia="仿宋_GB2312"/>
          <w:sz w:val="24"/>
          <w:szCs w:val="24"/>
        </w:rPr>
      </w:pPr>
      <w:r>
        <w:rPr>
          <w:rFonts w:hint="eastAsia" w:ascii="仿宋_GB2312" w:hAnsi="宋体" w:eastAsia="仿宋_GB2312"/>
          <w:sz w:val="24"/>
          <w:szCs w:val="24"/>
        </w:rPr>
        <w:t>2.中标后不签订合同、不能履约。</w:t>
      </w:r>
    </w:p>
    <w:p>
      <w:pPr>
        <w:spacing w:line="600" w:lineRule="exact"/>
        <w:contextualSpacing/>
        <w:jc w:val="left"/>
        <w:rPr>
          <w:rFonts w:ascii="仿宋_GB2312" w:hAnsi="宋体" w:eastAsia="仿宋_GB2312"/>
          <w:sz w:val="24"/>
          <w:szCs w:val="24"/>
        </w:rPr>
      </w:pPr>
      <w:r>
        <w:rPr>
          <w:rFonts w:hint="eastAsia" w:ascii="仿宋_GB2312" w:hAnsi="宋体" w:eastAsia="仿宋_GB2312"/>
          <w:sz w:val="24"/>
          <w:szCs w:val="24"/>
        </w:rPr>
        <w:t>3.不能按时交货、提供劣质产品或验收不合格者。</w:t>
      </w:r>
    </w:p>
    <w:p>
      <w:pPr>
        <w:spacing w:line="600" w:lineRule="exact"/>
        <w:contextualSpacing/>
        <w:jc w:val="left"/>
        <w:rPr>
          <w:rFonts w:ascii="仿宋_GB2312" w:hAnsi="宋体" w:eastAsia="仿宋_GB2312"/>
          <w:sz w:val="24"/>
          <w:szCs w:val="24"/>
        </w:rPr>
      </w:pPr>
      <w:r>
        <w:rPr>
          <w:rFonts w:hint="eastAsia" w:ascii="仿宋_GB2312" w:hAnsi="宋体" w:eastAsia="仿宋_GB2312"/>
          <w:sz w:val="24"/>
          <w:szCs w:val="24"/>
        </w:rPr>
        <w:t>4.提供的产品出现重大质量问题的。</w:t>
      </w:r>
    </w:p>
    <w:p>
      <w:pPr>
        <w:spacing w:line="600" w:lineRule="exact"/>
        <w:contextualSpacing/>
        <w:jc w:val="left"/>
        <w:rPr>
          <w:rFonts w:ascii="仿宋_GB2312" w:hAnsi="宋体" w:eastAsia="仿宋_GB2312"/>
          <w:sz w:val="24"/>
          <w:szCs w:val="24"/>
        </w:rPr>
      </w:pPr>
      <w:r>
        <w:rPr>
          <w:rFonts w:hint="eastAsia" w:ascii="仿宋_GB2312" w:hAnsi="宋体" w:eastAsia="仿宋_GB2312"/>
          <w:sz w:val="24"/>
          <w:szCs w:val="24"/>
        </w:rPr>
        <w:t>5.不能按采购文件要求提供售后服务的。</w:t>
      </w:r>
    </w:p>
    <w:p>
      <w:pPr>
        <w:spacing w:line="600" w:lineRule="exact"/>
        <w:contextualSpacing/>
        <w:jc w:val="left"/>
        <w:rPr>
          <w:rFonts w:ascii="仿宋_GB2312" w:hAnsi="宋体" w:eastAsia="仿宋_GB2312"/>
          <w:sz w:val="24"/>
          <w:szCs w:val="24"/>
        </w:rPr>
      </w:pPr>
      <w:r>
        <w:rPr>
          <w:rFonts w:hint="eastAsia" w:ascii="仿宋_GB2312" w:hAnsi="宋体" w:eastAsia="仿宋_GB2312"/>
          <w:sz w:val="24"/>
          <w:szCs w:val="24"/>
        </w:rPr>
        <w:t>6.采用不正当手段诋毁、排挤其他供应商的。</w:t>
      </w:r>
    </w:p>
    <w:p>
      <w:pPr>
        <w:spacing w:line="600" w:lineRule="exact"/>
        <w:contextualSpacing/>
        <w:jc w:val="left"/>
        <w:rPr>
          <w:rFonts w:ascii="仿宋_GB2312" w:hAnsi="宋体" w:eastAsia="仿宋_GB2312"/>
          <w:sz w:val="24"/>
          <w:szCs w:val="24"/>
        </w:rPr>
      </w:pPr>
      <w:r>
        <w:rPr>
          <w:rFonts w:hint="eastAsia" w:ascii="仿宋_GB2312" w:hAnsi="宋体" w:eastAsia="仿宋_GB2312"/>
          <w:sz w:val="24"/>
          <w:szCs w:val="24"/>
        </w:rPr>
        <w:t>7.向采购从业人员行贿或者提供其他不正当利益的。</w:t>
      </w:r>
    </w:p>
    <w:p>
      <w:pPr>
        <w:spacing w:line="600" w:lineRule="exact"/>
        <w:contextualSpacing/>
        <w:jc w:val="left"/>
        <w:rPr>
          <w:rFonts w:ascii="仿宋_GB2312" w:hAnsi="宋体" w:eastAsia="仿宋_GB2312"/>
          <w:sz w:val="24"/>
          <w:szCs w:val="24"/>
        </w:rPr>
      </w:pPr>
      <w:r>
        <w:rPr>
          <w:rFonts w:hint="eastAsia" w:ascii="仿宋_GB2312" w:hAnsi="宋体" w:eastAsia="仿宋_GB2312"/>
          <w:sz w:val="24"/>
          <w:szCs w:val="24"/>
        </w:rPr>
        <w:t>8.其他违反法律、法规和相关规章制度的行为。</w:t>
      </w:r>
    </w:p>
    <w:p>
      <w:pPr>
        <w:spacing w:line="600" w:lineRule="exact"/>
        <w:ind w:right="799"/>
        <w:contextualSpacing/>
        <w:jc w:val="left"/>
        <w:rPr>
          <w:rFonts w:ascii="仿宋_GB2312" w:hAnsi="黑体" w:eastAsia="仿宋_GB2312"/>
          <w:b/>
          <w:sz w:val="24"/>
          <w:szCs w:val="24"/>
        </w:rPr>
      </w:pPr>
      <w:r>
        <w:rPr>
          <w:rFonts w:hint="eastAsia" w:ascii="仿宋_GB2312" w:hAnsi="黑体" w:eastAsia="仿宋_GB2312"/>
          <w:b/>
          <w:sz w:val="24"/>
          <w:szCs w:val="24"/>
        </w:rPr>
        <w:t>七、供应商不良行为的处罚措施（部分）</w:t>
      </w:r>
    </w:p>
    <w:p>
      <w:pPr>
        <w:tabs>
          <w:tab w:val="left" w:pos="1418"/>
        </w:tabs>
        <w:spacing w:line="600" w:lineRule="exact"/>
        <w:contextualSpacing/>
        <w:jc w:val="left"/>
        <w:rPr>
          <w:rFonts w:ascii="仿宋_GB2312" w:hAnsi="宋体" w:eastAsia="仿宋_GB2312"/>
          <w:sz w:val="24"/>
          <w:szCs w:val="24"/>
        </w:rPr>
      </w:pPr>
      <w:r>
        <w:rPr>
          <w:rFonts w:hint="eastAsia" w:ascii="仿宋_GB2312" w:hAnsi="宋体" w:eastAsia="仿宋_GB2312"/>
          <w:sz w:val="24"/>
          <w:szCs w:val="24"/>
        </w:rPr>
        <w:t>1.出现一般不良行为的，年度综合评价结果等级直接降到“C”等，暂停参与我厂所有的采购业务权限，暂停期为 3 个月。</w:t>
      </w:r>
    </w:p>
    <w:p>
      <w:pPr>
        <w:tabs>
          <w:tab w:val="left" w:pos="1418"/>
        </w:tabs>
        <w:spacing w:line="600" w:lineRule="exact"/>
        <w:contextualSpacing/>
        <w:jc w:val="left"/>
        <w:rPr>
          <w:rFonts w:ascii="仿宋_GB2312" w:hAnsi="宋体" w:eastAsia="仿宋_GB2312"/>
          <w:sz w:val="24"/>
          <w:szCs w:val="24"/>
        </w:rPr>
      </w:pPr>
      <w:r>
        <w:rPr>
          <w:rFonts w:hint="eastAsia" w:ascii="仿宋_GB2312" w:hAnsi="宋体" w:eastAsia="仿宋_GB2312"/>
          <w:sz w:val="24"/>
          <w:szCs w:val="24"/>
        </w:rPr>
        <w:t>2.出现较为严重不良行为的，年度综合评价结果等级直接降到 D 级，暂停参与我厂所有的采购业务权限，暂停期为一年。</w:t>
      </w:r>
    </w:p>
    <w:p>
      <w:pPr>
        <w:tabs>
          <w:tab w:val="left" w:pos="1418"/>
        </w:tabs>
        <w:spacing w:line="600" w:lineRule="exact"/>
        <w:contextualSpacing/>
        <w:jc w:val="left"/>
        <w:rPr>
          <w:rFonts w:hint="eastAsia" w:ascii="仿宋_GB2312" w:hAnsi="宋体" w:eastAsia="仿宋_GB2312"/>
          <w:sz w:val="24"/>
          <w:szCs w:val="24"/>
        </w:rPr>
      </w:pPr>
      <w:r>
        <w:rPr>
          <w:rFonts w:hint="eastAsia" w:ascii="仿宋_GB2312" w:hAnsi="宋体" w:eastAsia="仿宋_GB2312"/>
          <w:sz w:val="24"/>
          <w:szCs w:val="24"/>
        </w:rPr>
        <w:t>3.出现严重不良行为的，停止合作两年：停止供应商参与我厂所有的采购业务权限，从供应商库中剔除，并且两年之内不得重新申请进入供应商库。</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2E1"/>
    <w:rsid w:val="000052B2"/>
    <w:rsid w:val="00065BA9"/>
    <w:rsid w:val="00081AC1"/>
    <w:rsid w:val="000A23CD"/>
    <w:rsid w:val="000B3EFD"/>
    <w:rsid w:val="000C0A1A"/>
    <w:rsid w:val="001009B2"/>
    <w:rsid w:val="00112ABB"/>
    <w:rsid w:val="00163CB9"/>
    <w:rsid w:val="00171142"/>
    <w:rsid w:val="00181A74"/>
    <w:rsid w:val="00181E57"/>
    <w:rsid w:val="001910CE"/>
    <w:rsid w:val="001A4DCE"/>
    <w:rsid w:val="001A55C4"/>
    <w:rsid w:val="001B10A1"/>
    <w:rsid w:val="001B11E5"/>
    <w:rsid w:val="001C1492"/>
    <w:rsid w:val="001D29C2"/>
    <w:rsid w:val="001E26CD"/>
    <w:rsid w:val="001E2FC2"/>
    <w:rsid w:val="001F0AF1"/>
    <w:rsid w:val="00201ADF"/>
    <w:rsid w:val="002068EE"/>
    <w:rsid w:val="002155C0"/>
    <w:rsid w:val="0021569B"/>
    <w:rsid w:val="00217283"/>
    <w:rsid w:val="00220FBF"/>
    <w:rsid w:val="002214D2"/>
    <w:rsid w:val="002526AC"/>
    <w:rsid w:val="002571B8"/>
    <w:rsid w:val="0026094F"/>
    <w:rsid w:val="00282D45"/>
    <w:rsid w:val="00283DAA"/>
    <w:rsid w:val="00286DFB"/>
    <w:rsid w:val="00292881"/>
    <w:rsid w:val="00297AD7"/>
    <w:rsid w:val="002B1854"/>
    <w:rsid w:val="002D1DE3"/>
    <w:rsid w:val="002D4689"/>
    <w:rsid w:val="002F412F"/>
    <w:rsid w:val="0031272E"/>
    <w:rsid w:val="00313D80"/>
    <w:rsid w:val="0031400C"/>
    <w:rsid w:val="00333496"/>
    <w:rsid w:val="003A5E8F"/>
    <w:rsid w:val="003C1BF1"/>
    <w:rsid w:val="003D49F0"/>
    <w:rsid w:val="003F022C"/>
    <w:rsid w:val="00404623"/>
    <w:rsid w:val="00420268"/>
    <w:rsid w:val="00423DD9"/>
    <w:rsid w:val="0043052C"/>
    <w:rsid w:val="0043312A"/>
    <w:rsid w:val="00433DC1"/>
    <w:rsid w:val="00454DC7"/>
    <w:rsid w:val="00492A2A"/>
    <w:rsid w:val="00497569"/>
    <w:rsid w:val="004A6A61"/>
    <w:rsid w:val="004C5AAF"/>
    <w:rsid w:val="004D0289"/>
    <w:rsid w:val="004F38C4"/>
    <w:rsid w:val="00500C92"/>
    <w:rsid w:val="00514412"/>
    <w:rsid w:val="005157A1"/>
    <w:rsid w:val="00525487"/>
    <w:rsid w:val="005408D4"/>
    <w:rsid w:val="005456F6"/>
    <w:rsid w:val="0054795F"/>
    <w:rsid w:val="005620EA"/>
    <w:rsid w:val="0056346B"/>
    <w:rsid w:val="00576FF1"/>
    <w:rsid w:val="005939FA"/>
    <w:rsid w:val="005A00DE"/>
    <w:rsid w:val="005C0E6B"/>
    <w:rsid w:val="005C1E4E"/>
    <w:rsid w:val="005D0787"/>
    <w:rsid w:val="005D6BB0"/>
    <w:rsid w:val="005F11DF"/>
    <w:rsid w:val="006141EC"/>
    <w:rsid w:val="00615DBD"/>
    <w:rsid w:val="00652F3E"/>
    <w:rsid w:val="00657CE7"/>
    <w:rsid w:val="006678C3"/>
    <w:rsid w:val="00676CB8"/>
    <w:rsid w:val="00695A7F"/>
    <w:rsid w:val="006A3345"/>
    <w:rsid w:val="006A34D2"/>
    <w:rsid w:val="006A5528"/>
    <w:rsid w:val="006C0742"/>
    <w:rsid w:val="006C433A"/>
    <w:rsid w:val="006F7AFF"/>
    <w:rsid w:val="006F7D6E"/>
    <w:rsid w:val="00705A03"/>
    <w:rsid w:val="00712368"/>
    <w:rsid w:val="00713489"/>
    <w:rsid w:val="00713785"/>
    <w:rsid w:val="007151F9"/>
    <w:rsid w:val="00721D22"/>
    <w:rsid w:val="007327AD"/>
    <w:rsid w:val="007332B0"/>
    <w:rsid w:val="0074354F"/>
    <w:rsid w:val="00746A4A"/>
    <w:rsid w:val="007515F8"/>
    <w:rsid w:val="00752BDF"/>
    <w:rsid w:val="0075706C"/>
    <w:rsid w:val="00773AA3"/>
    <w:rsid w:val="007B4F05"/>
    <w:rsid w:val="008016A6"/>
    <w:rsid w:val="00821563"/>
    <w:rsid w:val="0083391C"/>
    <w:rsid w:val="00837DF6"/>
    <w:rsid w:val="00850E30"/>
    <w:rsid w:val="008944A1"/>
    <w:rsid w:val="00896E05"/>
    <w:rsid w:val="008C2CC5"/>
    <w:rsid w:val="008D2158"/>
    <w:rsid w:val="008E6EFF"/>
    <w:rsid w:val="00900039"/>
    <w:rsid w:val="00913252"/>
    <w:rsid w:val="009455BA"/>
    <w:rsid w:val="00946B3A"/>
    <w:rsid w:val="00963BA0"/>
    <w:rsid w:val="0096750E"/>
    <w:rsid w:val="00976444"/>
    <w:rsid w:val="0099657E"/>
    <w:rsid w:val="009C03A5"/>
    <w:rsid w:val="009E76CE"/>
    <w:rsid w:val="00A00E3D"/>
    <w:rsid w:val="00A359E1"/>
    <w:rsid w:val="00A5328E"/>
    <w:rsid w:val="00A567ED"/>
    <w:rsid w:val="00A60FD3"/>
    <w:rsid w:val="00A65F65"/>
    <w:rsid w:val="00A9190D"/>
    <w:rsid w:val="00A96651"/>
    <w:rsid w:val="00AB2A3D"/>
    <w:rsid w:val="00AC6900"/>
    <w:rsid w:val="00AE1970"/>
    <w:rsid w:val="00AE67C6"/>
    <w:rsid w:val="00AF2AA9"/>
    <w:rsid w:val="00B13D81"/>
    <w:rsid w:val="00B22BE7"/>
    <w:rsid w:val="00B24AF0"/>
    <w:rsid w:val="00B46667"/>
    <w:rsid w:val="00B709A3"/>
    <w:rsid w:val="00BE7259"/>
    <w:rsid w:val="00C031F1"/>
    <w:rsid w:val="00C07012"/>
    <w:rsid w:val="00C102E1"/>
    <w:rsid w:val="00C11F54"/>
    <w:rsid w:val="00C148D8"/>
    <w:rsid w:val="00C15FF9"/>
    <w:rsid w:val="00C15FFF"/>
    <w:rsid w:val="00C343DF"/>
    <w:rsid w:val="00C50B55"/>
    <w:rsid w:val="00C55A97"/>
    <w:rsid w:val="00C83B31"/>
    <w:rsid w:val="00C97846"/>
    <w:rsid w:val="00CA0EB3"/>
    <w:rsid w:val="00CB1AAB"/>
    <w:rsid w:val="00CB695E"/>
    <w:rsid w:val="00CD3885"/>
    <w:rsid w:val="00CF34B9"/>
    <w:rsid w:val="00D127C4"/>
    <w:rsid w:val="00D16EDF"/>
    <w:rsid w:val="00D34495"/>
    <w:rsid w:val="00D35FCE"/>
    <w:rsid w:val="00D4604D"/>
    <w:rsid w:val="00D52AE5"/>
    <w:rsid w:val="00D611E6"/>
    <w:rsid w:val="00D62CB9"/>
    <w:rsid w:val="00D77553"/>
    <w:rsid w:val="00D84C51"/>
    <w:rsid w:val="00D87CDC"/>
    <w:rsid w:val="00D94D5B"/>
    <w:rsid w:val="00DB47A6"/>
    <w:rsid w:val="00DC1E3C"/>
    <w:rsid w:val="00DD676F"/>
    <w:rsid w:val="00DE6269"/>
    <w:rsid w:val="00E34DD5"/>
    <w:rsid w:val="00E420C6"/>
    <w:rsid w:val="00E854F8"/>
    <w:rsid w:val="00E956AD"/>
    <w:rsid w:val="00EA118A"/>
    <w:rsid w:val="00EA3683"/>
    <w:rsid w:val="00EB06BB"/>
    <w:rsid w:val="00EC15C0"/>
    <w:rsid w:val="00EC69ED"/>
    <w:rsid w:val="00ED77D9"/>
    <w:rsid w:val="00EE4E26"/>
    <w:rsid w:val="00F06D2A"/>
    <w:rsid w:val="00F071C6"/>
    <w:rsid w:val="00F20700"/>
    <w:rsid w:val="00F5722A"/>
    <w:rsid w:val="00F62489"/>
    <w:rsid w:val="00F7334D"/>
    <w:rsid w:val="00F830BD"/>
    <w:rsid w:val="00F857C7"/>
    <w:rsid w:val="00F97D7F"/>
    <w:rsid w:val="00FB5A48"/>
    <w:rsid w:val="00FB6207"/>
    <w:rsid w:val="00FD4BA3"/>
    <w:rsid w:val="00FE00DE"/>
    <w:rsid w:val="00FE22AB"/>
    <w:rsid w:val="00FE4F54"/>
    <w:rsid w:val="0106544C"/>
    <w:rsid w:val="014000C1"/>
    <w:rsid w:val="059A73BF"/>
    <w:rsid w:val="05CF3CE2"/>
    <w:rsid w:val="0B0C5BBC"/>
    <w:rsid w:val="131E2216"/>
    <w:rsid w:val="17522F1A"/>
    <w:rsid w:val="23C27E3A"/>
    <w:rsid w:val="25B548BF"/>
    <w:rsid w:val="2B7E21F3"/>
    <w:rsid w:val="2D317AB2"/>
    <w:rsid w:val="30F507D7"/>
    <w:rsid w:val="33ED7B40"/>
    <w:rsid w:val="370B716D"/>
    <w:rsid w:val="44734A5C"/>
    <w:rsid w:val="463B1D11"/>
    <w:rsid w:val="47CD0F5B"/>
    <w:rsid w:val="4F8A189B"/>
    <w:rsid w:val="60CB5EC9"/>
    <w:rsid w:val="63531402"/>
    <w:rsid w:val="674D774A"/>
    <w:rsid w:val="7684397E"/>
    <w:rsid w:val="77C7756E"/>
    <w:rsid w:val="7D407B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spacing w:line="360" w:lineRule="auto"/>
      <w:jc w:val="left"/>
      <w:outlineLvl w:val="3"/>
    </w:pPr>
    <w:rPr>
      <w:rFonts w:ascii="Cambria" w:hAnsi="Cambria" w:eastAsia="黑体"/>
      <w:bCs/>
      <w:szCs w:val="28"/>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表段落1"/>
    <w:basedOn w:val="1"/>
    <w:qFormat/>
    <w:uiPriority w:val="34"/>
    <w:pPr>
      <w:ind w:firstLine="420" w:firstLineChars="200"/>
    </w:pPr>
  </w:style>
  <w:style w:type="paragraph" w:customStyle="1" w:styleId="8">
    <w:name w:val="无间隔1"/>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9">
    <w:name w:val="fom_txt lang_txt"/>
    <w:basedOn w:val="6"/>
    <w:uiPriority w:val="0"/>
  </w:style>
  <w:style w:type="character" w:customStyle="1" w:styleId="10">
    <w:name w:val="页眉 字符"/>
    <w:link w:val="4"/>
    <w:semiHidden/>
    <w:qFormat/>
    <w:uiPriority w:val="99"/>
    <w:rPr>
      <w:rFonts w:ascii="Times New Roman" w:hAnsi="Times New Roman" w:eastAsia="宋体" w:cs="Times New Roman"/>
      <w:sz w:val="18"/>
      <w:szCs w:val="18"/>
    </w:rPr>
  </w:style>
  <w:style w:type="character" w:customStyle="1" w:styleId="11">
    <w:name w:val="页脚 字符"/>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374</Words>
  <Characters>2132</Characters>
  <Lines>17</Lines>
  <Paragraphs>5</Paragraphs>
  <TotalTime>33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2019-09-27T04:39:00Z</dcterms:created>
  <dc:creator>lqing.ht</dc:creator>
  <cp:lastModifiedBy>高玉军</cp:lastModifiedBy>
  <cp:lastPrinted>2020-05-08T11:07:00Z</cp:lastPrinted>
  <dcterms:modified xsi:type="dcterms:W3CDTF">2023-12-12T00:55:38Z</dcterms:modified>
  <dc:title>华能国际电力股份有限公司德州电厂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FA8C3AC4A16A4E1E971553BB572FEDA6</vt:lpwstr>
  </property>
</Properties>
</file>