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64B0D">
      <w:pPr>
        <w:snapToGrid w:val="0"/>
        <w:spacing w:line="360" w:lineRule="auto"/>
        <w:rPr>
          <w:rFonts w:hint="eastAsia" w:ascii="宋体" w:hAnsi="宋体"/>
          <w:caps w:val="0"/>
          <w:color w:val="auto"/>
          <w:spacing w:val="0"/>
          <w:position w:val="0"/>
          <w:sz w:val="24"/>
          <w:highlight w:val="none"/>
          <w:lang w:val="en-US" w:eastAsia="zh-CN"/>
        </w:rPr>
      </w:pPr>
      <w:r>
        <w:rPr>
          <w:rFonts w:hint="eastAsia" w:ascii="宋体" w:hAnsi="宋体"/>
          <w:caps w:val="0"/>
          <w:color w:val="auto"/>
          <w:spacing w:val="0"/>
          <w:position w:val="0"/>
          <w:sz w:val="24"/>
          <w:highlight w:val="none"/>
        </w:rPr>
        <w:t>附件</w:t>
      </w:r>
      <w:r>
        <w:rPr>
          <w:rFonts w:hint="eastAsia" w:ascii="宋体" w:hAnsi="宋体"/>
          <w:caps w:val="0"/>
          <w:color w:val="auto"/>
          <w:spacing w:val="0"/>
          <w:position w:val="0"/>
          <w:sz w:val="24"/>
          <w:highlight w:val="none"/>
          <w:lang w:val="en-US" w:eastAsia="zh-CN"/>
        </w:rPr>
        <w:t>2</w:t>
      </w:r>
      <w:r>
        <w:rPr>
          <w:rFonts w:hint="eastAsia" w:ascii="宋体" w:hAnsi="宋体"/>
          <w:caps w:val="0"/>
          <w:color w:val="auto"/>
          <w:spacing w:val="0"/>
          <w:position w:val="0"/>
          <w:sz w:val="24"/>
          <w:highlight w:val="none"/>
        </w:rPr>
        <w:t>：</w:t>
      </w:r>
      <w:r>
        <w:rPr>
          <w:rFonts w:hint="eastAsia" w:ascii="宋体" w:hAnsi="宋体"/>
          <w:caps w:val="0"/>
          <w:color w:val="auto"/>
          <w:spacing w:val="0"/>
          <w:position w:val="0"/>
          <w:sz w:val="24"/>
          <w:highlight w:val="none"/>
          <w:lang w:val="en-US" w:eastAsia="zh-CN"/>
        </w:rPr>
        <w:t>评标办法</w:t>
      </w:r>
      <w:bookmarkStart w:id="0" w:name="_Toc134792892"/>
      <w:bookmarkStart w:id="1" w:name="_Toc134792341"/>
      <w:bookmarkStart w:id="2" w:name="_Toc134792409"/>
      <w:bookmarkStart w:id="3" w:name="_Toc450319202"/>
      <w:bookmarkStart w:id="4" w:name="_Toc134890444"/>
      <w:bookmarkStart w:id="5" w:name="_Toc134890522"/>
      <w:bookmarkStart w:id="6" w:name="_Toc502992691"/>
      <w:bookmarkStart w:id="7" w:name="_Toc531949857"/>
      <w:bookmarkStart w:id="8" w:name="_Toc509659998"/>
      <w:bookmarkStart w:id="9" w:name="_Toc509660966"/>
      <w:bookmarkStart w:id="10" w:name="_Toc459307890"/>
    </w:p>
    <w:bookmarkEnd w:id="0"/>
    <w:bookmarkEnd w:id="1"/>
    <w:bookmarkEnd w:id="2"/>
    <w:bookmarkEnd w:id="3"/>
    <w:bookmarkEnd w:id="4"/>
    <w:bookmarkEnd w:id="5"/>
    <w:bookmarkEnd w:id="6"/>
    <w:bookmarkEnd w:id="7"/>
    <w:bookmarkEnd w:id="8"/>
    <w:bookmarkEnd w:id="9"/>
    <w:bookmarkEnd w:id="10"/>
    <w:p w14:paraId="0A66A7C6">
      <w:pPr>
        <w:keepNext w:val="0"/>
        <w:keepLines w:val="0"/>
        <w:pageBreakBefore w:val="0"/>
        <w:widowControl w:val="0"/>
        <w:kinsoku/>
        <w:wordWrap/>
        <w:overflowPunct/>
        <w:topLinePunct w:val="0"/>
        <w:autoSpaceDE/>
        <w:autoSpaceDN/>
        <w:bidi w:val="0"/>
        <w:adjustRightInd/>
        <w:snapToGrid w:val="0"/>
        <w:spacing w:line="240" w:lineRule="auto"/>
        <w:jc w:val="center"/>
        <w:rPr>
          <w:b w:val="0"/>
          <w:bCs w:val="0"/>
          <w:color w:val="auto"/>
          <w:sz w:val="28"/>
          <w:szCs w:val="28"/>
          <w:highlight w:val="none"/>
        </w:rPr>
      </w:pPr>
      <w:r>
        <w:rPr>
          <w:b w:val="0"/>
          <w:bCs w:val="0"/>
          <w:color w:val="auto"/>
          <w:sz w:val="28"/>
          <w:szCs w:val="28"/>
          <w:highlight w:val="none"/>
        </w:rPr>
        <w:t>评标办法（综合评估法）</w:t>
      </w:r>
    </w:p>
    <w:p w14:paraId="24B1ED6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b w:val="0"/>
          <w:bCs w:val="0"/>
          <w:color w:val="auto"/>
          <w:sz w:val="28"/>
          <w:szCs w:val="28"/>
          <w:highlight w:val="none"/>
        </w:rPr>
      </w:pPr>
      <w:r>
        <w:rPr>
          <w:b w:val="0"/>
          <w:bCs w:val="0"/>
          <w:color w:val="auto"/>
          <w:sz w:val="28"/>
          <w:szCs w:val="28"/>
          <w:highlight w:val="none"/>
        </w:rPr>
        <w:t>评标办法前附表</w:t>
      </w:r>
    </w:p>
    <w:tbl>
      <w:tblPr>
        <w:tblStyle w:val="6"/>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683"/>
        <w:gridCol w:w="7547"/>
      </w:tblGrid>
      <w:tr w14:paraId="180F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4" w:type="dxa"/>
            <w:vAlign w:val="center"/>
          </w:tcPr>
          <w:p w14:paraId="0F282BDB">
            <w:pPr>
              <w:pageBreakBefore w:val="0"/>
              <w:widowControl w:val="0"/>
              <w:kinsoku/>
              <w:wordWrap/>
              <w:overflowPunct/>
              <w:topLinePunct w:val="0"/>
              <w:bidi w:val="0"/>
              <w:spacing w:line="288" w:lineRule="auto"/>
              <w:jc w:val="center"/>
              <w:textAlignment w:val="baseline"/>
              <w:rPr>
                <w:rFonts w:hint="eastAsia" w:ascii="宋体" w:hAnsi="宋体" w:eastAsia="宋体" w:cs="宋体"/>
                <w:b/>
                <w:bCs/>
                <w:color w:val="auto"/>
                <w:szCs w:val="21"/>
                <w:highlight w:val="none"/>
              </w:rPr>
            </w:pPr>
            <w:r>
              <w:rPr>
                <w:szCs w:val="21"/>
                <w:highlight w:val="none"/>
              </w:rPr>
              <w:t>条款号</w:t>
            </w:r>
          </w:p>
        </w:tc>
        <w:tc>
          <w:tcPr>
            <w:tcW w:w="1683" w:type="dxa"/>
            <w:vAlign w:val="center"/>
          </w:tcPr>
          <w:p w14:paraId="3D8606BD">
            <w:pPr>
              <w:pageBreakBefore w:val="0"/>
              <w:widowControl w:val="0"/>
              <w:kinsoku/>
              <w:wordWrap/>
              <w:overflowPunct/>
              <w:topLinePunct w:val="0"/>
              <w:bidi w:val="0"/>
              <w:spacing w:line="288" w:lineRule="auto"/>
              <w:jc w:val="center"/>
              <w:textAlignment w:val="baseline"/>
              <w:rPr>
                <w:rFonts w:hint="eastAsia" w:ascii="宋体" w:hAnsi="宋体" w:eastAsia="宋体" w:cs="宋体"/>
                <w:b/>
                <w:bCs/>
                <w:color w:val="auto"/>
                <w:szCs w:val="21"/>
                <w:highlight w:val="none"/>
              </w:rPr>
            </w:pPr>
            <w:r>
              <w:rPr>
                <w:szCs w:val="21"/>
                <w:highlight w:val="none"/>
              </w:rPr>
              <w:t>条款名称</w:t>
            </w:r>
          </w:p>
        </w:tc>
        <w:tc>
          <w:tcPr>
            <w:tcW w:w="7547" w:type="dxa"/>
            <w:vAlign w:val="bottom"/>
          </w:tcPr>
          <w:p w14:paraId="1DBE55CC">
            <w:pPr>
              <w:pageBreakBefore w:val="0"/>
              <w:widowControl w:val="0"/>
              <w:kinsoku/>
              <w:wordWrap/>
              <w:overflowPunct/>
              <w:topLinePunct w:val="0"/>
              <w:bidi w:val="0"/>
              <w:spacing w:line="288" w:lineRule="auto"/>
              <w:jc w:val="center"/>
              <w:rPr>
                <w:rFonts w:hint="eastAsia" w:ascii="宋体" w:hAnsi="宋体" w:eastAsia="宋体" w:cs="宋体"/>
                <w:b/>
                <w:bCs/>
                <w:color w:val="auto"/>
                <w:szCs w:val="21"/>
                <w:highlight w:val="none"/>
              </w:rPr>
            </w:pPr>
            <w:r>
              <w:rPr>
                <w:szCs w:val="21"/>
                <w:highlight w:val="none"/>
              </w:rPr>
              <w:t>评审因素与评审标准</w:t>
            </w:r>
          </w:p>
        </w:tc>
      </w:tr>
      <w:tr w14:paraId="3B54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161263E7">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83" w:type="dxa"/>
            <w:vAlign w:val="center"/>
          </w:tcPr>
          <w:p w14:paraId="5A008840">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7547" w:type="dxa"/>
            <w:vAlign w:val="bottom"/>
          </w:tcPr>
          <w:p w14:paraId="3EB6235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本次评标采用综合评估法。评标委员会对满足招标文件实质性要求的投标文件，按照本章第 2.2 款规定的评分标准进行打分，并按综合得分由高到低顺序推荐1-3名中标候选人。综合评分相等时，评标委员会依次按照以下优先顺序推荐中标候选人：</w:t>
            </w:r>
          </w:p>
          <w:p w14:paraId="269F84D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（1）评标价低的投标人优先；</w:t>
            </w:r>
          </w:p>
          <w:p w14:paraId="6379CDC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监理大纲</w:t>
            </w:r>
            <w:r>
              <w:rPr>
                <w:rFonts w:hint="eastAsia" w:ascii="宋体" w:hAnsi="宋体" w:eastAsia="宋体" w:cs="宋体"/>
                <w:color w:val="auto"/>
                <w:highlight w:val="none"/>
              </w:rPr>
              <w:t>得分较高的投标人优先；</w:t>
            </w:r>
          </w:p>
          <w:p w14:paraId="30F3EBF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（3）满足资格审查条件(业绩最低要求)要求的业绩累计合同金额高的优先。</w:t>
            </w:r>
          </w:p>
          <w:p w14:paraId="7E45AB6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综合得分排名第一的投标人与</w:t>
            </w:r>
            <w:r>
              <w:rPr>
                <w:rFonts w:hint="eastAsia" w:ascii="宋体" w:hAnsi="宋体" w:cs="宋体"/>
                <w:color w:val="auto"/>
                <w:highlight w:val="none"/>
                <w:lang w:val="en-US" w:eastAsia="zh-CN"/>
              </w:rPr>
              <w:t>本项目设计采购施工总承包（EPC）第一中标候选人有关联的（指法定代表人为同一人或者存在控股管理关系的），将不再推荐为中标候选人。</w:t>
            </w:r>
          </w:p>
        </w:tc>
      </w:tr>
      <w:tr w14:paraId="5E37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114" w:type="dxa"/>
            <w:vAlign w:val="center"/>
          </w:tcPr>
          <w:p w14:paraId="575C6BB6">
            <w:pPr>
              <w:pageBreakBefore w:val="0"/>
              <w:widowControl w:val="0"/>
              <w:kinsoku/>
              <w:wordWrap/>
              <w:overflowPunct/>
              <w:topLinePunct w:val="0"/>
              <w:bidi w:val="0"/>
              <w:spacing w:line="288" w:lineRule="auto"/>
              <w:jc w:val="center"/>
              <w:textAlignment w:val="baseline"/>
              <w:rPr>
                <w:szCs w:val="21"/>
                <w:highlight w:val="none"/>
              </w:rPr>
            </w:pPr>
            <w:r>
              <w:rPr>
                <w:szCs w:val="21"/>
                <w:highlight w:val="none"/>
              </w:rPr>
              <w:t>2.1.1</w:t>
            </w:r>
          </w:p>
          <w:p w14:paraId="4CCC63E1">
            <w:pPr>
              <w:pageBreakBefore w:val="0"/>
              <w:widowControl w:val="0"/>
              <w:kinsoku/>
              <w:wordWrap/>
              <w:overflowPunct/>
              <w:topLinePunct w:val="0"/>
              <w:bidi w:val="0"/>
              <w:spacing w:line="288" w:lineRule="auto"/>
              <w:jc w:val="center"/>
              <w:textAlignment w:val="baseline"/>
              <w:rPr>
                <w:rFonts w:hint="eastAsia" w:ascii="宋体" w:hAnsi="宋体" w:eastAsia="宋体" w:cs="宋体"/>
                <w:color w:val="auto"/>
                <w:szCs w:val="21"/>
                <w:highlight w:val="none"/>
              </w:rPr>
            </w:pPr>
            <w:r>
              <w:rPr>
                <w:szCs w:val="21"/>
                <w:highlight w:val="none"/>
              </w:rPr>
              <w:t>2.1.3</w:t>
            </w:r>
          </w:p>
        </w:tc>
        <w:tc>
          <w:tcPr>
            <w:tcW w:w="1683" w:type="dxa"/>
            <w:vAlign w:val="center"/>
          </w:tcPr>
          <w:p w14:paraId="50EE6C68">
            <w:pPr>
              <w:pageBreakBefore w:val="0"/>
              <w:widowControl w:val="0"/>
              <w:kinsoku/>
              <w:wordWrap/>
              <w:overflowPunct/>
              <w:topLinePunct w:val="0"/>
              <w:bidi w:val="0"/>
              <w:spacing w:line="288" w:lineRule="auto"/>
              <w:jc w:val="center"/>
              <w:textAlignment w:val="baseline"/>
              <w:rPr>
                <w:rFonts w:hint="eastAsia" w:ascii="宋体" w:hAnsi="宋体" w:eastAsia="宋体" w:cs="宋体"/>
                <w:color w:val="auto"/>
                <w:szCs w:val="21"/>
                <w:highlight w:val="none"/>
              </w:rPr>
            </w:pPr>
            <w:r>
              <w:rPr>
                <w:szCs w:val="21"/>
                <w:highlight w:val="none"/>
              </w:rPr>
              <w:t>形式评审与响应性评审标准</w:t>
            </w:r>
          </w:p>
        </w:tc>
        <w:tc>
          <w:tcPr>
            <w:tcW w:w="7547" w:type="dxa"/>
            <w:vAlign w:val="center"/>
          </w:tcPr>
          <w:p w14:paraId="4BBBADEF">
            <w:pPr>
              <w:pageBreakBefore w:val="0"/>
              <w:widowControl w:val="0"/>
              <w:kinsoku/>
              <w:wordWrap/>
              <w:overflowPunct/>
              <w:topLinePunct w:val="0"/>
              <w:bidi w:val="0"/>
              <w:snapToGrid w:val="0"/>
              <w:spacing w:line="288" w:lineRule="auto"/>
              <w:jc w:val="left"/>
              <w:textAlignment w:val="baseline"/>
              <w:rPr>
                <w:rFonts w:hint="default" w:eastAsia="宋体"/>
                <w:b/>
                <w:bCs/>
                <w:kern w:val="0"/>
                <w:szCs w:val="21"/>
                <w:highlight w:val="none"/>
                <w:lang w:val="en-US" w:eastAsia="zh-CN"/>
              </w:rPr>
            </w:pPr>
            <w:r>
              <w:rPr>
                <w:rFonts w:hint="eastAsia"/>
                <w:b/>
                <w:bCs/>
                <w:kern w:val="0"/>
                <w:szCs w:val="21"/>
                <w:highlight w:val="none"/>
                <w:lang w:val="en-US" w:eastAsia="zh-CN"/>
              </w:rPr>
              <w:t>明标部分：</w:t>
            </w:r>
          </w:p>
          <w:p w14:paraId="1DFBFC79">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（1）投标文件按照招标文件规定的格式、内容填写，字迹清晰可辨。</w:t>
            </w:r>
          </w:p>
          <w:p w14:paraId="029526D6">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a．投标函按招标文件规定填报了项目名称、补遗书编号（如有）、质量要求、监理服务期限、</w:t>
            </w:r>
            <w:r>
              <w:rPr>
                <w:rFonts w:hint="eastAsia"/>
                <w:kern w:val="0"/>
                <w:szCs w:val="21"/>
                <w:highlight w:val="none"/>
              </w:rPr>
              <w:t>总监理工程师</w:t>
            </w:r>
            <w:r>
              <w:rPr>
                <w:kern w:val="0"/>
                <w:szCs w:val="21"/>
                <w:highlight w:val="none"/>
              </w:rPr>
              <w:t>相关信息；</w:t>
            </w:r>
          </w:p>
          <w:p w14:paraId="0A3B4E09">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b．投标文件组成齐全完整，内容均按规定填写。</w:t>
            </w:r>
          </w:p>
          <w:p w14:paraId="31602223">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（2）投标文件上法定代表人或其授权代理人的签字、投标人的单位章盖章齐全，符合招标文件规定。</w:t>
            </w:r>
          </w:p>
          <w:p w14:paraId="1B038279">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（3）投标人按照招标文件投标人须知前附表3.4.1的规定提供了投标保证金。</w:t>
            </w:r>
          </w:p>
          <w:p w14:paraId="5C2046FD">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（4）投标人法定代表人授权委托代理人签署投标文件的，须提交授权委托书，符合招标文件规定。</w:t>
            </w:r>
          </w:p>
          <w:p w14:paraId="75D07872">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（5）投标人法定代表人若亲自签署投标文件的，提供了法定代表人身份证明，符合招标文件规定。</w:t>
            </w:r>
          </w:p>
          <w:p w14:paraId="702FF5E4">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（6）投标人未以联合体形式投标。</w:t>
            </w:r>
          </w:p>
          <w:p w14:paraId="0DE21FE5">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（7）投标人未对本项目提出分包计划。</w:t>
            </w:r>
          </w:p>
          <w:p w14:paraId="44C7AE09">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（8）同一投标人未提交两个以上不同的投标文件。</w:t>
            </w:r>
          </w:p>
          <w:p w14:paraId="7DE43679">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w:t>
            </w:r>
            <w:r>
              <w:rPr>
                <w:rFonts w:hint="eastAsia"/>
                <w:kern w:val="0"/>
                <w:szCs w:val="21"/>
                <w:highlight w:val="none"/>
                <w:lang w:val="en-US" w:eastAsia="zh-CN"/>
              </w:rPr>
              <w:t>9</w:t>
            </w:r>
            <w:r>
              <w:rPr>
                <w:kern w:val="0"/>
                <w:szCs w:val="21"/>
                <w:highlight w:val="none"/>
              </w:rPr>
              <w:t>）投标文件载明的招标项目服务期限符合招标文件规定。</w:t>
            </w:r>
          </w:p>
          <w:p w14:paraId="4026CC5A">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（1</w:t>
            </w:r>
            <w:r>
              <w:rPr>
                <w:rFonts w:hint="eastAsia"/>
                <w:kern w:val="0"/>
                <w:szCs w:val="21"/>
                <w:highlight w:val="none"/>
                <w:lang w:val="en-US" w:eastAsia="zh-CN"/>
              </w:rPr>
              <w:t>0</w:t>
            </w:r>
            <w:r>
              <w:rPr>
                <w:kern w:val="0"/>
                <w:szCs w:val="21"/>
                <w:highlight w:val="none"/>
              </w:rPr>
              <w:t>）投标文件对招标文件的实质性要求和条件作出响应。</w:t>
            </w:r>
          </w:p>
          <w:p w14:paraId="5F2D4D15">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（1</w:t>
            </w:r>
            <w:r>
              <w:rPr>
                <w:rFonts w:hint="eastAsia"/>
                <w:kern w:val="0"/>
                <w:szCs w:val="21"/>
                <w:highlight w:val="none"/>
                <w:lang w:val="en-US" w:eastAsia="zh-CN"/>
              </w:rPr>
              <w:t>1</w:t>
            </w:r>
            <w:r>
              <w:rPr>
                <w:kern w:val="0"/>
                <w:szCs w:val="21"/>
                <w:highlight w:val="none"/>
              </w:rPr>
              <w:t xml:space="preserve">）权利义务符合招标文件规定： </w:t>
            </w:r>
          </w:p>
          <w:p w14:paraId="2EEDB74A">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a.投标人应接受招标文件规定的风险划分原则，未提出新的风险划分办法；</w:t>
            </w:r>
          </w:p>
          <w:p w14:paraId="7A46CE0F">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b.投标人未增加</w:t>
            </w:r>
            <w:r>
              <w:rPr>
                <w:rFonts w:hint="eastAsia"/>
                <w:kern w:val="0"/>
                <w:szCs w:val="21"/>
                <w:highlight w:val="none"/>
              </w:rPr>
              <w:t>委托</w:t>
            </w:r>
            <w:r>
              <w:rPr>
                <w:kern w:val="0"/>
                <w:szCs w:val="21"/>
                <w:highlight w:val="none"/>
              </w:rPr>
              <w:t>人的责任范围，或减少投标人义务；</w:t>
            </w:r>
          </w:p>
          <w:p w14:paraId="79344934">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c.投标人未提出不同的支付办法；</w:t>
            </w:r>
          </w:p>
          <w:p w14:paraId="0E460C8D">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d.投标人对合同纠纷、事故处理办法未提出异议；</w:t>
            </w:r>
          </w:p>
          <w:p w14:paraId="2EEA0370">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e.投标人在投标活动中无欺诈行为；</w:t>
            </w:r>
          </w:p>
          <w:p w14:paraId="36DAA09D">
            <w:pPr>
              <w:pageBreakBefore w:val="0"/>
              <w:widowControl w:val="0"/>
              <w:kinsoku/>
              <w:wordWrap/>
              <w:overflowPunct/>
              <w:topLinePunct w:val="0"/>
              <w:bidi w:val="0"/>
              <w:snapToGrid w:val="0"/>
              <w:spacing w:line="288" w:lineRule="auto"/>
              <w:jc w:val="left"/>
              <w:textAlignment w:val="baseline"/>
              <w:rPr>
                <w:rFonts w:eastAsia="宋体" w:cs="Times New Roman"/>
                <w:kern w:val="0"/>
                <w:szCs w:val="21"/>
                <w:highlight w:val="none"/>
              </w:rPr>
            </w:pPr>
            <w:r>
              <w:rPr>
                <w:kern w:val="0"/>
                <w:szCs w:val="21"/>
                <w:highlight w:val="none"/>
              </w:rPr>
              <w:t>f.投</w:t>
            </w:r>
            <w:r>
              <w:rPr>
                <w:rFonts w:eastAsia="宋体" w:cs="Times New Roman"/>
                <w:kern w:val="0"/>
                <w:szCs w:val="21"/>
                <w:highlight w:val="none"/>
              </w:rPr>
              <w:t>标人未对合同条款有重要保留。</w:t>
            </w:r>
          </w:p>
          <w:p w14:paraId="71FA58CC">
            <w:pPr>
              <w:pageBreakBefore w:val="0"/>
              <w:widowControl w:val="0"/>
              <w:kinsoku/>
              <w:wordWrap/>
              <w:overflowPunct/>
              <w:topLinePunct w:val="0"/>
              <w:bidi w:val="0"/>
              <w:snapToGrid w:val="0"/>
              <w:spacing w:line="288" w:lineRule="auto"/>
              <w:jc w:val="left"/>
              <w:textAlignment w:val="baseline"/>
              <w:rPr>
                <w:rFonts w:eastAsia="宋体" w:cs="Times New Roman"/>
                <w:kern w:val="0"/>
                <w:szCs w:val="21"/>
                <w:highlight w:val="none"/>
              </w:rPr>
            </w:pPr>
            <w:r>
              <w:rPr>
                <w:rFonts w:hint="eastAsia" w:eastAsia="宋体" w:cs="Times New Roman"/>
                <w:kern w:val="0"/>
                <w:szCs w:val="21"/>
                <w:highlight w:val="none"/>
              </w:rPr>
              <w:t>（1</w:t>
            </w:r>
            <w:r>
              <w:rPr>
                <w:rFonts w:hint="eastAsia" w:cs="Times New Roman"/>
                <w:kern w:val="0"/>
                <w:szCs w:val="21"/>
                <w:highlight w:val="none"/>
                <w:lang w:val="en-US" w:eastAsia="zh-CN"/>
              </w:rPr>
              <w:t>2</w:t>
            </w:r>
            <w:r>
              <w:rPr>
                <w:rFonts w:hint="eastAsia" w:eastAsia="宋体" w:cs="Times New Roman"/>
                <w:kern w:val="0"/>
                <w:szCs w:val="21"/>
                <w:highlight w:val="none"/>
              </w:rPr>
              <w:t>）投标报价未超过招标文件设定的最高投标限价。</w:t>
            </w:r>
          </w:p>
          <w:p w14:paraId="43045DBD">
            <w:pPr>
              <w:pageBreakBefore w:val="0"/>
              <w:widowControl w:val="0"/>
              <w:kinsoku/>
              <w:wordWrap/>
              <w:overflowPunct/>
              <w:topLinePunct w:val="0"/>
              <w:bidi w:val="0"/>
              <w:snapToGrid w:val="0"/>
              <w:spacing w:line="288" w:lineRule="auto"/>
              <w:jc w:val="left"/>
              <w:textAlignment w:val="baseline"/>
              <w:rPr>
                <w:rFonts w:eastAsia="宋体" w:cs="Times New Roman"/>
                <w:kern w:val="0"/>
                <w:szCs w:val="21"/>
                <w:highlight w:val="none"/>
              </w:rPr>
            </w:pPr>
            <w:r>
              <w:rPr>
                <w:rFonts w:hint="eastAsia" w:eastAsia="宋体" w:cs="Times New Roman"/>
                <w:kern w:val="0"/>
                <w:szCs w:val="21"/>
                <w:highlight w:val="none"/>
              </w:rPr>
              <w:t>（</w:t>
            </w:r>
            <w:r>
              <w:rPr>
                <w:rFonts w:hint="eastAsia" w:eastAsia="宋体" w:cs="Times New Roman"/>
                <w:kern w:val="0"/>
                <w:szCs w:val="21"/>
                <w:highlight w:val="none"/>
                <w:lang w:val="en-US" w:eastAsia="zh-CN"/>
              </w:rPr>
              <w:t>1</w:t>
            </w:r>
            <w:r>
              <w:rPr>
                <w:rFonts w:hint="eastAsia" w:cs="Times New Roman"/>
                <w:kern w:val="0"/>
                <w:szCs w:val="21"/>
                <w:highlight w:val="none"/>
                <w:lang w:val="en-US" w:eastAsia="zh-CN"/>
              </w:rPr>
              <w:t>3</w:t>
            </w:r>
            <w:r>
              <w:rPr>
                <w:rFonts w:hint="eastAsia" w:eastAsia="宋体" w:cs="Times New Roman"/>
                <w:kern w:val="0"/>
                <w:szCs w:val="21"/>
                <w:highlight w:val="none"/>
              </w:rPr>
              <w:t>）投标报价的大写金额能够确定具体数值。</w:t>
            </w:r>
          </w:p>
          <w:p w14:paraId="42B7869B">
            <w:pPr>
              <w:pageBreakBefore w:val="0"/>
              <w:widowControl w:val="0"/>
              <w:kinsoku/>
              <w:wordWrap/>
              <w:overflowPunct/>
              <w:topLinePunct w:val="0"/>
              <w:bidi w:val="0"/>
              <w:snapToGrid w:val="0"/>
              <w:spacing w:line="288" w:lineRule="auto"/>
              <w:jc w:val="left"/>
              <w:textAlignment w:val="baseline"/>
              <w:rPr>
                <w:rFonts w:hint="eastAsia" w:eastAsia="宋体" w:cs="Times New Roman"/>
                <w:kern w:val="0"/>
                <w:szCs w:val="21"/>
                <w:highlight w:val="none"/>
              </w:rPr>
            </w:pPr>
            <w:r>
              <w:rPr>
                <w:rFonts w:hint="eastAsia" w:eastAsia="宋体" w:cs="Times New Roman"/>
                <w:kern w:val="0"/>
                <w:szCs w:val="21"/>
                <w:highlight w:val="none"/>
              </w:rPr>
              <w:t>（</w:t>
            </w:r>
            <w:r>
              <w:rPr>
                <w:rFonts w:eastAsia="宋体" w:cs="Times New Roman"/>
                <w:kern w:val="0"/>
                <w:szCs w:val="21"/>
                <w:highlight w:val="none"/>
              </w:rPr>
              <w:t>1</w:t>
            </w:r>
            <w:r>
              <w:rPr>
                <w:rFonts w:hint="eastAsia" w:cs="Times New Roman"/>
                <w:kern w:val="0"/>
                <w:szCs w:val="21"/>
                <w:highlight w:val="none"/>
                <w:lang w:val="en-US" w:eastAsia="zh-CN"/>
              </w:rPr>
              <w:t>4</w:t>
            </w:r>
            <w:r>
              <w:rPr>
                <w:rFonts w:hint="eastAsia" w:eastAsia="宋体" w:cs="Times New Roman"/>
                <w:kern w:val="0"/>
                <w:szCs w:val="21"/>
                <w:highlight w:val="none"/>
              </w:rPr>
              <w:t>）投标人未提交调价函。</w:t>
            </w:r>
          </w:p>
          <w:p w14:paraId="0659F2F5">
            <w:pPr>
              <w:pageBreakBefore w:val="0"/>
              <w:widowControl w:val="0"/>
              <w:kinsoku/>
              <w:wordWrap/>
              <w:overflowPunct/>
              <w:topLinePunct w:val="0"/>
              <w:bidi w:val="0"/>
              <w:snapToGrid w:val="0"/>
              <w:spacing w:line="288" w:lineRule="auto"/>
              <w:jc w:val="left"/>
              <w:textAlignment w:val="baseline"/>
              <w:rPr>
                <w:rFonts w:hint="eastAsia" w:eastAsia="宋体" w:cs="Times New Roman"/>
                <w:kern w:val="0"/>
                <w:szCs w:val="21"/>
                <w:highlight w:val="none"/>
              </w:rPr>
            </w:pPr>
            <w:r>
              <w:rPr>
                <w:rFonts w:hint="eastAsia" w:eastAsia="宋体" w:cs="Times New Roman"/>
                <w:kern w:val="0"/>
                <w:szCs w:val="21"/>
                <w:highlight w:val="none"/>
              </w:rPr>
              <w:t>（</w:t>
            </w:r>
            <w:r>
              <w:rPr>
                <w:rFonts w:hint="eastAsia" w:eastAsia="宋体" w:cs="Times New Roman"/>
                <w:kern w:val="0"/>
                <w:szCs w:val="21"/>
                <w:highlight w:val="none"/>
                <w:lang w:val="en-US" w:eastAsia="zh-CN"/>
              </w:rPr>
              <w:t>1</w:t>
            </w:r>
            <w:r>
              <w:rPr>
                <w:rFonts w:hint="eastAsia" w:cs="Times New Roman"/>
                <w:kern w:val="0"/>
                <w:szCs w:val="21"/>
                <w:highlight w:val="none"/>
                <w:lang w:val="en-US" w:eastAsia="zh-CN"/>
              </w:rPr>
              <w:t>5</w:t>
            </w:r>
            <w:r>
              <w:rPr>
                <w:rFonts w:hint="eastAsia" w:eastAsia="宋体" w:cs="Times New Roman"/>
                <w:kern w:val="0"/>
                <w:szCs w:val="21"/>
                <w:highlight w:val="none"/>
              </w:rPr>
              <w:t>）同一投标人未提交两个以上不同的投标报价。</w:t>
            </w:r>
          </w:p>
          <w:p w14:paraId="0E14DD8C">
            <w:pPr>
              <w:pageBreakBefore w:val="0"/>
              <w:widowControl w:val="0"/>
              <w:kinsoku/>
              <w:wordWrap/>
              <w:overflowPunct/>
              <w:topLinePunct w:val="0"/>
              <w:bidi w:val="0"/>
              <w:snapToGrid w:val="0"/>
              <w:spacing w:line="288" w:lineRule="auto"/>
              <w:jc w:val="left"/>
              <w:textAlignment w:val="baseline"/>
              <w:rPr>
                <w:rFonts w:hint="eastAsia" w:eastAsia="宋体" w:cs="Times New Roman"/>
                <w:kern w:val="0"/>
                <w:szCs w:val="21"/>
                <w:highlight w:val="none"/>
              </w:rPr>
            </w:pPr>
            <w:r>
              <w:rPr>
                <w:rFonts w:hint="eastAsia" w:eastAsia="宋体" w:cs="Times New Roman"/>
                <w:kern w:val="0"/>
                <w:szCs w:val="21"/>
                <w:highlight w:val="none"/>
              </w:rPr>
              <w:t>（</w:t>
            </w:r>
            <w:r>
              <w:rPr>
                <w:rFonts w:hint="eastAsia" w:eastAsia="宋体" w:cs="Times New Roman"/>
                <w:kern w:val="0"/>
                <w:szCs w:val="21"/>
                <w:highlight w:val="none"/>
                <w:lang w:val="en-US" w:eastAsia="zh-CN"/>
              </w:rPr>
              <w:t>1</w:t>
            </w:r>
            <w:r>
              <w:rPr>
                <w:rFonts w:hint="eastAsia" w:cs="Times New Roman"/>
                <w:kern w:val="0"/>
                <w:szCs w:val="21"/>
                <w:highlight w:val="none"/>
                <w:lang w:val="en-US" w:eastAsia="zh-CN"/>
              </w:rPr>
              <w:t>6</w:t>
            </w:r>
            <w:r>
              <w:rPr>
                <w:rFonts w:hint="eastAsia" w:eastAsia="宋体" w:cs="Times New Roman"/>
                <w:kern w:val="0"/>
                <w:szCs w:val="21"/>
                <w:highlight w:val="none"/>
              </w:rPr>
              <w:t>）监理服务费用清单投标总价和投标函中大写文字报价一致。</w:t>
            </w:r>
          </w:p>
          <w:p w14:paraId="33130B3D">
            <w:pPr>
              <w:pStyle w:val="5"/>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val="0"/>
                <w:color w:val="auto"/>
                <w:szCs w:val="21"/>
                <w:highlight w:val="none"/>
                <w:lang w:val="en-US" w:eastAsia="zh-CN"/>
              </w:rPr>
            </w:pPr>
            <w:r>
              <w:rPr>
                <w:rFonts w:hint="eastAsia"/>
                <w:b/>
                <w:bCs w:val="0"/>
                <w:color w:val="auto"/>
                <w:szCs w:val="21"/>
                <w:highlight w:val="none"/>
                <w:lang w:val="en-US" w:eastAsia="zh-CN"/>
              </w:rPr>
              <w:t>暗标部分</w:t>
            </w:r>
          </w:p>
          <w:p w14:paraId="4030A3B7">
            <w:pPr>
              <w:pageBreakBefore w:val="0"/>
              <w:widowControl w:val="0"/>
              <w:kinsoku/>
              <w:wordWrap/>
              <w:overflowPunct/>
              <w:topLinePunct w:val="0"/>
              <w:bidi w:val="0"/>
              <w:snapToGrid w:val="0"/>
              <w:spacing w:line="288" w:lineRule="auto"/>
              <w:jc w:val="left"/>
              <w:textAlignment w:val="baseline"/>
              <w:rPr>
                <w:rFonts w:hint="eastAsia" w:eastAsia="宋体" w:cs="Times New Roman"/>
                <w:kern w:val="0"/>
                <w:szCs w:val="21"/>
                <w:highlight w:val="none"/>
              </w:rPr>
            </w:pPr>
            <w:r>
              <w:rPr>
                <w:rFonts w:hint="eastAsia"/>
                <w:bCs/>
                <w:color w:val="auto"/>
                <w:szCs w:val="21"/>
                <w:highlight w:val="none"/>
              </w:rPr>
              <w:t>（</w:t>
            </w:r>
            <w:r>
              <w:rPr>
                <w:rFonts w:hint="eastAsia"/>
                <w:bCs/>
                <w:color w:val="auto"/>
                <w:szCs w:val="21"/>
                <w:highlight w:val="none"/>
                <w:lang w:val="en-US" w:eastAsia="zh-CN"/>
              </w:rPr>
              <w:t>1</w:t>
            </w:r>
            <w:r>
              <w:rPr>
                <w:rFonts w:hint="eastAsia"/>
                <w:bCs/>
                <w:color w:val="auto"/>
                <w:szCs w:val="21"/>
                <w:highlight w:val="none"/>
              </w:rPr>
              <w:t>）</w:t>
            </w:r>
            <w:r>
              <w:rPr>
                <w:rFonts w:hint="eastAsia"/>
                <w:bCs/>
                <w:color w:val="auto"/>
                <w:szCs w:val="21"/>
                <w:highlight w:val="none"/>
                <w:lang w:val="en-US" w:eastAsia="zh-CN"/>
              </w:rPr>
              <w:t>监理大纲</w:t>
            </w:r>
            <w:r>
              <w:rPr>
                <w:rFonts w:hint="eastAsia"/>
                <w:bCs/>
                <w:color w:val="auto"/>
                <w:szCs w:val="21"/>
                <w:highlight w:val="none"/>
              </w:rPr>
              <w:t>（暗标）</w:t>
            </w:r>
            <w:r>
              <w:rPr>
                <w:rFonts w:hint="eastAsia"/>
                <w:bCs/>
                <w:color w:val="auto"/>
                <w:szCs w:val="21"/>
                <w:highlight w:val="none"/>
                <w:lang w:val="en-US" w:eastAsia="zh-CN"/>
              </w:rPr>
              <w:t>编制</w:t>
            </w:r>
            <w:r>
              <w:rPr>
                <w:rFonts w:hint="eastAsia"/>
                <w:bCs/>
                <w:color w:val="auto"/>
                <w:szCs w:val="21"/>
                <w:highlight w:val="none"/>
              </w:rPr>
              <w:t>符合招标文件第二章“投标人须知”第3.7.3款的规定。</w:t>
            </w:r>
          </w:p>
        </w:tc>
      </w:tr>
      <w:tr w14:paraId="58F2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14" w:type="dxa"/>
            <w:vAlign w:val="center"/>
          </w:tcPr>
          <w:p w14:paraId="0074199E">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p w14:paraId="44F30448">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p>
        </w:tc>
        <w:tc>
          <w:tcPr>
            <w:tcW w:w="1683" w:type="dxa"/>
            <w:vAlign w:val="center"/>
          </w:tcPr>
          <w:p w14:paraId="4A39395A">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bookmarkStart w:id="11" w:name="_GoBack"/>
            <w:bookmarkEnd w:id="11"/>
            <w:r>
              <w:rPr>
                <w:rFonts w:hint="eastAsia" w:ascii="宋体" w:hAnsi="宋体" w:eastAsia="宋体" w:cs="宋体"/>
                <w:color w:val="auto"/>
                <w:szCs w:val="21"/>
                <w:highlight w:val="none"/>
              </w:rPr>
              <w:t>格评审</w:t>
            </w:r>
          </w:p>
          <w:p w14:paraId="16830D49">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标准</w:t>
            </w:r>
          </w:p>
        </w:tc>
        <w:tc>
          <w:tcPr>
            <w:tcW w:w="7547" w:type="dxa"/>
            <w:vAlign w:val="center"/>
          </w:tcPr>
          <w:p w14:paraId="3E08D9C2">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（1）投标人具备有效的营业执照、监理资质证书和基本账户开户许可证（或基本存款账户信息）；</w:t>
            </w:r>
          </w:p>
          <w:p w14:paraId="35DEE55F">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（2）投标人的资质等级符合招标文件规定。</w:t>
            </w:r>
          </w:p>
          <w:p w14:paraId="1074C21A">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（3）投标人的类似项目业绩符合招标文件的规定。</w:t>
            </w:r>
          </w:p>
          <w:p w14:paraId="1835C633">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（4）投标人的信誉符合招标文件规定。</w:t>
            </w:r>
          </w:p>
          <w:p w14:paraId="232FBE04">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（5）投标人的</w:t>
            </w:r>
            <w:r>
              <w:rPr>
                <w:rFonts w:hint="eastAsia"/>
                <w:kern w:val="0"/>
                <w:szCs w:val="21"/>
                <w:highlight w:val="none"/>
                <w:lang w:val="en-US" w:eastAsia="zh-CN"/>
              </w:rPr>
              <w:t>人员</w:t>
            </w:r>
            <w:r>
              <w:rPr>
                <w:kern w:val="0"/>
                <w:szCs w:val="21"/>
                <w:highlight w:val="none"/>
              </w:rPr>
              <w:t>符合招标文件规定。</w:t>
            </w:r>
          </w:p>
          <w:p w14:paraId="4290073B">
            <w:pPr>
              <w:pageBreakBefore w:val="0"/>
              <w:widowControl w:val="0"/>
              <w:kinsoku/>
              <w:wordWrap/>
              <w:overflowPunct/>
              <w:topLinePunct w:val="0"/>
              <w:bidi w:val="0"/>
              <w:snapToGrid w:val="0"/>
              <w:spacing w:line="288" w:lineRule="auto"/>
              <w:jc w:val="left"/>
              <w:textAlignment w:val="baseline"/>
              <w:rPr>
                <w:kern w:val="0"/>
                <w:szCs w:val="21"/>
                <w:highlight w:val="none"/>
              </w:rPr>
            </w:pPr>
            <w:r>
              <w:rPr>
                <w:kern w:val="0"/>
                <w:szCs w:val="21"/>
                <w:highlight w:val="none"/>
              </w:rPr>
              <w:t>（6）投标人不存在第二章“投标人须知”第1.4.3项或1.4.4项规定的任何一种情形。</w:t>
            </w:r>
          </w:p>
          <w:p w14:paraId="648A8A7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lang w:val="en-US" w:eastAsia="zh-CN"/>
              </w:rPr>
            </w:pPr>
            <w:r>
              <w:rPr>
                <w:rFonts w:hint="eastAsia"/>
                <w:kern w:val="0"/>
                <w:szCs w:val="21"/>
                <w:highlight w:val="none"/>
                <w:lang w:eastAsia="zh-CN"/>
              </w:rPr>
              <w:t>（</w:t>
            </w:r>
            <w:r>
              <w:rPr>
                <w:rFonts w:hint="eastAsia"/>
                <w:kern w:val="0"/>
                <w:szCs w:val="21"/>
                <w:highlight w:val="none"/>
                <w:lang w:val="en-US" w:eastAsia="zh-CN"/>
              </w:rPr>
              <w:t>7</w:t>
            </w:r>
            <w:r>
              <w:rPr>
                <w:rFonts w:hint="eastAsia"/>
                <w:kern w:val="0"/>
                <w:szCs w:val="21"/>
                <w:highlight w:val="none"/>
                <w:lang w:eastAsia="zh-CN"/>
              </w:rPr>
              <w:t>）</w:t>
            </w:r>
            <w:r>
              <w:rPr>
                <w:rFonts w:hint="eastAsia"/>
                <w:kern w:val="0"/>
                <w:szCs w:val="21"/>
                <w:highlight w:val="none"/>
                <w:lang w:val="en-US" w:eastAsia="zh-CN"/>
              </w:rPr>
              <w:t>投标人符合第二章“投标人须知”第1.4.5项规定。</w:t>
            </w:r>
          </w:p>
        </w:tc>
      </w:tr>
      <w:tr w14:paraId="20F0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14" w:type="dxa"/>
            <w:vAlign w:val="center"/>
          </w:tcPr>
          <w:p w14:paraId="6D9BA473">
            <w:pPr>
              <w:pageBreakBefore w:val="0"/>
              <w:widowControl w:val="0"/>
              <w:kinsoku/>
              <w:wordWrap/>
              <w:overflowPunct/>
              <w:topLinePunct w:val="0"/>
              <w:bidi w:val="0"/>
              <w:spacing w:beforeAutospacing="0" w:afterAutospacing="0" w:line="288" w:lineRule="auto"/>
              <w:ind w:right="0" w:rightChars="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21"/>
                <w:szCs w:val="21"/>
                <w:highlight w:val="none"/>
              </w:rPr>
              <w:t>增加：</w:t>
            </w:r>
            <w:r>
              <w:rPr>
                <w:rFonts w:hint="eastAsia" w:ascii="宋体" w:hAnsi="宋体" w:eastAsia="宋体" w:cs="宋体"/>
                <w:color w:val="auto"/>
                <w:kern w:val="21"/>
                <w:szCs w:val="21"/>
                <w:highlight w:val="none"/>
                <w:lang w:val="en-US" w:eastAsia="zh-CN"/>
              </w:rPr>
              <w:t>2</w:t>
            </w:r>
            <w:r>
              <w:rPr>
                <w:rFonts w:hint="eastAsia" w:ascii="宋体" w:hAnsi="宋体" w:eastAsia="宋体" w:cs="宋体"/>
                <w:color w:val="auto"/>
                <w:kern w:val="21"/>
                <w:szCs w:val="21"/>
                <w:highlight w:val="none"/>
              </w:rPr>
              <w:t>.1.4</w:t>
            </w:r>
          </w:p>
        </w:tc>
        <w:tc>
          <w:tcPr>
            <w:tcW w:w="1683" w:type="dxa"/>
            <w:vAlign w:val="center"/>
          </w:tcPr>
          <w:p w14:paraId="1DB1FCE7">
            <w:pPr>
              <w:pageBreakBefore w:val="0"/>
              <w:widowControl w:val="0"/>
              <w:kinsoku/>
              <w:wordWrap/>
              <w:overflowPunct/>
              <w:topLinePunct w:val="0"/>
              <w:bidi w:val="0"/>
              <w:spacing w:beforeAutospacing="0" w:afterAutospacing="0" w:line="288" w:lineRule="auto"/>
              <w:ind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投标文件相关</w:t>
            </w:r>
          </w:p>
          <w:p w14:paraId="1881B220">
            <w:pPr>
              <w:pageBreakBefore w:val="0"/>
              <w:widowControl w:val="0"/>
              <w:kinsoku/>
              <w:wordWrap/>
              <w:overflowPunct/>
              <w:topLinePunct w:val="0"/>
              <w:bidi w:val="0"/>
              <w:spacing w:beforeAutospacing="0" w:afterAutospacing="0" w:line="288" w:lineRule="auto"/>
              <w:ind w:right="0"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信息的核查</w:t>
            </w:r>
          </w:p>
        </w:tc>
        <w:tc>
          <w:tcPr>
            <w:tcW w:w="7547" w:type="dxa"/>
            <w:vAlign w:val="center"/>
          </w:tcPr>
          <w:p w14:paraId="050058F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在评标过程中，评标委员会应对以下信息进行查询：</w:t>
            </w:r>
          </w:p>
          <w:p w14:paraId="2DE0EA92">
            <w:pPr>
              <w:pStyle w:val="3"/>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lang w:eastAsia="zh-CN" w:bidi="ar"/>
              </w:rPr>
              <w:t>投标人名称和资质与“全国水运建设市场信用信息管理系统”的复核结果一致（</w:t>
            </w:r>
            <w:r>
              <w:rPr>
                <w:rFonts w:hint="eastAsia"/>
                <w:color w:val="auto"/>
                <w:sz w:val="21"/>
                <w:szCs w:val="21"/>
                <w:highlight w:val="none"/>
                <w:lang w:val="en-US" w:eastAsia="zh-CN" w:bidi="ar"/>
              </w:rPr>
              <w:t>监理综合资质和港口与航道工程监理资质不适用</w:t>
            </w:r>
            <w:r>
              <w:rPr>
                <w:rFonts w:hint="eastAsia"/>
                <w:color w:val="auto"/>
                <w:sz w:val="21"/>
                <w:szCs w:val="21"/>
                <w:highlight w:val="none"/>
                <w:lang w:eastAsia="zh-CN" w:bidi="ar"/>
              </w:rPr>
              <w:t>）</w:t>
            </w:r>
          </w:p>
          <w:p w14:paraId="5DCA07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所附总监理工程师水运工程监理工程师证书信息与“全国水运建设市场信用信息管理系统”的复核结果一致；或所附总监理工程师注册监理工程师（港口与航道工程专业）证书与“全国建筑市场监管公共服务平台（http://jzsc.mohurd.gov.cn/）”核查的结果一致</w:t>
            </w:r>
            <w:r>
              <w:rPr>
                <w:color w:val="auto"/>
                <w:sz w:val="21"/>
                <w:szCs w:val="21"/>
                <w:highlight w:val="none"/>
              </w:rPr>
              <w:t>；</w:t>
            </w:r>
          </w:p>
          <w:p w14:paraId="1A57504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）评标委员会评标时在“国家企业信用信息公示系统（</w:t>
            </w:r>
            <w:r>
              <w:rPr>
                <w:color w:val="auto"/>
                <w:sz w:val="21"/>
                <w:szCs w:val="21"/>
                <w:highlight w:val="none"/>
              </w:rPr>
              <w:fldChar w:fldCharType="begin"/>
            </w:r>
            <w:r>
              <w:rPr>
                <w:color w:val="auto"/>
                <w:sz w:val="21"/>
                <w:szCs w:val="21"/>
                <w:highlight w:val="none"/>
              </w:rPr>
              <w:instrText xml:space="preserve">HYPERLINK "http://www.gsxt.gov.cn/"</w:instrText>
            </w:r>
            <w:r>
              <w:rPr>
                <w:color w:val="auto"/>
                <w:sz w:val="21"/>
                <w:szCs w:val="21"/>
                <w:highlight w:val="none"/>
              </w:rPr>
              <w:fldChar w:fldCharType="separate"/>
            </w:r>
            <w:r>
              <w:rPr>
                <w:rStyle w:val="8"/>
                <w:color w:val="auto"/>
                <w:sz w:val="21"/>
                <w:szCs w:val="21"/>
                <w:highlight w:val="none"/>
              </w:rPr>
              <w:t>http://www.gsxt.gov.cn/</w:t>
            </w:r>
            <w:r>
              <w:rPr>
                <w:color w:val="auto"/>
                <w:sz w:val="21"/>
                <w:szCs w:val="21"/>
                <w:highlight w:val="none"/>
              </w:rPr>
              <w:fldChar w:fldCharType="end"/>
            </w:r>
            <w:r>
              <w:rPr>
                <w:color w:val="auto"/>
                <w:sz w:val="21"/>
                <w:szCs w:val="21"/>
                <w:highlight w:val="none"/>
              </w:rPr>
              <w:t>）”对投标人的信用情况进行查询，若投标人存在被列入“严重违法失信企业名单”情形的（不含分公司），评标委员会应否决其投标。</w:t>
            </w:r>
          </w:p>
          <w:p w14:paraId="6FEA43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在“信用中国网站（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8"/>
                <w:color w:val="auto"/>
                <w:sz w:val="21"/>
                <w:szCs w:val="21"/>
                <w:highlight w:val="none"/>
              </w:rPr>
              <w:t>http://www.creditchina.gov.cn/</w:t>
            </w:r>
            <w:r>
              <w:rPr>
                <w:rStyle w:val="8"/>
                <w:color w:val="auto"/>
                <w:sz w:val="21"/>
                <w:szCs w:val="21"/>
                <w:highlight w:val="none"/>
              </w:rPr>
              <w:fldChar w:fldCharType="end"/>
            </w:r>
            <w:r>
              <w:rPr>
                <w:color w:val="auto"/>
                <w:sz w:val="21"/>
                <w:szCs w:val="21"/>
                <w:highlight w:val="none"/>
              </w:rPr>
              <w:t>）”对投标人的信用情况进行查询，若投标人存在被列入“失信被执行人名单、经营异常名录、重大税收违法失信主体、政府采购严重违法失信</w:t>
            </w:r>
            <w:r>
              <w:rPr>
                <w:rFonts w:hint="eastAsia"/>
                <w:color w:val="auto"/>
                <w:sz w:val="21"/>
                <w:szCs w:val="21"/>
                <w:highlight w:val="none"/>
                <w:lang w:val="en-US" w:eastAsia="zh-CN"/>
              </w:rPr>
              <w:t>行为记录</w:t>
            </w:r>
            <w:r>
              <w:rPr>
                <w:color w:val="auto"/>
                <w:sz w:val="21"/>
                <w:szCs w:val="21"/>
                <w:highlight w:val="none"/>
              </w:rPr>
              <w:t>名单</w:t>
            </w:r>
            <w:r>
              <w:rPr>
                <w:rFonts w:hint="eastAsia"/>
                <w:color w:val="auto"/>
                <w:sz w:val="21"/>
                <w:szCs w:val="21"/>
                <w:highlight w:val="none"/>
              </w:rPr>
              <w:t>、安全生产严重失信主体名单</w:t>
            </w:r>
            <w:r>
              <w:rPr>
                <w:color w:val="auto"/>
                <w:sz w:val="21"/>
                <w:szCs w:val="21"/>
                <w:highlight w:val="none"/>
              </w:rPr>
              <w:t>”情形的（均不含分公司），评标委员会应否决其投标。</w:t>
            </w:r>
          </w:p>
          <w:p w14:paraId="5BCF43B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如投标人</w:t>
            </w:r>
            <w:r>
              <w:rPr>
                <w:b/>
                <w:color w:val="auto"/>
                <w:sz w:val="21"/>
                <w:szCs w:val="21"/>
                <w:highlight w:val="none"/>
              </w:rPr>
              <w:t>未提供相关网页截图或所附截图与复核结果不一致</w:t>
            </w:r>
            <w:r>
              <w:rPr>
                <w:color w:val="auto"/>
                <w:sz w:val="21"/>
                <w:szCs w:val="21"/>
                <w:highlight w:val="none"/>
              </w:rPr>
              <w:t>的，评标委员会应否决其投标。</w:t>
            </w:r>
          </w:p>
          <w:p w14:paraId="771AE02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z w:val="21"/>
                <w:szCs w:val="21"/>
                <w:highlight w:val="none"/>
              </w:rPr>
            </w:pPr>
            <w:r>
              <w:rPr>
                <w:color w:val="auto"/>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14:paraId="53CE51EB">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firstLine="420" w:firstLineChars="200"/>
              <w:textAlignment w:val="auto"/>
              <w:rPr>
                <w:rFonts w:hint="eastAsia" w:ascii="宋体" w:hAnsi="宋体" w:eastAsia="宋体" w:cs="宋体"/>
                <w:color w:val="auto"/>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color w:val="auto"/>
                <w:sz w:val="21"/>
                <w:szCs w:val="21"/>
                <w:highlight w:val="none"/>
              </w:rPr>
              <w:t>评标委员会在评标时按照投标人提供的验证方式对电子保函或电子保证保险进行验证。如投标人未提供电子保函或电子保证保险在线验证方式，或根据提供的验证方式无法核实的，评标委员会可以否决其投标。</w:t>
            </w:r>
          </w:p>
        </w:tc>
      </w:tr>
      <w:tr w14:paraId="3412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14" w:type="dxa"/>
            <w:vAlign w:val="center"/>
          </w:tcPr>
          <w:p w14:paraId="1DE54D7F">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83" w:type="dxa"/>
            <w:vAlign w:val="center"/>
          </w:tcPr>
          <w:p w14:paraId="597450B2">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123E9AFD">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 100分)</w:t>
            </w:r>
          </w:p>
        </w:tc>
        <w:tc>
          <w:tcPr>
            <w:tcW w:w="7547" w:type="dxa"/>
            <w:vAlign w:val="center"/>
          </w:tcPr>
          <w:p w14:paraId="34121BC3">
            <w:pPr>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监理大纲部分：</w:t>
            </w:r>
            <w:r>
              <w:rPr>
                <w:rFonts w:hint="eastAsia" w:ascii="宋体" w:hAnsi="宋体" w:cs="宋体"/>
                <w:color w:val="auto"/>
                <w:szCs w:val="21"/>
                <w:highlight w:val="none"/>
                <w:lang w:val="en-US" w:eastAsia="zh-CN"/>
              </w:rPr>
              <w:t>50</w:t>
            </w:r>
            <w:r>
              <w:rPr>
                <w:rFonts w:hint="eastAsia" w:ascii="宋体" w:hAnsi="宋体" w:eastAsia="宋体" w:cs="宋体"/>
                <w:color w:val="auto"/>
                <w:szCs w:val="21"/>
                <w:highlight w:val="none"/>
              </w:rPr>
              <w:t>分</w:t>
            </w:r>
          </w:p>
          <w:p w14:paraId="7CDB252F">
            <w:pPr>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主要人员</w:t>
            </w:r>
            <w:r>
              <w:rPr>
                <w:rFonts w:hint="eastAsia" w:ascii="宋体" w:hAnsi="宋体" w:eastAsia="宋体" w:cs="宋体"/>
                <w:color w:val="auto"/>
                <w:szCs w:val="21"/>
                <w:highlight w:val="none"/>
                <w:lang w:val="en-US" w:eastAsia="zh-CN"/>
              </w:rPr>
              <w:t>部分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p w14:paraId="6F91AE66">
            <w:pPr>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投标报价部分：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0B9EC616">
            <w:pPr>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其他因素</w:t>
            </w:r>
            <w:r>
              <w:rPr>
                <w:rFonts w:hint="eastAsia" w:ascii="宋体" w:hAnsi="宋体" w:eastAsia="宋体" w:cs="宋体"/>
                <w:color w:val="auto"/>
                <w:szCs w:val="21"/>
                <w:highlight w:val="none"/>
                <w:lang w:val="en-US" w:eastAsia="zh-CN"/>
              </w:rPr>
              <w:t>部分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6887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14" w:type="dxa"/>
            <w:vAlign w:val="center"/>
          </w:tcPr>
          <w:p w14:paraId="4E4D5064">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83" w:type="dxa"/>
            <w:vAlign w:val="center"/>
          </w:tcPr>
          <w:p w14:paraId="3013EE98">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7547" w:type="dxa"/>
            <w:vAlign w:val="center"/>
          </w:tcPr>
          <w:p w14:paraId="77707D5B">
            <w:pPr>
              <w:keepNext w:val="0"/>
              <w:keepLines w:val="0"/>
              <w:pageBreakBefore w:val="0"/>
              <w:widowControl w:val="0"/>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（1）评标价的确定：</w:t>
            </w:r>
          </w:p>
          <w:p w14:paraId="39A3E9FF">
            <w:pPr>
              <w:keepNext w:val="0"/>
              <w:keepLines w:val="0"/>
              <w:pageBreakBefore w:val="0"/>
              <w:widowControl w:val="0"/>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评标价=投标函文字报价</w:t>
            </w:r>
          </w:p>
          <w:p w14:paraId="11372919">
            <w:pPr>
              <w:keepNext w:val="0"/>
              <w:keepLines w:val="0"/>
              <w:pageBreakBefore w:val="0"/>
              <w:widowControl w:val="0"/>
              <w:kinsoku/>
              <w:wordWrap/>
              <w:overflowPunct/>
              <w:topLinePunct w:val="0"/>
              <w:autoSpaceDE/>
              <w:autoSpaceDN/>
              <w:bidi w:val="0"/>
              <w:adjustRightInd/>
              <w:snapToGrid/>
              <w:spacing w:line="288" w:lineRule="auto"/>
              <w:ind w:left="0" w:right="0"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（2）不参与评标价平均值计算的投标报价</w:t>
            </w:r>
          </w:p>
          <w:p w14:paraId="31B975B3">
            <w:pPr>
              <w:keepNext w:val="0"/>
              <w:keepLines w:val="0"/>
              <w:pageBreakBefore w:val="0"/>
              <w:widowControl w:val="0"/>
              <w:kinsoku/>
              <w:wordWrap/>
              <w:overflowPunct/>
              <w:topLinePunct w:val="0"/>
              <w:autoSpaceDE/>
              <w:autoSpaceDN/>
              <w:bidi w:val="0"/>
              <w:adjustRightInd/>
              <w:snapToGrid/>
              <w:spacing w:line="288" w:lineRule="auto"/>
              <w:ind w:left="0" w:right="0"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除</w:t>
            </w:r>
            <w:r>
              <w:rPr>
                <w:rFonts w:hint="eastAsia" w:ascii="宋体" w:hAnsi="宋体" w:eastAsia="宋体" w:cs="宋体"/>
                <w:color w:val="auto"/>
                <w:szCs w:val="21"/>
                <w:highlight w:val="none"/>
              </w:rPr>
              <w:t>按第二章“投标人须知”第5.2.3项规定开标现场被宣布为不进入评标基准价计算的投标报价；</w:t>
            </w:r>
          </w:p>
          <w:p w14:paraId="4DB60C1F">
            <w:pPr>
              <w:keepNext w:val="0"/>
              <w:keepLines w:val="0"/>
              <w:pageBreakBefore w:val="0"/>
              <w:widowControl w:val="0"/>
              <w:kinsoku/>
              <w:wordWrap/>
              <w:overflowPunct/>
              <w:topLinePunct w:val="0"/>
              <w:autoSpaceDE/>
              <w:autoSpaceDN/>
              <w:bidi w:val="0"/>
              <w:adjustRightInd/>
              <w:snapToGrid/>
              <w:spacing w:line="288" w:lineRule="auto"/>
              <w:ind w:left="0" w:right="0"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（3）评标价平均值的计算：</w:t>
            </w:r>
          </w:p>
          <w:p w14:paraId="39595DAC">
            <w:pPr>
              <w:keepNext w:val="0"/>
              <w:keepLines w:val="0"/>
              <w:pageBreakBefore w:val="0"/>
              <w:widowControl w:val="0"/>
              <w:kinsoku/>
              <w:wordWrap/>
              <w:overflowPunct/>
              <w:topLinePunct w:val="0"/>
              <w:autoSpaceDE/>
              <w:autoSpaceDN/>
              <w:bidi w:val="0"/>
              <w:adjustRightInd/>
              <w:snapToGrid/>
              <w:spacing w:line="288" w:lineRule="auto"/>
              <w:ind w:left="0" w:right="0" w:firstLine="210" w:firstLineChars="100"/>
              <w:textAlignment w:val="auto"/>
              <w:rPr>
                <w:rFonts w:ascii="宋体" w:hAnsi="宋体"/>
                <w:color w:val="auto"/>
                <w:szCs w:val="21"/>
                <w:highlight w:val="none"/>
              </w:rPr>
            </w:pPr>
            <w:r>
              <w:rPr>
                <w:rFonts w:hint="eastAsia" w:ascii="宋体" w:hAnsi="宋体" w:eastAsia="宋体" w:cs="宋体"/>
                <w:color w:val="auto"/>
                <w:szCs w:val="21"/>
                <w:highlight w:val="none"/>
              </w:rPr>
              <w:t>按第（2）条不参与评标价平均值计算的评标价之外，</w:t>
            </w:r>
            <w:r>
              <w:rPr>
                <w:rFonts w:hint="eastAsia" w:ascii="宋体" w:hAnsi="宋体"/>
                <w:color w:val="auto"/>
                <w:szCs w:val="21"/>
                <w:highlight w:val="none"/>
              </w:rPr>
              <w:t>所有投标人的评标价去掉n1个最高评标价和n2个最低评标价后的算术平均值即为评标价平均值（评标价平均值保留小数点后两位，小数点后第三位四舍五入）：</w:t>
            </w:r>
          </w:p>
          <w:p w14:paraId="184B7944">
            <w:pPr>
              <w:pStyle w:val="5"/>
              <w:pageBreakBefore w:val="0"/>
              <w:widowControl w:val="0"/>
              <w:kinsoku/>
              <w:wordWrap/>
              <w:overflowPunct/>
              <w:topLinePunct w:val="0"/>
              <w:bidi w:val="0"/>
              <w:spacing w:line="288" w:lineRule="auto"/>
              <w:ind w:firstLine="211"/>
              <w:rPr>
                <w:rFonts w:hint="eastAsia" w:hAnsi="宋体" w:cs="宋体"/>
                <w:b/>
                <w:color w:val="auto"/>
                <w:szCs w:val="21"/>
                <w:highlight w:val="none"/>
              </w:rPr>
            </w:pPr>
            <w:r>
              <w:rPr>
                <w:rFonts w:hint="eastAsia" w:hAnsi="宋体" w:cs="宋体"/>
                <w:b/>
                <w:color w:val="auto"/>
                <w:szCs w:val="21"/>
                <w:highlight w:val="none"/>
              </w:rPr>
              <w:t>如果参与评标价平均值计算的投标人数量＜</w:t>
            </w:r>
            <w:r>
              <w:rPr>
                <w:rFonts w:hint="eastAsia" w:hAnsi="宋体" w:cs="宋体"/>
                <w:b/>
                <w:color w:val="auto"/>
                <w:szCs w:val="21"/>
                <w:highlight w:val="none"/>
                <w:lang w:val="en-US" w:eastAsia="zh-CN"/>
              </w:rPr>
              <w:t>5</w:t>
            </w:r>
            <w:r>
              <w:rPr>
                <w:rFonts w:hint="eastAsia" w:hAnsi="宋体" w:cs="宋体"/>
                <w:b/>
                <w:color w:val="auto"/>
                <w:szCs w:val="21"/>
                <w:highlight w:val="none"/>
              </w:rPr>
              <w:t>家时，n1=0，n2=0；</w:t>
            </w:r>
          </w:p>
          <w:p w14:paraId="3237395C">
            <w:pPr>
              <w:pStyle w:val="5"/>
              <w:pageBreakBefore w:val="0"/>
              <w:widowControl w:val="0"/>
              <w:kinsoku/>
              <w:wordWrap/>
              <w:overflowPunct/>
              <w:topLinePunct w:val="0"/>
              <w:bidi w:val="0"/>
              <w:spacing w:line="288" w:lineRule="auto"/>
              <w:ind w:firstLine="211"/>
              <w:rPr>
                <w:rFonts w:hint="eastAsia" w:hAnsi="宋体" w:cs="宋体"/>
                <w:b/>
                <w:color w:val="auto"/>
                <w:szCs w:val="21"/>
                <w:highlight w:val="none"/>
              </w:rPr>
            </w:pPr>
            <w:r>
              <w:rPr>
                <w:rFonts w:hint="eastAsia" w:hAnsi="宋体" w:cs="宋体"/>
                <w:b/>
                <w:color w:val="auto"/>
                <w:szCs w:val="21"/>
                <w:highlight w:val="none"/>
                <w:lang w:val="en-US" w:eastAsia="zh-CN"/>
              </w:rPr>
              <w:t>5</w:t>
            </w:r>
            <w:r>
              <w:rPr>
                <w:rFonts w:hint="eastAsia" w:hAnsi="宋体" w:cs="宋体"/>
                <w:b/>
                <w:color w:val="auto"/>
                <w:szCs w:val="21"/>
                <w:highlight w:val="none"/>
              </w:rPr>
              <w:t>家≤参与评标价平均值计算的投标人数量＜</w:t>
            </w:r>
            <w:r>
              <w:rPr>
                <w:rFonts w:hint="eastAsia" w:hAnsi="宋体" w:cs="宋体"/>
                <w:b/>
                <w:color w:val="auto"/>
                <w:szCs w:val="21"/>
                <w:highlight w:val="none"/>
                <w:lang w:val="en-US" w:eastAsia="zh-CN"/>
              </w:rPr>
              <w:t>7</w:t>
            </w:r>
            <w:r>
              <w:rPr>
                <w:rFonts w:hint="eastAsia" w:hAnsi="宋体" w:cs="宋体"/>
                <w:b/>
                <w:color w:val="auto"/>
                <w:szCs w:val="21"/>
                <w:highlight w:val="none"/>
              </w:rPr>
              <w:t>家时，n1=1，n2=1；</w:t>
            </w:r>
          </w:p>
          <w:p w14:paraId="65C993A1">
            <w:pPr>
              <w:pStyle w:val="5"/>
              <w:pageBreakBefore w:val="0"/>
              <w:widowControl w:val="0"/>
              <w:kinsoku/>
              <w:wordWrap/>
              <w:overflowPunct/>
              <w:topLinePunct w:val="0"/>
              <w:bidi w:val="0"/>
              <w:spacing w:line="288" w:lineRule="auto"/>
              <w:ind w:firstLine="211"/>
              <w:rPr>
                <w:rFonts w:hint="eastAsia" w:hAnsi="宋体" w:cs="宋体"/>
                <w:b/>
                <w:color w:val="auto"/>
                <w:szCs w:val="21"/>
                <w:highlight w:val="none"/>
              </w:rPr>
            </w:pPr>
            <w:r>
              <w:rPr>
                <w:rFonts w:hint="eastAsia" w:hAnsi="宋体" w:cs="宋体"/>
                <w:b/>
                <w:color w:val="auto"/>
                <w:szCs w:val="21"/>
                <w:highlight w:val="none"/>
                <w:lang w:val="en-US" w:eastAsia="zh-CN"/>
              </w:rPr>
              <w:t>7</w:t>
            </w:r>
            <w:r>
              <w:rPr>
                <w:rFonts w:hint="eastAsia" w:hAnsi="宋体" w:cs="宋体"/>
                <w:b/>
                <w:color w:val="auto"/>
                <w:szCs w:val="21"/>
                <w:highlight w:val="none"/>
              </w:rPr>
              <w:t>家≤参与评标价平均值计算的投标人数量＜</w:t>
            </w:r>
            <w:r>
              <w:rPr>
                <w:rFonts w:hint="eastAsia" w:hAnsi="宋体" w:cs="宋体"/>
                <w:b/>
                <w:color w:val="auto"/>
                <w:szCs w:val="21"/>
                <w:highlight w:val="none"/>
                <w:lang w:val="en-US" w:eastAsia="zh-CN"/>
              </w:rPr>
              <w:t>11</w:t>
            </w:r>
            <w:r>
              <w:rPr>
                <w:rFonts w:hint="eastAsia" w:hAnsi="宋体" w:cs="宋体"/>
                <w:b/>
                <w:color w:val="auto"/>
                <w:szCs w:val="21"/>
                <w:highlight w:val="none"/>
              </w:rPr>
              <w:t>家时，n1=</w:t>
            </w:r>
            <w:r>
              <w:rPr>
                <w:rFonts w:hint="eastAsia" w:hAnsi="宋体" w:cs="宋体"/>
                <w:b/>
                <w:color w:val="auto"/>
                <w:szCs w:val="21"/>
                <w:highlight w:val="none"/>
                <w:lang w:val="en-US" w:eastAsia="zh-CN"/>
              </w:rPr>
              <w:t>2</w:t>
            </w:r>
            <w:r>
              <w:rPr>
                <w:rFonts w:hint="eastAsia" w:hAnsi="宋体" w:cs="宋体"/>
                <w:b/>
                <w:color w:val="auto"/>
                <w:szCs w:val="21"/>
                <w:highlight w:val="none"/>
              </w:rPr>
              <w:t>，n2=</w:t>
            </w:r>
            <w:r>
              <w:rPr>
                <w:rFonts w:hint="eastAsia" w:hAnsi="宋体" w:cs="宋体"/>
                <w:b/>
                <w:color w:val="auto"/>
                <w:szCs w:val="21"/>
                <w:highlight w:val="none"/>
                <w:lang w:val="en-US" w:eastAsia="zh-CN"/>
              </w:rPr>
              <w:t>2</w:t>
            </w:r>
            <w:r>
              <w:rPr>
                <w:rFonts w:hint="eastAsia" w:hAnsi="宋体" w:cs="宋体"/>
                <w:b/>
                <w:color w:val="auto"/>
                <w:szCs w:val="21"/>
                <w:highlight w:val="none"/>
              </w:rPr>
              <w:t>；</w:t>
            </w:r>
          </w:p>
          <w:p w14:paraId="0944A79C">
            <w:pPr>
              <w:pStyle w:val="5"/>
              <w:pageBreakBefore w:val="0"/>
              <w:widowControl w:val="0"/>
              <w:kinsoku/>
              <w:wordWrap/>
              <w:overflowPunct/>
              <w:topLinePunct w:val="0"/>
              <w:bidi w:val="0"/>
              <w:spacing w:line="288" w:lineRule="auto"/>
              <w:ind w:firstLine="211"/>
              <w:rPr>
                <w:rFonts w:hint="eastAsia" w:hAnsi="宋体" w:cs="宋体"/>
                <w:b/>
                <w:color w:val="auto"/>
                <w:szCs w:val="21"/>
                <w:highlight w:val="none"/>
              </w:rPr>
            </w:pPr>
            <w:r>
              <w:rPr>
                <w:rFonts w:hint="eastAsia" w:hAnsi="宋体" w:cs="宋体"/>
                <w:b/>
                <w:color w:val="auto"/>
                <w:szCs w:val="21"/>
                <w:highlight w:val="none"/>
                <w:lang w:val="en-US" w:eastAsia="zh-CN"/>
              </w:rPr>
              <w:t>11</w:t>
            </w:r>
            <w:r>
              <w:rPr>
                <w:rFonts w:hint="eastAsia" w:hAnsi="宋体" w:cs="宋体"/>
                <w:b/>
                <w:color w:val="auto"/>
                <w:szCs w:val="21"/>
                <w:highlight w:val="none"/>
              </w:rPr>
              <w:t>家≤参与评标价平均值计算的投标人数量，n1=</w:t>
            </w:r>
            <w:r>
              <w:rPr>
                <w:rFonts w:hint="eastAsia" w:hAnsi="宋体" w:cs="宋体"/>
                <w:b/>
                <w:color w:val="auto"/>
                <w:szCs w:val="21"/>
                <w:highlight w:val="none"/>
                <w:lang w:val="en-US" w:eastAsia="zh-CN"/>
              </w:rPr>
              <w:t>3</w:t>
            </w:r>
            <w:r>
              <w:rPr>
                <w:rFonts w:hint="eastAsia" w:hAnsi="宋体" w:cs="宋体"/>
                <w:b/>
                <w:color w:val="auto"/>
                <w:szCs w:val="21"/>
                <w:highlight w:val="none"/>
              </w:rPr>
              <w:t>，n2=</w:t>
            </w:r>
            <w:r>
              <w:rPr>
                <w:rFonts w:hint="eastAsia" w:hAnsi="宋体" w:cs="宋体"/>
                <w:b/>
                <w:color w:val="auto"/>
                <w:szCs w:val="21"/>
                <w:highlight w:val="none"/>
                <w:lang w:val="en-US" w:eastAsia="zh-CN"/>
              </w:rPr>
              <w:t>3</w:t>
            </w:r>
            <w:r>
              <w:rPr>
                <w:rFonts w:hint="eastAsia" w:hAnsi="宋体" w:cs="宋体"/>
                <w:b/>
                <w:color w:val="auto"/>
                <w:szCs w:val="21"/>
                <w:highlight w:val="none"/>
              </w:rPr>
              <w:t>；</w:t>
            </w:r>
          </w:p>
          <w:p w14:paraId="4C7DD6B0">
            <w:pPr>
              <w:pStyle w:val="5"/>
              <w:pageBreakBefore w:val="0"/>
              <w:widowControl w:val="0"/>
              <w:kinsoku/>
              <w:wordWrap/>
              <w:overflowPunct/>
              <w:topLinePunct w:val="0"/>
              <w:bidi w:val="0"/>
              <w:spacing w:line="288" w:lineRule="auto"/>
              <w:rPr>
                <w:rFonts w:hint="eastAsia" w:hAnsi="宋体" w:cs="宋体"/>
                <w:color w:val="auto"/>
                <w:szCs w:val="21"/>
                <w:highlight w:val="none"/>
              </w:rPr>
            </w:pPr>
            <w:r>
              <w:rPr>
                <w:rFonts w:hint="eastAsia" w:hAnsi="宋体" w:cs="宋体"/>
                <w:color w:val="auto"/>
                <w:szCs w:val="21"/>
                <w:highlight w:val="none"/>
              </w:rPr>
              <w:t>（3）评标基准价的确定：</w:t>
            </w:r>
          </w:p>
          <w:p w14:paraId="5330E2A0">
            <w:pPr>
              <w:pStyle w:val="5"/>
              <w:pageBreakBefore w:val="0"/>
              <w:widowControl w:val="0"/>
              <w:kinsoku/>
              <w:wordWrap/>
              <w:overflowPunct/>
              <w:topLinePunct w:val="0"/>
              <w:bidi w:val="0"/>
              <w:spacing w:line="288" w:lineRule="auto"/>
              <w:rPr>
                <w:rFonts w:hint="eastAsia" w:hAnsi="宋体" w:cs="宋体"/>
                <w:color w:val="auto"/>
                <w:szCs w:val="21"/>
                <w:highlight w:val="none"/>
              </w:rPr>
            </w:pPr>
            <w:r>
              <w:rPr>
                <w:rFonts w:hint="eastAsia" w:hAnsi="宋体" w:cs="宋体"/>
                <w:color w:val="auto"/>
                <w:szCs w:val="21"/>
                <w:highlight w:val="none"/>
              </w:rPr>
              <w:t>将评标价平均值直接作为评标基准价。</w:t>
            </w:r>
          </w:p>
          <w:p w14:paraId="14812DFB">
            <w:pPr>
              <w:keepNext w:val="0"/>
              <w:keepLines w:val="0"/>
              <w:pageBreakBefore w:val="0"/>
              <w:widowControl w:val="0"/>
              <w:kinsoku/>
              <w:wordWrap/>
              <w:overflowPunct/>
              <w:topLinePunct w:val="0"/>
              <w:autoSpaceDE/>
              <w:autoSpaceDN/>
              <w:bidi w:val="0"/>
              <w:adjustRightInd/>
              <w:snapToGrid/>
              <w:spacing w:line="288" w:lineRule="auto"/>
              <w:ind w:left="0" w:right="0" w:firstLine="420" w:firstLineChars="200"/>
              <w:textAlignment w:val="auto"/>
              <w:rPr>
                <w:rFonts w:hint="eastAsia" w:ascii="宋体" w:hAnsi="宋体" w:eastAsia="宋体" w:cs="宋体"/>
                <w:color w:val="auto"/>
                <w:szCs w:val="21"/>
                <w:highlight w:val="none"/>
                <w:lang w:val="en-US" w:eastAsia="zh-CN"/>
              </w:rPr>
            </w:pPr>
            <w:r>
              <w:rPr>
                <w:rFonts w:hint="eastAsia" w:hAnsi="宋体" w:cs="宋体"/>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4026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773BAA86">
            <w:pPr>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683" w:type="dxa"/>
            <w:vAlign w:val="center"/>
          </w:tcPr>
          <w:p w14:paraId="7ACBAC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w:t>
            </w:r>
          </w:p>
          <w:p w14:paraId="6AD36D6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偏差率计算公式</w:t>
            </w:r>
          </w:p>
        </w:tc>
        <w:tc>
          <w:tcPr>
            <w:tcW w:w="7547" w:type="dxa"/>
            <w:vAlign w:val="center"/>
          </w:tcPr>
          <w:p w14:paraId="5E00B66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偏差率=100% ×（投标人报价−评标基准价）/评标基准价</w:t>
            </w:r>
          </w:p>
        </w:tc>
      </w:tr>
      <w:tr w14:paraId="4BD5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4" w:type="dxa"/>
            <w:gridSpan w:val="3"/>
            <w:vAlign w:val="center"/>
          </w:tcPr>
          <w:p w14:paraId="4EBA40BE">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需要补充的其他内容：无</w:t>
            </w:r>
          </w:p>
        </w:tc>
      </w:tr>
    </w:tbl>
    <w:p w14:paraId="4393222C">
      <w:pPr>
        <w:pStyle w:val="5"/>
        <w:pageBreakBefore w:val="0"/>
        <w:widowControl w:val="0"/>
        <w:kinsoku/>
        <w:wordWrap/>
        <w:overflowPunct/>
        <w:topLinePunct w:val="0"/>
        <w:bidi w:val="0"/>
        <w:spacing w:line="288" w:lineRule="auto"/>
        <w:rPr>
          <w:rFonts w:hint="eastAsia" w:ascii="宋体" w:hAnsi="宋体" w:eastAsia="宋体" w:cs="宋体"/>
          <w:b/>
          <w:color w:val="auto"/>
          <w:szCs w:val="21"/>
          <w:highlight w:val="none"/>
        </w:rPr>
      </w:pPr>
      <w:r>
        <w:rPr>
          <w:rFonts w:hint="eastAsia" w:ascii="宋体" w:hAnsi="宋体" w:eastAsia="宋体" w:cs="宋体"/>
          <w:color w:val="auto"/>
          <w:sz w:val="24"/>
          <w:highlight w:val="none"/>
        </w:rPr>
        <w:t>具体评分标准如下：</w:t>
      </w:r>
    </w:p>
    <w:tbl>
      <w:tblPr>
        <w:tblStyle w:val="6"/>
        <w:tblW w:w="10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10"/>
        <w:gridCol w:w="907"/>
        <w:gridCol w:w="1185"/>
        <w:gridCol w:w="1410"/>
        <w:gridCol w:w="885"/>
        <w:gridCol w:w="5140"/>
      </w:tblGrid>
      <w:tr w14:paraId="7DAA5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2" w:hRule="atLeast"/>
          <w:jc w:val="center"/>
        </w:trPr>
        <w:tc>
          <w:tcPr>
            <w:tcW w:w="710" w:type="dxa"/>
            <w:noWrap w:val="0"/>
            <w:vAlign w:val="center"/>
          </w:tcPr>
          <w:p w14:paraId="6D578CFA">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907" w:type="dxa"/>
            <w:noWrap w:val="0"/>
            <w:vAlign w:val="center"/>
          </w:tcPr>
          <w:p w14:paraId="393A6DBA">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w:t>
            </w:r>
          </w:p>
          <w:p w14:paraId="72B279B1">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因素</w:t>
            </w:r>
          </w:p>
        </w:tc>
        <w:tc>
          <w:tcPr>
            <w:tcW w:w="1185" w:type="dxa"/>
            <w:noWrap w:val="0"/>
            <w:vAlign w:val="center"/>
          </w:tcPr>
          <w:p w14:paraId="7BDDFA8D">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评分因素</w:t>
            </w:r>
          </w:p>
          <w:p w14:paraId="05101286">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权重分值</w:t>
            </w:r>
          </w:p>
        </w:tc>
        <w:tc>
          <w:tcPr>
            <w:tcW w:w="1410" w:type="dxa"/>
            <w:tcBorders>
              <w:right w:val="single" w:color="auto" w:sz="4" w:space="0"/>
            </w:tcBorders>
            <w:noWrap w:val="0"/>
            <w:vAlign w:val="center"/>
          </w:tcPr>
          <w:p w14:paraId="4FF9092C">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各评分因</w:t>
            </w:r>
          </w:p>
          <w:p w14:paraId="04EA51D6">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素细分项</w:t>
            </w:r>
          </w:p>
        </w:tc>
        <w:tc>
          <w:tcPr>
            <w:tcW w:w="885" w:type="dxa"/>
            <w:tcBorders>
              <w:left w:val="single" w:color="auto" w:sz="4" w:space="0"/>
              <w:right w:val="single" w:color="auto" w:sz="4" w:space="0"/>
            </w:tcBorders>
            <w:noWrap w:val="0"/>
            <w:vAlign w:val="center"/>
          </w:tcPr>
          <w:p w14:paraId="170436FF">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分值</w:t>
            </w:r>
          </w:p>
        </w:tc>
        <w:tc>
          <w:tcPr>
            <w:tcW w:w="5140" w:type="dxa"/>
            <w:tcBorders>
              <w:left w:val="single" w:color="auto" w:sz="4" w:space="0"/>
            </w:tcBorders>
            <w:noWrap w:val="0"/>
            <w:vAlign w:val="center"/>
          </w:tcPr>
          <w:p w14:paraId="66504B81">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评分标准</w:t>
            </w:r>
          </w:p>
        </w:tc>
      </w:tr>
      <w:tr w14:paraId="202A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exact"/>
          <w:jc w:val="center"/>
        </w:trPr>
        <w:tc>
          <w:tcPr>
            <w:tcW w:w="710" w:type="dxa"/>
            <w:vMerge w:val="restart"/>
            <w:noWrap w:val="0"/>
            <w:vAlign w:val="center"/>
          </w:tcPr>
          <w:p w14:paraId="341E221A">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2.2.4（1）</w:t>
            </w:r>
          </w:p>
        </w:tc>
        <w:tc>
          <w:tcPr>
            <w:tcW w:w="907" w:type="dxa"/>
            <w:vMerge w:val="restart"/>
            <w:noWrap w:val="0"/>
            <w:vAlign w:val="center"/>
          </w:tcPr>
          <w:p w14:paraId="6EA5602A">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spacing w:val="-10"/>
                <w:szCs w:val="21"/>
                <w:highlight w:val="none"/>
                <w:lang w:val="en-US" w:eastAsia="zh-CN"/>
              </w:rPr>
            </w:pPr>
            <w:r>
              <w:rPr>
                <w:rFonts w:hint="eastAsia" w:ascii="宋体" w:hAnsi="宋体" w:eastAsia="宋体" w:cs="宋体"/>
                <w:color w:val="auto"/>
                <w:spacing w:val="-10"/>
                <w:szCs w:val="21"/>
                <w:highlight w:val="none"/>
                <w:lang w:val="en-US" w:eastAsia="zh-CN"/>
              </w:rPr>
              <w:t>监理</w:t>
            </w:r>
          </w:p>
          <w:p w14:paraId="0FC09320">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spacing w:val="-10"/>
                <w:szCs w:val="21"/>
                <w:highlight w:val="none"/>
                <w:lang w:val="en-US" w:eastAsia="zh-CN"/>
              </w:rPr>
            </w:pPr>
            <w:r>
              <w:rPr>
                <w:rFonts w:hint="eastAsia" w:ascii="宋体" w:hAnsi="宋体" w:eastAsia="宋体" w:cs="宋体"/>
                <w:color w:val="auto"/>
                <w:spacing w:val="-10"/>
                <w:szCs w:val="21"/>
                <w:highlight w:val="none"/>
                <w:lang w:val="en-US" w:eastAsia="zh-CN"/>
              </w:rPr>
              <w:t>大纲</w:t>
            </w:r>
          </w:p>
          <w:p w14:paraId="0FE941B2">
            <w:pPr>
              <w:pStyle w:val="2"/>
              <w:pageBreakBefore w:val="0"/>
              <w:widowControl w:val="0"/>
              <w:kinsoku/>
              <w:wordWrap/>
              <w:overflowPunct/>
              <w:topLinePunct w:val="0"/>
              <w:bidi w:val="0"/>
              <w:spacing w:beforeLines="0" w:afterLines="0" w:line="288" w:lineRule="auto"/>
              <w:rPr>
                <w:rFonts w:hint="eastAsia" w:ascii="宋体" w:hAnsi="宋体" w:eastAsia="宋体" w:cs="宋体"/>
                <w:color w:val="auto"/>
                <w:highlight w:val="none"/>
                <w:lang w:val="en-US" w:eastAsia="zh-CN"/>
              </w:rPr>
            </w:pPr>
            <w:r>
              <w:rPr>
                <w:rFonts w:hint="eastAsia" w:ascii="宋体" w:hAnsi="宋体" w:eastAsia="宋体" w:cs="宋体"/>
                <w:b w:val="0"/>
                <w:bCs w:val="0"/>
                <w:color w:val="auto"/>
                <w:spacing w:val="-10"/>
                <w:kern w:val="2"/>
                <w:sz w:val="21"/>
                <w:szCs w:val="21"/>
                <w:highlight w:val="none"/>
                <w:lang w:val="en-US" w:eastAsia="zh-CN" w:bidi="ar-SA"/>
              </w:rPr>
              <w:t>（暗标）</w:t>
            </w:r>
          </w:p>
        </w:tc>
        <w:tc>
          <w:tcPr>
            <w:tcW w:w="1185" w:type="dxa"/>
            <w:vMerge w:val="restart"/>
            <w:noWrap w:val="0"/>
            <w:vAlign w:val="center"/>
          </w:tcPr>
          <w:p w14:paraId="5CA5CFA9">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分</w:t>
            </w:r>
          </w:p>
        </w:tc>
        <w:tc>
          <w:tcPr>
            <w:tcW w:w="1410" w:type="dxa"/>
            <w:vMerge w:val="restart"/>
            <w:tcBorders>
              <w:right w:val="single" w:color="auto" w:sz="4" w:space="0"/>
            </w:tcBorders>
            <w:noWrap w:val="0"/>
            <w:vAlign w:val="center"/>
          </w:tcPr>
          <w:p w14:paraId="4E9C7066">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对本项目监理工作范围和</w:t>
            </w:r>
          </w:p>
          <w:p w14:paraId="6F2FC9D7">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任务理解</w:t>
            </w:r>
          </w:p>
        </w:tc>
        <w:tc>
          <w:tcPr>
            <w:tcW w:w="885" w:type="dxa"/>
            <w:vMerge w:val="restart"/>
            <w:tcBorders>
              <w:left w:val="single" w:color="auto" w:sz="4" w:space="0"/>
              <w:right w:val="single" w:color="auto" w:sz="4" w:space="0"/>
            </w:tcBorders>
            <w:noWrap w:val="0"/>
            <w:vAlign w:val="center"/>
          </w:tcPr>
          <w:p w14:paraId="1D91FB3C">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5140" w:type="dxa"/>
            <w:tcBorders>
              <w:left w:val="single" w:color="auto" w:sz="4" w:space="0"/>
              <w:bottom w:val="single" w:color="auto" w:sz="4" w:space="0"/>
            </w:tcBorders>
            <w:noWrap w:val="0"/>
            <w:vAlign w:val="center"/>
          </w:tcPr>
          <w:p w14:paraId="37979207">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pacing w:val="-6"/>
                <w:sz w:val="21"/>
                <w:szCs w:val="21"/>
                <w:highlight w:val="none"/>
              </w:rPr>
              <w:t>理理解准确，思路清晰，全面、合理，符合项目要求，得</w:t>
            </w:r>
            <w:r>
              <w:rPr>
                <w:rFonts w:hint="eastAsia" w:ascii="宋体" w:hAnsi="宋体" w:eastAsia="宋体" w:cs="宋体"/>
                <w:color w:val="auto"/>
                <w:spacing w:val="-6"/>
                <w:sz w:val="21"/>
                <w:szCs w:val="21"/>
                <w:highlight w:val="none"/>
                <w:lang w:val="en-US" w:eastAsia="zh-CN"/>
              </w:rPr>
              <w:t>8.0</w:t>
            </w:r>
            <w:r>
              <w:rPr>
                <w:rFonts w:hint="eastAsia" w:ascii="宋体" w:hAnsi="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10.0</w:t>
            </w:r>
            <w:r>
              <w:rPr>
                <w:rFonts w:hint="eastAsia" w:ascii="宋体" w:hAnsi="宋体" w:cs="宋体"/>
                <w:color w:val="auto"/>
                <w:spacing w:val="-6"/>
                <w:sz w:val="21"/>
                <w:szCs w:val="21"/>
                <w:highlight w:val="none"/>
                <w:lang w:val="en-US" w:eastAsia="zh-CN"/>
              </w:rPr>
              <w:t>0</w:t>
            </w:r>
            <w:r>
              <w:rPr>
                <w:rFonts w:hint="eastAsia" w:ascii="宋体" w:hAnsi="宋体" w:eastAsia="宋体" w:cs="宋体"/>
                <w:color w:val="auto"/>
                <w:spacing w:val="-6"/>
                <w:sz w:val="21"/>
                <w:szCs w:val="21"/>
                <w:highlight w:val="none"/>
              </w:rPr>
              <w:t>分；</w:t>
            </w:r>
          </w:p>
        </w:tc>
      </w:tr>
      <w:tr w14:paraId="6D87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9" w:hRule="exact"/>
          <w:jc w:val="center"/>
        </w:trPr>
        <w:tc>
          <w:tcPr>
            <w:tcW w:w="710" w:type="dxa"/>
            <w:vMerge w:val="continue"/>
            <w:noWrap w:val="0"/>
            <w:vAlign w:val="center"/>
          </w:tcPr>
          <w:p w14:paraId="1440A504">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0CB46542">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6B9A2B44">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008BC694">
            <w:pPr>
              <w:pStyle w:val="5"/>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p>
        </w:tc>
        <w:tc>
          <w:tcPr>
            <w:tcW w:w="885" w:type="dxa"/>
            <w:vMerge w:val="continue"/>
            <w:tcBorders>
              <w:left w:val="single" w:color="auto" w:sz="4" w:space="0"/>
              <w:right w:val="single" w:color="auto" w:sz="4" w:space="0"/>
            </w:tcBorders>
            <w:noWrap w:val="0"/>
            <w:vAlign w:val="center"/>
          </w:tcPr>
          <w:p w14:paraId="6AE09D47">
            <w:pPr>
              <w:pStyle w:val="5"/>
              <w:pageBreakBefore w:val="0"/>
              <w:widowControl w:val="0"/>
              <w:kinsoku/>
              <w:wordWrap/>
              <w:overflowPunct/>
              <w:topLinePunct w:val="0"/>
              <w:bidi w:val="0"/>
              <w:spacing w:line="288" w:lineRule="auto"/>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6A5BAC15">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理解较准确，思路较清晰，得</w:t>
            </w:r>
            <w:r>
              <w:rPr>
                <w:rFonts w:hint="eastAsia" w:ascii="宋体" w:hAnsi="宋体" w:eastAsia="宋体" w:cs="宋体"/>
                <w:color w:val="auto"/>
                <w:szCs w:val="21"/>
                <w:highlight w:val="none"/>
                <w:lang w:val="en-US" w:eastAsia="zh-CN"/>
              </w:rPr>
              <w:t>6.0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2B495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9" w:hRule="exact"/>
          <w:jc w:val="center"/>
        </w:trPr>
        <w:tc>
          <w:tcPr>
            <w:tcW w:w="710" w:type="dxa"/>
            <w:vMerge w:val="continue"/>
            <w:noWrap w:val="0"/>
            <w:vAlign w:val="center"/>
          </w:tcPr>
          <w:p w14:paraId="28ECCF9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395B1098">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7623407C">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5915001E">
            <w:pPr>
              <w:pStyle w:val="5"/>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07C1E07C">
            <w:pPr>
              <w:pStyle w:val="5"/>
              <w:pageBreakBefore w:val="0"/>
              <w:widowControl w:val="0"/>
              <w:kinsoku/>
              <w:wordWrap/>
              <w:overflowPunct/>
              <w:topLinePunct w:val="0"/>
              <w:bidi w:val="0"/>
              <w:spacing w:line="288" w:lineRule="auto"/>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05541F28">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理</w:t>
            </w:r>
            <w:r>
              <w:rPr>
                <w:rFonts w:hint="eastAsia" w:ascii="宋体" w:hAnsi="宋体" w:eastAsia="宋体" w:cs="宋体"/>
                <w:color w:val="auto"/>
                <w:szCs w:val="21"/>
                <w:highlight w:val="none"/>
              </w:rPr>
              <w:t>解基本准确，得</w:t>
            </w:r>
            <w:r>
              <w:rPr>
                <w:rFonts w:hint="eastAsia" w:ascii="宋体" w:hAnsi="宋体" w:eastAsia="宋体" w:cs="宋体"/>
                <w:color w:val="auto"/>
                <w:szCs w:val="21"/>
                <w:highlight w:val="none"/>
                <w:lang w:val="en-US" w:eastAsia="zh-CN"/>
              </w:rPr>
              <w:t>6.0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7C0F9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3C724F90">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3B02D916">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31AEFABA">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restart"/>
            <w:tcBorders>
              <w:right w:val="single" w:color="auto" w:sz="4" w:space="0"/>
            </w:tcBorders>
            <w:noWrap w:val="0"/>
            <w:vAlign w:val="center"/>
          </w:tcPr>
          <w:p w14:paraId="40852E3B">
            <w:pPr>
              <w:pStyle w:val="5"/>
              <w:pageBreakBefore w:val="0"/>
              <w:widowControl w:val="0"/>
              <w:kinsoku/>
              <w:wordWrap/>
              <w:overflowPunct/>
              <w:topLinePunct w:val="0"/>
              <w:bidi w:val="0"/>
              <w:spacing w:line="288" w:lineRule="auto"/>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监理</w:t>
            </w:r>
          </w:p>
          <w:p w14:paraId="3C3E4F41">
            <w:pPr>
              <w:pStyle w:val="5"/>
              <w:pageBreakBefore w:val="0"/>
              <w:widowControl w:val="0"/>
              <w:kinsoku/>
              <w:wordWrap/>
              <w:overflowPunct/>
              <w:topLinePunct w:val="0"/>
              <w:bidi w:val="0"/>
              <w:spacing w:line="288" w:lineRule="auto"/>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方案及措施</w:t>
            </w:r>
          </w:p>
        </w:tc>
        <w:tc>
          <w:tcPr>
            <w:tcW w:w="885" w:type="dxa"/>
            <w:vMerge w:val="restart"/>
            <w:tcBorders>
              <w:top w:val="single" w:color="auto" w:sz="4" w:space="0"/>
              <w:left w:val="single" w:color="auto" w:sz="4" w:space="0"/>
              <w:right w:val="single" w:color="auto" w:sz="4" w:space="0"/>
            </w:tcBorders>
            <w:noWrap w:val="0"/>
            <w:vAlign w:val="center"/>
          </w:tcPr>
          <w:p w14:paraId="2ACD79F7">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lang w:val="en-US"/>
              </w:rPr>
            </w:pPr>
            <w:r>
              <w:rPr>
                <w:rFonts w:hint="eastAsia" w:hAnsi="宋体" w:cs="宋体"/>
                <w:color w:val="auto"/>
                <w:highlight w:val="none"/>
                <w:lang w:val="en-US" w:eastAsia="zh-CN"/>
              </w:rPr>
              <w:t>1</w:t>
            </w:r>
            <w:r>
              <w:rPr>
                <w:rFonts w:hint="eastAsia" w:ascii="宋体" w:hAnsi="宋体" w:eastAsia="宋体" w:cs="宋体"/>
                <w:color w:val="auto"/>
                <w:highlight w:val="none"/>
                <w:lang w:val="en-US" w:eastAsia="zh-CN"/>
              </w:rPr>
              <w:t>0分</w:t>
            </w:r>
          </w:p>
        </w:tc>
        <w:tc>
          <w:tcPr>
            <w:tcW w:w="5140" w:type="dxa"/>
            <w:tcBorders>
              <w:top w:val="single" w:color="auto" w:sz="4" w:space="0"/>
              <w:left w:val="single" w:color="auto" w:sz="4" w:space="0"/>
              <w:bottom w:val="single" w:color="auto" w:sz="4" w:space="0"/>
            </w:tcBorders>
            <w:noWrap w:val="0"/>
            <w:vAlign w:val="center"/>
          </w:tcPr>
          <w:p w14:paraId="55BFCCB2">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方案详尽，措施具体全面合理，可行性强</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03779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74F9FAC1">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73FAA883">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4A392ED7">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1151918F">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p>
        </w:tc>
        <w:tc>
          <w:tcPr>
            <w:tcW w:w="885" w:type="dxa"/>
            <w:vMerge w:val="continue"/>
            <w:tcBorders>
              <w:left w:val="single" w:color="auto" w:sz="4" w:space="0"/>
              <w:right w:val="single" w:color="auto" w:sz="4" w:space="0"/>
            </w:tcBorders>
            <w:noWrap w:val="0"/>
            <w:vAlign w:val="center"/>
          </w:tcPr>
          <w:p w14:paraId="0F766B49">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p>
        </w:tc>
        <w:tc>
          <w:tcPr>
            <w:tcW w:w="5140" w:type="dxa"/>
            <w:tcBorders>
              <w:top w:val="single" w:color="auto" w:sz="4" w:space="0"/>
              <w:left w:val="single" w:color="auto" w:sz="4" w:space="0"/>
              <w:bottom w:val="single" w:color="auto" w:sz="4" w:space="0"/>
            </w:tcBorders>
            <w:noWrap w:val="0"/>
            <w:vAlign w:val="center"/>
          </w:tcPr>
          <w:p w14:paraId="101B7992">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方案较详尽，措施合理，可行性较好，</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24EB8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6F060775">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10DAE738">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21B191BB">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2C6E3584">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p>
        </w:tc>
        <w:tc>
          <w:tcPr>
            <w:tcW w:w="885" w:type="dxa"/>
            <w:vMerge w:val="continue"/>
            <w:tcBorders>
              <w:left w:val="single" w:color="auto" w:sz="4" w:space="0"/>
              <w:right w:val="single" w:color="auto" w:sz="4" w:space="0"/>
            </w:tcBorders>
            <w:noWrap w:val="0"/>
            <w:vAlign w:val="center"/>
          </w:tcPr>
          <w:p w14:paraId="674A4817">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p>
        </w:tc>
        <w:tc>
          <w:tcPr>
            <w:tcW w:w="5140" w:type="dxa"/>
            <w:tcBorders>
              <w:top w:val="single" w:color="auto" w:sz="4" w:space="0"/>
              <w:left w:val="single" w:color="auto" w:sz="4" w:space="0"/>
              <w:bottom w:val="single" w:color="auto" w:sz="4" w:space="0"/>
            </w:tcBorders>
            <w:noWrap w:val="0"/>
            <w:vAlign w:val="center"/>
          </w:tcPr>
          <w:p w14:paraId="77234ADF">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方案一般，措施基本全面，可行性一般</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1D70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69A0BE7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72556B16">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139C29AD">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restart"/>
            <w:tcBorders>
              <w:right w:val="single" w:color="auto" w:sz="4" w:space="0"/>
            </w:tcBorders>
            <w:noWrap w:val="0"/>
            <w:vAlign w:val="center"/>
          </w:tcPr>
          <w:p w14:paraId="5315CDEC">
            <w:pPr>
              <w:pStyle w:val="5"/>
              <w:pageBreakBefore w:val="0"/>
              <w:widowControl w:val="0"/>
              <w:kinsoku/>
              <w:wordWrap/>
              <w:overflowPunct/>
              <w:topLinePunct w:val="0"/>
              <w:bidi w:val="0"/>
              <w:spacing w:line="288"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监理工作程序</w:t>
            </w:r>
          </w:p>
        </w:tc>
        <w:tc>
          <w:tcPr>
            <w:tcW w:w="885" w:type="dxa"/>
            <w:vMerge w:val="restart"/>
            <w:tcBorders>
              <w:top w:val="single" w:color="auto" w:sz="4" w:space="0"/>
              <w:left w:val="single" w:color="auto" w:sz="4" w:space="0"/>
              <w:right w:val="single" w:color="auto" w:sz="4" w:space="0"/>
            </w:tcBorders>
            <w:noWrap w:val="0"/>
            <w:vAlign w:val="center"/>
          </w:tcPr>
          <w:p w14:paraId="4E666E60">
            <w:pPr>
              <w:pStyle w:val="5"/>
              <w:pageBreakBefore w:val="0"/>
              <w:widowControl w:val="0"/>
              <w:kinsoku/>
              <w:wordWrap/>
              <w:overflowPunct/>
              <w:topLinePunct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hAnsi="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5140" w:type="dxa"/>
            <w:tcBorders>
              <w:top w:val="single" w:color="auto" w:sz="4" w:space="0"/>
              <w:left w:val="single" w:color="auto" w:sz="4" w:space="0"/>
              <w:bottom w:val="single" w:color="auto" w:sz="4" w:space="0"/>
            </w:tcBorders>
            <w:noWrap w:val="0"/>
            <w:vAlign w:val="center"/>
          </w:tcPr>
          <w:p w14:paraId="732B35B4">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内容齐全，阶段划分合理、正确，可实施性强，得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4C279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0B0C9510">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6D5BCC5B">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0E37F379">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1289BCA1">
            <w:pPr>
              <w:pStyle w:val="5"/>
              <w:pageBreakBefore w:val="0"/>
              <w:widowControl w:val="0"/>
              <w:kinsoku/>
              <w:wordWrap/>
              <w:overflowPunct/>
              <w:topLinePunct w:val="0"/>
              <w:bidi w:val="0"/>
              <w:spacing w:line="288" w:lineRule="auto"/>
              <w:jc w:val="left"/>
              <w:rPr>
                <w:rFonts w:hint="eastAsia" w:ascii="宋体" w:hAnsi="宋体" w:eastAsia="宋体" w:cs="宋体"/>
                <w:color w:val="auto"/>
                <w:szCs w:val="21"/>
                <w:highlight w:val="none"/>
              </w:rPr>
            </w:pPr>
          </w:p>
        </w:tc>
        <w:tc>
          <w:tcPr>
            <w:tcW w:w="885" w:type="dxa"/>
            <w:vMerge w:val="continue"/>
            <w:tcBorders>
              <w:left w:val="single" w:color="auto" w:sz="4" w:space="0"/>
              <w:right w:val="single" w:color="auto" w:sz="4" w:space="0"/>
            </w:tcBorders>
            <w:noWrap w:val="0"/>
            <w:vAlign w:val="center"/>
          </w:tcPr>
          <w:p w14:paraId="33EDA19E">
            <w:pPr>
              <w:pStyle w:val="5"/>
              <w:pageBreakBefore w:val="0"/>
              <w:widowControl w:val="0"/>
              <w:kinsoku/>
              <w:wordWrap/>
              <w:overflowPunct/>
              <w:topLinePunct w:val="0"/>
              <w:bidi w:val="0"/>
              <w:spacing w:line="288" w:lineRule="auto"/>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58F36646">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内容较齐全，阶段划分较合理，可实施性较好，得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5798F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49270E53">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01C9592D">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11878023">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bottom w:val="single" w:color="auto" w:sz="4" w:space="0"/>
              <w:right w:val="single" w:color="auto" w:sz="4" w:space="0"/>
            </w:tcBorders>
            <w:noWrap w:val="0"/>
            <w:vAlign w:val="center"/>
          </w:tcPr>
          <w:p w14:paraId="1E296C43">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2C07B3DD">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02FBF8DA">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内容基本齐全，阶段划分基本合理，可实施性一般，得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7FAC4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10" w:type="dxa"/>
            <w:vMerge w:val="continue"/>
            <w:noWrap w:val="0"/>
            <w:vAlign w:val="center"/>
          </w:tcPr>
          <w:p w14:paraId="22EE91A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4E487355">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31CB333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restart"/>
            <w:tcBorders>
              <w:top w:val="single" w:color="auto" w:sz="4" w:space="0"/>
              <w:bottom w:val="single" w:color="auto" w:sz="4" w:space="0"/>
              <w:right w:val="single" w:color="auto" w:sz="4" w:space="0"/>
            </w:tcBorders>
            <w:noWrap w:val="0"/>
            <w:vAlign w:val="center"/>
          </w:tcPr>
          <w:p w14:paraId="0A9806FD">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本工程监理</w:t>
            </w:r>
          </w:p>
          <w:p w14:paraId="5975CB7C">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spacing w:val="-12"/>
                <w:szCs w:val="21"/>
                <w:highlight w:val="none"/>
              </w:rPr>
            </w:pPr>
            <w:r>
              <w:rPr>
                <w:rFonts w:hint="eastAsia" w:ascii="宋体" w:hAnsi="宋体" w:eastAsia="宋体" w:cs="宋体"/>
                <w:color w:val="auto"/>
                <w:kern w:val="0"/>
                <w:szCs w:val="21"/>
                <w:highlight w:val="none"/>
              </w:rPr>
              <w:t>工作的</w:t>
            </w:r>
            <w:r>
              <w:rPr>
                <w:rFonts w:hint="eastAsia" w:ascii="宋体" w:hAnsi="宋体" w:eastAsia="宋体" w:cs="宋体"/>
                <w:color w:val="auto"/>
                <w:spacing w:val="-12"/>
                <w:szCs w:val="21"/>
                <w:highlight w:val="none"/>
              </w:rPr>
              <w:t>重点</w:t>
            </w:r>
          </w:p>
          <w:p w14:paraId="2346E5DF">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2"/>
                <w:szCs w:val="21"/>
                <w:highlight w:val="none"/>
              </w:rPr>
              <w:t>与难点分析</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14:paraId="476C4037">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2"/>
                <w:szCs w:val="21"/>
                <w:highlight w:val="none"/>
              </w:rPr>
              <w:t>1</w:t>
            </w:r>
            <w:r>
              <w:rPr>
                <w:rFonts w:hint="eastAsia" w:ascii="宋体" w:hAnsi="宋体" w:cs="宋体"/>
                <w:color w:val="auto"/>
                <w:spacing w:val="-12"/>
                <w:szCs w:val="21"/>
                <w:highlight w:val="none"/>
                <w:lang w:val="en-US" w:eastAsia="zh-CN"/>
              </w:rPr>
              <w:t>0</w:t>
            </w:r>
            <w:r>
              <w:rPr>
                <w:rFonts w:hint="eastAsia" w:ascii="宋体" w:hAnsi="宋体" w:eastAsia="宋体" w:cs="宋体"/>
                <w:color w:val="auto"/>
                <w:spacing w:val="-12"/>
                <w:szCs w:val="21"/>
                <w:highlight w:val="none"/>
              </w:rPr>
              <w:t>分</w:t>
            </w:r>
          </w:p>
        </w:tc>
        <w:tc>
          <w:tcPr>
            <w:tcW w:w="5140" w:type="dxa"/>
            <w:tcBorders>
              <w:top w:val="single" w:color="auto" w:sz="4" w:space="0"/>
              <w:left w:val="single" w:color="auto" w:sz="4" w:space="0"/>
              <w:bottom w:val="single" w:color="auto" w:sz="4" w:space="0"/>
            </w:tcBorders>
            <w:noWrap w:val="0"/>
            <w:vAlign w:val="center"/>
          </w:tcPr>
          <w:p w14:paraId="0097F2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分析透彻，对难点、重点把握准确；处理措施科学合理，有效可行，得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44A47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10" w:type="dxa"/>
            <w:vMerge w:val="continue"/>
            <w:noWrap w:val="0"/>
            <w:vAlign w:val="center"/>
          </w:tcPr>
          <w:p w14:paraId="763E6B2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0D6271DC">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581C87A0">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3E51236E">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885" w:type="dxa"/>
            <w:vMerge w:val="continue"/>
            <w:tcBorders>
              <w:left w:val="single" w:color="auto" w:sz="4" w:space="0"/>
              <w:right w:val="single" w:color="auto" w:sz="4" w:space="0"/>
            </w:tcBorders>
            <w:noWrap w:val="0"/>
            <w:vAlign w:val="center"/>
          </w:tcPr>
          <w:p w14:paraId="0C6CD8F6">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41087F7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分析较透彻，对难点、重点把握较准确；处理措施合理，可行，得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6D246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10" w:type="dxa"/>
            <w:vMerge w:val="continue"/>
            <w:noWrap w:val="0"/>
            <w:vAlign w:val="center"/>
          </w:tcPr>
          <w:p w14:paraId="459F1F6D">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0C455008">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59BD14E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bottom w:val="single" w:color="auto" w:sz="4" w:space="0"/>
              <w:right w:val="single" w:color="auto" w:sz="4" w:space="0"/>
            </w:tcBorders>
            <w:noWrap w:val="0"/>
            <w:vAlign w:val="center"/>
          </w:tcPr>
          <w:p w14:paraId="53173481">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6F3C21B1">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35B3B07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分析一般，对难点、重点把握一般；处理措施基本合理，基本可行，得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05655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4F3EB854">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30A5ABC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4C8920A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restart"/>
            <w:tcBorders>
              <w:top w:val="single" w:color="auto" w:sz="4" w:space="0"/>
              <w:right w:val="single" w:color="auto" w:sz="4" w:space="0"/>
            </w:tcBorders>
            <w:noWrap w:val="0"/>
            <w:vAlign w:val="center"/>
          </w:tcPr>
          <w:p w14:paraId="4AA2A5F9">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对本工程的</w:t>
            </w:r>
          </w:p>
          <w:p w14:paraId="14E264A9">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建议</w:t>
            </w:r>
          </w:p>
        </w:tc>
        <w:tc>
          <w:tcPr>
            <w:tcW w:w="885" w:type="dxa"/>
            <w:vMerge w:val="restart"/>
            <w:tcBorders>
              <w:top w:val="single" w:color="auto" w:sz="4" w:space="0"/>
              <w:left w:val="single" w:color="auto" w:sz="4" w:space="0"/>
              <w:right w:val="single" w:color="auto" w:sz="4" w:space="0"/>
            </w:tcBorders>
            <w:noWrap w:val="0"/>
            <w:vAlign w:val="center"/>
          </w:tcPr>
          <w:p w14:paraId="52890CEA">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10分</w:t>
            </w:r>
          </w:p>
        </w:tc>
        <w:tc>
          <w:tcPr>
            <w:tcW w:w="5140" w:type="dxa"/>
            <w:tcBorders>
              <w:top w:val="single" w:color="auto" w:sz="4" w:space="0"/>
              <w:left w:val="single" w:color="auto" w:sz="4" w:space="0"/>
              <w:bottom w:val="single" w:color="auto" w:sz="4" w:space="0"/>
            </w:tcBorders>
            <w:noWrap w:val="0"/>
            <w:vAlign w:val="center"/>
          </w:tcPr>
          <w:p w14:paraId="6140E2A3">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建议措施具体全面、可靠、合理，可实施性强，得8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47D6D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2FD0D697">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47F1EA09">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4A33C79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764A275F">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885" w:type="dxa"/>
            <w:vMerge w:val="continue"/>
            <w:tcBorders>
              <w:left w:val="single" w:color="auto" w:sz="4" w:space="0"/>
              <w:right w:val="single" w:color="auto" w:sz="4" w:space="0"/>
            </w:tcBorders>
            <w:noWrap w:val="0"/>
            <w:vAlign w:val="center"/>
          </w:tcPr>
          <w:p w14:paraId="18BB54F8">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bottom w:val="single" w:color="auto" w:sz="4" w:space="0"/>
            </w:tcBorders>
            <w:noWrap w:val="0"/>
            <w:vAlign w:val="center"/>
          </w:tcPr>
          <w:p w14:paraId="515C1BF9">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建议措施全面、合理，可实施性较好，得</w:t>
            </w:r>
            <w:r>
              <w:rPr>
                <w:rFonts w:hint="eastAsia" w:ascii="宋体" w:hAnsi="宋体" w:eastAsia="宋体" w:cs="宋体"/>
                <w:color w:val="auto"/>
                <w:szCs w:val="21"/>
                <w:highlight w:val="none"/>
                <w:lang w:val="en-US" w:eastAsia="zh-CN"/>
              </w:rPr>
              <w:t>6.0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7E198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710" w:type="dxa"/>
            <w:vMerge w:val="continue"/>
            <w:noWrap w:val="0"/>
            <w:vAlign w:val="center"/>
          </w:tcPr>
          <w:p w14:paraId="536DB3CD">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907" w:type="dxa"/>
            <w:vMerge w:val="continue"/>
            <w:noWrap w:val="0"/>
            <w:vAlign w:val="center"/>
          </w:tcPr>
          <w:p w14:paraId="08D171AE">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185" w:type="dxa"/>
            <w:vMerge w:val="continue"/>
            <w:noWrap w:val="0"/>
            <w:vAlign w:val="center"/>
          </w:tcPr>
          <w:p w14:paraId="467BAFE7">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p>
        </w:tc>
        <w:tc>
          <w:tcPr>
            <w:tcW w:w="1410" w:type="dxa"/>
            <w:vMerge w:val="continue"/>
            <w:tcBorders>
              <w:right w:val="single" w:color="auto" w:sz="4" w:space="0"/>
            </w:tcBorders>
            <w:noWrap w:val="0"/>
            <w:vAlign w:val="center"/>
          </w:tcPr>
          <w:p w14:paraId="77D0E919">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885" w:type="dxa"/>
            <w:vMerge w:val="continue"/>
            <w:tcBorders>
              <w:left w:val="single" w:color="auto" w:sz="4" w:space="0"/>
              <w:right w:val="single" w:color="auto" w:sz="4" w:space="0"/>
            </w:tcBorders>
            <w:noWrap w:val="0"/>
            <w:vAlign w:val="center"/>
          </w:tcPr>
          <w:p w14:paraId="2DF9B7E5">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p>
        </w:tc>
        <w:tc>
          <w:tcPr>
            <w:tcW w:w="5140" w:type="dxa"/>
            <w:tcBorders>
              <w:top w:val="single" w:color="auto" w:sz="4" w:space="0"/>
              <w:left w:val="single" w:color="auto" w:sz="4" w:space="0"/>
            </w:tcBorders>
            <w:noWrap w:val="0"/>
            <w:vAlign w:val="center"/>
          </w:tcPr>
          <w:p w14:paraId="4DB3F5F6">
            <w:pPr>
              <w:pageBreakBefore w:val="0"/>
              <w:widowControl w:val="0"/>
              <w:kinsoku/>
              <w:wordWrap/>
              <w:overflowPunct/>
              <w:topLinePunct w:val="0"/>
              <w:bidi w:val="0"/>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建议措施基本全面、合理，可实施性一般，得6</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r>
      <w:tr w14:paraId="5F5C6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9" w:hRule="atLeast"/>
          <w:jc w:val="center"/>
        </w:trPr>
        <w:tc>
          <w:tcPr>
            <w:tcW w:w="710" w:type="dxa"/>
            <w:noWrap w:val="0"/>
            <w:vAlign w:val="center"/>
          </w:tcPr>
          <w:p w14:paraId="5328FB2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2.2.4（2）</w:t>
            </w:r>
          </w:p>
        </w:tc>
        <w:tc>
          <w:tcPr>
            <w:tcW w:w="907" w:type="dxa"/>
            <w:noWrap w:val="0"/>
            <w:vAlign w:val="center"/>
          </w:tcPr>
          <w:p w14:paraId="2660D7EB">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主要人员</w:t>
            </w:r>
          </w:p>
        </w:tc>
        <w:tc>
          <w:tcPr>
            <w:tcW w:w="1185" w:type="dxa"/>
            <w:noWrap w:val="0"/>
            <w:vAlign w:val="center"/>
          </w:tcPr>
          <w:p w14:paraId="29CDF6AC">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c>
          <w:tcPr>
            <w:tcW w:w="1410" w:type="dxa"/>
            <w:tcBorders>
              <w:top w:val="single" w:color="auto" w:sz="4" w:space="0"/>
            </w:tcBorders>
            <w:noWrap w:val="0"/>
            <w:vAlign w:val="center"/>
          </w:tcPr>
          <w:p w14:paraId="484D78FA">
            <w:pPr>
              <w:pageBreakBefore w:val="0"/>
              <w:widowControl w:val="0"/>
              <w:kinsoku/>
              <w:wordWrap/>
              <w:overflowPunct/>
              <w:topLinePunct w:val="0"/>
              <w:bidi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w:t>
            </w:r>
          </w:p>
        </w:tc>
        <w:tc>
          <w:tcPr>
            <w:tcW w:w="885" w:type="dxa"/>
            <w:tcBorders>
              <w:top w:val="single" w:color="auto" w:sz="4" w:space="0"/>
            </w:tcBorders>
            <w:noWrap w:val="0"/>
            <w:vAlign w:val="center"/>
          </w:tcPr>
          <w:p w14:paraId="0BC24478">
            <w:pPr>
              <w:pageBreakBefore w:val="0"/>
              <w:widowControl w:val="0"/>
              <w:kinsoku/>
              <w:wordWrap/>
              <w:overflowPunct/>
              <w:topLinePunct w:val="0"/>
              <w:bidi w:val="0"/>
              <w:spacing w:line="288"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c>
          <w:tcPr>
            <w:tcW w:w="5140" w:type="dxa"/>
            <w:tcBorders>
              <w:top w:val="single" w:color="auto" w:sz="4" w:space="0"/>
            </w:tcBorders>
            <w:noWrap w:val="0"/>
            <w:vAlign w:val="center"/>
          </w:tcPr>
          <w:p w14:paraId="76F08331">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近5年内（</w:t>
            </w:r>
            <w:r>
              <w:rPr>
                <w:rFonts w:hint="eastAsia" w:ascii="宋体" w:hAnsi="宋体" w:eastAsia="宋体" w:cs="宋体"/>
                <w:bCs/>
                <w:i w:val="0"/>
                <w:iCs w:val="0"/>
                <w:caps w:val="0"/>
                <w:color w:val="auto"/>
                <w:spacing w:val="0"/>
                <w:kern w:val="0"/>
                <w:sz w:val="21"/>
                <w:szCs w:val="21"/>
                <w:highlight w:val="none"/>
                <w:u w:val="none"/>
                <w:lang w:val="en-US" w:eastAsia="zh-CN" w:bidi="ar-SA"/>
              </w:rPr>
              <w:t>2020年</w:t>
            </w:r>
            <w:r>
              <w:rPr>
                <w:rFonts w:hint="eastAsia" w:ascii="宋体" w:hAnsi="宋体" w:cs="宋体"/>
                <w:bCs/>
                <w:i w:val="0"/>
                <w:iCs w:val="0"/>
                <w:caps w:val="0"/>
                <w:color w:val="auto"/>
                <w:spacing w:val="0"/>
                <w:kern w:val="0"/>
                <w:sz w:val="21"/>
                <w:szCs w:val="21"/>
                <w:highlight w:val="none"/>
                <w:u w:val="none"/>
                <w:lang w:val="en-US" w:eastAsia="zh-CN" w:bidi="ar-SA"/>
              </w:rPr>
              <w:t>08</w:t>
            </w:r>
            <w:r>
              <w:rPr>
                <w:rFonts w:hint="eastAsia" w:ascii="宋体" w:hAnsi="宋体" w:eastAsia="宋体" w:cs="宋体"/>
                <w:bCs/>
                <w:i w:val="0"/>
                <w:iCs w:val="0"/>
                <w:caps w:val="0"/>
                <w:color w:val="auto"/>
                <w:spacing w:val="0"/>
                <w:kern w:val="0"/>
                <w:sz w:val="21"/>
                <w:szCs w:val="21"/>
                <w:highlight w:val="none"/>
                <w:u w:val="none"/>
                <w:lang w:val="en-US" w:eastAsia="zh-CN" w:bidi="ar-SA"/>
              </w:rPr>
              <w:t>月</w:t>
            </w:r>
            <w:r>
              <w:rPr>
                <w:rFonts w:hint="eastAsia" w:ascii="宋体" w:hAnsi="宋体" w:cs="宋体"/>
                <w:bCs/>
                <w:i w:val="0"/>
                <w:iCs w:val="0"/>
                <w:caps w:val="0"/>
                <w:color w:val="auto"/>
                <w:spacing w:val="0"/>
                <w:kern w:val="0"/>
                <w:sz w:val="21"/>
                <w:szCs w:val="21"/>
                <w:highlight w:val="none"/>
                <w:u w:val="none"/>
                <w:lang w:val="en-US" w:eastAsia="zh-CN" w:bidi="ar-SA"/>
              </w:rPr>
              <w:t>01</w:t>
            </w:r>
            <w:r>
              <w:rPr>
                <w:rFonts w:hint="eastAsia" w:ascii="宋体" w:hAnsi="宋体" w:eastAsia="宋体" w:cs="宋体"/>
                <w:bCs/>
                <w:i w:val="0"/>
                <w:iCs w:val="0"/>
                <w:caps w:val="0"/>
                <w:color w:val="auto"/>
                <w:spacing w:val="0"/>
                <w:kern w:val="0"/>
                <w:sz w:val="21"/>
                <w:szCs w:val="21"/>
                <w:highlight w:val="none"/>
                <w:u w:val="none"/>
                <w:lang w:val="en-US" w:eastAsia="zh-CN" w:bidi="ar-SA"/>
              </w:rPr>
              <w:t>日至开标日，以工程交工日期为准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每</w:t>
            </w:r>
            <w:r>
              <w:rPr>
                <w:rFonts w:hint="eastAsia" w:ascii="宋体" w:hAnsi="宋体" w:eastAsia="宋体" w:cs="宋体"/>
                <w:color w:val="auto"/>
                <w:highlight w:val="none"/>
              </w:rPr>
              <w:t>有一项</w:t>
            </w:r>
            <w:r>
              <w:rPr>
                <w:rFonts w:hint="eastAsia" w:ascii="宋体" w:hAnsi="宋体" w:eastAsia="宋体" w:cs="宋体"/>
                <w:color w:val="auto"/>
                <w:highlight w:val="none"/>
                <w:lang w:val="en-US" w:eastAsia="zh-CN"/>
              </w:rPr>
              <w:t>4万吨级及以上高桩码头工程监理业绩</w:t>
            </w:r>
            <w:r>
              <w:rPr>
                <w:rFonts w:hint="eastAsia" w:ascii="宋体" w:hAnsi="宋体" w:eastAsia="宋体" w:cs="宋体"/>
                <w:color w:val="auto"/>
                <w:highlight w:val="none"/>
              </w:rPr>
              <w:t>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w:t>
            </w:r>
            <w:r>
              <w:rPr>
                <w:rFonts w:hint="eastAsia" w:ascii="宋体" w:hAnsi="宋体" w:eastAsia="宋体" w:cs="宋体"/>
                <w:color w:val="auto"/>
                <w:highlight w:val="none"/>
                <w:lang w:val="en-US" w:eastAsia="zh-CN"/>
              </w:rPr>
              <w:t>评审项</w:t>
            </w:r>
            <w:r>
              <w:rPr>
                <w:rFonts w:hint="eastAsia" w:ascii="宋体" w:hAnsi="宋体" w:eastAsia="宋体" w:cs="宋体"/>
                <w:color w:val="auto"/>
                <w:highlight w:val="none"/>
              </w:rPr>
              <w:t>满分为</w:t>
            </w:r>
            <w:r>
              <w:rPr>
                <w:rFonts w:hint="eastAsia" w:ascii="宋体" w:hAnsi="宋体" w:cs="宋体"/>
                <w:color w:val="auto"/>
                <w:highlight w:val="none"/>
                <w:lang w:val="en-US" w:eastAsia="zh-CN"/>
              </w:rPr>
              <w:t>20</w:t>
            </w:r>
            <w:r>
              <w:rPr>
                <w:rFonts w:hint="eastAsia" w:ascii="宋体" w:hAnsi="宋体" w:eastAsia="宋体" w:cs="宋体"/>
                <w:color w:val="auto"/>
                <w:highlight w:val="none"/>
              </w:rPr>
              <w:t>分。</w:t>
            </w:r>
          </w:p>
        </w:tc>
      </w:tr>
      <w:tr w14:paraId="55717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10" w:type="dxa"/>
            <w:noWrap w:val="0"/>
            <w:vAlign w:val="center"/>
          </w:tcPr>
          <w:p w14:paraId="12A913D9">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2.2.4（3）</w:t>
            </w:r>
          </w:p>
        </w:tc>
        <w:tc>
          <w:tcPr>
            <w:tcW w:w="907" w:type="dxa"/>
            <w:noWrap w:val="0"/>
            <w:vAlign w:val="center"/>
          </w:tcPr>
          <w:p w14:paraId="58AE6958">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投标报价</w:t>
            </w:r>
          </w:p>
        </w:tc>
        <w:tc>
          <w:tcPr>
            <w:tcW w:w="1185" w:type="dxa"/>
            <w:noWrap w:val="0"/>
            <w:vAlign w:val="center"/>
          </w:tcPr>
          <w:p w14:paraId="36DF191D">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7435" w:type="dxa"/>
            <w:gridSpan w:val="3"/>
            <w:tcBorders>
              <w:top w:val="single" w:color="auto" w:sz="4" w:space="0"/>
            </w:tcBorders>
            <w:noWrap w:val="0"/>
            <w:vAlign w:val="center"/>
          </w:tcPr>
          <w:p w14:paraId="102E68EF">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得分计算公式示例：</w:t>
            </w:r>
          </w:p>
          <w:p w14:paraId="702A4710">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（1）如果投标人的</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＞评标基准价，则</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得分=F-（投标人</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-评标基准价）/评标基准价×100×E1；</w:t>
            </w:r>
          </w:p>
          <w:p w14:paraId="4FFD6D2A">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（2）如果投标人的</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≤评标基准价，则</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得分=F+(投标人</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-评标基准价)/评标基准价×100×E2。</w:t>
            </w:r>
          </w:p>
          <w:p w14:paraId="3B7A9BD9">
            <w:pPr>
              <w:pageBreakBefore w:val="0"/>
              <w:widowControl w:val="0"/>
              <w:kinsoku/>
              <w:wordWrap/>
              <w:overflowPunct/>
              <w:topLinePunct w:val="0"/>
              <w:bidi w:val="0"/>
              <w:spacing w:line="288"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其中，F=</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；E1=0.</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；E2=0.</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评标价</w:t>
            </w:r>
            <w:r>
              <w:rPr>
                <w:rFonts w:hint="eastAsia" w:ascii="宋体" w:hAnsi="宋体" w:eastAsia="宋体" w:cs="宋体"/>
                <w:color w:val="auto"/>
                <w:szCs w:val="21"/>
                <w:highlight w:val="none"/>
              </w:rPr>
              <w:t>最低得分为0分。保留小数点后两位，小数点后第三位四舍五入</w:t>
            </w:r>
          </w:p>
        </w:tc>
      </w:tr>
      <w:tr w14:paraId="118BC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9" w:hRule="atLeast"/>
          <w:jc w:val="center"/>
        </w:trPr>
        <w:tc>
          <w:tcPr>
            <w:tcW w:w="710" w:type="dxa"/>
            <w:noWrap w:val="0"/>
            <w:vAlign w:val="center"/>
          </w:tcPr>
          <w:p w14:paraId="4A28AC5F">
            <w:pPr>
              <w:pageBreakBefore w:val="0"/>
              <w:widowControl w:val="0"/>
              <w:kinsoku/>
              <w:wordWrap/>
              <w:overflowPunct/>
              <w:topLinePunct w:val="0"/>
              <w:autoSpaceDE w:val="0"/>
              <w:autoSpaceDN w:val="0"/>
              <w:bidi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2.2.4（4）</w:t>
            </w:r>
          </w:p>
        </w:tc>
        <w:tc>
          <w:tcPr>
            <w:tcW w:w="907" w:type="dxa"/>
            <w:tcBorders>
              <w:right w:val="single" w:color="auto" w:sz="4" w:space="0"/>
            </w:tcBorders>
            <w:noWrap w:val="0"/>
            <w:vAlign w:val="center"/>
          </w:tcPr>
          <w:p w14:paraId="3755038A">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p w14:paraId="291B066B">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因素</w:t>
            </w:r>
          </w:p>
        </w:tc>
        <w:tc>
          <w:tcPr>
            <w:tcW w:w="1185" w:type="dxa"/>
            <w:tcBorders>
              <w:left w:val="single" w:color="auto" w:sz="4" w:space="0"/>
            </w:tcBorders>
            <w:noWrap w:val="0"/>
            <w:vAlign w:val="center"/>
          </w:tcPr>
          <w:p w14:paraId="2180CBC6">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c>
          <w:tcPr>
            <w:tcW w:w="2295" w:type="dxa"/>
            <w:gridSpan w:val="2"/>
            <w:tcBorders>
              <w:right w:val="single" w:color="auto" w:sz="4" w:space="0"/>
            </w:tcBorders>
            <w:noWrap w:val="0"/>
            <w:vAlign w:val="center"/>
          </w:tcPr>
          <w:p w14:paraId="78D61481">
            <w:pPr>
              <w:pageBreakBefore w:val="0"/>
              <w:widowControl w:val="0"/>
              <w:kinsoku/>
              <w:wordWrap/>
              <w:overflowPunct/>
              <w:topLinePunct w:val="0"/>
              <w:autoSpaceDE w:val="0"/>
              <w:autoSpaceDN w:val="0"/>
              <w:bidi w:val="0"/>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类似项目业绩</w:t>
            </w:r>
          </w:p>
        </w:tc>
        <w:tc>
          <w:tcPr>
            <w:tcW w:w="5140" w:type="dxa"/>
            <w:tcBorders>
              <w:top w:val="single" w:color="auto" w:sz="4" w:space="0"/>
              <w:left w:val="single" w:color="auto" w:sz="4" w:space="0"/>
              <w:bottom w:val="single" w:color="auto" w:sz="4" w:space="0"/>
            </w:tcBorders>
            <w:noWrap w:val="0"/>
            <w:vAlign w:val="center"/>
          </w:tcPr>
          <w:p w14:paraId="0BB61EA8">
            <w:pPr>
              <w:pageBreakBefore w:val="0"/>
              <w:widowControl w:val="0"/>
              <w:kinsoku/>
              <w:wordWrap/>
              <w:overflowPunct/>
              <w:topLinePunct w:val="0"/>
              <w:bidi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满足资格审查业绩最低要求得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rPr>
              <w:t>每增加一项满足</w:t>
            </w:r>
            <w:r>
              <w:rPr>
                <w:rFonts w:hint="eastAsia" w:ascii="宋体" w:hAnsi="宋体" w:eastAsia="宋体" w:cs="宋体"/>
                <w:color w:val="auto"/>
                <w:szCs w:val="21"/>
                <w:highlight w:val="none"/>
              </w:rPr>
              <w:t>资格审查业绩加</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val="en-US" w:eastAsia="zh-CN"/>
              </w:rPr>
              <w:t>本评审项</w:t>
            </w:r>
            <w:r>
              <w:rPr>
                <w:rFonts w:hint="eastAsia" w:ascii="宋体" w:hAnsi="宋体" w:eastAsia="宋体" w:cs="宋体"/>
                <w:color w:val="auto"/>
                <w:kern w:val="0"/>
                <w:szCs w:val="21"/>
                <w:highlight w:val="none"/>
              </w:rPr>
              <w:t>最高得</w:t>
            </w: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14:paraId="328A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6" w:hRule="atLeast"/>
          <w:jc w:val="center"/>
        </w:trPr>
        <w:tc>
          <w:tcPr>
            <w:tcW w:w="10237" w:type="dxa"/>
            <w:gridSpan w:val="6"/>
            <w:noWrap w:val="0"/>
            <w:vAlign w:val="center"/>
          </w:tcPr>
          <w:p w14:paraId="53DA8B57">
            <w:pPr>
              <w:pageBreakBefore w:val="0"/>
              <w:widowControl w:val="0"/>
              <w:kinsoku/>
              <w:wordWrap/>
              <w:overflowPunct/>
              <w:topLinePunct w:val="0"/>
              <w:bidi w:val="0"/>
              <w:spacing w:line="288"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w:t>
            </w:r>
            <w:r>
              <w:rPr>
                <w:rFonts w:hint="eastAsia" w:ascii="宋体" w:hAnsi="宋体" w:eastAsia="宋体" w:cs="宋体"/>
                <w:color w:val="auto"/>
                <w:highlight w:val="none"/>
              </w:rPr>
              <w:t>:监理大纲中</w:t>
            </w:r>
            <w:r>
              <w:rPr>
                <w:rFonts w:hint="eastAsia" w:ascii="宋体" w:hAnsi="宋体" w:eastAsia="宋体" w:cs="宋体"/>
                <w:color w:val="auto"/>
                <w:highlight w:val="none"/>
                <w:lang w:val="en-US" w:eastAsia="zh-CN"/>
              </w:rPr>
              <w:t>如有</w:t>
            </w:r>
            <w:r>
              <w:rPr>
                <w:rFonts w:hint="eastAsia" w:ascii="宋体" w:hAnsi="宋体" w:cs="宋体"/>
                <w:color w:val="auto"/>
                <w:highlight w:val="none"/>
                <w:lang w:val="en-US" w:eastAsia="zh-CN"/>
              </w:rPr>
              <w:t>不合理或</w:t>
            </w:r>
            <w:r>
              <w:rPr>
                <w:rFonts w:hint="eastAsia" w:ascii="宋体" w:hAnsi="宋体" w:eastAsia="宋体" w:cs="宋体"/>
                <w:color w:val="auto"/>
                <w:highlight w:val="none"/>
              </w:rPr>
              <w:t>缺项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则该项得零分。</w:t>
            </w:r>
          </w:p>
        </w:tc>
      </w:tr>
    </w:tbl>
    <w:p w14:paraId="0752349E">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kern w:val="0"/>
          <w:szCs w:val="21"/>
          <w:highlight w:val="none"/>
        </w:rPr>
      </w:pPr>
    </w:p>
    <w:p w14:paraId="0D727C24"/>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9352A"/>
    <w:rsid w:val="5765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50" w:afterLines="50" w:line="300" w:lineRule="auto"/>
      <w:jc w:val="center"/>
      <w:outlineLvl w:val="1"/>
    </w:pPr>
    <w:rPr>
      <w:rFonts w:ascii="Arial" w:hAnsi="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8"/>
    </w:rPr>
  </w:style>
  <w:style w:type="paragraph" w:styleId="4">
    <w:name w:val="Body Text 2"/>
    <w:basedOn w:val="1"/>
    <w:qFormat/>
    <w:uiPriority w:val="0"/>
    <w:pPr>
      <w:spacing w:line="540" w:lineRule="exact"/>
    </w:pPr>
    <w:rPr>
      <w:color w:val="FF0000"/>
      <w:kern w:val="2"/>
      <w:sz w:val="21"/>
      <w:szCs w:val="24"/>
    </w:rPr>
  </w:style>
  <w:style w:type="paragraph" w:styleId="5">
    <w:name w:val="Plain Text"/>
    <w:basedOn w:val="1"/>
    <w:qFormat/>
    <w:uiPriority w:val="0"/>
    <w:rPr>
      <w:rFonts w:ascii="宋体" w:hAnsi="Courier New"/>
      <w:szCs w:val="20"/>
    </w:rPr>
  </w:style>
  <w:style w:type="character" w:styleId="8">
    <w:name w:val="Hyperlink"/>
    <w:qFormat/>
    <w:uiPriority w:val="99"/>
    <w:rPr>
      <w:color w:val="4444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2025-08-04T11:09:34Z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eyJoZGlkIjoiZDk5M2JmMTU5OTRiM2QyOTg1MzY5YTk1YzYwNzc0ZmEiLCJ1c2VySWQiOiIxMTM3MTU5OTMxIn0=</vt:lpwstr>
  </property>
</Properties>
</file>