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3A0C0C">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基本格式：</w:t>
      </w:r>
    </w:p>
    <w:p w14:paraId="3DF4D0E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关于对******************项目的意见建议</w:t>
      </w:r>
    </w:p>
    <w:p w14:paraId="744BDEE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致：诸暨市宸佳工程管理有限公司</w:t>
      </w:r>
    </w:p>
    <w:p w14:paraId="7F846B2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对于贵公司于202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年*月*日公示的*********************项目采购要素，我公司有如下意见建议：</w:t>
      </w:r>
    </w:p>
    <w:tbl>
      <w:tblPr>
        <w:tblStyle w:val="30"/>
        <w:tblW w:w="0" w:type="auto"/>
        <w:jc w:val="center"/>
        <w:tblLayout w:type="fixed"/>
        <w:tblCellMar>
          <w:top w:w="0" w:type="dxa"/>
          <w:left w:w="108" w:type="dxa"/>
          <w:bottom w:w="0" w:type="dxa"/>
          <w:right w:w="108" w:type="dxa"/>
        </w:tblCellMar>
      </w:tblPr>
      <w:tblGrid>
        <w:gridCol w:w="4261"/>
        <w:gridCol w:w="4261"/>
      </w:tblGrid>
      <w:tr w14:paraId="3990925D">
        <w:tblPrEx>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0A65903A">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原条款</w:t>
            </w:r>
          </w:p>
        </w:tc>
        <w:tc>
          <w:tcPr>
            <w:tcW w:w="4261" w:type="dxa"/>
            <w:tcBorders>
              <w:top w:val="single" w:color="auto" w:sz="4" w:space="0"/>
              <w:left w:val="single" w:color="auto" w:sz="4" w:space="0"/>
              <w:bottom w:val="single" w:color="auto" w:sz="4" w:space="0"/>
              <w:right w:val="single" w:color="auto" w:sz="4" w:space="0"/>
            </w:tcBorders>
            <w:noWrap w:val="0"/>
            <w:vAlign w:val="top"/>
          </w:tcPr>
          <w:p w14:paraId="694B6A6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本公司意见建议</w:t>
            </w:r>
          </w:p>
        </w:tc>
      </w:tr>
      <w:tr w14:paraId="3F8CA06D">
        <w:tblPrEx>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42D2218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43CEC145">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r>
      <w:tr w14:paraId="172D36EA">
        <w:tblPrEx>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7214999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1596C8C9">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r>
      <w:tr w14:paraId="02CDA839">
        <w:tblPrEx>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5395E75C">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013C366E">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auto"/>
                <w:sz w:val="28"/>
                <w:szCs w:val="28"/>
                <w:highlight w:val="none"/>
              </w:rPr>
            </w:pPr>
          </w:p>
        </w:tc>
      </w:tr>
    </w:tbl>
    <w:p w14:paraId="7F463EB3">
      <w:pPr>
        <w:spacing w:line="360" w:lineRule="auto"/>
        <w:rPr>
          <w:rFonts w:hint="eastAsia" w:ascii="仿宋" w:hAnsi="仿宋" w:eastAsia="仿宋" w:cs="仿宋"/>
          <w:color w:val="auto"/>
          <w:sz w:val="28"/>
          <w:szCs w:val="28"/>
          <w:highlight w:val="none"/>
        </w:rPr>
      </w:pPr>
    </w:p>
    <w:p w14:paraId="3CF3B57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p w14:paraId="0702DC9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14:paraId="7C545A4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287E3C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联系手机：**********</w:t>
      </w:r>
    </w:p>
    <w:p w14:paraId="2684489F">
      <w:pPr>
        <w:spacing w:line="360" w:lineRule="auto"/>
        <w:rPr>
          <w:rFonts w:hint="eastAsia" w:ascii="仿宋" w:hAnsi="仿宋" w:eastAsia="仿宋" w:cs="仿宋"/>
          <w:color w:val="auto"/>
          <w:sz w:val="28"/>
          <w:szCs w:val="28"/>
          <w:highlight w:val="none"/>
        </w:rPr>
      </w:pPr>
    </w:p>
    <w:p w14:paraId="20CA4F15">
      <w:pPr>
        <w:spacing w:line="360" w:lineRule="auto"/>
        <w:rPr>
          <w:rFonts w:hint="eastAsia" w:ascii="仿宋" w:hAnsi="仿宋" w:eastAsia="仿宋" w:cs="仿宋"/>
          <w:color w:val="auto"/>
          <w:sz w:val="28"/>
          <w:szCs w:val="28"/>
          <w:highlight w:val="none"/>
        </w:rPr>
      </w:pPr>
    </w:p>
    <w:p w14:paraId="7504335C">
      <w:pPr>
        <w:spacing w:line="360" w:lineRule="auto"/>
        <w:ind w:left="4480" w:hanging="4480" w:hangingChars="16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单位名称：（加盖公章）</w:t>
      </w:r>
    </w:p>
    <w:p w14:paraId="7A962266">
      <w:pPr>
        <w:spacing w:line="360" w:lineRule="auto"/>
        <w:ind w:left="4760" w:hanging="4760" w:hangingChars="17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〇</w:t>
      </w: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年*月*日</w:t>
      </w:r>
    </w:p>
    <w:p w14:paraId="68421C11">
      <w:pPr>
        <w:jc w:val="right"/>
        <w:rPr>
          <w:rFonts w:hint="eastAsia" w:ascii="仿宋" w:hAnsi="仿宋" w:eastAsia="仿宋" w:cs="仿宋"/>
          <w:b/>
          <w:color w:val="auto"/>
          <w:sz w:val="36"/>
          <w:szCs w:val="36"/>
          <w:highlight w:val="none"/>
        </w:rPr>
        <w:sectPr>
          <w:footerReference r:id="rId5" w:type="first"/>
          <w:headerReference r:id="rId3" w:type="default"/>
          <w:footerReference r:id="rId4" w:type="default"/>
          <w:pgSz w:w="11906" w:h="16838"/>
          <w:pgMar w:top="1134" w:right="1134" w:bottom="1021" w:left="1134" w:header="850" w:footer="567" w:gutter="0"/>
          <w:pgBorders>
            <w:top w:val="none" w:sz="0" w:space="0"/>
            <w:left w:val="none" w:sz="0" w:space="0"/>
            <w:bottom w:val="none" w:sz="0" w:space="0"/>
            <w:right w:val="none" w:sz="0" w:space="0"/>
          </w:pgBorders>
          <w:cols w:space="720" w:num="1"/>
          <w:docGrid w:type="linesAndChars" w:linePitch="312" w:charSpace="0"/>
        </w:sectPr>
      </w:pPr>
    </w:p>
    <w:p w14:paraId="34962705">
      <w:pPr>
        <w:keepNext w:val="0"/>
        <w:keepLines w:val="0"/>
        <w:pageBreakBefore w:val="0"/>
        <w:widowControl w:val="0"/>
        <w:kinsoku/>
        <w:wordWrap/>
        <w:overflowPunct/>
        <w:topLinePunct w:val="0"/>
        <w:autoSpaceDE/>
        <w:autoSpaceDN/>
        <w:bidi w:val="0"/>
        <w:adjustRightInd w:val="0"/>
        <w:snapToGrid w:val="0"/>
        <w:spacing w:before="120" w:after="120" w:line="420" w:lineRule="atLeas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lang w:val="en-US" w:eastAsia="zh-CN"/>
        </w:rPr>
        <w:t>诸暨市农村发展投资有限公司2026～2027年度单项预算400万以下市政、园林绿化及房屋建筑工程监理服务采购项目</w:t>
      </w:r>
      <w:r>
        <w:rPr>
          <w:rFonts w:hint="eastAsia" w:ascii="仿宋" w:hAnsi="仿宋" w:eastAsia="仿宋" w:cs="仿宋"/>
          <w:b/>
          <w:color w:val="auto"/>
          <w:sz w:val="32"/>
          <w:szCs w:val="32"/>
          <w:highlight w:val="none"/>
        </w:rPr>
        <w:t>采购要素</w:t>
      </w:r>
    </w:p>
    <w:p w14:paraId="784EBCA2">
      <w:pPr>
        <w:keepNext w:val="0"/>
        <w:keepLines w:val="0"/>
        <w:pageBreakBefore w:val="0"/>
        <w:numPr>
          <w:ilvl w:val="0"/>
          <w:numId w:val="4"/>
        </w:numPr>
        <w:kinsoku/>
        <w:wordWrap/>
        <w:overflowPunct/>
        <w:topLinePunct w:val="0"/>
        <w:bidi w:val="0"/>
        <w:adjustRightInd w:val="0"/>
        <w:snapToGrid w:val="0"/>
        <w:spacing w:line="420" w:lineRule="exact"/>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b/>
          <w:color w:val="auto"/>
          <w:sz w:val="24"/>
          <w:highlight w:val="none"/>
          <w:lang w:eastAsia="zh-CN"/>
        </w:rPr>
        <w:t>：</w:t>
      </w:r>
      <w:r>
        <w:rPr>
          <w:rFonts w:hint="eastAsia" w:ascii="仿宋" w:hAnsi="仿宋" w:eastAsia="仿宋" w:cs="仿宋"/>
          <w:b w:val="0"/>
          <w:bCs/>
          <w:color w:val="auto"/>
          <w:sz w:val="24"/>
          <w:highlight w:val="none"/>
          <w:lang w:eastAsia="zh-CN"/>
        </w:rPr>
        <w:t>诸暨市农村发展投资有限公司2026～2027年度单项预算400万以下市政、园林绿化及房屋建筑工程监理服务采购项目</w:t>
      </w:r>
    </w:p>
    <w:p w14:paraId="1597D147">
      <w:pPr>
        <w:keepNext w:val="0"/>
        <w:keepLines w:val="0"/>
        <w:pageBreakBefore w:val="0"/>
        <w:numPr>
          <w:ilvl w:val="0"/>
          <w:numId w:val="4"/>
        </w:numPr>
        <w:kinsoku/>
        <w:wordWrap/>
        <w:overflowPunct/>
        <w:topLinePunct w:val="0"/>
        <w:bidi w:val="0"/>
        <w:adjustRightInd w:val="0"/>
        <w:snapToGrid w:val="0"/>
        <w:spacing w:line="420" w:lineRule="exact"/>
        <w:ind w:left="0" w:leftChars="0" w:firstLine="0" w:firstLine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highlight w:val="none"/>
        </w:rPr>
        <w:t>项目内容及规模：</w:t>
      </w:r>
      <w:r>
        <w:rPr>
          <w:rFonts w:hint="eastAsia" w:ascii="仿宋" w:hAnsi="仿宋" w:eastAsia="仿宋" w:cs="仿宋"/>
          <w:b w:val="0"/>
          <w:bCs/>
          <w:color w:val="auto"/>
          <w:sz w:val="24"/>
          <w:highlight w:val="none"/>
          <w:lang w:eastAsia="zh-CN"/>
        </w:rPr>
        <w:t>诸暨市农村发展投资有限公司2026～2027年度单项预算400万以下市政、园林绿化及房屋建筑工程监理服务采购项目</w:t>
      </w:r>
      <w:r>
        <w:rPr>
          <w:rFonts w:hint="eastAsia" w:ascii="仿宋" w:hAnsi="仿宋" w:eastAsia="仿宋" w:cs="仿宋"/>
          <w:color w:val="auto"/>
          <w:sz w:val="24"/>
          <w:szCs w:val="24"/>
          <w:highlight w:val="none"/>
          <w:lang w:val="en-US" w:eastAsia="zh-CN" w:bidi="ar-SA"/>
        </w:rPr>
        <w:t>，采购预算金额为30万元，以折扣报价，</w:t>
      </w:r>
      <w:r>
        <w:rPr>
          <w:rFonts w:hint="eastAsia" w:ascii="仿宋" w:hAnsi="仿宋" w:eastAsia="仿宋" w:cs="仿宋"/>
          <w:b w:val="0"/>
          <w:bCs/>
          <w:color w:val="auto"/>
          <w:sz w:val="24"/>
          <w:szCs w:val="24"/>
          <w:highlight w:val="none"/>
          <w:lang w:val="en-US" w:eastAsia="zh-CN"/>
        </w:rPr>
        <w:t>工程量按实结算，</w:t>
      </w:r>
      <w:r>
        <w:rPr>
          <w:rFonts w:hint="eastAsia" w:ascii="仿宋" w:hAnsi="仿宋" w:eastAsia="仿宋" w:cs="仿宋"/>
          <w:color w:val="auto"/>
          <w:sz w:val="24"/>
          <w:szCs w:val="24"/>
          <w:highlight w:val="none"/>
          <w:lang w:val="en-US" w:eastAsia="zh-CN" w:bidi="ar-SA"/>
        </w:rPr>
        <w:t>具体内容详见采购需求。</w:t>
      </w:r>
    </w:p>
    <w:p w14:paraId="5531FC61">
      <w:pPr>
        <w:keepNext w:val="0"/>
        <w:keepLines w:val="0"/>
        <w:pageBreakBefore w:val="0"/>
        <w:numPr>
          <w:ilvl w:val="0"/>
          <w:numId w:val="4"/>
        </w:numPr>
        <w:kinsoku/>
        <w:wordWrap/>
        <w:overflowPunct/>
        <w:topLinePunct w:val="0"/>
        <w:bidi w:val="0"/>
        <w:adjustRightInd w:val="0"/>
        <w:snapToGrid w:val="0"/>
        <w:spacing w:line="420" w:lineRule="exact"/>
        <w:ind w:left="0" w:lef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投标人（供应商）资格要求：</w:t>
      </w:r>
    </w:p>
    <w:p w14:paraId="45163CB8">
      <w:pPr>
        <w:pStyle w:val="26"/>
        <w:keepNext w:val="0"/>
        <w:keepLines w:val="0"/>
        <w:pageBreakBefore w:val="0"/>
        <w:widowControl/>
        <w:numPr>
          <w:ilvl w:val="0"/>
          <w:numId w:val="5"/>
        </w:numPr>
        <w:tabs>
          <w:tab w:val="left" w:pos="0"/>
        </w:tabs>
        <w:kinsoku/>
        <w:wordWrap/>
        <w:overflowPunct/>
        <w:topLinePunct w:val="0"/>
        <w:autoSpaceDE/>
        <w:autoSpaceDN/>
        <w:bidi w:val="0"/>
        <w:adjustRightInd/>
        <w:snapToGrid/>
        <w:spacing w:before="0" w:beforeLines="0" w:beforeAutospacing="0" w:after="0" w:afterLines="0" w:afterAutospacing="0" w:line="420" w:lineRule="exact"/>
        <w:ind w:left="0" w:leftChars="0" w:firstLine="400" w:firstLineChars="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参加本项目采购活动应当具备下列资格条件：</w:t>
      </w:r>
    </w:p>
    <w:p w14:paraId="4DD00A8D">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p w14:paraId="5717770C">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p w14:paraId="1126F148">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w:t>
      </w:r>
    </w:p>
    <w:p w14:paraId="1545E277">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r>
        <w:rPr>
          <w:rFonts w:hint="eastAsia" w:ascii="仿宋" w:hAnsi="仿宋" w:eastAsia="仿宋" w:cs="仿宋"/>
          <w:color w:val="auto"/>
          <w:sz w:val="24"/>
          <w:szCs w:val="24"/>
          <w:highlight w:val="none"/>
          <w:lang w:eastAsia="zh-CN"/>
        </w:rPr>
        <w:t>；</w:t>
      </w:r>
    </w:p>
    <w:p w14:paraId="5353B499">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参加本次采购活动前三年内，在经营活动中没有重大违法记录；</w:t>
      </w:r>
    </w:p>
    <w:p w14:paraId="0B3435A4">
      <w:pPr>
        <w:keepNext w:val="0"/>
        <w:keepLines w:val="0"/>
        <w:pageBreakBefore w:val="0"/>
        <w:numPr>
          <w:ilvl w:val="0"/>
          <w:numId w:val="6"/>
        </w:numPr>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法律、行政法规规定的其他条件。</w:t>
      </w:r>
    </w:p>
    <w:p w14:paraId="53FD1108">
      <w:pPr>
        <w:pStyle w:val="26"/>
        <w:keepNext w:val="0"/>
        <w:keepLines w:val="0"/>
        <w:pageBreakBefore w:val="0"/>
        <w:widowControl/>
        <w:numPr>
          <w:ilvl w:val="0"/>
          <w:numId w:val="5"/>
        </w:numPr>
        <w:tabs>
          <w:tab w:val="left" w:pos="0"/>
        </w:tabs>
        <w:kinsoku/>
        <w:wordWrap/>
        <w:overflowPunct/>
        <w:topLinePunct w:val="0"/>
        <w:autoSpaceDE/>
        <w:autoSpaceDN/>
        <w:bidi w:val="0"/>
        <w:adjustRightInd/>
        <w:snapToGrid/>
        <w:spacing w:before="0" w:beforeLines="0" w:beforeAutospacing="0" w:after="0" w:afterLines="0" w:afterAutospacing="0" w:line="420" w:lineRule="exact"/>
        <w:ind w:left="0" w:leftChars="0" w:firstLine="400" w:firstLine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t>未被“信用中国”（www.creditchina.gov.cn）、中国政府采购网（www.ccgp.gov.cn）列入失信被执行人、重大税收违法案件当事人名单、政府采购严重违法失信行为记录名单。</w:t>
      </w:r>
    </w:p>
    <w:p w14:paraId="5BB966AB">
      <w:pPr>
        <w:pStyle w:val="26"/>
        <w:keepNext w:val="0"/>
        <w:keepLines w:val="0"/>
        <w:pageBreakBefore w:val="0"/>
        <w:widowControl/>
        <w:numPr>
          <w:ilvl w:val="0"/>
          <w:numId w:val="5"/>
        </w:numPr>
        <w:tabs>
          <w:tab w:val="left" w:pos="0"/>
        </w:tabs>
        <w:kinsoku/>
        <w:wordWrap/>
        <w:overflowPunct/>
        <w:topLinePunct w:val="0"/>
        <w:autoSpaceDE/>
        <w:autoSpaceDN/>
        <w:bidi w:val="0"/>
        <w:adjustRightInd/>
        <w:snapToGrid/>
        <w:spacing w:before="0" w:beforeLines="0" w:beforeAutospacing="0" w:after="0" w:afterLines="0" w:afterAutospacing="0" w:line="420" w:lineRule="exact"/>
        <w:ind w:left="0" w:leftChars="0" w:firstLine="400" w:firstLine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highlight w:val="none"/>
          <w:lang w:val="en-US" w:eastAsia="zh-CN"/>
        </w:rPr>
        <w:t>本项目的特定资格要求：</w:t>
      </w:r>
      <w:r>
        <w:rPr>
          <w:rFonts w:hint="eastAsia" w:ascii="仿宋" w:hAnsi="仿宋" w:eastAsia="仿宋" w:cs="仿宋"/>
          <w:b w:val="0"/>
          <w:bCs/>
          <w:color w:val="auto"/>
          <w:kern w:val="2"/>
          <w:sz w:val="24"/>
          <w:szCs w:val="24"/>
          <w:highlight w:val="none"/>
          <w:lang w:val="en-US" w:eastAsia="zh-CN" w:bidi="ar-SA"/>
        </w:rPr>
        <w:t>具备工程监理综合资质或同时具备房屋建筑工程、市政公用工程监理乙级及以上资质。</w:t>
      </w:r>
    </w:p>
    <w:p w14:paraId="1C7C8630">
      <w:pPr>
        <w:pStyle w:val="26"/>
        <w:keepNext w:val="0"/>
        <w:keepLines w:val="0"/>
        <w:pageBreakBefore w:val="0"/>
        <w:widowControl/>
        <w:numPr>
          <w:ilvl w:val="0"/>
          <w:numId w:val="5"/>
        </w:numPr>
        <w:tabs>
          <w:tab w:val="left" w:pos="0"/>
        </w:tabs>
        <w:kinsoku/>
        <w:wordWrap/>
        <w:overflowPunct/>
        <w:topLinePunct w:val="0"/>
        <w:autoSpaceDE/>
        <w:autoSpaceDN/>
        <w:bidi w:val="0"/>
        <w:adjustRightInd/>
        <w:snapToGrid/>
        <w:spacing w:before="0" w:beforeLines="0" w:beforeAutospacing="0" w:after="0" w:afterLines="0" w:afterAutospacing="0" w:line="420" w:lineRule="exact"/>
        <w:ind w:left="0" w:leftChars="0" w:firstLine="400" w:firstLine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b/>
          <w:bCs/>
          <w:color w:val="auto"/>
          <w:highlight w:val="none"/>
          <w:u w:val="single"/>
        </w:rPr>
        <w:t xml:space="preserve"> 不 </w:t>
      </w:r>
      <w:r>
        <w:rPr>
          <w:rFonts w:hint="eastAsia" w:ascii="仿宋" w:hAnsi="仿宋" w:eastAsia="仿宋" w:cs="仿宋"/>
          <w:color w:val="auto"/>
          <w:highlight w:val="none"/>
        </w:rPr>
        <w:t>接受联合体投标。</w:t>
      </w:r>
    </w:p>
    <w:p w14:paraId="1CF5A2AF">
      <w:pPr>
        <w:keepNext w:val="0"/>
        <w:keepLines w:val="0"/>
        <w:pageBreakBefore w:val="0"/>
        <w:numPr>
          <w:ilvl w:val="0"/>
          <w:numId w:val="4"/>
        </w:numPr>
        <w:kinsoku/>
        <w:wordWrap/>
        <w:overflowPunct/>
        <w:topLinePunct w:val="0"/>
        <w:bidi w:val="0"/>
        <w:adjustRightInd w:val="0"/>
        <w:snapToGrid w:val="0"/>
        <w:spacing w:line="420" w:lineRule="exact"/>
        <w:ind w:left="0" w:lef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评标办法：综合评分法</w:t>
      </w:r>
    </w:p>
    <w:p w14:paraId="11E0BCDF">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（1）满分为100分。总得分=商务技术得分+报价得分；</w:t>
      </w:r>
    </w:p>
    <w:p w14:paraId="7552EA45">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（2）商务技术得分=商务技术评分，商务技术评分=所有评委的有效评分的算术平均数</w:t>
      </w:r>
      <w:r>
        <w:rPr>
          <w:rFonts w:hint="eastAsia" w:ascii="仿宋" w:hAnsi="仿宋" w:eastAsia="仿宋" w:cs="仿宋"/>
          <w:color w:val="auto"/>
          <w:sz w:val="24"/>
          <w:highlight w:val="none"/>
          <w:lang w:eastAsia="zh-CN"/>
        </w:rPr>
        <w:t>；</w:t>
      </w:r>
    </w:p>
    <w:p w14:paraId="6FECBBAC">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（3）报价得分=（评标基准价/投标</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）*价格权值*100，评标基准价=有效投标人的最低投标报价，价格权值=</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w:t>
      </w:r>
    </w:p>
    <w:p w14:paraId="1E645D87">
      <w:pPr>
        <w:keepNext w:val="0"/>
        <w:keepLines w:val="0"/>
        <w:pageBreakBefore w:val="0"/>
        <w:widowControl w:val="0"/>
        <w:kinsoku/>
        <w:wordWrap/>
        <w:overflowPunct/>
        <w:topLinePunct w:val="0"/>
        <w:autoSpaceDE w:val="0"/>
        <w:autoSpaceDN w:val="0"/>
        <w:bidi w:val="0"/>
        <w:adjustRightInd w:val="0"/>
        <w:snapToGrid/>
        <w:spacing w:after="10"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（4）商务技术分评分细则（</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0分）</w:t>
      </w:r>
    </w:p>
    <w:tbl>
      <w:tblPr>
        <w:tblStyle w:val="30"/>
        <w:tblW w:w="50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966"/>
        <w:gridCol w:w="7431"/>
        <w:gridCol w:w="998"/>
      </w:tblGrid>
      <w:tr w14:paraId="2A5BA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68" w:type="pct"/>
            <w:noWrap w:val="0"/>
            <w:vAlign w:val="center"/>
          </w:tcPr>
          <w:p w14:paraId="5BD7A69C">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序号</w:t>
            </w:r>
          </w:p>
        </w:tc>
        <w:tc>
          <w:tcPr>
            <w:tcW w:w="476" w:type="pct"/>
            <w:noWrap w:val="0"/>
            <w:vAlign w:val="center"/>
          </w:tcPr>
          <w:p w14:paraId="77EA38EC">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项目</w:t>
            </w:r>
          </w:p>
        </w:tc>
        <w:tc>
          <w:tcPr>
            <w:tcW w:w="3663" w:type="pct"/>
            <w:noWrap w:val="0"/>
            <w:vAlign w:val="center"/>
          </w:tcPr>
          <w:p w14:paraId="6DFEF73B">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评分要点及说明</w:t>
            </w:r>
          </w:p>
        </w:tc>
        <w:tc>
          <w:tcPr>
            <w:tcW w:w="492" w:type="pct"/>
            <w:noWrap w:val="0"/>
            <w:vAlign w:val="center"/>
          </w:tcPr>
          <w:p w14:paraId="1A002FF5">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分值</w:t>
            </w:r>
          </w:p>
          <w:p w14:paraId="466F31D5">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范围</w:t>
            </w:r>
          </w:p>
        </w:tc>
      </w:tr>
      <w:tr w14:paraId="1D02E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368" w:type="pct"/>
            <w:noWrap w:val="0"/>
            <w:vAlign w:val="center"/>
          </w:tcPr>
          <w:p w14:paraId="2FE96146">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w:t>
            </w:r>
          </w:p>
        </w:tc>
        <w:tc>
          <w:tcPr>
            <w:tcW w:w="476" w:type="pct"/>
            <w:noWrap w:val="0"/>
            <w:vAlign w:val="center"/>
          </w:tcPr>
          <w:p w14:paraId="04EEBB16">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企业 </w:t>
            </w:r>
          </w:p>
          <w:p w14:paraId="5BB8B0F4">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default" w:ascii="仿宋" w:hAnsi="仿宋" w:eastAsia="仿宋" w:cs="仿宋"/>
                <w:b/>
                <w:color w:val="000000"/>
                <w:sz w:val="24"/>
                <w:lang w:val="en-US" w:eastAsia="zh-CN"/>
              </w:rPr>
            </w:pPr>
            <w:r>
              <w:rPr>
                <w:rFonts w:hint="eastAsia" w:ascii="仿宋" w:hAnsi="仿宋" w:eastAsia="仿宋" w:cs="仿宋"/>
                <w:b/>
                <w:bCs/>
                <w:sz w:val="24"/>
                <w:szCs w:val="24"/>
                <w:highlight w:val="none"/>
                <w:lang w:val="en-US" w:eastAsia="zh-CN"/>
              </w:rPr>
              <w:t>资信</w:t>
            </w:r>
          </w:p>
        </w:tc>
        <w:tc>
          <w:tcPr>
            <w:tcW w:w="3663" w:type="pct"/>
            <w:noWrap w:val="0"/>
            <w:vAlign w:val="center"/>
          </w:tcPr>
          <w:p w14:paraId="7451E0F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sz w:val="24"/>
                <w:szCs w:val="24"/>
                <w:highlight w:val="none"/>
              </w:rPr>
            </w:pPr>
            <w:r>
              <w:rPr>
                <w:rFonts w:hint="eastAsia" w:ascii="仿宋" w:hAnsi="仿宋" w:eastAsia="仿宋" w:cs="仿宋"/>
                <w:b w:val="0"/>
                <w:bCs w:val="0"/>
                <w:color w:val="auto"/>
                <w:sz w:val="24"/>
                <w:szCs w:val="24"/>
                <w:lang w:val="en-US" w:eastAsia="zh-CN"/>
              </w:rPr>
              <w:t>投标人具有有效期内的质量管理体系认证证书、职业健康安全管理体系认证证书、环境管理体系认证证书的，每提供一个证书得1分，本项最高得3分。</w:t>
            </w:r>
          </w:p>
          <w:p w14:paraId="0A93882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sz w:val="24"/>
                <w:szCs w:val="24"/>
                <w:highlight w:val="none"/>
              </w:rPr>
            </w:pPr>
            <w:r>
              <w:rPr>
                <w:rFonts w:hint="eastAsia" w:ascii="仿宋" w:hAnsi="仿宋" w:eastAsia="仿宋" w:cs="仿宋_GB2312"/>
                <w:b w:val="0"/>
                <w:bCs w:val="0"/>
                <w:sz w:val="24"/>
                <w:szCs w:val="24"/>
                <w:highlight w:val="none"/>
              </w:rPr>
              <w:t>注：</w:t>
            </w:r>
            <w:r>
              <w:rPr>
                <w:rFonts w:hint="eastAsia" w:ascii="仿宋" w:hAnsi="仿宋" w:eastAsia="仿宋" w:cs="仿宋_GB2312"/>
                <w:b w:val="0"/>
                <w:bCs w:val="0"/>
                <w:sz w:val="24"/>
                <w:szCs w:val="24"/>
                <w:highlight w:val="none"/>
                <w:lang w:val="en-US" w:eastAsia="zh-CN"/>
              </w:rPr>
              <w:t>提供有效期内证书复印件并加盖投标人CA签章，不提供不得分</w:t>
            </w:r>
            <w:r>
              <w:rPr>
                <w:rFonts w:hint="eastAsia" w:ascii="仿宋" w:hAnsi="仿宋" w:eastAsia="仿宋" w:cs="仿宋_GB2312"/>
                <w:b w:val="0"/>
                <w:bCs w:val="0"/>
                <w:sz w:val="24"/>
                <w:szCs w:val="24"/>
                <w:highlight w:val="none"/>
              </w:rPr>
              <w:t>。</w:t>
            </w:r>
          </w:p>
        </w:tc>
        <w:tc>
          <w:tcPr>
            <w:tcW w:w="492" w:type="pct"/>
            <w:noWrap w:val="0"/>
            <w:vAlign w:val="center"/>
          </w:tcPr>
          <w:p w14:paraId="24FC8EC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0-3分</w:t>
            </w:r>
          </w:p>
        </w:tc>
      </w:tr>
      <w:tr w14:paraId="44ED2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68" w:type="pct"/>
            <w:noWrap w:val="0"/>
            <w:vAlign w:val="center"/>
          </w:tcPr>
          <w:p w14:paraId="77394803">
            <w:pPr>
              <w:keepNext w:val="0"/>
              <w:keepLines w:val="0"/>
              <w:pageBreakBefore w:val="0"/>
              <w:kinsoku/>
              <w:wordWrap/>
              <w:overflowPunct/>
              <w:topLinePunct w:val="0"/>
              <w:bidi w:val="0"/>
              <w:spacing w:line="380" w:lineRule="exact"/>
              <w:jc w:val="center"/>
              <w:textAlignment w:val="auto"/>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2</w:t>
            </w:r>
          </w:p>
        </w:tc>
        <w:tc>
          <w:tcPr>
            <w:tcW w:w="476" w:type="pct"/>
            <w:noWrap w:val="0"/>
            <w:vAlign w:val="center"/>
          </w:tcPr>
          <w:p w14:paraId="2A48AA5E">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w:t>
            </w:r>
          </w:p>
          <w:p w14:paraId="224DA972">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业绩</w:t>
            </w:r>
          </w:p>
        </w:tc>
        <w:tc>
          <w:tcPr>
            <w:tcW w:w="3663" w:type="pct"/>
            <w:noWrap w:val="0"/>
            <w:vAlign w:val="top"/>
          </w:tcPr>
          <w:p w14:paraId="458B3DD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投标人自2023年1月1日以来(以合同签订时间为准)，承担过房建或市政工程监理服务项目的，每提供一个业绩合同得1分，本项最高得2分。</w:t>
            </w:r>
          </w:p>
          <w:p w14:paraId="1B8BB81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sz w:val="24"/>
                <w:szCs w:val="24"/>
                <w:highlight w:val="none"/>
              </w:rPr>
            </w:pPr>
            <w:r>
              <w:rPr>
                <w:rFonts w:hint="eastAsia" w:ascii="仿宋" w:hAnsi="仿宋" w:eastAsia="仿宋" w:cs="仿宋_GB2312"/>
                <w:b w:val="0"/>
                <w:bCs w:val="0"/>
                <w:sz w:val="24"/>
                <w:szCs w:val="24"/>
                <w:highlight w:val="none"/>
                <w:lang w:val="en-US" w:eastAsia="zh-CN"/>
              </w:rPr>
              <w:t>注：提供合同(包括但不限于合同内容、双方签字盖章、签署时间；若合同内容不能体现相关信息的，还需提供合同业主盖章的证明材料)复印件并加盖投标人CA签章，不提供不得分。</w:t>
            </w:r>
          </w:p>
        </w:tc>
        <w:tc>
          <w:tcPr>
            <w:tcW w:w="492" w:type="pct"/>
            <w:noWrap w:val="0"/>
            <w:vAlign w:val="top"/>
          </w:tcPr>
          <w:p w14:paraId="7AB7D3CC">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p>
          <w:p w14:paraId="6FAA14C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p>
          <w:p w14:paraId="12C6080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0-2分</w:t>
            </w:r>
          </w:p>
        </w:tc>
      </w:tr>
      <w:tr w14:paraId="0818D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368" w:type="pct"/>
            <w:vMerge w:val="restart"/>
            <w:noWrap w:val="0"/>
            <w:vAlign w:val="center"/>
          </w:tcPr>
          <w:p w14:paraId="1D69F78D">
            <w:pPr>
              <w:keepNext w:val="0"/>
              <w:keepLines w:val="0"/>
              <w:pageBreakBefore w:val="0"/>
              <w:kinsoku/>
              <w:wordWrap/>
              <w:overflowPunct/>
              <w:topLinePunct w:val="0"/>
              <w:bidi w:val="0"/>
              <w:spacing w:line="380" w:lineRule="exact"/>
              <w:jc w:val="center"/>
              <w:textAlignment w:val="auto"/>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3</w:t>
            </w:r>
          </w:p>
        </w:tc>
        <w:tc>
          <w:tcPr>
            <w:tcW w:w="476" w:type="pct"/>
            <w:vMerge w:val="restart"/>
            <w:noWrap w:val="0"/>
            <w:vAlign w:val="center"/>
          </w:tcPr>
          <w:p w14:paraId="39EB4A8A">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人员</w:t>
            </w:r>
          </w:p>
          <w:p w14:paraId="11928BF8">
            <w:pPr>
              <w:keepNext w:val="0"/>
              <w:keepLines w:val="0"/>
              <w:pageBreakBefore w:val="0"/>
              <w:kinsoku/>
              <w:wordWrap/>
              <w:overflowPunct/>
              <w:topLinePunct w:val="0"/>
              <w:bidi w:val="0"/>
              <w:spacing w:line="380" w:lineRule="exact"/>
              <w:jc w:val="center"/>
              <w:textAlignment w:val="auto"/>
              <w:rPr>
                <w:rFonts w:hint="default" w:ascii="仿宋" w:hAnsi="仿宋" w:eastAsia="仿宋" w:cs="宋体"/>
                <w:b/>
                <w:bCs/>
                <w:kern w:val="2"/>
                <w:sz w:val="24"/>
                <w:szCs w:val="24"/>
                <w:lang w:val="en-US" w:eastAsia="zh-CN" w:bidi="ar-SA"/>
              </w:rPr>
            </w:pPr>
            <w:r>
              <w:rPr>
                <w:rFonts w:hint="eastAsia" w:ascii="仿宋" w:hAnsi="仿宋" w:eastAsia="仿宋" w:cs="仿宋"/>
                <w:b/>
                <w:bCs/>
                <w:sz w:val="24"/>
                <w:szCs w:val="24"/>
                <w:highlight w:val="none"/>
                <w:lang w:val="en-US" w:eastAsia="zh-CN"/>
              </w:rPr>
              <w:t>配备</w:t>
            </w:r>
          </w:p>
        </w:tc>
        <w:tc>
          <w:tcPr>
            <w:tcW w:w="3663" w:type="pct"/>
            <w:noWrap w:val="0"/>
            <w:vAlign w:val="center"/>
          </w:tcPr>
          <w:p w14:paraId="47AFAE7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highlight w:val="none"/>
              </w:rPr>
              <w:t>拟派项目总监理工程师在具有国家注册监理工程师</w:t>
            </w:r>
            <w:r>
              <w:rPr>
                <w:rFonts w:hint="eastAsia" w:ascii="仿宋" w:hAnsi="仿宋" w:eastAsia="仿宋" w:cs="仿宋"/>
                <w:b w:val="0"/>
                <w:bCs w:val="0"/>
                <w:sz w:val="24"/>
                <w:szCs w:val="24"/>
                <w:highlight w:val="none"/>
                <w:lang w:val="en-US" w:eastAsia="zh-CN"/>
              </w:rPr>
              <w:t>证书</w:t>
            </w:r>
            <w:r>
              <w:rPr>
                <w:rFonts w:hint="eastAsia" w:ascii="仿宋" w:hAnsi="仿宋" w:eastAsia="仿宋" w:cs="仿宋"/>
                <w:b w:val="0"/>
                <w:bCs w:val="0"/>
                <w:sz w:val="24"/>
                <w:szCs w:val="24"/>
                <w:highlight w:val="none"/>
              </w:rPr>
              <w:t>(市政公用工程和房屋建筑工程</w:t>
            </w:r>
            <w:r>
              <w:rPr>
                <w:rFonts w:hint="eastAsia" w:ascii="仿宋" w:hAnsi="仿宋" w:eastAsia="仿宋" w:cs="仿宋"/>
                <w:b w:val="0"/>
                <w:bCs w:val="0"/>
                <w:sz w:val="24"/>
                <w:szCs w:val="24"/>
                <w:highlight w:val="none"/>
                <w:lang w:val="en-US" w:eastAsia="zh-CN"/>
              </w:rPr>
              <w:t>专业</w:t>
            </w:r>
            <w:r>
              <w:rPr>
                <w:rFonts w:hint="eastAsia" w:ascii="仿宋" w:hAnsi="仿宋" w:eastAsia="仿宋" w:cs="仿宋"/>
                <w:b w:val="0"/>
                <w:bCs w:val="0"/>
                <w:sz w:val="24"/>
                <w:szCs w:val="24"/>
                <w:highlight w:val="none"/>
              </w:rPr>
              <w:t>)的基础上，同时具有一级注册造价工程师的，得3分。</w:t>
            </w:r>
          </w:p>
          <w:p w14:paraId="36642DF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sz w:val="24"/>
                <w:szCs w:val="24"/>
                <w:highlight w:val="none"/>
                <w:lang w:val="en-US" w:eastAsia="zh-CN"/>
              </w:rPr>
            </w:pPr>
            <w:r>
              <w:rPr>
                <w:rFonts w:hint="eastAsia" w:ascii="仿宋" w:hAnsi="仿宋" w:eastAsia="仿宋" w:cs="仿宋_GB2312"/>
                <w:b w:val="0"/>
                <w:bCs w:val="0"/>
                <w:color w:val="auto"/>
                <w:sz w:val="24"/>
                <w:szCs w:val="24"/>
                <w:highlight w:val="none"/>
                <w:lang w:val="en-US" w:eastAsia="zh-CN"/>
              </w:rPr>
              <w:t>注：如拟派项目总监理工程师不为同一人，须同时提供一级注册造价工程师证。提供人员相关证书复印件以及在投标人最近连续3个月的社保缴纳证明并加盖投标人CA签章（社保缴纳证明以社保机构出具的社保证明为准），未提供或提供不全不得分。</w:t>
            </w:r>
          </w:p>
        </w:tc>
        <w:tc>
          <w:tcPr>
            <w:tcW w:w="492" w:type="pct"/>
            <w:noWrap w:val="0"/>
            <w:vAlign w:val="center"/>
          </w:tcPr>
          <w:p w14:paraId="1F76426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default"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0-3分</w:t>
            </w:r>
          </w:p>
        </w:tc>
      </w:tr>
      <w:tr w14:paraId="0666E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368" w:type="pct"/>
            <w:vMerge w:val="continue"/>
            <w:noWrap w:val="0"/>
            <w:vAlign w:val="center"/>
          </w:tcPr>
          <w:p w14:paraId="31967732">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color w:val="000000"/>
                <w:sz w:val="24"/>
                <w:lang w:val="en-US" w:eastAsia="zh-CN"/>
              </w:rPr>
            </w:pPr>
          </w:p>
        </w:tc>
        <w:tc>
          <w:tcPr>
            <w:tcW w:w="476" w:type="pct"/>
            <w:vMerge w:val="continue"/>
            <w:noWrap w:val="0"/>
            <w:vAlign w:val="center"/>
          </w:tcPr>
          <w:p w14:paraId="28A58CC3">
            <w:pPr>
              <w:keepNext w:val="0"/>
              <w:keepLines w:val="0"/>
              <w:pageBreakBefore w:val="0"/>
              <w:kinsoku/>
              <w:wordWrap/>
              <w:overflowPunct/>
              <w:topLinePunct w:val="0"/>
              <w:bidi w:val="0"/>
              <w:spacing w:line="380" w:lineRule="exact"/>
              <w:jc w:val="center"/>
              <w:textAlignment w:val="auto"/>
              <w:rPr>
                <w:rFonts w:hint="eastAsia" w:ascii="仿宋" w:hAnsi="仿宋" w:eastAsia="仿宋" w:cs="仿宋"/>
                <w:b/>
                <w:bCs/>
                <w:sz w:val="24"/>
                <w:szCs w:val="24"/>
                <w:highlight w:val="none"/>
                <w:lang w:val="en-US" w:eastAsia="zh-CN"/>
              </w:rPr>
            </w:pPr>
          </w:p>
        </w:tc>
        <w:tc>
          <w:tcPr>
            <w:tcW w:w="3663" w:type="pct"/>
            <w:noWrap w:val="0"/>
            <w:vAlign w:val="center"/>
          </w:tcPr>
          <w:p w14:paraId="3CC7A59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投标人在满足本项目采购需求的基础上[</w:t>
            </w:r>
            <w:r>
              <w:rPr>
                <w:rFonts w:hint="eastAsia" w:ascii="仿宋" w:hAnsi="仿宋" w:eastAsia="仿宋" w:cs="仿宋"/>
                <w:b w:val="0"/>
                <w:bCs w:val="0"/>
                <w:sz w:val="24"/>
                <w:szCs w:val="24"/>
                <w:highlight w:val="none"/>
              </w:rPr>
              <w:t>总监理工程师</w:t>
            </w:r>
            <w:r>
              <w:rPr>
                <w:rFonts w:hint="eastAsia" w:ascii="仿宋" w:hAnsi="仿宋" w:eastAsia="仿宋" w:cs="仿宋"/>
                <w:b w:val="0"/>
                <w:bCs w:val="0"/>
                <w:sz w:val="24"/>
                <w:szCs w:val="24"/>
                <w:highlight w:val="none"/>
                <w:lang w:val="en-US" w:eastAsia="zh-CN"/>
              </w:rPr>
              <w:t>至少1人，市政公用工程</w:t>
            </w:r>
            <w:r>
              <w:rPr>
                <w:rFonts w:hint="eastAsia" w:ascii="仿宋" w:hAnsi="仿宋" w:eastAsia="仿宋" w:cs="仿宋"/>
                <w:b w:val="0"/>
                <w:bCs w:val="0"/>
                <w:sz w:val="24"/>
                <w:szCs w:val="24"/>
                <w:highlight w:val="none"/>
                <w:lang w:eastAsia="zh-CN"/>
              </w:rPr>
              <w:t>专业监理工程师</w:t>
            </w:r>
            <w:r>
              <w:rPr>
                <w:rFonts w:hint="eastAsia" w:ascii="仿宋" w:hAnsi="仿宋" w:eastAsia="仿宋" w:cs="仿宋"/>
                <w:b w:val="0"/>
                <w:bCs w:val="0"/>
                <w:sz w:val="24"/>
                <w:szCs w:val="24"/>
                <w:highlight w:val="none"/>
                <w:lang w:val="en-US" w:eastAsia="zh-CN"/>
              </w:rPr>
              <w:t>及房屋建筑工程</w:t>
            </w:r>
            <w:r>
              <w:rPr>
                <w:rFonts w:hint="eastAsia" w:ascii="仿宋" w:hAnsi="仿宋" w:eastAsia="仿宋" w:cs="仿宋"/>
                <w:b w:val="0"/>
                <w:bCs w:val="0"/>
                <w:sz w:val="24"/>
                <w:szCs w:val="24"/>
                <w:highlight w:val="none"/>
                <w:lang w:eastAsia="zh-CN"/>
              </w:rPr>
              <w:t>专业监理工程师</w:t>
            </w:r>
            <w:r>
              <w:rPr>
                <w:rFonts w:hint="eastAsia" w:ascii="仿宋" w:hAnsi="仿宋" w:eastAsia="仿宋" w:cs="仿宋"/>
                <w:b w:val="0"/>
                <w:bCs w:val="0"/>
                <w:sz w:val="24"/>
                <w:szCs w:val="24"/>
                <w:highlight w:val="none"/>
                <w:lang w:val="en-US" w:eastAsia="zh-CN"/>
              </w:rPr>
              <w:t>各1人</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市政公用工程</w:t>
            </w:r>
            <w:r>
              <w:rPr>
                <w:rFonts w:hint="eastAsia" w:ascii="仿宋" w:hAnsi="仿宋" w:eastAsia="仿宋" w:cs="仿宋"/>
                <w:b w:val="0"/>
                <w:bCs w:val="0"/>
                <w:sz w:val="24"/>
                <w:szCs w:val="24"/>
                <w:highlight w:val="none"/>
                <w:lang w:eastAsia="zh-CN"/>
              </w:rPr>
              <w:t>专业</w:t>
            </w:r>
            <w:r>
              <w:rPr>
                <w:rFonts w:hint="eastAsia" w:ascii="仿宋" w:hAnsi="仿宋" w:eastAsia="仿宋" w:cs="仿宋"/>
                <w:b w:val="0"/>
                <w:bCs w:val="0"/>
                <w:sz w:val="24"/>
                <w:szCs w:val="24"/>
                <w:highlight w:val="none"/>
                <w:lang w:val="en-US" w:eastAsia="zh-CN"/>
              </w:rPr>
              <w:t>监理员及房屋建筑工程</w:t>
            </w:r>
            <w:r>
              <w:rPr>
                <w:rFonts w:hint="eastAsia" w:ascii="仿宋" w:hAnsi="仿宋" w:eastAsia="仿宋" w:cs="仿宋"/>
                <w:b w:val="0"/>
                <w:bCs w:val="0"/>
                <w:sz w:val="24"/>
                <w:szCs w:val="24"/>
                <w:highlight w:val="none"/>
                <w:lang w:eastAsia="zh-CN"/>
              </w:rPr>
              <w:t>专业</w:t>
            </w:r>
            <w:r>
              <w:rPr>
                <w:rFonts w:hint="eastAsia" w:ascii="仿宋" w:hAnsi="仿宋" w:eastAsia="仿宋" w:cs="仿宋"/>
                <w:b w:val="0"/>
                <w:bCs w:val="0"/>
                <w:sz w:val="24"/>
                <w:szCs w:val="24"/>
                <w:highlight w:val="none"/>
                <w:lang w:val="en-US" w:eastAsia="zh-CN"/>
              </w:rPr>
              <w:t>监理员各1人</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一级</w:t>
            </w:r>
            <w:r>
              <w:rPr>
                <w:rFonts w:hint="eastAsia" w:ascii="仿宋" w:hAnsi="仿宋" w:eastAsia="仿宋" w:cs="仿宋"/>
                <w:b w:val="0"/>
                <w:bCs w:val="0"/>
                <w:sz w:val="24"/>
                <w:szCs w:val="24"/>
                <w:highlight w:val="none"/>
                <w:lang w:eastAsia="zh-CN"/>
              </w:rPr>
              <w:t>注册造价师</w:t>
            </w:r>
            <w:r>
              <w:rPr>
                <w:rFonts w:hint="eastAsia" w:ascii="仿宋" w:hAnsi="仿宋" w:eastAsia="仿宋" w:cs="仿宋"/>
                <w:b w:val="0"/>
                <w:bCs w:val="0"/>
                <w:sz w:val="24"/>
                <w:szCs w:val="24"/>
                <w:highlight w:val="none"/>
                <w:lang w:val="en-US" w:eastAsia="zh-CN"/>
              </w:rPr>
              <w:t>（土木建筑工程专业）1人]：</w:t>
            </w:r>
          </w:p>
          <w:p w14:paraId="2A9B92A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①</w:t>
            </w:r>
            <w:r>
              <w:rPr>
                <w:rFonts w:hint="eastAsia" w:ascii="仿宋" w:hAnsi="仿宋" w:eastAsia="仿宋" w:cs="仿宋"/>
                <w:b w:val="0"/>
                <w:bCs w:val="0"/>
                <w:sz w:val="24"/>
                <w:szCs w:val="24"/>
                <w:highlight w:val="none"/>
              </w:rPr>
              <w:t>每增加</w:t>
            </w:r>
            <w:r>
              <w:rPr>
                <w:rFonts w:hint="eastAsia" w:ascii="仿宋" w:hAnsi="仿宋" w:eastAsia="仿宋" w:cs="仿宋"/>
                <w:b w:val="0"/>
                <w:bCs w:val="0"/>
                <w:sz w:val="24"/>
                <w:szCs w:val="24"/>
                <w:highlight w:val="none"/>
                <w:lang w:val="en-US" w:eastAsia="zh-CN"/>
              </w:rPr>
              <w:t>一名</w:t>
            </w:r>
            <w:r>
              <w:rPr>
                <w:rFonts w:hint="eastAsia" w:ascii="仿宋" w:hAnsi="仿宋" w:eastAsia="仿宋" w:cs="仿宋"/>
                <w:b w:val="0"/>
                <w:bCs w:val="0"/>
                <w:sz w:val="24"/>
                <w:szCs w:val="24"/>
                <w:highlight w:val="none"/>
              </w:rPr>
              <w:t>国家注册监理工程师(市政公用工程或房屋建筑工程</w:t>
            </w:r>
            <w:r>
              <w:rPr>
                <w:rFonts w:hint="eastAsia" w:ascii="仿宋" w:hAnsi="仿宋" w:eastAsia="仿宋" w:cs="仿宋"/>
                <w:b w:val="0"/>
                <w:bCs w:val="0"/>
                <w:sz w:val="24"/>
                <w:szCs w:val="24"/>
                <w:highlight w:val="none"/>
                <w:lang w:val="en-US" w:eastAsia="zh-CN"/>
              </w:rPr>
              <w:t>专业</w:t>
            </w:r>
            <w:r>
              <w:rPr>
                <w:rFonts w:hint="eastAsia" w:ascii="仿宋" w:hAnsi="仿宋" w:eastAsia="仿宋" w:cs="仿宋"/>
                <w:b w:val="0"/>
                <w:bCs w:val="0"/>
                <w:sz w:val="24"/>
                <w:szCs w:val="24"/>
                <w:highlight w:val="none"/>
              </w:rPr>
              <w:t>)得1分，</w:t>
            </w:r>
            <w:r>
              <w:rPr>
                <w:rFonts w:hint="eastAsia" w:ascii="仿宋" w:hAnsi="仿宋" w:eastAsia="仿宋" w:cs="仿宋"/>
                <w:b w:val="0"/>
                <w:bCs w:val="0"/>
                <w:sz w:val="24"/>
                <w:szCs w:val="24"/>
                <w:highlight w:val="none"/>
                <w:lang w:val="en-US" w:eastAsia="zh-CN"/>
              </w:rPr>
              <w:t>本项最高</w:t>
            </w:r>
            <w:r>
              <w:rPr>
                <w:rFonts w:hint="eastAsia" w:ascii="仿宋" w:hAnsi="仿宋" w:eastAsia="仿宋" w:cs="仿宋"/>
                <w:b w:val="0"/>
                <w:bCs w:val="0"/>
                <w:sz w:val="24"/>
                <w:szCs w:val="24"/>
                <w:highlight w:val="none"/>
              </w:rPr>
              <w:t>得</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分。</w:t>
            </w:r>
          </w:p>
          <w:p w14:paraId="7E65166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②每增加一名</w:t>
            </w:r>
            <w:r>
              <w:rPr>
                <w:rFonts w:hint="eastAsia" w:ascii="仿宋" w:hAnsi="仿宋" w:eastAsia="仿宋" w:cs="仿宋"/>
                <w:b w:val="0"/>
                <w:bCs w:val="0"/>
                <w:sz w:val="24"/>
                <w:szCs w:val="24"/>
                <w:highlight w:val="none"/>
              </w:rPr>
              <w:t>专业监理工程师(市政公用工程或房屋建筑工程</w:t>
            </w:r>
            <w:r>
              <w:rPr>
                <w:rFonts w:hint="eastAsia" w:ascii="仿宋" w:hAnsi="仿宋" w:eastAsia="仿宋" w:cs="仿宋"/>
                <w:b w:val="0"/>
                <w:bCs w:val="0"/>
                <w:sz w:val="24"/>
                <w:szCs w:val="24"/>
                <w:highlight w:val="none"/>
                <w:lang w:val="en-US" w:eastAsia="zh-CN"/>
              </w:rPr>
              <w:t>专业</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得0.5分，本项最高得2分。</w:t>
            </w:r>
          </w:p>
          <w:p w14:paraId="288F587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_GB2312"/>
                <w:b w:val="0"/>
                <w:bCs w:val="0"/>
                <w:color w:val="auto"/>
                <w:sz w:val="24"/>
                <w:szCs w:val="24"/>
                <w:highlight w:val="none"/>
                <w:lang w:val="en-US" w:eastAsia="zh-CN"/>
              </w:rPr>
            </w:pPr>
            <w:r>
              <w:rPr>
                <w:rFonts w:hint="eastAsia" w:ascii="仿宋" w:hAnsi="仿宋" w:eastAsia="仿宋" w:cs="仿宋_GB2312"/>
                <w:b w:val="0"/>
                <w:bCs w:val="0"/>
                <w:color w:val="auto"/>
                <w:sz w:val="24"/>
                <w:szCs w:val="24"/>
                <w:highlight w:val="none"/>
                <w:lang w:val="en-US" w:eastAsia="zh-CN"/>
              </w:rPr>
              <w:t>注：每项资质人员不得重复。提供人员名单、相关证书复印件以及在投标人最近连续3个月的社保缴纳证明并加盖投标人CA签章（社保缴纳证明以社保机构出具的社保证明为准），未提供或提供不全不得分。</w:t>
            </w:r>
          </w:p>
        </w:tc>
        <w:tc>
          <w:tcPr>
            <w:tcW w:w="492" w:type="pct"/>
            <w:noWrap w:val="0"/>
            <w:vAlign w:val="center"/>
          </w:tcPr>
          <w:p w14:paraId="4B21E18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0-6分</w:t>
            </w:r>
          </w:p>
        </w:tc>
      </w:tr>
      <w:tr w14:paraId="14716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restart"/>
            <w:noWrap w:val="0"/>
            <w:vAlign w:val="center"/>
          </w:tcPr>
          <w:p w14:paraId="1B25B201">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default" w:ascii="仿宋" w:hAnsi="仿宋" w:eastAsia="仿宋" w:cs="宋体"/>
                <w:b/>
                <w:bCs/>
                <w:kern w:val="2"/>
                <w:sz w:val="24"/>
                <w:szCs w:val="24"/>
                <w:lang w:val="en-US" w:eastAsia="zh-CN" w:bidi="ar-SA"/>
              </w:rPr>
            </w:pPr>
            <w:r>
              <w:rPr>
                <w:rFonts w:hint="eastAsia" w:ascii="仿宋" w:hAnsi="仿宋" w:eastAsia="仿宋" w:cs="仿宋"/>
                <w:b/>
                <w:bCs w:val="0"/>
                <w:sz w:val="24"/>
                <w:szCs w:val="24"/>
                <w:highlight w:val="none"/>
                <w:lang w:val="en-US" w:eastAsia="zh-CN" w:bidi="zh-CN"/>
              </w:rPr>
              <w:t>4</w:t>
            </w:r>
          </w:p>
        </w:tc>
        <w:tc>
          <w:tcPr>
            <w:tcW w:w="476" w:type="pct"/>
            <w:vMerge w:val="restart"/>
            <w:noWrap w:val="0"/>
            <w:vAlign w:val="center"/>
          </w:tcPr>
          <w:p w14:paraId="2F8F937D">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宋体"/>
                <w:b/>
                <w:bCs/>
                <w:kern w:val="2"/>
                <w:sz w:val="24"/>
                <w:szCs w:val="24"/>
                <w:lang w:val="en-US" w:eastAsia="zh-CN" w:bidi="ar-SA"/>
              </w:rPr>
            </w:pPr>
            <w:r>
              <w:rPr>
                <w:rFonts w:hint="eastAsia" w:ascii="仿宋" w:hAnsi="仿宋" w:eastAsia="仿宋" w:cs="宋体"/>
                <w:b/>
                <w:bCs/>
                <w:kern w:val="2"/>
                <w:sz w:val="24"/>
                <w:szCs w:val="24"/>
                <w:lang w:val="en-US" w:eastAsia="zh-CN" w:bidi="ar-SA"/>
              </w:rPr>
              <w:t>项目</w:t>
            </w:r>
          </w:p>
          <w:p w14:paraId="4367C1A6">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宋体"/>
                <w:b/>
                <w:bCs/>
                <w:kern w:val="2"/>
                <w:sz w:val="24"/>
                <w:szCs w:val="24"/>
                <w:lang w:val="en-US" w:eastAsia="zh-CN" w:bidi="ar-SA"/>
              </w:rPr>
            </w:pPr>
            <w:r>
              <w:rPr>
                <w:rFonts w:hint="eastAsia" w:ascii="仿宋" w:hAnsi="仿宋" w:eastAsia="仿宋" w:cs="宋体"/>
                <w:b/>
                <w:bCs/>
                <w:kern w:val="2"/>
                <w:sz w:val="24"/>
                <w:szCs w:val="24"/>
                <w:lang w:val="en-US" w:eastAsia="zh-CN" w:bidi="ar-SA"/>
              </w:rPr>
              <w:t>方案</w:t>
            </w:r>
          </w:p>
        </w:tc>
        <w:tc>
          <w:tcPr>
            <w:tcW w:w="3663" w:type="pct"/>
            <w:noWrap w:val="0"/>
            <w:vAlign w:val="top"/>
          </w:tcPr>
          <w:p w14:paraId="61B858A1">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提供的监理组织、监理规范和监理管理制度是否全面合理，监理工作流程是否科学可行</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581022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8A39F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8938C2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F39406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3BC7C559">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0D06E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8" w:type="pct"/>
            <w:vMerge w:val="continue"/>
            <w:noWrap w:val="0"/>
            <w:vAlign w:val="center"/>
          </w:tcPr>
          <w:p w14:paraId="213600F3">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54A502E5">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28EF3BD8">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提供的监理资料管理方案(包括监理流程、资料管理的流程、资料信息的收集、处理、归档内容等)、保密制度是否完善</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19E920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0C2D793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655D3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01673C4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74F4671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20B7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0CD25114">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03F0DE00">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340BB92E">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提供的监理日常各项工作制度、监理人员权利和责任是否详细明确、合理可行</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518F9DE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6E46A8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BABE1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1A61F5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26EC843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74D07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2904F33C">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3AE46A6D">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5A9B05FE">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提供的质量目标控制及手段(包括检验批、分部、分项工程的实体质量控制、隐蔽验收、专项验收等复核，功能检测，原材料构配件、节能的把关及方案审核，旁站和质量事故处理手段等)是否科学合理、全面等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7DCF80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EBE8C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68769D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C21486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03DE4D28">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7C00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71421EE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1DAFB0D1">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2AED3FE4">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提供的投资控制方案内容全面性、完整性，以及针对本项目有可能存在的风险分析和制定防范性对策的合理性、可行性</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571AC6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02BAE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EAF92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00F5C75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0A70537C">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71D1B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39CF8492">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7858D8A3">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4A6A6420">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提供的人员、设备的配置和进场计划是否合理，廉政建设、职业操守措施是否合理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7C4EDC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74F9D6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E31F95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6DD6C54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63A49F8B">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369A9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224D441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390EB8FE">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0FBF87AC">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编制的进度管理计划内容是否全面，进度控制目标是否详细，跟踪计划是否及时到位等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0DF8E6A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36134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37F02E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672195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7BDD1A98">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70BAD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vMerge w:val="continue"/>
            <w:noWrap w:val="0"/>
            <w:vAlign w:val="center"/>
          </w:tcPr>
          <w:p w14:paraId="22B47F18">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bidi="zh-CN"/>
              </w:rPr>
            </w:pPr>
          </w:p>
        </w:tc>
        <w:tc>
          <w:tcPr>
            <w:tcW w:w="476" w:type="pct"/>
            <w:vMerge w:val="continue"/>
            <w:noWrap w:val="0"/>
            <w:vAlign w:val="center"/>
          </w:tcPr>
          <w:p w14:paraId="0D5A593E">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p>
        </w:tc>
        <w:tc>
          <w:tcPr>
            <w:tcW w:w="3663" w:type="pct"/>
            <w:noWrap w:val="0"/>
            <w:vAlign w:val="top"/>
          </w:tcPr>
          <w:p w14:paraId="4CE8D0AE">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提供的现场安全、文明施工控制方案是否全面，安全文明措施是否可行等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62D73DB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F2896D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604F03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327EE67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1043C5F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0-7分</w:t>
            </w:r>
          </w:p>
        </w:tc>
      </w:tr>
      <w:tr w14:paraId="0AAAA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noWrap w:val="0"/>
            <w:vAlign w:val="center"/>
          </w:tcPr>
          <w:p w14:paraId="14602AE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default" w:ascii="仿宋" w:hAnsi="仿宋" w:eastAsia="仿宋" w:cs="宋体"/>
                <w:b/>
                <w:bCs/>
                <w:kern w:val="2"/>
                <w:sz w:val="24"/>
                <w:szCs w:val="24"/>
                <w:lang w:val="en-US" w:eastAsia="zh-CN" w:bidi="ar-SA"/>
              </w:rPr>
            </w:pPr>
            <w:r>
              <w:rPr>
                <w:rFonts w:hint="eastAsia" w:ascii="仿宋" w:hAnsi="仿宋" w:eastAsia="仿宋" w:cs="仿宋"/>
                <w:b/>
                <w:bCs w:val="0"/>
                <w:sz w:val="24"/>
                <w:szCs w:val="24"/>
                <w:highlight w:val="none"/>
                <w:lang w:val="en-US" w:eastAsia="zh-CN" w:bidi="zh-CN"/>
              </w:rPr>
              <w:t>5</w:t>
            </w:r>
          </w:p>
        </w:tc>
        <w:tc>
          <w:tcPr>
            <w:tcW w:w="476" w:type="pct"/>
            <w:noWrap w:val="0"/>
            <w:vAlign w:val="center"/>
          </w:tcPr>
          <w:p w14:paraId="5DAA81D0">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服务</w:t>
            </w:r>
          </w:p>
          <w:p w14:paraId="5FE361A8">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default" w:ascii="仿宋" w:hAnsi="仿宋" w:eastAsia="仿宋" w:cs="宋体"/>
                <w:b/>
                <w:bCs/>
                <w:kern w:val="2"/>
                <w:sz w:val="24"/>
                <w:szCs w:val="24"/>
                <w:lang w:val="en-US" w:eastAsia="zh-CN" w:bidi="ar-SA"/>
              </w:rPr>
            </w:pPr>
            <w:r>
              <w:rPr>
                <w:rFonts w:hint="eastAsia" w:ascii="仿宋" w:hAnsi="仿宋" w:eastAsia="仿宋" w:cs="仿宋"/>
                <w:b/>
                <w:bCs w:val="0"/>
                <w:sz w:val="24"/>
                <w:szCs w:val="24"/>
                <w:highlight w:val="none"/>
                <w:lang w:val="en-US" w:eastAsia="zh-CN"/>
              </w:rPr>
              <w:t>响应</w:t>
            </w:r>
          </w:p>
        </w:tc>
        <w:tc>
          <w:tcPr>
            <w:tcW w:w="3663" w:type="pct"/>
            <w:noWrap w:val="0"/>
            <w:vAlign w:val="top"/>
          </w:tcPr>
          <w:p w14:paraId="245A8486">
            <w:pPr>
              <w:keepNext w:val="0"/>
              <w:keepLines w:val="0"/>
              <w:pageBreakBefore w:val="0"/>
              <w:widowControl w:val="0"/>
              <w:kinsoku/>
              <w:wordWrap/>
              <w:overflowPunct/>
              <w:topLinePunct w:val="0"/>
              <w:autoSpaceDE w:val="0"/>
              <w:autoSpaceDN w:val="0"/>
              <w:bidi w:val="0"/>
              <w:adjustRightInd/>
              <w:snapToGrid/>
              <w:spacing w:line="400" w:lineRule="exact"/>
              <w:ind w:right="0" w:right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提供的服务响应方案（包括服务承诺、对拟投入的技术人员制定具体服务工作计划，确保技术人员到位，提供快速服务响应等相应的保障措施）是否合理可行等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01CB7F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18113D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A310F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607740D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48BD63B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0-5分</w:t>
            </w:r>
          </w:p>
        </w:tc>
      </w:tr>
      <w:tr w14:paraId="12AC6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8" w:type="pct"/>
            <w:noWrap w:val="0"/>
            <w:vAlign w:val="center"/>
          </w:tcPr>
          <w:p w14:paraId="307E46B2">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default" w:ascii="仿宋" w:hAnsi="仿宋" w:eastAsia="仿宋" w:cs="宋体"/>
                <w:b/>
                <w:bCs/>
                <w:kern w:val="2"/>
                <w:sz w:val="24"/>
                <w:szCs w:val="24"/>
                <w:lang w:val="en-US" w:eastAsia="zh-CN" w:bidi="ar-SA"/>
              </w:rPr>
            </w:pPr>
            <w:r>
              <w:rPr>
                <w:rFonts w:hint="eastAsia" w:ascii="仿宋" w:hAnsi="仿宋" w:eastAsia="仿宋" w:cs="仿宋"/>
                <w:b/>
                <w:bCs w:val="0"/>
                <w:sz w:val="24"/>
                <w:szCs w:val="24"/>
                <w:highlight w:val="none"/>
                <w:lang w:val="en-US" w:eastAsia="zh-CN" w:bidi="zh-CN"/>
              </w:rPr>
              <w:t>6</w:t>
            </w:r>
          </w:p>
        </w:tc>
        <w:tc>
          <w:tcPr>
            <w:tcW w:w="476" w:type="pct"/>
            <w:noWrap w:val="0"/>
            <w:vAlign w:val="center"/>
          </w:tcPr>
          <w:p w14:paraId="54C60AFF">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宋体"/>
                <w:b/>
                <w:bCs/>
                <w:kern w:val="2"/>
                <w:sz w:val="24"/>
                <w:szCs w:val="24"/>
                <w:lang w:val="en-US" w:eastAsia="zh-CN" w:bidi="ar-SA"/>
              </w:rPr>
            </w:pPr>
            <w:r>
              <w:rPr>
                <w:rFonts w:hint="eastAsia" w:ascii="仿宋" w:hAnsi="仿宋" w:eastAsia="仿宋" w:cs="宋体"/>
                <w:b/>
                <w:bCs/>
                <w:kern w:val="2"/>
                <w:sz w:val="24"/>
                <w:szCs w:val="24"/>
                <w:lang w:val="en-US" w:eastAsia="zh-CN" w:bidi="ar-SA"/>
              </w:rPr>
              <w:t>应急</w:t>
            </w:r>
          </w:p>
          <w:p w14:paraId="137C82D6">
            <w:pPr>
              <w:pStyle w:val="73"/>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宋体"/>
                <w:b/>
                <w:bCs/>
                <w:kern w:val="2"/>
                <w:sz w:val="24"/>
                <w:szCs w:val="24"/>
                <w:lang w:val="en-US" w:eastAsia="zh-CN" w:bidi="ar-SA"/>
              </w:rPr>
            </w:pPr>
            <w:r>
              <w:rPr>
                <w:rFonts w:hint="eastAsia" w:ascii="仿宋" w:hAnsi="仿宋" w:eastAsia="仿宋" w:cs="宋体"/>
                <w:b/>
                <w:bCs/>
                <w:kern w:val="2"/>
                <w:sz w:val="24"/>
                <w:szCs w:val="24"/>
                <w:lang w:val="en-US" w:eastAsia="zh-CN" w:bidi="ar-SA"/>
              </w:rPr>
              <w:t>服务</w:t>
            </w:r>
          </w:p>
        </w:tc>
        <w:tc>
          <w:tcPr>
            <w:tcW w:w="3663" w:type="pct"/>
            <w:noWrap w:val="0"/>
            <w:vAlign w:val="top"/>
          </w:tcPr>
          <w:p w14:paraId="01C97FBB">
            <w:pPr>
              <w:keepNext w:val="0"/>
              <w:keepLines w:val="0"/>
              <w:pageBreakBefore w:val="0"/>
              <w:widowControl w:val="0"/>
              <w:kinsoku/>
              <w:wordWrap/>
              <w:overflowPunct/>
              <w:topLinePunct w:val="0"/>
              <w:autoSpaceDE w:val="0"/>
              <w:autoSpaceDN w:val="0"/>
              <w:bidi w:val="0"/>
              <w:adjustRightInd/>
              <w:snapToGrid/>
              <w:spacing w:line="400" w:lineRule="exact"/>
              <w:ind w:right="0" w:rightChars="0"/>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针对本项目采购单位提出的应急响应方案，包括应急响应时效、人员应急安排等应急保障措施情况的合理程度及完备程度</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rPr>
              <w:t>由评审专家进行综合打分</w:t>
            </w:r>
            <w:r>
              <w:rPr>
                <w:rFonts w:hint="eastAsia" w:ascii="仿宋" w:hAnsi="仿宋" w:eastAsia="仿宋" w:cs="仿宋"/>
                <w:color w:val="auto"/>
                <w:sz w:val="24"/>
                <w:szCs w:val="24"/>
                <w:highlight w:val="none"/>
                <w:lang w:val="en-US" w:eastAsia="zh-CN" w:bidi="ar-SA"/>
              </w:rPr>
              <w:t>。</w:t>
            </w:r>
          </w:p>
          <w:p w14:paraId="599BDE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rPr>
              <w:t>内容完整全面、科学合理、可行性强的得（</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2F54D2D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内容略有欠缺，但相对完整、基本可行的得（</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7581B2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③</w:t>
            </w:r>
            <w:r>
              <w:rPr>
                <w:rFonts w:hint="eastAsia" w:ascii="仿宋" w:hAnsi="仿宋" w:eastAsia="仿宋" w:cs="仿宋"/>
                <w:b w:val="0"/>
                <w:bCs/>
                <w:color w:val="auto"/>
                <w:sz w:val="24"/>
                <w:szCs w:val="24"/>
                <w:highlight w:val="none"/>
              </w:rPr>
              <w:t>内容简陋、层次模糊、可行性较差的得（0，</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分</w:t>
            </w:r>
            <w:r>
              <w:rPr>
                <w:rFonts w:hint="eastAsia" w:ascii="仿宋" w:hAnsi="仿宋" w:eastAsia="仿宋" w:cs="仿宋"/>
                <w:b w:val="0"/>
                <w:bCs/>
                <w:color w:val="auto"/>
                <w:sz w:val="24"/>
                <w:szCs w:val="24"/>
                <w:highlight w:val="none"/>
              </w:rPr>
              <w:t>；</w:t>
            </w:r>
          </w:p>
          <w:p w14:paraId="5B7F973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④未提供或不符合项目的不得分。</w:t>
            </w:r>
          </w:p>
        </w:tc>
        <w:tc>
          <w:tcPr>
            <w:tcW w:w="492" w:type="pct"/>
            <w:noWrap w:val="0"/>
            <w:vAlign w:val="center"/>
          </w:tcPr>
          <w:p w14:paraId="1CC7E7F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0-5分</w:t>
            </w:r>
          </w:p>
        </w:tc>
      </w:tr>
    </w:tbl>
    <w:p w14:paraId="7B8EDFA5">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宋体"/>
          <w:b/>
          <w:bCs w:val="0"/>
          <w:color w:val="auto"/>
          <w:sz w:val="24"/>
          <w:szCs w:val="24"/>
          <w:highlight w:val="none"/>
          <w:lang w:eastAsia="zh-CN"/>
        </w:rPr>
      </w:pPr>
      <w:r>
        <w:rPr>
          <w:rFonts w:hint="eastAsia" w:ascii="仿宋" w:hAnsi="仿宋" w:eastAsia="仿宋" w:cs="仿宋"/>
          <w:b w:val="0"/>
          <w:bCs/>
          <w:color w:val="auto"/>
          <w:sz w:val="24"/>
          <w:highlight w:val="none"/>
          <w:lang w:val="en-US" w:eastAsia="zh-CN"/>
        </w:rPr>
        <w:t>备注</w:t>
      </w:r>
      <w:r>
        <w:rPr>
          <w:rFonts w:hint="eastAsia" w:ascii="仿宋" w:hAnsi="仿宋" w:eastAsia="仿宋" w:cs="仿宋"/>
          <w:b w:val="0"/>
          <w:bCs/>
          <w:color w:val="auto"/>
          <w:sz w:val="24"/>
          <w:highlight w:val="none"/>
        </w:rPr>
        <w:t>：</w:t>
      </w:r>
      <w:r>
        <w:rPr>
          <w:rFonts w:hint="eastAsia" w:ascii="仿宋" w:hAnsi="仿宋" w:eastAsia="仿宋" w:cs="仿宋"/>
          <w:color w:val="auto"/>
          <w:sz w:val="24"/>
          <w:highlight w:val="none"/>
        </w:rPr>
        <w:t>投标人编制投标文件（商务技术文件部分）时，建议按此目录（序号和内容）提供评标标准相应的商务技术资料。</w:t>
      </w:r>
    </w:p>
    <w:p w14:paraId="73597344">
      <w:pPr>
        <w:keepNext w:val="0"/>
        <w:keepLines w:val="0"/>
        <w:pageBreakBefore w:val="0"/>
        <w:widowControl w:val="0"/>
        <w:numPr>
          <w:ilvl w:val="0"/>
          <w:numId w:val="8"/>
        </w:numPr>
        <w:kinsoku w:val="0"/>
        <w:wordWrap/>
        <w:overflowPunct w:val="0"/>
        <w:topLinePunct w:val="0"/>
        <w:autoSpaceDE w:val="0"/>
        <w:autoSpaceDN w:val="0"/>
        <w:bidi w:val="0"/>
        <w:snapToGrid/>
        <w:spacing w:line="420" w:lineRule="exact"/>
        <w:ind w:firstLine="482" w:firstLineChars="200"/>
        <w:textAlignment w:val="auto"/>
        <w:rPr>
          <w:rFonts w:hint="eastAsia" w:ascii="仿宋" w:hAnsi="仿宋" w:eastAsia="仿宋" w:cs="宋体"/>
          <w:b/>
          <w:bCs w:val="0"/>
          <w:color w:val="auto"/>
          <w:sz w:val="24"/>
          <w:szCs w:val="24"/>
          <w:highlight w:val="none"/>
          <w:lang w:eastAsia="zh-CN"/>
        </w:rPr>
      </w:pPr>
      <w:r>
        <w:rPr>
          <w:rFonts w:hint="eastAsia" w:ascii="仿宋" w:hAnsi="仿宋" w:eastAsia="仿宋" w:cs="宋体"/>
          <w:b/>
          <w:bCs w:val="0"/>
          <w:color w:val="auto"/>
          <w:sz w:val="24"/>
          <w:szCs w:val="24"/>
          <w:highlight w:val="none"/>
          <w:lang w:eastAsia="zh-CN"/>
        </w:rPr>
        <w:t>通过资格评审和符合性评审的投标人全部入围进行报价评审。</w:t>
      </w:r>
    </w:p>
    <w:p w14:paraId="4F5BE28E">
      <w:pPr>
        <w:keepNext w:val="0"/>
        <w:keepLines w:val="0"/>
        <w:pageBreakBefore w:val="0"/>
        <w:widowControl w:val="0"/>
        <w:numPr>
          <w:ilvl w:val="0"/>
          <w:numId w:val="4"/>
        </w:numPr>
        <w:kinsoku w:val="0"/>
        <w:wordWrap/>
        <w:overflowPunct w:val="0"/>
        <w:topLinePunct w:val="0"/>
        <w:autoSpaceDE w:val="0"/>
        <w:autoSpaceDN w:val="0"/>
        <w:bidi w:val="0"/>
        <w:adjustRightInd w:val="0"/>
        <w:snapToGrid w:val="0"/>
        <w:spacing w:line="420" w:lineRule="exact"/>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采购需求</w:t>
      </w:r>
    </w:p>
    <w:p w14:paraId="7696AA27">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项目概况</w:t>
      </w:r>
    </w:p>
    <w:p w14:paraId="74D3128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采购单位：</w:t>
      </w:r>
      <w:r>
        <w:rPr>
          <w:rFonts w:hint="eastAsia" w:ascii="仿宋" w:hAnsi="仿宋" w:eastAsia="仿宋" w:cs="仿宋"/>
          <w:color w:val="auto"/>
          <w:sz w:val="24"/>
          <w:szCs w:val="24"/>
          <w:highlight w:val="none"/>
          <w:lang w:val="en-US" w:eastAsia="zh-CN"/>
        </w:rPr>
        <w:t>诸暨市农村发展投资有限公司</w:t>
      </w:r>
      <w:r>
        <w:rPr>
          <w:rFonts w:hint="eastAsia" w:ascii="仿宋" w:hAnsi="仿宋" w:eastAsia="仿宋" w:cs="仿宋"/>
          <w:color w:val="auto"/>
          <w:sz w:val="24"/>
          <w:highlight w:val="none"/>
          <w:lang w:val="en-US" w:eastAsia="zh-CN"/>
        </w:rPr>
        <w:t>。</w:t>
      </w:r>
    </w:p>
    <w:p w14:paraId="4A1A014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r>
        <w:rPr>
          <w:rFonts w:hint="eastAsia" w:ascii="仿宋" w:hAnsi="仿宋" w:eastAsia="仿宋" w:cs="仿宋"/>
          <w:b w:val="0"/>
          <w:bCs/>
          <w:color w:val="auto"/>
          <w:sz w:val="24"/>
          <w:highlight w:val="none"/>
          <w:lang w:eastAsia="zh-CN"/>
        </w:rPr>
        <w:t>诸暨市农村发展投资有限公司2026～2027年度单项预算400万以下市政、园林绿化及房屋建筑工程监理服务采购项目</w:t>
      </w:r>
      <w:r>
        <w:rPr>
          <w:rFonts w:hint="eastAsia" w:ascii="仿宋" w:hAnsi="仿宋" w:eastAsia="仿宋" w:cs="仿宋"/>
          <w:color w:val="auto"/>
          <w:sz w:val="24"/>
          <w:highlight w:val="none"/>
          <w:lang w:val="en-US" w:eastAsia="zh-CN"/>
        </w:rPr>
        <w:t>。</w:t>
      </w:r>
    </w:p>
    <w:p w14:paraId="0F6A3B7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szCs w:val="24"/>
          <w:highlight w:val="none"/>
          <w:lang w:val="en-US" w:eastAsia="zh-CN" w:bidi="ar-SA"/>
        </w:rPr>
        <w:t>项目规模：年度服务期限内</w:t>
      </w:r>
      <w:r>
        <w:rPr>
          <w:rFonts w:hint="eastAsia" w:ascii="仿宋" w:hAnsi="仿宋" w:eastAsia="仿宋" w:cs="仿宋"/>
          <w:b w:val="0"/>
          <w:bCs/>
          <w:color w:val="auto"/>
          <w:sz w:val="24"/>
          <w:highlight w:val="none"/>
          <w:lang w:val="en-US" w:eastAsia="zh-CN"/>
        </w:rPr>
        <w:t>单项预算</w:t>
      </w:r>
      <w:r>
        <w:rPr>
          <w:rFonts w:hint="eastAsia" w:ascii="仿宋" w:hAnsi="仿宋" w:eastAsia="仿宋" w:cs="仿宋"/>
          <w:b w:val="0"/>
          <w:bCs w:val="0"/>
          <w:color w:val="auto"/>
          <w:sz w:val="24"/>
          <w:szCs w:val="24"/>
          <w:highlight w:val="none"/>
          <w:lang w:val="en-US" w:eastAsia="zh-CN" w:bidi="ar-SA"/>
        </w:rPr>
        <w:t>400万元（不含）</w:t>
      </w:r>
      <w:r>
        <w:rPr>
          <w:rFonts w:hint="eastAsia" w:ascii="仿宋" w:hAnsi="仿宋" w:eastAsia="仿宋" w:cs="宋体"/>
          <w:i w:val="0"/>
          <w:iCs w:val="0"/>
          <w:sz w:val="24"/>
          <w:szCs w:val="24"/>
        </w:rPr>
        <w:t>以下</w:t>
      </w:r>
      <w:r>
        <w:rPr>
          <w:rFonts w:hint="eastAsia" w:ascii="仿宋" w:hAnsi="仿宋" w:eastAsia="仿宋" w:cs="宋体"/>
          <w:i w:val="0"/>
          <w:iCs w:val="0"/>
          <w:sz w:val="24"/>
          <w:szCs w:val="24"/>
          <w:lang w:eastAsia="zh-CN"/>
        </w:rPr>
        <w:t>市政、园林绿化及房屋建筑工程</w:t>
      </w:r>
      <w:r>
        <w:rPr>
          <w:rFonts w:hint="eastAsia" w:ascii="仿宋" w:hAnsi="仿宋" w:eastAsia="仿宋" w:cs="仿宋"/>
          <w:color w:val="auto"/>
          <w:sz w:val="24"/>
          <w:szCs w:val="24"/>
          <w:highlight w:val="none"/>
          <w:lang w:val="en-US" w:eastAsia="zh-CN"/>
        </w:rPr>
        <w:t>监理服务</w:t>
      </w:r>
      <w:r>
        <w:rPr>
          <w:rFonts w:hint="eastAsia" w:ascii="仿宋" w:hAnsi="仿宋" w:eastAsia="仿宋" w:cs="仿宋"/>
          <w:color w:val="auto"/>
          <w:sz w:val="24"/>
          <w:highlight w:val="none"/>
          <w:lang w:val="en-US" w:eastAsia="zh-CN"/>
        </w:rPr>
        <w:t>。</w:t>
      </w:r>
    </w:p>
    <w:p w14:paraId="6AB8E55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服务期限</w:t>
      </w:r>
      <w:r>
        <w:rPr>
          <w:rFonts w:ascii="仿宋" w:hAnsi="仿宋" w:eastAsia="仿宋"/>
          <w:b/>
          <w:bCs w:val="0"/>
          <w:i w:val="0"/>
          <w:iCs w:val="0"/>
          <w:sz w:val="24"/>
          <w:szCs w:val="24"/>
        </w:rPr>
        <w:t>（以先到为准）</w:t>
      </w:r>
      <w:r>
        <w:rPr>
          <w:rFonts w:hint="eastAsia" w:ascii="仿宋" w:hAnsi="仿宋" w:eastAsia="仿宋" w:cs="仿宋"/>
          <w:color w:val="auto"/>
          <w:sz w:val="24"/>
          <w:highlight w:val="none"/>
          <w:lang w:val="en-US" w:eastAsia="zh-CN"/>
        </w:rPr>
        <w:t>：自合同签订之日起至2027年12月31日止或合同</w:t>
      </w:r>
      <w:r>
        <w:rPr>
          <w:rFonts w:hint="eastAsia" w:ascii="仿宋" w:hAnsi="仿宋" w:eastAsia="仿宋" w:cs="仿宋"/>
          <w:i w:val="0"/>
          <w:iCs w:val="0"/>
          <w:sz w:val="24"/>
          <w:szCs w:val="24"/>
        </w:rPr>
        <w:t>累计结算金额</w:t>
      </w:r>
      <w:r>
        <w:rPr>
          <w:rFonts w:hint="eastAsia" w:ascii="仿宋" w:hAnsi="仿宋" w:eastAsia="仿宋" w:cs="宋体"/>
          <w:i w:val="0"/>
          <w:iCs w:val="0"/>
          <w:sz w:val="24"/>
          <w:szCs w:val="24"/>
        </w:rPr>
        <w:t>达到采购预算金额满止</w:t>
      </w:r>
      <w:r>
        <w:rPr>
          <w:rFonts w:hint="eastAsia" w:ascii="仿宋" w:hAnsi="仿宋" w:eastAsia="仿宋" w:cs="仿宋"/>
          <w:color w:val="auto"/>
          <w:sz w:val="24"/>
          <w:highlight w:val="none"/>
          <w:lang w:val="en-US" w:eastAsia="zh-CN"/>
        </w:rPr>
        <w:t>。</w:t>
      </w:r>
      <w:r>
        <w:rPr>
          <w:rFonts w:hint="eastAsia" w:ascii="仿宋" w:hAnsi="仿宋" w:eastAsia="仿宋" w:cs="仿宋"/>
          <w:b w:val="0"/>
          <w:bCs/>
          <w:color w:val="auto"/>
          <w:kern w:val="2"/>
          <w:sz w:val="24"/>
          <w:szCs w:val="24"/>
          <w:highlight w:val="none"/>
          <w:lang w:val="en-US" w:eastAsia="zh-CN" w:bidi="ar-SA"/>
        </w:rPr>
        <w:t>为保证服务的连续性，如在本合同期满前，因不可抗力因素（如法定采购流程未完成、新一轮采购结果尚未确定等），经采购人提出要求并与监理单位协商一致，可就必要的后续服务签订短期补充协议，延续服务期限最长不超过2个月，且延续服务期内服务内容与价格均保持不变。</w:t>
      </w:r>
    </w:p>
    <w:p w14:paraId="3E924C8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i w:val="0"/>
          <w:iCs w:val="0"/>
          <w:sz w:val="24"/>
          <w:szCs w:val="24"/>
        </w:rPr>
        <w:t>注：如在服务期内已委托的监理项目，在服务期满时未结束的，监理单位必须服务至该项目质量保修期满。服务期内，如监理不到位出现工程质量不符合法律法规等相关规定及工程事故的，</w:t>
      </w:r>
      <w:r>
        <w:rPr>
          <w:rFonts w:hint="eastAsia" w:ascii="仿宋" w:hAnsi="仿宋" w:eastAsia="仿宋" w:cs="仿宋"/>
          <w:i w:val="0"/>
          <w:iCs w:val="0"/>
          <w:sz w:val="24"/>
          <w:szCs w:val="24"/>
          <w:lang w:eastAsia="zh-CN"/>
        </w:rPr>
        <w:t>采购人</w:t>
      </w:r>
      <w:r>
        <w:rPr>
          <w:rFonts w:hint="eastAsia" w:ascii="仿宋" w:hAnsi="仿宋" w:eastAsia="仿宋" w:cs="仿宋"/>
          <w:i w:val="0"/>
          <w:iCs w:val="0"/>
          <w:sz w:val="24"/>
          <w:szCs w:val="24"/>
        </w:rPr>
        <w:t>有权单方面解除合同，监理单位必须承担由此给</w:t>
      </w:r>
      <w:r>
        <w:rPr>
          <w:rFonts w:hint="eastAsia" w:ascii="仿宋" w:hAnsi="仿宋" w:eastAsia="仿宋" w:cs="仿宋"/>
          <w:i w:val="0"/>
          <w:iCs w:val="0"/>
          <w:sz w:val="24"/>
          <w:szCs w:val="24"/>
          <w:lang w:eastAsia="zh-CN"/>
        </w:rPr>
        <w:t>采购人</w:t>
      </w:r>
      <w:r>
        <w:rPr>
          <w:rFonts w:hint="eastAsia" w:ascii="仿宋" w:hAnsi="仿宋" w:eastAsia="仿宋" w:cs="仿宋"/>
          <w:i w:val="0"/>
          <w:iCs w:val="0"/>
          <w:sz w:val="24"/>
          <w:szCs w:val="24"/>
        </w:rPr>
        <w:t>造成的损失。</w:t>
      </w:r>
    </w:p>
    <w:p w14:paraId="3553388B">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w:t>
      </w:r>
      <w:r>
        <w:rPr>
          <w:rFonts w:hint="eastAsia" w:ascii="仿宋" w:hAnsi="仿宋" w:eastAsia="仿宋"/>
          <w:b/>
          <w:bCs/>
          <w:i w:val="0"/>
          <w:iCs w:val="0"/>
          <w:sz w:val="24"/>
          <w:szCs w:val="24"/>
        </w:rPr>
        <w:t>内容及要求</w:t>
      </w:r>
    </w:p>
    <w:p w14:paraId="4505453C">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sz w:val="24"/>
          <w:szCs w:val="24"/>
        </w:rPr>
        <w:t>工程监理工作范围（包含但不限于）</w:t>
      </w:r>
      <w:r>
        <w:rPr>
          <w:rFonts w:hint="eastAsia" w:ascii="仿宋" w:hAnsi="仿宋" w:eastAsia="仿宋" w:cs="仿宋"/>
          <w:color w:val="auto"/>
          <w:sz w:val="24"/>
          <w:szCs w:val="24"/>
          <w:highlight w:val="none"/>
          <w:lang w:eastAsia="zh-CN"/>
        </w:rPr>
        <w:t>：</w:t>
      </w:r>
    </w:p>
    <w:p w14:paraId="20AA6A44">
      <w:pPr>
        <w:keepNext w:val="0"/>
        <w:keepLines w:val="0"/>
        <w:pageBreakBefore w:val="0"/>
        <w:widowControl w:val="0"/>
        <w:wordWrap/>
        <w:topLinePunct w:val="0"/>
        <w:bidi w:val="0"/>
        <w:snapToGrid w:val="0"/>
        <w:spacing w:line="42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实施过程中的质量控制、进度控制、投资控制、变更控制、组织协调、合同管理、信息管理、安全管理，协调工程项目建设单位与工程建设有关各方的工作关系，以及工作缺陷责任期内等所有的建设内容的全过程施工监理工作。具体监理工作应严格按《建设工程监理规范》(GB/T50319-2013)、本招标需求的专用监理要求及相关法律、法规要求组织实施。具体监理项目根据采购人委托确认。</w:t>
      </w:r>
    </w:p>
    <w:p w14:paraId="38304DE6">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480" w:firstLineChars="200"/>
        <w:textAlignment w:val="auto"/>
        <w:rPr>
          <w:rFonts w:hint="eastAsia"/>
          <w:lang w:eastAsia="zh-CN"/>
        </w:rPr>
      </w:pPr>
      <w:r>
        <w:rPr>
          <w:rFonts w:hint="eastAsia" w:ascii="仿宋" w:hAnsi="仿宋" w:eastAsia="仿宋" w:cs="仿宋"/>
          <w:i w:val="0"/>
          <w:iCs w:val="0"/>
          <w:sz w:val="24"/>
          <w:szCs w:val="24"/>
        </w:rPr>
        <w:t>工程监理服务内容（包含但不限于）：</w:t>
      </w:r>
    </w:p>
    <w:p w14:paraId="29B5C7D8">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监理</w:t>
      </w:r>
      <w:r>
        <w:rPr>
          <w:rFonts w:hint="eastAsia" w:ascii="仿宋" w:hAnsi="仿宋" w:eastAsia="仿宋" w:cs="仿宋"/>
          <w:i w:val="0"/>
          <w:iCs w:val="0"/>
          <w:sz w:val="24"/>
          <w:szCs w:val="24"/>
          <w:lang w:val="en-US" w:eastAsia="zh-CN"/>
        </w:rPr>
        <w:t>单位</w:t>
      </w:r>
      <w:r>
        <w:rPr>
          <w:rFonts w:hint="eastAsia" w:ascii="仿宋" w:hAnsi="仿宋" w:eastAsia="仿宋" w:cs="仿宋"/>
          <w:i w:val="0"/>
          <w:iCs w:val="0"/>
          <w:sz w:val="24"/>
          <w:szCs w:val="24"/>
        </w:rPr>
        <w:t>派出与工程规模相适应的监理班子，做好工程的监理工作。</w:t>
      </w:r>
      <w:r>
        <w:rPr>
          <w:rFonts w:hint="eastAsia" w:ascii="仿宋" w:hAnsi="仿宋" w:eastAsia="仿宋" w:cs="仿宋"/>
          <w:i w:val="0"/>
          <w:iCs w:val="0"/>
          <w:sz w:val="24"/>
          <w:szCs w:val="24"/>
          <w:lang w:eastAsia="zh-CN"/>
        </w:rPr>
        <w:t>监理单位</w:t>
      </w:r>
      <w:r>
        <w:rPr>
          <w:rFonts w:hint="eastAsia" w:ascii="仿宋" w:hAnsi="仿宋" w:eastAsia="仿宋" w:cs="仿宋"/>
          <w:i w:val="0"/>
          <w:iCs w:val="0"/>
          <w:sz w:val="24"/>
          <w:szCs w:val="24"/>
        </w:rPr>
        <w:t>必须按照国家和有关建设工程监理规定进行监理，代表建设单位对工程建设进行全过程、全方位监理,</w:t>
      </w:r>
      <w:r>
        <w:rPr>
          <w:rFonts w:hint="eastAsia" w:ascii="仿宋" w:hAnsi="仿宋" w:eastAsia="仿宋" w:cs="仿宋"/>
          <w:i w:val="0"/>
          <w:iCs w:val="0"/>
          <w:sz w:val="24"/>
          <w:szCs w:val="24"/>
          <w:lang w:eastAsia="zh-CN"/>
        </w:rPr>
        <w:t>监理单位</w:t>
      </w:r>
      <w:r>
        <w:rPr>
          <w:rFonts w:hint="eastAsia" w:ascii="仿宋" w:hAnsi="仿宋" w:eastAsia="仿宋" w:cs="仿宋"/>
          <w:i w:val="0"/>
          <w:iCs w:val="0"/>
          <w:sz w:val="24"/>
          <w:szCs w:val="24"/>
        </w:rPr>
        <w:t>按自行职责对工程质量终身负责。</w:t>
      </w:r>
    </w:p>
    <w:p w14:paraId="701FF2C0">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监理工作人员不得与承包工程的有关承包人及其施工管理人员及材料设备供应商发生经济利益关系。</w:t>
      </w:r>
    </w:p>
    <w:p w14:paraId="6FD3FD04">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lang w:eastAsia="zh-CN"/>
        </w:rPr>
        <w:t>监理单位</w:t>
      </w:r>
      <w:r>
        <w:rPr>
          <w:rFonts w:hint="eastAsia" w:ascii="仿宋" w:hAnsi="仿宋" w:eastAsia="仿宋" w:cs="仿宋"/>
          <w:i w:val="0"/>
          <w:iCs w:val="0"/>
          <w:sz w:val="24"/>
          <w:szCs w:val="24"/>
        </w:rPr>
        <w:t>应配备经验丰富的专业技术人员审核施工图纸的设计质量，对设计存在的不合理、不完整、不准确、不安全等情况应及时书面向建设单位和设计单位提出修正意见。</w:t>
      </w:r>
    </w:p>
    <w:p w14:paraId="2CF05F2C">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严把施工质量关。</w:t>
      </w:r>
      <w:r>
        <w:rPr>
          <w:rFonts w:hint="eastAsia" w:ascii="仿宋" w:hAnsi="仿宋" w:eastAsia="仿宋" w:cs="仿宋"/>
          <w:i w:val="0"/>
          <w:iCs w:val="0"/>
          <w:sz w:val="24"/>
          <w:szCs w:val="24"/>
          <w:lang w:eastAsia="zh-CN"/>
        </w:rPr>
        <w:t>监理单位</w:t>
      </w:r>
      <w:r>
        <w:rPr>
          <w:rFonts w:hint="eastAsia" w:ascii="仿宋" w:hAnsi="仿宋" w:eastAsia="仿宋" w:cs="仿宋"/>
          <w:i w:val="0"/>
          <w:iCs w:val="0"/>
          <w:sz w:val="24"/>
          <w:szCs w:val="24"/>
        </w:rPr>
        <w:t>应按施工进度编制监理规划和各专业及分部施工实施细则。掌握好各个施工环节，在整个施工过程中要认真检查、督促施工单位严格执行国家和省颁布的有关建筑工程施工验收规范和工程技术标准，并根据施工工序进行全程旁站监理、拍照存档，杜绝偷工减料和粗制滥造。</w:t>
      </w:r>
    </w:p>
    <w:p w14:paraId="650CD1F3">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协助建设单位审核施工图的设计和概(预)算,参与主持组织图纸会审,做好记录,写出会审纪要。</w:t>
      </w:r>
    </w:p>
    <w:p w14:paraId="77CB6FDE">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参与建设单位与施工承包商签订施工承包合同,审核施工进度计划，并在实施过程中检查、督促承包商严格按合同和施工规范、工程技术标准、设计要求进行施工，监督承包商现场施工管理。</w:t>
      </w:r>
    </w:p>
    <w:p w14:paraId="0C7B1BF7">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协助建设单位做好开工前准备，审批开工报告，复核灰线，经</w:t>
      </w:r>
      <w:r>
        <w:rPr>
          <w:rFonts w:hint="eastAsia" w:ascii="仿宋" w:hAnsi="仿宋" w:eastAsia="仿宋" w:cs="仿宋"/>
          <w:i w:val="0"/>
          <w:iCs w:val="0"/>
          <w:sz w:val="24"/>
          <w:szCs w:val="24"/>
          <w:lang w:val="en-US" w:eastAsia="zh-CN"/>
        </w:rPr>
        <w:t>采购人</w:t>
      </w:r>
      <w:r>
        <w:rPr>
          <w:rFonts w:hint="eastAsia" w:ascii="仿宋" w:hAnsi="仿宋" w:eastAsia="仿宋" w:cs="仿宋"/>
          <w:i w:val="0"/>
          <w:iCs w:val="0"/>
          <w:sz w:val="24"/>
          <w:szCs w:val="24"/>
        </w:rPr>
        <w:t>同意下达开工令。</w:t>
      </w:r>
    </w:p>
    <w:p w14:paraId="4F9028B6">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审查承包商采购清单及样品的品牌、质量和价格，检查工程使用材料、构件、设备的规格、质量与数量。督促承包商编制材料的供需计划，协助</w:t>
      </w:r>
      <w:r>
        <w:rPr>
          <w:rFonts w:hint="eastAsia" w:ascii="仿宋" w:hAnsi="仿宋" w:eastAsia="仿宋" w:cs="仿宋"/>
          <w:i w:val="0"/>
          <w:iCs w:val="0"/>
          <w:sz w:val="24"/>
          <w:szCs w:val="24"/>
          <w:lang w:val="en-US" w:eastAsia="zh-CN"/>
        </w:rPr>
        <w:t>采购人</w:t>
      </w:r>
      <w:r>
        <w:rPr>
          <w:rFonts w:hint="eastAsia" w:ascii="仿宋" w:hAnsi="仿宋" w:eastAsia="仿宋" w:cs="仿宋"/>
          <w:i w:val="0"/>
          <w:iCs w:val="0"/>
          <w:sz w:val="24"/>
          <w:szCs w:val="24"/>
        </w:rPr>
        <w:t>安排甲供材料的供应计划。</w:t>
      </w:r>
    </w:p>
    <w:p w14:paraId="7E1F27B0">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按建设单位意见，办理设计与施工变更联系单，把好监理关，并负责对施工变更的签证、复核，主持施工图交底，参与设计变更的签证。工程变更的签证须经</w:t>
      </w:r>
      <w:r>
        <w:rPr>
          <w:rFonts w:hint="eastAsia" w:ascii="仿宋" w:hAnsi="仿宋" w:eastAsia="仿宋" w:cs="仿宋"/>
          <w:i w:val="0"/>
          <w:iCs w:val="0"/>
          <w:sz w:val="24"/>
          <w:szCs w:val="24"/>
          <w:lang w:eastAsia="zh-CN"/>
        </w:rPr>
        <w:t>监理单位</w:t>
      </w:r>
      <w:r>
        <w:rPr>
          <w:rFonts w:hint="eastAsia" w:ascii="仿宋" w:hAnsi="仿宋" w:eastAsia="仿宋" w:cs="仿宋"/>
          <w:i w:val="0"/>
          <w:iCs w:val="0"/>
          <w:sz w:val="24"/>
          <w:szCs w:val="24"/>
        </w:rPr>
        <w:t>拟派的注册造价师审核，并由总监签字确认。</w:t>
      </w:r>
    </w:p>
    <w:p w14:paraId="237362FF">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主持召开工程协调会议，并做好会议纪要，调解有关工程建设各种合同争议，处理索赔事项。</w:t>
      </w:r>
    </w:p>
    <w:p w14:paraId="0E178F25">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检查安全防护措施和文明施工,检查督促工程进度、施工质量。</w:t>
      </w:r>
    </w:p>
    <w:p w14:paraId="159E40AA">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督促施工方及时整理技术资料及竣工验收资料。</w:t>
      </w:r>
    </w:p>
    <w:p w14:paraId="0E5B0AA2">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协助建设单位对工程投资进行控制，对施工单位提出的付款申请进行审核签发，参加审核工程结算，协助建设单位审核工程造价，努力降低工程费用。</w:t>
      </w:r>
    </w:p>
    <w:p w14:paraId="5A27318D">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做好工程项目监理总结，及时提供完整的监理资料（一式二份原件），定期编制监理简报。</w:t>
      </w:r>
    </w:p>
    <w:p w14:paraId="1AC815C5">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负责隐蔽工程、分部、分项工程和工程计量工作，协助建设单位组织竣工初验和竣工验收，提交竣工验收报告。</w:t>
      </w:r>
    </w:p>
    <w:p w14:paraId="61209593">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负责各种技术资料的收集、整理工作，及时提供完整的施工技术档案资料一式三份原件。</w:t>
      </w:r>
    </w:p>
    <w:p w14:paraId="0EB4C7D1">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4F2D64E9">
      <w:pPr>
        <w:keepNext w:val="0"/>
        <w:keepLines w:val="0"/>
        <w:pageBreakBefore w:val="0"/>
        <w:widowControl w:val="0"/>
        <w:numPr>
          <w:ilvl w:val="0"/>
          <w:numId w:val="12"/>
        </w:numPr>
        <w:tabs>
          <w:tab w:val="left" w:pos="0"/>
        </w:tabs>
        <w:wordWrap/>
        <w:topLinePunct w:val="0"/>
        <w:bidi w:val="0"/>
        <w:spacing w:line="420" w:lineRule="exact"/>
        <w:ind w:left="0" w:leftChars="0" w:firstLine="482" w:firstLineChars="0"/>
        <w:textAlignment w:val="auto"/>
        <w:rPr>
          <w:rFonts w:hint="eastAsia" w:ascii="仿宋" w:hAnsi="仿宋" w:eastAsia="仿宋" w:cs="仿宋"/>
          <w:b/>
          <w:color w:val="auto"/>
          <w:sz w:val="24"/>
          <w:highlight w:val="none"/>
          <w:lang w:eastAsia="zh-CN"/>
        </w:rPr>
      </w:pPr>
      <w:r>
        <w:rPr>
          <w:rFonts w:hint="eastAsia" w:ascii="仿宋" w:hAnsi="仿宋" w:eastAsia="仿宋" w:cs="仿宋"/>
          <w:i w:val="0"/>
          <w:iCs w:val="0"/>
          <w:sz w:val="24"/>
          <w:szCs w:val="24"/>
        </w:rPr>
        <w:t>完成监理规范要求的其他工作内容</w:t>
      </w:r>
      <w:r>
        <w:rPr>
          <w:rFonts w:hint="eastAsia" w:ascii="仿宋" w:hAnsi="仿宋" w:eastAsia="仿宋" w:cs="仿宋"/>
          <w:i w:val="0"/>
          <w:iCs w:val="0"/>
          <w:sz w:val="24"/>
          <w:szCs w:val="24"/>
          <w:lang w:eastAsia="zh-CN"/>
        </w:rPr>
        <w:t>。</w:t>
      </w:r>
    </w:p>
    <w:p w14:paraId="69D4000B">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480" w:firstLineChars="200"/>
        <w:textAlignment w:val="auto"/>
        <w:rPr>
          <w:rFonts w:ascii="仿宋" w:hAnsi="仿宋" w:eastAsia="仿宋" w:cs="仿宋"/>
          <w:i w:val="0"/>
          <w:iCs w:val="0"/>
          <w:sz w:val="24"/>
          <w:szCs w:val="24"/>
        </w:rPr>
      </w:pPr>
      <w:r>
        <w:rPr>
          <w:rFonts w:hint="eastAsia" w:ascii="仿宋" w:hAnsi="仿宋" w:eastAsia="仿宋" w:cs="仿宋"/>
          <w:i w:val="0"/>
          <w:iCs w:val="0"/>
          <w:sz w:val="24"/>
          <w:szCs w:val="24"/>
        </w:rPr>
        <w:t>项目成果</w:t>
      </w:r>
    </w:p>
    <w:p w14:paraId="46B8BE16">
      <w:pPr>
        <w:keepNext w:val="0"/>
        <w:keepLines w:val="0"/>
        <w:pageBreakBefore w:val="0"/>
        <w:widowControl w:val="0"/>
        <w:numPr>
          <w:ilvl w:val="0"/>
          <w:numId w:val="13"/>
        </w:numPr>
        <w:wordWrap/>
        <w:topLinePunct w:val="0"/>
        <w:bidi w:val="0"/>
        <w:spacing w:line="420" w:lineRule="exact"/>
        <w:ind w:left="0" w:leftChars="0" w:firstLine="482"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成果报告：质量评估报告、监理合同、监理会议纪要、监理日志、采购人及建设单位要求提供的有关文件及资料。</w:t>
      </w:r>
    </w:p>
    <w:p w14:paraId="41B66491">
      <w:pPr>
        <w:keepNext w:val="0"/>
        <w:keepLines w:val="0"/>
        <w:pageBreakBefore w:val="0"/>
        <w:widowControl w:val="0"/>
        <w:numPr>
          <w:ilvl w:val="0"/>
          <w:numId w:val="13"/>
        </w:numPr>
        <w:wordWrap/>
        <w:topLinePunct w:val="0"/>
        <w:bidi w:val="0"/>
        <w:spacing w:line="420" w:lineRule="exact"/>
        <w:ind w:left="0" w:leftChars="0" w:firstLine="482" w:firstLineChars="0"/>
        <w:textAlignment w:val="auto"/>
        <w:rPr>
          <w:rFonts w:hint="eastAsia" w:ascii="仿宋" w:hAnsi="仿宋" w:eastAsia="仿宋" w:cs="仿宋"/>
          <w:b/>
          <w:color w:val="auto"/>
          <w:sz w:val="24"/>
          <w:highlight w:val="none"/>
          <w:lang w:eastAsia="zh-CN"/>
        </w:rPr>
      </w:pPr>
      <w:r>
        <w:rPr>
          <w:rFonts w:hint="eastAsia" w:ascii="仿宋" w:hAnsi="仿宋" w:eastAsia="仿宋" w:cs="仿宋"/>
          <w:i w:val="0"/>
          <w:iCs w:val="0"/>
          <w:sz w:val="24"/>
          <w:szCs w:val="24"/>
        </w:rPr>
        <w:t>成果报告份数：具体文件、资料、份数等成果及数量以采购人及建设单位实际要求为准</w:t>
      </w:r>
      <w:r>
        <w:rPr>
          <w:rFonts w:hint="eastAsia" w:ascii="仿宋" w:hAnsi="仿宋" w:eastAsia="仿宋" w:cs="仿宋"/>
          <w:i w:val="0"/>
          <w:iCs w:val="0"/>
          <w:sz w:val="24"/>
          <w:szCs w:val="24"/>
          <w:lang w:eastAsia="zh-CN"/>
        </w:rPr>
        <w:t>。</w:t>
      </w:r>
    </w:p>
    <w:p w14:paraId="408B4408">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ascii="仿宋" w:hAnsi="仿宋" w:eastAsia="仿宋" w:cs="仿宋"/>
          <w:b/>
          <w:i w:val="0"/>
          <w:iCs w:val="0"/>
          <w:sz w:val="24"/>
          <w:szCs w:val="24"/>
        </w:rPr>
      </w:pPr>
      <w:r>
        <w:rPr>
          <w:rFonts w:hint="eastAsia" w:ascii="仿宋" w:hAnsi="仿宋" w:eastAsia="仿宋" w:cs="仿宋"/>
          <w:b/>
          <w:i w:val="0"/>
          <w:iCs w:val="0"/>
          <w:sz w:val="24"/>
          <w:szCs w:val="24"/>
          <w:lang w:val="en-US" w:eastAsia="zh-CN"/>
        </w:rPr>
        <w:t>服务</w:t>
      </w:r>
      <w:r>
        <w:rPr>
          <w:rFonts w:ascii="仿宋" w:hAnsi="仿宋" w:eastAsia="仿宋" w:cs="仿宋"/>
          <w:b/>
          <w:i w:val="0"/>
          <w:iCs w:val="0"/>
          <w:sz w:val="24"/>
          <w:szCs w:val="24"/>
        </w:rPr>
        <w:t>要求</w:t>
      </w:r>
    </w:p>
    <w:p w14:paraId="20B1991E">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监理单位应组建满足工作需要的项目监理机构，配备必要的检测设备。项目监理机构的主要人员应具有相应的资格条件。</w:t>
      </w:r>
    </w:p>
    <w:p w14:paraId="05B36283">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总监理工程师及重要岗位监理人员应保持相对稳定，以保证监理工作正常进行，未经采购人书面同意，不得更换前述工作人员；监理单位可根据工程进展和工作需要调整项目监理机构人员，监理单位更换项目监理机构其他监理人员，并先书面通知采购人，经采购人书面确认同意后方可更换或调整，并且更换或调整人员的资格与能力应当满足该阶段项目监理工作的要求。</w:t>
      </w:r>
    </w:p>
    <w:p w14:paraId="07ED4E5A">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因工程项目进展需要，采购人提出增加管理人员时，监理方必须保证及时补充符合要求的监理人员。</w:t>
      </w:r>
    </w:p>
    <w:p w14:paraId="11B2BF74">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宋体" w:hAnsi="宋体" w:cs="宋体"/>
          <w:i w:val="0"/>
          <w:iCs w:val="0"/>
          <w:sz w:val="24"/>
        </w:rPr>
      </w:pPr>
      <w:r>
        <w:rPr>
          <w:rFonts w:hint="eastAsia" w:ascii="仿宋" w:hAnsi="仿宋" w:eastAsia="仿宋" w:cs="仿宋"/>
          <w:i w:val="0"/>
          <w:iCs w:val="0"/>
          <w:sz w:val="24"/>
          <w:szCs w:val="24"/>
        </w:rPr>
        <w:t>监理单位在监理过程中应独立地进行检测、检验、试验工作，即施工单位须做的检测、检验、试验项目，经过监理单位的旁站见证或独立检测、检验、试验后，能足以客观反映施工单位所做的检测、检验、试验项目数据及工程质量的真实情况。</w:t>
      </w:r>
    </w:p>
    <w:p w14:paraId="6D6C42EB">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监理单位在监理过程中不得使用施工单位的任何仪器、设备，不得使用施工单位的任何技术资料，不得与施工单位送到同一检测中心（站）进行检测。施工过程中的各类测量复核、设备安装等检测测试工作，均应按国家相关规定组织实施，监理单位与施工单位的测试数据不得相互套用。</w:t>
      </w:r>
    </w:p>
    <w:p w14:paraId="5907529E">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监理单位提供的资料应符合《建设工程监理规范》</w:t>
      </w:r>
      <w:r>
        <w:rPr>
          <w:rFonts w:hint="eastAsia" w:ascii="仿宋" w:hAnsi="仿宋" w:eastAsia="仿宋"/>
          <w:bCs/>
          <w:i w:val="0"/>
          <w:iCs w:val="0"/>
        </w:rPr>
        <w:t>(GB/T50319-2013)</w:t>
      </w:r>
      <w:r>
        <w:rPr>
          <w:rFonts w:hint="eastAsia" w:ascii="仿宋" w:hAnsi="仿宋" w:eastAsia="仿宋" w:cs="仿宋"/>
          <w:i w:val="0"/>
          <w:iCs w:val="0"/>
          <w:sz w:val="24"/>
          <w:szCs w:val="24"/>
        </w:rPr>
        <w:t>之规定，同时需满足采购人针对工程档案资料提交的相关要求与规定。</w:t>
      </w:r>
    </w:p>
    <w:p w14:paraId="2FDAD0EB">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如因监理单位过失而造成采购人的经济损失，应当向采购人进行赔偿。</w:t>
      </w:r>
    </w:p>
    <w:p w14:paraId="40EB948A">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ascii="仿宋" w:hAnsi="仿宋" w:eastAsia="仿宋" w:cs="仿宋"/>
          <w:i w:val="0"/>
          <w:iCs w:val="0"/>
          <w:sz w:val="24"/>
          <w:szCs w:val="24"/>
        </w:rPr>
      </w:pPr>
      <w:r>
        <w:rPr>
          <w:rFonts w:hint="eastAsia" w:ascii="仿宋" w:hAnsi="仿宋" w:eastAsia="仿宋" w:cs="仿宋"/>
          <w:i w:val="0"/>
          <w:iCs w:val="0"/>
          <w:sz w:val="24"/>
          <w:szCs w:val="24"/>
        </w:rPr>
        <w:t>如监理单位对施工单位上报的已完工作量未能准确复核，并签署了与实际不符的工作量的工程进度付款凭证，采购人将追究其责任，对由此造成的损失应当向采购人进行赔偿。</w:t>
      </w:r>
    </w:p>
    <w:p w14:paraId="2C223BD7">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u w:val="none"/>
          <w:lang w:val="en-US" w:eastAsia="zh-CN"/>
        </w:rPr>
        <w:t>★</w:t>
      </w:r>
      <w:r>
        <w:rPr>
          <w:rFonts w:hint="eastAsia" w:ascii="仿宋" w:hAnsi="仿宋" w:eastAsia="仿宋" w:cs="仿宋"/>
          <w:b/>
          <w:i w:val="0"/>
          <w:iCs w:val="0"/>
          <w:sz w:val="24"/>
          <w:szCs w:val="24"/>
        </w:rPr>
        <w:t>人员专业及人数要求</w:t>
      </w:r>
    </w:p>
    <w:p w14:paraId="3452CCD9">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lang w:val="en-US" w:eastAsia="zh-CN"/>
        </w:rPr>
        <w:t>9.1</w:t>
      </w:r>
      <w:r>
        <w:rPr>
          <w:rFonts w:hint="eastAsia" w:ascii="仿宋" w:hAnsi="仿宋" w:eastAsia="仿宋" w:cs="仿宋"/>
          <w:b/>
          <w:bCs/>
          <w:color w:val="auto"/>
          <w:sz w:val="24"/>
          <w:highlight w:val="none"/>
          <w:u w:val="none"/>
        </w:rPr>
        <w:t>项目监理实行人员定岗、持证上岗和总监负责制度。监理单位应派驻由总监、专业监理工程师</w:t>
      </w:r>
      <w:r>
        <w:rPr>
          <w:rFonts w:hint="eastAsia" w:ascii="仿宋" w:hAnsi="仿宋" w:eastAsia="仿宋" w:cs="仿宋"/>
          <w:b/>
          <w:bCs/>
          <w:color w:val="auto"/>
          <w:sz w:val="24"/>
          <w:highlight w:val="none"/>
          <w:u w:val="none"/>
          <w:lang w:eastAsia="zh-CN"/>
        </w:rPr>
        <w:t>、</w:t>
      </w:r>
      <w:r>
        <w:rPr>
          <w:rFonts w:hint="eastAsia" w:ascii="仿宋" w:hAnsi="仿宋" w:eastAsia="仿宋" w:cs="仿宋"/>
          <w:b/>
          <w:bCs/>
          <w:color w:val="auto"/>
          <w:sz w:val="24"/>
          <w:highlight w:val="none"/>
          <w:u w:val="none"/>
          <w:lang w:val="en-US" w:eastAsia="zh-CN"/>
        </w:rPr>
        <w:t>监理员、</w:t>
      </w:r>
      <w:r>
        <w:rPr>
          <w:rFonts w:hint="eastAsia" w:ascii="仿宋" w:hAnsi="仿宋" w:eastAsia="仿宋" w:cs="仿宋"/>
          <w:b/>
          <w:color w:val="auto"/>
          <w:sz w:val="24"/>
          <w:highlight w:val="none"/>
          <w:lang w:eastAsia="zh-CN"/>
        </w:rPr>
        <w:t>其他专业人员</w:t>
      </w:r>
      <w:r>
        <w:rPr>
          <w:rFonts w:hint="eastAsia" w:ascii="仿宋" w:hAnsi="仿宋" w:eastAsia="仿宋" w:cs="仿宋"/>
          <w:b/>
          <w:bCs/>
          <w:color w:val="auto"/>
          <w:sz w:val="24"/>
          <w:highlight w:val="none"/>
          <w:u w:val="none"/>
        </w:rPr>
        <w:t>组成的监理机构，且专业人员配套，</w:t>
      </w:r>
      <w:r>
        <w:rPr>
          <w:rFonts w:hint="eastAsia" w:ascii="仿宋" w:hAnsi="仿宋" w:eastAsia="仿宋" w:cs="仿宋"/>
          <w:b/>
          <w:bCs/>
          <w:color w:val="auto"/>
          <w:sz w:val="24"/>
          <w:highlight w:val="none"/>
          <w:u w:val="none"/>
          <w:lang w:val="en-US" w:eastAsia="zh-CN"/>
        </w:rPr>
        <w:t>各岗位人员</w:t>
      </w:r>
      <w:r>
        <w:rPr>
          <w:rFonts w:hint="eastAsia" w:ascii="仿宋" w:hAnsi="仿宋" w:eastAsia="仿宋" w:cs="仿宋"/>
          <w:b/>
          <w:bCs/>
          <w:color w:val="auto"/>
          <w:sz w:val="24"/>
          <w:highlight w:val="none"/>
          <w:u w:val="none"/>
        </w:rPr>
        <w:t>应具有相应资质并持证上岗。本工程监理机构监理人员配备必须符合下列要求：</w:t>
      </w:r>
    </w:p>
    <w:tbl>
      <w:tblPr>
        <w:tblStyle w:val="30"/>
        <w:tblW w:w="97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80"/>
        <w:gridCol w:w="4200"/>
        <w:gridCol w:w="2580"/>
        <w:gridCol w:w="925"/>
      </w:tblGrid>
      <w:tr w14:paraId="70281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1" w:type="dxa"/>
            <w:tcBorders>
              <w:tl2br w:val="nil"/>
              <w:tr2bl w:val="nil"/>
            </w:tcBorders>
            <w:noWrap w:val="0"/>
            <w:vAlign w:val="center"/>
          </w:tcPr>
          <w:p w14:paraId="6B05A3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80" w:type="dxa"/>
            <w:tcBorders>
              <w:tl2br w:val="nil"/>
              <w:tr2bl w:val="nil"/>
            </w:tcBorders>
            <w:noWrap w:val="0"/>
            <w:vAlign w:val="center"/>
          </w:tcPr>
          <w:p w14:paraId="2720C4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职务/专业</w:t>
            </w:r>
          </w:p>
        </w:tc>
        <w:tc>
          <w:tcPr>
            <w:tcW w:w="4200" w:type="dxa"/>
            <w:tcBorders>
              <w:tl2br w:val="nil"/>
              <w:tr2bl w:val="nil"/>
            </w:tcBorders>
            <w:noWrap w:val="0"/>
            <w:vAlign w:val="center"/>
          </w:tcPr>
          <w:p w14:paraId="4635A6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资格要求</w:t>
            </w:r>
          </w:p>
        </w:tc>
        <w:tc>
          <w:tcPr>
            <w:tcW w:w="2580" w:type="dxa"/>
            <w:tcBorders>
              <w:tl2br w:val="nil"/>
              <w:tr2bl w:val="nil"/>
            </w:tcBorders>
            <w:noWrap w:val="0"/>
            <w:vAlign w:val="center"/>
          </w:tcPr>
          <w:p w14:paraId="70C536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人数</w:t>
            </w:r>
          </w:p>
        </w:tc>
        <w:tc>
          <w:tcPr>
            <w:tcW w:w="925" w:type="dxa"/>
            <w:tcBorders>
              <w:tl2br w:val="nil"/>
              <w:tr2bl w:val="nil"/>
            </w:tcBorders>
            <w:noWrap w:val="0"/>
            <w:vAlign w:val="center"/>
          </w:tcPr>
          <w:p w14:paraId="4B2453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备注</w:t>
            </w:r>
          </w:p>
        </w:tc>
      </w:tr>
      <w:tr w14:paraId="79408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l2br w:val="nil"/>
              <w:tr2bl w:val="nil"/>
            </w:tcBorders>
            <w:noWrap w:val="0"/>
            <w:vAlign w:val="center"/>
          </w:tcPr>
          <w:p w14:paraId="76517F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rPr>
              <w:t>1</w:t>
            </w:r>
          </w:p>
        </w:tc>
        <w:tc>
          <w:tcPr>
            <w:tcW w:w="1380" w:type="dxa"/>
            <w:tcBorders>
              <w:tl2br w:val="nil"/>
              <w:tr2bl w:val="nil"/>
            </w:tcBorders>
            <w:noWrap w:val="0"/>
            <w:vAlign w:val="center"/>
          </w:tcPr>
          <w:p w14:paraId="2CC9E8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总监理</w:t>
            </w:r>
          </w:p>
          <w:p w14:paraId="1A49DB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rPr>
              <w:t>工程师</w:t>
            </w:r>
          </w:p>
        </w:tc>
        <w:tc>
          <w:tcPr>
            <w:tcW w:w="4200" w:type="dxa"/>
            <w:tcBorders>
              <w:tl2br w:val="nil"/>
              <w:tr2bl w:val="nil"/>
            </w:tcBorders>
            <w:noWrap w:val="0"/>
            <w:vAlign w:val="center"/>
          </w:tcPr>
          <w:p w14:paraId="5837E31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kern w:val="2"/>
                <w:sz w:val="24"/>
                <w:szCs w:val="22"/>
                <w:highlight w:val="none"/>
                <w:lang w:val="en-US" w:eastAsia="zh-CN" w:bidi="ar-SA"/>
              </w:rPr>
              <w:t>具有国家注册监理工程师执业资格，注册专业资质汇总后应涵盖以下两项：①房屋建筑工程；②市政公用工程。</w:t>
            </w:r>
          </w:p>
          <w:p w14:paraId="4822EA7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kern w:val="2"/>
                <w:sz w:val="24"/>
                <w:szCs w:val="22"/>
                <w:highlight w:val="none"/>
                <w:lang w:val="en-US" w:eastAsia="zh-CN" w:bidi="ar-SA"/>
              </w:rPr>
              <w:t>备注：可由具备国家注册监理工程师执业资格的不同人员汇总后满足以上注册专业资质要求。</w:t>
            </w:r>
          </w:p>
        </w:tc>
        <w:tc>
          <w:tcPr>
            <w:tcW w:w="2580" w:type="dxa"/>
            <w:tcBorders>
              <w:tl2br w:val="nil"/>
              <w:tr2bl w:val="nil"/>
            </w:tcBorders>
            <w:noWrap w:val="0"/>
            <w:vAlign w:val="center"/>
          </w:tcPr>
          <w:p w14:paraId="45F157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kern w:val="2"/>
                <w:sz w:val="24"/>
                <w:szCs w:val="22"/>
                <w:highlight w:val="none"/>
                <w:lang w:val="en-US" w:eastAsia="zh-CN" w:bidi="ar-SA"/>
              </w:rPr>
              <w:t>至少1人</w:t>
            </w:r>
          </w:p>
        </w:tc>
        <w:tc>
          <w:tcPr>
            <w:tcW w:w="925" w:type="dxa"/>
            <w:tcBorders>
              <w:tl2br w:val="nil"/>
              <w:tr2bl w:val="nil"/>
            </w:tcBorders>
            <w:noWrap w:val="0"/>
            <w:vAlign w:val="center"/>
          </w:tcPr>
          <w:p w14:paraId="3C531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kern w:val="2"/>
                <w:sz w:val="24"/>
                <w:szCs w:val="22"/>
                <w:highlight w:val="none"/>
                <w:lang w:val="en-US" w:eastAsia="zh-CN" w:bidi="ar-SA"/>
              </w:rPr>
            </w:pPr>
          </w:p>
        </w:tc>
      </w:tr>
      <w:tr w14:paraId="293D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restart"/>
            <w:tcBorders>
              <w:tl2br w:val="nil"/>
              <w:tr2bl w:val="nil"/>
            </w:tcBorders>
            <w:noWrap w:val="0"/>
            <w:vAlign w:val="center"/>
          </w:tcPr>
          <w:p w14:paraId="1474CB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w:t>
            </w:r>
          </w:p>
        </w:tc>
        <w:tc>
          <w:tcPr>
            <w:tcW w:w="1380" w:type="dxa"/>
            <w:vMerge w:val="restart"/>
            <w:tcBorders>
              <w:tl2br w:val="nil"/>
              <w:tr2bl w:val="nil"/>
            </w:tcBorders>
            <w:noWrap w:val="0"/>
            <w:vAlign w:val="center"/>
          </w:tcPr>
          <w:p w14:paraId="45FED1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专业监理工程师</w:t>
            </w:r>
          </w:p>
        </w:tc>
        <w:tc>
          <w:tcPr>
            <w:tcW w:w="4200" w:type="dxa"/>
            <w:tcBorders>
              <w:tl2br w:val="nil"/>
              <w:tr2bl w:val="nil"/>
            </w:tcBorders>
            <w:noWrap w:val="0"/>
            <w:vAlign w:val="center"/>
          </w:tcPr>
          <w:p w14:paraId="2F705F8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kern w:val="2"/>
                <w:sz w:val="24"/>
                <w:szCs w:val="22"/>
                <w:highlight w:val="none"/>
                <w:lang w:val="en-US" w:eastAsia="zh-CN" w:bidi="ar-SA"/>
              </w:rPr>
              <w:t>市政公用工程专业监理工程师：具有市政公用工程专业国家注册监理工程师执业资格或市政公用工程专业省级监理工程师证书</w:t>
            </w:r>
          </w:p>
        </w:tc>
        <w:tc>
          <w:tcPr>
            <w:tcW w:w="2580" w:type="dxa"/>
            <w:vMerge w:val="restart"/>
            <w:tcBorders>
              <w:tl2br w:val="nil"/>
              <w:tr2bl w:val="nil"/>
            </w:tcBorders>
            <w:noWrap w:val="0"/>
            <w:vAlign w:val="center"/>
          </w:tcPr>
          <w:p w14:paraId="2C3622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①市政公用工程专业监理工程师至少1人；</w:t>
            </w:r>
          </w:p>
          <w:p w14:paraId="789CB8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②房屋建筑工程专业监理工程师至少1人。</w:t>
            </w:r>
          </w:p>
        </w:tc>
        <w:tc>
          <w:tcPr>
            <w:tcW w:w="925" w:type="dxa"/>
            <w:vMerge w:val="restart"/>
            <w:tcBorders>
              <w:tl2br w:val="nil"/>
              <w:tr2bl w:val="nil"/>
            </w:tcBorders>
            <w:noWrap w:val="0"/>
            <w:vAlign w:val="center"/>
          </w:tcPr>
          <w:p w14:paraId="22886B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highlight w:val="none"/>
              </w:rPr>
            </w:pPr>
          </w:p>
        </w:tc>
      </w:tr>
      <w:tr w14:paraId="1B6D0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continue"/>
            <w:tcBorders>
              <w:tl2br w:val="nil"/>
              <w:tr2bl w:val="nil"/>
            </w:tcBorders>
            <w:noWrap w:val="0"/>
            <w:vAlign w:val="center"/>
          </w:tcPr>
          <w:p w14:paraId="48C95C7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lang w:val="en-US" w:eastAsia="zh-CN"/>
              </w:rPr>
            </w:pPr>
          </w:p>
        </w:tc>
        <w:tc>
          <w:tcPr>
            <w:tcW w:w="1380" w:type="dxa"/>
            <w:vMerge w:val="continue"/>
            <w:tcBorders>
              <w:tl2br w:val="nil"/>
              <w:tr2bl w:val="nil"/>
            </w:tcBorders>
            <w:noWrap w:val="0"/>
            <w:vAlign w:val="center"/>
          </w:tcPr>
          <w:p w14:paraId="0F70E6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auto"/>
                <w:sz w:val="24"/>
                <w:highlight w:val="none"/>
                <w:lang w:eastAsia="zh-CN"/>
              </w:rPr>
            </w:pPr>
          </w:p>
        </w:tc>
        <w:tc>
          <w:tcPr>
            <w:tcW w:w="4200" w:type="dxa"/>
            <w:tcBorders>
              <w:tl2br w:val="nil"/>
              <w:tr2bl w:val="nil"/>
            </w:tcBorders>
            <w:noWrap w:val="0"/>
            <w:vAlign w:val="center"/>
          </w:tcPr>
          <w:p w14:paraId="043890F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kern w:val="2"/>
                <w:sz w:val="24"/>
                <w:szCs w:val="22"/>
                <w:highlight w:val="none"/>
                <w:lang w:val="en-US" w:eastAsia="zh-CN" w:bidi="ar-SA"/>
              </w:rPr>
              <w:t>房屋建筑工程专业监理工程师：具有房屋建筑工程专业国家注册监理工程师执业资格或房屋建筑工程专业省级监理工程师证书。</w:t>
            </w:r>
          </w:p>
        </w:tc>
        <w:tc>
          <w:tcPr>
            <w:tcW w:w="2580" w:type="dxa"/>
            <w:vMerge w:val="continue"/>
            <w:tcBorders>
              <w:tl2br w:val="nil"/>
              <w:tr2bl w:val="nil"/>
            </w:tcBorders>
            <w:noWrap w:val="0"/>
            <w:vAlign w:val="center"/>
          </w:tcPr>
          <w:p w14:paraId="3E4CB7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sz w:val="24"/>
                <w:highlight w:val="none"/>
                <w:lang w:val="en-US" w:eastAsia="zh-CN"/>
              </w:rPr>
            </w:pPr>
          </w:p>
        </w:tc>
        <w:tc>
          <w:tcPr>
            <w:tcW w:w="925" w:type="dxa"/>
            <w:vMerge w:val="continue"/>
            <w:tcBorders>
              <w:tl2br w:val="nil"/>
              <w:tr2bl w:val="nil"/>
            </w:tcBorders>
            <w:noWrap w:val="0"/>
            <w:vAlign w:val="center"/>
          </w:tcPr>
          <w:p w14:paraId="4E5F0B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highlight w:val="none"/>
              </w:rPr>
            </w:pPr>
          </w:p>
        </w:tc>
      </w:tr>
      <w:tr w14:paraId="46550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l2br w:val="nil"/>
              <w:tr2bl w:val="nil"/>
            </w:tcBorders>
            <w:noWrap w:val="0"/>
            <w:vAlign w:val="center"/>
          </w:tcPr>
          <w:p w14:paraId="011424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3</w:t>
            </w:r>
          </w:p>
        </w:tc>
        <w:tc>
          <w:tcPr>
            <w:tcW w:w="1380" w:type="dxa"/>
            <w:tcBorders>
              <w:tl2br w:val="nil"/>
              <w:tr2bl w:val="nil"/>
            </w:tcBorders>
            <w:noWrap w:val="0"/>
            <w:vAlign w:val="center"/>
          </w:tcPr>
          <w:p w14:paraId="2D340E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监理员</w:t>
            </w:r>
          </w:p>
        </w:tc>
        <w:tc>
          <w:tcPr>
            <w:tcW w:w="4200" w:type="dxa"/>
            <w:tcBorders>
              <w:tl2br w:val="nil"/>
              <w:tr2bl w:val="nil"/>
            </w:tcBorders>
            <w:noWrap w:val="0"/>
            <w:vAlign w:val="center"/>
          </w:tcPr>
          <w:p w14:paraId="494B38E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具有监理员证书或监理培训证书或以上监理资格。</w:t>
            </w:r>
          </w:p>
        </w:tc>
        <w:tc>
          <w:tcPr>
            <w:tcW w:w="2580" w:type="dxa"/>
            <w:tcBorders>
              <w:tl2br w:val="nil"/>
              <w:tr2bl w:val="nil"/>
            </w:tcBorders>
            <w:noWrap w:val="0"/>
            <w:vAlign w:val="center"/>
          </w:tcPr>
          <w:p w14:paraId="0CD443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①市政公用工程监理员至少1人；</w:t>
            </w:r>
          </w:p>
          <w:p w14:paraId="6687264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②房屋建筑工程监理员至少1人。</w:t>
            </w:r>
          </w:p>
        </w:tc>
        <w:tc>
          <w:tcPr>
            <w:tcW w:w="925" w:type="dxa"/>
            <w:tcBorders>
              <w:tl2br w:val="nil"/>
              <w:tr2bl w:val="nil"/>
            </w:tcBorders>
            <w:noWrap w:val="0"/>
            <w:vAlign w:val="center"/>
          </w:tcPr>
          <w:p w14:paraId="69279B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highlight w:val="none"/>
              </w:rPr>
            </w:pPr>
          </w:p>
        </w:tc>
      </w:tr>
      <w:tr w14:paraId="4A21F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l2br w:val="nil"/>
              <w:tr2bl w:val="nil"/>
            </w:tcBorders>
            <w:noWrap w:val="0"/>
            <w:vAlign w:val="center"/>
          </w:tcPr>
          <w:p w14:paraId="2B841D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4</w:t>
            </w:r>
          </w:p>
        </w:tc>
        <w:tc>
          <w:tcPr>
            <w:tcW w:w="1380" w:type="dxa"/>
            <w:tcBorders>
              <w:tl2br w:val="nil"/>
              <w:tr2bl w:val="nil"/>
            </w:tcBorders>
            <w:noWrap w:val="0"/>
            <w:vAlign w:val="center"/>
          </w:tcPr>
          <w:p w14:paraId="18B53E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Times New Roman"/>
                <w:spacing w:val="-8"/>
                <w:kern w:val="2"/>
                <w:sz w:val="24"/>
                <w:szCs w:val="24"/>
                <w:highlight w:val="none"/>
                <w:lang w:val="en-US" w:eastAsia="zh-CN" w:bidi="ar-SA"/>
              </w:rPr>
            </w:pPr>
            <w:r>
              <w:rPr>
                <w:rFonts w:hint="eastAsia" w:ascii="仿宋" w:hAnsi="仿宋" w:eastAsia="仿宋" w:cs="仿宋"/>
                <w:b/>
                <w:color w:val="auto"/>
                <w:sz w:val="24"/>
                <w:highlight w:val="none"/>
                <w:lang w:eastAsia="zh-CN"/>
              </w:rPr>
              <w:t>其他专业人员</w:t>
            </w:r>
          </w:p>
        </w:tc>
        <w:tc>
          <w:tcPr>
            <w:tcW w:w="4200" w:type="dxa"/>
            <w:tcBorders>
              <w:tl2br w:val="nil"/>
              <w:tr2bl w:val="nil"/>
            </w:tcBorders>
            <w:noWrap w:val="0"/>
            <w:vAlign w:val="center"/>
          </w:tcPr>
          <w:p w14:paraId="630B58D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Times New Roman"/>
                <w:spacing w:val="-8"/>
                <w:kern w:val="2"/>
                <w:sz w:val="24"/>
                <w:szCs w:val="24"/>
                <w:highlight w:val="none"/>
                <w:lang w:val="en-US" w:eastAsia="zh-CN" w:bidi="ar-SA"/>
              </w:rPr>
            </w:pPr>
            <w:r>
              <w:rPr>
                <w:rFonts w:hint="eastAsia" w:ascii="仿宋" w:hAnsi="仿宋" w:eastAsia="仿宋" w:cs="仿宋"/>
                <w:b/>
                <w:color w:val="auto"/>
                <w:sz w:val="24"/>
                <w:highlight w:val="none"/>
                <w:lang w:eastAsia="zh-CN"/>
              </w:rPr>
              <w:t>注册造价工程师：具有土木建筑专业注册一级造价工程师执业资格。</w:t>
            </w:r>
          </w:p>
        </w:tc>
        <w:tc>
          <w:tcPr>
            <w:tcW w:w="2580" w:type="dxa"/>
            <w:tcBorders>
              <w:tl2br w:val="nil"/>
              <w:tr2bl w:val="nil"/>
            </w:tcBorders>
            <w:noWrap w:val="0"/>
            <w:vAlign w:val="center"/>
          </w:tcPr>
          <w:p w14:paraId="7240C0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至少1人</w:t>
            </w:r>
          </w:p>
        </w:tc>
        <w:tc>
          <w:tcPr>
            <w:tcW w:w="925" w:type="dxa"/>
            <w:tcBorders>
              <w:tl2br w:val="nil"/>
              <w:tr2bl w:val="nil"/>
            </w:tcBorders>
            <w:noWrap w:val="0"/>
            <w:vAlign w:val="center"/>
          </w:tcPr>
          <w:p w14:paraId="4F183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4"/>
                <w:highlight w:val="none"/>
              </w:rPr>
            </w:pPr>
          </w:p>
        </w:tc>
      </w:tr>
    </w:tbl>
    <w:p w14:paraId="65FCA6D3">
      <w:pPr>
        <w:keepNext w:val="0"/>
        <w:keepLines w:val="0"/>
        <w:pageBreakBefore w:val="0"/>
        <w:tabs>
          <w:tab w:val="left" w:pos="1470"/>
        </w:tabs>
        <w:wordWrap/>
        <w:topLinePunct w:val="0"/>
        <w:bidi w:val="0"/>
        <w:spacing w:line="420" w:lineRule="exact"/>
        <w:textAlignment w:val="auto"/>
        <w:rPr>
          <w:rFonts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ascii="仿宋" w:hAnsi="仿宋" w:eastAsia="仿宋" w:cs="仿宋"/>
          <w:b/>
          <w:i/>
          <w:sz w:val="24"/>
          <w:szCs w:val="24"/>
          <w:highlight w:val="none"/>
        </w:rPr>
        <w:t>上表中每项岗位</w:t>
      </w:r>
      <w:r>
        <w:rPr>
          <w:rFonts w:hint="eastAsia" w:ascii="仿宋" w:hAnsi="仿宋" w:eastAsia="仿宋" w:cs="仿宋"/>
          <w:b/>
          <w:i/>
          <w:sz w:val="24"/>
          <w:szCs w:val="24"/>
          <w:highlight w:val="none"/>
        </w:rPr>
        <w:t>之间人员不得重复。</w:t>
      </w:r>
    </w:p>
    <w:p w14:paraId="19BCEA11">
      <w:pPr>
        <w:keepNext w:val="0"/>
        <w:keepLines w:val="0"/>
        <w:pageBreakBefore w:val="0"/>
        <w:wordWrap/>
        <w:topLinePunct w:val="0"/>
        <w:bidi w:val="0"/>
        <w:spacing w:line="4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ascii="仿宋" w:hAnsi="仿宋" w:eastAsia="仿宋" w:cs="仿宋"/>
          <w:b/>
          <w:i/>
          <w:sz w:val="24"/>
          <w:szCs w:val="24"/>
          <w:highlight w:val="none"/>
        </w:rPr>
        <w:t>总监理工程师、专业监理工程师、监理员、其他专业人员：</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w:t>
      </w:r>
      <w:r>
        <w:rPr>
          <w:rFonts w:ascii="仿宋" w:hAnsi="仿宋" w:eastAsia="仿宋" w:cs="仿宋"/>
          <w:sz w:val="24"/>
          <w:szCs w:val="24"/>
          <w:highlight w:val="none"/>
        </w:rPr>
        <w:t>中需按上表要求</w:t>
      </w:r>
      <w:r>
        <w:rPr>
          <w:rFonts w:hint="eastAsia" w:ascii="仿宋" w:hAnsi="仿宋" w:eastAsia="仿宋" w:cs="仿宋_GB2312"/>
          <w:b w:val="0"/>
          <w:bCs w:val="0"/>
          <w:color w:val="auto"/>
          <w:sz w:val="24"/>
          <w:szCs w:val="24"/>
          <w:highlight w:val="none"/>
          <w:lang w:val="en-US" w:eastAsia="zh-CN"/>
        </w:rPr>
        <w:t>提供人员名单、相关证书复印件以及在投标人最近连续3个月的社保缴纳证明并加盖投标人CA签章（社保缴纳证明以社保机构出具的社保证明为准）</w:t>
      </w:r>
      <w:r>
        <w:rPr>
          <w:rFonts w:hint="eastAsia" w:ascii="仿宋" w:hAnsi="仿宋" w:eastAsia="仿宋" w:cs="仿宋"/>
          <w:sz w:val="24"/>
          <w:szCs w:val="24"/>
          <w:highlight w:val="none"/>
        </w:rPr>
        <w:t>。</w:t>
      </w:r>
    </w:p>
    <w:p w14:paraId="38A18B1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以上所述人员配备为本项目最低人员配备要求。为满足实际监理需要，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应根据实际采购人委托项目工程内容、规模、工期等特点及时补充调整监理项目班子人员，以保障工程项目监理工作的顺利实施。</w:t>
      </w:r>
    </w:p>
    <w:p w14:paraId="13F082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9.2投标人</w:t>
      </w:r>
      <w:r>
        <w:rPr>
          <w:rFonts w:hint="eastAsia" w:ascii="仿宋" w:hAnsi="仿宋" w:eastAsia="仿宋" w:cs="仿宋"/>
          <w:color w:val="auto"/>
          <w:sz w:val="24"/>
          <w:szCs w:val="24"/>
          <w:highlight w:val="none"/>
        </w:rPr>
        <w:t>拟派总监</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无诸暨市外在建项目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如有诸暨市内在建项目，应经原建设单位书面同意其参加其他项目的投标，且最多不得超过</w:t>
      </w:r>
      <w:r>
        <w:rPr>
          <w:rFonts w:hint="eastAsia" w:ascii="仿宋" w:hAnsi="仿宋" w:eastAsia="仿宋" w:cs="仿宋"/>
          <w:color w:val="auto"/>
          <w:sz w:val="24"/>
          <w:szCs w:val="24"/>
          <w:highlight w:val="none"/>
          <w:lang w:val="en-US" w:eastAsia="zh-CN"/>
        </w:rPr>
        <w:t>一项。否则采购人有权拒绝投标人的投标或取消其（预）中标资格，并记入不良行为记录。注：“在建项目”的起止时间界定：监理合同段成交通知书发出之日（不通过招标方式，开始时间为合同签订之日）起至监理合同所辖施工标段均通过交工验收之日（或监理合同解除之日）止。镇乡（街道）、部门（国企）年度监理项目视作“在建项目”。预中标项目（包含年度监理项目）视作“在建项目”。（</w:t>
      </w:r>
      <w:r>
        <w:rPr>
          <w:rFonts w:hint="eastAsia" w:ascii="仿宋" w:hAnsi="仿宋" w:eastAsia="仿宋" w:cs="仿宋"/>
          <w:b w:val="0"/>
          <w:bCs w:val="0"/>
          <w:color w:val="auto"/>
          <w:sz w:val="24"/>
          <w:szCs w:val="24"/>
          <w:highlight w:val="none"/>
          <w:lang w:val="en-US" w:eastAsia="zh-CN" w:bidi="ar-SA"/>
        </w:rPr>
        <w:t>商务技术文件中</w:t>
      </w:r>
      <w:r>
        <w:rPr>
          <w:rFonts w:hint="eastAsia" w:ascii="仿宋" w:hAnsi="仿宋" w:eastAsia="仿宋" w:cs="仿宋"/>
          <w:color w:val="auto"/>
          <w:sz w:val="24"/>
          <w:szCs w:val="24"/>
          <w:highlight w:val="none"/>
          <w:lang w:val="en-US" w:eastAsia="zh-CN"/>
        </w:rPr>
        <w:t>须提供满足要求（拟派总监无在建项目）的相关承诺函（格式自拟）并加盖投标人CA签章，</w:t>
      </w:r>
      <w:r>
        <w:rPr>
          <w:rFonts w:hint="eastAsia" w:ascii="仿宋" w:hAnsi="仿宋" w:eastAsia="仿宋" w:cs="仿宋"/>
          <w:b w:val="0"/>
          <w:bCs w:val="0"/>
          <w:color w:val="auto"/>
          <w:sz w:val="24"/>
          <w:szCs w:val="24"/>
          <w:highlight w:val="none"/>
          <w:lang w:val="en-US" w:eastAsia="zh-CN" w:bidi="ar-SA"/>
        </w:rPr>
        <w:t>不提供或未实质响应则作无效投标处理</w:t>
      </w:r>
      <w:r>
        <w:rPr>
          <w:rFonts w:hint="eastAsia" w:ascii="仿宋" w:hAnsi="仿宋" w:eastAsia="仿宋" w:cs="仿宋"/>
          <w:color w:val="auto"/>
          <w:sz w:val="24"/>
          <w:szCs w:val="24"/>
          <w:highlight w:val="none"/>
          <w:lang w:val="en-US" w:eastAsia="zh-CN"/>
        </w:rPr>
        <w:t>。）若有诸暨市内在建项目的同时须提供</w:t>
      </w:r>
      <w:r>
        <w:rPr>
          <w:rFonts w:hint="eastAsia" w:ascii="仿宋" w:hAnsi="仿宋" w:eastAsia="仿宋" w:cs="仿宋"/>
          <w:color w:val="auto"/>
          <w:sz w:val="24"/>
          <w:szCs w:val="24"/>
          <w:highlight w:val="none"/>
        </w:rPr>
        <w:t>原建设单位书面同意其参加其他项目的投标</w:t>
      </w:r>
      <w:r>
        <w:rPr>
          <w:rFonts w:hint="eastAsia" w:ascii="仿宋" w:hAnsi="仿宋" w:eastAsia="仿宋" w:cs="仿宋"/>
          <w:color w:val="auto"/>
          <w:sz w:val="24"/>
          <w:szCs w:val="24"/>
          <w:highlight w:val="none"/>
          <w:lang w:val="en-US" w:eastAsia="zh-CN"/>
        </w:rPr>
        <w:t>的承诺（加盖原建设单位公章），相关证书复印件并加盖投标人公章，否则投标无效。</w:t>
      </w:r>
    </w:p>
    <w:p w14:paraId="4E9FF45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20" w:lineRule="exact"/>
        <w:ind w:firstLine="480" w:firstLineChars="200"/>
        <w:textAlignment w:val="auto"/>
        <w:rPr>
          <w:rFonts w:hint="default" w:ascii="仿宋" w:hAnsi="仿宋" w:eastAsia="仿宋" w:cs="仿宋"/>
          <w:color w:val="auto"/>
          <w:kern w:val="2"/>
          <w:sz w:val="24"/>
          <w:szCs w:val="20"/>
          <w:lang w:val="en-US" w:eastAsia="zh-CN" w:bidi="ar-SA"/>
        </w:rPr>
      </w:pPr>
      <w:r>
        <w:rPr>
          <w:rFonts w:hint="eastAsia" w:ascii="仿宋" w:hAnsi="仿宋" w:eastAsia="仿宋" w:cs="仿宋"/>
          <w:color w:val="auto"/>
          <w:kern w:val="2"/>
          <w:sz w:val="24"/>
          <w:szCs w:val="20"/>
          <w:lang w:val="en-US" w:eastAsia="zh-CN" w:bidi="ar-SA"/>
        </w:rPr>
        <w:t>9.3投标人需承诺拟派总监在合同期内不能同时参与其他工程的招投标，否则采购人有权取消其中标资格。</w:t>
      </w:r>
      <w:r>
        <w:rPr>
          <w:rFonts w:hint="eastAsia" w:ascii="仿宋" w:hAnsi="仿宋" w:eastAsia="仿宋" w:cs="仿宋"/>
          <w:b w:val="0"/>
          <w:bCs w:val="0"/>
          <w:color w:val="auto"/>
          <w:sz w:val="24"/>
          <w:szCs w:val="24"/>
          <w:highlight w:val="none"/>
          <w:lang w:val="en-US" w:eastAsia="zh-CN" w:bidi="ar-SA"/>
        </w:rPr>
        <w:t>（商务技术文件中须提供相关承诺函</w:t>
      </w:r>
      <w:r>
        <w:rPr>
          <w:rFonts w:hint="eastAsia" w:ascii="仿宋" w:hAnsi="仿宋" w:eastAsia="仿宋" w:cs="仿宋"/>
          <w:color w:val="auto"/>
          <w:sz w:val="24"/>
          <w:szCs w:val="24"/>
          <w:highlight w:val="none"/>
        </w:rPr>
        <w:t>（格式自拟）并加盖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CA签章</w:t>
      </w:r>
      <w:r>
        <w:rPr>
          <w:rFonts w:hint="eastAsia" w:ascii="仿宋" w:hAnsi="仿宋" w:eastAsia="仿宋" w:cs="仿宋"/>
          <w:b w:val="0"/>
          <w:bCs w:val="0"/>
          <w:color w:val="auto"/>
          <w:sz w:val="24"/>
          <w:szCs w:val="24"/>
          <w:highlight w:val="none"/>
          <w:lang w:val="en-US" w:eastAsia="zh-CN" w:bidi="ar-SA"/>
        </w:rPr>
        <w:t>，不提供或未实质响应则作无效投标处理。）</w:t>
      </w:r>
    </w:p>
    <w:p w14:paraId="47D616D3">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color w:val="auto"/>
          <w:kern w:val="2"/>
          <w:sz w:val="24"/>
          <w:szCs w:val="20"/>
          <w:lang w:val="en-US" w:eastAsia="zh-CN" w:bidi="ar-SA"/>
        </w:rPr>
      </w:pPr>
      <w:r>
        <w:rPr>
          <w:rFonts w:hint="eastAsia" w:ascii="仿宋" w:hAnsi="仿宋" w:eastAsia="仿宋" w:cs="仿宋"/>
          <w:color w:val="auto"/>
          <w:kern w:val="2"/>
          <w:sz w:val="24"/>
          <w:szCs w:val="20"/>
          <w:lang w:val="en-US" w:eastAsia="zh-CN" w:bidi="ar-SA"/>
        </w:rPr>
        <w:t>相关人员如达不到采购人要求，采购人有权提出重新更换，同时采购人保留采取一切非常措施权利。</w:t>
      </w:r>
    </w:p>
    <w:p w14:paraId="577BBAB5">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color w:val="auto"/>
          <w:kern w:val="2"/>
          <w:sz w:val="24"/>
          <w:szCs w:val="20"/>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0"/>
          <w:lang w:val="en-US" w:eastAsia="zh-CN" w:bidi="ar-SA"/>
        </w:rPr>
        <w:t>采购人通知监理人员到维护项目现场监理，监理单位应在收到通知后1小时内赶到指定地点。如采购人有特殊需求，监理单位须予以配合。（商务技术文件中须提供相关承诺函（格式自拟）并加盖投标人CA签章，不提供或未实质响应则作无效投标处理。）</w:t>
      </w:r>
    </w:p>
    <w:p w14:paraId="2A0C97AE">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color w:val="auto"/>
          <w:kern w:val="2"/>
          <w:sz w:val="24"/>
          <w:szCs w:val="20"/>
          <w:lang w:val="en-US" w:eastAsia="zh-CN" w:bidi="ar-SA"/>
        </w:rPr>
      </w:pPr>
      <w:r>
        <w:rPr>
          <w:rFonts w:hint="eastAsia" w:ascii="仿宋" w:hAnsi="仿宋" w:eastAsia="仿宋" w:cs="仿宋"/>
          <w:color w:val="auto"/>
          <w:kern w:val="2"/>
          <w:sz w:val="24"/>
          <w:szCs w:val="20"/>
          <w:lang w:val="en-US" w:eastAsia="zh-CN" w:bidi="ar-SA"/>
        </w:rPr>
        <w:t>监理人员的交通食宿问题由监理单位自行解决。</w:t>
      </w:r>
    </w:p>
    <w:p w14:paraId="7A2500DF">
      <w:pPr>
        <w:keepNext w:val="0"/>
        <w:keepLines w:val="0"/>
        <w:pageBreakBefore w:val="0"/>
        <w:widowControl w:val="0"/>
        <w:numPr>
          <w:ilvl w:val="0"/>
          <w:numId w:val="14"/>
        </w:numPr>
        <w:kinsoku/>
        <w:wordWrap/>
        <w:overflowPunct/>
        <w:topLinePunct w:val="0"/>
        <w:autoSpaceDE/>
        <w:autoSpaceDN/>
        <w:bidi w:val="0"/>
        <w:adjustRightInd/>
        <w:snapToGrid/>
        <w:spacing w:line="420" w:lineRule="exact"/>
        <w:ind w:left="0" w:leftChars="0" w:firstLine="480" w:firstLineChars="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在各单项工程开展监理工作前，必须另外签订对应单项监理协议，采购人有权在单项监理协议中针对工程特殊性对监理单位提出适配性特殊要求。</w:t>
      </w:r>
    </w:p>
    <w:p w14:paraId="2BCFC85F">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服务标准</w:t>
      </w:r>
    </w:p>
    <w:p w14:paraId="593511FB">
      <w:pPr>
        <w:keepNext w:val="0"/>
        <w:keepLines w:val="0"/>
        <w:pageBreakBefore w:val="0"/>
        <w:widowControl w:val="0"/>
        <w:numPr>
          <w:ilvl w:val="0"/>
          <w:numId w:val="15"/>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华人民共和国建筑法》《中华人民共和国民法典》《中华人民共和国招标投标法》、《建设工程质量管理条例》《建设工程监理规范》（GB/T50319—2013）等现行国家颁布的有关法律、行政法规，建设部（或行政主管）部门规章及工程所在地的地方性（省、市）法规、规章。</w:t>
      </w:r>
    </w:p>
    <w:p w14:paraId="5AF92D48">
      <w:pPr>
        <w:keepNext w:val="0"/>
        <w:keepLines w:val="0"/>
        <w:pageBreakBefore w:val="0"/>
        <w:widowControl w:val="0"/>
        <w:numPr>
          <w:ilvl w:val="0"/>
          <w:numId w:val="15"/>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国家和地方现行的工程设计、建筑安装技术标准及验收规范、工程质量检验评定标准。</w:t>
      </w:r>
    </w:p>
    <w:p w14:paraId="089E27B8">
      <w:pPr>
        <w:keepNext w:val="0"/>
        <w:keepLines w:val="0"/>
        <w:pageBreakBefore w:val="0"/>
        <w:widowControl w:val="0"/>
        <w:numPr>
          <w:ilvl w:val="0"/>
          <w:numId w:val="15"/>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经上级有关部门及建设行政主管部门批准的相关批文、设计施工图纸和地质勘察报告等有关技术经济文件。</w:t>
      </w:r>
    </w:p>
    <w:p w14:paraId="2D865F0F">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违约责任</w:t>
      </w:r>
    </w:p>
    <w:p w14:paraId="1DF42188">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strike w:val="0"/>
          <w:color w:val="auto"/>
          <w:sz w:val="24"/>
          <w:szCs w:val="24"/>
          <w:highlight w:val="none"/>
        </w:rPr>
      </w:pPr>
      <w:r>
        <w:rPr>
          <w:rFonts w:hint="eastAsia" w:ascii="仿宋" w:hAnsi="仿宋" w:eastAsia="仿宋" w:cs="仿宋"/>
          <w:color w:val="auto"/>
          <w:sz w:val="24"/>
          <w:szCs w:val="24"/>
          <w:highlight w:val="none"/>
        </w:rPr>
        <w:t>项目监理机构人员必须严格按照国家、行业及有关要求履行职责，必须严格实行指纹考勤制度，保证人员到岗到位。施工期间，监理机构人员</w:t>
      </w:r>
      <w:r>
        <w:rPr>
          <w:rFonts w:hint="eastAsia" w:ascii="仿宋" w:hAnsi="仿宋" w:eastAsia="仿宋" w:cs="仿宋"/>
          <w:sz w:val="24"/>
          <w:szCs w:val="24"/>
        </w:rPr>
        <w:t>必须到岗，实行指纹考勤与抽查相结合的办法</w:t>
      </w:r>
      <w:r>
        <w:rPr>
          <w:rFonts w:hint="eastAsia" w:ascii="仿宋" w:hAnsi="仿宋" w:eastAsia="仿宋" w:cs="仿宋"/>
          <w:strike w:val="0"/>
          <w:dstrike w:val="0"/>
          <w:sz w:val="24"/>
          <w:szCs w:val="24"/>
        </w:rPr>
        <w:t>，出勤率不得低于采购</w:t>
      </w:r>
      <w:r>
        <w:rPr>
          <w:rFonts w:hint="eastAsia" w:ascii="仿宋" w:hAnsi="仿宋" w:eastAsia="仿宋" w:cs="仿宋"/>
          <w:strike w:val="0"/>
          <w:dstrike w:val="0"/>
          <w:sz w:val="24"/>
          <w:szCs w:val="24"/>
          <w:lang w:val="en-US" w:eastAsia="zh-CN"/>
        </w:rPr>
        <w:t>人</w:t>
      </w:r>
      <w:r>
        <w:rPr>
          <w:rFonts w:hint="eastAsia" w:ascii="仿宋" w:hAnsi="仿宋" w:eastAsia="仿宋" w:cs="仿宋"/>
          <w:strike w:val="0"/>
          <w:dstrike w:val="0"/>
          <w:sz w:val="24"/>
          <w:szCs w:val="24"/>
        </w:rPr>
        <w:t>要求，</w:t>
      </w:r>
      <w:r>
        <w:rPr>
          <w:rFonts w:hint="eastAsia" w:ascii="仿宋" w:hAnsi="仿宋" w:eastAsia="仿宋" w:cs="仿宋"/>
          <w:b w:val="0"/>
          <w:bCs/>
          <w:strike w:val="0"/>
          <w:dstrike w:val="0"/>
          <w:color w:val="auto"/>
          <w:sz w:val="24"/>
          <w:szCs w:val="24"/>
          <w:highlight w:val="none"/>
        </w:rPr>
        <w:t>监理机构人员出勤天数未达到规定的每缺勤1天或虽已按指纹但经抽查不在岗，</w:t>
      </w:r>
      <w:r>
        <w:rPr>
          <w:rFonts w:hint="eastAsia" w:ascii="仿宋" w:hAnsi="仿宋" w:eastAsia="仿宋" w:cs="仿宋"/>
          <w:strike w:val="0"/>
          <w:dstrike w:val="0"/>
          <w:color w:val="auto"/>
          <w:sz w:val="24"/>
          <w:szCs w:val="24"/>
          <w:highlight w:val="none"/>
        </w:rPr>
        <w:t>每缺勤一天按以下方式进行罚款：总监理工程师为</w:t>
      </w:r>
      <w:r>
        <w:rPr>
          <w:rFonts w:hint="eastAsia" w:ascii="仿宋" w:hAnsi="仿宋" w:eastAsia="仿宋" w:cs="仿宋"/>
          <w:strike w:val="0"/>
          <w:dstrike w:val="0"/>
          <w:color w:val="auto"/>
          <w:sz w:val="24"/>
          <w:szCs w:val="24"/>
          <w:highlight w:val="none"/>
          <w:lang w:val="en-US" w:eastAsia="zh-CN"/>
        </w:rPr>
        <w:t>1000</w:t>
      </w:r>
      <w:r>
        <w:rPr>
          <w:rFonts w:hint="eastAsia" w:ascii="仿宋" w:hAnsi="仿宋" w:eastAsia="仿宋" w:cs="仿宋"/>
          <w:strike w:val="0"/>
          <w:dstrike w:val="0"/>
          <w:color w:val="auto"/>
          <w:sz w:val="24"/>
          <w:szCs w:val="24"/>
          <w:highlight w:val="none"/>
        </w:rPr>
        <w:t>元/天</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专业监理工程师及</w:t>
      </w:r>
      <w:r>
        <w:rPr>
          <w:rFonts w:hint="eastAsia" w:ascii="仿宋" w:hAnsi="仿宋" w:eastAsia="仿宋" w:cs="仿宋"/>
          <w:strike w:val="0"/>
          <w:dstrike w:val="0"/>
          <w:color w:val="auto"/>
          <w:sz w:val="24"/>
          <w:szCs w:val="24"/>
          <w:highlight w:val="none"/>
          <w:lang w:val="en-US" w:eastAsia="zh-CN"/>
        </w:rPr>
        <w:t>其他人员</w:t>
      </w:r>
      <w:r>
        <w:rPr>
          <w:rFonts w:hint="eastAsia" w:ascii="仿宋" w:hAnsi="仿宋" w:eastAsia="仿宋" w:cs="仿宋"/>
          <w:strike w:val="0"/>
          <w:dstrike w:val="0"/>
          <w:color w:val="auto"/>
          <w:sz w:val="24"/>
          <w:szCs w:val="24"/>
          <w:highlight w:val="none"/>
        </w:rPr>
        <w:t>为</w:t>
      </w:r>
      <w:r>
        <w:rPr>
          <w:rFonts w:hint="eastAsia" w:ascii="仿宋" w:hAnsi="仿宋" w:eastAsia="仿宋" w:cs="仿宋"/>
          <w:strike w:val="0"/>
          <w:dstrike w:val="0"/>
          <w:color w:val="auto"/>
          <w:sz w:val="24"/>
          <w:szCs w:val="24"/>
          <w:highlight w:val="none"/>
          <w:lang w:val="en-US" w:eastAsia="zh-CN"/>
        </w:rPr>
        <w:t>500</w:t>
      </w:r>
      <w:r>
        <w:rPr>
          <w:rFonts w:hint="eastAsia" w:ascii="仿宋" w:hAnsi="仿宋" w:eastAsia="仿宋" w:cs="仿宋"/>
          <w:strike w:val="0"/>
          <w:dstrike w:val="0"/>
          <w:color w:val="auto"/>
          <w:sz w:val="24"/>
          <w:szCs w:val="24"/>
          <w:highlight w:val="none"/>
        </w:rPr>
        <w:t>元/天，</w:t>
      </w:r>
      <w:r>
        <w:rPr>
          <w:rFonts w:hint="eastAsia" w:ascii="仿宋" w:hAnsi="仿宋" w:eastAsia="仿宋" w:cs="仿宋"/>
          <w:strike w:val="0"/>
          <w:dstrike w:val="0"/>
          <w:sz w:val="24"/>
          <w:szCs w:val="24"/>
        </w:rPr>
        <w:t>以上所有人员在项目监理期内累计缺勤达到5次（含）以上10次（含）以下的扣除该监理项目监理费总额的20%，超过10次（不含）的扣除该监理项目总监理费的50%且采购</w:t>
      </w:r>
      <w:r>
        <w:rPr>
          <w:rFonts w:hint="eastAsia" w:ascii="仿宋" w:hAnsi="仿宋" w:eastAsia="仿宋" w:cs="仿宋"/>
          <w:strike w:val="0"/>
          <w:dstrike w:val="0"/>
          <w:sz w:val="24"/>
          <w:szCs w:val="24"/>
          <w:lang w:val="en-US" w:eastAsia="zh-CN"/>
        </w:rPr>
        <w:t>人</w:t>
      </w:r>
      <w:r>
        <w:rPr>
          <w:rFonts w:hint="eastAsia" w:ascii="仿宋" w:hAnsi="仿宋" w:eastAsia="仿宋" w:cs="仿宋"/>
          <w:strike w:val="0"/>
          <w:dstrike w:val="0"/>
          <w:sz w:val="24"/>
          <w:szCs w:val="24"/>
        </w:rPr>
        <w:t>有权解除合同</w:t>
      </w:r>
      <w:r>
        <w:rPr>
          <w:rFonts w:hint="eastAsia" w:ascii="仿宋" w:hAnsi="仿宋" w:eastAsia="仿宋" w:cs="仿宋"/>
          <w:b w:val="0"/>
          <w:bCs/>
          <w:strike w:val="0"/>
          <w:dstrike w:val="0"/>
          <w:color w:val="auto"/>
          <w:sz w:val="24"/>
          <w:szCs w:val="24"/>
          <w:highlight w:val="none"/>
        </w:rPr>
        <w:t>。（请假必须办理书面请假手续，</w:t>
      </w:r>
      <w:r>
        <w:rPr>
          <w:rFonts w:hint="eastAsia" w:ascii="仿宋" w:hAnsi="仿宋" w:eastAsia="仿宋" w:cs="仿宋"/>
          <w:b w:val="0"/>
          <w:bCs/>
          <w:strike w:val="0"/>
          <w:dstrike w:val="0"/>
          <w:color w:val="auto"/>
          <w:sz w:val="24"/>
          <w:szCs w:val="24"/>
          <w:highlight w:val="none"/>
          <w:lang w:val="en-US" w:eastAsia="zh-CN"/>
        </w:rPr>
        <w:t>其他</w:t>
      </w:r>
      <w:r>
        <w:rPr>
          <w:rFonts w:hint="eastAsia" w:ascii="仿宋" w:hAnsi="仿宋" w:eastAsia="仿宋" w:cs="仿宋"/>
          <w:b w:val="0"/>
          <w:bCs/>
          <w:strike w:val="0"/>
          <w:dstrike w:val="0"/>
          <w:color w:val="auto"/>
          <w:sz w:val="24"/>
          <w:szCs w:val="24"/>
          <w:highlight w:val="none"/>
        </w:rPr>
        <w:t>请假方式一律视为缺勤或脱岗处理）。</w:t>
      </w:r>
    </w:p>
    <w:p w14:paraId="5FC6ED5C">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在工程中对工程质量、造价、进度等监理时弄虚作假损害</w:t>
      </w:r>
      <w:r>
        <w:rPr>
          <w:rFonts w:hint="eastAsia" w:ascii="仿宋" w:hAnsi="仿宋" w:eastAsia="仿宋" w:cs="仿宋"/>
          <w:strike w:val="0"/>
          <w:dstrike w:val="0"/>
          <w:sz w:val="24"/>
          <w:szCs w:val="24"/>
          <w:lang w:val="en-US" w:eastAsia="zh-CN"/>
        </w:rPr>
        <w:t>采购人</w:t>
      </w:r>
      <w:r>
        <w:rPr>
          <w:rFonts w:hint="eastAsia" w:ascii="仿宋" w:hAnsi="仿宋" w:eastAsia="仿宋" w:cs="仿宋"/>
          <w:strike w:val="0"/>
          <w:dstrike w:val="0"/>
          <w:sz w:val="24"/>
          <w:szCs w:val="24"/>
        </w:rPr>
        <w:t>利益的，一经查实，每发现一例，即扣除</w:t>
      </w:r>
      <w:r>
        <w:rPr>
          <w:rFonts w:hint="eastAsia" w:ascii="仿宋" w:hAnsi="仿宋" w:eastAsia="仿宋" w:cs="仿宋"/>
          <w:strike w:val="0"/>
          <w:dstrike w:val="0"/>
          <w:sz w:val="24"/>
          <w:szCs w:val="24"/>
          <w:lang w:val="en-US" w:eastAsia="zh-CN"/>
        </w:rPr>
        <w:t>该</w:t>
      </w:r>
      <w:r>
        <w:rPr>
          <w:rFonts w:hint="eastAsia" w:ascii="仿宋" w:hAnsi="仿宋" w:eastAsia="仿宋" w:cs="仿宋"/>
          <w:strike w:val="0"/>
          <w:dstrike w:val="0"/>
          <w:sz w:val="24"/>
          <w:szCs w:val="24"/>
        </w:rPr>
        <w:t>监理项目监理费总额的10%。</w:t>
      </w:r>
    </w:p>
    <w:p w14:paraId="67FDFD47">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加强对施工中安全问题的监督，如施工中发现安全隐患，应及时向</w:t>
      </w:r>
      <w:r>
        <w:rPr>
          <w:rFonts w:hint="eastAsia" w:ascii="仿宋" w:hAnsi="仿宋" w:eastAsia="仿宋" w:cs="仿宋"/>
          <w:i w:val="0"/>
          <w:iCs w:val="0"/>
          <w:sz w:val="24"/>
          <w:szCs w:val="24"/>
          <w:lang w:val="en-US" w:eastAsia="zh-CN"/>
        </w:rPr>
        <w:t>采购人</w:t>
      </w:r>
      <w:r>
        <w:rPr>
          <w:rFonts w:hint="eastAsia" w:ascii="仿宋" w:hAnsi="仿宋" w:eastAsia="仿宋" w:cs="仿宋"/>
          <w:strike w:val="0"/>
          <w:dstrike w:val="0"/>
          <w:sz w:val="24"/>
          <w:szCs w:val="24"/>
        </w:rPr>
        <w:t>报告，并及时要求施工单位整改。因监理工作不到位引起施工安全问题的，每起扣除监理费1000—5000元不等，如造成施工安全事故的，则除扣除全部监理费外将提请建设行政主管部门依法处理；未落实监督职责（未开展日常检查或现场存在大量安全文明施工问题的）或已对施工单位提出整改意见，但施工单位拒不整改而未向采购人及主管部门报告的，扣除全部履约保证金且</w:t>
      </w:r>
      <w:r>
        <w:rPr>
          <w:rFonts w:hint="eastAsia" w:ascii="仿宋" w:hAnsi="仿宋" w:eastAsia="仿宋" w:cs="仿宋"/>
          <w:strike w:val="0"/>
          <w:dstrike w:val="0"/>
          <w:sz w:val="24"/>
          <w:szCs w:val="24"/>
          <w:lang w:val="en-US" w:eastAsia="zh-CN"/>
        </w:rPr>
        <w:t>采购</w:t>
      </w:r>
      <w:r>
        <w:rPr>
          <w:rFonts w:hint="eastAsia" w:ascii="仿宋" w:hAnsi="仿宋" w:eastAsia="仿宋" w:cs="仿宋"/>
          <w:strike w:val="0"/>
          <w:dstrike w:val="0"/>
          <w:sz w:val="24"/>
          <w:szCs w:val="24"/>
        </w:rPr>
        <w:t>人有权解除合同。</w:t>
      </w:r>
    </w:p>
    <w:p w14:paraId="518DE680">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根据监理规范必须旁站的关键部位及关键工序须有专业监理工程师或总监进行旁站，并做好旁站、隐蔽工程记录及监理日记，记录可用文字及影像的形式。专业监理工程师除了每天必须进行巡查外，须督促施工单位严格按图施工，发现问题及时处理，并报总监及</w:t>
      </w:r>
      <w:r>
        <w:rPr>
          <w:rFonts w:hint="eastAsia" w:ascii="仿宋" w:hAnsi="仿宋" w:eastAsia="仿宋" w:cs="仿宋"/>
          <w:strike w:val="0"/>
          <w:dstrike w:val="0"/>
          <w:sz w:val="24"/>
          <w:szCs w:val="24"/>
          <w:lang w:val="en-US" w:eastAsia="zh-CN"/>
        </w:rPr>
        <w:t>采购</w:t>
      </w:r>
      <w:r>
        <w:rPr>
          <w:rFonts w:hint="eastAsia" w:ascii="仿宋" w:hAnsi="仿宋" w:eastAsia="仿宋" w:cs="仿宋"/>
          <w:strike w:val="0"/>
          <w:dstrike w:val="0"/>
          <w:sz w:val="24"/>
          <w:szCs w:val="24"/>
        </w:rPr>
        <w:t>人现场管理人员。如没有做好相关记录的视情扣罚监理费1000-</w:t>
      </w:r>
      <w:r>
        <w:rPr>
          <w:rFonts w:hint="eastAsia" w:ascii="仿宋" w:hAnsi="仿宋" w:eastAsia="仿宋" w:cs="仿宋"/>
          <w:strike w:val="0"/>
          <w:dstrike w:val="0"/>
          <w:sz w:val="24"/>
          <w:szCs w:val="24"/>
          <w:lang w:val="en-US" w:eastAsia="zh-CN"/>
        </w:rPr>
        <w:t>5</w:t>
      </w:r>
      <w:r>
        <w:rPr>
          <w:rFonts w:hint="eastAsia" w:ascii="仿宋" w:hAnsi="仿宋" w:eastAsia="仿宋" w:cs="仿宋"/>
          <w:strike w:val="0"/>
          <w:dstrike w:val="0"/>
          <w:sz w:val="24"/>
          <w:szCs w:val="24"/>
        </w:rPr>
        <w:t>000元，如监理工程师没有按要求进行旁站的每查到一次：第一次罚款1000元；第二次罚款2000元；第三次罚款3000元；三次（不含）以上采购人有权解除监理合同，并由</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承担一切责任。</w:t>
      </w:r>
    </w:p>
    <w:p w14:paraId="1F7E7433">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监理到岗人员必须与</w:t>
      </w:r>
      <w:r>
        <w:rPr>
          <w:rFonts w:hint="eastAsia" w:ascii="仿宋" w:hAnsi="仿宋" w:eastAsia="仿宋" w:cs="仿宋"/>
          <w:strike w:val="0"/>
          <w:dstrike w:val="0"/>
          <w:sz w:val="24"/>
          <w:szCs w:val="24"/>
          <w:lang w:val="en-US" w:eastAsia="zh-CN"/>
        </w:rPr>
        <w:t>投标文件</w:t>
      </w:r>
      <w:r>
        <w:rPr>
          <w:rFonts w:hint="eastAsia" w:ascii="仿宋" w:hAnsi="仿宋" w:eastAsia="仿宋" w:cs="仿宋"/>
          <w:strike w:val="0"/>
          <w:dstrike w:val="0"/>
          <w:sz w:val="24"/>
          <w:szCs w:val="24"/>
        </w:rPr>
        <w:t>中的人员相一致，未经采购人书面同意，</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不得私自调换。</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应派遣</w:t>
      </w:r>
      <w:r>
        <w:rPr>
          <w:rFonts w:hint="eastAsia" w:ascii="仿宋" w:hAnsi="仿宋" w:eastAsia="仿宋" w:cs="仿宋"/>
          <w:strike w:val="0"/>
          <w:dstrike w:val="0"/>
          <w:sz w:val="24"/>
          <w:szCs w:val="24"/>
          <w:lang w:val="en-US" w:eastAsia="zh-CN"/>
        </w:rPr>
        <w:t>投标文件</w:t>
      </w:r>
      <w:r>
        <w:rPr>
          <w:rFonts w:hint="eastAsia" w:ascii="仿宋" w:hAnsi="仿宋" w:eastAsia="仿宋" w:cs="仿宋"/>
          <w:strike w:val="0"/>
          <w:dstrike w:val="0"/>
          <w:sz w:val="24"/>
          <w:szCs w:val="24"/>
        </w:rPr>
        <w:t>中承诺的监理人员进驻现场，除非采购人另有要求或其它不可抗力</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color w:val="auto"/>
          <w:sz w:val="24"/>
          <w:szCs w:val="24"/>
          <w:highlight w:val="none"/>
          <w:lang w:eastAsia="zh-CN"/>
        </w:rPr>
        <w:t>监理单位</w:t>
      </w:r>
      <w:r>
        <w:rPr>
          <w:rFonts w:hint="eastAsia" w:ascii="仿宋" w:hAnsi="仿宋" w:eastAsia="仿宋" w:cs="仿宋"/>
          <w:strike w:val="0"/>
          <w:dstrike w:val="0"/>
          <w:color w:val="auto"/>
          <w:sz w:val="24"/>
          <w:szCs w:val="24"/>
          <w:highlight w:val="none"/>
        </w:rPr>
        <w:t>不得以任何理由更换</w:t>
      </w:r>
      <w:r>
        <w:rPr>
          <w:rFonts w:hint="eastAsia" w:ascii="仿宋" w:hAnsi="仿宋" w:eastAsia="仿宋" w:cs="仿宋"/>
          <w:strike w:val="0"/>
          <w:dstrike w:val="0"/>
          <w:color w:val="auto"/>
          <w:sz w:val="24"/>
          <w:szCs w:val="24"/>
          <w:highlight w:val="none"/>
          <w:lang w:val="en-US" w:eastAsia="zh-CN"/>
        </w:rPr>
        <w:t>投标文件</w:t>
      </w:r>
      <w:r>
        <w:rPr>
          <w:rFonts w:hint="eastAsia" w:ascii="仿宋" w:hAnsi="仿宋" w:eastAsia="仿宋" w:cs="仿宋"/>
          <w:strike w:val="0"/>
          <w:dstrike w:val="0"/>
          <w:color w:val="auto"/>
          <w:sz w:val="24"/>
          <w:szCs w:val="24"/>
          <w:highlight w:val="none"/>
        </w:rPr>
        <w:t>中拟定的总监理工程师、</w:t>
      </w:r>
      <w:r>
        <w:rPr>
          <w:rFonts w:hint="eastAsia" w:ascii="仿宋" w:hAnsi="仿宋" w:eastAsia="仿宋" w:cs="仿宋"/>
          <w:strike w:val="0"/>
          <w:dstrike w:val="0"/>
          <w:sz w:val="24"/>
          <w:szCs w:val="24"/>
          <w:highlight w:val="none"/>
        </w:rPr>
        <w:t>专</w:t>
      </w:r>
      <w:r>
        <w:rPr>
          <w:rFonts w:hint="eastAsia" w:ascii="仿宋" w:hAnsi="仿宋" w:eastAsia="仿宋" w:cs="仿宋"/>
          <w:strike w:val="0"/>
          <w:dstrike w:val="0"/>
          <w:sz w:val="24"/>
          <w:szCs w:val="24"/>
        </w:rPr>
        <w:t>业监理工程师等主要监理人员，否则将被视为监理单位违约。项目监理期间，若</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因特殊要求更换人员，必须事先取得采购人的书面批准同意以后，才能替换监理人员，否则按擅自更换人员处理：擅自更换监理员的每人次罚款1</w:t>
      </w:r>
      <w:r>
        <w:rPr>
          <w:rFonts w:hint="eastAsia" w:ascii="仿宋" w:hAnsi="仿宋" w:eastAsia="仿宋" w:cs="仿宋"/>
          <w:strike w:val="0"/>
          <w:dstrike w:val="0"/>
          <w:sz w:val="24"/>
          <w:szCs w:val="24"/>
          <w:lang w:val="en-US" w:eastAsia="zh-CN"/>
        </w:rPr>
        <w:t>0</w:t>
      </w:r>
      <w:r>
        <w:rPr>
          <w:rFonts w:hint="eastAsia" w:ascii="仿宋" w:hAnsi="仿宋" w:eastAsia="仿宋" w:cs="仿宋"/>
          <w:strike w:val="0"/>
          <w:dstrike w:val="0"/>
          <w:sz w:val="24"/>
          <w:szCs w:val="24"/>
        </w:rPr>
        <w:t>000元，擅自更换专业监理工程师的每人次罚款</w:t>
      </w:r>
      <w:r>
        <w:rPr>
          <w:rFonts w:hint="eastAsia" w:ascii="仿宋" w:hAnsi="仿宋" w:eastAsia="仿宋" w:cs="仿宋"/>
          <w:strike w:val="0"/>
          <w:dstrike w:val="0"/>
          <w:sz w:val="24"/>
          <w:szCs w:val="24"/>
          <w:lang w:val="en-US" w:eastAsia="zh-CN"/>
        </w:rPr>
        <w:t>20</w:t>
      </w:r>
      <w:r>
        <w:rPr>
          <w:rFonts w:hint="eastAsia" w:ascii="仿宋" w:hAnsi="仿宋" w:eastAsia="仿宋" w:cs="仿宋"/>
          <w:strike w:val="0"/>
          <w:dstrike w:val="0"/>
          <w:sz w:val="24"/>
          <w:szCs w:val="24"/>
        </w:rPr>
        <w:t>000元，擅自更换总监的每人次罚款</w:t>
      </w:r>
      <w:r>
        <w:rPr>
          <w:rFonts w:hint="eastAsia" w:ascii="仿宋" w:hAnsi="仿宋" w:eastAsia="仿宋" w:cs="仿宋"/>
          <w:strike w:val="0"/>
          <w:dstrike w:val="0"/>
          <w:sz w:val="24"/>
          <w:szCs w:val="24"/>
          <w:lang w:val="en-US" w:eastAsia="zh-CN"/>
        </w:rPr>
        <w:t>3</w:t>
      </w:r>
      <w:r>
        <w:rPr>
          <w:rFonts w:hint="eastAsia" w:ascii="仿宋" w:hAnsi="仿宋" w:eastAsia="仿宋" w:cs="仿宋"/>
          <w:strike w:val="0"/>
          <w:dstrike w:val="0"/>
          <w:sz w:val="24"/>
          <w:szCs w:val="24"/>
        </w:rPr>
        <w:t>0000元。</w:t>
      </w:r>
    </w:p>
    <w:p w14:paraId="25A8E1BB">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监理人员在审核工程洽商、设计变更单、工程变更单时应及时认真对照</w:t>
      </w:r>
      <w:r>
        <w:rPr>
          <w:rFonts w:hint="eastAsia" w:ascii="仿宋" w:hAnsi="仿宋" w:eastAsia="仿宋" w:cs="仿宋"/>
          <w:strike w:val="0"/>
          <w:dstrike w:val="0"/>
          <w:sz w:val="24"/>
          <w:szCs w:val="24"/>
          <w:lang w:val="en-US" w:eastAsia="zh-CN"/>
        </w:rPr>
        <w:t>招标文件</w:t>
      </w:r>
      <w:r>
        <w:rPr>
          <w:rFonts w:hint="eastAsia" w:ascii="仿宋" w:hAnsi="仿宋" w:eastAsia="仿宋" w:cs="仿宋"/>
          <w:strike w:val="0"/>
          <w:dstrike w:val="0"/>
          <w:sz w:val="24"/>
          <w:szCs w:val="24"/>
        </w:rPr>
        <w:t>、施工合同、施工图纸、现场监理记录、预算及市场价格等，确保工程量属实，工程费用合理合规。</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必须督促施工单位及时上报工程洽商、工程变更单，一般的洽商、变更必须在施工单位上报后7天内签署或提出意见，否则每发生一次扣除监理费1000元，若由于监理人员工作疏忽导致核定的变更明显有误或不合理的，一经认定，每发生一例，即扣除监理费1000元。扣罚款累计超过监理项目合同价的50%的，采购人有权解除合同，并且由此造成的损失由</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承担一切责任。</w:t>
      </w:r>
    </w:p>
    <w:p w14:paraId="09FEDD41">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不得以任何形式向采购人工作人员或与监理项目工程相关的管理单位人员赠送各种礼品、礼券或现金，也不得接受承包人或与监理项目工程有利益关系人赠送的各种礼品、礼券、卡、现金或任何其他形式的馈赠，不得接受承包人或与监理项目工程有利益关系人的招待、宴请等，否则，每发生一次，罚款 2000元，累计罚款次数达到5次的，采购人有权解除合同并且由此造成的损失由</w:t>
      </w:r>
      <w:r>
        <w:rPr>
          <w:rFonts w:hint="eastAsia" w:ascii="仿宋" w:hAnsi="仿宋" w:eastAsia="仿宋" w:cs="仿宋"/>
          <w:strike w:val="0"/>
          <w:dstrike w:val="0"/>
          <w:sz w:val="24"/>
          <w:szCs w:val="24"/>
          <w:lang w:eastAsia="zh-CN"/>
        </w:rPr>
        <w:t>监理单位</w:t>
      </w:r>
      <w:r>
        <w:rPr>
          <w:rFonts w:hint="eastAsia" w:ascii="仿宋" w:hAnsi="仿宋" w:eastAsia="仿宋" w:cs="仿宋"/>
          <w:strike w:val="0"/>
          <w:dstrike w:val="0"/>
          <w:sz w:val="24"/>
          <w:szCs w:val="24"/>
        </w:rPr>
        <w:t>承担一切责任</w:t>
      </w:r>
      <w:r>
        <w:rPr>
          <w:rFonts w:hint="eastAsia" w:ascii="仿宋" w:hAnsi="仿宋" w:eastAsia="仿宋" w:cs="仿宋"/>
          <w:strike w:val="0"/>
          <w:dstrike w:val="0"/>
          <w:sz w:val="24"/>
          <w:szCs w:val="24"/>
          <w:lang w:eastAsia="zh-CN"/>
        </w:rPr>
        <w:t>。</w:t>
      </w:r>
    </w:p>
    <w:p w14:paraId="19F4FC66">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以下情况一经证实，采购人有权解除合同，同时扣除全部履约保证金，并向上级主管部门通报：</w:t>
      </w:r>
    </w:p>
    <w:p w14:paraId="523431B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（1）监理人员向施工单位索贿的，包括要求报销发票、索要财物等。</w:t>
      </w:r>
    </w:p>
    <w:p w14:paraId="3FF516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（2）监理人员向施工单位强行推销施工材料的。</w:t>
      </w:r>
    </w:p>
    <w:p w14:paraId="3C6BDB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（3）如出现监理单位签证联系单与实际发生工程量不符的。</w:t>
      </w:r>
    </w:p>
    <w:p w14:paraId="73FA6D28">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strike w:val="0"/>
          <w:dstrike w:val="0"/>
          <w:sz w:val="24"/>
          <w:szCs w:val="24"/>
          <w:lang w:val="en-US" w:eastAsia="zh-CN"/>
        </w:rPr>
      </w:pPr>
      <w:r>
        <w:rPr>
          <w:rFonts w:hint="eastAsia" w:ascii="仿宋" w:hAnsi="仿宋" w:eastAsia="仿宋" w:cs="仿宋"/>
          <w:strike w:val="0"/>
          <w:dstrike w:val="0"/>
          <w:sz w:val="24"/>
          <w:szCs w:val="24"/>
          <w:lang w:val="en-US" w:eastAsia="zh-CN"/>
        </w:rPr>
        <w:t>监理单位应按采购人要求完成服务工作，不得以单项工程量大小及其它各种理由为借口拒绝或推迟代理或降低服务质量，如出现上述违约情形，采购人有权解除合同，并要求监理单位支付违约金20000元。</w:t>
      </w:r>
    </w:p>
    <w:p w14:paraId="28965E8E">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验收</w:t>
      </w:r>
    </w:p>
    <w:p w14:paraId="31CF83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严格遵循国家和行业质量验收相关规范、标准执行。</w:t>
      </w:r>
    </w:p>
    <w:p w14:paraId="23273D11">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default"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报价要求</w:t>
      </w:r>
    </w:p>
    <w:p w14:paraId="2BF1004D">
      <w:pPr>
        <w:keepNext w:val="0"/>
        <w:keepLines w:val="0"/>
        <w:pageBreakBefore w:val="0"/>
        <w:widowControl w:val="0"/>
        <w:numPr>
          <w:ilvl w:val="0"/>
          <w:numId w:val="1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本项目投标报价采用折扣报价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投标人的有效报价最高（折扣）限价为</w:t>
      </w:r>
      <w:r>
        <w:rPr>
          <w:rFonts w:hint="eastAsia" w:ascii="仿宋" w:hAnsi="仿宋" w:eastAsia="仿宋" w:cs="仿宋"/>
          <w:color w:val="FF0000"/>
          <w:sz w:val="24"/>
          <w:szCs w:val="24"/>
          <w:highlight w:val="none"/>
          <w:lang w:val="en-US" w:eastAsia="zh-CN"/>
        </w:rPr>
        <w:t>80.00</w:t>
      </w:r>
      <w:r>
        <w:rPr>
          <w:rFonts w:hint="eastAsia" w:ascii="仿宋" w:hAnsi="仿宋" w:eastAsia="仿宋" w:cs="仿宋"/>
          <w:color w:val="FF0000"/>
          <w:sz w:val="24"/>
          <w:szCs w:val="24"/>
          <w:highlight w:val="none"/>
        </w:rPr>
        <w:t>%</w:t>
      </w:r>
      <w:r>
        <w:rPr>
          <w:rFonts w:hint="eastAsia" w:ascii="仿宋" w:hAnsi="仿宋" w:eastAsia="仿宋" w:cs="仿宋"/>
          <w:color w:val="auto"/>
          <w:sz w:val="24"/>
          <w:szCs w:val="24"/>
          <w:highlight w:val="none"/>
        </w:rPr>
        <w:t>，任何超过最高</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限价的报价将被认定为无效报价，作无效响应处理。</w:t>
      </w:r>
    </w:p>
    <w:p w14:paraId="1B0B7D28">
      <w:pPr>
        <w:keepNext w:val="0"/>
        <w:keepLines w:val="0"/>
        <w:pageBreakBefore w:val="0"/>
        <w:widowControl w:val="0"/>
        <w:numPr>
          <w:ilvl w:val="0"/>
          <w:numId w:val="1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投标折扣</w:t>
      </w:r>
      <w:r>
        <w:rPr>
          <w:rFonts w:hint="eastAsia" w:ascii="仿宋" w:hAnsi="仿宋" w:eastAsia="仿宋"/>
          <w:color w:val="auto"/>
          <w:sz w:val="24"/>
          <w:szCs w:val="24"/>
          <w:highlight w:val="none"/>
        </w:rPr>
        <w:t>在合同实施期间保持不变，</w:t>
      </w:r>
      <w:r>
        <w:rPr>
          <w:rFonts w:hint="eastAsia" w:ascii="仿宋" w:hAnsi="仿宋" w:eastAsia="仿宋" w:cs="仿宋"/>
          <w:color w:val="auto"/>
          <w:sz w:val="24"/>
          <w:szCs w:val="24"/>
          <w:highlight w:val="none"/>
        </w:rPr>
        <w:t>不受实际施工项目多少、施工工期延长导致的监理服务期延长、监理人员增加、监理项目工程施工金额的调整而调整。</w:t>
      </w:r>
    </w:p>
    <w:p w14:paraId="5213201E">
      <w:pPr>
        <w:keepNext w:val="0"/>
        <w:keepLines w:val="0"/>
        <w:pageBreakBefore w:val="0"/>
        <w:widowControl w:val="0"/>
        <w:numPr>
          <w:ilvl w:val="0"/>
          <w:numId w:val="17"/>
        </w:numPr>
        <w:kinsoku/>
        <w:wordWrap/>
        <w:overflowPunct/>
        <w:topLinePunct w:val="0"/>
        <w:autoSpaceDE/>
        <w:autoSpaceDN/>
        <w:bidi w:val="0"/>
        <w:adjustRightInd/>
        <w:snapToGrid/>
        <w:spacing w:line="420" w:lineRule="exact"/>
        <w:ind w:left="0" w:leftChars="0" w:firstLine="456" w:firstLineChars="200"/>
        <w:textAlignment w:val="auto"/>
        <w:rPr>
          <w:rFonts w:hint="eastAsia"/>
          <w:b/>
          <w:bCs/>
          <w:color w:val="auto"/>
          <w:sz w:val="24"/>
          <w:highlight w:val="none"/>
          <w:lang w:eastAsia="zh-CN"/>
        </w:rPr>
      </w:pPr>
      <w:r>
        <w:rPr>
          <w:rFonts w:hint="eastAsia" w:ascii="仿宋" w:hAnsi="仿宋" w:eastAsia="仿宋"/>
          <w:color w:val="auto"/>
          <w:spacing w:val="-6"/>
          <w:sz w:val="24"/>
          <w:szCs w:val="24"/>
          <w:highlight w:val="none"/>
        </w:rPr>
        <w:t>报价包括履行本项目所有规定服务所产生的全部</w:t>
      </w:r>
      <w:r>
        <w:rPr>
          <w:rFonts w:hint="eastAsia" w:ascii="仿宋" w:hAnsi="仿宋" w:eastAsia="仿宋"/>
          <w:color w:val="auto"/>
          <w:sz w:val="24"/>
          <w:szCs w:val="24"/>
          <w:highlight w:val="none"/>
        </w:rPr>
        <w:t>税金、利润和费用</w:t>
      </w:r>
      <w:r>
        <w:rPr>
          <w:rFonts w:hint="eastAsia" w:ascii="仿宋" w:hAnsi="仿宋" w:eastAsia="仿宋"/>
          <w:color w:val="auto"/>
          <w:spacing w:val="-6"/>
          <w:sz w:val="24"/>
          <w:szCs w:val="24"/>
          <w:highlight w:val="none"/>
        </w:rPr>
        <w:t>，</w:t>
      </w:r>
      <w:r>
        <w:rPr>
          <w:rFonts w:hint="eastAsia" w:ascii="仿宋" w:hAnsi="仿宋" w:eastAsia="仿宋" w:cs="宋体"/>
          <w:color w:val="auto"/>
          <w:sz w:val="24"/>
          <w:szCs w:val="24"/>
          <w:highlight w:val="none"/>
          <w:lang w:eastAsia="zh-CN"/>
        </w:rPr>
        <w:t>投标人</w:t>
      </w:r>
      <w:r>
        <w:rPr>
          <w:rFonts w:hint="eastAsia" w:ascii="仿宋" w:hAnsi="仿宋" w:eastAsia="仿宋" w:cs="宋体"/>
          <w:color w:val="auto"/>
          <w:sz w:val="24"/>
          <w:szCs w:val="24"/>
          <w:highlight w:val="none"/>
        </w:rPr>
        <w:t>应充分考虑并将</w:t>
      </w:r>
      <w:r>
        <w:rPr>
          <w:rFonts w:hint="eastAsia" w:ascii="仿宋" w:hAnsi="仿宋" w:eastAsia="仿宋" w:cs="仿宋_GB2312"/>
          <w:color w:val="auto"/>
          <w:sz w:val="24"/>
          <w:highlight w:val="none"/>
          <w:lang w:val="zh-CN"/>
        </w:rPr>
        <w:t>有关本项目实施所涉及的一切费用均计入报价。</w:t>
      </w:r>
    </w:p>
    <w:p w14:paraId="633FFC93">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sz w:val="24"/>
          <w:szCs w:val="24"/>
          <w:highlight w:val="none"/>
          <w:lang w:val="en-US" w:eastAsia="zh-CN"/>
        </w:rPr>
      </w:pPr>
      <w:r>
        <w:rPr>
          <w:rFonts w:hint="eastAsia" w:ascii="仿宋" w:hAnsi="仿宋" w:eastAsia="仿宋" w:cs="仿宋"/>
          <w:b/>
          <w:color w:val="auto"/>
          <w:sz w:val="24"/>
          <w:szCs w:val="24"/>
          <w:highlight w:val="none"/>
          <w:lang w:val="en-US" w:eastAsia="zh-CN"/>
        </w:rPr>
        <w:t>收费标准</w:t>
      </w:r>
    </w:p>
    <w:p w14:paraId="5A39122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val="0"/>
          <w:bCs/>
          <w:i w:val="0"/>
          <w:iCs w:val="0"/>
          <w:color w:val="auto"/>
          <w:kern w:val="2"/>
          <w:sz w:val="24"/>
          <w:szCs w:val="20"/>
          <w:highlight w:val="none"/>
          <w:lang w:val="en-US" w:eastAsia="zh-CN" w:bidi="ar-SA"/>
        </w:rPr>
        <w:t>收费标准：监理费=施工监理收费基价×专业调整系数×工程复杂程度调整系数×高程调整系数×</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i w:val="0"/>
          <w:iCs w:val="0"/>
          <w:color w:val="auto"/>
          <w:kern w:val="2"/>
          <w:sz w:val="24"/>
          <w:szCs w:val="20"/>
          <w:highlight w:val="none"/>
          <w:lang w:val="en-US" w:eastAsia="zh-CN" w:bidi="ar-SA"/>
        </w:rPr>
        <w:t>折扣(专业调整系数、工程复杂程度调整系数、高程调整系数均以单个监理项目为准)。施工监理收费基价按表1施工监理服务收费基价表确定，计费额以单个施工项目合同价为准，计费额处于两个数值区间的，采用直线内插入法确定施工监理收费基价。</w:t>
      </w:r>
    </w:p>
    <w:p w14:paraId="58B97C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表1  施工监理服务收费基价表</w:t>
      </w:r>
    </w:p>
    <w:tbl>
      <w:tblPr>
        <w:tblStyle w:val="30"/>
        <w:tblW w:w="0" w:type="auto"/>
        <w:tblInd w:w="6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10"/>
        <w:gridCol w:w="3444"/>
        <w:gridCol w:w="2839"/>
      </w:tblGrid>
      <w:tr w14:paraId="0C85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0" w:hRule="exact"/>
        </w:trPr>
        <w:tc>
          <w:tcPr>
            <w:tcW w:w="2210" w:type="dxa"/>
            <w:tcBorders>
              <w:tl2br w:val="nil"/>
              <w:tr2bl w:val="nil"/>
            </w:tcBorders>
            <w:noWrap w:val="0"/>
            <w:vAlign w:val="center"/>
          </w:tcPr>
          <w:p w14:paraId="7ABE3ED0">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序号</w:t>
            </w:r>
          </w:p>
        </w:tc>
        <w:tc>
          <w:tcPr>
            <w:tcW w:w="3444" w:type="dxa"/>
            <w:tcBorders>
              <w:tl2br w:val="nil"/>
              <w:tr2bl w:val="nil"/>
            </w:tcBorders>
            <w:noWrap w:val="0"/>
            <w:vAlign w:val="center"/>
          </w:tcPr>
          <w:p w14:paraId="2081156A">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计费额（万元）</w:t>
            </w:r>
          </w:p>
        </w:tc>
        <w:tc>
          <w:tcPr>
            <w:tcW w:w="2839" w:type="dxa"/>
            <w:tcBorders>
              <w:tl2br w:val="nil"/>
              <w:tr2bl w:val="nil"/>
            </w:tcBorders>
            <w:noWrap w:val="0"/>
            <w:vAlign w:val="center"/>
          </w:tcPr>
          <w:p w14:paraId="2007F2B6">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收费基价（万元）</w:t>
            </w:r>
          </w:p>
        </w:tc>
      </w:tr>
      <w:tr w14:paraId="0E334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0" w:type="dxa"/>
            <w:tcBorders>
              <w:tl2br w:val="nil"/>
              <w:tr2bl w:val="nil"/>
            </w:tcBorders>
            <w:noWrap w:val="0"/>
            <w:vAlign w:val="center"/>
          </w:tcPr>
          <w:p w14:paraId="22AF184F">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p>
        </w:tc>
        <w:tc>
          <w:tcPr>
            <w:tcW w:w="3444" w:type="dxa"/>
            <w:tcBorders>
              <w:tl2br w:val="nil"/>
              <w:tr2bl w:val="nil"/>
            </w:tcBorders>
            <w:noWrap w:val="0"/>
            <w:vAlign w:val="center"/>
          </w:tcPr>
          <w:p w14:paraId="0A229BEC">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500</w:t>
            </w:r>
          </w:p>
        </w:tc>
        <w:tc>
          <w:tcPr>
            <w:tcW w:w="2839" w:type="dxa"/>
            <w:tcBorders>
              <w:tl2br w:val="nil"/>
              <w:tr2bl w:val="nil"/>
            </w:tcBorders>
            <w:noWrap w:val="0"/>
            <w:vAlign w:val="bottom"/>
          </w:tcPr>
          <w:p w14:paraId="04C53035">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16.5</w:t>
            </w:r>
          </w:p>
        </w:tc>
      </w:tr>
      <w:tr w14:paraId="17EB2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0" w:type="dxa"/>
            <w:tcBorders>
              <w:tl2br w:val="nil"/>
              <w:tr2bl w:val="nil"/>
            </w:tcBorders>
            <w:noWrap w:val="0"/>
            <w:vAlign w:val="center"/>
          </w:tcPr>
          <w:p w14:paraId="309C0BF7">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p>
        </w:tc>
        <w:tc>
          <w:tcPr>
            <w:tcW w:w="3444" w:type="dxa"/>
            <w:tcBorders>
              <w:tl2br w:val="nil"/>
              <w:tr2bl w:val="nil"/>
            </w:tcBorders>
            <w:noWrap w:val="0"/>
            <w:vAlign w:val="center"/>
          </w:tcPr>
          <w:p w14:paraId="57A692FF">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1000</w:t>
            </w:r>
          </w:p>
        </w:tc>
        <w:tc>
          <w:tcPr>
            <w:tcW w:w="2839" w:type="dxa"/>
            <w:tcBorders>
              <w:tl2br w:val="nil"/>
              <w:tr2bl w:val="nil"/>
            </w:tcBorders>
            <w:noWrap w:val="0"/>
            <w:vAlign w:val="bottom"/>
          </w:tcPr>
          <w:p w14:paraId="41CDD582">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30.1</w:t>
            </w:r>
          </w:p>
        </w:tc>
      </w:tr>
      <w:tr w14:paraId="55B5B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0" w:type="dxa"/>
            <w:tcBorders>
              <w:tl2br w:val="nil"/>
              <w:tr2bl w:val="nil"/>
            </w:tcBorders>
            <w:noWrap w:val="0"/>
            <w:vAlign w:val="center"/>
          </w:tcPr>
          <w:p w14:paraId="6871A5F6">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w:t>
            </w:r>
          </w:p>
        </w:tc>
        <w:tc>
          <w:tcPr>
            <w:tcW w:w="3444" w:type="dxa"/>
            <w:tcBorders>
              <w:tl2br w:val="nil"/>
              <w:tr2bl w:val="nil"/>
            </w:tcBorders>
            <w:noWrap w:val="0"/>
            <w:vAlign w:val="center"/>
          </w:tcPr>
          <w:p w14:paraId="2B1E641B">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3000</w:t>
            </w:r>
          </w:p>
        </w:tc>
        <w:tc>
          <w:tcPr>
            <w:tcW w:w="2839" w:type="dxa"/>
            <w:tcBorders>
              <w:tl2br w:val="nil"/>
              <w:tr2bl w:val="nil"/>
            </w:tcBorders>
            <w:noWrap w:val="0"/>
            <w:vAlign w:val="bottom"/>
          </w:tcPr>
          <w:p w14:paraId="710FDF6F">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78.1</w:t>
            </w:r>
          </w:p>
        </w:tc>
      </w:tr>
      <w:tr w14:paraId="13CE6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210" w:type="dxa"/>
            <w:tcBorders>
              <w:tl2br w:val="nil"/>
              <w:tr2bl w:val="nil"/>
            </w:tcBorders>
            <w:noWrap w:val="0"/>
            <w:vAlign w:val="center"/>
          </w:tcPr>
          <w:p w14:paraId="2366F853">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p>
        </w:tc>
        <w:tc>
          <w:tcPr>
            <w:tcW w:w="3444" w:type="dxa"/>
            <w:tcBorders>
              <w:tl2br w:val="nil"/>
              <w:tr2bl w:val="nil"/>
            </w:tcBorders>
            <w:noWrap w:val="0"/>
            <w:vAlign w:val="center"/>
          </w:tcPr>
          <w:p w14:paraId="251A1623">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5000</w:t>
            </w:r>
          </w:p>
        </w:tc>
        <w:tc>
          <w:tcPr>
            <w:tcW w:w="2839" w:type="dxa"/>
            <w:tcBorders>
              <w:tl2br w:val="nil"/>
              <w:tr2bl w:val="nil"/>
            </w:tcBorders>
            <w:noWrap w:val="0"/>
            <w:vAlign w:val="bottom"/>
          </w:tcPr>
          <w:p w14:paraId="05926B6D">
            <w:pPr>
              <w:keepNext w:val="0"/>
              <w:keepLines w:val="0"/>
              <w:pageBreakBefore w:val="0"/>
              <w:kinsoku/>
              <w:wordWrap/>
              <w:overflowPunct/>
              <w:topLinePunct w:val="0"/>
              <w:bidi w:val="0"/>
              <w:snapToGrid/>
              <w:spacing w:line="30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120.8</w:t>
            </w:r>
          </w:p>
        </w:tc>
      </w:tr>
    </w:tbl>
    <w:p w14:paraId="67079FBF">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履约保证金</w:t>
      </w:r>
      <w:r>
        <w:rPr>
          <w:rFonts w:hint="eastAsia" w:ascii="仿宋" w:hAnsi="仿宋" w:eastAsia="仿宋" w:cs="仿宋"/>
          <w:b/>
          <w:color w:val="auto"/>
          <w:sz w:val="24"/>
          <w:szCs w:val="24"/>
          <w:highlight w:val="none"/>
          <w:lang w:val="en-US" w:eastAsia="zh-CN"/>
        </w:rPr>
        <w:t>及</w:t>
      </w:r>
      <w:r>
        <w:rPr>
          <w:rFonts w:ascii="仿宋" w:hAnsi="仿宋" w:eastAsia="仿宋" w:cs="仿宋"/>
          <w:b/>
          <w:color w:val="auto"/>
          <w:sz w:val="24"/>
          <w:szCs w:val="24"/>
          <w:highlight w:val="none"/>
        </w:rPr>
        <w:t>付款方式</w:t>
      </w:r>
    </w:p>
    <w:p w14:paraId="793F08FD">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highlight w:val="none"/>
        </w:rPr>
        <w:t>合同签订</w:t>
      </w:r>
      <w:r>
        <w:rPr>
          <w:rFonts w:hint="eastAsia" w:ascii="仿宋" w:hAnsi="仿宋" w:eastAsia="仿宋" w:cs="仿宋"/>
          <w:color w:val="auto"/>
          <w:sz w:val="24"/>
          <w:highlight w:val="none"/>
          <w:lang w:val="en-US" w:eastAsia="zh-CN"/>
        </w:rPr>
        <w:t>时</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监理单位</w:t>
      </w:r>
      <w:r>
        <w:rPr>
          <w:rFonts w:hint="eastAsia" w:ascii="仿宋" w:hAnsi="仿宋" w:eastAsia="仿宋"/>
          <w:color w:val="auto"/>
          <w:sz w:val="24"/>
          <w:szCs w:val="24"/>
          <w:highlight w:val="none"/>
        </w:rPr>
        <w:t>须向采购人缴纳</w:t>
      </w:r>
      <w:r>
        <w:rPr>
          <w:rFonts w:hint="eastAsia" w:ascii="仿宋" w:hAnsi="仿宋" w:eastAsia="仿宋"/>
          <w:color w:val="auto"/>
          <w:sz w:val="24"/>
          <w:szCs w:val="24"/>
          <w:highlight w:val="none"/>
          <w:lang w:val="en-US" w:eastAsia="zh-CN"/>
        </w:rPr>
        <w:t>预算金额1%</w:t>
      </w:r>
      <w:r>
        <w:rPr>
          <w:rFonts w:hint="eastAsia" w:ascii="仿宋" w:hAnsi="仿宋" w:eastAsia="仿宋"/>
          <w:color w:val="auto"/>
          <w:sz w:val="24"/>
          <w:szCs w:val="24"/>
          <w:highlight w:val="none"/>
        </w:rPr>
        <w:t>的履约保证金，</w:t>
      </w:r>
      <w:r>
        <w:rPr>
          <w:rFonts w:hint="eastAsia" w:ascii="仿宋" w:hAnsi="仿宋" w:eastAsia="仿宋" w:cs="仿宋"/>
          <w:b w:val="0"/>
          <w:bCs w:val="0"/>
          <w:color w:val="auto"/>
          <w:sz w:val="24"/>
          <w:highlight w:val="none"/>
          <w:lang w:val="en-US" w:eastAsia="zh-CN"/>
        </w:rPr>
        <w:t>应当以支票、汇票、本票或者金融机构、担保机构出具的保函等非现金形式提交</w:t>
      </w:r>
      <w:r>
        <w:rPr>
          <w:rFonts w:hint="eastAsia" w:ascii="仿宋" w:hAnsi="仿宋" w:eastAsia="仿宋" w:cs="仿宋"/>
          <w:bCs/>
          <w:i w:val="0"/>
          <w:iCs w:val="0"/>
          <w:color w:val="auto"/>
          <w:sz w:val="24"/>
          <w:szCs w:val="24"/>
          <w:highlight w:val="none"/>
          <w:lang w:eastAsia="zh-CN"/>
        </w:rPr>
        <w:t>。</w:t>
      </w:r>
      <w:r>
        <w:rPr>
          <w:rFonts w:hint="eastAsia" w:ascii="仿宋" w:hAnsi="仿宋" w:eastAsia="仿宋" w:cs="宋体"/>
          <w:i w:val="0"/>
          <w:iCs w:val="0"/>
          <w:color w:val="auto"/>
          <w:sz w:val="24"/>
          <w:szCs w:val="24"/>
          <w:highlight w:val="none"/>
        </w:rPr>
        <w:t>如果</w:t>
      </w:r>
      <w:r>
        <w:rPr>
          <w:rFonts w:hint="eastAsia" w:ascii="仿宋" w:hAnsi="仿宋" w:eastAsia="仿宋"/>
          <w:i w:val="0"/>
          <w:iCs w:val="0"/>
          <w:color w:val="auto"/>
          <w:sz w:val="24"/>
          <w:szCs w:val="24"/>
          <w:highlight w:val="none"/>
          <w:lang w:val="en-US" w:eastAsia="zh-CN"/>
        </w:rPr>
        <w:t>监理单位</w:t>
      </w:r>
      <w:r>
        <w:rPr>
          <w:rFonts w:hint="eastAsia" w:ascii="仿宋" w:hAnsi="仿宋" w:eastAsia="仿宋" w:cs="宋体"/>
          <w:i w:val="0"/>
          <w:iCs w:val="0"/>
          <w:color w:val="auto"/>
          <w:sz w:val="24"/>
          <w:szCs w:val="24"/>
          <w:highlight w:val="none"/>
        </w:rPr>
        <w:t>未能按合同约定全面履行义务，采购人有权从履约保证金中取得补偿或赔偿，同时不影响采购人要求</w:t>
      </w:r>
      <w:r>
        <w:rPr>
          <w:rFonts w:hint="eastAsia" w:ascii="仿宋" w:hAnsi="仿宋" w:eastAsia="仿宋"/>
          <w:i w:val="0"/>
          <w:iCs w:val="0"/>
          <w:color w:val="auto"/>
          <w:sz w:val="24"/>
          <w:szCs w:val="24"/>
          <w:highlight w:val="none"/>
          <w:lang w:val="en-US" w:eastAsia="zh-CN"/>
        </w:rPr>
        <w:t>监理单位</w:t>
      </w:r>
      <w:r>
        <w:rPr>
          <w:rFonts w:hint="eastAsia" w:ascii="仿宋" w:hAnsi="仿宋" w:eastAsia="仿宋" w:cs="宋体"/>
          <w:i w:val="0"/>
          <w:iCs w:val="0"/>
          <w:color w:val="auto"/>
          <w:sz w:val="24"/>
          <w:szCs w:val="24"/>
          <w:highlight w:val="none"/>
        </w:rPr>
        <w:t>承担合同约定的超过履约保证金的违约责任的权利</w:t>
      </w:r>
      <w:r>
        <w:rPr>
          <w:rFonts w:hint="eastAsia" w:ascii="仿宋" w:hAnsi="仿宋" w:eastAsia="仿宋" w:cs="仿宋"/>
          <w:bCs/>
          <w:color w:val="auto"/>
          <w:sz w:val="24"/>
          <w:szCs w:val="24"/>
          <w:highlight w:val="none"/>
        </w:rPr>
        <w:t>。履约保证金待年度最后一只工程竣工验收合格后14日内且监理</w:t>
      </w:r>
      <w:r>
        <w:rPr>
          <w:rFonts w:hint="eastAsia" w:ascii="仿宋" w:hAnsi="仿宋" w:eastAsia="仿宋" w:cs="仿宋"/>
          <w:bCs/>
          <w:color w:val="auto"/>
          <w:sz w:val="24"/>
          <w:szCs w:val="24"/>
          <w:highlight w:val="none"/>
          <w:lang w:val="en-US" w:eastAsia="zh-CN"/>
        </w:rPr>
        <w:t>单位</w:t>
      </w:r>
      <w:r>
        <w:rPr>
          <w:rFonts w:hint="eastAsia" w:ascii="仿宋" w:hAnsi="仿宋" w:eastAsia="仿宋" w:cs="仿宋"/>
          <w:bCs/>
          <w:color w:val="auto"/>
          <w:sz w:val="24"/>
          <w:szCs w:val="24"/>
          <w:highlight w:val="none"/>
        </w:rPr>
        <w:t>完全履行监理义务后，一次性退还(无息)</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采用保函形式的自动终止。</w:t>
      </w:r>
    </w:p>
    <w:p w14:paraId="70E2007D">
      <w:pPr>
        <w:keepNext w:val="0"/>
        <w:keepLines w:val="0"/>
        <w:pageBreakBefore w:val="0"/>
        <w:widowControl w:val="0"/>
        <w:numPr>
          <w:ilvl w:val="0"/>
          <w:numId w:val="18"/>
        </w:numPr>
        <w:kinsoku/>
        <w:wordWrap/>
        <w:overflowPunct/>
        <w:topLinePunct w:val="0"/>
        <w:autoSpaceDE/>
        <w:autoSpaceDN/>
        <w:bidi w:val="0"/>
        <w:adjustRightInd/>
        <w:snapToGrid/>
        <w:spacing w:line="420" w:lineRule="exact"/>
        <w:ind w:left="0" w:leftChars="0" w:firstLine="480" w:firstLineChars="200"/>
        <w:textAlignment w:val="auto"/>
        <w:rPr>
          <w:rFonts w:ascii="仿宋" w:hAnsi="仿宋" w:eastAsia="仿宋"/>
          <w:color w:val="auto"/>
          <w:sz w:val="24"/>
          <w:szCs w:val="24"/>
          <w:highlight w:val="none"/>
        </w:rPr>
      </w:pPr>
      <w:r>
        <w:rPr>
          <w:rFonts w:hint="eastAsia" w:ascii="仿宋" w:hAnsi="仿宋" w:eastAsia="仿宋" w:cs="仿宋"/>
          <w:bCs/>
          <w:color w:val="auto"/>
          <w:sz w:val="24"/>
          <w:szCs w:val="24"/>
          <w:highlight w:val="none"/>
        </w:rPr>
        <w:t>付款方式：</w:t>
      </w:r>
      <w:r>
        <w:rPr>
          <w:rFonts w:hint="eastAsia" w:ascii="仿宋" w:hAnsi="仿宋" w:eastAsia="仿宋"/>
          <w:color w:val="auto"/>
          <w:sz w:val="24"/>
          <w:szCs w:val="24"/>
          <w:highlight w:val="none"/>
        </w:rPr>
        <w:t>按单只工程施工合同价作为取费基数，工程竣工验收合格完成竣工</w:t>
      </w:r>
      <w:r>
        <w:rPr>
          <w:rFonts w:ascii="仿宋" w:hAnsi="仿宋" w:eastAsia="仿宋"/>
          <w:color w:val="auto"/>
          <w:sz w:val="24"/>
          <w:szCs w:val="24"/>
          <w:highlight w:val="none"/>
        </w:rPr>
        <w:t>资料移交归档</w:t>
      </w:r>
      <w:r>
        <w:rPr>
          <w:rFonts w:hint="eastAsia" w:ascii="仿宋" w:hAnsi="仿宋" w:eastAsia="仿宋"/>
          <w:color w:val="auto"/>
          <w:sz w:val="24"/>
          <w:szCs w:val="24"/>
          <w:highlight w:val="none"/>
        </w:rPr>
        <w:t>时后支付监理费用的50%，剩余50%</w:t>
      </w:r>
      <w:r>
        <w:rPr>
          <w:rFonts w:ascii="仿宋" w:hAnsi="仿宋" w:eastAsia="仿宋"/>
          <w:color w:val="auto"/>
          <w:sz w:val="24"/>
          <w:szCs w:val="24"/>
          <w:highlight w:val="none"/>
        </w:rPr>
        <w:t>结算完成后</w:t>
      </w:r>
      <w:r>
        <w:rPr>
          <w:rFonts w:hint="eastAsia" w:ascii="仿宋" w:hAnsi="仿宋" w:eastAsia="仿宋"/>
          <w:color w:val="auto"/>
          <w:sz w:val="24"/>
          <w:szCs w:val="24"/>
          <w:highlight w:val="none"/>
        </w:rPr>
        <w:t>10个工作日内按审计后结算价基数比例支付。</w:t>
      </w:r>
      <w:r>
        <w:rPr>
          <w:rFonts w:ascii="仿宋" w:hAnsi="仿宋" w:eastAsia="仿宋"/>
          <w:color w:val="auto"/>
          <w:sz w:val="24"/>
          <w:szCs w:val="24"/>
          <w:highlight w:val="none"/>
        </w:rPr>
        <w:t>（注：每次支付前监理单位需根据采购人要求</w:t>
      </w:r>
      <w:r>
        <w:rPr>
          <w:rFonts w:hint="eastAsia" w:ascii="仿宋" w:hAnsi="仿宋" w:eastAsia="仿宋"/>
          <w:color w:val="auto"/>
          <w:sz w:val="24"/>
          <w:szCs w:val="24"/>
          <w:highlight w:val="none"/>
        </w:rPr>
        <w:t>提供结算清单及正式的税务发票</w:t>
      </w:r>
      <w:r>
        <w:rPr>
          <w:rFonts w:ascii="仿宋" w:hAnsi="仿宋" w:eastAsia="仿宋"/>
          <w:color w:val="auto"/>
          <w:sz w:val="24"/>
          <w:szCs w:val="24"/>
          <w:highlight w:val="none"/>
        </w:rPr>
        <w:t>，</w:t>
      </w:r>
      <w:r>
        <w:rPr>
          <w:rFonts w:hint="eastAsia" w:ascii="仿宋" w:hAnsi="仿宋" w:eastAsia="仿宋"/>
          <w:color w:val="auto"/>
          <w:sz w:val="24"/>
          <w:szCs w:val="24"/>
          <w:highlight w:val="none"/>
        </w:rPr>
        <w:t>因未按要求提供结算清单及正式的税务发票而引起的延迟付款由监理单位自行承担责任</w:t>
      </w:r>
      <w:r>
        <w:rPr>
          <w:rFonts w:ascii="仿宋" w:hAnsi="仿宋" w:eastAsia="仿宋"/>
          <w:color w:val="auto"/>
          <w:sz w:val="24"/>
          <w:szCs w:val="24"/>
          <w:highlight w:val="none"/>
        </w:rPr>
        <w:t>。）</w:t>
      </w:r>
    </w:p>
    <w:p w14:paraId="6718D983">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最高限价</w:t>
      </w:r>
    </w:p>
    <w:p w14:paraId="5D30A8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本次采购以折扣报价，工程量按实结算，最高（折扣）限价为</w:t>
      </w:r>
      <w:r>
        <w:rPr>
          <w:rFonts w:hint="eastAsia" w:ascii="仿宋" w:hAnsi="仿宋" w:eastAsia="仿宋" w:cs="仿宋"/>
          <w:color w:val="auto"/>
          <w:sz w:val="24"/>
          <w:szCs w:val="24"/>
          <w:highlight w:val="none"/>
          <w:lang w:val="en-US" w:eastAsia="zh-CN"/>
        </w:rPr>
        <w:t>80.00</w:t>
      </w: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，任何超过最高（折扣）限价的报价将被认定为无效报价（报价包括履行本项目所有规定服务所产生的全部税金、利润和费用，投标人应充分考虑并将有关本项目实施所涉及的一切费用均计入报价）。</w:t>
      </w:r>
    </w:p>
    <w:p w14:paraId="78B469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none"/>
          <w:lang w:val="en-US" w:eastAsia="zh-CN"/>
        </w:rPr>
        <w:t>最高合同金额不超过</w:t>
      </w:r>
      <w:r>
        <w:rPr>
          <w:rFonts w:hint="eastAsia" w:ascii="仿宋" w:hAnsi="仿宋" w:eastAsia="仿宋" w:cs="仿宋"/>
          <w:b/>
          <w:bCs/>
          <w:sz w:val="24"/>
          <w:szCs w:val="24"/>
          <w:highlight w:val="none"/>
          <w:u w:val="single"/>
          <w:lang w:val="en-US" w:eastAsia="zh-CN"/>
        </w:rPr>
        <w:t>人民币叁拾万元整（¥300000.00</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bCs/>
          <w:sz w:val="24"/>
          <w:szCs w:val="24"/>
          <w:highlight w:val="none"/>
          <w:u w:val="none"/>
          <w:lang w:val="en-US" w:eastAsia="zh-CN"/>
        </w:rPr>
        <w:t>。</w:t>
      </w:r>
    </w:p>
    <w:p w14:paraId="419D97F6">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考核管理</w:t>
      </w:r>
    </w:p>
    <w:p w14:paraId="7DA4B0FA">
      <w:pPr>
        <w:keepNext w:val="0"/>
        <w:keepLines w:val="0"/>
        <w:pageBreakBefore w:val="0"/>
        <w:widowControl w:val="0"/>
        <w:numPr>
          <w:ilvl w:val="0"/>
          <w:numId w:val="19"/>
        </w:numPr>
        <w:kinsoku/>
        <w:wordWrap/>
        <w:overflowPunct/>
        <w:topLinePunct w:val="0"/>
        <w:autoSpaceDE/>
        <w:autoSpaceDN/>
        <w:bidi w:val="0"/>
        <w:adjustRightInd/>
        <w:snapToGrid/>
        <w:spacing w:line="420" w:lineRule="exact"/>
        <w:ind w:left="0" w:leftChars="0" w:firstLine="468" w:firstLineChars="20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考核办法：年度服务期间根据每个项目考核累计扣分。年度累计扣分在25分（含）以下的为合格，年度累计扣分在25分（不含）以上的为不合格。累计考核为不合格的，采购人可以直接单方取消合同，但所有正在实施的项目合同必须执行完成。对因监理单位工作失职造成重大影响和后果的，由监理单位承担一切责任。</w:t>
      </w:r>
    </w:p>
    <w:p w14:paraId="2BFDF190">
      <w:pPr>
        <w:keepNext w:val="0"/>
        <w:keepLines w:val="0"/>
        <w:pageBreakBefore w:val="0"/>
        <w:widowControl w:val="0"/>
        <w:numPr>
          <w:ilvl w:val="0"/>
          <w:numId w:val="19"/>
        </w:numPr>
        <w:kinsoku/>
        <w:wordWrap/>
        <w:overflowPunct/>
        <w:topLinePunct w:val="0"/>
        <w:autoSpaceDE/>
        <w:autoSpaceDN/>
        <w:bidi w:val="0"/>
        <w:adjustRightInd/>
        <w:snapToGrid/>
        <w:spacing w:line="420" w:lineRule="exact"/>
        <w:ind w:left="0" w:leftChars="0" w:firstLine="468" w:firstLineChars="20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此考核办法作为监理单位的履约情况评定，考核扣分细则详见《监理项目考核评分表》。</w:t>
      </w:r>
    </w:p>
    <w:p w14:paraId="544E266C">
      <w:pPr>
        <w:keepNext w:val="0"/>
        <w:keepLines w:val="0"/>
        <w:pageBreakBefore w:val="0"/>
        <w:widowControl w:val="0"/>
        <w:numPr>
          <w:ilvl w:val="0"/>
          <w:numId w:val="19"/>
        </w:numPr>
        <w:kinsoku/>
        <w:wordWrap/>
        <w:overflowPunct/>
        <w:topLinePunct w:val="0"/>
        <w:autoSpaceDE/>
        <w:autoSpaceDN/>
        <w:bidi w:val="0"/>
        <w:adjustRightInd/>
        <w:snapToGrid/>
        <w:spacing w:line="420" w:lineRule="exact"/>
        <w:ind w:left="0" w:leftChars="0" w:firstLine="468" w:firstLineChars="20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每次考核完成后，采购人宣布考核结果及存在的问题，并限期监理单位整改，如不能及时处理需上报说明原因。经济处罚金额按1000元/次计取，在进度款中扣除，并通知监理单位原因。</w:t>
      </w:r>
    </w:p>
    <w:p w14:paraId="290E5FE7">
      <w:pPr>
        <w:keepNext w:val="0"/>
        <w:keepLines w:val="0"/>
        <w:pageBreakBefore w:val="0"/>
        <w:widowControl w:val="0"/>
        <w:numPr>
          <w:ilvl w:val="0"/>
          <w:numId w:val="19"/>
        </w:numPr>
        <w:kinsoku/>
        <w:wordWrap/>
        <w:overflowPunct/>
        <w:topLinePunct w:val="0"/>
        <w:autoSpaceDE/>
        <w:autoSpaceDN/>
        <w:bidi w:val="0"/>
        <w:adjustRightInd/>
        <w:snapToGrid/>
        <w:spacing w:line="420" w:lineRule="exact"/>
        <w:ind w:left="0" w:leftChars="0" w:firstLine="468" w:firstLineChars="200"/>
        <w:textAlignment w:val="auto"/>
        <w:rPr>
          <w:rFonts w:hint="eastAsia"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项目实施过程中，若采购人根据实际需要对作业规范和考核标准进行修正的，监理单位无条件予以执行。</w:t>
      </w:r>
    </w:p>
    <w:p w14:paraId="63D73859">
      <w:pPr>
        <w:keepNext w:val="0"/>
        <w:keepLines w:val="0"/>
        <w:pageBreakBefore w:val="0"/>
        <w:widowControl w:val="0"/>
        <w:numPr>
          <w:ilvl w:val="0"/>
          <w:numId w:val="19"/>
        </w:numPr>
        <w:kinsoku/>
        <w:wordWrap/>
        <w:overflowPunct/>
        <w:topLinePunct w:val="0"/>
        <w:autoSpaceDE/>
        <w:autoSpaceDN/>
        <w:bidi w:val="0"/>
        <w:adjustRightInd/>
        <w:snapToGrid/>
        <w:spacing w:line="420" w:lineRule="exact"/>
        <w:ind w:left="0" w:leftChars="0" w:firstLine="468"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spacing w:val="-3"/>
          <w:sz w:val="24"/>
          <w:szCs w:val="24"/>
          <w:highlight w:val="none"/>
          <w:lang w:val="en-US" w:eastAsia="zh-CN"/>
        </w:rPr>
        <w:t>监理项目考核评分表</w:t>
      </w:r>
    </w:p>
    <w:tbl>
      <w:tblPr>
        <w:tblStyle w:val="87"/>
        <w:tblW w:w="97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13"/>
        <w:gridCol w:w="5235"/>
        <w:gridCol w:w="1215"/>
        <w:gridCol w:w="1320"/>
      </w:tblGrid>
      <w:tr w14:paraId="52DFC4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50" w:type="dxa"/>
            <w:noWrap w:val="0"/>
            <w:vAlign w:val="center"/>
          </w:tcPr>
          <w:p w14:paraId="498078AF">
            <w:pPr>
              <w:keepNext w:val="0"/>
              <w:keepLines w:val="0"/>
              <w:pageBreakBefore w:val="0"/>
              <w:kinsoku/>
              <w:wordWrap/>
              <w:overflowPunct/>
              <w:topLinePunct w:val="0"/>
              <w:autoSpaceDE/>
              <w:autoSpaceDN/>
              <w:bidi w:val="0"/>
              <w:adjustRightInd w:val="0"/>
              <w:snapToGrid w:val="0"/>
              <w:spacing w:before="52"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1213" w:type="dxa"/>
            <w:noWrap w:val="0"/>
            <w:vAlign w:val="center"/>
          </w:tcPr>
          <w:p w14:paraId="51C3DE0A">
            <w:pPr>
              <w:keepNext w:val="0"/>
              <w:keepLines w:val="0"/>
              <w:pageBreakBefore w:val="0"/>
              <w:kinsoku/>
              <w:wordWrap/>
              <w:overflowPunct/>
              <w:topLinePunct w:val="0"/>
              <w:autoSpaceDE/>
              <w:autoSpaceDN/>
              <w:bidi w:val="0"/>
              <w:adjustRightInd w:val="0"/>
              <w:snapToGrid w:val="0"/>
              <w:spacing w:before="52"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考核内容</w:t>
            </w:r>
          </w:p>
        </w:tc>
        <w:tc>
          <w:tcPr>
            <w:tcW w:w="5235" w:type="dxa"/>
            <w:noWrap w:val="0"/>
            <w:vAlign w:val="center"/>
          </w:tcPr>
          <w:p w14:paraId="1FC39DB9">
            <w:pPr>
              <w:keepNext w:val="0"/>
              <w:keepLines w:val="0"/>
              <w:pageBreakBefore w:val="0"/>
              <w:kinsoku/>
              <w:wordWrap/>
              <w:overflowPunct/>
              <w:topLinePunct w:val="0"/>
              <w:autoSpaceDE/>
              <w:autoSpaceDN/>
              <w:bidi w:val="0"/>
              <w:adjustRightInd w:val="0"/>
              <w:snapToGrid w:val="0"/>
              <w:spacing w:before="52"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r>
              <w:rPr>
                <w:rFonts w:hint="eastAsia" w:ascii="仿宋" w:hAnsi="仿宋" w:eastAsia="仿宋" w:cs="仿宋"/>
                <w:b/>
                <w:bCs/>
                <w:color w:val="auto"/>
                <w:sz w:val="24"/>
                <w:szCs w:val="24"/>
                <w:highlight w:val="none"/>
                <w:lang w:val="en-US" w:eastAsia="zh-CN"/>
              </w:rPr>
              <w:t xml:space="preserve">级 </w:t>
            </w:r>
            <w:r>
              <w:rPr>
                <w:rFonts w:hint="eastAsia" w:ascii="仿宋" w:hAnsi="仿宋" w:eastAsia="仿宋" w:cs="仿宋"/>
                <w:b/>
                <w:bCs/>
                <w:color w:val="auto"/>
                <w:sz w:val="24"/>
                <w:szCs w:val="24"/>
                <w:highlight w:val="none"/>
              </w:rPr>
              <w:t>扣分标准</w:t>
            </w:r>
          </w:p>
        </w:tc>
        <w:tc>
          <w:tcPr>
            <w:tcW w:w="1215" w:type="dxa"/>
            <w:noWrap w:val="0"/>
            <w:vAlign w:val="center"/>
          </w:tcPr>
          <w:p w14:paraId="5EDF637C">
            <w:pPr>
              <w:keepNext w:val="0"/>
              <w:keepLines w:val="0"/>
              <w:pageBreakBefore w:val="0"/>
              <w:kinsoku/>
              <w:wordWrap/>
              <w:overflowPunct/>
              <w:topLinePunct w:val="0"/>
              <w:autoSpaceDE/>
              <w:autoSpaceDN/>
              <w:bidi w:val="0"/>
              <w:adjustRightInd w:val="0"/>
              <w:snapToGrid w:val="0"/>
              <w:spacing w:before="52"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考核扣分</w:t>
            </w:r>
          </w:p>
        </w:tc>
        <w:tc>
          <w:tcPr>
            <w:tcW w:w="1320" w:type="dxa"/>
            <w:noWrap w:val="0"/>
            <w:vAlign w:val="center"/>
          </w:tcPr>
          <w:p w14:paraId="43508992">
            <w:pPr>
              <w:keepNext w:val="0"/>
              <w:keepLines w:val="0"/>
              <w:pageBreakBefore w:val="0"/>
              <w:kinsoku/>
              <w:wordWrap/>
              <w:overflowPunct/>
              <w:topLinePunct w:val="0"/>
              <w:autoSpaceDE/>
              <w:autoSpaceDN/>
              <w:bidi w:val="0"/>
              <w:adjustRightInd w:val="0"/>
              <w:snapToGrid w:val="0"/>
              <w:spacing w:before="52"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考核得分</w:t>
            </w:r>
          </w:p>
        </w:tc>
      </w:tr>
      <w:tr w14:paraId="2BC41C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56543D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val="en-US" w:eastAsia="zh-CN"/>
              </w:rPr>
              <w:t>1</w:t>
            </w:r>
          </w:p>
        </w:tc>
        <w:tc>
          <w:tcPr>
            <w:tcW w:w="1213" w:type="dxa"/>
            <w:vMerge w:val="restart"/>
            <w:noWrap w:val="0"/>
            <w:vAlign w:val="center"/>
          </w:tcPr>
          <w:p w14:paraId="061C271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p w14:paraId="14F6238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隐蔽工程</w:t>
            </w:r>
          </w:p>
          <w:p w14:paraId="7A6E60C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监理</w:t>
            </w:r>
          </w:p>
          <w:p w14:paraId="277A85E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（20分）</w:t>
            </w:r>
          </w:p>
        </w:tc>
        <w:tc>
          <w:tcPr>
            <w:tcW w:w="5235" w:type="dxa"/>
            <w:noWrap w:val="0"/>
            <w:vAlign w:val="center"/>
          </w:tcPr>
          <w:p w14:paraId="72675DD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1.未对隐蔽工程实行全过程旁站，每次扣5分。</w:t>
            </w:r>
          </w:p>
        </w:tc>
        <w:tc>
          <w:tcPr>
            <w:tcW w:w="1215" w:type="dxa"/>
            <w:noWrap w:val="0"/>
            <w:vAlign w:val="center"/>
          </w:tcPr>
          <w:p w14:paraId="4A51C60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1BBB63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76E809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7527306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16D3B7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72B521D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2.未对隐蔽工程关键工序留存清晰、连续的影像资料，或资料无法反映施工实况，每次扣3分。                </w:t>
            </w:r>
          </w:p>
        </w:tc>
        <w:tc>
          <w:tcPr>
            <w:tcW w:w="1215" w:type="dxa"/>
            <w:noWrap w:val="0"/>
            <w:vAlign w:val="center"/>
          </w:tcPr>
          <w:p w14:paraId="095B88A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5177662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62DD46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3AD2AB2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4E28159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09E86C5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pacing w:val="-1"/>
                <w:sz w:val="24"/>
                <w:szCs w:val="24"/>
                <w:highlight w:val="none"/>
                <w:lang w:val="en-US" w:eastAsia="zh-CN"/>
              </w:rPr>
            </w:pPr>
            <w:r>
              <w:rPr>
                <w:rFonts w:hint="default" w:ascii="仿宋" w:hAnsi="仿宋" w:eastAsia="仿宋" w:cs="仿宋"/>
                <w:color w:val="auto"/>
                <w:spacing w:val="-1"/>
                <w:sz w:val="24"/>
                <w:szCs w:val="24"/>
                <w:highlight w:val="none"/>
                <w:lang w:val="en-US" w:eastAsia="zh-CN"/>
              </w:rPr>
              <w:t>3.影像资料未按工程、工序分类归档，移交混乱，</w:t>
            </w:r>
            <w:r>
              <w:rPr>
                <w:rFonts w:hint="eastAsia" w:ascii="仿宋" w:hAnsi="仿宋" w:eastAsia="仿宋" w:cs="仿宋"/>
                <w:color w:val="auto"/>
                <w:spacing w:val="-1"/>
                <w:sz w:val="24"/>
                <w:szCs w:val="24"/>
                <w:highlight w:val="none"/>
                <w:lang w:val="en-US" w:eastAsia="zh-CN"/>
              </w:rPr>
              <w:t>每次</w:t>
            </w:r>
            <w:r>
              <w:rPr>
                <w:rFonts w:hint="default" w:ascii="仿宋" w:hAnsi="仿宋" w:eastAsia="仿宋" w:cs="仿宋"/>
                <w:color w:val="auto"/>
                <w:spacing w:val="-1"/>
                <w:sz w:val="24"/>
                <w:szCs w:val="24"/>
                <w:highlight w:val="none"/>
                <w:lang w:val="en-US" w:eastAsia="zh-CN"/>
              </w:rPr>
              <w:t>扣2分。</w:t>
            </w:r>
          </w:p>
        </w:tc>
        <w:tc>
          <w:tcPr>
            <w:tcW w:w="1215" w:type="dxa"/>
            <w:noWrap w:val="0"/>
            <w:vAlign w:val="center"/>
          </w:tcPr>
          <w:p w14:paraId="610C3B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46E7AF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0ED4E5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5B76514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2</w:t>
            </w:r>
          </w:p>
        </w:tc>
        <w:tc>
          <w:tcPr>
            <w:tcW w:w="1213" w:type="dxa"/>
            <w:vMerge w:val="restart"/>
            <w:noWrap w:val="0"/>
            <w:vAlign w:val="center"/>
          </w:tcPr>
          <w:p w14:paraId="25C0FDB3">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验收与签字权限</w:t>
            </w:r>
          </w:p>
          <w:p w14:paraId="5673903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235" w:type="dxa"/>
            <w:noWrap w:val="0"/>
            <w:vAlign w:val="center"/>
          </w:tcPr>
          <w:p w14:paraId="1D8C4F9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1.未经现场验收即签字确认隐蔽工程，每次扣10分。</w:t>
            </w:r>
            <w:r>
              <w:rPr>
                <w:rFonts w:hint="eastAsia" w:ascii="仿宋" w:hAnsi="仿宋" w:eastAsia="仿宋" w:cs="仿宋"/>
                <w:color w:val="auto"/>
                <w:spacing w:val="-1"/>
                <w:sz w:val="24"/>
                <w:szCs w:val="24"/>
                <w:highlight w:val="none"/>
                <w:lang w:val="en-US" w:eastAsia="zh-CN"/>
              </w:rPr>
              <w:tab/>
            </w:r>
            <w:r>
              <w:rPr>
                <w:rFonts w:hint="eastAsia" w:ascii="仿宋" w:hAnsi="仿宋" w:eastAsia="仿宋" w:cs="仿宋"/>
                <w:color w:val="auto"/>
                <w:spacing w:val="-1"/>
                <w:sz w:val="24"/>
                <w:szCs w:val="24"/>
                <w:highlight w:val="none"/>
                <w:lang w:val="en-US" w:eastAsia="zh-CN"/>
              </w:rPr>
              <w:t xml:space="preserve">    </w:t>
            </w:r>
          </w:p>
        </w:tc>
        <w:tc>
          <w:tcPr>
            <w:tcW w:w="1215" w:type="dxa"/>
            <w:vMerge w:val="restart"/>
            <w:noWrap w:val="0"/>
            <w:vAlign w:val="center"/>
          </w:tcPr>
          <w:p w14:paraId="1DF8272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153C96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111FC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4C7FC6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44193B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2C2593B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2.默许或纵容施工单位在未验收情况下进行下道工序，每次扣5分。</w:t>
            </w:r>
          </w:p>
        </w:tc>
        <w:tc>
          <w:tcPr>
            <w:tcW w:w="1215" w:type="dxa"/>
            <w:vMerge w:val="continue"/>
            <w:noWrap w:val="0"/>
            <w:vAlign w:val="center"/>
          </w:tcPr>
          <w:p w14:paraId="05D19A7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00D113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52586E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0A56F4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3</w:t>
            </w:r>
          </w:p>
        </w:tc>
        <w:tc>
          <w:tcPr>
            <w:tcW w:w="1213" w:type="dxa"/>
            <w:vMerge w:val="restart"/>
            <w:noWrap w:val="0"/>
            <w:vAlign w:val="center"/>
          </w:tcPr>
          <w:p w14:paraId="5F2C7E54">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问题发现与报告</w:t>
            </w:r>
          </w:p>
          <w:p w14:paraId="7B71088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5235" w:type="dxa"/>
            <w:noWrap w:val="0"/>
            <w:vAlign w:val="center"/>
          </w:tcPr>
          <w:p w14:paraId="62A11A3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1.未及时发现重大质量/安全隐患，每次扣3分。</w:t>
            </w:r>
          </w:p>
        </w:tc>
        <w:tc>
          <w:tcPr>
            <w:tcW w:w="1215" w:type="dxa"/>
            <w:noWrap w:val="0"/>
            <w:vAlign w:val="center"/>
          </w:tcPr>
          <w:p w14:paraId="5E0370B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1C4B9E0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71F2A0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0BF829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2E66D41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33A0698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2.发现质量问题后未在24小时内签发书面《监理通知单》，每次扣2分。</w:t>
            </w:r>
          </w:p>
        </w:tc>
        <w:tc>
          <w:tcPr>
            <w:tcW w:w="1215" w:type="dxa"/>
            <w:noWrap w:val="0"/>
            <w:vAlign w:val="center"/>
          </w:tcPr>
          <w:p w14:paraId="3D3F10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6D5C69A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2B993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5B39EFF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5A5C64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74BD15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3.发出通知后未有效跟踪、验证整改结果，导致问题整改未闭环，每次扣2分。</w:t>
            </w:r>
          </w:p>
        </w:tc>
        <w:tc>
          <w:tcPr>
            <w:tcW w:w="1215" w:type="dxa"/>
            <w:noWrap w:val="0"/>
            <w:vAlign w:val="center"/>
          </w:tcPr>
          <w:p w14:paraId="22A59D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0907D2D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1EFC1E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68FDCCF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4</w:t>
            </w:r>
          </w:p>
        </w:tc>
        <w:tc>
          <w:tcPr>
            <w:tcW w:w="1213" w:type="dxa"/>
            <w:vMerge w:val="restart"/>
            <w:noWrap w:val="0"/>
            <w:vAlign w:val="center"/>
          </w:tcPr>
          <w:p w14:paraId="0E9DDE53">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工作配合与主动性</w:t>
            </w:r>
          </w:p>
          <w:p w14:paraId="057DB1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235" w:type="dxa"/>
            <w:noWrap w:val="0"/>
            <w:vAlign w:val="center"/>
          </w:tcPr>
          <w:p w14:paraId="5FFBE55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1.无正当理由，未能按施工单位合理通知时间到场进行旁站或验收，每次扣3分。</w:t>
            </w:r>
          </w:p>
        </w:tc>
        <w:tc>
          <w:tcPr>
            <w:tcW w:w="1215" w:type="dxa"/>
            <w:noWrap w:val="0"/>
            <w:vAlign w:val="center"/>
          </w:tcPr>
          <w:p w14:paraId="5E6054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kern w:val="2"/>
                <w:sz w:val="24"/>
                <w:szCs w:val="24"/>
                <w:highlight w:val="none"/>
                <w:lang w:val="en-US" w:eastAsia="zh-CN" w:bidi="ar-SA"/>
              </w:rPr>
            </w:pPr>
          </w:p>
          <w:p w14:paraId="678E93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55F1921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4EBDC0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2E3ACF1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181E073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1C5F99E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2.对施工单位提出的合理技术咨询、协调需求，消极推诿、响应迟缓，每次扣2分。</w:t>
            </w:r>
          </w:p>
        </w:tc>
        <w:tc>
          <w:tcPr>
            <w:tcW w:w="1215" w:type="dxa"/>
            <w:noWrap w:val="0"/>
            <w:vAlign w:val="center"/>
          </w:tcPr>
          <w:p w14:paraId="06C966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kern w:val="2"/>
                <w:sz w:val="24"/>
                <w:szCs w:val="24"/>
                <w:highlight w:val="none"/>
                <w:lang w:val="en-US" w:eastAsia="zh-CN" w:bidi="ar-SA"/>
              </w:rPr>
            </w:pPr>
          </w:p>
        </w:tc>
        <w:tc>
          <w:tcPr>
            <w:tcW w:w="1320" w:type="dxa"/>
            <w:vMerge w:val="continue"/>
            <w:noWrap w:val="0"/>
            <w:vAlign w:val="center"/>
          </w:tcPr>
          <w:p w14:paraId="3DA03C6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1A81B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6F9ABF6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5</w:t>
            </w:r>
          </w:p>
        </w:tc>
        <w:tc>
          <w:tcPr>
            <w:tcW w:w="1213" w:type="dxa"/>
            <w:vMerge w:val="restart"/>
            <w:noWrap w:val="0"/>
            <w:vAlign w:val="center"/>
          </w:tcPr>
          <w:p w14:paraId="7E31A4E3">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验收与签字权限</w:t>
            </w:r>
          </w:p>
          <w:p w14:paraId="1BCA36E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5235" w:type="dxa"/>
            <w:noWrap w:val="0"/>
            <w:vAlign w:val="center"/>
          </w:tcPr>
          <w:p w14:paraId="733AA0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1.监理日志记录不真实、不完整、与施工实际情况严重不符，每次扣3分。</w:t>
            </w:r>
          </w:p>
        </w:tc>
        <w:tc>
          <w:tcPr>
            <w:tcW w:w="1215" w:type="dxa"/>
            <w:noWrap w:val="0"/>
            <w:vAlign w:val="center"/>
          </w:tcPr>
          <w:p w14:paraId="4AF5569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127328F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2233C5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4FBEDE2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0C57B0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2E063D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2.监理日志与施工日志、影像资料在关键内容上存在矛盾，每次扣2分。</w:t>
            </w:r>
          </w:p>
        </w:tc>
        <w:tc>
          <w:tcPr>
            <w:tcW w:w="1215" w:type="dxa"/>
            <w:noWrap w:val="0"/>
            <w:vAlign w:val="center"/>
          </w:tcPr>
          <w:p w14:paraId="4B4DCAF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33FB26A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5B2FA4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6A10B5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val="en-US" w:eastAsia="zh-CN"/>
              </w:rPr>
              <w:t>6</w:t>
            </w:r>
          </w:p>
        </w:tc>
        <w:tc>
          <w:tcPr>
            <w:tcW w:w="1213" w:type="dxa"/>
            <w:vMerge w:val="restart"/>
            <w:noWrap w:val="0"/>
            <w:vAlign w:val="center"/>
          </w:tcPr>
          <w:p w14:paraId="28BDAF54">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人员到位与履职</w:t>
            </w:r>
          </w:p>
          <w:p w14:paraId="1EEDF1E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235" w:type="dxa"/>
            <w:noWrap w:val="0"/>
            <w:vAlign w:val="center"/>
          </w:tcPr>
          <w:p w14:paraId="440FD34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1.总监理工程师月到位率不足23天，或缺席重要节点验收，每次扣2分。</w:t>
            </w:r>
            <w:r>
              <w:rPr>
                <w:rFonts w:hint="eastAsia" w:ascii="仿宋" w:hAnsi="仿宋" w:eastAsia="仿宋" w:cs="仿宋"/>
                <w:color w:val="auto"/>
                <w:spacing w:val="-1"/>
                <w:sz w:val="24"/>
                <w:szCs w:val="24"/>
                <w:highlight w:val="none"/>
                <w:lang w:val="en-US" w:eastAsia="zh-CN"/>
              </w:rPr>
              <w:tab/>
            </w:r>
          </w:p>
        </w:tc>
        <w:tc>
          <w:tcPr>
            <w:tcW w:w="1215" w:type="dxa"/>
            <w:noWrap w:val="0"/>
            <w:vAlign w:val="center"/>
          </w:tcPr>
          <w:p w14:paraId="0A438B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64C4FB0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29CFE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329EEE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543AA6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040D3D3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2.现场监理人员不具备相应资格或能力，扣5分。</w:t>
            </w:r>
          </w:p>
        </w:tc>
        <w:tc>
          <w:tcPr>
            <w:tcW w:w="1215" w:type="dxa"/>
            <w:noWrap w:val="0"/>
            <w:vAlign w:val="center"/>
          </w:tcPr>
          <w:p w14:paraId="318C4BB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0CB347B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20EC1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4EF34E7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7</w:t>
            </w:r>
          </w:p>
        </w:tc>
        <w:tc>
          <w:tcPr>
            <w:tcW w:w="1213" w:type="dxa"/>
            <w:vMerge w:val="restart"/>
            <w:noWrap w:val="0"/>
            <w:vAlign w:val="center"/>
          </w:tcPr>
          <w:p w14:paraId="378C87BC">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进度与投资控制</w:t>
            </w:r>
          </w:p>
          <w:p w14:paraId="2533544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235" w:type="dxa"/>
            <w:noWrap w:val="0"/>
            <w:vAlign w:val="center"/>
          </w:tcPr>
          <w:p w14:paraId="314B480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1.对施工单位上报的进度款、工程量审核严重失准，每次扣2分。       </w:t>
            </w:r>
          </w:p>
        </w:tc>
        <w:tc>
          <w:tcPr>
            <w:tcW w:w="1215" w:type="dxa"/>
            <w:noWrap w:val="0"/>
            <w:vAlign w:val="center"/>
          </w:tcPr>
          <w:p w14:paraId="57D3CEB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54F8AFA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7D1C06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50839DC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67C5C3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7050170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2.对工程变更、签证审核不严，造成投资失控，每次扣3分。</w:t>
            </w:r>
          </w:p>
        </w:tc>
        <w:tc>
          <w:tcPr>
            <w:tcW w:w="1215" w:type="dxa"/>
            <w:noWrap w:val="0"/>
            <w:vAlign w:val="center"/>
          </w:tcPr>
          <w:p w14:paraId="076B598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272E0A9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717D4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restart"/>
            <w:noWrap w:val="0"/>
            <w:vAlign w:val="center"/>
          </w:tcPr>
          <w:p w14:paraId="220A373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8</w:t>
            </w:r>
          </w:p>
        </w:tc>
        <w:tc>
          <w:tcPr>
            <w:tcW w:w="1213" w:type="dxa"/>
            <w:vMerge w:val="restart"/>
            <w:noWrap w:val="0"/>
            <w:vAlign w:val="center"/>
          </w:tcPr>
          <w:p w14:paraId="3DA76893">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sz w:val="24"/>
                <w:szCs w:val="24"/>
              </w:rPr>
            </w:pPr>
            <w:r>
              <w:rPr>
                <w:rFonts w:hint="eastAsia" w:ascii="仿宋" w:hAnsi="仿宋" w:eastAsia="仿宋" w:cs="仿宋"/>
                <w:sz w:val="24"/>
                <w:szCs w:val="24"/>
              </w:rPr>
              <w:t>廉洁与职业操守</w:t>
            </w:r>
          </w:p>
          <w:p w14:paraId="222A18ED">
            <w:pPr>
              <w:keepNext w:val="0"/>
              <w:keepLines w:val="0"/>
              <w:pageBreakBefore w:val="0"/>
              <w:widowControl w:val="0"/>
              <w:shd w:val="clear" w:color="auto" w:fill="auto"/>
              <w:kinsoku/>
              <w:wordWrap/>
              <w:overflowPunct/>
              <w:topLinePunct w:val="0"/>
              <w:autoSpaceDE/>
              <w:autoSpaceDN/>
              <w:bidi w:val="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5235" w:type="dxa"/>
            <w:noWrap w:val="0"/>
            <w:vAlign w:val="center"/>
          </w:tcPr>
          <w:p w14:paraId="7600E27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1.有证据表明存在“吃、拿、卡、要”等不廉洁行为，本项得0分，并解除合同。             </w:t>
            </w:r>
          </w:p>
        </w:tc>
        <w:tc>
          <w:tcPr>
            <w:tcW w:w="1215" w:type="dxa"/>
            <w:noWrap w:val="0"/>
            <w:vAlign w:val="center"/>
          </w:tcPr>
          <w:p w14:paraId="4C9E15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restart"/>
            <w:noWrap w:val="0"/>
            <w:vAlign w:val="center"/>
          </w:tcPr>
          <w:p w14:paraId="391FC9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5C3AF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0" w:type="dxa"/>
            <w:vMerge w:val="continue"/>
            <w:noWrap w:val="0"/>
            <w:vAlign w:val="center"/>
          </w:tcPr>
          <w:p w14:paraId="409C4F3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5"/>
                <w:sz w:val="24"/>
                <w:szCs w:val="24"/>
                <w:highlight w:val="none"/>
                <w:lang w:eastAsia="zh-CN"/>
              </w:rPr>
            </w:pPr>
          </w:p>
        </w:tc>
        <w:tc>
          <w:tcPr>
            <w:tcW w:w="1213" w:type="dxa"/>
            <w:vMerge w:val="continue"/>
            <w:noWrap w:val="0"/>
            <w:vAlign w:val="center"/>
          </w:tcPr>
          <w:p w14:paraId="281CE9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5235" w:type="dxa"/>
            <w:noWrap w:val="0"/>
            <w:vAlign w:val="center"/>
          </w:tcPr>
          <w:p w14:paraId="4A0F29D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2.与被监理方同食宿，或费用由被监理方承担，每次扣5分。</w:t>
            </w:r>
          </w:p>
        </w:tc>
        <w:tc>
          <w:tcPr>
            <w:tcW w:w="1215" w:type="dxa"/>
            <w:noWrap w:val="0"/>
            <w:vAlign w:val="center"/>
          </w:tcPr>
          <w:p w14:paraId="54EB48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c>
          <w:tcPr>
            <w:tcW w:w="1320" w:type="dxa"/>
            <w:vMerge w:val="continue"/>
            <w:noWrap w:val="0"/>
            <w:vAlign w:val="center"/>
          </w:tcPr>
          <w:p w14:paraId="650974B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5DD83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noWrap w:val="0"/>
            <w:vAlign w:val="center"/>
          </w:tcPr>
          <w:p w14:paraId="6BD01D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9</w:t>
            </w:r>
          </w:p>
        </w:tc>
        <w:tc>
          <w:tcPr>
            <w:tcW w:w="1213" w:type="dxa"/>
            <w:noWrap w:val="0"/>
            <w:vAlign w:val="center"/>
          </w:tcPr>
          <w:p w14:paraId="67BFCC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rPr>
              <w:t>合计</w:t>
            </w:r>
            <w:r>
              <w:rPr>
                <w:rFonts w:hint="eastAsia" w:ascii="仿宋" w:hAnsi="仿宋" w:eastAsia="仿宋" w:cs="仿宋"/>
                <w:color w:val="auto"/>
                <w:sz w:val="24"/>
                <w:szCs w:val="24"/>
                <w:highlight w:val="none"/>
                <w:lang w:val="en-US" w:eastAsia="zh-CN"/>
              </w:rPr>
              <w:t>得分</w:t>
            </w:r>
          </w:p>
        </w:tc>
        <w:tc>
          <w:tcPr>
            <w:tcW w:w="7770" w:type="dxa"/>
            <w:gridSpan w:val="3"/>
            <w:noWrap w:val="0"/>
            <w:vAlign w:val="center"/>
          </w:tcPr>
          <w:p w14:paraId="4CF8A7D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r w14:paraId="72A4B0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0" w:type="dxa"/>
            <w:noWrap w:val="0"/>
            <w:vAlign w:val="center"/>
          </w:tcPr>
          <w:p w14:paraId="74D100F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10</w:t>
            </w:r>
          </w:p>
        </w:tc>
        <w:tc>
          <w:tcPr>
            <w:tcW w:w="1213" w:type="dxa"/>
            <w:noWrap w:val="0"/>
            <w:vAlign w:val="center"/>
          </w:tcPr>
          <w:p w14:paraId="07D710B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z w:val="24"/>
                <w:szCs w:val="24"/>
                <w:highlight w:val="none"/>
                <w:lang w:val="en-US" w:eastAsia="zh-CN"/>
              </w:rPr>
              <w:t>考核日期</w:t>
            </w:r>
          </w:p>
        </w:tc>
        <w:tc>
          <w:tcPr>
            <w:tcW w:w="7770" w:type="dxa"/>
            <w:gridSpan w:val="3"/>
            <w:noWrap w:val="0"/>
            <w:vAlign w:val="center"/>
          </w:tcPr>
          <w:p w14:paraId="4E10AE1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pacing w:val="-1"/>
                <w:sz w:val="24"/>
                <w:szCs w:val="24"/>
                <w:highlight w:val="none"/>
                <w:lang w:val="en-US" w:eastAsia="zh-CN"/>
              </w:rPr>
            </w:pPr>
          </w:p>
        </w:tc>
      </w:tr>
    </w:tbl>
    <w:p w14:paraId="73AE09ED">
      <w:pPr>
        <w:keepNext w:val="0"/>
        <w:keepLines w:val="0"/>
        <w:pageBreakBefore w:val="0"/>
        <w:widowControl w:val="0"/>
        <w:numPr>
          <w:ilvl w:val="0"/>
          <w:numId w:val="9"/>
        </w:numPr>
        <w:kinsoku w:val="0"/>
        <w:wordWrap/>
        <w:overflowPunct w:val="0"/>
        <w:topLinePunct w:val="0"/>
        <w:autoSpaceDE w:val="0"/>
        <w:autoSpaceDN w:val="0"/>
        <w:bidi w:val="0"/>
        <w:adjustRightInd w:val="0"/>
        <w:snapToGrid/>
        <w:spacing w:line="420" w:lineRule="exact"/>
        <w:ind w:left="0" w:lef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特别说明</w:t>
      </w:r>
    </w:p>
    <w:p w14:paraId="6A471754">
      <w:pPr>
        <w:pStyle w:val="26"/>
        <w:keepNext w:val="0"/>
        <w:keepLines w:val="0"/>
        <w:pageBreakBefore w:val="0"/>
        <w:widowControl w:val="0"/>
        <w:numPr>
          <w:ilvl w:val="0"/>
          <w:numId w:val="0"/>
        </w:numPr>
        <w:tabs>
          <w:tab w:val="left" w:pos="0"/>
        </w:tabs>
        <w:kinsoku w:val="0"/>
        <w:wordWrap/>
        <w:overflowPunct w:val="0"/>
        <w:topLinePunct w:val="0"/>
        <w:autoSpaceDE w:val="0"/>
        <w:autoSpaceDN w:val="0"/>
        <w:bidi w:val="0"/>
        <w:adjustRightInd/>
        <w:snapToGrid/>
        <w:spacing w:before="0" w:beforeLines="0" w:beforeAutospacing="0" w:after="0" w:afterLines="0" w:afterAutospacing="0" w:line="420" w:lineRule="exact"/>
        <w:ind w:left="0" w:leftChars="0"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color w:val="auto"/>
          <w:sz w:val="24"/>
          <w:szCs w:val="24"/>
          <w:highlight w:val="none"/>
        </w:rPr>
        <w:t>本采购需求中标注“★”项为实质性要求条款，必须作出实质性响应。若其中任意一条打“★”的条款不满足（或出现“负偏离”）则投标无效。</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须在</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中提供相关证明材料复印件或作出相关承诺（承诺函格式自拟），未提供相关证明材料复印件或相关承诺（或承诺内容不符）均作无效投标处理</w:t>
      </w:r>
      <w:bookmarkStart w:id="0" w:name="_GoBack"/>
      <w:bookmarkEnd w:id="0"/>
      <w:r>
        <w:rPr>
          <w:rFonts w:hint="eastAsia" w:ascii="仿宋" w:hAnsi="仿宋" w:eastAsia="仿宋" w:cs="仿宋"/>
          <w:b/>
          <w:color w:val="auto"/>
          <w:sz w:val="24"/>
          <w:szCs w:val="24"/>
          <w:highlight w:val="none"/>
        </w:rPr>
        <w:t>。</w:t>
      </w:r>
    </w:p>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entury">
    <w:altName w:val="Times New Roman"/>
    <w:panose1 w:val="02040604050505020304"/>
    <w:charset w:val="00"/>
    <w:family w:val="roman"/>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7AC9">
    <w:pPr>
      <w:pStyle w:val="19"/>
      <w:jc w:val="center"/>
    </w:pPr>
  </w:p>
  <w:p w14:paraId="3325DC0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D6EF">
    <w:pPr>
      <w:pStyle w:val="19"/>
      <w:jc w:val="center"/>
    </w:pPr>
  </w:p>
  <w:p w14:paraId="4FD9981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3764">
    <w:pPr>
      <w:pStyle w:val="19"/>
      <w:tabs>
        <w:tab w:val="clear" w:pos="4153"/>
      </w:tabs>
      <w:ind w:right="360"/>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2937510</wp:posOffset>
              </wp:positionH>
              <wp:positionV relativeFrom="paragraph">
                <wp:posOffset>0</wp:posOffset>
              </wp:positionV>
              <wp:extent cx="282575"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25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0541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1.3pt;margin-top:0pt;height:13.1pt;width:22.25pt;mso-position-horizontal-relative:margin;z-index:251659264;mso-width-relative:page;mso-height-relative:page;" filled="f" stroked="f" coordsize="21600,21600" o:gfxdata="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x881XWAAAABwEAAA8AAAAAAAAAAQAgAAAAIgAAAGRycy9kb3ducmV2&#10;LnhtbFBLAQIUABQAAAAIAIdO4kDWWu2dNwIAAGEEAAAOAAAAAAAAAAEAIAAAACUBAABkcnMvZTJv&#10;RG9jLnhtbFBLBQYAAAAABgAGAFkBAADOBQAAAAA=&#10;">
              <v:fill on="f" focussize="0,0"/>
              <v:stroke on="f" weight="0.5pt"/>
              <v:imagedata o:title=""/>
              <o:lock v:ext="edit" aspectratio="f"/>
              <v:textbox inset="0mm,0mm,0mm,0mm">
                <w:txbxContent>
                  <w:p w14:paraId="0150541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169A">
    <w:pPr>
      <w:pStyle w:val="20"/>
      <w:rPr>
        <w:rFonts w:hint="eastAsia" w:ascii="宋体" w:hAnsi="宋体" w:eastAsia="宋体" w:cs="宋体"/>
        <w:sz w:val="21"/>
        <w:szCs w:val="21"/>
      </w:rPr>
    </w:pPr>
    <w:r>
      <w:rPr>
        <w:rFonts w:hint="eastAsia" w:ascii="宋体" w:hAnsi="宋体" w:eastAsia="宋体" w:cs="宋体"/>
        <w:sz w:val="21"/>
        <w:szCs w:val="21"/>
      </w:rPr>
      <w:t>诸暨市宸佳工程管理有限公司采购要素文件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4411">
    <w:pPr>
      <w:pStyle w:val="20"/>
      <w:rPr>
        <w:rFonts w:hint="eastAsia" w:ascii="宋体" w:hAnsi="宋体" w:eastAsia="宋体" w:cs="宋体"/>
        <w:lang w:val="en-US" w:eastAsia="zh-CN"/>
      </w:rPr>
    </w:pPr>
    <w:r>
      <w:rPr>
        <w:rFonts w:hint="eastAsia" w:ascii="宋体" w:hAnsi="宋体" w:eastAsia="宋体" w:cs="宋体"/>
        <w:sz w:val="21"/>
        <w:szCs w:val="21"/>
      </w:rPr>
      <w:t>诸暨市宸佳工程管理有限公司采购要素文</w:t>
    </w:r>
    <w:r>
      <w:rPr>
        <w:rFonts w:hint="eastAsia" w:ascii="宋体" w:hAnsi="宋体" w:cs="宋体"/>
        <w:sz w:val="21"/>
        <w:szCs w:val="21"/>
        <w:lang w:val="en-US" w:eastAsia="zh-CN"/>
      </w:rPr>
      <w:t>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871FF"/>
    <w:multiLevelType w:val="singleLevel"/>
    <w:tmpl w:val="80E871FF"/>
    <w:lvl w:ilvl="0" w:tentative="0">
      <w:start w:val="1"/>
      <w:numFmt w:val="decimal"/>
      <w:suff w:val="nothing"/>
      <w:lvlText w:val="%1．"/>
      <w:lvlJc w:val="left"/>
      <w:pPr>
        <w:ind w:left="0" w:firstLine="0"/>
      </w:pPr>
      <w:rPr>
        <w:rFonts w:hint="default" w:ascii="仿宋" w:hAnsi="仿宋" w:eastAsia="仿宋" w:cs="仿宋"/>
        <w:b w:val="0"/>
        <w:bCs w:val="0"/>
        <w:color w:val="auto"/>
        <w:sz w:val="24"/>
        <w:szCs w:val="24"/>
      </w:rPr>
    </w:lvl>
  </w:abstractNum>
  <w:abstractNum w:abstractNumId="1">
    <w:nsid w:val="8194658F"/>
    <w:multiLevelType w:val="singleLevel"/>
    <w:tmpl w:val="8194658F"/>
    <w:lvl w:ilvl="0" w:tentative="0">
      <w:start w:val="1"/>
      <w:numFmt w:val="decimal"/>
      <w:suff w:val="nothing"/>
      <w:lvlText w:val="%1．"/>
      <w:lvlJc w:val="left"/>
      <w:pPr>
        <w:ind w:left="0" w:firstLine="480"/>
      </w:pPr>
      <w:rPr>
        <w:rFonts w:hint="default" w:ascii="仿宋" w:hAnsi="仿宋" w:eastAsia="仿宋" w:cs="仿宋"/>
        <w:b w:val="0"/>
        <w:bCs w:val="0"/>
        <w:color w:val="auto"/>
        <w:sz w:val="24"/>
        <w:szCs w:val="24"/>
      </w:rPr>
    </w:lvl>
  </w:abstractNum>
  <w:abstractNum w:abstractNumId="2">
    <w:nsid w:val="9BF3DF02"/>
    <w:multiLevelType w:val="singleLevel"/>
    <w:tmpl w:val="9BF3DF02"/>
    <w:lvl w:ilvl="0" w:tentative="0">
      <w:start w:val="1"/>
      <w:numFmt w:val="decimal"/>
      <w:suff w:val="nothing"/>
      <w:lvlText w:val="%1．"/>
      <w:lvlJc w:val="left"/>
      <w:pPr>
        <w:ind w:left="0" w:firstLine="400"/>
      </w:pPr>
      <w:rPr>
        <w:rFonts w:hint="default"/>
        <w:color w:val="auto"/>
      </w:rPr>
    </w:lvl>
  </w:abstractNum>
  <w:abstractNum w:abstractNumId="3">
    <w:nsid w:val="D4EAC7D0"/>
    <w:multiLevelType w:val="singleLevel"/>
    <w:tmpl w:val="D4EAC7D0"/>
    <w:lvl w:ilvl="0" w:tentative="0">
      <w:start w:val="1"/>
      <w:numFmt w:val="chineseCounting"/>
      <w:suff w:val="nothing"/>
      <w:lvlText w:val="（%1）"/>
      <w:lvlJc w:val="left"/>
      <w:pPr>
        <w:ind w:left="0" w:firstLine="0"/>
      </w:pPr>
      <w:rPr>
        <w:rFonts w:hint="eastAsia" w:ascii="仿宋" w:hAnsi="仿宋" w:eastAsia="仿宋" w:cs="仿宋"/>
        <w:b/>
        <w:bCs/>
        <w:color w:val="auto"/>
      </w:rPr>
    </w:lvl>
  </w:abstractNum>
  <w:abstractNum w:abstractNumId="4">
    <w:nsid w:val="D6514B59"/>
    <w:multiLevelType w:val="singleLevel"/>
    <w:tmpl w:val="D6514B59"/>
    <w:lvl w:ilvl="0" w:tentative="0">
      <w:start w:val="1"/>
      <w:numFmt w:val="decimal"/>
      <w:suff w:val="nothing"/>
      <w:lvlText w:val="%1．"/>
      <w:lvlJc w:val="left"/>
      <w:pPr>
        <w:ind w:left="0" w:firstLine="0"/>
      </w:pPr>
      <w:rPr>
        <w:rFonts w:hint="default" w:ascii="仿宋" w:hAnsi="仿宋" w:eastAsia="仿宋" w:cs="仿宋"/>
        <w:b w:val="0"/>
        <w:bCs w:val="0"/>
        <w:color w:val="auto"/>
        <w:sz w:val="24"/>
        <w:szCs w:val="24"/>
      </w:rPr>
    </w:lvl>
  </w:abstractNum>
  <w:abstractNum w:abstractNumId="5">
    <w:nsid w:val="D80601DB"/>
    <w:multiLevelType w:val="singleLevel"/>
    <w:tmpl w:val="D80601DB"/>
    <w:lvl w:ilvl="0" w:tentative="0">
      <w:start w:val="1"/>
      <w:numFmt w:val="chineseCounting"/>
      <w:suff w:val="nothing"/>
      <w:lvlText w:val="%1、"/>
      <w:lvlJc w:val="left"/>
      <w:pPr>
        <w:ind w:left="0" w:firstLine="0"/>
      </w:pPr>
      <w:rPr>
        <w:rFonts w:hint="eastAsia"/>
        <w:b/>
        <w:bCs/>
      </w:rPr>
    </w:lvl>
  </w:abstractNum>
  <w:abstractNum w:abstractNumId="6">
    <w:nsid w:val="DED16BE8"/>
    <w:multiLevelType w:val="singleLevel"/>
    <w:tmpl w:val="DED16BE8"/>
    <w:lvl w:ilvl="0" w:tentative="0">
      <w:start w:val="1"/>
      <w:numFmt w:val="decimal"/>
      <w:suff w:val="nothing"/>
      <w:lvlText w:val="（%1）"/>
      <w:lvlJc w:val="left"/>
    </w:lvl>
  </w:abstractNum>
  <w:abstractNum w:abstractNumId="7">
    <w:nsid w:val="00000000"/>
    <w:multiLevelType w:val="multilevel"/>
    <w:tmpl w:val="00000000"/>
    <w:lvl w:ilvl="0" w:tentative="0">
      <w:start w:val="1"/>
      <w:numFmt w:val="decimal"/>
      <w:pStyle w:val="6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0000001"/>
    <w:multiLevelType w:val="multilevel"/>
    <w:tmpl w:val="00000001"/>
    <w:lvl w:ilvl="0" w:tentative="0">
      <w:start w:val="1"/>
      <w:numFmt w:val="japaneseCounting"/>
      <w:lvlText w:val="第%1章"/>
      <w:lvlJc w:val="left"/>
      <w:pPr>
        <w:tabs>
          <w:tab w:val="left" w:pos="1995"/>
        </w:tabs>
        <w:ind w:left="1995" w:hanging="1275"/>
      </w:pPr>
      <w:rPr>
        <w:rFonts w:hint="eastAsia"/>
      </w:rPr>
    </w:lvl>
    <w:lvl w:ilvl="1" w:tentative="0">
      <w:start w:val="1"/>
      <w:numFmt w:val="japaneseCounting"/>
      <w:lvlText w:val="%2、"/>
      <w:lvlJc w:val="left"/>
      <w:pPr>
        <w:tabs>
          <w:tab w:val="left" w:pos="1860"/>
        </w:tabs>
        <w:ind w:left="1860" w:hanging="720"/>
      </w:pPr>
      <w:rPr>
        <w:rFonts w:hint="eastAsia"/>
      </w:rPr>
    </w:lvl>
    <w:lvl w:ilvl="2" w:tentative="0">
      <w:start w:val="1"/>
      <w:numFmt w:val="lowerRoman"/>
      <w:pStyle w:val="72"/>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9">
    <w:nsid w:val="00000002"/>
    <w:multiLevelType w:val="singleLevel"/>
    <w:tmpl w:val="00000002"/>
    <w:lvl w:ilvl="0" w:tentative="0">
      <w:start w:val="1"/>
      <w:numFmt w:val="decimal"/>
      <w:pStyle w:val="14"/>
      <w:lvlText w:val="%1."/>
      <w:lvlJc w:val="left"/>
      <w:pPr>
        <w:tabs>
          <w:tab w:val="left" w:pos="1200"/>
        </w:tabs>
        <w:ind w:left="1200" w:hanging="360"/>
      </w:pPr>
    </w:lvl>
  </w:abstractNum>
  <w:abstractNum w:abstractNumId="10">
    <w:nsid w:val="0AB8E200"/>
    <w:multiLevelType w:val="singleLevel"/>
    <w:tmpl w:val="0AB8E200"/>
    <w:lvl w:ilvl="0" w:tentative="0">
      <w:start w:val="1"/>
      <w:numFmt w:val="decimal"/>
      <w:suff w:val="nothing"/>
      <w:lvlText w:val="%1．"/>
      <w:lvlJc w:val="left"/>
      <w:pPr>
        <w:ind w:left="0" w:firstLine="0"/>
      </w:pPr>
      <w:rPr>
        <w:rFonts w:hint="default" w:ascii="仿宋" w:hAnsi="仿宋" w:eastAsia="仿宋" w:cs="仿宋"/>
        <w:b w:val="0"/>
        <w:bCs w:val="0"/>
        <w:color w:val="auto"/>
        <w:sz w:val="24"/>
        <w:szCs w:val="24"/>
      </w:rPr>
    </w:lvl>
  </w:abstractNum>
  <w:abstractNum w:abstractNumId="11">
    <w:nsid w:val="0F3433D5"/>
    <w:multiLevelType w:val="singleLevel"/>
    <w:tmpl w:val="0F3433D5"/>
    <w:lvl w:ilvl="0" w:tentative="0">
      <w:start w:val="1"/>
      <w:numFmt w:val="decimal"/>
      <w:suff w:val="nothing"/>
      <w:lvlText w:val="%1．"/>
      <w:lvlJc w:val="left"/>
      <w:pPr>
        <w:ind w:left="0" w:firstLine="0"/>
      </w:pPr>
      <w:rPr>
        <w:rFonts w:hint="default"/>
        <w:color w:val="auto"/>
        <w:sz w:val="24"/>
        <w:szCs w:val="24"/>
      </w:rPr>
    </w:lvl>
  </w:abstractNum>
  <w:abstractNum w:abstractNumId="12">
    <w:nsid w:val="2C573580"/>
    <w:multiLevelType w:val="singleLevel"/>
    <w:tmpl w:val="2C573580"/>
    <w:lvl w:ilvl="0" w:tentative="0">
      <w:start w:val="1"/>
      <w:numFmt w:val="decimal"/>
      <w:suff w:val="nothing"/>
      <w:lvlText w:val="%1．"/>
      <w:lvlJc w:val="left"/>
      <w:pPr>
        <w:ind w:left="0" w:firstLine="0"/>
      </w:pPr>
      <w:rPr>
        <w:rFonts w:hint="default" w:ascii="仿宋" w:hAnsi="仿宋" w:eastAsia="仿宋" w:cs="仿宋"/>
        <w:b w:val="0"/>
        <w:bCs w:val="0"/>
        <w:color w:val="auto"/>
        <w:sz w:val="24"/>
        <w:szCs w:val="24"/>
      </w:rPr>
    </w:lvl>
  </w:abstractNum>
  <w:abstractNum w:abstractNumId="13">
    <w:nsid w:val="4098C622"/>
    <w:multiLevelType w:val="singleLevel"/>
    <w:tmpl w:val="4098C622"/>
    <w:lvl w:ilvl="0" w:tentative="0">
      <w:start w:val="1"/>
      <w:numFmt w:val="decimal"/>
      <w:suff w:val="nothing"/>
      <w:lvlText w:val="%1."/>
      <w:lvlJc w:val="left"/>
      <w:pPr>
        <w:ind w:left="0" w:leftChars="0" w:firstLine="0" w:firstLineChars="0"/>
      </w:pPr>
      <w:rPr>
        <w:rFonts w:hint="default"/>
      </w:rPr>
    </w:lvl>
  </w:abstractNum>
  <w:abstractNum w:abstractNumId="14">
    <w:nsid w:val="41DA7D1A"/>
    <w:multiLevelType w:val="singleLevel"/>
    <w:tmpl w:val="41DA7D1A"/>
    <w:lvl w:ilvl="0" w:tentative="0">
      <w:start w:val="1"/>
      <w:numFmt w:val="decimal"/>
      <w:suff w:val="nothing"/>
      <w:lvlText w:val="%1．"/>
      <w:lvlJc w:val="left"/>
      <w:pPr>
        <w:ind w:left="0" w:firstLine="0"/>
      </w:pPr>
      <w:rPr>
        <w:rFonts w:hint="default" w:ascii="仿宋" w:hAnsi="仿宋" w:eastAsia="仿宋" w:cs="仿宋"/>
        <w:color w:val="auto"/>
        <w:sz w:val="24"/>
        <w:szCs w:val="24"/>
      </w:rPr>
    </w:lvl>
  </w:abstractNum>
  <w:abstractNum w:abstractNumId="15">
    <w:nsid w:val="453D8F87"/>
    <w:multiLevelType w:val="singleLevel"/>
    <w:tmpl w:val="453D8F87"/>
    <w:lvl w:ilvl="0" w:tentative="0">
      <w:start w:val="5"/>
      <w:numFmt w:val="decimal"/>
      <w:suff w:val="nothing"/>
      <w:lvlText w:val="（%1）"/>
      <w:lvlJc w:val="left"/>
    </w:lvl>
  </w:abstractNum>
  <w:abstractNum w:abstractNumId="16">
    <w:nsid w:val="49A2F61D"/>
    <w:multiLevelType w:val="singleLevel"/>
    <w:tmpl w:val="49A2F61D"/>
    <w:lvl w:ilvl="0" w:tentative="0">
      <w:start w:val="1"/>
      <w:numFmt w:val="decimal"/>
      <w:suff w:val="nothing"/>
      <w:lvlText w:val="2.%1"/>
      <w:lvlJc w:val="left"/>
      <w:pPr>
        <w:ind w:left="0" w:firstLine="482"/>
      </w:pPr>
      <w:rPr>
        <w:rFonts w:hint="default" w:ascii="仿宋" w:hAnsi="仿宋" w:eastAsia="仿宋" w:cs="仿宋"/>
        <w:b w:val="0"/>
        <w:bCs w:val="0"/>
        <w:color w:val="auto"/>
        <w:sz w:val="24"/>
        <w:szCs w:val="24"/>
      </w:rPr>
    </w:lvl>
  </w:abstractNum>
  <w:abstractNum w:abstractNumId="17">
    <w:nsid w:val="4A377247"/>
    <w:multiLevelType w:val="singleLevel"/>
    <w:tmpl w:val="4A377247"/>
    <w:lvl w:ilvl="0" w:tentative="0">
      <w:start w:val="1"/>
      <w:numFmt w:val="decimal"/>
      <w:suff w:val="nothing"/>
      <w:lvlText w:val="%1．"/>
      <w:lvlJc w:val="left"/>
      <w:pPr>
        <w:ind w:left="0" w:firstLine="0"/>
      </w:pPr>
      <w:rPr>
        <w:rFonts w:hint="default" w:ascii="仿宋" w:hAnsi="仿宋" w:eastAsia="仿宋" w:cs="仿宋"/>
        <w:b w:val="0"/>
        <w:bCs w:val="0"/>
        <w:color w:val="auto"/>
        <w:sz w:val="24"/>
        <w:szCs w:val="24"/>
      </w:rPr>
    </w:lvl>
  </w:abstractNum>
  <w:abstractNum w:abstractNumId="18">
    <w:nsid w:val="75CC1937"/>
    <w:multiLevelType w:val="singleLevel"/>
    <w:tmpl w:val="75CC1937"/>
    <w:lvl w:ilvl="0" w:tentative="0">
      <w:start w:val="1"/>
      <w:numFmt w:val="decimal"/>
      <w:suff w:val="nothing"/>
      <w:lvlText w:val="3.%1"/>
      <w:lvlJc w:val="left"/>
      <w:pPr>
        <w:tabs>
          <w:tab w:val="left" w:pos="0"/>
        </w:tabs>
        <w:ind w:left="0" w:firstLine="482"/>
      </w:pPr>
      <w:rPr>
        <w:rFonts w:hint="default" w:ascii="仿宋" w:hAnsi="仿宋" w:eastAsia="仿宋" w:cs="仿宋"/>
        <w:b w:val="0"/>
        <w:bCs w:val="0"/>
        <w:color w:val="auto"/>
        <w:sz w:val="24"/>
        <w:szCs w:val="24"/>
      </w:rPr>
    </w:lvl>
  </w:abstractNum>
  <w:num w:numId="1">
    <w:abstractNumId w:val="9"/>
  </w:num>
  <w:num w:numId="2">
    <w:abstractNumId w:val="7"/>
  </w:num>
  <w:num w:numId="3">
    <w:abstractNumId w:val="8"/>
  </w:num>
  <w:num w:numId="4">
    <w:abstractNumId w:val="5"/>
  </w:num>
  <w:num w:numId="5">
    <w:abstractNumId w:val="2"/>
  </w:num>
  <w:num w:numId="6">
    <w:abstractNumId w:val="6"/>
  </w:num>
  <w:num w:numId="7">
    <w:abstractNumId w:val="13"/>
  </w:num>
  <w:num w:numId="8">
    <w:abstractNumId w:val="15"/>
  </w:num>
  <w:num w:numId="9">
    <w:abstractNumId w:val="3"/>
  </w:num>
  <w:num w:numId="10">
    <w:abstractNumId w:val="11"/>
  </w:num>
  <w:num w:numId="11">
    <w:abstractNumId w:val="14"/>
  </w:num>
  <w:num w:numId="12">
    <w:abstractNumId w:val="16"/>
  </w:num>
  <w:num w:numId="13">
    <w:abstractNumId w:val="18"/>
  </w:num>
  <w:num w:numId="14">
    <w:abstractNumId w:val="1"/>
  </w:num>
  <w:num w:numId="15">
    <w:abstractNumId w:val="12"/>
  </w:num>
  <w:num w:numId="16">
    <w:abstractNumId w:val="0"/>
  </w:num>
  <w:num w:numId="17">
    <w:abstractNumId w:val="17"/>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NDg4MjJjZTM1NzY1MTYwMjk4YWI4YzI4ZWNmMzYifQ=="/>
  </w:docVars>
  <w:rsids>
    <w:rsidRoot w:val="0B866983"/>
    <w:rsid w:val="000D3C7F"/>
    <w:rsid w:val="00144938"/>
    <w:rsid w:val="00315BF5"/>
    <w:rsid w:val="003C0401"/>
    <w:rsid w:val="00424EA3"/>
    <w:rsid w:val="00652195"/>
    <w:rsid w:val="006553C5"/>
    <w:rsid w:val="00836A07"/>
    <w:rsid w:val="0087661D"/>
    <w:rsid w:val="0094398B"/>
    <w:rsid w:val="009A7373"/>
    <w:rsid w:val="00A06B6D"/>
    <w:rsid w:val="00A16A08"/>
    <w:rsid w:val="00B2640A"/>
    <w:rsid w:val="00C57FEA"/>
    <w:rsid w:val="00C7343A"/>
    <w:rsid w:val="00D227EA"/>
    <w:rsid w:val="00D31C19"/>
    <w:rsid w:val="00D93454"/>
    <w:rsid w:val="00DA45EC"/>
    <w:rsid w:val="00EC5B5A"/>
    <w:rsid w:val="01144729"/>
    <w:rsid w:val="014028DB"/>
    <w:rsid w:val="0189021D"/>
    <w:rsid w:val="01970114"/>
    <w:rsid w:val="01DC7E4F"/>
    <w:rsid w:val="02A42670"/>
    <w:rsid w:val="02FA02D8"/>
    <w:rsid w:val="02FD42F5"/>
    <w:rsid w:val="030F7077"/>
    <w:rsid w:val="03203F8B"/>
    <w:rsid w:val="039E15CC"/>
    <w:rsid w:val="03AA73D4"/>
    <w:rsid w:val="03C01B47"/>
    <w:rsid w:val="043313F4"/>
    <w:rsid w:val="04477EE5"/>
    <w:rsid w:val="045F11F9"/>
    <w:rsid w:val="04750A55"/>
    <w:rsid w:val="049F65CF"/>
    <w:rsid w:val="04A10ECD"/>
    <w:rsid w:val="04AC558B"/>
    <w:rsid w:val="04B443CB"/>
    <w:rsid w:val="04EF1AD4"/>
    <w:rsid w:val="052F2A11"/>
    <w:rsid w:val="05773687"/>
    <w:rsid w:val="059B5DCD"/>
    <w:rsid w:val="059D74F7"/>
    <w:rsid w:val="05D11D1B"/>
    <w:rsid w:val="05EF6996"/>
    <w:rsid w:val="05FE4E3E"/>
    <w:rsid w:val="06277B8D"/>
    <w:rsid w:val="06B73228"/>
    <w:rsid w:val="06ED645A"/>
    <w:rsid w:val="071C6568"/>
    <w:rsid w:val="072061EE"/>
    <w:rsid w:val="08283748"/>
    <w:rsid w:val="082A74C0"/>
    <w:rsid w:val="083A1F2B"/>
    <w:rsid w:val="08664804"/>
    <w:rsid w:val="089537EA"/>
    <w:rsid w:val="08AD4865"/>
    <w:rsid w:val="08FD4317"/>
    <w:rsid w:val="09244C7B"/>
    <w:rsid w:val="093261C8"/>
    <w:rsid w:val="09684618"/>
    <w:rsid w:val="09AB0AD5"/>
    <w:rsid w:val="09CB4843"/>
    <w:rsid w:val="09D3280A"/>
    <w:rsid w:val="0A1C68D5"/>
    <w:rsid w:val="0A3A3596"/>
    <w:rsid w:val="0A522B7B"/>
    <w:rsid w:val="0A6025D0"/>
    <w:rsid w:val="0ABA1E84"/>
    <w:rsid w:val="0ABF3657"/>
    <w:rsid w:val="0AF3096D"/>
    <w:rsid w:val="0B353DB6"/>
    <w:rsid w:val="0B540CD3"/>
    <w:rsid w:val="0B7F2C90"/>
    <w:rsid w:val="0B800B92"/>
    <w:rsid w:val="0B866983"/>
    <w:rsid w:val="0BB81E48"/>
    <w:rsid w:val="0BBE0EF3"/>
    <w:rsid w:val="0C046E83"/>
    <w:rsid w:val="0C255F57"/>
    <w:rsid w:val="0C4C02D6"/>
    <w:rsid w:val="0C5E13E0"/>
    <w:rsid w:val="0C5F7261"/>
    <w:rsid w:val="0C6135B9"/>
    <w:rsid w:val="0CC6635E"/>
    <w:rsid w:val="0D302659"/>
    <w:rsid w:val="0D4E59FF"/>
    <w:rsid w:val="0D891309"/>
    <w:rsid w:val="0D9F5915"/>
    <w:rsid w:val="0DC6347A"/>
    <w:rsid w:val="0DDC3B3F"/>
    <w:rsid w:val="0DE60A88"/>
    <w:rsid w:val="0DF8167C"/>
    <w:rsid w:val="0E136AE6"/>
    <w:rsid w:val="0E162E85"/>
    <w:rsid w:val="0E921F3A"/>
    <w:rsid w:val="0EB236F4"/>
    <w:rsid w:val="0ECC797F"/>
    <w:rsid w:val="0F3845C8"/>
    <w:rsid w:val="0F40581B"/>
    <w:rsid w:val="0FBE6564"/>
    <w:rsid w:val="0FDA488D"/>
    <w:rsid w:val="10016618"/>
    <w:rsid w:val="1021134F"/>
    <w:rsid w:val="10A062EA"/>
    <w:rsid w:val="10AE34B4"/>
    <w:rsid w:val="10C314BD"/>
    <w:rsid w:val="10CA0562"/>
    <w:rsid w:val="10D27CCB"/>
    <w:rsid w:val="10FB01AD"/>
    <w:rsid w:val="11140140"/>
    <w:rsid w:val="113D4C3F"/>
    <w:rsid w:val="11421D1E"/>
    <w:rsid w:val="121A0CAB"/>
    <w:rsid w:val="12557F8C"/>
    <w:rsid w:val="126651DC"/>
    <w:rsid w:val="12BC0DE6"/>
    <w:rsid w:val="12BD63C8"/>
    <w:rsid w:val="12C51A1F"/>
    <w:rsid w:val="12D82725"/>
    <w:rsid w:val="13527640"/>
    <w:rsid w:val="13667A48"/>
    <w:rsid w:val="13863A69"/>
    <w:rsid w:val="13972906"/>
    <w:rsid w:val="139859AB"/>
    <w:rsid w:val="13C7650B"/>
    <w:rsid w:val="13F80B52"/>
    <w:rsid w:val="14947AFB"/>
    <w:rsid w:val="14B22D17"/>
    <w:rsid w:val="14B53341"/>
    <w:rsid w:val="14F670A8"/>
    <w:rsid w:val="155A041D"/>
    <w:rsid w:val="15770AE9"/>
    <w:rsid w:val="15886E67"/>
    <w:rsid w:val="15B57D93"/>
    <w:rsid w:val="169A7825"/>
    <w:rsid w:val="16A026F3"/>
    <w:rsid w:val="16BA4105"/>
    <w:rsid w:val="16C13E0A"/>
    <w:rsid w:val="16DF0DC8"/>
    <w:rsid w:val="16ED510D"/>
    <w:rsid w:val="174A36DB"/>
    <w:rsid w:val="177323A5"/>
    <w:rsid w:val="17B52034"/>
    <w:rsid w:val="17CF598E"/>
    <w:rsid w:val="17EE1542"/>
    <w:rsid w:val="18B91F41"/>
    <w:rsid w:val="193951E7"/>
    <w:rsid w:val="194D23D5"/>
    <w:rsid w:val="1970498E"/>
    <w:rsid w:val="19B4308D"/>
    <w:rsid w:val="19BD0194"/>
    <w:rsid w:val="19EA6083"/>
    <w:rsid w:val="1A1F435C"/>
    <w:rsid w:val="1A461F3D"/>
    <w:rsid w:val="1A601E3C"/>
    <w:rsid w:val="1A64341E"/>
    <w:rsid w:val="1A7A7E5C"/>
    <w:rsid w:val="1AB85FB0"/>
    <w:rsid w:val="1AC34402"/>
    <w:rsid w:val="1AC63078"/>
    <w:rsid w:val="1ACD2659"/>
    <w:rsid w:val="1AF7786B"/>
    <w:rsid w:val="1B283F65"/>
    <w:rsid w:val="1B733CCE"/>
    <w:rsid w:val="1B754311"/>
    <w:rsid w:val="1B756B4E"/>
    <w:rsid w:val="1B7E43A7"/>
    <w:rsid w:val="1B7E5AA1"/>
    <w:rsid w:val="1BCA6DA9"/>
    <w:rsid w:val="1C142509"/>
    <w:rsid w:val="1C202158"/>
    <w:rsid w:val="1C266643"/>
    <w:rsid w:val="1C691F81"/>
    <w:rsid w:val="1C906977"/>
    <w:rsid w:val="1CBD685A"/>
    <w:rsid w:val="1CC014D3"/>
    <w:rsid w:val="1CCF5507"/>
    <w:rsid w:val="1CD4123F"/>
    <w:rsid w:val="1D026B09"/>
    <w:rsid w:val="1D3A55EB"/>
    <w:rsid w:val="1D5050EB"/>
    <w:rsid w:val="1D5645B6"/>
    <w:rsid w:val="1D610362"/>
    <w:rsid w:val="1DC3554C"/>
    <w:rsid w:val="1DDE33ED"/>
    <w:rsid w:val="1E237BE7"/>
    <w:rsid w:val="1E81650C"/>
    <w:rsid w:val="1E8412C6"/>
    <w:rsid w:val="1F297FCA"/>
    <w:rsid w:val="1F634696"/>
    <w:rsid w:val="1FE826AB"/>
    <w:rsid w:val="1FFA6A60"/>
    <w:rsid w:val="205F530B"/>
    <w:rsid w:val="20A21226"/>
    <w:rsid w:val="20AC4FFF"/>
    <w:rsid w:val="20C938C2"/>
    <w:rsid w:val="20D37490"/>
    <w:rsid w:val="21353F88"/>
    <w:rsid w:val="21354BDD"/>
    <w:rsid w:val="218A57AF"/>
    <w:rsid w:val="21A33FB8"/>
    <w:rsid w:val="22034BB2"/>
    <w:rsid w:val="225F6F6B"/>
    <w:rsid w:val="22717D6E"/>
    <w:rsid w:val="2279049E"/>
    <w:rsid w:val="22B066AC"/>
    <w:rsid w:val="22C429E7"/>
    <w:rsid w:val="235B27CC"/>
    <w:rsid w:val="2366764B"/>
    <w:rsid w:val="23695816"/>
    <w:rsid w:val="23B5012E"/>
    <w:rsid w:val="23E623D9"/>
    <w:rsid w:val="23F7096A"/>
    <w:rsid w:val="241C3434"/>
    <w:rsid w:val="243C3306"/>
    <w:rsid w:val="24575407"/>
    <w:rsid w:val="245D4732"/>
    <w:rsid w:val="248A15BB"/>
    <w:rsid w:val="24FF240A"/>
    <w:rsid w:val="250F24D1"/>
    <w:rsid w:val="2557160A"/>
    <w:rsid w:val="255D282B"/>
    <w:rsid w:val="2581740A"/>
    <w:rsid w:val="25BC13CB"/>
    <w:rsid w:val="25DF154D"/>
    <w:rsid w:val="2628108B"/>
    <w:rsid w:val="26843677"/>
    <w:rsid w:val="26BA332E"/>
    <w:rsid w:val="26C75CDF"/>
    <w:rsid w:val="26DA1227"/>
    <w:rsid w:val="26EA755B"/>
    <w:rsid w:val="270218C6"/>
    <w:rsid w:val="272E0923"/>
    <w:rsid w:val="273A2F28"/>
    <w:rsid w:val="274079DC"/>
    <w:rsid w:val="275D2BA4"/>
    <w:rsid w:val="276C144B"/>
    <w:rsid w:val="2799500F"/>
    <w:rsid w:val="27B22717"/>
    <w:rsid w:val="28041684"/>
    <w:rsid w:val="280D7C44"/>
    <w:rsid w:val="28840E74"/>
    <w:rsid w:val="28D74BA3"/>
    <w:rsid w:val="28FE0A96"/>
    <w:rsid w:val="290060A6"/>
    <w:rsid w:val="29627EB4"/>
    <w:rsid w:val="29DD3B05"/>
    <w:rsid w:val="2A09558B"/>
    <w:rsid w:val="2A1E3F76"/>
    <w:rsid w:val="2A46683F"/>
    <w:rsid w:val="2A983A74"/>
    <w:rsid w:val="2AAB3408"/>
    <w:rsid w:val="2ADC2444"/>
    <w:rsid w:val="2B547FCD"/>
    <w:rsid w:val="2B905F7A"/>
    <w:rsid w:val="2BE27F2E"/>
    <w:rsid w:val="2C04468E"/>
    <w:rsid w:val="2C36731D"/>
    <w:rsid w:val="2C5461C7"/>
    <w:rsid w:val="2C7238E6"/>
    <w:rsid w:val="2C8C000B"/>
    <w:rsid w:val="2CA77D59"/>
    <w:rsid w:val="2CB74F17"/>
    <w:rsid w:val="2CE542FE"/>
    <w:rsid w:val="2CEC01C2"/>
    <w:rsid w:val="2CEE369C"/>
    <w:rsid w:val="2D8E4D9B"/>
    <w:rsid w:val="2D917516"/>
    <w:rsid w:val="2D9827FA"/>
    <w:rsid w:val="2DBA5021"/>
    <w:rsid w:val="2DC31A33"/>
    <w:rsid w:val="2DD7418C"/>
    <w:rsid w:val="2E0629C2"/>
    <w:rsid w:val="2E1C520C"/>
    <w:rsid w:val="2E64155D"/>
    <w:rsid w:val="2E995D2E"/>
    <w:rsid w:val="2E9E04C0"/>
    <w:rsid w:val="2EAF2CDB"/>
    <w:rsid w:val="2EBA6133"/>
    <w:rsid w:val="2EC96E86"/>
    <w:rsid w:val="2F083808"/>
    <w:rsid w:val="2F261365"/>
    <w:rsid w:val="2F3E36CD"/>
    <w:rsid w:val="2F4F1437"/>
    <w:rsid w:val="2F4F4BF5"/>
    <w:rsid w:val="2F520F27"/>
    <w:rsid w:val="2FB81EB3"/>
    <w:rsid w:val="2FCD5520"/>
    <w:rsid w:val="300633DF"/>
    <w:rsid w:val="303659AA"/>
    <w:rsid w:val="303C3610"/>
    <w:rsid w:val="30452D1C"/>
    <w:rsid w:val="30BB0C62"/>
    <w:rsid w:val="30C2441E"/>
    <w:rsid w:val="313A3A13"/>
    <w:rsid w:val="315E3B7E"/>
    <w:rsid w:val="315F3043"/>
    <w:rsid w:val="31794A44"/>
    <w:rsid w:val="31841701"/>
    <w:rsid w:val="31927D00"/>
    <w:rsid w:val="31A737AC"/>
    <w:rsid w:val="31DD1C95"/>
    <w:rsid w:val="31E9544A"/>
    <w:rsid w:val="32040E05"/>
    <w:rsid w:val="32095EC4"/>
    <w:rsid w:val="3245666D"/>
    <w:rsid w:val="32531D24"/>
    <w:rsid w:val="32773E91"/>
    <w:rsid w:val="32806ADE"/>
    <w:rsid w:val="32857243"/>
    <w:rsid w:val="32AC094E"/>
    <w:rsid w:val="32DB29AB"/>
    <w:rsid w:val="32FE049F"/>
    <w:rsid w:val="32FF52D5"/>
    <w:rsid w:val="331210F9"/>
    <w:rsid w:val="3341543E"/>
    <w:rsid w:val="33536440"/>
    <w:rsid w:val="336500C4"/>
    <w:rsid w:val="3365436E"/>
    <w:rsid w:val="33707BA0"/>
    <w:rsid w:val="33FC380F"/>
    <w:rsid w:val="344E43B3"/>
    <w:rsid w:val="344F1ED9"/>
    <w:rsid w:val="345C2104"/>
    <w:rsid w:val="34732679"/>
    <w:rsid w:val="354D2E70"/>
    <w:rsid w:val="35545734"/>
    <w:rsid w:val="356A7B49"/>
    <w:rsid w:val="357C3ACE"/>
    <w:rsid w:val="358E513C"/>
    <w:rsid w:val="35A04DD9"/>
    <w:rsid w:val="35B00755"/>
    <w:rsid w:val="35B57E04"/>
    <w:rsid w:val="35C56939"/>
    <w:rsid w:val="36133F12"/>
    <w:rsid w:val="36740C02"/>
    <w:rsid w:val="368D57B6"/>
    <w:rsid w:val="3695175A"/>
    <w:rsid w:val="36C556E2"/>
    <w:rsid w:val="374024B5"/>
    <w:rsid w:val="37732382"/>
    <w:rsid w:val="37757AC5"/>
    <w:rsid w:val="37AF23FC"/>
    <w:rsid w:val="37C1055A"/>
    <w:rsid w:val="37C56FEC"/>
    <w:rsid w:val="37CA561C"/>
    <w:rsid w:val="37F27FCA"/>
    <w:rsid w:val="381535C3"/>
    <w:rsid w:val="38D81B5A"/>
    <w:rsid w:val="39364FB6"/>
    <w:rsid w:val="39572C33"/>
    <w:rsid w:val="3967037A"/>
    <w:rsid w:val="39A62258"/>
    <w:rsid w:val="39EF2740"/>
    <w:rsid w:val="3A3A411E"/>
    <w:rsid w:val="3A8F4BEE"/>
    <w:rsid w:val="3B0D607B"/>
    <w:rsid w:val="3B23472E"/>
    <w:rsid w:val="3B5276C4"/>
    <w:rsid w:val="3B55117D"/>
    <w:rsid w:val="3B5A51A1"/>
    <w:rsid w:val="3B8D6C9F"/>
    <w:rsid w:val="3B954675"/>
    <w:rsid w:val="3BA388F8"/>
    <w:rsid w:val="3BBD5F71"/>
    <w:rsid w:val="3C483740"/>
    <w:rsid w:val="3C6D114E"/>
    <w:rsid w:val="3CA728A4"/>
    <w:rsid w:val="3CC92F76"/>
    <w:rsid w:val="3D0D5D36"/>
    <w:rsid w:val="3D2B37EA"/>
    <w:rsid w:val="3D625B7C"/>
    <w:rsid w:val="3D6A2608"/>
    <w:rsid w:val="3D7475C2"/>
    <w:rsid w:val="3D876D59"/>
    <w:rsid w:val="3DA45631"/>
    <w:rsid w:val="3DB24234"/>
    <w:rsid w:val="3DDD34D6"/>
    <w:rsid w:val="3E042F22"/>
    <w:rsid w:val="3E057DD2"/>
    <w:rsid w:val="3E57313A"/>
    <w:rsid w:val="3EAA2A7A"/>
    <w:rsid w:val="3EBC016B"/>
    <w:rsid w:val="3EE6168C"/>
    <w:rsid w:val="3EE85C79"/>
    <w:rsid w:val="3EF618CF"/>
    <w:rsid w:val="3F1340AC"/>
    <w:rsid w:val="3F3C273C"/>
    <w:rsid w:val="3F543E9A"/>
    <w:rsid w:val="3F5C6BBD"/>
    <w:rsid w:val="3F6A5E19"/>
    <w:rsid w:val="3F9A4950"/>
    <w:rsid w:val="3F9D3EC4"/>
    <w:rsid w:val="3FA330D9"/>
    <w:rsid w:val="3FAB300F"/>
    <w:rsid w:val="3FAF7C65"/>
    <w:rsid w:val="40B7471D"/>
    <w:rsid w:val="40CD0934"/>
    <w:rsid w:val="40DE7B8B"/>
    <w:rsid w:val="40DF6392"/>
    <w:rsid w:val="412C4438"/>
    <w:rsid w:val="417314BA"/>
    <w:rsid w:val="417F497B"/>
    <w:rsid w:val="420A5521"/>
    <w:rsid w:val="42427EF4"/>
    <w:rsid w:val="42733338"/>
    <w:rsid w:val="42817D9D"/>
    <w:rsid w:val="42A2370B"/>
    <w:rsid w:val="42F238F2"/>
    <w:rsid w:val="432E265D"/>
    <w:rsid w:val="433078C8"/>
    <w:rsid w:val="43513EFC"/>
    <w:rsid w:val="438A5AEF"/>
    <w:rsid w:val="43A748E7"/>
    <w:rsid w:val="44061F0A"/>
    <w:rsid w:val="440B4E4B"/>
    <w:rsid w:val="440F6DC5"/>
    <w:rsid w:val="444C3DE9"/>
    <w:rsid w:val="444C6E1C"/>
    <w:rsid w:val="44580936"/>
    <w:rsid w:val="451A074A"/>
    <w:rsid w:val="45DC7D38"/>
    <w:rsid w:val="45E4064C"/>
    <w:rsid w:val="461D1E37"/>
    <w:rsid w:val="46736719"/>
    <w:rsid w:val="46A676CF"/>
    <w:rsid w:val="46E0403D"/>
    <w:rsid w:val="472B67C3"/>
    <w:rsid w:val="479E4324"/>
    <w:rsid w:val="47E856D7"/>
    <w:rsid w:val="48432720"/>
    <w:rsid w:val="488E4ABD"/>
    <w:rsid w:val="48C93BD4"/>
    <w:rsid w:val="49010A0D"/>
    <w:rsid w:val="4924174F"/>
    <w:rsid w:val="49724563"/>
    <w:rsid w:val="49755C46"/>
    <w:rsid w:val="498707CA"/>
    <w:rsid w:val="498F638C"/>
    <w:rsid w:val="49C26C25"/>
    <w:rsid w:val="49D46CB0"/>
    <w:rsid w:val="49F9466E"/>
    <w:rsid w:val="49FD7651"/>
    <w:rsid w:val="4A081D25"/>
    <w:rsid w:val="4A0E5DB3"/>
    <w:rsid w:val="4A156FFB"/>
    <w:rsid w:val="4A1E0625"/>
    <w:rsid w:val="4A250F4B"/>
    <w:rsid w:val="4A631B54"/>
    <w:rsid w:val="4AC7227B"/>
    <w:rsid w:val="4AF6175C"/>
    <w:rsid w:val="4B0C6ADE"/>
    <w:rsid w:val="4C270F45"/>
    <w:rsid w:val="4C2C6B6E"/>
    <w:rsid w:val="4C3C26EE"/>
    <w:rsid w:val="4C6820C8"/>
    <w:rsid w:val="4CB86415"/>
    <w:rsid w:val="4D3A3052"/>
    <w:rsid w:val="4D414153"/>
    <w:rsid w:val="4D505D63"/>
    <w:rsid w:val="4D592654"/>
    <w:rsid w:val="4D811007"/>
    <w:rsid w:val="4D8254A6"/>
    <w:rsid w:val="4DAF311B"/>
    <w:rsid w:val="4E770C5E"/>
    <w:rsid w:val="4E79123A"/>
    <w:rsid w:val="4E855F0E"/>
    <w:rsid w:val="4EC6126B"/>
    <w:rsid w:val="4F9273F2"/>
    <w:rsid w:val="4F961F9E"/>
    <w:rsid w:val="4F990BE7"/>
    <w:rsid w:val="4FBD4441"/>
    <w:rsid w:val="4FC26E6E"/>
    <w:rsid w:val="4FC86685"/>
    <w:rsid w:val="4FD97F17"/>
    <w:rsid w:val="4FF93B03"/>
    <w:rsid w:val="500D4D22"/>
    <w:rsid w:val="50217059"/>
    <w:rsid w:val="50330F8D"/>
    <w:rsid w:val="5057687E"/>
    <w:rsid w:val="50C37EA5"/>
    <w:rsid w:val="50F463E4"/>
    <w:rsid w:val="51334ADB"/>
    <w:rsid w:val="513D513B"/>
    <w:rsid w:val="515D558A"/>
    <w:rsid w:val="51622217"/>
    <w:rsid w:val="51870B8D"/>
    <w:rsid w:val="52072CD9"/>
    <w:rsid w:val="5215316C"/>
    <w:rsid w:val="52416FED"/>
    <w:rsid w:val="52650390"/>
    <w:rsid w:val="529A6D4D"/>
    <w:rsid w:val="52E0112D"/>
    <w:rsid w:val="53232D9C"/>
    <w:rsid w:val="53277E51"/>
    <w:rsid w:val="53A01AFF"/>
    <w:rsid w:val="53E00550"/>
    <w:rsid w:val="53FD25F1"/>
    <w:rsid w:val="54180401"/>
    <w:rsid w:val="542063D4"/>
    <w:rsid w:val="54536E63"/>
    <w:rsid w:val="547C74AB"/>
    <w:rsid w:val="549F68B2"/>
    <w:rsid w:val="54AE3C90"/>
    <w:rsid w:val="54BF1096"/>
    <w:rsid w:val="54F90E1E"/>
    <w:rsid w:val="550B021A"/>
    <w:rsid w:val="550B4585"/>
    <w:rsid w:val="55390DC0"/>
    <w:rsid w:val="556B03D8"/>
    <w:rsid w:val="557F0868"/>
    <w:rsid w:val="55986DE4"/>
    <w:rsid w:val="55B87486"/>
    <w:rsid w:val="561C6065"/>
    <w:rsid w:val="565C12CB"/>
    <w:rsid w:val="56690780"/>
    <w:rsid w:val="56AB6A7A"/>
    <w:rsid w:val="56B43D96"/>
    <w:rsid w:val="56D35134"/>
    <w:rsid w:val="56EA74EF"/>
    <w:rsid w:val="56EF5983"/>
    <w:rsid w:val="571B13D6"/>
    <w:rsid w:val="572403FF"/>
    <w:rsid w:val="572F08E2"/>
    <w:rsid w:val="57431F00"/>
    <w:rsid w:val="57B80311"/>
    <w:rsid w:val="57F64993"/>
    <w:rsid w:val="5827444F"/>
    <w:rsid w:val="5848663A"/>
    <w:rsid w:val="58AB7F37"/>
    <w:rsid w:val="58AC2BA6"/>
    <w:rsid w:val="59434B2C"/>
    <w:rsid w:val="59851AF0"/>
    <w:rsid w:val="598650AA"/>
    <w:rsid w:val="59AB3A69"/>
    <w:rsid w:val="59E537AB"/>
    <w:rsid w:val="59EC7173"/>
    <w:rsid w:val="59F979B3"/>
    <w:rsid w:val="5A1B3A25"/>
    <w:rsid w:val="5A275064"/>
    <w:rsid w:val="5A5623AB"/>
    <w:rsid w:val="5A6C17EF"/>
    <w:rsid w:val="5A93602F"/>
    <w:rsid w:val="5A9F7D20"/>
    <w:rsid w:val="5ABD00CE"/>
    <w:rsid w:val="5ACA0EAE"/>
    <w:rsid w:val="5B164FBF"/>
    <w:rsid w:val="5B423FE2"/>
    <w:rsid w:val="5B4377F2"/>
    <w:rsid w:val="5BB02E5C"/>
    <w:rsid w:val="5BB85989"/>
    <w:rsid w:val="5BCF7B23"/>
    <w:rsid w:val="5BDE74F6"/>
    <w:rsid w:val="5BEB5426"/>
    <w:rsid w:val="5C0320BC"/>
    <w:rsid w:val="5C316820"/>
    <w:rsid w:val="5CA618F9"/>
    <w:rsid w:val="5CA76432"/>
    <w:rsid w:val="5D3F1695"/>
    <w:rsid w:val="5D854249"/>
    <w:rsid w:val="5D971559"/>
    <w:rsid w:val="5DC61589"/>
    <w:rsid w:val="5E036B6F"/>
    <w:rsid w:val="5E077666"/>
    <w:rsid w:val="5E694317"/>
    <w:rsid w:val="5E6A153A"/>
    <w:rsid w:val="5F2006DC"/>
    <w:rsid w:val="5F353619"/>
    <w:rsid w:val="5F3A31CA"/>
    <w:rsid w:val="5F4F2C8A"/>
    <w:rsid w:val="5F721090"/>
    <w:rsid w:val="5F8F2C48"/>
    <w:rsid w:val="5F9F579C"/>
    <w:rsid w:val="5FA81AA2"/>
    <w:rsid w:val="5FB674F4"/>
    <w:rsid w:val="5FBD2DA1"/>
    <w:rsid w:val="5FD10582"/>
    <w:rsid w:val="60033A2C"/>
    <w:rsid w:val="60134EF6"/>
    <w:rsid w:val="607642AD"/>
    <w:rsid w:val="60A30D33"/>
    <w:rsid w:val="60C44682"/>
    <w:rsid w:val="60E045A4"/>
    <w:rsid w:val="60E4057A"/>
    <w:rsid w:val="60E44C4E"/>
    <w:rsid w:val="61134044"/>
    <w:rsid w:val="61541695"/>
    <w:rsid w:val="615F353A"/>
    <w:rsid w:val="6178384E"/>
    <w:rsid w:val="61E573C4"/>
    <w:rsid w:val="62057B6D"/>
    <w:rsid w:val="621E7371"/>
    <w:rsid w:val="62314CE7"/>
    <w:rsid w:val="629B41A8"/>
    <w:rsid w:val="63354D8E"/>
    <w:rsid w:val="63367153"/>
    <w:rsid w:val="63E155AF"/>
    <w:rsid w:val="641E704E"/>
    <w:rsid w:val="643757A7"/>
    <w:rsid w:val="64503DD6"/>
    <w:rsid w:val="646138EF"/>
    <w:rsid w:val="64835F8C"/>
    <w:rsid w:val="64AA2233"/>
    <w:rsid w:val="64B925E8"/>
    <w:rsid w:val="64D1780F"/>
    <w:rsid w:val="650469DA"/>
    <w:rsid w:val="65291E74"/>
    <w:rsid w:val="655D6381"/>
    <w:rsid w:val="657A4002"/>
    <w:rsid w:val="65C15181"/>
    <w:rsid w:val="65CC0F7A"/>
    <w:rsid w:val="65DD7042"/>
    <w:rsid w:val="65E60D9D"/>
    <w:rsid w:val="665C080F"/>
    <w:rsid w:val="667659F0"/>
    <w:rsid w:val="66951CCE"/>
    <w:rsid w:val="66E243BE"/>
    <w:rsid w:val="67077884"/>
    <w:rsid w:val="67230A15"/>
    <w:rsid w:val="67650AF0"/>
    <w:rsid w:val="67976B38"/>
    <w:rsid w:val="67A26A90"/>
    <w:rsid w:val="6810652C"/>
    <w:rsid w:val="68195362"/>
    <w:rsid w:val="688B6422"/>
    <w:rsid w:val="688F2271"/>
    <w:rsid w:val="68B13416"/>
    <w:rsid w:val="68E10B2C"/>
    <w:rsid w:val="6904558B"/>
    <w:rsid w:val="69B517BB"/>
    <w:rsid w:val="69D65CD5"/>
    <w:rsid w:val="69DB32EB"/>
    <w:rsid w:val="69F43B0C"/>
    <w:rsid w:val="69FD3262"/>
    <w:rsid w:val="6A624A68"/>
    <w:rsid w:val="6A7826E8"/>
    <w:rsid w:val="6A910EB2"/>
    <w:rsid w:val="6AA87672"/>
    <w:rsid w:val="6AAE5C65"/>
    <w:rsid w:val="6B494814"/>
    <w:rsid w:val="6B6D5DD4"/>
    <w:rsid w:val="6B8473A1"/>
    <w:rsid w:val="6BDA7CFF"/>
    <w:rsid w:val="6BE52EA3"/>
    <w:rsid w:val="6BF40302"/>
    <w:rsid w:val="6C0615B6"/>
    <w:rsid w:val="6C1A1B11"/>
    <w:rsid w:val="6C52521D"/>
    <w:rsid w:val="6D171789"/>
    <w:rsid w:val="6D8116A5"/>
    <w:rsid w:val="6DA30CAE"/>
    <w:rsid w:val="6DB2171D"/>
    <w:rsid w:val="6E8C0650"/>
    <w:rsid w:val="6E984440"/>
    <w:rsid w:val="6EDC779D"/>
    <w:rsid w:val="6F2779FA"/>
    <w:rsid w:val="6F31757B"/>
    <w:rsid w:val="6F4E19BC"/>
    <w:rsid w:val="6F8D3271"/>
    <w:rsid w:val="6FA06137"/>
    <w:rsid w:val="6FD27809"/>
    <w:rsid w:val="6FD470DF"/>
    <w:rsid w:val="6FDD3A71"/>
    <w:rsid w:val="70122E03"/>
    <w:rsid w:val="70172021"/>
    <w:rsid w:val="703872D9"/>
    <w:rsid w:val="703B2D36"/>
    <w:rsid w:val="703C797C"/>
    <w:rsid w:val="70834F67"/>
    <w:rsid w:val="70AD4135"/>
    <w:rsid w:val="71243C59"/>
    <w:rsid w:val="712D4759"/>
    <w:rsid w:val="714E08D3"/>
    <w:rsid w:val="71640D68"/>
    <w:rsid w:val="72347EB3"/>
    <w:rsid w:val="72AA66C1"/>
    <w:rsid w:val="72E46276"/>
    <w:rsid w:val="72ED4EAB"/>
    <w:rsid w:val="731B5745"/>
    <w:rsid w:val="73852BAB"/>
    <w:rsid w:val="73E73CEF"/>
    <w:rsid w:val="740A6D83"/>
    <w:rsid w:val="746E51E2"/>
    <w:rsid w:val="74814BF7"/>
    <w:rsid w:val="751C3136"/>
    <w:rsid w:val="75EF39D8"/>
    <w:rsid w:val="762E4374"/>
    <w:rsid w:val="768E058B"/>
    <w:rsid w:val="774626EC"/>
    <w:rsid w:val="774719CA"/>
    <w:rsid w:val="774753C0"/>
    <w:rsid w:val="776048C8"/>
    <w:rsid w:val="776F429E"/>
    <w:rsid w:val="777A2396"/>
    <w:rsid w:val="77FE6B23"/>
    <w:rsid w:val="785E0C86"/>
    <w:rsid w:val="78687345"/>
    <w:rsid w:val="78FC1A12"/>
    <w:rsid w:val="79070ACB"/>
    <w:rsid w:val="794D3878"/>
    <w:rsid w:val="794F3D3E"/>
    <w:rsid w:val="79C96D9D"/>
    <w:rsid w:val="79F37642"/>
    <w:rsid w:val="7A021FB2"/>
    <w:rsid w:val="7A2E1215"/>
    <w:rsid w:val="7A4042DC"/>
    <w:rsid w:val="7A635A42"/>
    <w:rsid w:val="7AB22A12"/>
    <w:rsid w:val="7B341B20"/>
    <w:rsid w:val="7B4243D6"/>
    <w:rsid w:val="7B66335D"/>
    <w:rsid w:val="7B7F7F7B"/>
    <w:rsid w:val="7BA06ED1"/>
    <w:rsid w:val="7BB90B5B"/>
    <w:rsid w:val="7BC07AB0"/>
    <w:rsid w:val="7C0F6C70"/>
    <w:rsid w:val="7C362005"/>
    <w:rsid w:val="7C5111D1"/>
    <w:rsid w:val="7C730801"/>
    <w:rsid w:val="7C8F68E3"/>
    <w:rsid w:val="7CD6006E"/>
    <w:rsid w:val="7CF7002F"/>
    <w:rsid w:val="7CFC9026"/>
    <w:rsid w:val="7D684D3E"/>
    <w:rsid w:val="7DA4453E"/>
    <w:rsid w:val="7DBD6604"/>
    <w:rsid w:val="7DFD7EAA"/>
    <w:rsid w:val="7E8A7362"/>
    <w:rsid w:val="7E8A7E0E"/>
    <w:rsid w:val="7EB51F05"/>
    <w:rsid w:val="7ED30DB5"/>
    <w:rsid w:val="7F112F7E"/>
    <w:rsid w:val="7F9B53E8"/>
    <w:rsid w:val="7FB441AD"/>
    <w:rsid w:val="7FEFD41B"/>
    <w:rsid w:val="7FF15DEF"/>
    <w:rsid w:val="7FFA4676"/>
    <w:rsid w:val="9F7D1EB8"/>
    <w:rsid w:val="FD7DE7EB"/>
    <w:rsid w:val="FF6E75E2"/>
    <w:rsid w:val="FF9F37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iPriority="99"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kern w:val="44"/>
      <w:sz w:val="44"/>
    </w:rPr>
  </w:style>
  <w:style w:type="paragraph" w:styleId="3">
    <w:name w:val="heading 2"/>
    <w:basedOn w:val="1"/>
    <w:next w:val="1"/>
    <w:qFormat/>
    <w:uiPriority w:val="0"/>
    <w:pPr>
      <w:keepNext/>
      <w:keepLines/>
      <w:autoSpaceDE/>
      <w:autoSpaceDN/>
      <w:adjustRightInd/>
      <w:spacing w:before="260" w:beforeLines="0" w:after="260" w:afterLines="0" w:line="413" w:lineRule="auto"/>
      <w:outlineLvl w:val="1"/>
    </w:pPr>
    <w:rPr>
      <w:rFonts w:ascii="Arial" w:hAnsi="Arial" w:eastAsia="黑体" w:cs="Times New Roman"/>
      <w:b/>
      <w:bCs/>
      <w:color w:val="auto"/>
      <w:kern w:val="2"/>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3" w:lineRule="auto"/>
      <w:outlineLvl w:val="2"/>
    </w:pPr>
    <w:rPr>
      <w:rFonts w:ascii="Times New Roman" w:hAnsi="Times New Roman" w:eastAsia="宋体" w:cs="Times New Roman"/>
      <w:b/>
      <w:bCs/>
      <w:color w:val="000000"/>
      <w:kern w:val="0"/>
      <w:sz w:val="32"/>
      <w:szCs w:val="32"/>
    </w:rPr>
  </w:style>
  <w:style w:type="paragraph" w:styleId="5">
    <w:name w:val="heading 4"/>
    <w:basedOn w:val="1"/>
    <w:next w:val="1"/>
    <w:qFormat/>
    <w:uiPriority w:val="0"/>
    <w:pPr>
      <w:keepNext/>
      <w:keepLines/>
      <w:spacing w:before="280" w:after="290" w:line="377" w:lineRule="auto"/>
      <w:outlineLvl w:val="3"/>
    </w:pPr>
    <w:rPr>
      <w:rFonts w:ascii="Cambria" w:hAnsi="Cambria" w:eastAsia="黑体"/>
      <w:b/>
      <w:bCs/>
      <w:kern w:val="2"/>
      <w:sz w:val="24"/>
      <w:szCs w:val="28"/>
      <w:lang w:val="en-US" w:eastAsia="zh-CN" w:bidi="ar-SA"/>
    </w:rPr>
  </w:style>
  <w:style w:type="paragraph" w:styleId="6">
    <w:name w:val="heading 6"/>
    <w:basedOn w:val="1"/>
    <w:next w:val="1"/>
    <w:qFormat/>
    <w:uiPriority w:val="0"/>
    <w:pPr>
      <w:keepNext/>
      <w:keepLines/>
      <w:widowControl/>
      <w:tabs>
        <w:tab w:val="left" w:pos="1152"/>
      </w:tabs>
      <w:overflowPunct w:val="0"/>
      <w:adjustRightInd w:val="0"/>
      <w:snapToGrid w:val="0"/>
      <w:spacing w:beforeLines="0" w:after="120" w:line="360" w:lineRule="auto"/>
      <w:ind w:left="1152" w:hanging="1152"/>
      <w:textAlignment w:val="baseline"/>
      <w:outlineLvl w:val="5"/>
    </w:pPr>
    <w:rPr>
      <w:kern w:val="24"/>
      <w:sz w:val="24"/>
    </w:rPr>
  </w:style>
  <w:style w:type="character" w:default="1" w:styleId="32">
    <w:name w:val="Default Paragraph Font"/>
    <w:qFormat/>
    <w:uiPriority w:val="0"/>
    <w:rPr>
      <w:rFonts w:ascii="Tahoma" w:hAnsi="Tahoma" w:eastAsia="宋体" w:cs="Times New Roman"/>
      <w:color w:val="auto"/>
      <w:kern w:val="2"/>
      <w:sz w:val="24"/>
      <w:szCs w:val="20"/>
    </w:rPr>
  </w:style>
  <w:style w:type="table" w:default="1" w:styleId="3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cs="Times New Roman"/>
      <w:szCs w:val="22"/>
    </w:rPr>
  </w:style>
  <w:style w:type="paragraph" w:styleId="8">
    <w:name w:val="index 5"/>
    <w:basedOn w:val="1"/>
    <w:next w:val="1"/>
    <w:qFormat/>
    <w:uiPriority w:val="0"/>
    <w:pPr>
      <w:ind w:left="800" w:leftChars="800"/>
    </w:pPr>
  </w:style>
  <w:style w:type="paragraph" w:styleId="9">
    <w:name w:val="annotation text"/>
    <w:basedOn w:val="1"/>
    <w:unhideWhenUsed/>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qFormat/>
    <w:uiPriority w:val="0"/>
    <w:pPr>
      <w:spacing w:after="120" w:afterLines="0"/>
    </w:pPr>
    <w:rPr>
      <w:rFonts w:ascii="Times New Roman" w:hAnsi="Times New Roman" w:eastAsia="宋体" w:cs="Times New Roman"/>
    </w:rPr>
  </w:style>
  <w:style w:type="paragraph" w:styleId="12">
    <w:name w:val="Body Text Indent"/>
    <w:basedOn w:val="1"/>
    <w:next w:val="13"/>
    <w:link w:val="42"/>
    <w:qFormat/>
    <w:uiPriority w:val="0"/>
    <w:pPr>
      <w:spacing w:before="156" w:beforeLines="50"/>
      <w:ind w:firstLine="420" w:firstLineChars="200"/>
    </w:pPr>
    <w:rPr>
      <w:rFonts w:ascii="仿宋_GB2312" w:hAnsi="Tahoma" w:eastAsia="仿宋_GB2312"/>
      <w:sz w:val="32"/>
      <w:szCs w:val="21"/>
    </w:rPr>
  </w:style>
  <w:style w:type="paragraph" w:styleId="13">
    <w:name w:val="envelope return"/>
    <w:basedOn w:val="1"/>
    <w:unhideWhenUsed/>
    <w:qFormat/>
    <w:uiPriority w:val="99"/>
    <w:pPr>
      <w:snapToGrid w:val="0"/>
    </w:pPr>
    <w:rPr>
      <w:rFonts w:ascii="Arial" w:hAnsi="Arial"/>
    </w:rPr>
  </w:style>
  <w:style w:type="paragraph" w:styleId="14">
    <w:name w:val="List Number 3"/>
    <w:basedOn w:val="1"/>
    <w:qFormat/>
    <w:uiPriority w:val="0"/>
    <w:pPr>
      <w:numPr>
        <w:ilvl w:val="0"/>
        <w:numId w:val="1"/>
      </w:numPr>
    </w:pPr>
    <w:rPr>
      <w:rFonts w:ascii="Times New Roman" w:hAnsi="Times New Roman" w:eastAsia="宋体" w:cs="Times New Roman"/>
    </w:rPr>
  </w:style>
  <w:style w:type="paragraph" w:styleId="15">
    <w:name w:val="Plain Text"/>
    <w:basedOn w:val="1"/>
    <w:next w:val="16"/>
    <w:qFormat/>
    <w:uiPriority w:val="0"/>
    <w:pPr>
      <w:autoSpaceDE/>
      <w:autoSpaceDN/>
      <w:adjustRightInd/>
    </w:pPr>
    <w:rPr>
      <w:rFonts w:ascii="Times New Roman" w:hAnsi="Times New Roman" w:eastAsia="宋体" w:cs="Times New Roman"/>
      <w:color w:val="auto"/>
      <w:kern w:val="2"/>
      <w:sz w:val="24"/>
      <w:szCs w:val="20"/>
    </w:rPr>
  </w:style>
  <w:style w:type="paragraph" w:styleId="16">
    <w:name w:val="index 7"/>
    <w:basedOn w:val="1"/>
    <w:next w:val="1"/>
    <w:qFormat/>
    <w:uiPriority w:val="0"/>
    <w:pPr>
      <w:ind w:left="1200" w:leftChars="1200"/>
    </w:pPr>
    <w:rPr>
      <w:rFonts w:ascii="Times New Roman" w:hAnsi="Times New Roman" w:eastAsia="宋体" w:cs="Times New Roman"/>
    </w:rPr>
  </w:style>
  <w:style w:type="paragraph" w:styleId="17">
    <w:name w:val="Body Text Indent 2"/>
    <w:basedOn w:val="1"/>
    <w:semiHidden/>
    <w:unhideWhenUsed/>
    <w:qFormat/>
    <w:uiPriority w:val="99"/>
    <w:pPr>
      <w:spacing w:after="120" w:line="480" w:lineRule="auto"/>
      <w:ind w:left="420" w:leftChars="200"/>
    </w:pPr>
  </w:style>
  <w:style w:type="paragraph" w:styleId="18">
    <w:name w:val="Balloon Text"/>
    <w:basedOn w:val="1"/>
    <w:qFormat/>
    <w:uiPriority w:val="0"/>
    <w:rPr>
      <w:rFonts w:ascii="Times New Roman" w:hAnsi="Times New Roman" w:eastAsia="宋体" w:cs="Times New Roman"/>
      <w:sz w:val="18"/>
      <w:szCs w:val="18"/>
    </w:rPr>
  </w:style>
  <w:style w:type="paragraph" w:styleId="1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toc 6"/>
    <w:basedOn w:val="1"/>
    <w:next w:val="1"/>
    <w:unhideWhenUsed/>
    <w:qFormat/>
    <w:uiPriority w:val="39"/>
    <w:pPr>
      <w:widowControl w:val="0"/>
      <w:ind w:left="2100" w:leftChars="1000"/>
      <w:jc w:val="both"/>
    </w:pPr>
    <w:rPr>
      <w:rFonts w:ascii="等线" w:hAnsi="等线" w:eastAsia="等线" w:cs="Times New Roman"/>
      <w:kern w:val="2"/>
      <w:sz w:val="21"/>
      <w:szCs w:val="22"/>
      <w:lang w:val="en-US" w:eastAsia="zh-CN" w:bidi="ar-SA"/>
    </w:rPr>
  </w:style>
  <w:style w:type="paragraph" w:styleId="22">
    <w:name w:val="Body Text Indent 3"/>
    <w:basedOn w:val="1"/>
    <w:qFormat/>
    <w:uiPriority w:val="0"/>
    <w:pPr>
      <w:autoSpaceDE/>
      <w:autoSpaceDN/>
      <w:adjustRightInd/>
      <w:ind w:firstLine="435"/>
    </w:pPr>
    <w:rPr>
      <w:color w:val="auto"/>
      <w:kern w:val="2"/>
      <w:szCs w:val="24"/>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0"/>
    <w:pPr>
      <w:ind w:left="420" w:leftChars="200"/>
    </w:pPr>
    <w:rPr>
      <w:szCs w:val="20"/>
    </w:rPr>
  </w:style>
  <w:style w:type="paragraph" w:styleId="25">
    <w:name w:val="Body Text 2"/>
    <w:basedOn w:val="1"/>
    <w:qFormat/>
    <w:uiPriority w:val="0"/>
    <w:pPr>
      <w:spacing w:after="120" w:afterLines="0" w:line="480" w:lineRule="auto"/>
    </w:pPr>
  </w:style>
  <w:style w:type="paragraph" w:styleId="26">
    <w:name w:val="Normal (Web)"/>
    <w:basedOn w:val="1"/>
    <w:qFormat/>
    <w:uiPriority w:val="0"/>
    <w:pPr>
      <w:widowControl/>
      <w:autoSpaceDE/>
      <w:autoSpaceDN/>
      <w:adjustRightInd/>
      <w:spacing w:before="100" w:beforeLines="0" w:beforeAutospacing="1" w:after="100" w:afterLines="0" w:afterAutospacing="1"/>
      <w:jc w:val="left"/>
    </w:pPr>
    <w:rPr>
      <w:rFonts w:ascii="宋体" w:hAnsi="宋体" w:eastAsia="宋体" w:cs="宋体"/>
      <w:color w:val="auto"/>
      <w:sz w:val="24"/>
      <w:szCs w:val="24"/>
    </w:rPr>
  </w:style>
  <w:style w:type="paragraph" w:styleId="27">
    <w:name w:val="Title"/>
    <w:basedOn w:val="1"/>
    <w:next w:val="1"/>
    <w:qFormat/>
    <w:uiPriority w:val="99"/>
    <w:pPr>
      <w:widowControl/>
      <w:overflowPunct w:val="0"/>
      <w:autoSpaceDE w:val="0"/>
      <w:autoSpaceDN w:val="0"/>
      <w:jc w:val="center"/>
      <w:textAlignment w:val="baseline"/>
    </w:pPr>
    <w:rPr>
      <w:b/>
      <w:kern w:val="0"/>
      <w:sz w:val="24"/>
      <w:szCs w:val="20"/>
      <w:lang w:val="en-GB"/>
    </w:rPr>
  </w:style>
  <w:style w:type="paragraph" w:styleId="28">
    <w:name w:val="Body Text First Indent"/>
    <w:basedOn w:val="11"/>
    <w:next w:val="21"/>
    <w:qFormat/>
    <w:uiPriority w:val="0"/>
    <w:pPr>
      <w:spacing w:line="312" w:lineRule="auto"/>
      <w:ind w:firstLine="420"/>
    </w:pPr>
    <w:rPr>
      <w:szCs w:val="24"/>
    </w:rPr>
  </w:style>
  <w:style w:type="paragraph" w:styleId="29">
    <w:name w:val="Body Text First Indent 2"/>
    <w:basedOn w:val="12"/>
    <w:next w:val="28"/>
    <w:qFormat/>
    <w:uiPriority w:val="99"/>
    <w:pPr>
      <w:autoSpaceDE/>
      <w:autoSpaceDN/>
      <w:adjustRightInd/>
      <w:spacing w:line="360" w:lineRule="auto"/>
      <w:ind w:firstLine="420" w:firstLineChars="200"/>
    </w:pPr>
    <w:rPr>
      <w:rFonts w:ascii="Calibri" w:hAnsi="Calibri"/>
      <w:color w:val="auto"/>
      <w:kern w:val="2"/>
      <w:sz w:val="24"/>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rPr>
      <w:rFonts w:ascii="Times New Roman" w:hAnsi="Times New Roman" w:eastAsia="宋体" w:cs="Times New Roman"/>
      <w:color w:val="auto"/>
      <w:kern w:val="2"/>
      <w:sz w:val="24"/>
      <w:szCs w:val="20"/>
    </w:rPr>
  </w:style>
  <w:style w:type="character" w:styleId="35">
    <w:name w:val="Hyperlink"/>
    <w:basedOn w:val="32"/>
    <w:unhideWhenUsed/>
    <w:qFormat/>
    <w:uiPriority w:val="99"/>
    <w:rPr>
      <w:color w:val="0000FF"/>
      <w:u w:val="single"/>
    </w:r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7">
    <w:name w:val="Body Text First Indent 21"/>
    <w:basedOn w:val="38"/>
    <w:qFormat/>
    <w:uiPriority w:val="0"/>
    <w:pPr>
      <w:ind w:firstLine="420"/>
    </w:pPr>
    <w:rPr>
      <w:rFonts w:cs="宋体"/>
    </w:rPr>
  </w:style>
  <w:style w:type="paragraph" w:customStyle="1" w:styleId="38">
    <w:name w:val="Body Text Indent1"/>
    <w:basedOn w:val="1"/>
    <w:next w:val="1"/>
    <w:qFormat/>
    <w:uiPriority w:val="0"/>
    <w:pPr>
      <w:spacing w:after="120"/>
      <w:ind w:left="420" w:leftChars="200"/>
    </w:pPr>
  </w:style>
  <w:style w:type="paragraph" w:customStyle="1" w:styleId="3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40">
    <w:name w:val="表格文字"/>
    <w:basedOn w:val="41"/>
    <w:next w:val="11"/>
    <w:qFormat/>
    <w:uiPriority w:val="0"/>
    <w:pPr>
      <w:widowControl w:val="0"/>
      <w:adjustRightInd w:val="0"/>
      <w:spacing w:line="420" w:lineRule="atLeast"/>
      <w:textAlignment w:val="baseline"/>
    </w:pPr>
  </w:style>
  <w:style w:type="paragraph" w:customStyle="1" w:styleId="41">
    <w:name w:val="表格文字（两侧对齐）"/>
    <w:basedOn w:val="1"/>
    <w:qFormat/>
    <w:uiPriority w:val="0"/>
    <w:pPr>
      <w:snapToGrid w:val="0"/>
    </w:pPr>
    <w:rPr>
      <w:sz w:val="20"/>
      <w:szCs w:val="24"/>
    </w:rPr>
  </w:style>
  <w:style w:type="character" w:customStyle="1" w:styleId="42">
    <w:name w:val="正文文本缩进 Char"/>
    <w:link w:val="12"/>
    <w:qFormat/>
    <w:uiPriority w:val="0"/>
    <w:rPr>
      <w:rFonts w:ascii="仿宋_GB2312" w:hAnsi="Tahoma" w:eastAsia="仿宋_GB2312" w:cs="Times New Roman"/>
      <w:color w:val="auto"/>
      <w:kern w:val="2"/>
      <w:sz w:val="32"/>
      <w:szCs w:val="21"/>
    </w:rPr>
  </w:style>
  <w:style w:type="paragraph" w:customStyle="1" w:styleId="43">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character" w:customStyle="1" w:styleId="44">
    <w:name w:val="apple-style-span"/>
    <w:qFormat/>
    <w:uiPriority w:val="0"/>
    <w:rPr>
      <w:rFonts w:ascii="Times New Roman" w:hAnsi="Times New Roman" w:eastAsia="宋体" w:cs="Times New Roman"/>
    </w:rPr>
  </w:style>
  <w:style w:type="character" w:customStyle="1" w:styleId="45">
    <w:name w:val="font41"/>
    <w:basedOn w:val="32"/>
    <w:qFormat/>
    <w:uiPriority w:val="0"/>
    <w:rPr>
      <w:rFonts w:hint="eastAsia" w:ascii="宋体" w:hAnsi="宋体" w:eastAsia="宋体" w:cs="宋体"/>
      <w:color w:val="000000"/>
      <w:kern w:val="2"/>
      <w:sz w:val="20"/>
      <w:szCs w:val="20"/>
      <w:u w:val="none"/>
    </w:rPr>
  </w:style>
  <w:style w:type="character" w:customStyle="1" w:styleId="46">
    <w:name w:val="font31"/>
    <w:basedOn w:val="32"/>
    <w:qFormat/>
    <w:uiPriority w:val="0"/>
    <w:rPr>
      <w:rFonts w:hint="eastAsia" w:ascii="宋体" w:hAnsi="宋体" w:eastAsia="宋体" w:cs="宋体"/>
      <w:color w:val="000000"/>
      <w:kern w:val="2"/>
      <w:sz w:val="20"/>
      <w:szCs w:val="20"/>
      <w:u w:val="none"/>
    </w:rPr>
  </w:style>
  <w:style w:type="character" w:customStyle="1" w:styleId="47">
    <w:name w:val="正文文本缩进 字符"/>
    <w:qFormat/>
    <w:uiPriority w:val="0"/>
    <w:rPr>
      <w:rFonts w:ascii="Tahoma" w:hAnsi="Tahoma" w:eastAsia="宋体" w:cs="Times New Roman"/>
      <w:color w:val="auto"/>
      <w:kern w:val="2"/>
      <w:sz w:val="21"/>
      <w:szCs w:val="24"/>
    </w:rPr>
  </w:style>
  <w:style w:type="character" w:customStyle="1" w:styleId="48">
    <w:name w:val="明显强调1"/>
    <w:qFormat/>
    <w:uiPriority w:val="0"/>
    <w:rPr>
      <w:rFonts w:ascii="Times New Roman" w:hAnsi="Times New Roman" w:eastAsia="宋体" w:cs="Times New Roman"/>
      <w:b/>
      <w:bCs/>
      <w:i/>
      <w:iCs/>
      <w:color w:val="4F81BD"/>
    </w:rPr>
  </w:style>
  <w:style w:type="character" w:customStyle="1" w:styleId="49">
    <w:name w:val="font01"/>
    <w:qFormat/>
    <w:uiPriority w:val="0"/>
    <w:rPr>
      <w:rFonts w:hint="eastAsia" w:ascii="宋体" w:hAnsi="宋体" w:eastAsia="宋体" w:cs="宋体"/>
      <w:color w:val="000000"/>
      <w:kern w:val="2"/>
      <w:sz w:val="22"/>
      <w:szCs w:val="22"/>
      <w:u w:val="none"/>
    </w:rPr>
  </w:style>
  <w:style w:type="character" w:customStyle="1" w:styleId="50">
    <w:name w:val="标题 1 Char Char"/>
    <w:qFormat/>
    <w:uiPriority w:val="0"/>
    <w:rPr>
      <w:rFonts w:ascii="Times New Roman" w:hAnsi="Times New Roman" w:eastAsia="宋体" w:cs="Times New Roman"/>
      <w:b/>
      <w:spacing w:val="-2"/>
      <w:sz w:val="24"/>
      <w:lang w:val="en-US" w:eastAsia="zh-CN"/>
    </w:rPr>
  </w:style>
  <w:style w:type="paragraph" w:customStyle="1" w:styleId="51">
    <w:name w:val=" Char3 Char Char Char"/>
    <w:basedOn w:val="1"/>
    <w:qFormat/>
    <w:uiPriority w:val="0"/>
    <w:rPr>
      <w:rFonts w:ascii="Tahoma" w:hAnsi="Tahoma" w:eastAsia="宋体" w:cs="Times New Roman"/>
      <w:color w:val="auto"/>
      <w:kern w:val="2"/>
      <w:sz w:val="24"/>
      <w:szCs w:val="20"/>
    </w:rPr>
  </w:style>
  <w:style w:type="paragraph" w:customStyle="1" w:styleId="52">
    <w:name w:val="章正文"/>
    <w:basedOn w:val="1"/>
    <w:qFormat/>
    <w:uiPriority w:val="0"/>
    <w:pPr>
      <w:spacing w:before="156" w:beforeLines="50" w:after="120" w:line="300" w:lineRule="auto"/>
      <w:ind w:firstLine="480"/>
    </w:pPr>
    <w:rPr>
      <w:rFonts w:ascii="Helvetica" w:hAnsi="Helvetica"/>
      <w:sz w:val="24"/>
      <w:szCs w:val="24"/>
    </w:rPr>
  </w:style>
  <w:style w:type="paragraph" w:customStyle="1" w:styleId="53">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4">
    <w:name w:val="列出段落2"/>
    <w:basedOn w:val="1"/>
    <w:unhideWhenUsed/>
    <w:qFormat/>
    <w:uiPriority w:val="34"/>
    <w:pPr>
      <w:ind w:firstLine="420" w:firstLineChars="200"/>
    </w:pPr>
    <w:rPr>
      <w:rFonts w:ascii="等线" w:hAnsi="等线" w:eastAsia="等线"/>
      <w:szCs w:val="22"/>
    </w:rPr>
  </w:style>
  <w:style w:type="paragraph" w:customStyle="1" w:styleId="55">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56">
    <w:name w:val="Body Text First Indent 2"/>
    <w:basedOn w:val="57"/>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57">
    <w:name w:val="Body Text Indent"/>
    <w:basedOn w:val="1"/>
    <w:next w:val="1"/>
    <w:qFormat/>
    <w:uiPriority w:val="0"/>
    <w:pPr>
      <w:spacing w:after="120" w:afterLines="0"/>
      <w:ind w:left="420" w:leftChars="200"/>
    </w:pPr>
    <w:rPr>
      <w:color w:val="000000"/>
      <w:sz w:val="21"/>
      <w:szCs w:val="21"/>
    </w:rPr>
  </w:style>
  <w:style w:type="paragraph" w:customStyle="1" w:styleId="58">
    <w:name w:val="列出段落1"/>
    <w:basedOn w:val="1"/>
    <w:qFormat/>
    <w:uiPriority w:val="0"/>
    <w:pPr>
      <w:autoSpaceDE/>
      <w:autoSpaceDN/>
      <w:adjustRightInd/>
      <w:spacing w:line="360" w:lineRule="auto"/>
      <w:ind w:firstLine="200" w:firstLineChars="200"/>
    </w:pPr>
    <w:rPr>
      <w:rFonts w:ascii="Times New Roman" w:hAnsi="Times New Roman" w:eastAsia="楷体_GB2312" w:cs="Lucida Sans"/>
      <w:color w:val="auto"/>
      <w:kern w:val="2"/>
      <w:sz w:val="24"/>
      <w:szCs w:val="24"/>
    </w:rPr>
  </w:style>
  <w:style w:type="paragraph" w:customStyle="1" w:styleId="59">
    <w:name w:val="正文文本首行缩进11"/>
    <w:basedOn w:val="11"/>
    <w:qFormat/>
    <w:uiPriority w:val="0"/>
    <w:pPr>
      <w:ind w:firstLine="420" w:firstLineChars="100"/>
    </w:pPr>
  </w:style>
  <w:style w:type="paragraph" w:customStyle="1" w:styleId="60">
    <w:name w:val="p0"/>
    <w:next w:val="16"/>
    <w:qFormat/>
    <w:uiPriority w:val="0"/>
    <w:pPr>
      <w:snapToGrid w:val="0"/>
    </w:pPr>
    <w:rPr>
      <w:rFonts w:ascii="Times New Roman" w:hAnsi="Times New Roman" w:eastAsia="宋体" w:cs="Times New Roman"/>
      <w:sz w:val="21"/>
      <w:szCs w:val="21"/>
      <w:lang w:val="en-US" w:eastAsia="zh-CN" w:bidi="ar-SA"/>
    </w:rPr>
  </w:style>
  <w:style w:type="paragraph" w:customStyle="1" w:styleId="61">
    <w:name w:val="正文表标题"/>
    <w:next w:val="1"/>
    <w:qFormat/>
    <w:uiPriority w:val="0"/>
    <w:pPr>
      <w:numPr>
        <w:ilvl w:val="0"/>
        <w:numId w:val="2"/>
      </w:numPr>
      <w:tabs>
        <w:tab w:val="left" w:pos="360"/>
        <w:tab w:val="clear" w:pos="432"/>
      </w:tabs>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6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正文段"/>
    <w:basedOn w:val="1"/>
    <w:next w:val="8"/>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64">
    <w:name w:val="xc正文"/>
    <w:basedOn w:val="1"/>
    <w:qFormat/>
    <w:uiPriority w:val="0"/>
    <w:pPr>
      <w:ind w:firstLine="200" w:firstLineChars="200"/>
    </w:pPr>
    <w:rPr>
      <w:rFonts w:ascii="Times New Roman" w:hAnsi="Times New Roman" w:eastAsia="宋体" w:cs="Times New Roman"/>
      <w:szCs w:val="24"/>
    </w:rPr>
  </w:style>
  <w:style w:type="paragraph" w:customStyle="1" w:styleId="65">
    <w:name w:val="正文01"/>
    <w:basedOn w:val="1"/>
    <w:qFormat/>
    <w:uiPriority w:val="0"/>
    <w:pPr>
      <w:spacing w:before="60" w:beforeLines="0" w:line="460" w:lineRule="exact"/>
      <w:ind w:firstLine="200" w:firstLineChars="200"/>
    </w:pPr>
    <w:rPr>
      <w:bCs/>
      <w:sz w:val="24"/>
      <w:szCs w:val="24"/>
    </w:rPr>
  </w:style>
  <w:style w:type="paragraph" w:customStyle="1" w:styleId="66">
    <w:name w:val="H 正文"/>
    <w:basedOn w:val="12"/>
    <w:qFormat/>
    <w:uiPriority w:val="0"/>
    <w:pPr>
      <w:tabs>
        <w:tab w:val="left" w:pos="0"/>
      </w:tabs>
      <w:spacing w:line="360" w:lineRule="auto"/>
      <w:ind w:firstLine="480" w:firstLineChars="196"/>
    </w:pPr>
    <w:rPr>
      <w:rFonts w:ascii="宋体" w:hAnsi="宋体" w:eastAsia="Arial" w:cs="Century"/>
      <w:spacing w:val="2"/>
      <w:sz w:val="24"/>
      <w:szCs w:val="24"/>
      <w:lang w:val="zh-CN"/>
    </w:rPr>
  </w:style>
  <w:style w:type="paragraph" w:customStyle="1" w:styleId="67">
    <w:name w:val="Body Text First Indent"/>
    <w:basedOn w:val="11"/>
    <w:qFormat/>
    <w:uiPriority w:val="0"/>
    <w:pPr>
      <w:ind w:firstLine="420" w:firstLineChars="100"/>
    </w:pPr>
  </w:style>
  <w:style w:type="paragraph" w:customStyle="1" w:styleId="68">
    <w:name w:val="!我的正文 Ctr+Q"/>
    <w:basedOn w:val="1"/>
    <w:qFormat/>
    <w:uiPriority w:val="0"/>
    <w:pPr>
      <w:autoSpaceDE/>
      <w:autoSpaceDN/>
      <w:snapToGrid w:val="0"/>
      <w:spacing w:line="360" w:lineRule="auto"/>
      <w:ind w:firstLine="480" w:firstLineChars="200"/>
    </w:pPr>
    <w:rPr>
      <w:rFonts w:ascii="Arial" w:hAnsi="Arial" w:eastAsia="宋体" w:cs="Times New Roman"/>
      <w:color w:val="auto"/>
      <w:sz w:val="24"/>
    </w:rPr>
  </w:style>
  <w:style w:type="paragraph" w:customStyle="1" w:styleId="69">
    <w:name w:val="Char Char Char Char1"/>
    <w:basedOn w:val="1"/>
    <w:qFormat/>
    <w:uiPriority w:val="0"/>
    <w:pPr>
      <w:autoSpaceDE/>
      <w:autoSpaceDN/>
      <w:adjustRightInd/>
    </w:pPr>
    <w:rPr>
      <w:rFonts w:ascii="Tahoma" w:hAnsi="Tahoma" w:eastAsia="宋体" w:cs="Times New Roman"/>
      <w:color w:val="auto"/>
      <w:kern w:val="2"/>
      <w:sz w:val="24"/>
      <w:szCs w:val="20"/>
    </w:rPr>
  </w:style>
  <w:style w:type="paragraph" w:customStyle="1" w:styleId="70">
    <w:name w:val="正文文字2"/>
    <w:basedOn w:val="11"/>
    <w:qFormat/>
    <w:uiPriority w:val="0"/>
    <w:pPr>
      <w:autoSpaceDE/>
      <w:autoSpaceDN/>
      <w:spacing w:after="60" w:afterLines="0" w:line="360" w:lineRule="atLeast"/>
      <w:ind w:left="72" w:right="72"/>
      <w:jc w:val="center"/>
      <w:textAlignment w:val="baseline"/>
    </w:pPr>
    <w:rPr>
      <w:rFonts w:ascii="Arial" w:hAnsi="Times New Roman" w:eastAsia="黑体" w:cs="Times New Roman"/>
      <w:color w:val="auto"/>
      <w:szCs w:val="20"/>
    </w:rPr>
  </w:style>
  <w:style w:type="paragraph" w:customStyle="1" w:styleId="71">
    <w:name w:val="纯文本1"/>
    <w:basedOn w:val="1"/>
    <w:qFormat/>
    <w:uiPriority w:val="0"/>
    <w:pPr>
      <w:ind w:firstLine="280" w:firstLineChars="100"/>
    </w:pPr>
    <w:rPr>
      <w:rFonts w:ascii="Times New Roman" w:hAnsi="宋体" w:eastAsia="宋体" w:cs="Courier New"/>
      <w:szCs w:val="21"/>
    </w:rPr>
  </w:style>
  <w:style w:type="paragraph" w:customStyle="1" w:styleId="72">
    <w:name w:val="二级条标题"/>
    <w:basedOn w:val="1"/>
    <w:next w:val="1"/>
    <w:qFormat/>
    <w:uiPriority w:val="0"/>
    <w:pPr>
      <w:numPr>
        <w:ilvl w:val="2"/>
        <w:numId w:val="3"/>
      </w:numPr>
      <w:adjustRightInd/>
      <w:snapToGrid/>
      <w:spacing w:before="50" w:beforeLines="0" w:after="50" w:afterLines="0"/>
      <w:outlineLvl w:val="3"/>
    </w:pPr>
    <w:rPr>
      <w:rFonts w:ascii="黑体" w:hAnsi="Times New Roman" w:eastAsia="黑体" w:cs="Times New Roman"/>
      <w:sz w:val="21"/>
      <w:szCs w:val="21"/>
    </w:rPr>
  </w:style>
  <w:style w:type="paragraph" w:customStyle="1" w:styleId="73">
    <w:name w:val="Table Paragraph"/>
    <w:basedOn w:val="1"/>
    <w:qFormat/>
    <w:uiPriority w:val="1"/>
    <w:pPr>
      <w:autoSpaceDE w:val="0"/>
      <w:autoSpaceDN w:val="0"/>
      <w:adjustRightInd w:val="0"/>
      <w:jc w:val="left"/>
    </w:pPr>
    <w:rPr>
      <w:kern w:val="0"/>
      <w:sz w:val="24"/>
    </w:rPr>
  </w:style>
  <w:style w:type="paragraph" w:customStyle="1" w:styleId="74">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75">
    <w:name w:val="List Paragraph"/>
    <w:basedOn w:val="1"/>
    <w:qFormat/>
    <w:uiPriority w:val="0"/>
    <w:pPr>
      <w:ind w:firstLine="420" w:firstLineChars="200"/>
    </w:pPr>
    <w:rPr>
      <w:rFonts w:ascii="Times New Roman" w:hAnsi="Times New Roman" w:eastAsia="宋体" w:cs="Times New Roman"/>
    </w:rPr>
  </w:style>
  <w:style w:type="character" w:customStyle="1" w:styleId="76">
    <w:name w:val="font101"/>
    <w:qFormat/>
    <w:uiPriority w:val="0"/>
    <w:rPr>
      <w:rFonts w:hint="eastAsia" w:ascii="宋体" w:hAnsi="宋体" w:eastAsia="宋体" w:cs="宋体"/>
      <w:color w:val="000000"/>
      <w:sz w:val="20"/>
      <w:szCs w:val="20"/>
      <w:u w:val="none"/>
    </w:rPr>
  </w:style>
  <w:style w:type="character" w:customStyle="1" w:styleId="77">
    <w:name w:val="font71"/>
    <w:qFormat/>
    <w:uiPriority w:val="0"/>
    <w:rPr>
      <w:rFonts w:hint="eastAsia" w:ascii="宋体" w:hAnsi="宋体" w:eastAsia="宋体" w:cs="宋体"/>
      <w:color w:val="000000"/>
      <w:sz w:val="20"/>
      <w:szCs w:val="20"/>
      <w:u w:val="none"/>
    </w:rPr>
  </w:style>
  <w:style w:type="paragraph" w:customStyle="1" w:styleId="78">
    <w:name w:val="reader-word-layer reader-word-s19-6"/>
    <w:basedOn w:val="1"/>
    <w:qFormat/>
    <w:uiPriority w:val="0"/>
    <w:pPr>
      <w:widowControl/>
      <w:autoSpaceDE/>
      <w:autoSpaceDN/>
      <w:adjustRightInd/>
      <w:spacing w:before="100" w:beforeLines="0" w:beforeAutospacing="1" w:after="100" w:afterLines="0" w:afterAutospacing="1"/>
      <w:jc w:val="left"/>
    </w:pPr>
    <w:rPr>
      <w:rFonts w:ascii="宋体" w:hAnsi="宋体" w:cs="宋体"/>
      <w:color w:val="auto"/>
      <w:sz w:val="24"/>
      <w:szCs w:val="24"/>
    </w:rPr>
  </w:style>
  <w:style w:type="paragraph" w:customStyle="1" w:styleId="79">
    <w:name w:val="reader-word-layer reader-word-s19-4"/>
    <w:basedOn w:val="1"/>
    <w:qFormat/>
    <w:uiPriority w:val="0"/>
    <w:pPr>
      <w:widowControl/>
      <w:autoSpaceDE/>
      <w:autoSpaceDN/>
      <w:adjustRightInd/>
      <w:spacing w:before="100" w:beforeLines="0" w:beforeAutospacing="1" w:after="100" w:afterLines="0" w:afterAutospacing="1"/>
      <w:jc w:val="left"/>
    </w:pPr>
    <w:rPr>
      <w:rFonts w:ascii="宋体" w:hAnsi="宋体" w:cs="宋体"/>
      <w:color w:val="auto"/>
      <w:sz w:val="24"/>
      <w:szCs w:val="24"/>
    </w:rPr>
  </w:style>
  <w:style w:type="character" w:customStyle="1" w:styleId="80">
    <w:name w:val="font122"/>
    <w:basedOn w:val="32"/>
    <w:qFormat/>
    <w:uiPriority w:val="0"/>
    <w:rPr>
      <w:rFonts w:hint="eastAsia" w:ascii="宋体" w:hAnsi="宋体" w:eastAsia="宋体" w:cs="宋体"/>
      <w:color w:val="000000"/>
      <w:sz w:val="22"/>
      <w:szCs w:val="22"/>
      <w:u w:val="none"/>
      <w:vertAlign w:val="superscript"/>
    </w:rPr>
  </w:style>
  <w:style w:type="paragraph" w:customStyle="1" w:styleId="81">
    <w:name w:val="Body Text 31"/>
    <w:basedOn w:val="1"/>
    <w:qFormat/>
    <w:uiPriority w:val="0"/>
    <w:pPr>
      <w:spacing w:after="120" w:afterLines="0"/>
    </w:pPr>
    <w:rPr>
      <w:sz w:val="16"/>
      <w:szCs w:val="16"/>
    </w:rPr>
  </w:style>
  <w:style w:type="paragraph" w:customStyle="1" w:styleId="82">
    <w:name w:val="正文缩进1"/>
    <w:qFormat/>
    <w:uiPriority w:val="99"/>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color w:val="000000"/>
      <w:kern w:val="0"/>
      <w:sz w:val="24"/>
      <w:szCs w:val="21"/>
      <w:lang w:val="en-US" w:eastAsia="zh-CN" w:bidi="ar-SA"/>
    </w:rPr>
  </w:style>
  <w:style w:type="paragraph" w:customStyle="1" w:styleId="83">
    <w:name w:val="表格"/>
    <w:basedOn w:val="1"/>
    <w:qFormat/>
    <w:uiPriority w:val="0"/>
    <w:pPr>
      <w:autoSpaceDE/>
      <w:autoSpaceDN/>
      <w:spacing w:line="360" w:lineRule="auto"/>
      <w:jc w:val="center"/>
    </w:pPr>
    <w:rPr>
      <w:color w:val="auto"/>
      <w:sz w:val="24"/>
      <w:szCs w:val="44"/>
    </w:rPr>
  </w:style>
  <w:style w:type="paragraph" w:customStyle="1" w:styleId="84">
    <w:name w:val="首行缩进"/>
    <w:basedOn w:val="1"/>
    <w:qFormat/>
    <w:uiPriority w:val="0"/>
    <w:pPr>
      <w:spacing w:line="360" w:lineRule="auto"/>
      <w:ind w:firstLine="480" w:firstLineChars="200"/>
    </w:pPr>
    <w:rPr>
      <w:sz w:val="24"/>
      <w:lang w:val="zh-CN"/>
    </w:rPr>
  </w:style>
  <w:style w:type="paragraph" w:customStyle="1" w:styleId="85">
    <w:name w:val="表格用"/>
    <w:basedOn w:val="1"/>
    <w:qFormat/>
    <w:uiPriority w:val="0"/>
    <w:rPr>
      <w:rFonts w:ascii="Times New Roman" w:hAnsi="Times New Roman" w:eastAsia="宋体" w:cs="Times New Roman"/>
      <w:kern w:val="0"/>
    </w:rPr>
  </w:style>
  <w:style w:type="paragraph" w:customStyle="1" w:styleId="86">
    <w:name w:val="正文_4"/>
    <w:qFormat/>
    <w:uiPriority w:val="0"/>
    <w:pPr>
      <w:widowControl w:val="0"/>
      <w:jc w:val="both"/>
    </w:pPr>
    <w:rPr>
      <w:rFonts w:ascii="Calibri" w:hAnsi="Calibri" w:eastAsia="等线" w:cs="Times New Roman"/>
      <w:kern w:val="2"/>
      <w:sz w:val="21"/>
      <w:szCs w:val="22"/>
      <w:lang w:val="en-US" w:eastAsia="zh-CN"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Table Text"/>
    <w:basedOn w:val="1"/>
    <w:semiHidden/>
    <w:qFormat/>
    <w:uiPriority w:val="0"/>
    <w:rPr>
      <w:rFonts w:ascii="宋体" w:hAnsi="宋体" w:eastAsia="宋体" w:cs="宋体"/>
      <w:sz w:val="24"/>
      <w:szCs w:val="24"/>
      <w:lang w:val="en-US" w:eastAsia="en-US" w:bidi="ar-SA"/>
    </w:rPr>
  </w:style>
  <w:style w:type="paragraph" w:customStyle="1" w:styleId="89">
    <w:name w:val="BodyText1I"/>
    <w:basedOn w:val="90"/>
    <w:next w:val="1"/>
    <w:qFormat/>
    <w:uiPriority w:val="0"/>
    <w:pPr>
      <w:spacing w:line="360" w:lineRule="auto"/>
      <w:ind w:firstLine="420"/>
      <w:jc w:val="both"/>
      <w:textAlignment w:val="baseline"/>
    </w:pPr>
    <w:rPr>
      <w:rFonts w:ascii="宋体" w:hAnsi="Times New Roman" w:eastAsia="宋体"/>
      <w:kern w:val="2"/>
      <w:sz w:val="24"/>
      <w:szCs w:val="20"/>
      <w:lang w:val="zh-CN" w:eastAsia="zh-CN" w:bidi="ar-SA"/>
    </w:rPr>
  </w:style>
  <w:style w:type="paragraph" w:customStyle="1" w:styleId="90">
    <w:name w:val="BodyText"/>
    <w:basedOn w:val="1"/>
    <w:next w:val="89"/>
    <w:qFormat/>
    <w:uiPriority w:val="0"/>
    <w:pPr>
      <w:spacing w:line="360" w:lineRule="auto"/>
      <w:jc w:val="both"/>
      <w:textAlignment w:val="baseline"/>
    </w:pPr>
    <w:rPr>
      <w:rFonts w:ascii="宋体" w:hAnsi="Arial" w:eastAsia="宋体"/>
      <w:kern w:val="2"/>
      <w:sz w:val="24"/>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lenovo\D:\home\lenovo\D:\home\lenovo\C:\Users\admin\Desktop\&#27425;&#22366;&#38215;&#39135;&#22530;&#37319;&#36141;&#35201;&#32032;&#38468;&#20214;&#21021;&#312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次坞镇食堂采购要素附件初稿</Template>
  <Pages>14</Pages>
  <Words>2641</Words>
  <Characters>2834</Characters>
  <Lines>106</Lines>
  <Paragraphs>29</Paragraphs>
  <TotalTime>0</TotalTime>
  <ScaleCrop>false</ScaleCrop>
  <LinksUpToDate>false</LinksUpToDate>
  <CharactersWithSpaces>2837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2020-04-03T09:02:00Z</dcterms:created>
  <dc:creator>广和政府采购代理</dc:creator>
  <cp:lastModifiedBy>WPS_1655029296</cp:lastModifiedBy>
  <cp:lastPrinted>2025-05-16T03:09:00Z</cp:lastPrinted>
  <dcterms:modified xsi:type="dcterms:W3CDTF">2026-01-07T08:18:38Z</dcterms:modified>
  <dc:title>诸暨市残疾人联合会大病医疗和意外伤害补充商业保险</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A2EC8CFD3EDC41A6B823C572CC6F08EC_13</vt:lpwstr>
  </property>
  <property fmtid="{D5CDD505-2E9C-101B-9397-08002B2CF9AE}" pid="4" name="KSOTemplateDocerSaveRecord">
    <vt:lpwstr>eyJoZGlkIjoiY2ZiOTQwM2Q1MWJhZmQ3MzFmZTU4OTNhNDBlM2Y0MDYiLCJ1c2VySWQiOiIxMzgyMTAzOTgzIn0=</vt:lpwstr>
  </property>
</Properties>
</file>