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B48B" w14:textId="77777777" w:rsidR="00906CE3" w:rsidRPr="00F9787C" w:rsidRDefault="00906CE3" w:rsidP="00906CE3">
      <w:pPr>
        <w:pStyle w:val="1"/>
        <w:keepNext w:val="0"/>
        <w:spacing w:line="360" w:lineRule="auto"/>
        <w:rPr>
          <w:rFonts w:asciiTheme="minorEastAsia" w:eastAsiaTheme="minorEastAsia" w:hAnsiTheme="minorEastAsia"/>
          <w:szCs w:val="32"/>
        </w:rPr>
      </w:pPr>
      <w:bookmarkStart w:id="0" w:name="_Toc89334070"/>
      <w:bookmarkStart w:id="1" w:name="_Toc139744207"/>
      <w:r w:rsidRPr="00F9787C">
        <w:rPr>
          <w:rFonts w:asciiTheme="minorEastAsia" w:eastAsiaTheme="minorEastAsia" w:hAnsiTheme="minorEastAsia"/>
          <w:szCs w:val="32"/>
        </w:rPr>
        <w:t>第六章</w:t>
      </w:r>
      <w:r w:rsidRPr="00F9787C">
        <w:rPr>
          <w:rFonts w:asciiTheme="minorEastAsia" w:eastAsiaTheme="minorEastAsia" w:hAnsiTheme="minorEastAsia" w:hint="eastAsia"/>
          <w:szCs w:val="32"/>
        </w:rPr>
        <w:t xml:space="preserve">  用户需求</w:t>
      </w:r>
      <w:bookmarkEnd w:id="0"/>
      <w:bookmarkEnd w:id="1"/>
    </w:p>
    <w:p w14:paraId="7B983579" w14:textId="77777777" w:rsidR="00906CE3" w:rsidRPr="00F9787C" w:rsidRDefault="00906CE3" w:rsidP="00906CE3">
      <w:pPr>
        <w:pStyle w:val="3"/>
        <w:rPr>
          <w:u w:val="none"/>
        </w:rPr>
      </w:pPr>
      <w:bookmarkStart w:id="2" w:name="_Toc139744208"/>
      <w:r w:rsidRPr="00F9787C">
        <w:rPr>
          <w:rFonts w:hint="eastAsia"/>
          <w:u w:val="none"/>
        </w:rPr>
        <w:t>一、项目背景介绍</w:t>
      </w:r>
      <w:bookmarkEnd w:id="2"/>
    </w:p>
    <w:p w14:paraId="19486243" w14:textId="77777777" w:rsidR="00906CE3" w:rsidRPr="00F9787C" w:rsidRDefault="00906CE3" w:rsidP="00906CE3">
      <w:pPr>
        <w:pStyle w:val="a5"/>
        <w:spacing w:line="276" w:lineRule="auto"/>
        <w:ind w:firstLineChars="202" w:firstLine="424"/>
        <w:rPr>
          <w:rFonts w:asciiTheme="minorEastAsia" w:eastAsiaTheme="minorEastAsia" w:hAnsiTheme="minorEastAsia"/>
          <w:szCs w:val="21"/>
        </w:rPr>
      </w:pPr>
      <w:r w:rsidRPr="00F9787C">
        <w:rPr>
          <w:rFonts w:asciiTheme="minorEastAsia" w:eastAsiaTheme="minorEastAsia" w:hAnsiTheme="minorEastAsia" w:cs="Arial" w:hint="eastAsia"/>
          <w:szCs w:val="21"/>
        </w:rPr>
        <w:t>2023年国银金融租赁股份有限公司将汽车租赁终端配套融资产品作为业务创新试点产品，旨在打造业务新赛道。为构筑汽车租赁终端配套融资产品的租后管理体系，现拟引入5家第三方合作催收机构为公司提供逾期租金催收、协商还款、回收车辆等服务，以满足业务发展需求。</w:t>
      </w:r>
    </w:p>
    <w:p w14:paraId="08EE6F32" w14:textId="77777777" w:rsidR="00906CE3" w:rsidRPr="00F9787C" w:rsidRDefault="00906CE3" w:rsidP="00906CE3">
      <w:pPr>
        <w:pStyle w:val="3"/>
        <w:rPr>
          <w:u w:val="none"/>
        </w:rPr>
      </w:pPr>
      <w:bookmarkStart w:id="3" w:name="_Toc139744209"/>
      <w:r w:rsidRPr="00F9787C">
        <w:rPr>
          <w:rFonts w:hint="eastAsia"/>
          <w:u w:val="none"/>
        </w:rPr>
        <w:t>二、项目内容及相关要求</w:t>
      </w:r>
      <w:bookmarkEnd w:id="3"/>
    </w:p>
    <w:p w14:paraId="3E2C9640"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（一）工作目标</w:t>
      </w:r>
    </w:p>
    <w:p w14:paraId="4F8CDADC"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本次开展汽车租赁终端配套融资产品第三方催收服务项目集中采购，工作目标是选取5家能够提供优质服务的第三方催收服务机构。</w:t>
      </w:r>
    </w:p>
    <w:p w14:paraId="69B4F9F1"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（二）工作内容</w:t>
      </w:r>
    </w:p>
    <w:p w14:paraId="5EE59274"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本次拟集中采购第三方催收服务机构适配我公司汽车租赁终端配套融资产品，并能够在全国范围内持续稳定地为我公司提供逾期租金催收、协商还款、回收车辆等服务，提高我公司产品的租后管理能力，降低业务逾期风险，提升资产质量。</w:t>
      </w:r>
    </w:p>
    <w:p w14:paraId="2830484E"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（三）工作要求</w:t>
      </w:r>
    </w:p>
    <w:p w14:paraId="5F529BD8"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1</w:t>
      </w:r>
      <w:r w:rsidRPr="00F9787C">
        <w:rPr>
          <w:rFonts w:asciiTheme="minorEastAsia" w:eastAsiaTheme="minorEastAsia" w:hAnsiTheme="minorEastAsia"/>
          <w:szCs w:val="21"/>
        </w:rPr>
        <w:t xml:space="preserve">. </w:t>
      </w:r>
      <w:r w:rsidRPr="00F9787C">
        <w:rPr>
          <w:rFonts w:asciiTheme="minorEastAsia" w:eastAsiaTheme="minorEastAsia" w:hAnsiTheme="minorEastAsia" w:hint="eastAsia"/>
          <w:szCs w:val="21"/>
        </w:rPr>
        <w:t>投标人资格条件除满足竞争性磋商邀请函第6条要求外，需满足以下标准：</w:t>
      </w:r>
    </w:p>
    <w:p w14:paraId="7F31A08E"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（1）具有独立承担民事责任的能力；</w:t>
      </w:r>
    </w:p>
    <w:p w14:paraId="2DE967CA"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（2）具有良好的商业信誉和健全的财务会计制度；</w:t>
      </w:r>
    </w:p>
    <w:p w14:paraId="6E3F8221"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（3）具有履行合同所必须的设备和专业技术能力；</w:t>
      </w:r>
    </w:p>
    <w:p w14:paraId="15700C59"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（4）有依法缴纳税收和社会保障资金的良好记录；</w:t>
      </w:r>
    </w:p>
    <w:p w14:paraId="06967C97"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（5）三年内，在经营活动中没有重大违法记录( 指因违法经营受到刑事处罚或者责令停产停业、吊销许可证或者执照、较大数额罚款等行政处罚)且未被列入失信被执行人、重大税收违法案件当事人名单和严重违法失信企业名单(以“信用中国”网站和"国家企业信用信息公示系统</w:t>
      </w:r>
      <w:proofErr w:type="gramStart"/>
      <w:r w:rsidRPr="00F9787C">
        <w:rPr>
          <w:rFonts w:asciiTheme="minorEastAsia" w:eastAsiaTheme="minorEastAsia" w:hAnsiTheme="minorEastAsia" w:hint="eastAsia"/>
          <w:szCs w:val="21"/>
        </w:rPr>
        <w:t>”</w:t>
      </w:r>
      <w:proofErr w:type="gramEnd"/>
      <w:r w:rsidRPr="00F9787C">
        <w:rPr>
          <w:rFonts w:asciiTheme="minorEastAsia" w:eastAsiaTheme="minorEastAsia" w:hAnsiTheme="minorEastAsia" w:hint="eastAsia"/>
          <w:szCs w:val="21"/>
        </w:rPr>
        <w:t>网站查询内容为准)。</w:t>
      </w:r>
    </w:p>
    <w:p w14:paraId="5636608E"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2</w:t>
      </w:r>
      <w:r w:rsidRPr="00F9787C">
        <w:rPr>
          <w:rFonts w:asciiTheme="minorEastAsia" w:eastAsiaTheme="minorEastAsia" w:hAnsiTheme="minorEastAsia"/>
          <w:szCs w:val="21"/>
        </w:rPr>
        <w:t xml:space="preserve">. </w:t>
      </w:r>
      <w:r w:rsidRPr="00F9787C">
        <w:rPr>
          <w:rFonts w:asciiTheme="minorEastAsia" w:eastAsiaTheme="minorEastAsia" w:hAnsiTheme="minorEastAsia" w:hint="eastAsia"/>
          <w:szCs w:val="21"/>
        </w:rPr>
        <w:t>我公司在合作协议期内将按照公司制度持续对投标人进行考核，</w:t>
      </w:r>
      <w:proofErr w:type="gramStart"/>
      <w:r w:rsidRPr="00F9787C">
        <w:rPr>
          <w:rFonts w:asciiTheme="minorEastAsia" w:eastAsiaTheme="minorEastAsia" w:hAnsiTheme="minorEastAsia" w:hint="eastAsia"/>
          <w:szCs w:val="21"/>
        </w:rPr>
        <w:t>若考核</w:t>
      </w:r>
      <w:proofErr w:type="gramEnd"/>
      <w:r w:rsidRPr="00F9787C">
        <w:rPr>
          <w:rFonts w:asciiTheme="minorEastAsia" w:eastAsiaTheme="minorEastAsia" w:hAnsiTheme="minorEastAsia" w:hint="eastAsia"/>
          <w:szCs w:val="21"/>
        </w:rPr>
        <w:t>结果达到公司要求，则可继续合作，若不能达到考核要求，则终止合作。</w:t>
      </w:r>
    </w:p>
    <w:p w14:paraId="7F230E29"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3</w:t>
      </w:r>
      <w:r w:rsidRPr="00F9787C">
        <w:rPr>
          <w:rFonts w:asciiTheme="minorEastAsia" w:eastAsiaTheme="minorEastAsia" w:hAnsiTheme="minorEastAsia"/>
          <w:szCs w:val="21"/>
        </w:rPr>
        <w:t xml:space="preserve">. </w:t>
      </w:r>
      <w:r w:rsidRPr="00F9787C">
        <w:rPr>
          <w:rFonts w:asciiTheme="minorEastAsia" w:eastAsiaTheme="minorEastAsia" w:hAnsiTheme="minorEastAsia" w:hint="eastAsia"/>
          <w:szCs w:val="21"/>
        </w:rPr>
        <w:t>合作开展满3个月后，我公司将按照公司制度按季度对投标人进行综合打分排名，并按照排名重新调整业务分配标准（业务分配机制见第六章用户需求第5节）。</w:t>
      </w:r>
    </w:p>
    <w:p w14:paraId="7EE32E48"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4</w:t>
      </w:r>
      <w:r w:rsidRPr="00F9787C">
        <w:rPr>
          <w:rFonts w:asciiTheme="minorEastAsia" w:eastAsiaTheme="minorEastAsia" w:hAnsiTheme="minorEastAsia"/>
          <w:szCs w:val="21"/>
        </w:rPr>
        <w:t xml:space="preserve">. </w:t>
      </w:r>
      <w:r w:rsidRPr="00F9787C">
        <w:rPr>
          <w:rFonts w:asciiTheme="minorEastAsia" w:eastAsiaTheme="minorEastAsia" w:hAnsiTheme="minorEastAsia" w:hint="eastAsia"/>
          <w:szCs w:val="21"/>
        </w:rPr>
        <w:t>为更好地建设我公司催收服务体系，提高催收机构的合作粘性，我公司将优先考虑与我公司汽车租赁终端配套融资产品（第一期）合作渠道</w:t>
      </w:r>
      <w:proofErr w:type="gramStart"/>
      <w:r w:rsidRPr="00F9787C">
        <w:rPr>
          <w:rFonts w:asciiTheme="minorEastAsia" w:eastAsiaTheme="minorEastAsia" w:hAnsiTheme="minorEastAsia" w:hint="eastAsia"/>
          <w:szCs w:val="21"/>
        </w:rPr>
        <w:t>商存在</w:t>
      </w:r>
      <w:proofErr w:type="gramEnd"/>
      <w:r w:rsidRPr="00F9787C">
        <w:rPr>
          <w:rFonts w:asciiTheme="minorEastAsia" w:eastAsiaTheme="minorEastAsia" w:hAnsiTheme="minorEastAsia" w:hint="eastAsia"/>
          <w:szCs w:val="21"/>
        </w:rPr>
        <w:t>业务合作的催收机构。</w:t>
      </w:r>
    </w:p>
    <w:p w14:paraId="6C7375DE" w14:textId="77777777" w:rsidR="00906CE3" w:rsidRPr="00F9787C" w:rsidRDefault="00906CE3" w:rsidP="00906CE3">
      <w:pPr>
        <w:spacing w:line="276" w:lineRule="auto"/>
        <w:ind w:firstLineChars="200" w:firstLine="420"/>
        <w:rPr>
          <w:rFonts w:asciiTheme="minorEastAsia" w:eastAsiaTheme="minorEastAsia" w:hAnsiTheme="minorEastAsia"/>
          <w:b/>
          <w:bCs/>
          <w:szCs w:val="21"/>
        </w:rPr>
      </w:pPr>
    </w:p>
    <w:p w14:paraId="247DAD47" w14:textId="77777777" w:rsidR="00906CE3" w:rsidRPr="00F9787C" w:rsidRDefault="00906CE3" w:rsidP="00906CE3">
      <w:pPr>
        <w:pStyle w:val="3"/>
        <w:rPr>
          <w:rFonts w:cs="宋体"/>
          <w:u w:val="none"/>
        </w:rPr>
      </w:pPr>
      <w:bookmarkStart w:id="4" w:name="_Toc139744210"/>
      <w:r w:rsidRPr="00F9787C">
        <w:rPr>
          <w:rFonts w:hint="eastAsia"/>
          <w:u w:val="none"/>
        </w:rPr>
        <w:t>三、管理费收取费率及支付方式</w:t>
      </w:r>
      <w:bookmarkEnd w:id="4"/>
    </w:p>
    <w:p w14:paraId="046D385D" w14:textId="77777777" w:rsidR="00906CE3" w:rsidRPr="00F9787C" w:rsidRDefault="00906CE3" w:rsidP="00906CE3">
      <w:pPr>
        <w:spacing w:line="360" w:lineRule="auto"/>
        <w:ind w:firstLineChars="200" w:firstLine="420"/>
        <w:rPr>
          <w:rFonts w:asciiTheme="minorEastAsia" w:eastAsiaTheme="minorEastAsia" w:hAnsiTheme="minorEastAsia" w:cs="宋体"/>
          <w:szCs w:val="21"/>
        </w:rPr>
      </w:pPr>
      <w:r w:rsidRPr="00F9787C">
        <w:rPr>
          <w:rFonts w:asciiTheme="minorEastAsia" w:eastAsiaTheme="minorEastAsia" w:hAnsiTheme="minorEastAsia" w:cs="宋体" w:hint="eastAsia"/>
          <w:szCs w:val="21"/>
        </w:rPr>
        <w:t>本项目的预算详见下表，超出预算的磋商报价将作无效标处理。</w:t>
      </w:r>
    </w:p>
    <w:tbl>
      <w:tblPr>
        <w:tblStyle w:val="a3"/>
        <w:tblW w:w="0" w:type="auto"/>
        <w:tblLook w:val="04A0" w:firstRow="1" w:lastRow="0" w:firstColumn="1" w:lastColumn="0" w:noHBand="0" w:noVBand="1"/>
      </w:tblPr>
      <w:tblGrid>
        <w:gridCol w:w="1555"/>
        <w:gridCol w:w="2593"/>
        <w:gridCol w:w="1943"/>
        <w:gridCol w:w="2205"/>
      </w:tblGrid>
      <w:tr w:rsidR="00906CE3" w:rsidRPr="00F9787C" w14:paraId="1AE235C1" w14:textId="77777777" w:rsidTr="005605C4">
        <w:tc>
          <w:tcPr>
            <w:tcW w:w="4148" w:type="dxa"/>
            <w:gridSpan w:val="2"/>
            <w:vAlign w:val="center"/>
          </w:tcPr>
          <w:p w14:paraId="6D180AC5" w14:textId="77777777" w:rsidR="00906CE3" w:rsidRPr="00F9787C" w:rsidRDefault="00906CE3" w:rsidP="005605C4">
            <w:pPr>
              <w:spacing w:line="360" w:lineRule="auto"/>
              <w:jc w:val="center"/>
              <w:rPr>
                <w:rFonts w:asciiTheme="minorEastAsia" w:eastAsiaTheme="minorEastAsia" w:hAnsiTheme="minorEastAsia" w:cs="宋体"/>
                <w:b/>
                <w:bCs/>
                <w:szCs w:val="21"/>
              </w:rPr>
            </w:pPr>
            <w:r w:rsidRPr="00F9787C">
              <w:rPr>
                <w:rFonts w:asciiTheme="minorEastAsia" w:eastAsiaTheme="minorEastAsia" w:hAnsiTheme="minorEastAsia" w:cs="宋体" w:hint="eastAsia"/>
                <w:b/>
                <w:bCs/>
                <w:szCs w:val="21"/>
              </w:rPr>
              <w:lastRenderedPageBreak/>
              <w:t>催收项目</w:t>
            </w:r>
          </w:p>
        </w:tc>
        <w:tc>
          <w:tcPr>
            <w:tcW w:w="1943" w:type="dxa"/>
            <w:vAlign w:val="center"/>
          </w:tcPr>
          <w:p w14:paraId="4E62103E" w14:textId="77777777" w:rsidR="00906CE3" w:rsidRPr="00F9787C" w:rsidRDefault="00906CE3" w:rsidP="005605C4">
            <w:pPr>
              <w:spacing w:line="360" w:lineRule="auto"/>
              <w:jc w:val="center"/>
              <w:rPr>
                <w:rFonts w:asciiTheme="minorEastAsia" w:eastAsiaTheme="minorEastAsia" w:hAnsiTheme="minorEastAsia" w:cs="宋体"/>
                <w:b/>
                <w:bCs/>
                <w:szCs w:val="21"/>
              </w:rPr>
            </w:pPr>
            <w:r w:rsidRPr="00F9787C">
              <w:rPr>
                <w:rFonts w:asciiTheme="minorEastAsia" w:eastAsiaTheme="minorEastAsia" w:hAnsiTheme="minorEastAsia" w:cs="宋体" w:hint="eastAsia"/>
                <w:b/>
                <w:bCs/>
                <w:szCs w:val="21"/>
              </w:rPr>
              <w:t>费率（含税）</w:t>
            </w:r>
          </w:p>
        </w:tc>
        <w:tc>
          <w:tcPr>
            <w:tcW w:w="2205" w:type="dxa"/>
            <w:vAlign w:val="center"/>
          </w:tcPr>
          <w:p w14:paraId="2315EAEC" w14:textId="77777777" w:rsidR="00906CE3" w:rsidRPr="00F9787C" w:rsidRDefault="00906CE3" w:rsidP="005605C4">
            <w:pPr>
              <w:spacing w:line="360" w:lineRule="auto"/>
              <w:jc w:val="center"/>
              <w:rPr>
                <w:rFonts w:asciiTheme="minorEastAsia" w:eastAsiaTheme="minorEastAsia" w:hAnsiTheme="minorEastAsia" w:cs="宋体"/>
                <w:b/>
                <w:bCs/>
                <w:szCs w:val="21"/>
              </w:rPr>
            </w:pPr>
            <w:r w:rsidRPr="00F9787C">
              <w:rPr>
                <w:rFonts w:asciiTheme="minorEastAsia" w:eastAsiaTheme="minorEastAsia" w:hAnsiTheme="minorEastAsia" w:cs="宋体" w:hint="eastAsia"/>
                <w:b/>
                <w:bCs/>
                <w:szCs w:val="21"/>
              </w:rPr>
              <w:t>备注</w:t>
            </w:r>
          </w:p>
        </w:tc>
      </w:tr>
      <w:tr w:rsidR="00906CE3" w:rsidRPr="00F9787C" w14:paraId="482AB5A6" w14:textId="77777777" w:rsidTr="005605C4">
        <w:tc>
          <w:tcPr>
            <w:tcW w:w="1555" w:type="dxa"/>
            <w:vMerge w:val="restart"/>
            <w:vAlign w:val="center"/>
          </w:tcPr>
          <w:p w14:paraId="7334F4AB"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非现场催收</w:t>
            </w:r>
          </w:p>
        </w:tc>
        <w:tc>
          <w:tcPr>
            <w:tcW w:w="2593" w:type="dxa"/>
            <w:vAlign w:val="center"/>
          </w:tcPr>
          <w:p w14:paraId="519B2FDE"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逾期7-30天</w:t>
            </w:r>
          </w:p>
        </w:tc>
        <w:tc>
          <w:tcPr>
            <w:tcW w:w="1943" w:type="dxa"/>
            <w:vAlign w:val="center"/>
          </w:tcPr>
          <w:p w14:paraId="49883948"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回收金额的</w:t>
            </w:r>
            <w:r w:rsidRPr="00F9787C">
              <w:rPr>
                <w:rFonts w:asciiTheme="minorEastAsia" w:eastAsiaTheme="minorEastAsia" w:hAnsiTheme="minorEastAsia"/>
                <w:szCs w:val="21"/>
              </w:rPr>
              <w:t>5%</w:t>
            </w:r>
          </w:p>
        </w:tc>
        <w:tc>
          <w:tcPr>
            <w:tcW w:w="2205" w:type="dxa"/>
            <w:vAlign w:val="center"/>
          </w:tcPr>
          <w:p w14:paraId="0A0A4CA3" w14:textId="77777777" w:rsidR="00906CE3" w:rsidRPr="00F9787C" w:rsidRDefault="00906CE3" w:rsidP="005605C4">
            <w:pPr>
              <w:spacing w:line="360" w:lineRule="auto"/>
              <w:rPr>
                <w:rFonts w:asciiTheme="minorEastAsia" w:eastAsiaTheme="minorEastAsia" w:hAnsiTheme="minorEastAsia" w:cs="宋体"/>
                <w:szCs w:val="21"/>
              </w:rPr>
            </w:pPr>
          </w:p>
        </w:tc>
      </w:tr>
      <w:tr w:rsidR="00906CE3" w:rsidRPr="00F9787C" w14:paraId="2B400FAA" w14:textId="77777777" w:rsidTr="005605C4">
        <w:tc>
          <w:tcPr>
            <w:tcW w:w="1555" w:type="dxa"/>
            <w:vMerge/>
            <w:vAlign w:val="center"/>
          </w:tcPr>
          <w:p w14:paraId="29877022" w14:textId="77777777" w:rsidR="00906CE3" w:rsidRPr="00F9787C" w:rsidRDefault="00906CE3" w:rsidP="005605C4">
            <w:pPr>
              <w:spacing w:line="360" w:lineRule="auto"/>
              <w:rPr>
                <w:rFonts w:asciiTheme="minorEastAsia" w:eastAsiaTheme="minorEastAsia" w:hAnsiTheme="minorEastAsia" w:cs="宋体"/>
                <w:szCs w:val="21"/>
              </w:rPr>
            </w:pPr>
          </w:p>
        </w:tc>
        <w:tc>
          <w:tcPr>
            <w:tcW w:w="2593" w:type="dxa"/>
            <w:vAlign w:val="center"/>
          </w:tcPr>
          <w:p w14:paraId="4BE57F20"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逾期31-60天</w:t>
            </w:r>
          </w:p>
        </w:tc>
        <w:tc>
          <w:tcPr>
            <w:tcW w:w="1943" w:type="dxa"/>
            <w:vAlign w:val="center"/>
          </w:tcPr>
          <w:p w14:paraId="3E4ABFFF"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回收金额的</w:t>
            </w:r>
            <w:r w:rsidRPr="00F9787C">
              <w:rPr>
                <w:rFonts w:asciiTheme="minorEastAsia" w:eastAsiaTheme="minorEastAsia" w:hAnsiTheme="minorEastAsia"/>
                <w:szCs w:val="21"/>
              </w:rPr>
              <w:t>8%</w:t>
            </w:r>
          </w:p>
        </w:tc>
        <w:tc>
          <w:tcPr>
            <w:tcW w:w="2205" w:type="dxa"/>
            <w:vAlign w:val="center"/>
          </w:tcPr>
          <w:p w14:paraId="54B47D84" w14:textId="77777777" w:rsidR="00906CE3" w:rsidRPr="00F9787C" w:rsidRDefault="00906CE3" w:rsidP="005605C4">
            <w:pPr>
              <w:spacing w:line="360" w:lineRule="auto"/>
              <w:rPr>
                <w:rFonts w:asciiTheme="minorEastAsia" w:eastAsiaTheme="minorEastAsia" w:hAnsiTheme="minorEastAsia" w:cs="宋体"/>
                <w:szCs w:val="21"/>
              </w:rPr>
            </w:pPr>
          </w:p>
        </w:tc>
      </w:tr>
      <w:tr w:rsidR="00906CE3" w:rsidRPr="00F9787C" w14:paraId="328403DC" w14:textId="77777777" w:rsidTr="005605C4">
        <w:tc>
          <w:tcPr>
            <w:tcW w:w="1555" w:type="dxa"/>
            <w:vMerge/>
            <w:vAlign w:val="center"/>
          </w:tcPr>
          <w:p w14:paraId="53A5B703" w14:textId="77777777" w:rsidR="00906CE3" w:rsidRPr="00F9787C" w:rsidRDefault="00906CE3" w:rsidP="005605C4">
            <w:pPr>
              <w:spacing w:line="360" w:lineRule="auto"/>
              <w:rPr>
                <w:rFonts w:asciiTheme="minorEastAsia" w:eastAsiaTheme="minorEastAsia" w:hAnsiTheme="minorEastAsia" w:cs="宋体"/>
                <w:szCs w:val="21"/>
              </w:rPr>
            </w:pPr>
          </w:p>
        </w:tc>
        <w:tc>
          <w:tcPr>
            <w:tcW w:w="2593" w:type="dxa"/>
            <w:vAlign w:val="center"/>
          </w:tcPr>
          <w:p w14:paraId="176AC828"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逾期61-90天</w:t>
            </w:r>
          </w:p>
        </w:tc>
        <w:tc>
          <w:tcPr>
            <w:tcW w:w="1943" w:type="dxa"/>
            <w:vAlign w:val="center"/>
          </w:tcPr>
          <w:p w14:paraId="768D66BE"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回收金额的</w:t>
            </w:r>
            <w:r w:rsidRPr="00F9787C">
              <w:rPr>
                <w:rFonts w:asciiTheme="minorEastAsia" w:eastAsiaTheme="minorEastAsia" w:hAnsiTheme="minorEastAsia"/>
                <w:szCs w:val="21"/>
              </w:rPr>
              <w:t>10%</w:t>
            </w:r>
          </w:p>
        </w:tc>
        <w:tc>
          <w:tcPr>
            <w:tcW w:w="2205" w:type="dxa"/>
            <w:vAlign w:val="center"/>
          </w:tcPr>
          <w:p w14:paraId="29AB7A6A" w14:textId="77777777" w:rsidR="00906CE3" w:rsidRPr="00F9787C" w:rsidRDefault="00906CE3" w:rsidP="005605C4">
            <w:pPr>
              <w:spacing w:line="360" w:lineRule="auto"/>
              <w:rPr>
                <w:rFonts w:asciiTheme="minorEastAsia" w:eastAsiaTheme="minorEastAsia" w:hAnsiTheme="minorEastAsia" w:cs="宋体"/>
                <w:szCs w:val="21"/>
              </w:rPr>
            </w:pPr>
          </w:p>
        </w:tc>
      </w:tr>
      <w:tr w:rsidR="00906CE3" w:rsidRPr="00F9787C" w14:paraId="5DB8027F" w14:textId="77777777" w:rsidTr="005605C4">
        <w:tc>
          <w:tcPr>
            <w:tcW w:w="1555" w:type="dxa"/>
            <w:vMerge/>
            <w:vAlign w:val="center"/>
          </w:tcPr>
          <w:p w14:paraId="0D94D01D" w14:textId="77777777" w:rsidR="00906CE3" w:rsidRPr="00F9787C" w:rsidRDefault="00906CE3" w:rsidP="005605C4">
            <w:pPr>
              <w:spacing w:line="360" w:lineRule="auto"/>
              <w:rPr>
                <w:rFonts w:asciiTheme="minorEastAsia" w:eastAsiaTheme="minorEastAsia" w:hAnsiTheme="minorEastAsia" w:cs="宋体"/>
                <w:szCs w:val="21"/>
              </w:rPr>
            </w:pPr>
          </w:p>
        </w:tc>
        <w:tc>
          <w:tcPr>
            <w:tcW w:w="2593" w:type="dxa"/>
            <w:vAlign w:val="center"/>
          </w:tcPr>
          <w:p w14:paraId="21009D10"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逾期91-180天</w:t>
            </w:r>
          </w:p>
        </w:tc>
        <w:tc>
          <w:tcPr>
            <w:tcW w:w="1943" w:type="dxa"/>
            <w:vAlign w:val="center"/>
          </w:tcPr>
          <w:p w14:paraId="2F962EF4"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回收金额的</w:t>
            </w:r>
            <w:r w:rsidRPr="00F9787C">
              <w:rPr>
                <w:rFonts w:asciiTheme="minorEastAsia" w:eastAsiaTheme="minorEastAsia" w:hAnsiTheme="minorEastAsia"/>
                <w:szCs w:val="21"/>
              </w:rPr>
              <w:t>20%</w:t>
            </w:r>
          </w:p>
        </w:tc>
        <w:tc>
          <w:tcPr>
            <w:tcW w:w="2205" w:type="dxa"/>
            <w:vAlign w:val="center"/>
          </w:tcPr>
          <w:p w14:paraId="2F940CB3" w14:textId="77777777" w:rsidR="00906CE3" w:rsidRPr="00F9787C" w:rsidRDefault="00906CE3" w:rsidP="005605C4">
            <w:pPr>
              <w:spacing w:line="360" w:lineRule="auto"/>
              <w:rPr>
                <w:rFonts w:asciiTheme="minorEastAsia" w:eastAsiaTheme="minorEastAsia" w:hAnsiTheme="minorEastAsia" w:cs="宋体"/>
                <w:szCs w:val="21"/>
              </w:rPr>
            </w:pPr>
          </w:p>
        </w:tc>
      </w:tr>
      <w:tr w:rsidR="00906CE3" w:rsidRPr="00F9787C" w14:paraId="222EFB7C" w14:textId="77777777" w:rsidTr="005605C4">
        <w:tc>
          <w:tcPr>
            <w:tcW w:w="1555" w:type="dxa"/>
            <w:vMerge/>
            <w:vAlign w:val="center"/>
          </w:tcPr>
          <w:p w14:paraId="7744A94F" w14:textId="77777777" w:rsidR="00906CE3" w:rsidRPr="00F9787C" w:rsidRDefault="00906CE3" w:rsidP="005605C4">
            <w:pPr>
              <w:spacing w:line="360" w:lineRule="auto"/>
              <w:rPr>
                <w:rFonts w:asciiTheme="minorEastAsia" w:eastAsiaTheme="minorEastAsia" w:hAnsiTheme="minorEastAsia" w:cs="宋体"/>
                <w:szCs w:val="21"/>
              </w:rPr>
            </w:pPr>
          </w:p>
        </w:tc>
        <w:tc>
          <w:tcPr>
            <w:tcW w:w="2593" w:type="dxa"/>
            <w:vAlign w:val="center"/>
          </w:tcPr>
          <w:p w14:paraId="20204079"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逾期181天以上</w:t>
            </w:r>
          </w:p>
        </w:tc>
        <w:tc>
          <w:tcPr>
            <w:tcW w:w="1943" w:type="dxa"/>
            <w:vAlign w:val="center"/>
          </w:tcPr>
          <w:p w14:paraId="105636B4"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回收金额的3</w:t>
            </w:r>
            <w:r w:rsidRPr="00F9787C">
              <w:rPr>
                <w:rFonts w:asciiTheme="minorEastAsia" w:eastAsiaTheme="minorEastAsia" w:hAnsiTheme="minorEastAsia"/>
                <w:szCs w:val="21"/>
              </w:rPr>
              <w:t>5%</w:t>
            </w:r>
          </w:p>
        </w:tc>
        <w:tc>
          <w:tcPr>
            <w:tcW w:w="2205" w:type="dxa"/>
            <w:vAlign w:val="center"/>
          </w:tcPr>
          <w:p w14:paraId="567D5B93" w14:textId="77777777" w:rsidR="00906CE3" w:rsidRPr="00F9787C" w:rsidRDefault="00906CE3" w:rsidP="005605C4">
            <w:pPr>
              <w:spacing w:line="360" w:lineRule="auto"/>
              <w:rPr>
                <w:rFonts w:asciiTheme="minorEastAsia" w:eastAsiaTheme="minorEastAsia" w:hAnsiTheme="minorEastAsia" w:cs="宋体"/>
                <w:szCs w:val="21"/>
              </w:rPr>
            </w:pPr>
          </w:p>
        </w:tc>
      </w:tr>
      <w:tr w:rsidR="00906CE3" w:rsidRPr="00F9787C" w14:paraId="44507489" w14:textId="77777777" w:rsidTr="005605C4">
        <w:tc>
          <w:tcPr>
            <w:tcW w:w="4148" w:type="dxa"/>
            <w:gridSpan w:val="2"/>
            <w:vMerge w:val="restart"/>
            <w:vAlign w:val="center"/>
          </w:tcPr>
          <w:p w14:paraId="7F7278CB"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上门催收</w:t>
            </w:r>
          </w:p>
        </w:tc>
        <w:tc>
          <w:tcPr>
            <w:tcW w:w="1943" w:type="dxa"/>
            <w:vAlign w:val="center"/>
          </w:tcPr>
          <w:p w14:paraId="6590FF27"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固定费用：不超过800元/单个地址</w:t>
            </w:r>
          </w:p>
        </w:tc>
        <w:tc>
          <w:tcPr>
            <w:tcW w:w="2205" w:type="dxa"/>
            <w:vAlign w:val="center"/>
          </w:tcPr>
          <w:p w14:paraId="06995B4E" w14:textId="77777777" w:rsidR="00906CE3" w:rsidRPr="00F9787C" w:rsidRDefault="00906CE3" w:rsidP="005605C4">
            <w:pPr>
              <w:spacing w:line="360" w:lineRule="auto"/>
              <w:rPr>
                <w:rFonts w:asciiTheme="minorEastAsia" w:eastAsiaTheme="minorEastAsia" w:hAnsiTheme="minorEastAsia" w:cs="宋体"/>
                <w:szCs w:val="21"/>
              </w:rPr>
            </w:pPr>
          </w:p>
        </w:tc>
      </w:tr>
      <w:tr w:rsidR="00906CE3" w:rsidRPr="00F9787C" w14:paraId="1EA71413" w14:textId="77777777" w:rsidTr="005605C4">
        <w:tc>
          <w:tcPr>
            <w:tcW w:w="4148" w:type="dxa"/>
            <w:gridSpan w:val="2"/>
            <w:vMerge/>
            <w:vAlign w:val="center"/>
          </w:tcPr>
          <w:p w14:paraId="5D938442" w14:textId="77777777" w:rsidR="00906CE3" w:rsidRPr="00F9787C" w:rsidRDefault="00906CE3" w:rsidP="005605C4">
            <w:pPr>
              <w:spacing w:line="360" w:lineRule="auto"/>
              <w:rPr>
                <w:rFonts w:ascii="宋体" w:hAnsi="宋体" w:cs="宋体"/>
                <w:szCs w:val="21"/>
              </w:rPr>
            </w:pPr>
          </w:p>
        </w:tc>
        <w:tc>
          <w:tcPr>
            <w:tcW w:w="1943" w:type="dxa"/>
            <w:vAlign w:val="center"/>
          </w:tcPr>
          <w:p w14:paraId="7F45C5AB" w14:textId="77777777" w:rsidR="00906CE3" w:rsidRPr="00F9787C" w:rsidRDefault="00906CE3" w:rsidP="005605C4">
            <w:pPr>
              <w:spacing w:line="360" w:lineRule="auto"/>
              <w:rPr>
                <w:rFonts w:ascii="宋体" w:hAnsi="宋体" w:cs="宋体"/>
                <w:szCs w:val="21"/>
              </w:rPr>
            </w:pPr>
            <w:r w:rsidRPr="00F9787C">
              <w:rPr>
                <w:rFonts w:ascii="宋体" w:hAnsi="宋体" w:cs="宋体" w:hint="eastAsia"/>
                <w:szCs w:val="21"/>
              </w:rPr>
              <w:t>回收金额的15%</w:t>
            </w:r>
          </w:p>
        </w:tc>
        <w:tc>
          <w:tcPr>
            <w:tcW w:w="2205" w:type="dxa"/>
            <w:vAlign w:val="center"/>
          </w:tcPr>
          <w:p w14:paraId="32BD2E54" w14:textId="77777777" w:rsidR="00906CE3" w:rsidRPr="00F9787C" w:rsidRDefault="00906CE3" w:rsidP="005605C4">
            <w:pPr>
              <w:spacing w:line="360" w:lineRule="auto"/>
              <w:rPr>
                <w:rFonts w:asciiTheme="minorEastAsia" w:eastAsiaTheme="minorEastAsia" w:hAnsiTheme="minorEastAsia" w:cs="宋体"/>
                <w:szCs w:val="21"/>
              </w:rPr>
            </w:pPr>
          </w:p>
        </w:tc>
      </w:tr>
      <w:tr w:rsidR="00906CE3" w:rsidRPr="00F9787C" w14:paraId="16CBF5F5" w14:textId="77777777" w:rsidTr="005605C4">
        <w:tc>
          <w:tcPr>
            <w:tcW w:w="4148" w:type="dxa"/>
            <w:gridSpan w:val="2"/>
            <w:vAlign w:val="center"/>
          </w:tcPr>
          <w:p w14:paraId="0AB9E24A"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车辆回收/逾期60天以上的谈判结清</w:t>
            </w:r>
          </w:p>
        </w:tc>
        <w:tc>
          <w:tcPr>
            <w:tcW w:w="1943" w:type="dxa"/>
            <w:vAlign w:val="center"/>
          </w:tcPr>
          <w:p w14:paraId="182AEC01"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回收本金的25%</w:t>
            </w:r>
          </w:p>
        </w:tc>
        <w:tc>
          <w:tcPr>
            <w:tcW w:w="2205" w:type="dxa"/>
            <w:vAlign w:val="center"/>
          </w:tcPr>
          <w:p w14:paraId="41ACA1E7" w14:textId="77777777" w:rsidR="00906CE3" w:rsidRPr="00F9787C" w:rsidRDefault="00906CE3" w:rsidP="005605C4">
            <w:pPr>
              <w:spacing w:line="360" w:lineRule="auto"/>
              <w:rPr>
                <w:rFonts w:asciiTheme="minorEastAsia" w:eastAsiaTheme="minorEastAsia" w:hAnsiTheme="minorEastAsia" w:cs="宋体"/>
                <w:szCs w:val="21"/>
              </w:rPr>
            </w:pPr>
            <w:r w:rsidRPr="00F9787C">
              <w:rPr>
                <w:rFonts w:ascii="宋体" w:hAnsi="宋体" w:cs="宋体" w:hint="eastAsia"/>
                <w:szCs w:val="21"/>
              </w:rPr>
              <w:t>最终以按件计费的形式支付实际发生金额</w:t>
            </w:r>
          </w:p>
        </w:tc>
      </w:tr>
    </w:tbl>
    <w:p w14:paraId="29A78615" w14:textId="77777777" w:rsidR="00906CE3" w:rsidRPr="00F9787C" w:rsidRDefault="00906CE3" w:rsidP="00906CE3">
      <w:pPr>
        <w:spacing w:line="360" w:lineRule="auto"/>
        <w:rPr>
          <w:rFonts w:asciiTheme="minorEastAsia" w:eastAsiaTheme="minorEastAsia" w:hAnsiTheme="minorEastAsia" w:cs="宋体"/>
          <w:szCs w:val="21"/>
        </w:rPr>
      </w:pPr>
    </w:p>
    <w:p w14:paraId="1ACF9173" w14:textId="77777777" w:rsidR="00906CE3" w:rsidRPr="00F9787C" w:rsidRDefault="00906CE3" w:rsidP="00906CE3">
      <w:pPr>
        <w:pStyle w:val="3"/>
        <w:rPr>
          <w:u w:val="none"/>
        </w:rPr>
      </w:pPr>
      <w:bookmarkStart w:id="5" w:name="_Toc139744211"/>
      <w:r w:rsidRPr="00F9787C">
        <w:rPr>
          <w:rFonts w:hint="eastAsia"/>
          <w:u w:val="none"/>
        </w:rPr>
        <w:t>四、服务期限</w:t>
      </w:r>
      <w:bookmarkEnd w:id="5"/>
    </w:p>
    <w:p w14:paraId="280B96A3" w14:textId="77777777" w:rsidR="00906CE3" w:rsidRPr="00F9787C" w:rsidRDefault="00906CE3" w:rsidP="00906CE3">
      <w:pPr>
        <w:snapToGrid w:val="0"/>
        <w:spacing w:line="360"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kern w:val="0"/>
          <w:szCs w:val="21"/>
        </w:rPr>
        <w:t>本项目合同服务期3年，服务期满经双方协商可续签，续签期限累计不超过</w:t>
      </w:r>
      <w:r w:rsidRPr="00F9787C">
        <w:rPr>
          <w:rFonts w:asciiTheme="minorEastAsia" w:eastAsiaTheme="minorEastAsia" w:hAnsiTheme="minorEastAsia"/>
          <w:kern w:val="0"/>
          <w:szCs w:val="21"/>
        </w:rPr>
        <w:t>3</w:t>
      </w:r>
      <w:r w:rsidRPr="00F9787C">
        <w:rPr>
          <w:rFonts w:asciiTheme="minorEastAsia" w:eastAsiaTheme="minorEastAsia" w:hAnsiTheme="minorEastAsia" w:hint="eastAsia"/>
          <w:kern w:val="0"/>
          <w:szCs w:val="21"/>
        </w:rPr>
        <w:t>年。第四年采购人将视中标公司的服务评价结果、市场价格变化以及双方意愿决定是否续签。</w:t>
      </w:r>
    </w:p>
    <w:p w14:paraId="5F9EA4FC" w14:textId="77777777" w:rsidR="00906CE3" w:rsidRPr="00F9787C" w:rsidRDefault="00906CE3" w:rsidP="00906CE3">
      <w:pPr>
        <w:pStyle w:val="3"/>
        <w:rPr>
          <w:u w:val="none"/>
        </w:rPr>
      </w:pPr>
      <w:bookmarkStart w:id="6" w:name="_Toc139744212"/>
      <w:r w:rsidRPr="00F9787C">
        <w:rPr>
          <w:rFonts w:hint="eastAsia"/>
          <w:u w:val="none"/>
        </w:rPr>
        <w:t>五、分配机制</w:t>
      </w:r>
      <w:bookmarkEnd w:id="6"/>
    </w:p>
    <w:p w14:paraId="642C331B"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入围投标人将获得合作协议期内的入围资格，催收案件由公司进行分配。不承诺在入围有效期内授予入围投标人实际服务合同、不承诺授予服务合同总金额、不承诺实际使用入围投标人的服务。</w:t>
      </w:r>
    </w:p>
    <w:p w14:paraId="0EB191AA" w14:textId="77777777" w:rsidR="00906CE3" w:rsidRPr="00F9787C" w:rsidRDefault="00906CE3" w:rsidP="00906CE3">
      <w:pPr>
        <w:pStyle w:val="3"/>
        <w:rPr>
          <w:u w:val="none"/>
        </w:rPr>
      </w:pPr>
      <w:bookmarkStart w:id="7" w:name="_Toc139744213"/>
      <w:r w:rsidRPr="00F9787C">
        <w:rPr>
          <w:rFonts w:hint="eastAsia"/>
          <w:u w:val="none"/>
        </w:rPr>
        <w:t>六、项目报价注意事项</w:t>
      </w:r>
      <w:bookmarkEnd w:id="7"/>
    </w:p>
    <w:p w14:paraId="4D2DEE17"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（一）投标人应根据本企业的成本自行决定报价，但不得以低于其企业成本的报价投标；</w:t>
      </w:r>
      <w:r w:rsidRPr="00F9787C">
        <w:rPr>
          <w:rStyle w:val="a4"/>
          <w:kern w:val="0"/>
        </w:rPr>
        <w:t xml:space="preserve"> </w:t>
      </w:r>
      <w:r w:rsidRPr="00F9787C">
        <w:rPr>
          <w:rFonts w:asciiTheme="minorEastAsia" w:eastAsiaTheme="minorEastAsia" w:hAnsiTheme="minorEastAsia" w:hint="eastAsia"/>
          <w:szCs w:val="21"/>
        </w:rPr>
        <w:t>投标人报价必须充分考虑到管理服务要求和特点，以及服务的各种管理因素和环境条件，在资源配置方面必须满足现有服务需求，并能够保持持续性改进提升的投入能力。中标人的报价包括入场的各项费用，本项目不再为此增加任何费用。</w:t>
      </w:r>
    </w:p>
    <w:p w14:paraId="7613BF32"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（二）投标人的投标报价不得超过预算金额。</w:t>
      </w:r>
    </w:p>
    <w:p w14:paraId="6E9ACF02" w14:textId="77777777" w:rsidR="00906CE3" w:rsidRPr="00F9787C" w:rsidRDefault="00906CE3" w:rsidP="00906CE3">
      <w:pPr>
        <w:spacing w:line="276" w:lineRule="auto"/>
        <w:ind w:firstLineChars="200" w:firstLine="420"/>
        <w:rPr>
          <w:rFonts w:asciiTheme="minorEastAsia" w:eastAsiaTheme="minorEastAsia" w:hAnsiTheme="minorEastAsia"/>
          <w:szCs w:val="21"/>
        </w:rPr>
      </w:pPr>
      <w:r w:rsidRPr="00F9787C">
        <w:rPr>
          <w:rFonts w:asciiTheme="minorEastAsia" w:eastAsiaTheme="minorEastAsia" w:hAnsiTheme="minorEastAsia" w:hint="eastAsia"/>
          <w:szCs w:val="21"/>
        </w:rPr>
        <w:t>（三）投标人的投标报价，应是本项目招标范围和磋商文件及合同条款上所列的各项内容中所述的全部，不得以任何理由予以重复，并以投标人在磋商响应文件中提出的综合单价或总价为依据。</w:t>
      </w:r>
      <w:r w:rsidRPr="00F9787C">
        <w:rPr>
          <w:rFonts w:asciiTheme="minorEastAsia" w:eastAsiaTheme="minorEastAsia" w:hAnsiTheme="minorEastAsia"/>
          <w:szCs w:val="21"/>
        </w:rPr>
        <w:t xml:space="preserve"> </w:t>
      </w:r>
    </w:p>
    <w:p w14:paraId="2F7F1B6B" w14:textId="440464A8" w:rsidR="00906CE3" w:rsidRDefault="00906CE3" w:rsidP="00906CE3">
      <w:r w:rsidRPr="00F9787C">
        <w:rPr>
          <w:rFonts w:asciiTheme="minorEastAsia" w:eastAsiaTheme="minorEastAsia" w:hAnsiTheme="minorEastAsia" w:hint="eastAsia"/>
          <w:szCs w:val="21"/>
        </w:rPr>
        <w:t>（四）中标人根据有关管理法规与国银金融租赁股份有限公司签订服务合同，对相关服务实行统一管理，综合服务，自主经营，自负盈亏</w:t>
      </w:r>
    </w:p>
    <w:sectPr w:rsidR="00906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E3"/>
    <w:rsid w:val="00906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1D3C"/>
  <w15:chartTrackingRefBased/>
  <w15:docId w15:val="{DAF923CD-987F-4574-B2E3-034DD7FB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CE3"/>
    <w:pPr>
      <w:widowControl w:val="0"/>
      <w:jc w:val="both"/>
    </w:pPr>
    <w:rPr>
      <w:rFonts w:ascii="Times New Roman" w:eastAsia="宋体" w:hAnsi="Times New Roman" w:cs="Times New Roman"/>
      <w:szCs w:val="20"/>
      <w14:ligatures w14:val="none"/>
    </w:rPr>
  </w:style>
  <w:style w:type="paragraph" w:styleId="1">
    <w:name w:val="heading 1"/>
    <w:aliases w:val="层级1,longtop 1,Title1,H1,h1,PIM 1,卷标题,Level 1 Topic Heading,Heading 0,标书1,L1,boc,Section Head,l1,aa章标题,Heading One,第*部分,第A章,H11,H12,H111,H13,H112,1st level,H14,H15,H16,H17,I1,H121,H131,H141,H151,H161,H18,H122,H132,H142,H152,H162,H19,H113,H123,H133"/>
    <w:basedOn w:val="a"/>
    <w:next w:val="a"/>
    <w:link w:val="10"/>
    <w:qFormat/>
    <w:rsid w:val="00906CE3"/>
    <w:pPr>
      <w:keepNext/>
      <w:keepLines/>
      <w:autoSpaceDE w:val="0"/>
      <w:autoSpaceDN w:val="0"/>
      <w:adjustRightInd w:val="0"/>
      <w:spacing w:before="240" w:after="120" w:line="300" w:lineRule="auto"/>
      <w:jc w:val="center"/>
      <w:outlineLvl w:val="0"/>
    </w:pPr>
    <w:rPr>
      <w:rFonts w:ascii="宋体"/>
      <w:b/>
      <w:kern w:val="44"/>
      <w:sz w:val="32"/>
    </w:rPr>
  </w:style>
  <w:style w:type="paragraph" w:styleId="3">
    <w:name w:val="heading 3"/>
    <w:aliases w:val="层级3,longtop 3,CSS节内1级标记,H3,h3,3rd level,Head 3,section:3,section:31,section:32,section:33,section:34,section:35,section:36,section:37,section:38,section:39,section:310,section:311,section:312,section:313,section:314,section:315,section:316,l3,CT"/>
    <w:basedOn w:val="a"/>
    <w:next w:val="a"/>
    <w:link w:val="30"/>
    <w:qFormat/>
    <w:rsid w:val="00906CE3"/>
    <w:pPr>
      <w:keepNext/>
      <w:keepLines/>
      <w:autoSpaceDE w:val="0"/>
      <w:autoSpaceDN w:val="0"/>
      <w:adjustRightInd w:val="0"/>
      <w:spacing w:before="360" w:after="120"/>
      <w:jc w:val="left"/>
      <w:outlineLvl w:val="2"/>
    </w:pPr>
    <w:rPr>
      <w:rFonts w:ascii="宋体"/>
      <w:b/>
      <w:kern w:val="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层级1 字符,longtop 1 字符,Title1 字符,H1 字符,h1 字符,PIM 1 字符,卷标题 字符,Level 1 Topic Heading 字符,Heading 0 字符,标书1 字符,L1 字符,boc 字符,Section Head 字符,l1 字符,aa章标题 字符,Heading One 字符,第*部分 字符,第A章 字符,H11 字符,H12 字符,H111 字符,H13 字符,H112 字符,1st level 字符,H14 字符,H15 字符"/>
    <w:basedOn w:val="a0"/>
    <w:link w:val="1"/>
    <w:qFormat/>
    <w:rsid w:val="00906CE3"/>
    <w:rPr>
      <w:rFonts w:ascii="宋体" w:eastAsia="宋体" w:hAnsi="Times New Roman" w:cs="Times New Roman"/>
      <w:b/>
      <w:kern w:val="44"/>
      <w:sz w:val="32"/>
      <w:szCs w:val="20"/>
      <w14:ligatures w14:val="none"/>
    </w:rPr>
  </w:style>
  <w:style w:type="character" w:customStyle="1" w:styleId="30">
    <w:name w:val="标题 3 字符"/>
    <w:aliases w:val="层级3 字符,longtop 3 字符,CSS节内1级标记 字符,H3 字符,h3 字符,3rd level 字符,Head 3 字符,section:3 字符,section:31 字符,section:32 字符,section:33 字符,section:34 字符,section:35 字符,section:36 字符,section:37 字符,section:38 字符,section:39 字符,section:310 字符,section:311 字符,l3 字符"/>
    <w:basedOn w:val="a0"/>
    <w:link w:val="3"/>
    <w:qFormat/>
    <w:rsid w:val="00906CE3"/>
    <w:rPr>
      <w:rFonts w:ascii="宋体" w:eastAsia="宋体" w:hAnsi="Times New Roman" w:cs="Times New Roman"/>
      <w:b/>
      <w:kern w:val="0"/>
      <w:sz w:val="24"/>
      <w:szCs w:val="20"/>
      <w:u w:val="single"/>
      <w14:ligatures w14:val="none"/>
    </w:rPr>
  </w:style>
  <w:style w:type="table" w:styleId="a3">
    <w:name w:val="Table Grid"/>
    <w:basedOn w:val="a1"/>
    <w:uiPriority w:val="59"/>
    <w:qFormat/>
    <w:rsid w:val="00906CE3"/>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qFormat/>
    <w:rsid w:val="00906CE3"/>
    <w:rPr>
      <w:sz w:val="21"/>
      <w:szCs w:val="21"/>
    </w:rPr>
  </w:style>
  <w:style w:type="paragraph" w:styleId="a5">
    <w:name w:val="List Paragraph"/>
    <w:basedOn w:val="a"/>
    <w:link w:val="a6"/>
    <w:uiPriority w:val="34"/>
    <w:qFormat/>
    <w:rsid w:val="00906CE3"/>
    <w:pPr>
      <w:ind w:firstLineChars="200" w:firstLine="420"/>
    </w:pPr>
    <w:rPr>
      <w:szCs w:val="24"/>
    </w:rPr>
  </w:style>
  <w:style w:type="character" w:customStyle="1" w:styleId="a6">
    <w:name w:val="列表段落 字符"/>
    <w:basedOn w:val="a0"/>
    <w:link w:val="a5"/>
    <w:uiPriority w:val="34"/>
    <w:qFormat/>
    <w:rsid w:val="00906CE3"/>
    <w:rPr>
      <w:rFonts w:ascii="Times New Roman" w:eastAsia="宋体" w:hAnsi="Times New Roman"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1350</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玉鑫</dc:creator>
  <cp:keywords/>
  <dc:description/>
  <cp:lastModifiedBy>孙 玉鑫</cp:lastModifiedBy>
  <cp:revision>1</cp:revision>
  <dcterms:created xsi:type="dcterms:W3CDTF">2023-08-27T12:00:00Z</dcterms:created>
  <dcterms:modified xsi:type="dcterms:W3CDTF">2023-08-27T12:01:00Z</dcterms:modified>
</cp:coreProperties>
</file>