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46"/>
        <w:gridCol w:w="1551"/>
        <w:gridCol w:w="10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8"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审查类别</w:t>
            </w:r>
          </w:p>
        </w:tc>
        <w:tc>
          <w:tcPr>
            <w:tcW w:w="263"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序号</w:t>
            </w:r>
          </w:p>
        </w:tc>
        <w:tc>
          <w:tcPr>
            <w:tcW w:w="547"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审查项目</w:t>
            </w:r>
          </w:p>
        </w:tc>
        <w:tc>
          <w:tcPr>
            <w:tcW w:w="3801"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88" w:type="pct"/>
            <w:vMerge w:val="restar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资格审查</w:t>
            </w: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★投标人</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报价人须是中华人民共和国境内具有独立承担民事责任能力的法人，或具备国家认可经营资格的其他组织。</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1）报价人应为中华人民共和国境内注册的独立法人单位，具有合法有效的企业法人营业执照、税务登记证及组织机构代码证或证照合一的营业执照；</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2）报价人为分公司的，应具有合法有效的营业执照、税务登记证及组织机构代码证或证照合一的营业执照和母公司合法授权书。总公司与分支机构只可一家参与报价，同时参与报价视为报价无效；</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3）报价人为事业单位的，报价人应经全国各级事业单位登记管理机关核准登记或者备案，具有合法有效的事业单位法人证书。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 投标人须是中华人民共和国境内具有独立承担民事责任能力的法人，或具备国家认可经营资格的其他组织。 （1）投标人为企业的，应具有合法有效的企业法人营业执照、税务登记证及组织机构代码证或证照合一的营业执照； （2）投标人为分公司的，应具有合法有效的营业执照、税务登记证及组织机构代码证或证照合一的营业执照和总公司合法授权书。总公司与分支机构只可一家参与投标，同时参与投标视为投标无效； （3）投标人为事业单位的，投标人应经全国各级事业单位登记管理机关核准登记或者备案，具有合法有效的事业单位法人证书。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3</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★信誉要求</w:t>
            </w:r>
          </w:p>
        </w:tc>
        <w:tc>
          <w:tcPr>
            <w:tcW w:w="3801" w:type="pct"/>
            <w:vAlign w:val="center"/>
          </w:tcPr>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 xml:space="preserve">（1）投标人不得被各级法院中列入失信被执行人名单； </w:t>
            </w:r>
          </w:p>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2）投标人自2021年1月1日（提示：由投标截止日上推3年）起至投标截止时间止，投标人或其法定代表人、拟委任的项目负责人无行贿犯罪行为的。为便于招标人复核，投标人应自行到中国裁判文书网；（http://wenshu.court.gov.cn）查询本单位及其法定代表人、拟委任的项目负责人的行贿犯罪信息，确认没有行贿犯罪的页面截图打印出来，写明“经查我单位及法定代表人、项目负责人在截至本次投标时无行贿犯罪记录”加盖其公司公章提供给招标人；</w:t>
            </w:r>
          </w:p>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（3）投标人承诺：中国海油在职员工（不含正式派出的）未有在投标人单位担任股东、法人代表、董事、监事和其他任职人员的情形。 注：（上述带网站网址的信誉要求条款，投标人请自行查询，将查询结果加盖公章后放入投标文件）。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4</w:t>
            </w:r>
          </w:p>
        </w:tc>
        <w:tc>
          <w:tcPr>
            <w:tcW w:w="547" w:type="pct"/>
            <w:vAlign w:val="center"/>
          </w:tcPr>
          <w:p>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i w:val="0"/>
                <w:iCs w:val="0"/>
                <w:spacing w:val="0"/>
                <w:kern w:val="2"/>
                <w:sz w:val="16"/>
                <w:szCs w:val="16"/>
                <w:highlight w:val="none"/>
              </w:rPr>
            </w:pPr>
            <w:r>
              <w:rPr>
                <w:rFonts w:hint="eastAsia" w:asciiTheme="minorEastAsia" w:hAnsiTheme="minorEastAsia" w:eastAsiaTheme="minorEastAsia" w:cstheme="minorEastAsia"/>
                <w:i w:val="0"/>
                <w:iCs w:val="0"/>
                <w:color w:val="000000"/>
                <w:sz w:val="16"/>
                <w:szCs w:val="16"/>
                <w:lang w:eastAsia="zh-CN"/>
              </w:rPr>
              <w:t>★供应商性质</w:t>
            </w:r>
          </w:p>
        </w:tc>
        <w:tc>
          <w:tcPr>
            <w:tcW w:w="3801" w:type="pct"/>
            <w:vAlign w:val="center"/>
          </w:tcPr>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投标人应为本次投标所投产品的制造商。本次招标不接受代理商投标。投标人以自己制造的货物参与投标的，不能再将此货物同时授权给其他投标人参与投标，否则相关的所有投标将被拒绝。</w:t>
            </w:r>
          </w:p>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（1）针对本次采购项目，仅接受投标人为投标货物的制造商，不接受代理商、贸易商参与投标，不接受代加工贴牌制造。</w:t>
            </w:r>
          </w:p>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i w:val="0"/>
                <w:iCs w:val="0"/>
                <w:spacing w:val="0"/>
                <w:kern w:val="2"/>
                <w:sz w:val="16"/>
                <w:szCs w:val="16"/>
                <w:highlight w:val="none"/>
                <w:lang w:val="en-US"/>
              </w:rPr>
            </w:pPr>
            <w:r>
              <w:rPr>
                <w:rFonts w:hint="eastAsia" w:asciiTheme="minorEastAsia" w:hAnsiTheme="minorEastAsia" w:eastAsiaTheme="minorEastAsia" w:cstheme="minorEastAsia"/>
                <w:b w:val="0"/>
                <w:bCs w:val="0"/>
                <w:i w:val="0"/>
                <w:iCs w:val="0"/>
                <w:sz w:val="16"/>
                <w:szCs w:val="16"/>
                <w:lang w:val="en-US" w:eastAsia="zh-CN"/>
              </w:rPr>
              <w:t>（2）提供必要材料证明具备生产能力。1）若自有厂房提供厂房产权证或土地使用证，若租赁厂房提供租赁合同；2）投标人自有的用于生产的生产设备，提供生产设备照片和购买合同，或者生产设备照片和购买发票。以上两项资料都需提供，否则会导致投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5</w:t>
            </w:r>
          </w:p>
        </w:tc>
        <w:tc>
          <w:tcPr>
            <w:tcW w:w="547" w:type="pct"/>
            <w:vAlign w:val="center"/>
          </w:tcPr>
          <w:p>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i w:val="0"/>
                <w:iCs w:val="0"/>
                <w:color w:val="000000"/>
                <w:sz w:val="16"/>
                <w:szCs w:val="16"/>
                <w:lang w:eastAsia="zh-CN"/>
              </w:rPr>
            </w:pPr>
            <w:r>
              <w:rPr>
                <w:rFonts w:hint="eastAsia" w:asciiTheme="minorEastAsia" w:hAnsiTheme="minorEastAsia" w:eastAsiaTheme="minorEastAsia" w:cstheme="minorEastAsia"/>
                <w:i w:val="0"/>
                <w:iCs w:val="0"/>
                <w:color w:val="000000"/>
                <w:sz w:val="16"/>
                <w:szCs w:val="16"/>
                <w:lang w:eastAsia="zh-CN"/>
              </w:rPr>
              <w:t>财务要求</w:t>
            </w:r>
          </w:p>
        </w:tc>
        <w:tc>
          <w:tcPr>
            <w:tcW w:w="3801" w:type="pct"/>
            <w:vAlign w:val="center"/>
          </w:tcPr>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投标人须提供经会计师事务所或审计机构审计的2021-2023年度财务会计报表，包括资产负债表、现金流量表、利润表。投标人的成立时间少于规定年份的，应提供成立以来的财务会计报表。投标人为分公司的，应提供上级法人单位的经会计师事务所或审计机构审计的上述年度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6</w:t>
            </w:r>
          </w:p>
        </w:tc>
        <w:tc>
          <w:tcPr>
            <w:tcW w:w="547" w:type="pct"/>
            <w:vAlign w:val="center"/>
          </w:tcPr>
          <w:p>
            <w:pPr>
              <w:keepNext w:val="0"/>
              <w:keepLines w:val="0"/>
              <w:widowControl/>
              <w:suppressLineNumbers w:val="0"/>
              <w:spacing w:before="0" w:beforeAutospacing="0" w:after="0" w:afterAutospacing="0"/>
              <w:ind w:left="0" w:leftChars="0" w:right="0" w:rightChars="0"/>
              <w:rPr>
                <w:rFonts w:hint="eastAsia" w:asciiTheme="minorEastAsia" w:hAnsiTheme="minorEastAsia" w:eastAsiaTheme="minorEastAsia" w:cstheme="minorEastAsia"/>
                <w:i w:val="0"/>
                <w:iCs w:val="0"/>
                <w:color w:val="000000"/>
                <w:sz w:val="16"/>
                <w:szCs w:val="16"/>
                <w:lang w:eastAsia="zh-CN"/>
              </w:rPr>
            </w:pPr>
            <w:r>
              <w:rPr>
                <w:rFonts w:hint="eastAsia" w:asciiTheme="minorEastAsia" w:hAnsiTheme="minorEastAsia" w:eastAsiaTheme="minorEastAsia" w:cstheme="minorEastAsia"/>
                <w:i w:val="0"/>
                <w:iCs w:val="0"/>
                <w:color w:val="000000"/>
                <w:sz w:val="16"/>
                <w:szCs w:val="16"/>
                <w:lang w:eastAsia="zh-CN"/>
              </w:rPr>
              <w:t>★</w:t>
            </w:r>
            <w:r>
              <w:rPr>
                <w:rFonts w:hint="eastAsia" w:asciiTheme="minorEastAsia" w:hAnsiTheme="minorEastAsia" w:cstheme="minorEastAsia"/>
                <w:i w:val="0"/>
                <w:iCs w:val="0"/>
                <w:color w:val="000000"/>
                <w:sz w:val="16"/>
                <w:szCs w:val="16"/>
                <w:lang w:val="en-US" w:eastAsia="zh-CN"/>
              </w:rPr>
              <w:t>业绩要求</w:t>
            </w:r>
          </w:p>
        </w:tc>
        <w:tc>
          <w:tcPr>
            <w:tcW w:w="3801" w:type="pct"/>
            <w:vAlign w:val="center"/>
          </w:tcPr>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1）投标人在2022年1月1日-投标截止时间之前（以合同签署时间为准）至少具有并提供1个已完成的液压举升装置成套设备的供货业绩，并提供相应业绩证明文件。（提示：请按照招标文件要求的业绩数量逐项公开所有的业绩证明材料，未公开业绩或公开业绩数量不足的将导致废标）。 （2）投标人提供的业绩证明文件至少包括：1）合同文件 和2）服务验收材料或发票。（提示：以上2项资料，缺少任何1项都视为无效业绩，将导致废标）。 A、业绩合同应至少涵盖：合同首页、合同签署页（具有签字或盖章）、合同签署时间、合同服务内容等内容；B、服务验收材料应有甲方签字或盖章，以及确认时间。（提示：提供的业绩证明材料必须完全涵盖以上内容，否则视为无效业绩，将导致废标）。 （ 3）若业绩合同为年度协议，除提供年度协议外，还应至少提供1项已完成服务的订单委托页、及订单相应的服务验收材料或发票。同一个年协合同提供1项及以上订单的均算为1个有效业绩。（提示：提供的业绩证明材料必须完全涵盖以上内容，否则视为无效业绩，将导致废标） （ 4）未提供业绩证明文件或提供的业绩证明文件无法认定上述业绩要求的，视为无效业绩。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7</w:t>
            </w:r>
            <w:bookmarkStart w:id="0" w:name="_GoBack"/>
            <w:bookmarkEnd w:id="0"/>
          </w:p>
        </w:tc>
        <w:tc>
          <w:tcPr>
            <w:tcW w:w="547" w:type="pct"/>
            <w:vAlign w:val="center"/>
          </w:tcPr>
          <w:p>
            <w:pPr>
              <w:keepNext w:val="0"/>
              <w:keepLines w:val="0"/>
              <w:widowControl/>
              <w:suppressLineNumbers w:val="0"/>
              <w:spacing w:before="0" w:beforeAutospacing="0" w:after="0" w:afterAutospacing="0"/>
              <w:ind w:left="0" w:leftChars="0" w:right="0" w:rightChars="0"/>
              <w:rPr>
                <w:rFonts w:hint="default" w:asciiTheme="minorEastAsia" w:hAnsiTheme="minorEastAsia" w:eastAsiaTheme="minorEastAsia" w:cstheme="minorEastAsia"/>
                <w:i w:val="0"/>
                <w:iCs w:val="0"/>
                <w:color w:val="000000"/>
                <w:sz w:val="16"/>
                <w:szCs w:val="16"/>
                <w:lang w:val="en-US" w:eastAsia="zh-CN"/>
              </w:rPr>
            </w:pPr>
            <w:r>
              <w:rPr>
                <w:rFonts w:hint="eastAsia" w:asciiTheme="minorEastAsia" w:hAnsiTheme="minorEastAsia" w:eastAsiaTheme="minorEastAsia" w:cstheme="minorEastAsia"/>
                <w:i w:val="0"/>
                <w:iCs w:val="0"/>
                <w:color w:val="000000"/>
                <w:sz w:val="16"/>
                <w:szCs w:val="16"/>
                <w:lang w:eastAsia="zh-CN"/>
              </w:rPr>
              <w:t>★</w:t>
            </w:r>
            <w:r>
              <w:rPr>
                <w:rFonts w:hint="eastAsia" w:asciiTheme="minorEastAsia" w:hAnsiTheme="minorEastAsia" w:cstheme="minorEastAsia"/>
                <w:i w:val="0"/>
                <w:iCs w:val="0"/>
                <w:color w:val="000000"/>
                <w:sz w:val="16"/>
                <w:szCs w:val="16"/>
                <w:lang w:val="en-US" w:eastAsia="zh-CN"/>
              </w:rPr>
              <w:t>体系文件要求</w:t>
            </w:r>
          </w:p>
        </w:tc>
        <w:tc>
          <w:tcPr>
            <w:tcW w:w="3801" w:type="pct"/>
            <w:vAlign w:val="center"/>
          </w:tcPr>
          <w:p>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i w:val="0"/>
                <w:iCs w:val="0"/>
                <w:sz w:val="16"/>
                <w:szCs w:val="16"/>
                <w:lang w:val="en-US" w:eastAsia="zh-CN"/>
              </w:rPr>
            </w:pPr>
            <w:r>
              <w:rPr>
                <w:rFonts w:hint="eastAsia" w:asciiTheme="minorEastAsia" w:hAnsiTheme="minorEastAsia" w:eastAsiaTheme="minorEastAsia" w:cstheme="minorEastAsia"/>
                <w:b w:val="0"/>
                <w:bCs w:val="0"/>
                <w:i w:val="0"/>
                <w:iCs w:val="0"/>
                <w:sz w:val="16"/>
                <w:szCs w:val="16"/>
                <w:lang w:val="en-US" w:eastAsia="zh-CN"/>
              </w:rPr>
              <w:t>投标人所投产品的制造商须同时具备有效的GB/T19001（ISO9001）质量体系认证证书、GB/T24001（ISO14001）环境管理体系认证证书、OHSAS18001或GB/T45001(ISO45001)职业健康管理体系认证证书，国内认证机构签发的证书应可在中国国家认证认可监督管理委员会网站(http://www.cnca.gov.cn/)核实。如果有国家相关部门发布的最新体系标准，以最新体系标准为准。投标时需提供原件扫描件（原件备查）。</w:t>
            </w:r>
          </w:p>
        </w:tc>
      </w:tr>
    </w:tbl>
    <w:p>
      <w:pPr>
        <w:pStyle w:val="5"/>
        <w:keepNext w:val="0"/>
        <w:keepLines w:val="0"/>
        <w:pageBreakBefore w:val="0"/>
        <w:widowControl w:val="0"/>
        <w:kinsoku/>
        <w:wordWrap/>
        <w:overflowPunct/>
        <w:topLinePunct w:val="0"/>
        <w:autoSpaceDE/>
        <w:autoSpaceDN/>
        <w:bidi w:val="0"/>
        <w:adjustRightInd/>
        <w:snapToGrid w:val="0"/>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25"/>
    <w:rsid w:val="00150136"/>
    <w:rsid w:val="0017483D"/>
    <w:rsid w:val="0019317B"/>
    <w:rsid w:val="00207FC3"/>
    <w:rsid w:val="00213AFF"/>
    <w:rsid w:val="00237507"/>
    <w:rsid w:val="002611E5"/>
    <w:rsid w:val="0026182A"/>
    <w:rsid w:val="002E5B25"/>
    <w:rsid w:val="00307D58"/>
    <w:rsid w:val="00364188"/>
    <w:rsid w:val="0037322C"/>
    <w:rsid w:val="003C6752"/>
    <w:rsid w:val="003D3D6A"/>
    <w:rsid w:val="003E5F61"/>
    <w:rsid w:val="005700FA"/>
    <w:rsid w:val="00686E7D"/>
    <w:rsid w:val="008D3406"/>
    <w:rsid w:val="00BB0A5E"/>
    <w:rsid w:val="00BD3D2A"/>
    <w:rsid w:val="00E6160C"/>
    <w:rsid w:val="00EA2CD6"/>
    <w:rsid w:val="00F56CB8"/>
    <w:rsid w:val="00FC2A59"/>
    <w:rsid w:val="00FE5822"/>
    <w:rsid w:val="02BB0C79"/>
    <w:rsid w:val="03455746"/>
    <w:rsid w:val="0584522E"/>
    <w:rsid w:val="089F331E"/>
    <w:rsid w:val="0A967CA0"/>
    <w:rsid w:val="0C764692"/>
    <w:rsid w:val="0CAF38DE"/>
    <w:rsid w:val="10477484"/>
    <w:rsid w:val="179D57D5"/>
    <w:rsid w:val="1AD308B0"/>
    <w:rsid w:val="1BDE0164"/>
    <w:rsid w:val="226627A9"/>
    <w:rsid w:val="25021FC5"/>
    <w:rsid w:val="263F35FB"/>
    <w:rsid w:val="29766043"/>
    <w:rsid w:val="29D3559B"/>
    <w:rsid w:val="29E41FCA"/>
    <w:rsid w:val="2CF501C8"/>
    <w:rsid w:val="2F9B467C"/>
    <w:rsid w:val="2FDB5A85"/>
    <w:rsid w:val="322B2AD9"/>
    <w:rsid w:val="36C62F02"/>
    <w:rsid w:val="3C4A7D34"/>
    <w:rsid w:val="3C4C0EAF"/>
    <w:rsid w:val="3D455BFE"/>
    <w:rsid w:val="400A5F7E"/>
    <w:rsid w:val="41414D4E"/>
    <w:rsid w:val="42EF3C6F"/>
    <w:rsid w:val="43295AAA"/>
    <w:rsid w:val="46F54454"/>
    <w:rsid w:val="47490068"/>
    <w:rsid w:val="47FB07A5"/>
    <w:rsid w:val="482F7ED0"/>
    <w:rsid w:val="48504504"/>
    <w:rsid w:val="49250AAD"/>
    <w:rsid w:val="49F37D98"/>
    <w:rsid w:val="4A60577E"/>
    <w:rsid w:val="4AFB7D3F"/>
    <w:rsid w:val="4F4857B5"/>
    <w:rsid w:val="521B653F"/>
    <w:rsid w:val="53964319"/>
    <w:rsid w:val="552626F9"/>
    <w:rsid w:val="560543DA"/>
    <w:rsid w:val="568F45A4"/>
    <w:rsid w:val="591C2F8C"/>
    <w:rsid w:val="5E5B2CE4"/>
    <w:rsid w:val="5FE214E7"/>
    <w:rsid w:val="62EC55D0"/>
    <w:rsid w:val="66A36FA6"/>
    <w:rsid w:val="6AB15E63"/>
    <w:rsid w:val="6DE41BBC"/>
    <w:rsid w:val="6DF4568D"/>
    <w:rsid w:val="6E113118"/>
    <w:rsid w:val="6E690FA8"/>
    <w:rsid w:val="6EE70E77"/>
    <w:rsid w:val="6FCF03AF"/>
    <w:rsid w:val="6FE76C51"/>
    <w:rsid w:val="71045202"/>
    <w:rsid w:val="77AA445B"/>
    <w:rsid w:val="77D2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99"/>
    <w:pPr>
      <w:ind w:firstLine="420" w:firstLineChars="200"/>
      <w:jc w:val="both"/>
    </w:pPr>
    <w:rPr>
      <w:rFonts w:ascii="Times New Roman" w:hAnsi="Times New Roman" w:cs="Times New Roman"/>
      <w:kern w:val="2"/>
      <w:sz w:val="21"/>
      <w:szCs w:val="24"/>
      <w:lang w:eastAsia="zh-CN"/>
    </w:rPr>
  </w:style>
  <w:style w:type="paragraph" w:styleId="3">
    <w:name w:val="annotation text"/>
    <w:basedOn w:val="1"/>
    <w:unhideWhenUsed/>
    <w:qFormat/>
    <w:uiPriority w:val="99"/>
  </w:style>
  <w:style w:type="paragraph" w:styleId="4">
    <w:name w:val="Body Text"/>
    <w:basedOn w:val="1"/>
    <w:next w:val="1"/>
    <w:link w:val="13"/>
    <w:qFormat/>
    <w:uiPriority w:val="1"/>
    <w:pPr>
      <w:widowControl/>
      <w:overflowPunct w:val="0"/>
      <w:autoSpaceDE w:val="0"/>
      <w:autoSpaceDN w:val="0"/>
      <w:adjustRightInd w:val="0"/>
      <w:jc w:val="left"/>
      <w:textAlignment w:val="baseline"/>
    </w:pPr>
    <w:rPr>
      <w:rFonts w:ascii="楷体" w:hAnsi="Times New Roman" w:eastAsia="楷体" w:cs="Calibri"/>
      <w:i/>
      <w:iCs/>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563C1"/>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4"/>
    <w:qFormat/>
    <w:uiPriority w:val="1"/>
    <w:rPr>
      <w:rFonts w:ascii="楷体" w:hAnsi="Times New Roman" w:eastAsia="楷体" w:cs="Calibri"/>
      <w:i/>
      <w:iCs/>
    </w:rPr>
  </w:style>
  <w:style w:type="paragraph" w:customStyle="1" w:styleId="14">
    <w:name w:val="正文_1"/>
    <w:qFormat/>
    <w:uiPriority w:val="0"/>
    <w:pPr>
      <w:widowControl w:val="0"/>
      <w:ind w:right="5" w:rightChars="5"/>
    </w:pPr>
    <w:rPr>
      <w:rFonts w:ascii="Calibri" w:hAnsi="Calibri" w:eastAsia="宋体" w:cs="Calibri"/>
      <w:kern w:val="0"/>
      <w:sz w:val="22"/>
      <w:szCs w:val="22"/>
      <w:lang w:val="en-US" w:eastAsia="en-US" w:bidi="ar-SA"/>
    </w:rPr>
  </w:style>
  <w:style w:type="paragraph" w:styleId="15">
    <w:name w:val="List Paragraph"/>
    <w:basedOn w:val="1"/>
    <w:qFormat/>
    <w:uiPriority w:val="34"/>
    <w:pPr>
      <w:ind w:firstLine="420" w:firstLineChars="200"/>
    </w:pPr>
  </w:style>
  <w:style w:type="paragraph" w:customStyle="1" w:styleId="16">
    <w:name w:val="默认段落字体 Para Char"/>
    <w:basedOn w:val="1"/>
    <w:qFormat/>
    <w:uiPriority w:val="0"/>
    <w:pPr>
      <w:spacing w:before="80" w:after="80" w:line="360" w:lineRule="auto"/>
    </w:pPr>
    <w:rPr>
      <w:sz w:val="24"/>
    </w:rPr>
  </w:style>
  <w:style w:type="character" w:customStyle="1" w:styleId="17">
    <w:name w:val="comboiconspan"/>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211</Words>
  <Characters>1209</Characters>
  <Lines>10</Lines>
  <Paragraphs>2</Paragraphs>
  <TotalTime>1</TotalTime>
  <ScaleCrop>false</ScaleCrop>
  <LinksUpToDate>false</LinksUpToDate>
  <CharactersWithSpaces>1418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2021-05-25T06:01:00Z</dcterms:created>
  <dc:creator>梁振琪/井下技术公司/工程技术公司/海油发展</dc:creator>
  <cp:lastModifiedBy>maoyue2</cp:lastModifiedBy>
  <cp:lastPrinted>2021-07-08T09:15:00Z</cp:lastPrinted>
  <dcterms:modified xsi:type="dcterms:W3CDTF">2025-08-08T02:33:56Z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749DC3A58B4548A7A2FB6C76730A65C9</vt:lpwstr>
  </property>
</Properties>
</file>