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944">
      <w:pPr>
        <w:keepNext/>
        <w:keepLines/>
        <w:tabs>
          <w:tab w:val="left" w:pos="0"/>
          <w:tab w:val="left" w:pos="420"/>
          <w:tab w:val="center" w:pos="4153"/>
        </w:tabs>
        <w:autoSpaceDE w:val="0"/>
        <w:autoSpaceDN w:val="0"/>
        <w:adjustRightInd w:val="0"/>
        <w:spacing w:line="560" w:lineRule="exact"/>
        <w:jc w:val="center"/>
        <w:outlineLvl w:val="0"/>
        <w:rPr>
          <w:rFonts w:ascii="仿宋" w:hAnsi="仿宋" w:eastAsia="仿宋" w:cs="Times New Roman"/>
          <w:bCs/>
          <w:kern w:val="44"/>
          <w:sz w:val="44"/>
          <w:szCs w:val="44"/>
        </w:rPr>
      </w:pPr>
      <w:bookmarkStart w:id="0" w:name="OLE_LINK1"/>
      <w:r>
        <w:rPr>
          <w:rFonts w:ascii="仿宋" w:hAnsi="仿宋" w:eastAsia="仿宋" w:cs="Times New Roman"/>
          <w:bCs/>
          <w:kern w:val="44"/>
          <w:sz w:val="44"/>
          <w:szCs w:val="44"/>
        </w:rPr>
        <w:t>采办计划公告</w:t>
      </w:r>
    </w:p>
    <w:p w14:paraId="7C056169">
      <w:pPr>
        <w:spacing w:line="560" w:lineRule="exact"/>
        <w:rPr>
          <w:rFonts w:ascii="仿宋" w:hAnsi="仿宋" w:eastAsia="仿宋" w:cs="Times New Roman"/>
          <w:sz w:val="32"/>
        </w:rPr>
      </w:pPr>
    </w:p>
    <w:p w14:paraId="757705EF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bookmarkStart w:id="1" w:name="OLE_LINK2"/>
      <w:r>
        <w:rPr>
          <w:rFonts w:ascii="仿宋" w:hAnsi="仿宋" w:eastAsia="仿宋" w:cs="Times New Roman"/>
          <w:sz w:val="32"/>
          <w:szCs w:val="32"/>
        </w:rPr>
        <w:t>为便于供应商及时了解项目采办信息，现将</w:t>
      </w:r>
      <w:r>
        <w:rPr>
          <w:rFonts w:ascii="仿宋" w:hAnsi="仿宋" w:eastAsia="仿宋" w:cs="Times New Roman"/>
          <w:sz w:val="32"/>
          <w:szCs w:val="32"/>
          <w:u w:val="single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海油发展-化工品类部-</w:t>
      </w:r>
      <w:r>
        <w:rPr>
          <w:rFonts w:hint="eastAsia" w:ascii="仿宋" w:hAnsi="仿宋" w:eastAsia="仿宋" w:cs="Times New Roman"/>
          <w:sz w:val="32"/>
          <w:szCs w:val="32"/>
          <w:u w:val="single"/>
          <w:lang w:eastAsia="zh-CN"/>
        </w:rPr>
        <w:t>工程技术公司2025-2027年表面活性剂产品采购专有协议</w:t>
      </w:r>
      <w:r>
        <w:rPr>
          <w:rFonts w:ascii="仿宋" w:hAnsi="仿宋" w:eastAsia="仿宋" w:cs="Times New Roman"/>
          <w:sz w:val="32"/>
          <w:szCs w:val="32"/>
          <w:u w:val="single"/>
        </w:rPr>
        <w:t>）</w:t>
      </w:r>
      <w:r>
        <w:rPr>
          <w:rFonts w:ascii="仿宋" w:hAnsi="仿宋" w:eastAsia="仿宋" w:cs="Times New Roman"/>
          <w:sz w:val="32"/>
          <w:szCs w:val="32"/>
        </w:rPr>
        <w:t>的采办计划公开如下：</w:t>
      </w:r>
    </w:p>
    <w:tbl>
      <w:tblPr>
        <w:tblStyle w:val="11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872"/>
        <w:gridCol w:w="1701"/>
        <w:gridCol w:w="2551"/>
        <w:gridCol w:w="1843"/>
        <w:gridCol w:w="538"/>
      </w:tblGrid>
      <w:tr w14:paraId="1E95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22B8759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872" w:type="dxa"/>
            <w:vAlign w:val="center"/>
          </w:tcPr>
          <w:p w14:paraId="0AF46655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采办包</w:t>
            </w:r>
          </w:p>
          <w:p w14:paraId="5D068E3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14:paraId="5F8B9F50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采购范围与主要技术指标</w:t>
            </w:r>
          </w:p>
        </w:tc>
        <w:tc>
          <w:tcPr>
            <w:tcW w:w="2551" w:type="dxa"/>
            <w:vAlign w:val="center"/>
          </w:tcPr>
          <w:p w14:paraId="0A6BA226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预计发标时间</w:t>
            </w:r>
          </w:p>
          <w:p w14:paraId="5E38365D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（填写到月）</w:t>
            </w:r>
          </w:p>
        </w:tc>
        <w:tc>
          <w:tcPr>
            <w:tcW w:w="1843" w:type="dxa"/>
            <w:vAlign w:val="center"/>
          </w:tcPr>
          <w:p w14:paraId="2D8A6E38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供应商资质基本要求</w:t>
            </w:r>
          </w:p>
        </w:tc>
        <w:tc>
          <w:tcPr>
            <w:tcW w:w="538" w:type="dxa"/>
            <w:vAlign w:val="center"/>
          </w:tcPr>
          <w:p w14:paraId="32B32B6B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37A8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68" w:type="dxa"/>
            <w:vAlign w:val="center"/>
          </w:tcPr>
          <w:p w14:paraId="65F1D391">
            <w:pPr>
              <w:ind w:firstLine="480" w:firstLineChars="200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vAlign w:val="center"/>
          </w:tcPr>
          <w:p w14:paraId="094E50CC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工程技术公司2025-2027年表面活性剂产品采购专有协议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701" w:type="dxa"/>
            <w:vAlign w:val="center"/>
          </w:tcPr>
          <w:p w14:paraId="1C7E63E6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具体要求详见附件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1。</w:t>
            </w:r>
          </w:p>
        </w:tc>
        <w:tc>
          <w:tcPr>
            <w:tcW w:w="2551" w:type="dxa"/>
            <w:vAlign w:val="center"/>
          </w:tcPr>
          <w:p w14:paraId="37CB3477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eastAsia="zh-CN"/>
              </w:rPr>
              <w:t>2025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年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  <w:lang w:val="en-US" w:eastAsia="zh-CN"/>
              </w:rPr>
              <w:t>11月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  <w:t>）</w:t>
            </w:r>
          </w:p>
        </w:tc>
        <w:tc>
          <w:tcPr>
            <w:tcW w:w="1843" w:type="dxa"/>
            <w:vAlign w:val="center"/>
          </w:tcPr>
          <w:p w14:paraId="09A87EC4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u w:val="single"/>
              </w:rPr>
              <w:t>详见附件2</w:t>
            </w:r>
          </w:p>
        </w:tc>
        <w:tc>
          <w:tcPr>
            <w:tcW w:w="538" w:type="dxa"/>
            <w:vAlign w:val="center"/>
          </w:tcPr>
          <w:p w14:paraId="2013EE43">
            <w:pPr>
              <w:rPr>
                <w:rFonts w:ascii="仿宋" w:hAnsi="仿宋" w:eastAsia="仿宋" w:cs="Times New Roman"/>
                <w:kern w:val="0"/>
                <w:sz w:val="24"/>
                <w:szCs w:val="24"/>
                <w:u w:val="single"/>
              </w:rPr>
            </w:pPr>
          </w:p>
        </w:tc>
      </w:tr>
    </w:tbl>
    <w:p w14:paraId="4B6B4400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本次公开的采办计划是本项目采办工作的初步安排，实际采购应以相关采购公告和采购文件为准，所有提供和反馈的信息只作为项目采办参考。</w:t>
      </w:r>
    </w:p>
    <w:p w14:paraId="6D1CA165">
      <w:pPr>
        <w:tabs>
          <w:tab w:val="left" w:pos="993"/>
          <w:tab w:val="left" w:pos="1134"/>
          <w:tab w:val="left" w:pos="1418"/>
        </w:tabs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本次公告有效期是（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10月31</w:t>
      </w:r>
      <w:r>
        <w:rPr>
          <w:rFonts w:ascii="仿宋" w:hAnsi="仿宋" w:eastAsia="仿宋" w:cs="Times New Roman"/>
          <w:sz w:val="32"/>
          <w:szCs w:val="32"/>
        </w:rPr>
        <w:t>日）至（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11月7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>）止。在此期间，</w:t>
      </w:r>
      <w:r>
        <w:rPr>
          <w:rFonts w:hint="eastAsia" w:ascii="仿宋" w:hAnsi="仿宋" w:eastAsia="仿宋" w:cs="Times New Roman"/>
          <w:sz w:val="32"/>
          <w:szCs w:val="32"/>
        </w:rPr>
        <w:t>有意向参与本项目的供应商，请在系统中进行反馈。</w:t>
      </w:r>
    </w:p>
    <w:p w14:paraId="4282380B">
      <w:pPr>
        <w:pStyle w:val="2"/>
        <w:rPr>
          <w:rFonts w:hint="eastAsia" w:ascii="仿宋" w:hAnsi="仿宋" w:eastAsia="仿宋" w:cs="Times New Roman"/>
          <w:sz w:val="32"/>
          <w:szCs w:val="32"/>
        </w:rPr>
      </w:pPr>
    </w:p>
    <w:p w14:paraId="6C59B955">
      <w:pPr>
        <w:pStyle w:val="2"/>
        <w:rPr>
          <w:rFonts w:hint="eastAsia" w:ascii="仿宋" w:hAnsi="仿宋" w:eastAsia="仿宋" w:cs="Times New Roman"/>
          <w:sz w:val="32"/>
          <w:szCs w:val="32"/>
        </w:rPr>
      </w:pPr>
    </w:p>
    <w:p w14:paraId="7E688105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仿宋" w:hAnsi="仿宋" w:eastAsia="仿宋" w:cs="Times New Roman"/>
          <w:sz w:val="28"/>
          <w:szCs w:val="28"/>
        </w:rPr>
      </w:pPr>
    </w:p>
    <w:p w14:paraId="0A2A9B39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中海油能源发展股份有限公司</w:t>
      </w:r>
    </w:p>
    <w:p w14:paraId="1F919DAB"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                   采办共享中心</w:t>
      </w:r>
    </w:p>
    <w:p w14:paraId="305A794C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10月31</w:t>
      </w:r>
      <w:r>
        <w:rPr>
          <w:rFonts w:hint="eastAsia" w:ascii="仿宋" w:hAnsi="仿宋" w:eastAsia="仿宋" w:cs="Times New Roman"/>
          <w:sz w:val="32"/>
          <w:szCs w:val="32"/>
        </w:rPr>
        <w:t>日</w:t>
      </w:r>
      <w:r>
        <w:rPr>
          <w:rFonts w:ascii="仿宋" w:hAnsi="仿宋" w:eastAsia="仿宋" w:cs="Times New Roman"/>
          <w:sz w:val="32"/>
          <w:szCs w:val="32"/>
        </w:rPr>
        <w:t xml:space="preserve">   </w:t>
      </w:r>
    </w:p>
    <w:bookmarkEnd w:id="0"/>
    <w:p w14:paraId="19EC19BA">
      <w:pPr>
        <w:tabs>
          <w:tab w:val="left" w:pos="993"/>
          <w:tab w:val="left" w:pos="1134"/>
          <w:tab w:val="left" w:pos="1418"/>
        </w:tabs>
        <w:spacing w:line="600" w:lineRule="exact"/>
        <w:ind w:right="1120" w:firstLine="960" w:firstLineChars="300"/>
        <w:jc w:val="right"/>
        <w:rPr>
          <w:rFonts w:ascii="仿宋" w:hAnsi="仿宋" w:eastAsia="仿宋" w:cs="Times New Roman"/>
          <w:sz w:val="32"/>
          <w:szCs w:val="32"/>
        </w:rPr>
      </w:pPr>
    </w:p>
    <w:bookmarkEnd w:id="1"/>
    <w:p w14:paraId="11A3A221">
      <w:pPr>
        <w:widowControl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79DACF0">
      <w:pPr>
        <w:tabs>
          <w:tab w:val="left" w:pos="993"/>
          <w:tab w:val="left" w:pos="1134"/>
          <w:tab w:val="left" w:pos="1418"/>
        </w:tabs>
        <w:spacing w:line="600" w:lineRule="exact"/>
        <w:ind w:right="112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附件1：</w:t>
      </w:r>
    </w:p>
    <w:p w14:paraId="170023D2">
      <w:pPr>
        <w:pStyle w:val="31"/>
        <w:spacing w:before="120" w:after="120" w:line="360" w:lineRule="auto"/>
        <w:ind w:left="6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1、需求一览表</w:t>
      </w:r>
    </w:p>
    <w:tbl>
      <w:tblPr>
        <w:tblStyle w:val="10"/>
        <w:tblW w:w="10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96"/>
        <w:gridCol w:w="2429"/>
        <w:gridCol w:w="1500"/>
        <w:gridCol w:w="1650"/>
        <w:gridCol w:w="1607"/>
        <w:gridCol w:w="2207"/>
      </w:tblGrid>
      <w:tr w14:paraId="3778A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447" w:type="dxa"/>
          </w:tcPr>
          <w:p w14:paraId="7B6ADE57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序号</w:t>
            </w:r>
          </w:p>
        </w:tc>
        <w:tc>
          <w:tcPr>
            <w:tcW w:w="996" w:type="dxa"/>
          </w:tcPr>
          <w:p w14:paraId="4DE0B281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物资名称</w:t>
            </w:r>
          </w:p>
        </w:tc>
        <w:tc>
          <w:tcPr>
            <w:tcW w:w="2429" w:type="dxa"/>
          </w:tcPr>
          <w:p w14:paraId="402CE54A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规格型号</w:t>
            </w:r>
          </w:p>
        </w:tc>
        <w:tc>
          <w:tcPr>
            <w:tcW w:w="1500" w:type="dxa"/>
          </w:tcPr>
          <w:p w14:paraId="15652D57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年度预估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数量及单位</w:t>
            </w:r>
          </w:p>
        </w:tc>
        <w:tc>
          <w:tcPr>
            <w:tcW w:w="1650" w:type="dxa"/>
          </w:tcPr>
          <w:p w14:paraId="658913D5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交货期</w:t>
            </w:r>
          </w:p>
        </w:tc>
        <w:tc>
          <w:tcPr>
            <w:tcW w:w="1607" w:type="dxa"/>
          </w:tcPr>
          <w:p w14:paraId="56CAB92E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交货地点</w:t>
            </w:r>
          </w:p>
        </w:tc>
        <w:tc>
          <w:tcPr>
            <w:tcW w:w="2207" w:type="dxa"/>
          </w:tcPr>
          <w:p w14:paraId="3A2EFBA5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付款方式</w:t>
            </w:r>
          </w:p>
        </w:tc>
      </w:tr>
      <w:tr w14:paraId="1E303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447" w:type="dxa"/>
            <w:vAlign w:val="center"/>
          </w:tcPr>
          <w:p w14:paraId="2B688BC6">
            <w:pPr>
              <w:pStyle w:val="4"/>
              <w:tabs>
                <w:tab w:val="left" w:pos="0"/>
              </w:tabs>
              <w:ind w:left="-190" w:leftChars="-93" w:hanging="5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vAlign w:val="center"/>
          </w:tcPr>
          <w:p w14:paraId="64C6FB40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表面活性剂</w:t>
            </w:r>
          </w:p>
        </w:tc>
        <w:tc>
          <w:tcPr>
            <w:tcW w:w="2429" w:type="dxa"/>
            <w:vAlign w:val="center"/>
          </w:tcPr>
          <w:p w14:paraId="40A1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详见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主要技术指标</w:t>
            </w:r>
          </w:p>
        </w:tc>
        <w:tc>
          <w:tcPr>
            <w:tcW w:w="1500" w:type="dxa"/>
            <w:vAlign w:val="center"/>
          </w:tcPr>
          <w:p w14:paraId="17A93470">
            <w:pPr>
              <w:pStyle w:val="4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450000KG</w:t>
            </w:r>
          </w:p>
        </w:tc>
        <w:tc>
          <w:tcPr>
            <w:tcW w:w="1650" w:type="dxa"/>
            <w:vAlign w:val="center"/>
          </w:tcPr>
          <w:p w14:paraId="514D71B2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按买方订单通知送货，卖方收到买方订单送货通知后，7日内完成送货。</w:t>
            </w:r>
          </w:p>
        </w:tc>
        <w:tc>
          <w:tcPr>
            <w:tcW w:w="1607" w:type="dxa"/>
            <w:vAlign w:val="center"/>
          </w:tcPr>
          <w:p w14:paraId="12C05739">
            <w:pPr>
              <w:pStyle w:val="4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天津市滨海新区工程技术公司增产库房</w:t>
            </w:r>
          </w:p>
        </w:tc>
        <w:tc>
          <w:tcPr>
            <w:tcW w:w="2207" w:type="dxa"/>
            <w:vAlign w:val="center"/>
          </w:tcPr>
          <w:p w14:paraId="2946DA44">
            <w:pPr>
              <w:pStyle w:val="4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按照交货批次付款。卖方在每批次实际交付货物并经买方执行方验收合格之日起，卖方3日内向买方执行方提供有效增值税专用发票及相关支持文件，买方执行方于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个日历日内以银行电汇支付订单价款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205125F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  <w:bookmarkStart w:id="2" w:name="_Toc13249326"/>
      <w:bookmarkStart w:id="3" w:name="_Toc13248929"/>
    </w:p>
    <w:p w14:paraId="355C0FD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最小送货量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1000KG</w:t>
      </w:r>
    </w:p>
    <w:p w14:paraId="56781537">
      <w:pPr>
        <w:pStyle w:val="31"/>
        <w:numPr>
          <w:ilvl w:val="0"/>
          <w:numId w:val="2"/>
        </w:numPr>
        <w:spacing w:before="120" w:after="120" w:line="360" w:lineRule="auto"/>
        <w:ind w:left="600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主要技术指标</w:t>
      </w:r>
    </w:p>
    <w:p w14:paraId="6029D9AF"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257" w:lineRule="auto"/>
        <w:ind w:left="217" w:leftChars="0" w:right="0" w:hanging="217" w:hangingChars="68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bookmarkStart w:id="4" w:name="_Toc13248927"/>
      <w:bookmarkStart w:id="5" w:name="_Toc13249324"/>
      <w:r>
        <w:rPr>
          <w:rFonts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需求</w:t>
      </w:r>
      <w:r>
        <w:rPr>
          <w:rFonts w:ascii="微软雅黑" w:hAnsi="微软雅黑" w:eastAsia="微软雅黑" w:cs="Times New Roman"/>
          <w:bCs/>
          <w:color w:val="auto"/>
          <w:kern w:val="0"/>
          <w:sz w:val="32"/>
          <w:szCs w:val="32"/>
          <w:lang w:val="en-US" w:eastAsia="zh-CN" w:bidi="ar-SA"/>
        </w:rPr>
        <w:t>概况</w:t>
      </w:r>
      <w:bookmarkEnd w:id="4"/>
      <w:bookmarkEnd w:id="5"/>
    </w:p>
    <w:p w14:paraId="0A6F3A6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/>
        <w:textAlignment w:val="auto"/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随着海上油田注水开发，越来越多油田进入中高含水开发阶段，产油下降明显，急需相关稳油控水技术来改善开发效果，提高油田产量。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val="en-US" w:eastAsia="zh-CN"/>
        </w:rPr>
        <w:t>表面活性剂可与聚合物组合用于高含水油田二元复合驱油。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为持续、稳定保证现场施工作业的开展，及时且快速的保障买方的作业需求，保证市场稳定和供货及时，我公司特立项进行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表面活性剂</w:t>
      </w: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调驱技术相关产品的采购。</w:t>
      </w:r>
    </w:p>
    <w:p w14:paraId="1E2F1D2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Times New Roman"/>
          <w:b w:val="0"/>
          <w:bCs w:val="0"/>
          <w:color w:val="auto"/>
          <w:lang w:eastAsia="zh-CN"/>
        </w:rPr>
      </w:pP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本采购技术要求书表面活性剂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kern w:val="0"/>
          <w:sz w:val="21"/>
          <w:szCs w:val="21"/>
          <w:lang w:val="en-US" w:eastAsia="zh-CN" w:bidi="ar-SA"/>
        </w:rPr>
        <w:t>无产品标准可引用</w:t>
      </w:r>
      <w:r>
        <w:rPr>
          <w:rFonts w:hint="eastAsia" w:ascii="微软雅黑" w:hAnsi="微软雅黑" w:eastAsia="微软雅黑" w:cs="Times New Roman"/>
          <w:b w:val="0"/>
          <w:bCs w:val="0"/>
          <w:color w:val="auto"/>
          <w:lang w:val="en-US" w:eastAsia="zh-CN"/>
        </w:rPr>
        <w:t>。</w:t>
      </w:r>
    </w:p>
    <w:p w14:paraId="5985A6C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/>
        <w:textAlignment w:val="auto"/>
        <w:rPr>
          <w:rFonts w:hint="eastAsia" w:ascii="微软雅黑" w:hAnsi="微软雅黑" w:eastAsia="微软雅黑" w:cs="Times New Roman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Times New Roman"/>
          <w:color w:val="auto"/>
          <w:sz w:val="21"/>
          <w:szCs w:val="21"/>
          <w:lang w:eastAsia="zh-CN"/>
        </w:rPr>
        <w:t>现场工况条件如下表。</w:t>
      </w:r>
    </w:p>
    <w:tbl>
      <w:tblPr>
        <w:tblStyle w:val="11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69"/>
        <w:gridCol w:w="799"/>
        <w:gridCol w:w="1095"/>
        <w:gridCol w:w="804"/>
        <w:gridCol w:w="863"/>
        <w:gridCol w:w="746"/>
        <w:gridCol w:w="854"/>
        <w:gridCol w:w="956"/>
        <w:gridCol w:w="876"/>
      </w:tblGrid>
      <w:tr w14:paraId="679FD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4413EA2A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注入水温度，℃</w:t>
            </w:r>
          </w:p>
        </w:tc>
        <w:tc>
          <w:tcPr>
            <w:tcW w:w="465" w:type="pct"/>
            <w:noWrap w:val="0"/>
            <w:vAlign w:val="center"/>
          </w:tcPr>
          <w:p w14:paraId="7E6AD38C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油藏温度，℃</w:t>
            </w:r>
          </w:p>
        </w:tc>
        <w:tc>
          <w:tcPr>
            <w:tcW w:w="482" w:type="pct"/>
            <w:noWrap w:val="0"/>
            <w:vAlign w:val="center"/>
          </w:tcPr>
          <w:p w14:paraId="65B2A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总矿化度，mg/L</w:t>
            </w:r>
          </w:p>
        </w:tc>
        <w:tc>
          <w:tcPr>
            <w:tcW w:w="624" w:type="pct"/>
            <w:noWrap w:val="0"/>
            <w:vAlign w:val="center"/>
          </w:tcPr>
          <w:p w14:paraId="283A2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+Na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82" w:type="pct"/>
            <w:noWrap w:val="0"/>
            <w:vAlign w:val="center"/>
          </w:tcPr>
          <w:p w14:paraId="26B0A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Ca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92" w:type="pct"/>
            <w:noWrap w:val="0"/>
            <w:vAlign w:val="center"/>
          </w:tcPr>
          <w:p w14:paraId="12511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Mg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vertAlign w:val="superscript"/>
                <w:lang w:eastAsia="zh-CN"/>
              </w:rPr>
              <w:t>2+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54" w:type="pct"/>
            <w:noWrap w:val="0"/>
            <w:vAlign w:val="center"/>
          </w:tcPr>
          <w:p w14:paraId="1875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Cl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487" w:type="pct"/>
            <w:noWrap w:val="0"/>
            <w:vAlign w:val="center"/>
          </w:tcPr>
          <w:p w14:paraId="119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SO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4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545" w:type="pct"/>
            <w:noWrap w:val="0"/>
            <w:vAlign w:val="center"/>
          </w:tcPr>
          <w:p w14:paraId="4155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HCO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  <w:tc>
          <w:tcPr>
            <w:tcW w:w="500" w:type="pct"/>
            <w:noWrap w:val="0"/>
            <w:vAlign w:val="center"/>
          </w:tcPr>
          <w:p w14:paraId="3F2C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Style w:val="46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CO</w:t>
            </w:r>
            <w:r>
              <w:rPr>
                <w:rStyle w:val="48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3</w:t>
            </w:r>
            <w:r>
              <w:rPr>
                <w:rStyle w:val="47"/>
                <w:rFonts w:hint="default" w:ascii="Times New Roman" w:hAnsi="Times New Roman" w:eastAsia="宋体" w:cs="Times New Roman"/>
                <w:highlight w:val="none"/>
                <w:lang w:val="en-US" w:eastAsia="zh-CN" w:bidi="ar"/>
              </w:rPr>
              <w:t>2-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，mg/L</w:t>
            </w:r>
          </w:p>
        </w:tc>
      </w:tr>
      <w:tr w14:paraId="5687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pct"/>
            <w:noWrap w:val="0"/>
            <w:vAlign w:val="center"/>
          </w:tcPr>
          <w:p w14:paraId="27849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60</w:t>
            </w:r>
          </w:p>
        </w:tc>
        <w:tc>
          <w:tcPr>
            <w:tcW w:w="465" w:type="pct"/>
            <w:noWrap w:val="0"/>
            <w:vAlign w:val="center"/>
          </w:tcPr>
          <w:p w14:paraId="1B79F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64</w:t>
            </w:r>
          </w:p>
        </w:tc>
        <w:tc>
          <w:tcPr>
            <w:tcW w:w="482" w:type="pct"/>
            <w:noWrap w:val="0"/>
            <w:vAlign w:val="center"/>
          </w:tcPr>
          <w:p w14:paraId="589A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9973</w:t>
            </w:r>
          </w:p>
        </w:tc>
        <w:tc>
          <w:tcPr>
            <w:tcW w:w="624" w:type="pct"/>
            <w:noWrap w:val="0"/>
            <w:vAlign w:val="center"/>
          </w:tcPr>
          <w:p w14:paraId="1AAD9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2898</w:t>
            </w:r>
          </w:p>
        </w:tc>
        <w:tc>
          <w:tcPr>
            <w:tcW w:w="482" w:type="pct"/>
            <w:noWrap w:val="0"/>
            <w:vAlign w:val="center"/>
          </w:tcPr>
          <w:p w14:paraId="0EA0E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652</w:t>
            </w:r>
          </w:p>
        </w:tc>
        <w:tc>
          <w:tcPr>
            <w:tcW w:w="492" w:type="pct"/>
            <w:noWrap w:val="0"/>
            <w:vAlign w:val="center"/>
          </w:tcPr>
          <w:p w14:paraId="22AB6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179</w:t>
            </w:r>
          </w:p>
        </w:tc>
        <w:tc>
          <w:tcPr>
            <w:tcW w:w="454" w:type="pct"/>
            <w:noWrap w:val="0"/>
            <w:vAlign w:val="center"/>
          </w:tcPr>
          <w:p w14:paraId="769A0F39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5852</w:t>
            </w:r>
          </w:p>
        </w:tc>
        <w:tc>
          <w:tcPr>
            <w:tcW w:w="487" w:type="pct"/>
            <w:noWrap w:val="0"/>
            <w:vAlign w:val="center"/>
          </w:tcPr>
          <w:p w14:paraId="5F6CCB5A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256</w:t>
            </w:r>
          </w:p>
        </w:tc>
        <w:tc>
          <w:tcPr>
            <w:tcW w:w="545" w:type="pct"/>
            <w:noWrap w:val="0"/>
            <w:vAlign w:val="center"/>
          </w:tcPr>
          <w:p w14:paraId="61564404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88</w:t>
            </w:r>
          </w:p>
        </w:tc>
        <w:tc>
          <w:tcPr>
            <w:tcW w:w="500" w:type="pct"/>
            <w:noWrap w:val="0"/>
            <w:vAlign w:val="center"/>
          </w:tcPr>
          <w:p w14:paraId="20D82AA2">
            <w:pPr>
              <w:pStyle w:val="31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before="120" w:after="120"/>
              <w:ind w:right="0"/>
              <w:jc w:val="center"/>
              <w:outlineLvl w:val="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45</w:t>
            </w:r>
          </w:p>
        </w:tc>
      </w:tr>
    </w:tbl>
    <w:p w14:paraId="08A6D79D">
      <w:pPr>
        <w:pStyle w:val="31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bookmarkStart w:id="6" w:name="_Toc13248928"/>
      <w:bookmarkStart w:id="7" w:name="_Toc13249325"/>
      <w:r>
        <w:rPr>
          <w:rFonts w:ascii="微软雅黑" w:hAnsi="微软雅黑" w:eastAsia="微软雅黑" w:cs="Times New Roman"/>
          <w:bCs/>
          <w:color w:val="auto"/>
          <w:sz w:val="32"/>
          <w:szCs w:val="32"/>
        </w:rPr>
        <w:t>需求一览表</w:t>
      </w:r>
      <w:bookmarkEnd w:id="6"/>
      <w:bookmarkEnd w:id="7"/>
    </w:p>
    <w:p w14:paraId="37E9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/>
        <w:jc w:val="center"/>
        <w:textAlignment w:val="auto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表1  产品需求一览表</w:t>
      </w:r>
    </w:p>
    <w:tbl>
      <w:tblPr>
        <w:tblStyle w:val="11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969"/>
        <w:gridCol w:w="904"/>
        <w:gridCol w:w="837"/>
        <w:gridCol w:w="900"/>
        <w:gridCol w:w="732"/>
        <w:gridCol w:w="483"/>
        <w:gridCol w:w="1446"/>
        <w:gridCol w:w="801"/>
        <w:gridCol w:w="849"/>
      </w:tblGrid>
      <w:tr w14:paraId="072DE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49633A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5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666698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物资编码</w:t>
            </w:r>
          </w:p>
        </w:tc>
        <w:tc>
          <w:tcPr>
            <w:tcW w:w="54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F57A5D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品类编码</w:t>
            </w:r>
          </w:p>
        </w:tc>
        <w:tc>
          <w:tcPr>
            <w:tcW w:w="50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F0942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物资名称</w:t>
            </w:r>
          </w:p>
        </w:tc>
        <w:tc>
          <w:tcPr>
            <w:tcW w:w="53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94035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规格型号</w:t>
            </w:r>
          </w:p>
        </w:tc>
        <w:tc>
          <w:tcPr>
            <w:tcW w:w="423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0101B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B4252A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864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18956A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4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F3253C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48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F417E0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554A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009ADBC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3697C53"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84920087</w:t>
            </w:r>
          </w:p>
        </w:tc>
        <w:tc>
          <w:tcPr>
            <w:tcW w:w="54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A0C7D13">
            <w:pPr>
              <w:pStyle w:val="4"/>
              <w:spacing w:line="24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A030702</w:t>
            </w:r>
          </w:p>
        </w:tc>
        <w:tc>
          <w:tcPr>
            <w:tcW w:w="50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AD8B42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表面活性剂</w:t>
            </w:r>
          </w:p>
        </w:tc>
        <w:tc>
          <w:tcPr>
            <w:tcW w:w="53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4ADAFEC0">
            <w:pPr>
              <w:widowControl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PA-AS21</w:t>
            </w:r>
          </w:p>
        </w:tc>
        <w:tc>
          <w:tcPr>
            <w:tcW w:w="423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916B0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</w:rPr>
              <w:t>50</w:t>
            </w: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000</w:t>
            </w:r>
          </w:p>
        </w:tc>
        <w:tc>
          <w:tcPr>
            <w:tcW w:w="292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6174EB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 w:eastAsia="zh-CN"/>
              </w:rPr>
              <w:t>KG</w:t>
            </w:r>
          </w:p>
        </w:tc>
        <w:tc>
          <w:tcPr>
            <w:tcW w:w="864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32CEBB0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合同有效期内，按买方订单通知送货，卖方收到买方订单送货通知后，7日内完成送货</w:t>
            </w:r>
          </w:p>
        </w:tc>
        <w:tc>
          <w:tcPr>
            <w:tcW w:w="481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57C7EE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left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微软雅黑" w:cs="Times New Roman"/>
                <w:spacing w:val="0"/>
                <w:kern w:val="0"/>
                <w:sz w:val="21"/>
                <w:szCs w:val="21"/>
                <w:highlight w:val="none"/>
                <w:lang w:val="en-US" w:eastAsia="zh-CN" w:bidi="ar-SA"/>
              </w:rPr>
              <w:t>天津市滨海新区工程技术公司增产库房</w:t>
            </w:r>
          </w:p>
        </w:tc>
        <w:tc>
          <w:tcPr>
            <w:tcW w:w="485" w:type="pct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66A57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pacing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最小送货量1000KG</w:t>
            </w:r>
          </w:p>
        </w:tc>
      </w:tr>
    </w:tbl>
    <w:p w14:paraId="6ED084EA">
      <w:pPr>
        <w:rPr>
          <w:rFonts w:hint="eastAsia" w:ascii="微软雅黑" w:hAnsi="微软雅黑" w:eastAsia="微软雅黑" w:cs="Times New Roman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备注：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以上数量为未来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年的预估需求数量，每次采购数量以买方采购订单为准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 w14:paraId="07541C11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三、执行标准/规范</w:t>
      </w:r>
    </w:p>
    <w:p w14:paraId="52CD1DD4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sz w:val="21"/>
          <w:szCs w:val="21"/>
          <w:lang w:val="en-US" w:eastAsia="zh-CN"/>
        </w:rPr>
        <w:t>本技术要求采购产品性能指标及检测方法参考或按以下标准执行：</w:t>
      </w:r>
    </w:p>
    <w:p w14:paraId="616AD8F8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5862-2020 驱油用聚合物技术要求</w:t>
      </w:r>
    </w:p>
    <w:p w14:paraId="105860A0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GB/T 9724-2007 化学试剂pH值测定通则</w:t>
      </w:r>
    </w:p>
    <w:p w14:paraId="137F121D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5370-2018 表面及界面张力测定方法</w:t>
      </w:r>
    </w:p>
    <w:p w14:paraId="2E164F05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GB/T 2013-2010 液体石油化工产品密度测定法</w:t>
      </w:r>
    </w:p>
    <w:p w14:paraId="6CF10BCC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GB/T 3535-2006 石油产品倾点测定法</w:t>
      </w:r>
    </w:p>
    <w:p w14:paraId="0F561B09"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firstLine="420" w:firstLineChars="200"/>
        <w:textAlignment w:val="auto"/>
        <w:outlineLvl w:val="0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SY/T 7329-2016 油田化学剂中有机氯含量测定方法</w:t>
      </w:r>
    </w:p>
    <w:p w14:paraId="2FD33F38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</w:rPr>
        <w:t>四、设计/使用条件</w:t>
      </w:r>
    </w:p>
    <w:p w14:paraId="18878A8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20" w:firstLineChars="200"/>
        <w:textAlignment w:val="auto"/>
        <w:rPr>
          <w:rFonts w:ascii="Times New Roman" w:hAnsi="Times New Roman" w:eastAsia="微软雅黑" w:cs="Times New Roman"/>
          <w:lang w:eastAsia="zh-CN"/>
        </w:rPr>
      </w:pPr>
      <w:r>
        <w:rPr>
          <w:rFonts w:ascii="Times New Roman" w:hAnsi="Times New Roman" w:eastAsia="微软雅黑" w:cs="Times New Roman"/>
          <w:lang w:eastAsia="zh-CN"/>
        </w:rPr>
        <w:t>1. 使用地点：本产品主要在海上油田使用；</w:t>
      </w:r>
    </w:p>
    <w:p w14:paraId="4B614F5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57" w:lineRule="auto"/>
        <w:ind w:left="0" w:leftChars="0" w:right="0" w:firstLine="42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ascii="Times New Roman" w:hAnsi="Times New Roman" w:eastAsia="微软雅黑" w:cs="Times New Roman"/>
          <w:lang w:eastAsia="zh-CN"/>
        </w:rPr>
        <w:t>2. 作业环境要求：温度：-20</w:t>
      </w:r>
      <w:r>
        <w:rPr>
          <w:rFonts w:hint="eastAsia" w:ascii="宋体" w:hAnsi="宋体" w:eastAsia="宋体" w:cs="宋体"/>
          <w:lang w:eastAsia="zh-CN"/>
        </w:rPr>
        <w:t>℃</w:t>
      </w:r>
      <w:r>
        <w:rPr>
          <w:rFonts w:ascii="Times New Roman" w:hAnsi="Times New Roman" w:eastAsia="微软雅黑" w:cs="Times New Roman"/>
          <w:lang w:eastAsia="zh-CN"/>
        </w:rPr>
        <w:t>~40</w:t>
      </w:r>
      <w:r>
        <w:rPr>
          <w:rFonts w:hint="eastAsia" w:ascii="宋体" w:hAnsi="宋体" w:eastAsia="宋体" w:cs="宋体"/>
          <w:lang w:eastAsia="zh-CN"/>
        </w:rPr>
        <w:t>℃</w:t>
      </w:r>
      <w:r>
        <w:rPr>
          <w:rFonts w:ascii="Times New Roman" w:hAnsi="Times New Roman" w:eastAsia="微软雅黑" w:cs="Times New Roman"/>
          <w:lang w:eastAsia="zh-CN"/>
        </w:rPr>
        <w:t>；湿度：40%-100%</w:t>
      </w:r>
      <w:r>
        <w:rPr>
          <w:rFonts w:hint="eastAsia" w:ascii="Times New Roman" w:hAnsi="Times New Roman" w:eastAsia="微软雅黑" w:cs="Times New Roman"/>
          <w:lang w:eastAsia="zh-CN"/>
        </w:rPr>
        <w:t>。</w:t>
      </w:r>
    </w:p>
    <w:p w14:paraId="14012177">
      <w:pPr>
        <w:pStyle w:val="3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before="120" w:after="120"/>
        <w:ind w:right="0" w:rightChars="0"/>
        <w:outlineLvl w:val="0"/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lang w:val="en-US" w:eastAsia="zh-CN"/>
        </w:rPr>
        <w:t>五、技术要求</w:t>
      </w:r>
    </w:p>
    <w:p w14:paraId="1D4BD01E">
      <w:pPr>
        <w:pStyle w:val="4"/>
        <w:numPr>
          <w:ilvl w:val="0"/>
          <w:numId w:val="0"/>
        </w:numPr>
        <w:ind w:leftChars="0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1. </w:t>
      </w:r>
      <w:r>
        <w:rPr>
          <w:rFonts w:hint="eastAsia"/>
          <w:color w:val="auto"/>
          <w:sz w:val="24"/>
          <w:szCs w:val="24"/>
        </w:rPr>
        <w:t>产品技术参数</w:t>
      </w:r>
    </w:p>
    <w:p w14:paraId="40CA24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（1）技术指标</w:t>
      </w:r>
    </w:p>
    <w:tbl>
      <w:tblPr>
        <w:tblStyle w:val="10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001"/>
        <w:gridCol w:w="3163"/>
        <w:gridCol w:w="1535"/>
      </w:tblGrid>
      <w:tr w14:paraId="7D113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8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18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理化性能参数</w:t>
            </w:r>
          </w:p>
        </w:tc>
        <w:tc>
          <w:tcPr>
            <w:tcW w:w="1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E1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技术指标</w:t>
            </w:r>
          </w:p>
        </w:tc>
        <w:tc>
          <w:tcPr>
            <w:tcW w:w="9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C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4E512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C2326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12D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外观</w:t>
            </w:r>
          </w:p>
        </w:tc>
        <w:tc>
          <w:tcPr>
            <w:tcW w:w="1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5C31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粘稠可流动液体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912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  <w:tr w14:paraId="5BCA7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DC9E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1B5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固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含量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，%</w:t>
            </w:r>
          </w:p>
        </w:tc>
        <w:tc>
          <w:tcPr>
            <w:tcW w:w="1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2407B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≥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147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4A61C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AB82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C21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pH值</w:t>
            </w:r>
          </w:p>
        </w:tc>
        <w:tc>
          <w:tcPr>
            <w:tcW w:w="1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89AA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7.0-11.0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C7F0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67B96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7BC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7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B2D1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水中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分散时间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s</w:t>
            </w:r>
          </w:p>
        </w:tc>
        <w:tc>
          <w:tcPr>
            <w:tcW w:w="1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9B2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22E8E">
            <w:pPr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  <w:tr w14:paraId="53C6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AC8E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DCDA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界面张力</w:t>
            </w:r>
          </w:p>
          <w:p w14:paraId="35248A9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2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000mg/L）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mN/m</w:t>
            </w:r>
          </w:p>
        </w:tc>
        <w:tc>
          <w:tcPr>
            <w:tcW w:w="18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F4EA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≤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×10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superscript"/>
                <w:lang w:eastAsia="zh-CN"/>
              </w:rPr>
              <w:t>-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9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76B2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5E1D4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D3B8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8C7E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密度（25℃），g/cm³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EA6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-1.2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770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0CAA5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F2F5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CD56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热稳定性</w:t>
            </w:r>
          </w:p>
          <w:p w14:paraId="244257D6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（2000mg/L），mN/m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BAC5C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界面张力&lt;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×10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vertAlign w:val="superscript"/>
                <w:lang w:eastAsia="zh-CN"/>
              </w:rPr>
              <w:t>-2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（90天）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C4CFA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14A8E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E6318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043B7">
            <w:pPr>
              <w:adjustRightInd w:val="0"/>
              <w:snapToGrid w:val="0"/>
              <w:jc w:val="center"/>
              <w:rPr>
                <w:rFonts w:hint="eastAsia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倾点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℃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冬季</w:t>
            </w:r>
            <w:r>
              <w:rPr>
                <w:rFonts w:hint="eastAsia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27E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≤-20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DD8B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0ADDB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22D68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FEE0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有机氯，mg/L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FBDB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  <w:t>0.0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72156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部分引用</w:t>
            </w:r>
          </w:p>
        </w:tc>
      </w:tr>
      <w:tr w14:paraId="28497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EE73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64F9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应用性能参数</w:t>
            </w:r>
          </w:p>
        </w:tc>
        <w:tc>
          <w:tcPr>
            <w:tcW w:w="3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BA6FD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eastAsia="zh-CN"/>
              </w:rPr>
              <w:t>技术指标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AF07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BD81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91A88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6A6F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</w:rPr>
              <w:t>配伍性</w:t>
            </w:r>
          </w:p>
        </w:tc>
        <w:tc>
          <w:tcPr>
            <w:tcW w:w="1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5BDD4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sz w:val="21"/>
                <w:szCs w:val="21"/>
                <w:lang w:eastAsia="zh-CN"/>
              </w:rPr>
              <w:t>与目标油田模拟水配伍性良好，无絮状沉淀或滴状悬浮物</w:t>
            </w:r>
          </w:p>
        </w:tc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89A18">
            <w:pPr>
              <w:adjustRightInd w:val="0"/>
              <w:snapToGrid w:val="0"/>
              <w:jc w:val="center"/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未引用</w:t>
            </w:r>
          </w:p>
        </w:tc>
      </w:tr>
    </w:tbl>
    <w:p w14:paraId="17AABC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</w:pPr>
    </w:p>
    <w:p w14:paraId="235C7F9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（2）检测方法</w:t>
      </w:r>
    </w:p>
    <w:p w14:paraId="4C8343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lang w:val="en-US" w:eastAsia="zh-CN" w:bidi="ar-SA"/>
        </w:rPr>
        <w:t>1）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外观：粘稠可流动液体，采用目测法进行观察。</w:t>
      </w:r>
    </w:p>
    <w:p w14:paraId="05D6E4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2）固含量：≥30%，参照SY/T 5862-2020中6.2的规定执行。</w:t>
      </w:r>
    </w:p>
    <w:p w14:paraId="7C096F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3）pH值：7.0-11.0，参照GB/T 9724-2007中的规定执行。</w:t>
      </w:r>
    </w:p>
    <w:p w14:paraId="60324C5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4）水中分散时间：≤60s，参照如下检测方法进行测定：在60℃，400r/min搅拌条件下，缓慢加入药剂，与目标油田模拟水配制2000mg/L浓度的溶液，记录分散均匀所需要的时间。</w:t>
      </w:r>
    </w:p>
    <w:p w14:paraId="3E5908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5）界面张力（2000mg/L）：≤9×10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vertAlign w:val="superscript"/>
          <w:lang w:val="en-US" w:eastAsia="zh-CN" w:bidi="ar-SA"/>
        </w:rPr>
        <w:t>-3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mN/m，参照SY/T 5370-2018中7.3.4的规定执行。</w:t>
      </w:r>
    </w:p>
    <w:p w14:paraId="3C987E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6）密度（25℃）：1.0-1.2g/cm³，参照GB/T 2013-2010测定。</w:t>
      </w:r>
    </w:p>
    <w:p w14:paraId="20992C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right="0" w:firstLine="420" w:firstLineChars="200"/>
        <w:jc w:val="both"/>
        <w:textAlignment w:val="auto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7）热稳定性（2000mg/L）：界面张力&lt;9×10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vertAlign w:val="superscript"/>
          <w:lang w:val="en-US" w:eastAsia="zh-CN" w:bidi="ar-SA"/>
        </w:rPr>
        <w:t>-2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（90天），参照SY/T 5370-2018中7.3.4的规定执行。</w:t>
      </w:r>
    </w:p>
    <w:p w14:paraId="13AC042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8）倾点：≤-20℃（冬季），参照GB/T 3535-2006测定。</w:t>
      </w:r>
    </w:p>
    <w:p w14:paraId="7323CDD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200" w:right="0" w:rightChars="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9）有机氯：0.0，参照SY/T 7329-2016测定。</w:t>
      </w:r>
    </w:p>
    <w:p w14:paraId="56CB58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firstLine="420" w:firstLineChars="200"/>
        <w:jc w:val="both"/>
        <w:textAlignment w:val="auto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lang w:val="en-US" w:eastAsia="zh-CN" w:bidi="ar-SA"/>
        </w:rPr>
        <w:t>10）配伍性：与目标油田模拟水配伍性良好，无絮状沉淀或滴状悬浮物，参照如下检测方法进行测定：在60℃，400r/min搅拌条件下，缓慢加入药剂，与目标油田模拟水配制2000mg/L浓度的溶液，观察有无絮状沉淀或滴状悬浮物产生。</w:t>
      </w:r>
    </w:p>
    <w:p w14:paraId="5BD3F332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六、检测和试验</w:t>
      </w:r>
    </w:p>
    <w:p w14:paraId="61D3D0B3">
      <w:pPr>
        <w:pStyle w:val="31"/>
        <w:spacing w:line="360" w:lineRule="auto"/>
        <w:ind w:firstLine="420" w:firstLineChars="200"/>
        <w:jc w:val="both"/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1.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投标时投标人须提供具备CMA或CNAS检测资质的第三方检测机构出具的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盖章版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产品检测报告，报告须覆盖本技术要求所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有标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★检测项目，且满足指标要求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。</w:t>
      </w:r>
    </w:p>
    <w:p w14:paraId="1F531BBC">
      <w:pPr>
        <w:pStyle w:val="31"/>
        <w:spacing w:line="360" w:lineRule="auto"/>
        <w:ind w:firstLine="420" w:firstLineChars="200"/>
        <w:jc w:val="both"/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 xml:space="preserve"> 合同签订后，卖方送样且本技术要求所述全部检测项目通过</w:t>
      </w:r>
      <w:r>
        <w:rPr>
          <w:rFonts w:hint="default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工程技术公司质控中心检测</w:t>
      </w:r>
      <w:r>
        <w:rPr>
          <w:rFonts w:hint="eastAsia" w:ascii="微软雅黑" w:hAnsi="微软雅黑" w:eastAsia="微软雅黑" w:cs="Times New Roman"/>
          <w:color w:val="auto"/>
          <w:kern w:val="0"/>
          <w:sz w:val="21"/>
          <w:szCs w:val="21"/>
          <w:highlight w:val="none"/>
          <w:lang w:val="en-US" w:eastAsia="zh-CN" w:bidi="ar-SA"/>
        </w:rPr>
        <w:t>合格后方可送货。</w:t>
      </w:r>
    </w:p>
    <w:p w14:paraId="76536ECE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  <w:jc w:val="both"/>
        <w:rPr>
          <w:rFonts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3. 卖方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承诺送货时的提供的产品满足本技术要求中产品技术参数的要求，出具出厂产品合格证。并按月提供覆盖本技术要求所有标★检测项目的具备CMA或CNAS检测资质的第三方检测机构出具的盖章版产品检测报告。</w:t>
      </w:r>
    </w:p>
    <w:p w14:paraId="32CA6920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4. 送货后，由买方取样送检化验，产品质检合格后方可办理验收手续。如到货产品买方抽样检测不合格，买方有权要求卖方退换货处理，退换货周期不超过5天。</w:t>
      </w:r>
    </w:p>
    <w:p w14:paraId="72FC4EB7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420"/>
        <w:jc w:val="both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5. 如卖方对买方抽样质检结果有疑议，经双方协商后，进行联合取样，样品一式三份（每份不得少于200mL）；一份由具备CNAS/CMA认证机构的第三方质量检验机构检测，一份由工程技术公司质控中心检测，一份作为备样质控中心留存。若结果不一致，最终检测以质控中心检测结果为准。</w:t>
      </w:r>
    </w:p>
    <w:p w14:paraId="1BA4314A">
      <w:pPr>
        <w:pStyle w:val="31"/>
        <w:keepNext w:val="0"/>
        <w:keepLines w:val="0"/>
        <w:pageBreakBefore w:val="0"/>
        <w:kinsoku/>
        <w:wordWrap/>
        <w:overflowPunct/>
        <w:topLinePunct w:val="0"/>
        <w:bidi w:val="0"/>
        <w:spacing w:before="120" w:after="120"/>
        <w:ind w:left="0" w:leftChars="0" w:right="0"/>
        <w:outlineLvl w:val="0"/>
        <w:rPr>
          <w:rFonts w:ascii="微软雅黑" w:hAnsi="微软雅黑" w:eastAsia="微软雅黑" w:cs="Times New Roman"/>
          <w:bCs/>
          <w:color w:val="auto"/>
          <w:sz w:val="32"/>
          <w:szCs w:val="32"/>
          <w:highlight w:val="none"/>
        </w:rPr>
      </w:pPr>
      <w:bookmarkStart w:id="8" w:name="_GoBack"/>
      <w:bookmarkEnd w:id="8"/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Times New Roman"/>
          <w:bCs/>
          <w:color w:val="auto"/>
          <w:sz w:val="32"/>
          <w:szCs w:val="32"/>
          <w:highlight w:val="none"/>
        </w:rPr>
        <w:t>、标识、包装、运输和存储</w:t>
      </w:r>
    </w:p>
    <w:p w14:paraId="76896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1. 产品标识</w:t>
      </w:r>
    </w:p>
    <w:p w14:paraId="25ACE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产品标志/标签要求：标注产品名称、规格型号、生产批号、生产日期、有效期、生产商名称。</w:t>
      </w:r>
    </w:p>
    <w:p w14:paraId="716B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2. 产品包装</w:t>
      </w:r>
    </w:p>
    <w:p w14:paraId="36C73AFD">
      <w:pPr>
        <w:pStyle w:val="31"/>
        <w:spacing w:line="360" w:lineRule="auto"/>
        <w:ind w:firstLine="420" w:firstLineChars="200"/>
        <w:jc w:val="both"/>
        <w:rPr>
          <w:rFonts w:ascii="Times New Roman" w:hAnsi="Times New Roman" w:eastAsia="微软雅黑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液体药剂为桶装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或罐装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：</w:t>
      </w:r>
      <w:r>
        <w:rPr>
          <w:rFonts w:ascii="Times New Roman" w:hAnsi="Times New Roman" w:eastAsia="微软雅黑" w:cs="Times New Roman"/>
          <w:color w:val="auto"/>
          <w:sz w:val="21"/>
          <w:szCs w:val="21"/>
        </w:rPr>
        <w:t>200KG/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桶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配吊篮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）、</w:t>
      </w:r>
      <w:r>
        <w:rPr>
          <w:rFonts w:ascii="Times New Roman" w:hAnsi="Times New Roman" w:eastAsia="微软雅黑" w:cs="Times New Roman"/>
          <w:color w:val="auto"/>
          <w:sz w:val="21"/>
          <w:szCs w:val="21"/>
        </w:rPr>
        <w:t>1000KG/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桶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配吊篮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或者2m³药剂罐、3m³药剂罐、6m³药剂罐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，包装物材质：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桶装（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耐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  <w:lang w:val="en-US" w:eastAsia="zh-CN"/>
        </w:rPr>
        <w:t>腐蚀聚乙烯塑料材质），罐装（耐腐蚀不锈钢材质）；桶装药剂载具（吊篮）及罐装药剂需提供满足买方出海安检要求的各项资质证书</w:t>
      </w:r>
      <w:r>
        <w:rPr>
          <w:rFonts w:hint="eastAsia" w:ascii="Times New Roman" w:hAnsi="Times New Roman" w:eastAsia="微软雅黑" w:cs="Times New Roman"/>
          <w:color w:val="auto"/>
          <w:sz w:val="21"/>
          <w:szCs w:val="21"/>
        </w:rPr>
        <w:t>。</w:t>
      </w:r>
    </w:p>
    <w:p w14:paraId="36FD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3. 产品运输</w:t>
      </w:r>
    </w:p>
    <w:p w14:paraId="4DA2A166"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pacing w:line="360" w:lineRule="auto"/>
        <w:ind w:left="0" w:leftChars="0" w:right="122" w:rightChars="0" w:firstLine="420" w:firstLineChars="200"/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t>厂家运输。供应商将货物运输至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指定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地点</w:t>
      </w:r>
      <w:r>
        <w:rPr>
          <w:rFonts w:hint="eastAsia" w:ascii="微软雅黑" w:hAnsi="微软雅黑" w:eastAsia="微软雅黑" w:cs="微软雅黑"/>
          <w:kern w:val="2"/>
          <w:sz w:val="21"/>
          <w:szCs w:val="21"/>
          <w:lang w:val="en-US" w:eastAsia="zh-CN"/>
        </w:rPr>
        <w:t>天津市滨海新区工程技术公司增产库房，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只提供在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买方</w:t>
      </w: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库房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的装卸服务，其它的装车、包装、倒运、运输均由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卖方</w:t>
      </w:r>
      <w:r>
        <w:rPr>
          <w:rFonts w:hint="eastAsia" w:ascii="微软雅黑" w:hAnsi="微软雅黑" w:eastAsia="微软雅黑" w:cs="微软雅黑"/>
          <w:color w:val="auto"/>
          <w:highlight w:val="none"/>
        </w:rPr>
        <w:t>负责</w:t>
      </w:r>
      <w:r>
        <w:rPr>
          <w:rFonts w:hint="eastAsia" w:ascii="微软雅黑" w:hAnsi="微软雅黑" w:eastAsia="微软雅黑" w:cs="微软雅黑"/>
          <w:color w:val="auto"/>
          <w:highlight w:val="none"/>
          <w:lang w:eastAsia="zh-CN"/>
        </w:rPr>
        <w:t>。</w:t>
      </w:r>
    </w:p>
    <w:p w14:paraId="56DF1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4. 产品存储</w:t>
      </w:r>
    </w:p>
    <w:p w14:paraId="3743E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firstLine="420" w:firstLineChars="200"/>
        <w:textAlignment w:val="auto"/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Times New Roman" w:hAnsi="Times New Roman" w:eastAsia="微软雅黑" w:cs="Times New Roman"/>
          <w:kern w:val="0"/>
          <w:sz w:val="21"/>
          <w:szCs w:val="21"/>
          <w:highlight w:val="none"/>
          <w:lang w:val="en-US" w:eastAsia="zh-CN" w:bidi="ar-SA"/>
        </w:rPr>
        <w:t>按照产品说明书执行。</w:t>
      </w:r>
    </w:p>
    <w:p w14:paraId="6F69A2DE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2EBCF9E5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44CE1BC1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1354B060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7A472E06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3CEAFFAC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175F3E90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54BC9583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02B4E989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4E8A439D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1BFE371C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5CE5EDA4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p w14:paraId="72ABDDAC">
      <w:pPr>
        <w:pStyle w:val="31"/>
        <w:widowControl w:val="0"/>
        <w:numPr>
          <w:ilvl w:val="0"/>
          <w:numId w:val="0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</w:pPr>
    </w:p>
    <w:bookmarkEnd w:id="2"/>
    <w:bookmarkEnd w:id="3"/>
    <w:p w14:paraId="1438DE9A">
      <w:pPr>
        <w:pStyle w:val="31"/>
        <w:spacing w:before="120" w:after="120" w:line="360" w:lineRule="auto"/>
        <w:ind w:firstLine="643" w:firstLineChars="200"/>
        <w:outlineLvl w:val="0"/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</w:pPr>
      <w:r>
        <w:rPr>
          <w:rFonts w:ascii="仿宋" w:hAnsi="仿宋" w:eastAsia="仿宋" w:cs="Times New Roman"/>
          <w:b/>
          <w:bCs/>
          <w:color w:val="auto"/>
          <w:kern w:val="2"/>
          <w:sz w:val="32"/>
          <w:szCs w:val="32"/>
        </w:rPr>
        <w:t>3</w:t>
      </w:r>
      <w:r>
        <w:rPr>
          <w:rFonts w:hint="eastAsia" w:ascii="仿宋" w:hAnsi="仿宋" w:eastAsia="仿宋" w:cs="Times New Roman"/>
          <w:b/>
          <w:bCs/>
          <w:color w:val="auto"/>
          <w:kern w:val="2"/>
          <w:sz w:val="32"/>
          <w:szCs w:val="32"/>
        </w:rPr>
        <w:t>、项目联系人</w:t>
      </w:r>
    </w:p>
    <w:p w14:paraId="64C06447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  <w:sz w:val="20"/>
          <w:szCs w:val="21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请感兴趣的供应商于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eastAsia="zh-CN" w:bidi="ar"/>
        </w:rPr>
        <w:t>2025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年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11月7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>日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18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: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val="en-US" w:eastAsia="zh-CN" w:bidi="ar"/>
        </w:rPr>
        <w:t>00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前，在计划公告意见反馈处填报参与意向即可。</w:t>
      </w:r>
    </w:p>
    <w:p w14:paraId="43D3E9AF">
      <w:pPr>
        <w:widowControl/>
        <w:spacing w:line="600" w:lineRule="exact"/>
        <w:ind w:firstLine="560" w:firstLineChars="200"/>
        <w:jc w:val="left"/>
        <w:outlineLvl w:val="0"/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联系人：黄金鑫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；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电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话：</w:t>
      </w:r>
      <w:r>
        <w:rPr>
          <w:rFonts w:ascii="仿宋" w:hAnsi="仿宋" w:eastAsia="仿宋" w:cs="Times New Roman"/>
          <w:color w:val="333333"/>
          <w:sz w:val="28"/>
          <w:szCs w:val="28"/>
          <w:lang w:bidi="ar"/>
        </w:rPr>
        <w:t>022-25802226</w:t>
      </w:r>
    </w:p>
    <w:p w14:paraId="284D74DB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邮</w:t>
      </w:r>
      <w:r>
        <w:rPr>
          <w:rFonts w:hint="eastAsia" w:ascii="仿宋" w:hAnsi="仿宋" w:eastAsia="仿宋" w:cs="Times New Roman"/>
          <w:color w:val="333333"/>
          <w:sz w:val="28"/>
          <w:szCs w:val="28"/>
          <w:lang w:bidi="ar"/>
        </w:rPr>
        <w:t xml:space="preserve">  </w:t>
      </w:r>
      <w:r>
        <w:rPr>
          <w:rFonts w:hint="eastAsia" w:ascii="仿宋" w:hAnsi="仿宋" w:eastAsia="仿宋" w:cs="仿宋_GB2312"/>
          <w:color w:val="333333"/>
          <w:sz w:val="28"/>
          <w:szCs w:val="28"/>
          <w:lang w:bidi="ar"/>
        </w:rPr>
        <w:t>箱：</w:t>
      </w:r>
      <w:r>
        <w:fldChar w:fldCharType="begin"/>
      </w:r>
      <w:r>
        <w:instrText xml:space="preserve"> HYPERLINK "mailto:huangjx14@cnooc.com.cn" </w:instrText>
      </w:r>
      <w:r>
        <w:fldChar w:fldCharType="separate"/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t>huangjx14@cnooc.com.cn</w:t>
      </w:r>
      <w:r>
        <w:rPr>
          <w:rStyle w:val="20"/>
          <w:rFonts w:ascii="仿宋" w:hAnsi="仿宋" w:eastAsia="仿宋" w:cs="Times New Roman"/>
          <w:sz w:val="28"/>
          <w:szCs w:val="28"/>
          <w:lang w:bidi="ar"/>
        </w:rPr>
        <w:fldChar w:fldCharType="end"/>
      </w:r>
    </w:p>
    <w:p w14:paraId="30081032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  <w:r>
        <w:rPr>
          <w:rStyle w:val="20"/>
          <w:rFonts w:hint="eastAsia" w:ascii="仿宋" w:hAnsi="仿宋" w:eastAsia="仿宋" w:cs="Times New Roman"/>
          <w:sz w:val="28"/>
          <w:szCs w:val="28"/>
          <w:lang w:bidi="ar"/>
        </w:rPr>
        <w:t>社会监督电话：022-25802262</w:t>
      </w:r>
    </w:p>
    <w:p w14:paraId="25C646B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7B0ED4F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2990FF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A3FA338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6722929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8820820">
      <w:pPr>
        <w:widowControl/>
        <w:spacing w:line="600" w:lineRule="exact"/>
        <w:ind w:firstLine="560" w:firstLineChars="200"/>
        <w:jc w:val="left"/>
        <w:outlineLvl w:val="0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753D58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679C342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AD593A0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3718440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16C9B3B7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96ABADB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9DC5FD9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CFCF164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C1AC90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26A4EEF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E03A68A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5BA0886C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6AEBBF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0DDBD124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3FCEE9BF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2CA1A44D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4CD416F5">
      <w:pPr>
        <w:pStyle w:val="2"/>
        <w:rPr>
          <w:rStyle w:val="20"/>
          <w:rFonts w:ascii="仿宋" w:hAnsi="仿宋" w:eastAsia="仿宋" w:cs="Times New Roman"/>
          <w:sz w:val="28"/>
          <w:szCs w:val="28"/>
          <w:lang w:bidi="ar"/>
        </w:rPr>
      </w:pPr>
    </w:p>
    <w:p w14:paraId="7E3A69AF">
      <w:pPr>
        <w:tabs>
          <w:tab w:val="left" w:pos="993"/>
          <w:tab w:val="left" w:pos="1134"/>
          <w:tab w:val="left" w:pos="1418"/>
        </w:tabs>
        <w:spacing w:line="560" w:lineRule="exact"/>
        <w:outlineLvl w:val="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附件2供应商资质基本要求 </w:t>
      </w:r>
    </w:p>
    <w:tbl>
      <w:tblPr>
        <w:tblStyle w:val="10"/>
        <w:tblW w:w="504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8"/>
        <w:gridCol w:w="7076"/>
      </w:tblGrid>
      <w:tr w14:paraId="124E4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  <w:jc w:val="center"/>
        </w:trPr>
        <w:tc>
          <w:tcPr>
            <w:tcW w:w="785" w:type="pct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56CB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资质要求</w:t>
            </w:r>
          </w:p>
          <w:p w14:paraId="5F5871FC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1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9B1A7">
            <w:pPr>
              <w:pStyle w:val="32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1.申请人须是中华人民共和国境内注册的独立法人单位，具有合法有效的企业法人营业执照、税务登记证及组织机构代码证或证照合一的营业执照；</w:t>
            </w:r>
          </w:p>
          <w:p w14:paraId="0D1E9781">
            <w:pPr>
              <w:pStyle w:val="32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2.申请人须是中华人民共和国境内具有独立承担民事责任能力的法人，或具备国家认可经营资格的其他组织；</w:t>
            </w:r>
          </w:p>
        </w:tc>
      </w:tr>
    </w:tbl>
    <w:p w14:paraId="60AD990E">
      <w:pPr>
        <w:pStyle w:val="2"/>
        <w:rPr>
          <w:rFonts w:ascii="仿宋" w:hAnsi="仿宋" w:eastAsia="仿宋"/>
        </w:rPr>
      </w:pPr>
    </w:p>
    <w:p w14:paraId="7ED5945C">
      <w:pPr>
        <w:pStyle w:val="2"/>
        <w:rPr>
          <w:rFonts w:ascii="仿宋" w:hAnsi="仿宋" w:eastAsia="仿宋"/>
        </w:rPr>
      </w:pPr>
    </w:p>
    <w:p w14:paraId="62A98B4D">
      <w:pPr>
        <w:pStyle w:val="2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87EC8C"/>
    <w:multiLevelType w:val="singleLevel"/>
    <w:tmpl w:val="9D87EC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4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4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127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65C01E29"/>
    <w:multiLevelType w:val="singleLevel"/>
    <w:tmpl w:val="65C01E29"/>
    <w:lvl w:ilvl="0" w:tentative="0">
      <w:start w:val="2"/>
      <w:numFmt w:val="decimal"/>
      <w:suff w:val="space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3MDMzNmYxMjRmNWYyMzBmYjk2YmJmZTkyNzk4MTAifQ=="/>
  </w:docVars>
  <w:rsids>
    <w:rsidRoot w:val="00AE20AB"/>
    <w:rsid w:val="000216E2"/>
    <w:rsid w:val="001D4237"/>
    <w:rsid w:val="002E3C4A"/>
    <w:rsid w:val="00331055"/>
    <w:rsid w:val="0033735D"/>
    <w:rsid w:val="00371254"/>
    <w:rsid w:val="004029A6"/>
    <w:rsid w:val="00411A38"/>
    <w:rsid w:val="004874A5"/>
    <w:rsid w:val="004917F4"/>
    <w:rsid w:val="004C7AFB"/>
    <w:rsid w:val="004F7164"/>
    <w:rsid w:val="005D7510"/>
    <w:rsid w:val="005F0FF7"/>
    <w:rsid w:val="006976BF"/>
    <w:rsid w:val="006A60F6"/>
    <w:rsid w:val="006E4F13"/>
    <w:rsid w:val="00703896"/>
    <w:rsid w:val="007A7F89"/>
    <w:rsid w:val="007D73E6"/>
    <w:rsid w:val="007E2B6E"/>
    <w:rsid w:val="0081063D"/>
    <w:rsid w:val="0089189B"/>
    <w:rsid w:val="008C1CC8"/>
    <w:rsid w:val="008C38F3"/>
    <w:rsid w:val="009A18CE"/>
    <w:rsid w:val="009F6966"/>
    <w:rsid w:val="00A1038A"/>
    <w:rsid w:val="00AE20AB"/>
    <w:rsid w:val="00B014B0"/>
    <w:rsid w:val="00B679B4"/>
    <w:rsid w:val="00C07AC2"/>
    <w:rsid w:val="00C451F2"/>
    <w:rsid w:val="00C51FDD"/>
    <w:rsid w:val="00CA23A2"/>
    <w:rsid w:val="00D127EC"/>
    <w:rsid w:val="00E607B8"/>
    <w:rsid w:val="00E769E7"/>
    <w:rsid w:val="00E93761"/>
    <w:rsid w:val="00ED277A"/>
    <w:rsid w:val="00EE4BE5"/>
    <w:rsid w:val="00F56602"/>
    <w:rsid w:val="00FA2452"/>
    <w:rsid w:val="010C5A7B"/>
    <w:rsid w:val="02E5364E"/>
    <w:rsid w:val="03473362"/>
    <w:rsid w:val="051B5E8B"/>
    <w:rsid w:val="061B2869"/>
    <w:rsid w:val="068B3ACC"/>
    <w:rsid w:val="06BC6527"/>
    <w:rsid w:val="083A49AF"/>
    <w:rsid w:val="0C4D4E59"/>
    <w:rsid w:val="0C616DDD"/>
    <w:rsid w:val="0F3F2B2F"/>
    <w:rsid w:val="11380EA0"/>
    <w:rsid w:val="113C79BD"/>
    <w:rsid w:val="11511F61"/>
    <w:rsid w:val="11A46680"/>
    <w:rsid w:val="125D5E2E"/>
    <w:rsid w:val="12902616"/>
    <w:rsid w:val="13D053C0"/>
    <w:rsid w:val="173061A8"/>
    <w:rsid w:val="1765351D"/>
    <w:rsid w:val="17DA5A4D"/>
    <w:rsid w:val="18001EB7"/>
    <w:rsid w:val="194400BE"/>
    <w:rsid w:val="1A9429E0"/>
    <w:rsid w:val="1D0A73B1"/>
    <w:rsid w:val="1DB23D88"/>
    <w:rsid w:val="1E66474C"/>
    <w:rsid w:val="1ECC2895"/>
    <w:rsid w:val="1FC305F0"/>
    <w:rsid w:val="20CC42AE"/>
    <w:rsid w:val="216F239A"/>
    <w:rsid w:val="2245341D"/>
    <w:rsid w:val="23B84282"/>
    <w:rsid w:val="23E53F2A"/>
    <w:rsid w:val="24BE47FC"/>
    <w:rsid w:val="27647896"/>
    <w:rsid w:val="29BB473E"/>
    <w:rsid w:val="2AD33FFA"/>
    <w:rsid w:val="2BCB7E65"/>
    <w:rsid w:val="2BD87947"/>
    <w:rsid w:val="2D410831"/>
    <w:rsid w:val="2DDF18E0"/>
    <w:rsid w:val="2E2F1115"/>
    <w:rsid w:val="2EB00E15"/>
    <w:rsid w:val="2FC048E3"/>
    <w:rsid w:val="2FF328C9"/>
    <w:rsid w:val="30C41C11"/>
    <w:rsid w:val="329D451D"/>
    <w:rsid w:val="344A2458"/>
    <w:rsid w:val="34C346A0"/>
    <w:rsid w:val="356928AF"/>
    <w:rsid w:val="372B09DB"/>
    <w:rsid w:val="38521F98"/>
    <w:rsid w:val="387A0CA7"/>
    <w:rsid w:val="3AA4467B"/>
    <w:rsid w:val="3C943B5A"/>
    <w:rsid w:val="3EA03BF2"/>
    <w:rsid w:val="3F41091E"/>
    <w:rsid w:val="404D430C"/>
    <w:rsid w:val="41E53E7C"/>
    <w:rsid w:val="434515C1"/>
    <w:rsid w:val="4378646E"/>
    <w:rsid w:val="43985384"/>
    <w:rsid w:val="4407712C"/>
    <w:rsid w:val="44457410"/>
    <w:rsid w:val="44DD6666"/>
    <w:rsid w:val="46452296"/>
    <w:rsid w:val="47120827"/>
    <w:rsid w:val="48BB08BB"/>
    <w:rsid w:val="4CE81270"/>
    <w:rsid w:val="4E8A1EFE"/>
    <w:rsid w:val="4EEA3369"/>
    <w:rsid w:val="4FD9320F"/>
    <w:rsid w:val="507906CA"/>
    <w:rsid w:val="52641C79"/>
    <w:rsid w:val="530D15CE"/>
    <w:rsid w:val="535D2377"/>
    <w:rsid w:val="58843DB0"/>
    <w:rsid w:val="59400090"/>
    <w:rsid w:val="596F1B3B"/>
    <w:rsid w:val="59C30797"/>
    <w:rsid w:val="5A9F3B06"/>
    <w:rsid w:val="5DA84B68"/>
    <w:rsid w:val="5E0A56D8"/>
    <w:rsid w:val="5EC7698C"/>
    <w:rsid w:val="5EC96B76"/>
    <w:rsid w:val="5F530EF2"/>
    <w:rsid w:val="622E70A1"/>
    <w:rsid w:val="62D1212E"/>
    <w:rsid w:val="63616199"/>
    <w:rsid w:val="63E112D8"/>
    <w:rsid w:val="64930F59"/>
    <w:rsid w:val="669811DF"/>
    <w:rsid w:val="66CE5E36"/>
    <w:rsid w:val="68F64541"/>
    <w:rsid w:val="68F8137F"/>
    <w:rsid w:val="6A2D2040"/>
    <w:rsid w:val="6B5C2732"/>
    <w:rsid w:val="6DAC0CFD"/>
    <w:rsid w:val="6FBB7E47"/>
    <w:rsid w:val="725C4944"/>
    <w:rsid w:val="731E13FB"/>
    <w:rsid w:val="73E62F85"/>
    <w:rsid w:val="75225F35"/>
    <w:rsid w:val="7A0F316A"/>
    <w:rsid w:val="7ABF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"/>
    <w:basedOn w:val="1"/>
    <w:unhideWhenUsed/>
    <w:qFormat/>
    <w:uiPriority w:val="1"/>
    <w:pPr>
      <w:ind w:firstLine="200" w:firstLineChars="200"/>
    </w:pPr>
    <w:rPr>
      <w:rFonts w:ascii="Microsoft YaHei UI" w:hAnsi="Microsoft YaHei UI" w:eastAsia="Microsoft YaHei UI"/>
      <w:kern w:val="0"/>
      <w:szCs w:val="21"/>
      <w:lang w:eastAsia="en-US"/>
    </w:rPr>
  </w:style>
  <w:style w:type="paragraph" w:styleId="6">
    <w:name w:val="Date"/>
    <w:basedOn w:val="1"/>
    <w:next w:val="1"/>
    <w:link w:val="28"/>
    <w:semiHidden/>
    <w:unhideWhenUsed/>
    <w:qFormat/>
    <w:uiPriority w:val="99"/>
    <w:pPr>
      <w:ind w:left="100" w:leftChars="2500"/>
    </w:p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5"/>
    <w:unhideWhenUsed/>
    <w:qFormat/>
    <w:uiPriority w:val="99"/>
    <w:pPr>
      <w:ind w:firstLine="420" w:firstLineChars="100"/>
    </w:pPr>
  </w:style>
  <w:style w:type="table" w:styleId="11">
    <w:name w:val="Table Grid"/>
    <w:basedOn w:val="10"/>
    <w:qFormat/>
    <w:uiPriority w:val="3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333333"/>
      <w:u w:val="none"/>
    </w:rPr>
  </w:style>
  <w:style w:type="character" w:styleId="15">
    <w:name w:val="Emphasis"/>
    <w:basedOn w:val="12"/>
    <w:qFormat/>
    <w:uiPriority w:val="20"/>
    <w:rPr>
      <w:b/>
      <w:bCs/>
    </w:rPr>
  </w:style>
  <w:style w:type="character" w:styleId="16">
    <w:name w:val="HTML Definition"/>
    <w:basedOn w:val="12"/>
    <w:semiHidden/>
    <w:unhideWhenUsed/>
    <w:qFormat/>
    <w:uiPriority w:val="99"/>
  </w:style>
  <w:style w:type="character" w:styleId="17">
    <w:name w:val="HTML Typewriter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Acronym"/>
    <w:basedOn w:val="12"/>
    <w:semiHidden/>
    <w:unhideWhenUsed/>
    <w:qFormat/>
    <w:uiPriority w:val="99"/>
  </w:style>
  <w:style w:type="character" w:styleId="19">
    <w:name w:val="HTML Variable"/>
    <w:basedOn w:val="12"/>
    <w:semiHidden/>
    <w:unhideWhenUsed/>
    <w:qFormat/>
    <w:uiPriority w:val="99"/>
  </w:style>
  <w:style w:type="character" w:styleId="20">
    <w:name w:val="Hyperlink"/>
    <w:basedOn w:val="12"/>
    <w:semiHidden/>
    <w:unhideWhenUsed/>
    <w:qFormat/>
    <w:uiPriority w:val="99"/>
    <w:rPr>
      <w:color w:val="333333"/>
      <w:u w:val="none"/>
    </w:rPr>
  </w:style>
  <w:style w:type="character" w:styleId="21">
    <w:name w:val="HTML Code"/>
    <w:basedOn w:val="1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Cite"/>
    <w:basedOn w:val="12"/>
    <w:semiHidden/>
    <w:unhideWhenUsed/>
    <w:qFormat/>
    <w:uiPriority w:val="99"/>
  </w:style>
  <w:style w:type="character" w:styleId="23">
    <w:name w:val="HTML Keyboard"/>
    <w:basedOn w:val="12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24">
    <w:name w:val="HTML Sample"/>
    <w:basedOn w:val="12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6">
    <w:name w:val="页脚 字符"/>
    <w:basedOn w:val="12"/>
    <w:link w:val="2"/>
    <w:qFormat/>
    <w:uiPriority w:val="99"/>
    <w:rPr>
      <w:sz w:val="18"/>
      <w:szCs w:val="1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character" w:customStyle="1" w:styleId="28">
    <w:name w:val="日期 字符"/>
    <w:basedOn w:val="12"/>
    <w:link w:val="6"/>
    <w:semiHidden/>
    <w:qFormat/>
    <w:uiPriority w:val="99"/>
  </w:style>
  <w:style w:type="character" w:customStyle="1" w:styleId="29">
    <w:name w:val="fontstyle01"/>
    <w:basedOn w:val="12"/>
    <w:qFormat/>
    <w:uiPriority w:val="0"/>
    <w:rPr>
      <w:rFonts w:hint="default" w:ascii="CIDFont+F4" w:hAnsi="CIDFont+F4"/>
      <w:color w:val="000000"/>
      <w:sz w:val="24"/>
      <w:szCs w:val="24"/>
    </w:rPr>
  </w:style>
  <w:style w:type="table" w:customStyle="1" w:styleId="30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2">
    <w:name w:val="Table Paragraph"/>
    <w:basedOn w:val="1"/>
    <w:qFormat/>
    <w:uiPriority w:val="0"/>
    <w:pPr>
      <w:jc w:val="left"/>
    </w:pPr>
    <w:rPr>
      <w:kern w:val="0"/>
      <w:sz w:val="22"/>
      <w:lang w:eastAsia="en-US"/>
    </w:rPr>
  </w:style>
  <w:style w:type="paragraph" w:customStyle="1" w:styleId="33">
    <w:name w:val="设计正文2"/>
    <w:basedOn w:val="1"/>
    <w:qFormat/>
    <w:uiPriority w:val="0"/>
    <w:pPr>
      <w:snapToGrid w:val="0"/>
      <w:spacing w:before="160" w:line="320" w:lineRule="atLeast"/>
    </w:pPr>
    <w:rPr>
      <w:rFonts w:ascii="Times New Roman" w:hAnsi="Times New Roman" w:eastAsia="宋体" w:cs="Times New Roman"/>
      <w:sz w:val="24"/>
      <w:szCs w:val="20"/>
    </w:rPr>
  </w:style>
  <w:style w:type="character" w:customStyle="1" w:styleId="34">
    <w:name w:val="comboiconspanclear"/>
    <w:basedOn w:val="12"/>
    <w:qFormat/>
    <w:uiPriority w:val="0"/>
  </w:style>
  <w:style w:type="character" w:customStyle="1" w:styleId="35">
    <w:name w:val="comboiconspan"/>
    <w:basedOn w:val="12"/>
    <w:qFormat/>
    <w:uiPriority w:val="0"/>
  </w:style>
  <w:style w:type="character" w:customStyle="1" w:styleId="36">
    <w:name w:val="ui-icon48"/>
    <w:basedOn w:val="12"/>
    <w:qFormat/>
    <w:uiPriority w:val="0"/>
  </w:style>
  <w:style w:type="character" w:customStyle="1" w:styleId="37">
    <w:name w:val="clear"/>
    <w:basedOn w:val="12"/>
    <w:qFormat/>
    <w:uiPriority w:val="0"/>
  </w:style>
  <w:style w:type="character" w:customStyle="1" w:styleId="38">
    <w:name w:val="select"/>
    <w:basedOn w:val="12"/>
    <w:qFormat/>
    <w:uiPriority w:val="0"/>
  </w:style>
  <w:style w:type="paragraph" w:customStyle="1" w:styleId="39">
    <w:name w:val="_Style 3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0">
    <w:name w:val="_Style 3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1">
    <w:name w:val="二级无"/>
    <w:basedOn w:val="42"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42">
    <w:name w:val="二级条标题"/>
    <w:basedOn w:val="43"/>
    <w:next w:val="44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43">
    <w:name w:val="一级条标题"/>
    <w:next w:val="44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4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45">
    <w:name w:val="No Spacing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customStyle="1" w:styleId="46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7">
    <w:name w:val="font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  <w:style w:type="character" w:customStyle="1" w:styleId="48">
    <w:name w:val="font2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</Words>
  <Characters>1032</Characters>
  <Lines>8</Lines>
  <Paragraphs>2</Paragraphs>
  <TotalTime>3</TotalTime>
  <ScaleCrop>false</ScaleCrop>
  <LinksUpToDate>false</LinksUpToDate>
  <CharactersWithSpaces>1210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2021-04-29T03:47:00Z</dcterms:created>
  <dc:creator>季云峰/采办项目组/集团公司机关</dc:creator>
  <cp:lastModifiedBy>黄金鑫</cp:lastModifiedBy>
  <dcterms:modified xsi:type="dcterms:W3CDTF">2025-10-31T06:23:01Z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465F0A84F3944F8C89686179B095F711</vt:lpwstr>
  </property>
  <property fmtid="{D5CDD505-2E9C-101B-9397-08002B2CF9AE}" pid="4" name="KSOTemplateDocerSaveRecord">
    <vt:lpwstr>eyJoZGlkIjoiOTQ3MDMzNmYxMjRmNWYyMzBmYjk2YmJmZTkyNzk4MTAifQ==</vt:lpwstr>
  </property>
</Properties>
</file>