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0" w:after="120" w:line="360" w:lineRule="auto"/>
        <w:ind w:right="-20"/>
        <w:jc w:val="center"/>
        <w:rPr>
          <w:rFonts w:hint="eastAsia" w:asciiTheme="minorEastAsia" w:hAnsiTheme="minorEastAsia" w:cstheme="minorEastAsia"/>
          <w:b/>
          <w:spacing w:val="2"/>
          <w:w w:val="99"/>
          <w:sz w:val="24"/>
          <w:szCs w:val="24"/>
        </w:rPr>
      </w:pPr>
    </w:p>
    <w:p>
      <w:pPr>
        <w:pStyle w:val="7"/>
        <w:rPr>
          <w:rFonts w:hint="eastAsia" w:asciiTheme="minorEastAsia" w:hAnsiTheme="minorEastAsia" w:cstheme="minorEastAsia"/>
          <w:b/>
          <w:spacing w:val="2"/>
          <w:w w:val="99"/>
          <w:sz w:val="24"/>
          <w:szCs w:val="24"/>
        </w:rPr>
      </w:pPr>
    </w:p>
    <w:p>
      <w:pPr>
        <w:pStyle w:val="7"/>
        <w:rPr>
          <w:rFonts w:hint="eastAsia" w:asciiTheme="minorEastAsia" w:hAnsiTheme="minorEastAsia" w:cstheme="minorEastAsia"/>
          <w:b/>
          <w:spacing w:val="2"/>
          <w:w w:val="99"/>
          <w:sz w:val="24"/>
          <w:szCs w:val="24"/>
        </w:rPr>
      </w:pPr>
    </w:p>
    <w:p>
      <w:pPr>
        <w:autoSpaceDE w:val="0"/>
        <w:autoSpaceDN w:val="0"/>
        <w:spacing w:before="120" w:after="120" w:line="360" w:lineRule="auto"/>
        <w:ind w:right="-20"/>
        <w:jc w:val="center"/>
        <w:rPr>
          <w:rFonts w:hint="eastAsia" w:cs="Arial Unicode MS" w:asciiTheme="minorEastAsia" w:hAnsiTheme="minorEastAsia"/>
          <w:b/>
          <w:spacing w:val="2"/>
          <w:w w:val="99"/>
          <w:sz w:val="52"/>
          <w:szCs w:val="52"/>
          <w:lang w:eastAsia="zh-CN"/>
        </w:rPr>
      </w:pPr>
      <w:r>
        <w:rPr>
          <w:rFonts w:cs="Arial Unicode MS" w:asciiTheme="minorEastAsia" w:hAnsiTheme="minorEastAsia"/>
          <w:b/>
          <w:spacing w:val="2"/>
          <w:w w:val="99"/>
          <w:sz w:val="52"/>
          <w:szCs w:val="52"/>
          <w:lang w:eastAsia="zh-CN"/>
        </w:rPr>
        <w:drawing>
          <wp:inline distT="0" distB="0" distL="0" distR="0">
            <wp:extent cx="1799590" cy="1619885"/>
            <wp:effectExtent l="0" t="0" r="10160" b="1841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rPr>
          <w:rFonts w:hint="eastAsia" w:cs="Arial Unicode MS" w:asciiTheme="minorEastAsia" w:hAnsiTheme="minorEastAsia"/>
          <w:b/>
          <w:spacing w:val="2"/>
          <w:w w:val="99"/>
          <w:sz w:val="52"/>
          <w:szCs w:val="52"/>
          <w:lang w:eastAsia="zh-CN"/>
        </w:rPr>
      </w:pPr>
    </w:p>
    <w:p>
      <w:pPr>
        <w:pStyle w:val="7"/>
        <w:rPr>
          <w:rFonts w:hint="eastAsia" w:cs="Arial Unicode MS" w:asciiTheme="minorEastAsia" w:hAnsiTheme="minorEastAsia"/>
          <w:b/>
          <w:spacing w:val="2"/>
          <w:w w:val="99"/>
          <w:sz w:val="52"/>
          <w:szCs w:val="52"/>
          <w:lang w:eastAsia="zh-CN"/>
        </w:rPr>
      </w:pPr>
    </w:p>
    <w:p>
      <w:pPr>
        <w:jc w:val="center"/>
        <w:rPr>
          <w:rFonts w:hint="eastAsia" w:ascii="微软雅黑" w:hAnsi="微软雅黑" w:eastAsia="微软雅黑" w:cs="Arial Unicode MS"/>
          <w:spacing w:val="2"/>
          <w:w w:val="99"/>
          <w:sz w:val="52"/>
          <w:szCs w:val="52"/>
          <w:lang w:eastAsia="zh-CN"/>
        </w:rPr>
      </w:pPr>
      <w:r>
        <w:rPr>
          <w:rFonts w:hint="eastAsia" w:ascii="微软雅黑" w:hAnsi="微软雅黑" w:eastAsia="微软雅黑" w:cs="Arial Unicode MS"/>
          <w:spacing w:val="2"/>
          <w:w w:val="99"/>
          <w:sz w:val="52"/>
          <w:szCs w:val="52"/>
          <w:lang w:eastAsia="zh-CN"/>
        </w:rPr>
        <w:t>中海油能源发展股份有限公司</w:t>
      </w:r>
    </w:p>
    <w:p>
      <w:pPr>
        <w:jc w:val="center"/>
        <w:rPr>
          <w:rFonts w:hint="eastAsia" w:ascii="微软雅黑" w:hAnsi="微软雅黑" w:eastAsia="微软雅黑" w:cs="Arial Unicode MS"/>
          <w:b/>
          <w:spacing w:val="2"/>
          <w:w w:val="99"/>
          <w:sz w:val="52"/>
          <w:szCs w:val="52"/>
          <w:lang w:eastAsia="zh-CN"/>
        </w:rPr>
      </w:pPr>
      <w:r>
        <w:rPr>
          <w:rFonts w:hint="eastAsia" w:ascii="宋体" w:hAnsi="宋体" w:eastAsia="宋体" w:cs="Arial Unicode MS"/>
          <w:spacing w:val="2"/>
          <w:w w:val="99"/>
          <w:sz w:val="52"/>
          <w:szCs w:val="52"/>
          <w:u w:val="single"/>
          <w:lang w:val="en-US" w:eastAsia="zh-CN"/>
        </w:rPr>
        <w:t>信科公司</w:t>
      </w:r>
      <w:bookmarkStart w:id="0" w:name="_GoBack"/>
      <w:bookmarkEnd w:id="0"/>
      <w:r>
        <w:rPr>
          <w:rFonts w:hint="eastAsia" w:ascii="宋体" w:hAnsi="宋体" w:eastAsia="宋体" w:cs="Arial Unicode MS"/>
          <w:spacing w:val="2"/>
          <w:w w:val="99"/>
          <w:sz w:val="52"/>
          <w:szCs w:val="52"/>
          <w:u w:val="single"/>
          <w:lang w:val="en-US" w:eastAsia="zh-CN"/>
        </w:rPr>
        <w:t>防台应急系统项目</w:t>
      </w:r>
    </w:p>
    <w:p>
      <w:pPr>
        <w:pStyle w:val="7"/>
        <w:jc w:val="center"/>
        <w:rPr>
          <w:rFonts w:hint="eastAsia" w:ascii="微软雅黑" w:hAnsi="微软雅黑" w:eastAsia="微软雅黑" w:cs="Arial Unicode MS"/>
          <w:b/>
          <w:spacing w:val="2"/>
          <w:w w:val="99"/>
          <w:sz w:val="52"/>
          <w:szCs w:val="52"/>
          <w:lang w:eastAsia="zh-CN"/>
        </w:rPr>
      </w:pPr>
      <w:r>
        <w:rPr>
          <w:rFonts w:hint="eastAsia" w:ascii="微软雅黑" w:hAnsi="微软雅黑" w:eastAsia="微软雅黑" w:cs="Arial Unicode MS"/>
          <w:b/>
          <w:spacing w:val="2"/>
          <w:w w:val="99"/>
          <w:sz w:val="52"/>
          <w:szCs w:val="52"/>
          <w:lang w:eastAsia="zh-CN"/>
        </w:rPr>
        <w:t>采购商务说明</w:t>
      </w:r>
    </w:p>
    <w:p>
      <w:pPr>
        <w:autoSpaceDE w:val="0"/>
        <w:autoSpaceDN w:val="0"/>
        <w:spacing w:before="120" w:after="120" w:line="720" w:lineRule="auto"/>
        <w:ind w:right="-20"/>
        <w:rPr>
          <w:rFonts w:ascii="Arial Unicode MS" w:eastAsia="Arial Unicode MS" w:cs="Arial Unicode MS"/>
          <w:spacing w:val="2"/>
          <w:w w:val="99"/>
          <w:sz w:val="36"/>
          <w:szCs w:val="36"/>
          <w:lang w:eastAsia="zh-CN"/>
        </w:rPr>
      </w:pP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eastAsia="zh-CN"/>
        </w:rPr>
        <w:t xml:space="preserve"> </w:t>
      </w:r>
    </w:p>
    <w:p>
      <w:pPr>
        <w:autoSpaceDE w:val="0"/>
        <w:autoSpaceDN w:val="0"/>
        <w:spacing w:before="120" w:after="120" w:line="720" w:lineRule="auto"/>
        <w:ind w:right="-20"/>
        <w:rPr>
          <w:rFonts w:ascii="Arial Unicode MS" w:eastAsia="Arial Unicode MS" w:cs="Arial Unicode MS"/>
          <w:spacing w:val="2"/>
          <w:w w:val="99"/>
          <w:sz w:val="36"/>
          <w:szCs w:val="36"/>
          <w:lang w:eastAsia="zh-CN"/>
        </w:rPr>
      </w:pP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eastAsia="zh-CN"/>
        </w:rPr>
        <w:t xml:space="preserve">           编制：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eastAsia="zh-CN"/>
        </w:rPr>
        <w:t xml:space="preserve">                </w:t>
      </w:r>
    </w:p>
    <w:p>
      <w:pPr>
        <w:autoSpaceDE w:val="0"/>
        <w:autoSpaceDN w:val="0"/>
        <w:spacing w:before="120" w:after="120" w:line="720" w:lineRule="auto"/>
        <w:ind w:right="-20"/>
        <w:rPr>
          <w:rFonts w:ascii="Arial Unicode MS" w:eastAsia="Arial Unicode MS" w:cs="Arial Unicode MS"/>
          <w:spacing w:val="2"/>
          <w:w w:val="99"/>
          <w:sz w:val="36"/>
          <w:szCs w:val="36"/>
          <w:lang w:eastAsia="zh-CN"/>
        </w:rPr>
      </w:pP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eastAsia="zh-CN"/>
        </w:rPr>
        <w:t xml:space="preserve">           审核：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u w:val="single"/>
          <w:lang w:eastAsia="zh-CN"/>
        </w:rPr>
        <w:t xml:space="preserve">                </w:t>
      </w:r>
      <w:r>
        <w:rPr>
          <w:rFonts w:hint="eastAsia" w:ascii="Arial Unicode MS" w:eastAsia="Arial Unicode MS" w:cs="Arial Unicode MS"/>
          <w:spacing w:val="2"/>
          <w:w w:val="99"/>
          <w:sz w:val="36"/>
          <w:szCs w:val="36"/>
          <w:lang w:eastAsia="zh-CN"/>
        </w:rPr>
        <w:t xml:space="preserve"> </w:t>
      </w:r>
    </w:p>
    <w:p>
      <w:pPr>
        <w:pStyle w:val="7"/>
        <w:jc w:val="center"/>
        <w:rPr>
          <w:rFonts w:hint="eastAsia" w:ascii="微软雅黑" w:hAnsi="微软雅黑" w:eastAsia="微软雅黑" w:cs="Arial Unicode MS"/>
          <w:b/>
          <w:spacing w:val="2"/>
          <w:w w:val="99"/>
          <w:sz w:val="52"/>
          <w:szCs w:val="52"/>
          <w:lang w:eastAsia="zh-CN"/>
        </w:rPr>
      </w:pPr>
    </w:p>
    <w:p>
      <w:pPr>
        <w:pStyle w:val="7"/>
        <w:jc w:val="center"/>
        <w:rPr>
          <w:rFonts w:hint="eastAsia" w:ascii="微软雅黑" w:hAnsi="微软雅黑" w:eastAsia="微软雅黑" w:cs="Arial Unicode MS"/>
          <w:b/>
          <w:spacing w:val="2"/>
          <w:w w:val="99"/>
          <w:sz w:val="52"/>
          <w:szCs w:val="52"/>
          <w:lang w:eastAsia="zh-CN"/>
        </w:rPr>
      </w:pPr>
    </w:p>
    <w:p>
      <w:pPr>
        <w:pStyle w:val="7"/>
        <w:rPr>
          <w:rFonts w:hint="eastAsia" w:ascii="宋体" w:hAnsi="宋体" w:eastAsia="宋体" w:cs="宋体"/>
          <w:bCs/>
          <w:spacing w:val="2"/>
          <w:w w:val="99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一、商务资质与资格条件相关内容</w:t>
      </w:r>
    </w:p>
    <w:p>
      <w:pPr>
        <w:numPr>
          <w:ilvl w:val="0"/>
          <w:numId w:val="2"/>
        </w:num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商务资质要求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资格条件要求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</w:p>
    <w:p>
      <w:pPr>
        <w:numPr>
          <w:ilvl w:val="0"/>
          <w:numId w:val="2"/>
        </w:num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业绩条件要求</w:t>
      </w:r>
    </w:p>
    <w:p>
      <w:pPr>
        <w:numPr>
          <w:ilvl w:val="0"/>
          <w:numId w:val="3"/>
        </w:numPr>
        <w:bidi w:val="0"/>
        <w:spacing w:line="360" w:lineRule="auto"/>
        <w:ind w:left="845" w:leftChars="0"/>
        <w:rPr>
          <w:rFonts w:hint="default" w:ascii="宋体" w:hAnsi="宋体" w:eastAsia="宋体" w:cs="微软雅黑"/>
          <w:color w:val="auto"/>
          <w:lang w:val="en-US" w:eastAsia="zh-CN"/>
        </w:rPr>
      </w:pPr>
      <w:r>
        <w:rPr>
          <w:rFonts w:hint="default" w:ascii="宋体" w:hAnsi="宋体" w:eastAsia="宋体" w:cs="微软雅黑"/>
          <w:color w:val="auto"/>
          <w:lang w:val="en-US" w:eastAsia="zh-CN"/>
        </w:rPr>
        <w:t>应答人在202</w:t>
      </w:r>
      <w:r>
        <w:rPr>
          <w:rFonts w:hint="eastAsia" w:ascii="宋体" w:hAnsi="宋体" w:eastAsia="宋体" w:cs="微软雅黑"/>
          <w:color w:val="auto"/>
          <w:lang w:val="en-US" w:eastAsia="zh-CN"/>
        </w:rPr>
        <w:t>2</w:t>
      </w:r>
      <w:r>
        <w:rPr>
          <w:rFonts w:hint="default" w:ascii="宋体" w:hAnsi="宋体" w:eastAsia="宋体" w:cs="微软雅黑"/>
          <w:color w:val="auto"/>
          <w:lang w:val="en-US" w:eastAsia="zh-CN"/>
        </w:rPr>
        <w:t>年1月1日-投标截止时间之前（以合同签订日期为准）内至少具有</w:t>
      </w:r>
      <w:r>
        <w:rPr>
          <w:rFonts w:hint="eastAsia" w:ascii="宋体" w:hAnsi="宋体" w:eastAsia="宋体" w:cs="微软雅黑"/>
          <w:color w:val="auto"/>
          <w:lang w:val="en-US" w:eastAsia="zh-CN"/>
        </w:rPr>
        <w:t>1</w:t>
      </w:r>
      <w:r>
        <w:rPr>
          <w:rFonts w:hint="default" w:ascii="宋体" w:hAnsi="宋体" w:eastAsia="宋体" w:cs="微软雅黑"/>
          <w:color w:val="auto"/>
          <w:lang w:val="en-US" w:eastAsia="zh-CN"/>
        </w:rPr>
        <w:t>项已完成</w:t>
      </w:r>
      <w:r>
        <w:rPr>
          <w:rFonts w:hint="eastAsia" w:ascii="宋体" w:hAnsi="宋体" w:eastAsia="宋体" w:cs="微软雅黑"/>
          <w:color w:val="auto"/>
          <w:lang w:val="en-US" w:eastAsia="zh-CN"/>
        </w:rPr>
        <w:t>供货</w:t>
      </w:r>
      <w:r>
        <w:rPr>
          <w:rFonts w:hint="default" w:ascii="宋体" w:hAnsi="宋体" w:eastAsia="宋体" w:cs="微软雅黑"/>
          <w:color w:val="auto"/>
          <w:lang w:val="en-US" w:eastAsia="zh-CN"/>
        </w:rPr>
        <w:t>的北斗导航系统相关的供货业绩，并提供相应业绩证明文件。</w:t>
      </w:r>
    </w:p>
    <w:p>
      <w:pPr>
        <w:numPr>
          <w:ilvl w:val="0"/>
          <w:numId w:val="2"/>
        </w:num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财务条件要求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p>
      <w:pPr>
        <w:numPr>
          <w:ilvl w:val="0"/>
          <w:numId w:val="2"/>
        </w:num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其它要求： 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二、其他商务内容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交货期：</w:t>
      </w:r>
    </w:p>
    <w:p>
      <w:pPr>
        <w:pStyle w:val="3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 xml:space="preserve">a) </w:t>
      </w:r>
      <w:r>
        <w:rPr>
          <w:rFonts w:hint="eastAsia" w:ascii="宋体" w:hAnsi="宋体" w:eastAsia="宋体" w:cs="宋体"/>
          <w:sz w:val="24"/>
          <w:lang w:val="en-US" w:eastAsia="zh-CN"/>
        </w:rPr>
        <w:t>合同签订后90天内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pStyle w:val="3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b) 买方</w:t>
      </w:r>
      <w:r>
        <w:rPr>
          <w:rFonts w:hint="eastAsia" w:ascii="宋体" w:hAnsi="宋体" w:eastAsia="宋体" w:cs="宋体"/>
          <w:sz w:val="24"/>
        </w:rPr>
        <w:t>有权根据自身情况要求卖方延期交付货物，但</w:t>
      </w:r>
      <w:r>
        <w:rPr>
          <w:rFonts w:hint="eastAsia" w:ascii="宋体" w:hAnsi="宋体" w:eastAsia="宋体" w:cs="宋体"/>
          <w:sz w:val="24"/>
          <w:lang w:eastAsia="zh-CN"/>
        </w:rPr>
        <w:t>买方</w:t>
      </w:r>
      <w:r>
        <w:rPr>
          <w:rFonts w:hint="eastAsia" w:ascii="宋体" w:hAnsi="宋体" w:eastAsia="宋体" w:cs="宋体"/>
          <w:sz w:val="24"/>
        </w:rPr>
        <w:t>应在交付日期前</w:t>
      </w:r>
      <w:r>
        <w:rPr>
          <w:rFonts w:hint="eastAsia" w:ascii="宋体" w:hAnsi="宋体" w:eastAsia="宋体" w:cs="宋体"/>
          <w:sz w:val="24"/>
          <w:lang w:eastAsia="zh-CN"/>
        </w:rPr>
        <w:t>15</w:t>
      </w:r>
      <w:r>
        <w:rPr>
          <w:rFonts w:hint="eastAsia" w:ascii="宋体" w:hAnsi="宋体" w:eastAsia="宋体" w:cs="宋体"/>
          <w:sz w:val="24"/>
        </w:rPr>
        <w:t>日以书面方式通知卖方。除非</w:t>
      </w:r>
      <w:r>
        <w:rPr>
          <w:rFonts w:hint="eastAsia" w:ascii="宋体" w:hAnsi="宋体" w:eastAsia="宋体" w:cs="宋体"/>
          <w:sz w:val="24"/>
          <w:lang w:eastAsia="zh-CN"/>
        </w:rPr>
        <w:t>买方</w:t>
      </w:r>
      <w:r>
        <w:rPr>
          <w:rFonts w:hint="eastAsia" w:ascii="宋体" w:hAnsi="宋体" w:eastAsia="宋体" w:cs="宋体"/>
          <w:sz w:val="24"/>
        </w:rPr>
        <w:t>调整交货日期实质性加重卖方义务，否则卖方不得另行向买方主张增加费用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结算方式：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付款进度要求：</w:t>
      </w:r>
    </w:p>
    <w:p>
      <w:pPr>
        <w:pStyle w:val="5"/>
        <w:spacing w:line="360" w:lineRule="auto"/>
        <w:ind w:right="122" w:firstLine="456" w:firstLineChars="19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(1)卖方在合同规定的期限内将货物运至交货地点，双方开箱检验正常，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完成设备调试并接入“北斗综合服务平台”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经买方签字确认验收合格，买方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在收到卖方付款申请及开具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满足要求的全额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增值税专用发票后按付款周期要求，买方支付合同金额的【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5%】；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)质保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开始一年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经买方确认设备无质量问题且验收合格后，买方在收到卖方付款申请及开具满足要求的合同金额【5%】收据后按付款周期要求，买方支付质保金【5%】。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付款周期要求：</w:t>
      </w:r>
    </w:p>
    <w:p>
      <w:pPr>
        <w:pStyle w:val="20"/>
        <w:tabs>
          <w:tab w:val="left" w:pos="567"/>
          <w:tab w:val="left" w:pos="840"/>
        </w:tabs>
        <w:spacing w:before="93" w:beforeLines="30" w:after="93" w:afterLines="30"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验收合格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后</w:t>
      </w:r>
      <w:r>
        <w:rPr>
          <w:rFonts w:hint="eastAsia" w:ascii="宋体" w:hAnsi="宋体" w:cs="宋体"/>
          <w:sz w:val="24"/>
          <w:szCs w:val="24"/>
          <w:lang w:eastAsia="zh-CN"/>
        </w:rPr>
        <w:t>，开具正式增值税专用发票后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45</w:t>
      </w:r>
      <w:r>
        <w:rPr>
          <w:rFonts w:hint="eastAsia" w:ascii="宋体" w:hAnsi="宋体" w:cs="宋体"/>
          <w:sz w:val="24"/>
          <w:szCs w:val="24"/>
          <w:lang w:eastAsia="zh-CN"/>
        </w:rPr>
        <w:t>日内付款。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付款方式：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银行电汇。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质保金和质保期要求：</w:t>
      </w:r>
    </w:p>
    <w:p>
      <w:pPr>
        <w:pStyle w:val="3"/>
        <w:numPr>
          <w:ilvl w:val="0"/>
          <w:numId w:val="5"/>
        </w:numPr>
        <w:spacing w:line="360" w:lineRule="auto"/>
        <w:ind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质保期：</w:t>
      </w:r>
    </w:p>
    <w:p>
      <w:pPr>
        <w:tabs>
          <w:tab w:val="left" w:pos="567"/>
          <w:tab w:val="left" w:pos="709"/>
          <w:tab w:val="left" w:pos="1860"/>
        </w:tabs>
        <w:autoSpaceDE w:val="0"/>
        <w:autoSpaceDN w:val="0"/>
        <w:adjustRightInd w:val="0"/>
        <w:spacing w:before="93" w:beforeLines="30" w:after="93" w:afterLines="3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质保期为自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最终验收合格</w:t>
      </w:r>
      <w:r>
        <w:rPr>
          <w:rFonts w:hint="eastAsia" w:ascii="宋体" w:hAnsi="宋体" w:eastAsia="宋体" w:cs="宋体"/>
          <w:sz w:val="24"/>
          <w:szCs w:val="24"/>
        </w:rPr>
        <w:t>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日起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eastAsia="zh-CN"/>
        </w:rPr>
        <w:t>其他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 </w:t>
      </w:r>
    </w:p>
    <w:p>
      <w:pPr>
        <w:pStyle w:val="3"/>
        <w:ind w:firstLine="440"/>
        <w:rPr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增值税率：13%。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A159A"/>
    <w:multiLevelType w:val="singleLevel"/>
    <w:tmpl w:val="957A15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EF96CB"/>
    <w:multiLevelType w:val="singleLevel"/>
    <w:tmpl w:val="38EF96CB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5571193E"/>
    <w:multiLevelType w:val="multilevel"/>
    <w:tmpl w:val="5571193E"/>
    <w:lvl w:ilvl="0" w:tentative="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40"/>
      </w:pPr>
    </w:lvl>
    <w:lvl w:ilvl="2" w:tentative="0">
      <w:start w:val="1"/>
      <w:numFmt w:val="lowerRoman"/>
      <w:lvlText w:val="%3."/>
      <w:lvlJc w:val="right"/>
      <w:pPr>
        <w:ind w:left="1560" w:hanging="440"/>
      </w:pPr>
    </w:lvl>
    <w:lvl w:ilvl="3" w:tentative="0">
      <w:start w:val="1"/>
      <w:numFmt w:val="decimal"/>
      <w:lvlText w:val="%4."/>
      <w:lvlJc w:val="left"/>
      <w:pPr>
        <w:ind w:left="2000" w:hanging="440"/>
      </w:pPr>
    </w:lvl>
    <w:lvl w:ilvl="4" w:tentative="0">
      <w:start w:val="1"/>
      <w:numFmt w:val="lowerLetter"/>
      <w:lvlText w:val="%5)"/>
      <w:lvlJc w:val="left"/>
      <w:pPr>
        <w:ind w:left="2440" w:hanging="440"/>
      </w:pPr>
    </w:lvl>
    <w:lvl w:ilvl="5" w:tentative="0">
      <w:start w:val="1"/>
      <w:numFmt w:val="lowerRoman"/>
      <w:lvlText w:val="%6."/>
      <w:lvlJc w:val="right"/>
      <w:pPr>
        <w:ind w:left="2880" w:hanging="440"/>
      </w:pPr>
    </w:lvl>
    <w:lvl w:ilvl="6" w:tentative="0">
      <w:start w:val="1"/>
      <w:numFmt w:val="decimal"/>
      <w:lvlText w:val="%7."/>
      <w:lvlJc w:val="left"/>
      <w:pPr>
        <w:ind w:left="3320" w:hanging="440"/>
      </w:pPr>
    </w:lvl>
    <w:lvl w:ilvl="7" w:tentative="0">
      <w:start w:val="1"/>
      <w:numFmt w:val="lowerLetter"/>
      <w:lvlText w:val="%8)"/>
      <w:lvlJc w:val="left"/>
      <w:pPr>
        <w:ind w:left="3760" w:hanging="440"/>
      </w:pPr>
    </w:lvl>
    <w:lvl w:ilvl="8" w:tentative="0">
      <w:start w:val="1"/>
      <w:numFmt w:val="lowerRoman"/>
      <w:lvlText w:val="%9."/>
      <w:lvlJc w:val="right"/>
      <w:pPr>
        <w:ind w:left="4200" w:hanging="440"/>
      </w:pPr>
    </w:lvl>
  </w:abstractNum>
  <w:abstractNum w:abstractNumId="3">
    <w:nsid w:val="6EE643E7"/>
    <w:multiLevelType w:val="multilevel"/>
    <w:tmpl w:val="6EE643E7"/>
    <w:lvl w:ilvl="0" w:tentative="0">
      <w:start w:val="3"/>
      <w:numFmt w:val="bullet"/>
      <w:pStyle w:val="16"/>
      <w:lvlText w:val="-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bullet"/>
      <w:lvlText w:val=""/>
      <w:lvlJc w:val="left"/>
      <w:pPr>
        <w:tabs>
          <w:tab w:val="left" w:pos="-1830"/>
        </w:tabs>
        <w:ind w:left="-18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-1410"/>
        </w:tabs>
        <w:ind w:left="-14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-990"/>
        </w:tabs>
        <w:ind w:left="-9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-570"/>
        </w:tabs>
        <w:ind w:left="-57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-150"/>
        </w:tabs>
        <w:ind w:left="-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70"/>
        </w:tabs>
        <w:ind w:left="2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690"/>
        </w:tabs>
        <w:ind w:left="6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1110"/>
        </w:tabs>
        <w:ind w:left="1110" w:hanging="420"/>
      </w:pPr>
      <w:rPr>
        <w:rFonts w:hint="default" w:ascii="Wingdings" w:hAnsi="Wingdings"/>
      </w:rPr>
    </w:lvl>
  </w:abstractNum>
  <w:abstractNum w:abstractNumId="4">
    <w:nsid w:val="7C09A7DC"/>
    <w:multiLevelType w:val="singleLevel"/>
    <w:tmpl w:val="7C09A7DC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b/>
        <w:bCs/>
        <w:sz w:val="28"/>
        <w:szCs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1A2985"/>
    <w:rsid w:val="000224BA"/>
    <w:rsid w:val="00031618"/>
    <w:rsid w:val="000642FA"/>
    <w:rsid w:val="00093606"/>
    <w:rsid w:val="001462A5"/>
    <w:rsid w:val="001E181D"/>
    <w:rsid w:val="00224AD3"/>
    <w:rsid w:val="00225803"/>
    <w:rsid w:val="00233500"/>
    <w:rsid w:val="00272BE3"/>
    <w:rsid w:val="002739B4"/>
    <w:rsid w:val="0029081A"/>
    <w:rsid w:val="003879F2"/>
    <w:rsid w:val="003E0889"/>
    <w:rsid w:val="003E61F0"/>
    <w:rsid w:val="00454F56"/>
    <w:rsid w:val="004A16D0"/>
    <w:rsid w:val="004D7FCC"/>
    <w:rsid w:val="0050277D"/>
    <w:rsid w:val="00504B00"/>
    <w:rsid w:val="00512D78"/>
    <w:rsid w:val="00520C9D"/>
    <w:rsid w:val="0055087E"/>
    <w:rsid w:val="00567CB9"/>
    <w:rsid w:val="00581944"/>
    <w:rsid w:val="0059117B"/>
    <w:rsid w:val="00691611"/>
    <w:rsid w:val="006D3214"/>
    <w:rsid w:val="006F6803"/>
    <w:rsid w:val="0070287F"/>
    <w:rsid w:val="0074547C"/>
    <w:rsid w:val="00746C33"/>
    <w:rsid w:val="00746FEA"/>
    <w:rsid w:val="00772527"/>
    <w:rsid w:val="0079656E"/>
    <w:rsid w:val="007A1B93"/>
    <w:rsid w:val="007B7C23"/>
    <w:rsid w:val="008802E3"/>
    <w:rsid w:val="008A09F3"/>
    <w:rsid w:val="008D5139"/>
    <w:rsid w:val="008E43B5"/>
    <w:rsid w:val="008F0712"/>
    <w:rsid w:val="009501BE"/>
    <w:rsid w:val="009B3044"/>
    <w:rsid w:val="009F5CE7"/>
    <w:rsid w:val="009F69AB"/>
    <w:rsid w:val="00A1056A"/>
    <w:rsid w:val="00A76CC5"/>
    <w:rsid w:val="00B050EB"/>
    <w:rsid w:val="00B54180"/>
    <w:rsid w:val="00BA5581"/>
    <w:rsid w:val="00C04C87"/>
    <w:rsid w:val="00C23E24"/>
    <w:rsid w:val="00D1485E"/>
    <w:rsid w:val="00D379C4"/>
    <w:rsid w:val="00D93A3F"/>
    <w:rsid w:val="00D96460"/>
    <w:rsid w:val="00DA7698"/>
    <w:rsid w:val="00DE5EF3"/>
    <w:rsid w:val="00E146C3"/>
    <w:rsid w:val="00E261C8"/>
    <w:rsid w:val="00E943F7"/>
    <w:rsid w:val="00EC4617"/>
    <w:rsid w:val="00F03AA6"/>
    <w:rsid w:val="00F237BC"/>
    <w:rsid w:val="00F917FF"/>
    <w:rsid w:val="00FB3DEC"/>
    <w:rsid w:val="00FC0174"/>
    <w:rsid w:val="02164BF4"/>
    <w:rsid w:val="02BA64F9"/>
    <w:rsid w:val="03A50230"/>
    <w:rsid w:val="05894F3A"/>
    <w:rsid w:val="0D3D7FA5"/>
    <w:rsid w:val="0EF47DFE"/>
    <w:rsid w:val="103D77A5"/>
    <w:rsid w:val="116468FE"/>
    <w:rsid w:val="12946352"/>
    <w:rsid w:val="15262A88"/>
    <w:rsid w:val="15C956A4"/>
    <w:rsid w:val="1AD6385D"/>
    <w:rsid w:val="1EAF0ED8"/>
    <w:rsid w:val="1F184A7B"/>
    <w:rsid w:val="212F2193"/>
    <w:rsid w:val="231D0753"/>
    <w:rsid w:val="23CB01A7"/>
    <w:rsid w:val="24E707BB"/>
    <w:rsid w:val="261A62C4"/>
    <w:rsid w:val="287945A5"/>
    <w:rsid w:val="29087430"/>
    <w:rsid w:val="2D4F5441"/>
    <w:rsid w:val="2D531483"/>
    <w:rsid w:val="2D83064C"/>
    <w:rsid w:val="2F843483"/>
    <w:rsid w:val="30D44B8C"/>
    <w:rsid w:val="31182667"/>
    <w:rsid w:val="33971C7E"/>
    <w:rsid w:val="36102FE0"/>
    <w:rsid w:val="36985062"/>
    <w:rsid w:val="37416A6A"/>
    <w:rsid w:val="391A2985"/>
    <w:rsid w:val="3ADD6C05"/>
    <w:rsid w:val="3F530834"/>
    <w:rsid w:val="407672A1"/>
    <w:rsid w:val="41884631"/>
    <w:rsid w:val="445F092D"/>
    <w:rsid w:val="44D14673"/>
    <w:rsid w:val="4B3C3F80"/>
    <w:rsid w:val="4DFC1303"/>
    <w:rsid w:val="4E610725"/>
    <w:rsid w:val="4F842375"/>
    <w:rsid w:val="50103420"/>
    <w:rsid w:val="502A3D1B"/>
    <w:rsid w:val="50F06AB8"/>
    <w:rsid w:val="51921A9E"/>
    <w:rsid w:val="52FC0A5A"/>
    <w:rsid w:val="55FE3424"/>
    <w:rsid w:val="57094120"/>
    <w:rsid w:val="57F16708"/>
    <w:rsid w:val="59AA02EF"/>
    <w:rsid w:val="5ACA4EE5"/>
    <w:rsid w:val="5B78387C"/>
    <w:rsid w:val="5CB6610E"/>
    <w:rsid w:val="5D1742B2"/>
    <w:rsid w:val="5DC24175"/>
    <w:rsid w:val="5E723867"/>
    <w:rsid w:val="6202087A"/>
    <w:rsid w:val="640E51AE"/>
    <w:rsid w:val="645A4DAD"/>
    <w:rsid w:val="64AD62EC"/>
    <w:rsid w:val="6827036C"/>
    <w:rsid w:val="682E2977"/>
    <w:rsid w:val="6A2E3113"/>
    <w:rsid w:val="707C7DF1"/>
    <w:rsid w:val="714B2273"/>
    <w:rsid w:val="716E3CE9"/>
    <w:rsid w:val="73D9296B"/>
    <w:rsid w:val="760A1B14"/>
    <w:rsid w:val="7CD272CB"/>
    <w:rsid w:val="7D10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59" w:lineRule="auto"/>
    </w:pPr>
    <w:rPr>
      <w:rFonts w:cs="Times New Roman"/>
      <w:lang w:eastAsia="zh-CN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4">
    <w:name w:val="annotation text"/>
    <w:basedOn w:val="1"/>
    <w:link w:val="22"/>
    <w:semiHidden/>
    <w:unhideWhenUsed/>
    <w:qFormat/>
    <w:uiPriority w:val="99"/>
  </w:style>
  <w:style w:type="paragraph" w:styleId="5">
    <w:name w:val="Body Text"/>
    <w:basedOn w:val="1"/>
    <w:qFormat/>
    <w:uiPriority w:val="1"/>
    <w:pPr>
      <w:ind w:firstLine="200" w:firstLineChars="200"/>
      <w:jc w:val="both"/>
    </w:pPr>
    <w:rPr>
      <w:rFonts w:ascii="Microsoft YaHei UI" w:hAnsi="Microsoft YaHei UI" w:eastAsia="Microsoft YaHei UI"/>
      <w:sz w:val="21"/>
      <w:szCs w:val="21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等线" w:cs="等线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annotation subject"/>
    <w:basedOn w:val="4"/>
    <w:next w:val="4"/>
    <w:link w:val="23"/>
    <w:qFormat/>
    <w:uiPriority w:val="0"/>
    <w:rPr>
      <w:b/>
      <w:bCs/>
    </w:rPr>
  </w:style>
  <w:style w:type="paragraph" w:styleId="11">
    <w:name w:val="Body Text First Indent"/>
    <w:basedOn w:val="5"/>
    <w:qFormat/>
    <w:uiPriority w:val="0"/>
    <w:pPr>
      <w:spacing w:after="120" w:line="360" w:lineRule="atLeast"/>
      <w:ind w:firstLine="420" w:firstLineChars="100"/>
      <w:jc w:val="left"/>
      <w:textAlignment w:val="baseline"/>
    </w:pPr>
    <w:rPr>
      <w:rFonts w:ascii="Times New Roman" w:hAnsi="Times New Roman"/>
      <w:color w:val="auto"/>
      <w:kern w:val="0"/>
      <w:sz w:val="24"/>
    </w:rPr>
  </w:style>
  <w:style w:type="paragraph" w:styleId="12">
    <w:name w:val="Body Text First Indent 2"/>
    <w:basedOn w:val="6"/>
    <w:next w:val="11"/>
    <w:qFormat/>
    <w:uiPriority w:val="0"/>
    <w:pPr>
      <w:spacing w:line="240" w:lineRule="auto"/>
      <w:ind w:firstLine="420"/>
    </w:p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正文2"/>
    <w:basedOn w:val="1"/>
    <w:qFormat/>
    <w:uiPriority w:val="0"/>
    <w:pPr>
      <w:widowControl w:val="0"/>
      <w:numPr>
        <w:ilvl w:val="0"/>
        <w:numId w:val="1"/>
      </w:numPr>
      <w:adjustRightInd/>
      <w:snapToGrid/>
      <w:spacing w:before="120" w:after="120" w:line="360" w:lineRule="auto"/>
      <w:jc w:val="both"/>
    </w:pPr>
    <w:rPr>
      <w:rFonts w:ascii="Arial" w:hAnsi="Arial" w:eastAsia="宋体" w:cs="Arial"/>
      <w:kern w:val="2"/>
      <w:sz w:val="20"/>
      <w:szCs w:val="24"/>
    </w:rPr>
  </w:style>
  <w:style w:type="paragraph" w:customStyle="1" w:styleId="1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8">
    <w:name w:val="前言、引言标题"/>
    <w:next w:val="19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widowControl/>
      <w:ind w:firstLine="420"/>
    </w:pPr>
    <w:rPr>
      <w:rFonts w:ascii="Calibri" w:hAnsi="Calibri" w:eastAsia="宋体" w:cs="Calibri"/>
      <w:szCs w:val="21"/>
    </w:rPr>
  </w:style>
  <w:style w:type="character" w:customStyle="1" w:styleId="21">
    <w:name w:val="页脚 字符"/>
    <w:basedOn w:val="14"/>
    <w:link w:val="7"/>
    <w:qFormat/>
    <w:uiPriority w:val="99"/>
    <w:rPr>
      <w:sz w:val="18"/>
      <w:szCs w:val="18"/>
      <w:lang w:eastAsia="en-US"/>
    </w:rPr>
  </w:style>
  <w:style w:type="character" w:customStyle="1" w:styleId="22">
    <w:name w:val="批注文字 字符"/>
    <w:basedOn w:val="14"/>
    <w:link w:val="4"/>
    <w:semiHidden/>
    <w:qFormat/>
    <w:uiPriority w:val="99"/>
    <w:rPr>
      <w:sz w:val="22"/>
      <w:szCs w:val="22"/>
      <w:lang w:eastAsia="en-US"/>
    </w:rPr>
  </w:style>
  <w:style w:type="character" w:customStyle="1" w:styleId="23">
    <w:name w:val="批注主题 字符"/>
    <w:basedOn w:val="22"/>
    <w:link w:val="10"/>
    <w:qFormat/>
    <w:uiPriority w:val="0"/>
    <w:rPr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1097</Words>
  <Characters>1169</Characters>
  <Lines>17</Lines>
  <Paragraphs>4</Paragraphs>
  <TotalTime>1</TotalTime>
  <ScaleCrop>false</ScaleCrop>
  <LinksUpToDate>false</LinksUpToDate>
  <CharactersWithSpaces>1234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2024-09-18T06:04:00Z</dcterms:created>
  <dc:creator>辛俊</dc:creator>
  <cp:lastModifiedBy>张帆</cp:lastModifiedBy>
  <cp:lastPrinted>2024-06-05T07:23:00Z</cp:lastPrinted>
  <dcterms:modified xsi:type="dcterms:W3CDTF">2025-07-29T09:02:28Z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49F98497A9234AA8BABD4B515161CD2A</vt:lpwstr>
  </property>
</Properties>
</file>