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sz w:val="32"/>
        </w:rPr>
      </w:pPr>
      <w:r>
        <w:rPr>
          <w:rFonts w:ascii="Times New Roman" w:hAnsi="Times New Roman" w:eastAsia="方正小标宋简体" w:cs="Times New Roman"/>
          <w:bCs/>
          <w:kern w:val="44"/>
          <w:sz w:val="44"/>
          <w:szCs w:val="44"/>
        </w:rPr>
        <w:t>采办计划公告</w:t>
      </w:r>
    </w:p>
    <w:p>
      <w:pPr>
        <w:shd w:val="clear" w:color="auto" w:fill="FFFFFF" w:themeFill="background1"/>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rPr>
        <w:t>工程技术公司油气水处理剂检测配套设备等7项采购</w:t>
      </w:r>
      <w:r>
        <w:rPr>
          <w:rFonts w:ascii="Times New Roman" w:hAnsi="Times New Roman" w:eastAsia="仿宋_GB2312" w:cs="Times New Roman"/>
          <w:sz w:val="32"/>
          <w:szCs w:val="32"/>
        </w:rPr>
        <w:t>的采办计划公开如下：</w:t>
      </w:r>
    </w:p>
    <w:tbl>
      <w:tblPr>
        <w:tblStyle w:val="22"/>
        <w:tblW w:w="10263"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83"/>
        <w:gridCol w:w="1814"/>
        <w:gridCol w:w="1694"/>
        <w:gridCol w:w="4642"/>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序号</w:t>
            </w:r>
          </w:p>
        </w:tc>
        <w:tc>
          <w:tcPr>
            <w:tcW w:w="1283"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采办包</w:t>
            </w:r>
          </w:p>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名称</w:t>
            </w:r>
          </w:p>
        </w:tc>
        <w:tc>
          <w:tcPr>
            <w:tcW w:w="1814"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采购范围与主要技术指标</w:t>
            </w:r>
          </w:p>
        </w:tc>
        <w:tc>
          <w:tcPr>
            <w:tcW w:w="1694"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预计发标时间</w:t>
            </w:r>
          </w:p>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（填写到月）</w:t>
            </w:r>
          </w:p>
        </w:tc>
        <w:tc>
          <w:tcPr>
            <w:tcW w:w="4642"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供应商资质基本要求</w:t>
            </w:r>
          </w:p>
        </w:tc>
        <w:tc>
          <w:tcPr>
            <w:tcW w:w="317"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vAlign w:val="center"/>
          </w:tcPr>
          <w:p>
            <w:pPr>
              <w:shd w:val="clear" w:color="auto" w:fill="FFFFFF" w:themeFill="background1"/>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283" w:type="dxa"/>
            <w:vAlign w:val="center"/>
          </w:tcPr>
          <w:p>
            <w:pPr>
              <w:shd w:val="clear" w:color="auto" w:fill="FFFFFF" w:themeFill="background1"/>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工程技术公司油气水处理剂检测配套设备等7项采购</w:t>
            </w:r>
          </w:p>
        </w:tc>
        <w:tc>
          <w:tcPr>
            <w:tcW w:w="1814" w:type="dxa"/>
            <w:vAlign w:val="center"/>
          </w:tcPr>
          <w:p>
            <w:pPr>
              <w:shd w:val="clear" w:color="auto" w:fill="FFFFFF" w:themeFill="background1"/>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详见附件1</w:t>
            </w:r>
          </w:p>
        </w:tc>
        <w:tc>
          <w:tcPr>
            <w:tcW w:w="1694" w:type="dxa"/>
            <w:vAlign w:val="center"/>
          </w:tcPr>
          <w:p>
            <w:pPr>
              <w:shd w:val="clear" w:color="auto" w:fill="FFFFFF" w:themeFill="background1"/>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02</w:t>
            </w:r>
            <w:r>
              <w:rPr>
                <w:rFonts w:hint="eastAsia" w:ascii="Times New Roman" w:hAnsi="Times New Roman" w:eastAsia="仿宋" w:cs="Times New Roman"/>
                <w:color w:val="auto"/>
                <w:kern w:val="0"/>
                <w:sz w:val="24"/>
                <w:szCs w:val="24"/>
                <w:u w:val="single"/>
              </w:rPr>
              <w:t>）</w:t>
            </w:r>
          </w:p>
        </w:tc>
        <w:tc>
          <w:tcPr>
            <w:tcW w:w="4642" w:type="dxa"/>
            <w:vAlign w:val="center"/>
          </w:tcPr>
          <w:p>
            <w:pPr>
              <w:numPr>
                <w:ilvl w:val="0"/>
                <w:numId w:val="0"/>
              </w:numPr>
              <w:shd w:val="clear" w:color="auto" w:fill="FFFFFF" w:themeFill="background1"/>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1、营业执照：</w:t>
            </w:r>
          </w:p>
          <w:p>
            <w:pPr>
              <w:numPr>
                <w:ilvl w:val="0"/>
                <w:numId w:val="0"/>
              </w:numPr>
              <w:shd w:val="clear" w:color="auto" w:fill="FFFFFF" w:themeFill="background1"/>
              <w:rPr>
                <w:rFonts w:hint="eastAsia" w:ascii="Times New Roman" w:hAnsi="Times New Roman" w:eastAsia="仿宋" w:cs="Times New Roman"/>
                <w:color w:val="auto"/>
                <w:kern w:val="0"/>
                <w:sz w:val="24"/>
                <w:szCs w:val="24"/>
                <w:highlight w:val="yellow"/>
                <w:lang w:val="en-US" w:eastAsia="zh-CN"/>
              </w:rPr>
            </w:pPr>
            <w:r>
              <w:rPr>
                <w:rFonts w:ascii="宋体" w:hAnsi="宋体" w:eastAsia="宋体" w:cs="微软雅黑"/>
                <w:color w:val="auto"/>
                <w:sz w:val="21"/>
                <w:szCs w:val="21"/>
                <w:lang w:eastAsia="zh-CN"/>
              </w:rPr>
              <w:t>投标人具有合法有效的企业法人营业执照、税务登记证及组织机构代码证或证照合一的营业执照，投标时需提供原件扫描件（原件备查）。投标人为事业单位的，应具有合法有效的事业单位法人证书，投标时需提供原件扫描件（原件备查）。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r>
              <w:rPr>
                <w:rFonts w:ascii="宋体" w:hAnsi="宋体" w:eastAsia="宋体" w:cs="微软雅黑"/>
                <w:color w:val="auto"/>
                <w:sz w:val="21"/>
                <w:szCs w:val="21"/>
                <w:lang w:eastAsia="zh-CN"/>
              </w:rPr>
              <w:br w:type="textWrapping"/>
            </w:r>
            <w:r>
              <w:rPr>
                <w:rFonts w:hint="eastAsia" w:ascii="宋体" w:hAnsi="宋体" w:eastAsia="宋体" w:cs="微软雅黑"/>
                <w:color w:val="auto"/>
                <w:sz w:val="21"/>
                <w:szCs w:val="21"/>
                <w:lang w:val="en-US" w:eastAsia="zh-CN"/>
              </w:rPr>
              <w:t>2</w:t>
            </w:r>
            <w:r>
              <w:rPr>
                <w:rFonts w:hint="eastAsia" w:ascii="Times New Roman" w:hAnsi="Times New Roman" w:eastAsia="仿宋" w:cs="Times New Roman"/>
                <w:color w:val="auto"/>
                <w:kern w:val="0"/>
                <w:sz w:val="24"/>
                <w:szCs w:val="24"/>
                <w:highlight w:val="yellow"/>
                <w:lang w:val="en-US" w:eastAsia="zh-CN"/>
              </w:rPr>
              <w:t>）</w:t>
            </w:r>
            <w:r>
              <w:rPr>
                <w:rFonts w:ascii="宋体" w:hAnsi="宋体" w:eastAsia="宋体" w:cs="微软雅黑"/>
                <w:color w:val="auto"/>
                <w:sz w:val="21"/>
                <w:szCs w:val="21"/>
                <w:highlight w:val="yellow"/>
                <w:lang w:eastAsia="zh-CN"/>
              </w:rPr>
              <w:t>本次允许投标人为制造商或代理商或贸易商投标</w:t>
            </w:r>
            <w:r>
              <w:rPr>
                <w:rFonts w:hint="eastAsia" w:ascii="宋体" w:hAnsi="宋体" w:eastAsia="宋体" w:cs="微软雅黑"/>
                <w:color w:val="auto"/>
                <w:sz w:val="21"/>
                <w:szCs w:val="21"/>
                <w:highlight w:val="yellow"/>
                <w:lang w:eastAsia="zh-CN"/>
              </w:rPr>
              <w:t>。</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2、</w:t>
            </w:r>
            <w:r>
              <w:rPr>
                <w:rFonts w:hint="eastAsia" w:ascii="Times New Roman" w:hAnsi="Times New Roman" w:eastAsia="仿宋" w:cs="Times New Roman"/>
                <w:color w:val="auto"/>
                <w:kern w:val="0"/>
                <w:sz w:val="24"/>
                <w:szCs w:val="24"/>
              </w:rPr>
              <w:t>信誉要求：</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A.应答人不得是最高人民法院在“信用中国”网站（www.creditchina.gov.cn）或各级法院列入失信被执行人名单（应附查询结果复印件并加盖单位章）；</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B.202</w:t>
            </w:r>
            <w:r>
              <w:rPr>
                <w:rFonts w:hint="eastAsia" w:ascii="Times New Roman" w:hAnsi="Times New Roman" w:eastAsia="仿宋" w:cs="Times New Roman"/>
                <w:color w:val="auto"/>
                <w:kern w:val="0"/>
                <w:sz w:val="24"/>
                <w:szCs w:val="24"/>
                <w:lang w:val="en-US" w:eastAsia="zh-CN"/>
              </w:rPr>
              <w:t>2</w:t>
            </w:r>
            <w:r>
              <w:rPr>
                <w:rFonts w:hint="eastAsia" w:ascii="Times New Roman" w:hAnsi="Times New Roman" w:eastAsia="仿宋" w:cs="Times New Roman"/>
                <w:color w:val="auto"/>
                <w:kern w:val="0"/>
                <w:sz w:val="24"/>
                <w:szCs w:val="24"/>
              </w:rPr>
              <w:t>年1月1日-报价截止日前内应答人或其法定代表人、拟委任的项目负责人不得有行贿犯罪行为（应附查询结果复印件并加盖单位章，查询网站为“中国裁判文书网”http://wenshu.court.gov.cn）；</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C.应答人不得被工商行政管理机关在全国企业信用信息公示系统（http://www.gsxt.gov.cn）中列入严重违法失信企业名单（应附查询结果复印件并加盖单位章）；</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D.应答人与本采购项目其他应答人不得存在控股关系或管理关系、单位负责人为同一人的情形。</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E、应答人在《中国海洋石油集团有限公司采办业务管理与交易系统》填报供应商注册信息，并在注册审核通过后，方可具备参与采办业务的基本资格，未通过注册审核的应答人应答均视为无效。</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F、应答人应在应答文件中提供其公司章程或其他能够体现出资人、股东信息的法定文件，作为评标/评审时的依据。</w:t>
            </w:r>
          </w:p>
          <w:p>
            <w:pPr>
              <w:shd w:val="clear" w:color="auto" w:fill="FFFFFF" w:themeFill="background1"/>
              <w:rPr>
                <w:rFonts w:hint="eastAsia"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G、应答人承诺：中国海油在职员工（不含正式派出的）未有在投标人单位担任股东、法人代表、董事、监事和其他任职人员的情形。</w:t>
            </w:r>
          </w:p>
          <w:p>
            <w:pPr>
              <w:shd w:val="clear" w:color="auto" w:fill="FFFFFF" w:themeFill="background1"/>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rPr>
              <w:t>H、应答人承诺：与本采购项目其他应答人不存在控股关系或管理关系、单位负责人为同一人的情形。</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vAlign w:val="center"/>
          </w:tcPr>
          <w:p>
            <w:pPr>
              <w:shd w:val="clear" w:color="auto" w:fill="FFFFFF" w:themeFill="background1"/>
              <w:rPr>
                <w:rFonts w:hint="eastAsia" w:ascii="Times New Roman" w:hAnsi="Times New Roman" w:eastAsia="仿宋" w:cs="Times New Roman"/>
                <w:kern w:val="0"/>
                <w:sz w:val="24"/>
                <w:szCs w:val="24"/>
              </w:rPr>
            </w:pP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shd w:val="clear" w:color="auto" w:fill="FFFFFF" w:themeFill="background1"/>
              <w:rPr>
                <w:rFonts w:hint="eastAsia" w:ascii="Times New Roman" w:hAnsi="Times New Roman" w:eastAsia="仿宋" w:cs="Times New Roman"/>
                <w:kern w:val="0"/>
                <w:sz w:val="24"/>
                <w:szCs w:val="24"/>
                <w:u w:val="single"/>
              </w:rPr>
            </w:pPr>
            <w:r>
              <w:rPr>
                <w:rFonts w:hint="eastAsia" w:ascii="宋体" w:hAnsi="宋体" w:eastAsia="宋体" w:cs="宋体"/>
                <w:sz w:val="21"/>
                <w:szCs w:val="21"/>
                <w:lang w:val="en-US" w:eastAsia="zh-CN"/>
              </w:rPr>
              <w:t>★</w:t>
            </w:r>
            <w:r>
              <w:rPr>
                <w:rFonts w:ascii="宋体" w:hAnsi="宋体" w:eastAsia="宋体" w:cs="微软雅黑"/>
                <w:sz w:val="21"/>
                <w:szCs w:val="21"/>
                <w:lang w:eastAsia="zh-CN"/>
              </w:rPr>
              <w:t>投标人属性要求：</w:t>
            </w:r>
          </w:p>
        </w:tc>
        <w:tc>
          <w:tcPr>
            <w:tcW w:w="1694" w:type="dxa"/>
            <w:vAlign w:val="center"/>
          </w:tcPr>
          <w:p>
            <w:pPr>
              <w:shd w:val="clear" w:color="auto" w:fill="FFFFFF" w:themeFill="background1"/>
              <w:rPr>
                <w:rFonts w:hint="eastAsia" w:ascii="Times New Roman" w:hAnsi="Times New Roman" w:eastAsia="仿宋" w:cs="Times New Roman"/>
                <w:color w:val="auto"/>
                <w:kern w:val="0"/>
                <w:sz w:val="24"/>
                <w:szCs w:val="24"/>
                <w:u w:val="single"/>
              </w:rPr>
            </w:pPr>
          </w:p>
        </w:tc>
        <w:tc>
          <w:tcPr>
            <w:tcW w:w="4642" w:type="dxa"/>
            <w:vAlign w:val="center"/>
          </w:tcPr>
          <w:p>
            <w:pPr>
              <w:widowControl/>
              <w:numPr>
                <w:ilvl w:val="0"/>
                <w:numId w:val="0"/>
              </w:numPr>
              <w:adjustRightInd w:val="0"/>
              <w:snapToGrid w:val="0"/>
              <w:spacing w:line="360" w:lineRule="auto"/>
              <w:ind w:left="0" w:firstLine="0"/>
              <w:jc w:val="left"/>
              <w:rPr>
                <w:rFonts w:ascii="宋体" w:hAnsi="宋体" w:eastAsia="宋体" w:cs="微软雅黑"/>
                <w:color w:val="auto"/>
                <w:sz w:val="21"/>
                <w:szCs w:val="21"/>
                <w:lang w:eastAsia="zh-CN"/>
              </w:rPr>
            </w:pPr>
            <w:r>
              <w:rPr>
                <w:rFonts w:ascii="宋体" w:hAnsi="宋体" w:eastAsia="宋体" w:cs="微软雅黑"/>
                <w:color w:val="auto"/>
                <w:sz w:val="21"/>
                <w:szCs w:val="21"/>
                <w:lang w:eastAsia="zh-CN"/>
              </w:rPr>
              <w:t>本次允许投标人为制造商或代理商或贸易商投标。投标人在投标时需要提供投标人属性确认函及相关证明材料。（详见</w:t>
            </w:r>
            <w:r>
              <w:rPr>
                <w:rFonts w:hint="eastAsia" w:ascii="宋体" w:hAnsi="宋体" w:eastAsia="宋体" w:cs="微软雅黑"/>
                <w:color w:val="auto"/>
                <w:sz w:val="21"/>
                <w:szCs w:val="21"/>
                <w:lang w:val="en-US" w:eastAsia="zh-CN"/>
              </w:rPr>
              <w:t>附件</w:t>
            </w:r>
            <w:r>
              <w:rPr>
                <w:rFonts w:ascii="宋体" w:hAnsi="宋体" w:eastAsia="宋体" w:cs="微软雅黑"/>
                <w:color w:val="auto"/>
                <w:sz w:val="21"/>
                <w:szCs w:val="21"/>
                <w:lang w:eastAsia="zh-CN"/>
              </w:rPr>
              <w:t>投标文件格式）。</w:t>
            </w:r>
          </w:p>
          <w:p>
            <w:pPr>
              <w:widowControl/>
              <w:numPr>
                <w:ilvl w:val="0"/>
                <w:numId w:val="1"/>
              </w:numPr>
              <w:adjustRightInd w:val="0"/>
              <w:snapToGrid w:val="0"/>
              <w:spacing w:line="360" w:lineRule="auto"/>
              <w:ind w:left="105" w:leftChars="0" w:firstLine="0" w:firstLineChars="0"/>
              <w:jc w:val="left"/>
              <w:rPr>
                <w:rFonts w:ascii="宋体" w:hAnsi="宋体" w:eastAsia="宋体" w:cs="微软雅黑"/>
                <w:color w:val="auto"/>
                <w:sz w:val="21"/>
                <w:szCs w:val="21"/>
                <w:lang w:eastAsia="zh-CN"/>
              </w:rPr>
            </w:pPr>
            <w:r>
              <w:rPr>
                <w:rFonts w:ascii="宋体" w:hAnsi="宋体" w:eastAsia="宋体" w:cs="微软雅黑"/>
                <w:color w:val="auto"/>
                <w:sz w:val="21"/>
                <w:szCs w:val="21"/>
                <w:highlight w:val="yellow"/>
                <w:lang w:eastAsia="zh-CN"/>
              </w:rPr>
              <w:t>若为制造商</w:t>
            </w:r>
            <w:r>
              <w:rPr>
                <w:rFonts w:ascii="宋体" w:hAnsi="宋体" w:eastAsia="宋体" w:cs="微软雅黑"/>
                <w:color w:val="auto"/>
                <w:sz w:val="21"/>
                <w:szCs w:val="21"/>
                <w:lang w:eastAsia="zh-CN"/>
              </w:rPr>
              <w:t>，须另外再提供附件 1：制造商证明相关材料； 证明相关材料包括：（1）制造商承诺书；（2）若自有厂房或土地提供厂房产权证或土地使用证，若租赁厂房提供有效期内的厂房租赁合同，若租赁土地提供有效期内的土地租赁合同（承租方需为投标人），投标人关联公司（母、子公司）的不视为自有；（3）投标人自有的用于生产的生产设备，投标时提供生产设备照片和购买合同，或者生产设备照片和购买发票，投标人关联公司（母、子公司）的不视为自有。</w:t>
            </w:r>
          </w:p>
          <w:p>
            <w:pPr>
              <w:widowControl/>
              <w:numPr>
                <w:ilvl w:val="0"/>
                <w:numId w:val="1"/>
              </w:numPr>
              <w:adjustRightInd w:val="0"/>
              <w:snapToGrid w:val="0"/>
              <w:spacing w:line="360" w:lineRule="auto"/>
              <w:ind w:left="105" w:leftChars="0" w:firstLine="0" w:firstLineChars="0"/>
              <w:jc w:val="left"/>
              <w:rPr>
                <w:rFonts w:ascii="宋体" w:hAnsi="宋体" w:eastAsia="宋体" w:cs="微软雅黑"/>
                <w:color w:val="auto"/>
                <w:sz w:val="21"/>
                <w:szCs w:val="21"/>
                <w:lang w:eastAsia="zh-CN"/>
              </w:rPr>
            </w:pPr>
            <w:r>
              <w:rPr>
                <w:rFonts w:ascii="宋体" w:hAnsi="宋体" w:eastAsia="宋体" w:cs="微软雅黑"/>
                <w:color w:val="auto"/>
                <w:sz w:val="21"/>
                <w:szCs w:val="21"/>
                <w:highlight w:val="yellow"/>
                <w:lang w:eastAsia="zh-CN"/>
              </w:rPr>
              <w:t>若为代理商</w:t>
            </w:r>
            <w:r>
              <w:rPr>
                <w:rFonts w:ascii="宋体" w:hAnsi="宋体" w:eastAsia="宋体" w:cs="微软雅黑"/>
                <w:color w:val="auto"/>
                <w:sz w:val="21"/>
                <w:szCs w:val="21"/>
                <w:lang w:eastAsia="zh-CN"/>
              </w:rPr>
              <w:t xml:space="preserve">，须另外再提供附件2：代理商证明相关材料。如果投标人按照合同提供的货物不是投标人自己制造的，投标人应得到货物制造商同意其在中国为本次投标提供该货物的合法正式授权。投标人将被授权的货物再授权给其他投标人同时参与投标的，相关的所有投标将被拒绝。 证明相关材料包括：（1）代理商承诺书；（2）制造商授权书。 </w:t>
            </w:r>
          </w:p>
          <w:p>
            <w:pPr>
              <w:widowControl/>
              <w:numPr>
                <w:ilvl w:val="0"/>
                <w:numId w:val="0"/>
              </w:numPr>
              <w:adjustRightInd w:val="0"/>
              <w:snapToGrid w:val="0"/>
              <w:spacing w:line="360" w:lineRule="auto"/>
              <w:ind w:left="105" w:leftChars="0"/>
              <w:jc w:val="left"/>
              <w:rPr>
                <w:rFonts w:hint="eastAsia" w:ascii="Times New Roman" w:hAnsi="Times New Roman" w:eastAsia="仿宋" w:cs="Times New Roman"/>
                <w:color w:val="auto"/>
                <w:kern w:val="0"/>
                <w:sz w:val="24"/>
                <w:szCs w:val="24"/>
              </w:rPr>
            </w:pPr>
            <w:r>
              <w:rPr>
                <w:rFonts w:ascii="宋体" w:hAnsi="宋体" w:eastAsia="宋体" w:cs="微软雅黑"/>
                <w:color w:val="auto"/>
                <w:sz w:val="21"/>
                <w:szCs w:val="21"/>
                <w:highlight w:val="yellow"/>
                <w:lang w:eastAsia="zh-CN"/>
              </w:rPr>
              <w:t>3）若为贸易商</w:t>
            </w:r>
            <w:r>
              <w:rPr>
                <w:rFonts w:ascii="宋体" w:hAnsi="宋体" w:eastAsia="宋体" w:cs="微软雅黑"/>
                <w:color w:val="auto"/>
                <w:sz w:val="21"/>
                <w:szCs w:val="21"/>
                <w:lang w:eastAsia="zh-CN"/>
              </w:rPr>
              <w:t>，须另外再提供附件 3：贸易商证明相关材料。 证明相关材料包括：（1）贸易商承诺书 （证明相关材料详见</w:t>
            </w:r>
            <w:r>
              <w:rPr>
                <w:rFonts w:hint="eastAsia" w:ascii="宋体" w:hAnsi="宋体" w:eastAsia="宋体" w:cs="微软雅黑"/>
                <w:color w:val="auto"/>
                <w:sz w:val="21"/>
                <w:szCs w:val="21"/>
                <w:lang w:val="en-US" w:eastAsia="zh-CN"/>
              </w:rPr>
              <w:t>附件</w:t>
            </w:r>
            <w:r>
              <w:rPr>
                <w:rFonts w:ascii="宋体" w:hAnsi="宋体" w:eastAsia="宋体" w:cs="微软雅黑"/>
                <w:color w:val="auto"/>
                <w:sz w:val="21"/>
                <w:szCs w:val="21"/>
                <w:lang w:eastAsia="zh-CN"/>
              </w:rPr>
              <w:t>投标文件格式）。</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spacing w:before="312" w:beforeLines="100" w:after="312" w:afterLines="100" w:line="240" w:lineRule="auto"/>
              <w:jc w:val="both"/>
              <w:outlineLvl w:val="0"/>
              <w:rPr>
                <w:rFonts w:hint="eastAsia" w:ascii="宋体" w:hAnsi="宋体" w:eastAsia="宋体" w:cs="宋体"/>
                <w:b w:val="0"/>
                <w:bCs w:val="0"/>
                <w:color w:val="auto"/>
                <w:kern w:val="44"/>
                <w:sz w:val="24"/>
                <w:szCs w:val="24"/>
                <w:highlight w:val="none"/>
                <w:lang w:val="en-US" w:eastAsia="zh-CN"/>
              </w:rPr>
            </w:pPr>
            <w:r>
              <w:rPr>
                <w:rFonts w:hint="eastAsia" w:ascii="微软雅黑" w:hAnsi="微软雅黑" w:eastAsia="微软雅黑" w:cs="微软雅黑"/>
                <w:color w:val="auto"/>
              </w:rPr>
              <w:t>★</w:t>
            </w:r>
            <w:r>
              <w:rPr>
                <w:rFonts w:hint="eastAsia" w:ascii="宋体" w:hAnsi="宋体" w:eastAsia="宋体" w:cs="宋体"/>
                <w:b w:val="0"/>
                <w:bCs w:val="0"/>
                <w:color w:val="auto"/>
                <w:kern w:val="44"/>
                <w:sz w:val="24"/>
                <w:szCs w:val="24"/>
                <w:highlight w:val="none"/>
                <w:lang w:val="en-US" w:eastAsia="zh-CN"/>
              </w:rPr>
              <w:t xml:space="preserve">业绩要求（开标环节需信息公开） </w:t>
            </w:r>
          </w:p>
          <w:p>
            <w:pPr>
              <w:shd w:val="clear" w:color="auto" w:fill="FFFFFF" w:themeFill="background1"/>
              <w:rPr>
                <w:rFonts w:hint="eastAsia" w:ascii="宋体" w:hAnsi="宋体" w:eastAsia="宋体" w:cs="宋体"/>
                <w:sz w:val="21"/>
                <w:szCs w:val="21"/>
                <w:lang w:val="en-US" w:eastAsia="zh-CN"/>
              </w:rPr>
            </w:pPr>
          </w:p>
        </w:tc>
        <w:tc>
          <w:tcPr>
            <w:tcW w:w="1694" w:type="dxa"/>
            <w:vAlign w:val="center"/>
          </w:tcPr>
          <w:p>
            <w:pPr>
              <w:shd w:val="clear" w:color="auto" w:fill="FFFFFF" w:themeFill="background1"/>
              <w:rPr>
                <w:rFonts w:hint="eastAsia" w:ascii="Times New Roman" w:hAnsi="Times New Roman" w:eastAsia="仿宋" w:cs="Times New Roman"/>
                <w:color w:val="auto"/>
                <w:kern w:val="0"/>
                <w:sz w:val="24"/>
                <w:szCs w:val="24"/>
                <w:u w:val="single"/>
              </w:rPr>
            </w:pPr>
          </w:p>
        </w:tc>
        <w:tc>
          <w:tcPr>
            <w:tcW w:w="4642" w:type="dxa"/>
            <w:vAlign w:val="center"/>
          </w:tcPr>
          <w:p>
            <w:pPr>
              <w:pStyle w:val="5"/>
              <w:numPr>
                <w:ilvl w:val="0"/>
                <w:numId w:val="0"/>
              </w:numPr>
              <w:shd w:val="clear" w:color="000000" w:fill="auto"/>
              <w:adjustRightInd w:val="0"/>
              <w:snapToGrid w:val="0"/>
              <w:spacing w:line="360" w:lineRule="auto"/>
              <w:ind w:leftChars="0"/>
              <w:jc w:val="left"/>
              <w:rPr>
                <w:rFonts w:hint="eastAsia" w:ascii="Times New Roman" w:hAnsi="Times New Roman" w:eastAsia="仿宋" w:cs="Times New Roman"/>
                <w:color w:val="auto"/>
                <w:kern w:val="0"/>
                <w:sz w:val="24"/>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1、2023年1月1日至投标截止日（以合同签署时间为准），投标人应具有至少1个合同的超高效液相色谱仪或同类化学品检测设备的供货业绩。  </w:t>
            </w:r>
            <w:r>
              <w:rPr>
                <w:rFonts w:hint="eastAsia" w:asciiTheme="minorHAnsi" w:hAnsiTheme="minorHAnsi" w:eastAsiaTheme="minorEastAsia" w:cstheme="minorBidi"/>
                <w:color w:val="auto"/>
                <w:kern w:val="2"/>
                <w:sz w:val="21"/>
                <w:szCs w:val="24"/>
                <w:lang w:val="en-US" w:eastAsia="zh-CN" w:bidi="ar-SA"/>
              </w:rPr>
              <w:br w:type="textWrapping"/>
            </w:r>
            <w:r>
              <w:rPr>
                <w:rFonts w:hint="eastAsia" w:asciiTheme="minorHAnsi" w:hAnsiTheme="minorHAnsi" w:eastAsiaTheme="minorEastAsia" w:cstheme="minorBidi"/>
                <w:color w:val="auto"/>
                <w:kern w:val="2"/>
                <w:sz w:val="21"/>
                <w:szCs w:val="24"/>
                <w:lang w:val="en-US" w:eastAsia="zh-CN" w:bidi="ar-SA"/>
              </w:rPr>
              <w:t xml:space="preserve">2、投标人须提交业绩表，并提交相关业绩证明文件。业绩证明文件包括：1）合同和2）用户签字或盖章的到货验收材料（到货验收单或调试验收报告或其他可以证明合同项下货物已经到货验收的有效证明材料）。投标人所提交的业绩证明文件必须至少体现以下内容：合同签署时间、合同签署页（国内贸易合同应有双方盖章，国际贸易合同应有双方签字或盖章）、货物名称、用户签字或盖章的到货验收材料。  </w:t>
            </w:r>
            <w:r>
              <w:rPr>
                <w:rFonts w:hint="eastAsia" w:asciiTheme="minorHAnsi" w:hAnsiTheme="minorHAnsi" w:eastAsiaTheme="minorEastAsia" w:cstheme="minorBidi"/>
                <w:color w:val="auto"/>
                <w:kern w:val="2"/>
                <w:sz w:val="21"/>
                <w:szCs w:val="24"/>
                <w:lang w:val="en-US" w:eastAsia="zh-CN" w:bidi="ar-SA"/>
              </w:rPr>
              <w:br w:type="textWrapping"/>
            </w:r>
            <w:r>
              <w:rPr>
                <w:rFonts w:hint="eastAsia" w:asciiTheme="minorHAnsi" w:hAnsiTheme="minorHAnsi" w:eastAsiaTheme="minorEastAsia" w:cstheme="minorBidi"/>
                <w:color w:val="auto"/>
                <w:kern w:val="2"/>
                <w:sz w:val="21"/>
                <w:szCs w:val="24"/>
                <w:lang w:val="en-US" w:eastAsia="zh-CN" w:bidi="ar-SA"/>
              </w:rPr>
              <w:t xml:space="preserve">3、若业绩合同为年度协议/框架协议/费率合同，除提供年度协议/框架协议/费率合同外，还应提供相应的已到货订单，订单内容或编号应与年度协议/框架协议/费率合同相关联。同一个年度协议/框架协议/费率合同下提供1个或以上的订单及与订单对应的到货验收材料均算为1个有效业绩。  </w:t>
            </w:r>
            <w:r>
              <w:rPr>
                <w:rFonts w:hint="eastAsia" w:asciiTheme="minorHAnsi" w:hAnsiTheme="minorHAnsi" w:eastAsiaTheme="minorEastAsia" w:cstheme="minorBidi"/>
                <w:color w:val="auto"/>
                <w:kern w:val="2"/>
                <w:sz w:val="21"/>
                <w:szCs w:val="24"/>
                <w:lang w:val="en-US" w:eastAsia="zh-CN" w:bidi="ar-SA"/>
              </w:rPr>
              <w:br w:type="textWrapping"/>
            </w:r>
            <w:r>
              <w:rPr>
                <w:rFonts w:hint="eastAsia" w:asciiTheme="minorHAnsi" w:hAnsiTheme="minorHAnsi" w:eastAsiaTheme="minorEastAsia" w:cstheme="minorBidi"/>
                <w:color w:val="auto"/>
                <w:kern w:val="2"/>
                <w:sz w:val="21"/>
                <w:szCs w:val="24"/>
                <w:lang w:val="en-US" w:eastAsia="zh-CN" w:bidi="ar-SA"/>
              </w:rPr>
              <w:t xml:space="preserve"> 4、未提交业绩证明文件，或通过所提供的业绩证明文件无法认定满足上述业绩要求的，均视为无效业绩。  </w:t>
            </w:r>
            <w:r>
              <w:rPr>
                <w:rFonts w:hint="eastAsia" w:asciiTheme="minorHAnsi" w:hAnsiTheme="minorHAnsi" w:eastAsiaTheme="minorEastAsia" w:cstheme="minorBidi"/>
                <w:color w:val="auto"/>
                <w:kern w:val="2"/>
                <w:sz w:val="21"/>
                <w:szCs w:val="24"/>
                <w:lang w:val="en-US" w:eastAsia="zh-CN" w:bidi="ar-SA"/>
              </w:rPr>
              <w:br w:type="textWrapping"/>
            </w:r>
            <w:r>
              <w:rPr>
                <w:rFonts w:hint="eastAsia" w:asciiTheme="minorHAnsi" w:hAnsiTheme="minorHAnsi" w:eastAsiaTheme="minorEastAsia" w:cstheme="minorBidi"/>
                <w:color w:val="auto"/>
                <w:kern w:val="2"/>
                <w:sz w:val="21"/>
                <w:szCs w:val="24"/>
                <w:lang w:val="en-US" w:eastAsia="zh-CN" w:bidi="ar-SA"/>
              </w:rPr>
              <w:t>5、业绩资料原件备查。</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w:t>
            </w: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shd w:val="clear" w:color="auto" w:fill="FFFFFF" w:themeFill="background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★技术要求</w:t>
            </w:r>
          </w:p>
        </w:tc>
        <w:tc>
          <w:tcPr>
            <w:tcW w:w="1694" w:type="dxa"/>
            <w:vAlign w:val="center"/>
          </w:tcPr>
          <w:p>
            <w:pPr>
              <w:shd w:val="clear" w:color="auto" w:fill="FFFFFF" w:themeFill="background1"/>
              <w:rPr>
                <w:rFonts w:hint="eastAsia" w:ascii="Times New Roman" w:hAnsi="Times New Roman" w:eastAsia="仿宋" w:cs="Times New Roman"/>
                <w:color w:val="auto"/>
                <w:kern w:val="0"/>
                <w:sz w:val="24"/>
                <w:szCs w:val="24"/>
                <w:u w:val="single"/>
              </w:rPr>
            </w:pPr>
          </w:p>
        </w:tc>
        <w:tc>
          <w:tcPr>
            <w:tcW w:w="4642" w:type="dxa"/>
            <w:vAlign w:val="center"/>
          </w:tcPr>
          <w:p>
            <w:pPr>
              <w:pStyle w:val="19"/>
              <w:bidi w:val="0"/>
              <w:jc w:val="left"/>
              <w:rPr>
                <w:rFonts w:hint="default" w:ascii="仿宋" w:hAnsi="仿宋" w:eastAsia="仿宋" w:cs="仿宋"/>
                <w:color w:val="auto"/>
                <w:sz w:val="21"/>
                <w:szCs w:val="21"/>
                <w:highlight w:val="none"/>
                <w:lang w:val="en-US" w:eastAsia="zh-CN"/>
              </w:rPr>
            </w:pPr>
            <w:r>
              <w:rPr>
                <w:rFonts w:hint="eastAsia" w:ascii="Times New Roman" w:hAnsi="Times New Roman" w:eastAsia="仿宋" w:cs="Times New Roman"/>
                <w:b w:val="0"/>
                <w:bCs w:val="0"/>
                <w:color w:val="auto"/>
                <w:kern w:val="0"/>
                <w:sz w:val="24"/>
                <w:szCs w:val="24"/>
                <w:lang w:val="en-US" w:eastAsia="zh-CN" w:bidi="ar-SA"/>
              </w:rPr>
              <w:t>见附件1采购范围与主要技术指标</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w:t>
            </w: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shd w:val="clear" w:color="auto" w:fill="FFFFFF" w:themeFill="background1"/>
              <w:jc w:val="center"/>
              <w:rPr>
                <w:rFonts w:hint="default" w:ascii="Times New Roman" w:hAnsi="Times New Roman" w:eastAsia="仿宋" w:cs="Times New Roman"/>
                <w:b w:val="0"/>
                <w:bCs w:val="0"/>
                <w:kern w:val="0"/>
                <w:sz w:val="24"/>
                <w:szCs w:val="24"/>
                <w:lang w:val="en-US" w:eastAsia="zh-CN" w:bidi="ar-SA"/>
              </w:rPr>
            </w:pPr>
            <w:r>
              <w:rPr>
                <w:rFonts w:hint="eastAsia" w:ascii="宋体" w:hAnsi="宋体" w:eastAsia="宋体" w:cs="宋体"/>
                <w:sz w:val="21"/>
                <w:szCs w:val="21"/>
                <w:lang w:val="en-US" w:eastAsia="zh-CN"/>
              </w:rPr>
              <w:t>★</w:t>
            </w:r>
            <w:r>
              <w:rPr>
                <w:rFonts w:hint="eastAsia" w:ascii="Times New Roman" w:hAnsi="Times New Roman" w:eastAsia="仿宋" w:cs="Times New Roman"/>
                <w:b w:val="0"/>
                <w:bCs w:val="0"/>
                <w:kern w:val="0"/>
                <w:sz w:val="24"/>
                <w:szCs w:val="24"/>
                <w:lang w:val="en-US" w:eastAsia="zh-CN" w:bidi="ar-SA"/>
              </w:rPr>
              <w:t>投标保证金</w:t>
            </w:r>
          </w:p>
        </w:tc>
        <w:tc>
          <w:tcPr>
            <w:tcW w:w="1694" w:type="dxa"/>
            <w:vAlign w:val="center"/>
          </w:tcPr>
          <w:p>
            <w:pPr>
              <w:shd w:val="clear" w:color="auto" w:fill="FFFFFF" w:themeFill="background1"/>
              <w:rPr>
                <w:rFonts w:hint="eastAsia" w:ascii="Times New Roman" w:hAnsi="Times New Roman" w:eastAsia="仿宋" w:cs="Times New Roman"/>
                <w:color w:val="auto"/>
                <w:kern w:val="0"/>
                <w:sz w:val="24"/>
                <w:szCs w:val="24"/>
                <w:u w:val="single"/>
              </w:rPr>
            </w:pPr>
          </w:p>
        </w:tc>
        <w:tc>
          <w:tcPr>
            <w:tcW w:w="4642" w:type="dxa"/>
            <w:vAlign w:val="center"/>
          </w:tcPr>
          <w:p>
            <w:pPr>
              <w:pStyle w:val="5"/>
              <w:numPr>
                <w:ilvl w:val="0"/>
                <w:numId w:val="0"/>
              </w:numPr>
              <w:spacing w:line="360" w:lineRule="auto"/>
              <w:ind w:right="122" w:rightChars="0"/>
              <w:rPr>
                <w:rFonts w:hint="eastAsia" w:ascii="Times New Roman" w:hAnsi="Times New Roman" w:eastAsia="仿宋" w:cs="Times New Roman"/>
                <w:b w:val="0"/>
                <w:bCs w:val="0"/>
                <w:color w:val="auto"/>
                <w:kern w:val="0"/>
                <w:sz w:val="24"/>
                <w:szCs w:val="24"/>
                <w:lang w:val="en-US" w:eastAsia="zh-CN" w:bidi="ar-SA"/>
              </w:rPr>
            </w:pPr>
            <w:r>
              <w:rPr>
                <w:rFonts w:hint="eastAsia" w:ascii="Times New Roman" w:hAnsi="Times New Roman" w:eastAsia="仿宋" w:cs="Times New Roman"/>
                <w:b w:val="0"/>
                <w:bCs w:val="0"/>
                <w:color w:val="auto"/>
                <w:kern w:val="0"/>
                <w:sz w:val="24"/>
                <w:szCs w:val="24"/>
                <w:highlight w:val="yellow"/>
                <w:lang w:val="en-US" w:eastAsia="zh-CN" w:bidi="ar-SA"/>
              </w:rPr>
              <w:t>3.5万元人民币</w:t>
            </w:r>
            <w:r>
              <w:rPr>
                <w:rFonts w:hint="eastAsia" w:ascii="Times New Roman" w:hAnsi="Times New Roman" w:eastAsia="仿宋" w:cs="Times New Roman"/>
                <w:b w:val="0"/>
                <w:bCs w:val="0"/>
                <w:color w:val="auto"/>
                <w:kern w:val="0"/>
                <w:sz w:val="24"/>
                <w:szCs w:val="24"/>
                <w:lang w:val="en-US" w:eastAsia="zh-CN" w:bidi="ar-SA"/>
              </w:rPr>
              <w:t>，应符合招标文件中第二章投标人须知前附表和投标须知前附件的内容。境内投标人以银行电汇提交的投标保证金，应当从其基本账户转出并在投标文件中附上基本账户证明材料。</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11</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center"/>
          </w:tcPr>
          <w:p>
            <w:pPr>
              <w:shd w:val="clear" w:color="auto" w:fill="FFFFFF" w:themeFill="background1"/>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kern w:val="0"/>
                <w:sz w:val="24"/>
                <w:szCs w:val="24"/>
                <w:lang w:val="en-US" w:eastAsia="zh-CN"/>
              </w:rPr>
              <w:t>付款进度</w:t>
            </w:r>
          </w:p>
        </w:tc>
        <w:tc>
          <w:tcPr>
            <w:tcW w:w="1694" w:type="dxa"/>
            <w:vAlign w:val="top"/>
          </w:tcPr>
          <w:p>
            <w:pPr>
              <w:shd w:val="clear" w:color="auto" w:fill="FFFFFF" w:themeFill="background1"/>
              <w:ind w:firstLine="480" w:firstLineChars="200"/>
              <w:rPr>
                <w:rFonts w:ascii="Times New Roman" w:hAnsi="Times New Roman" w:eastAsia="仿宋" w:cs="Times New Roman"/>
                <w:color w:val="auto"/>
                <w:kern w:val="0"/>
                <w:sz w:val="24"/>
                <w:szCs w:val="24"/>
              </w:rPr>
            </w:pPr>
          </w:p>
        </w:tc>
        <w:tc>
          <w:tcPr>
            <w:tcW w:w="4642" w:type="dxa"/>
            <w:vAlign w:val="top"/>
          </w:tcPr>
          <w:p>
            <w:pPr>
              <w:pStyle w:val="10"/>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1、付款方式：银行电汇</w:t>
            </w:r>
          </w:p>
          <w:p>
            <w:pPr>
              <w:pStyle w:val="10"/>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2、付款周期：</w:t>
            </w:r>
          </w:p>
          <w:p>
            <w:pPr>
              <w:pStyle w:val="10"/>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1）设备到货经买方性能验收合格后，卖方向买方提供100%增值税专用发票，如果买方对卖方出具的发票和提供的相关支持文件无异议，收到发票和相关支持文件并审核无误45日内向卖方支付合同总价的97%；</w:t>
            </w:r>
          </w:p>
          <w:p>
            <w:pPr>
              <w:pStyle w:val="10"/>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2）合同总价的3%作为质保金，质保期满无质量问题后 45日内支付结清；</w:t>
            </w:r>
          </w:p>
          <w:p>
            <w:pPr>
              <w:keepNext w:val="0"/>
              <w:keepLines w:val="0"/>
              <w:suppressLineNumbers w:val="0"/>
              <w:spacing w:before="0" w:beforeAutospacing="0" w:after="0" w:afterAutospacing="0" w:line="360" w:lineRule="auto"/>
              <w:ind w:right="0"/>
              <w:jc w:val="both"/>
              <w:rPr>
                <w:rFonts w:hint="eastAsia"/>
                <w:color w:val="auto"/>
              </w:rPr>
            </w:pPr>
            <w:r>
              <w:rPr>
                <w:rFonts w:hint="eastAsia" w:asciiTheme="minorHAnsi" w:hAnsiTheme="minorHAnsi" w:eastAsiaTheme="minorEastAsia" w:cstheme="minorBidi"/>
                <w:color w:val="auto"/>
                <w:kern w:val="2"/>
                <w:sz w:val="21"/>
                <w:szCs w:val="24"/>
                <w:lang w:val="en-US" w:eastAsia="zh-CN" w:bidi="ar-SA"/>
              </w:rPr>
              <w:t xml:space="preserve">3）如付款到期日为非银行工作日，则付款到期日顺延至下一个银行工作日 </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top"/>
          </w:tcPr>
          <w:p>
            <w:pPr>
              <w:shd w:val="clear" w:color="auto" w:fill="FFFFFF" w:themeFill="background1"/>
              <w:rPr>
                <w:rFonts w:hint="eastAsia" w:ascii="Times New Roman" w:hAnsi="Times New Roman" w:eastAsia="仿宋" w:cs="Times New Roman"/>
                <w:kern w:val="0"/>
                <w:sz w:val="24"/>
                <w:szCs w:val="24"/>
                <w:lang w:val="en-US" w:eastAsia="zh-CN"/>
              </w:rPr>
            </w:pPr>
          </w:p>
          <w:p>
            <w:pPr>
              <w:shd w:val="clear" w:color="auto" w:fill="FFFFFF" w:themeFill="background1"/>
              <w:rPr>
                <w:rFonts w:hint="default" w:ascii="Times New Roman" w:hAnsi="Times New Roman" w:eastAsia="仿宋" w:cs="Times New Roman"/>
                <w:kern w:val="0"/>
                <w:sz w:val="24"/>
                <w:szCs w:val="24"/>
                <w:lang w:val="en-US"/>
              </w:rPr>
            </w:pPr>
            <w:r>
              <w:rPr>
                <w:rFonts w:hint="eastAsia" w:ascii="宋体" w:hAnsi="宋体" w:eastAsia="宋体" w:cs="宋体"/>
                <w:sz w:val="21"/>
                <w:szCs w:val="21"/>
                <w:lang w:val="en-US" w:eastAsia="zh-CN"/>
              </w:rPr>
              <w:t>★</w:t>
            </w:r>
            <w:r>
              <w:rPr>
                <w:rFonts w:hint="eastAsia" w:ascii="Times New Roman" w:hAnsi="Times New Roman" w:eastAsia="仿宋" w:cs="Times New Roman"/>
                <w:kern w:val="0"/>
                <w:sz w:val="24"/>
                <w:szCs w:val="24"/>
                <w:lang w:val="en-US" w:eastAsia="zh-CN"/>
              </w:rPr>
              <w:t>交货地点</w:t>
            </w:r>
          </w:p>
        </w:tc>
        <w:tc>
          <w:tcPr>
            <w:tcW w:w="1694" w:type="dxa"/>
            <w:vAlign w:val="top"/>
          </w:tcPr>
          <w:p>
            <w:pPr>
              <w:shd w:val="clear" w:color="auto" w:fill="FFFFFF" w:themeFill="background1"/>
              <w:ind w:firstLine="480" w:firstLineChars="200"/>
              <w:rPr>
                <w:rFonts w:ascii="Times New Roman" w:hAnsi="Times New Roman" w:eastAsia="仿宋" w:cs="Times New Roman"/>
                <w:color w:val="auto"/>
                <w:kern w:val="0"/>
                <w:sz w:val="24"/>
                <w:szCs w:val="24"/>
              </w:rPr>
            </w:pPr>
          </w:p>
        </w:tc>
        <w:tc>
          <w:tcPr>
            <w:tcW w:w="4642" w:type="dxa"/>
            <w:vAlign w:val="top"/>
          </w:tcPr>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40" w:firstLineChars="100"/>
              <w:textAlignment w:val="auto"/>
              <w:rPr>
                <w:rFonts w:hint="default" w:ascii="Times New Roman" w:hAnsi="Times New Roman" w:eastAsia="仿宋" w:cs="Times New Roman"/>
                <w:color w:val="auto"/>
                <w:kern w:val="0"/>
                <w:sz w:val="24"/>
                <w:szCs w:val="24"/>
                <w:highlight w:val="none"/>
                <w:lang w:val="en-US" w:eastAsia="zh-CN"/>
              </w:rPr>
            </w:pPr>
            <w:r>
              <w:rPr>
                <w:rFonts w:hint="eastAsia" w:ascii="Calibri" w:hAnsi="Calibri" w:eastAsia="宋体" w:cs="Times New Roman"/>
                <w:b w:val="0"/>
                <w:bCs w:val="0"/>
                <w:color w:val="auto"/>
                <w:kern w:val="0"/>
                <w:sz w:val="24"/>
                <w:szCs w:val="22"/>
                <w:highlight w:val="none"/>
                <w:lang w:val="en-US" w:eastAsia="zh-CN" w:bidi="ar-SA"/>
              </w:rPr>
              <w:t>天津市滨海新区南港工业区泰汇道6号（中海油（天津）油田化工有限公司）、广东省惠州市大亚湾石化区滨海八路（中海油能源发展股份有限公司工程技术惠州分公司），具体以需求一览表中要求地点为准。</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14</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top"/>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宋体" w:hAnsi="宋体" w:eastAsia="宋体" w:cs="宋体"/>
                <w:sz w:val="21"/>
                <w:szCs w:val="21"/>
                <w:lang w:val="en-US" w:eastAsia="zh-CN"/>
              </w:rPr>
              <w:t>★</w:t>
            </w:r>
            <w:r>
              <w:rPr>
                <w:rFonts w:hint="eastAsia" w:ascii="Times New Roman" w:hAnsi="Times New Roman" w:eastAsia="仿宋" w:cs="Times New Roman"/>
                <w:kern w:val="0"/>
                <w:sz w:val="24"/>
                <w:szCs w:val="24"/>
                <w:lang w:val="en-US" w:eastAsia="zh-CN"/>
              </w:rPr>
              <w:t>交货期</w:t>
            </w:r>
          </w:p>
        </w:tc>
        <w:tc>
          <w:tcPr>
            <w:tcW w:w="1694" w:type="dxa"/>
            <w:vAlign w:val="top"/>
          </w:tcPr>
          <w:p>
            <w:pPr>
              <w:shd w:val="clear" w:color="auto" w:fill="FFFFFF" w:themeFill="background1"/>
              <w:ind w:firstLine="480" w:firstLineChars="200"/>
              <w:rPr>
                <w:rFonts w:ascii="Times New Roman" w:hAnsi="Times New Roman" w:eastAsia="仿宋" w:cs="Times New Roman"/>
                <w:color w:val="auto"/>
                <w:kern w:val="0"/>
                <w:sz w:val="24"/>
                <w:szCs w:val="24"/>
              </w:rPr>
            </w:pPr>
          </w:p>
        </w:tc>
        <w:tc>
          <w:tcPr>
            <w:tcW w:w="4642" w:type="dxa"/>
            <w:vAlign w:val="top"/>
          </w:tcPr>
          <w:p>
            <w:pPr>
              <w:shd w:val="clear" w:color="auto" w:fill="FFFFFF" w:themeFill="background1"/>
              <w:jc w:val="left"/>
              <w:rPr>
                <w:rFonts w:hint="default" w:ascii="Times New Roman" w:hAnsi="Times New Roman" w:eastAsia="仿宋" w:cs="Times New Roman"/>
                <w:color w:val="auto"/>
                <w:kern w:val="0"/>
                <w:sz w:val="24"/>
                <w:szCs w:val="24"/>
                <w:lang w:val="en-US" w:eastAsia="zh-CN"/>
              </w:rPr>
            </w:pPr>
            <w:r>
              <w:rPr>
                <w:rFonts w:hint="eastAsia" w:ascii="Calibri" w:hAnsi="Calibri" w:eastAsia="宋体" w:cs="Times New Roman"/>
                <w:b w:val="0"/>
                <w:bCs w:val="0"/>
                <w:color w:val="auto"/>
                <w:kern w:val="0"/>
                <w:sz w:val="24"/>
                <w:szCs w:val="22"/>
                <w:highlight w:val="none"/>
                <w:lang w:val="en-US" w:eastAsia="zh-CN" w:bidi="ar-SA"/>
              </w:rPr>
              <w:t>合同签订后，接到买方正式通知之日起3个自然月内。</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bl>
    <w:p>
      <w:pPr>
        <w:shd w:val="clear" w:color="auto" w:fill="FFFFFF" w:themeFill="background1"/>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shd w:val="clear" w:color="auto" w:fill="FFFFFF" w:themeFill="background1"/>
        <w:tabs>
          <w:tab w:val="left" w:pos="993"/>
          <w:tab w:val="left" w:pos="1134"/>
          <w:tab w:val="left" w:pos="1418"/>
        </w:tabs>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日）止。在此期间，有意参与某采办包的系统用户可在集团公司采办系统中提交反馈材料。</w:t>
      </w:r>
    </w:p>
    <w:p>
      <w:pPr>
        <w:shd w:val="clear" w:color="auto" w:fill="FFFFFF" w:themeFill="background1"/>
        <w:tabs>
          <w:tab w:val="left" w:pos="993"/>
          <w:tab w:val="left" w:pos="1134"/>
          <w:tab w:val="left" w:pos="1418"/>
        </w:tabs>
        <w:spacing w:line="560" w:lineRule="exact"/>
        <w:rPr>
          <w:rFonts w:hint="default"/>
          <w:lang w:val="en-US"/>
        </w:rPr>
      </w:pPr>
      <w:r>
        <w:rPr>
          <w:rFonts w:hint="eastAsia"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彭齐国</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022-25802306电子邮箱：pengqg@cnooc.com.cn</w:t>
      </w:r>
    </w:p>
    <w:p>
      <w:pPr>
        <w:shd w:val="clear" w:color="auto" w:fill="FFFFFF" w:themeFill="background1"/>
        <w:tabs>
          <w:tab w:val="left" w:pos="993"/>
          <w:tab w:val="left" w:pos="1134"/>
          <w:tab w:val="left" w:pos="1418"/>
        </w:tabs>
        <w:spacing w:line="600" w:lineRule="exact"/>
        <w:ind w:right="32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中海油能源发展股份有限公司采办共享中心</w:t>
      </w:r>
      <w:r>
        <w:rPr>
          <w:rFonts w:ascii="Times New Roman" w:hAnsi="Times New Roman" w:eastAsia="仿宋_GB2312" w:cs="Times New Roman"/>
          <w:sz w:val="32"/>
          <w:szCs w:val="32"/>
        </w:rPr>
        <w:t>）</w:t>
      </w:r>
    </w:p>
    <w:p>
      <w:pPr>
        <w:shd w:val="clear" w:color="auto" w:fill="FFFFFF" w:themeFill="background1"/>
        <w:tabs>
          <w:tab w:val="left" w:pos="993"/>
          <w:tab w:val="left" w:pos="1134"/>
          <w:tab w:val="left" w:pos="1418"/>
        </w:tabs>
        <w:wordWrap w:val="0"/>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 xml:space="preserve">日 </w:t>
      </w:r>
    </w:p>
    <w:p>
      <w:pPr>
        <w:shd w:val="clear" w:color="auto" w:fill="FFFFFF" w:themeFill="background1"/>
        <w:tabs>
          <w:tab w:val="left" w:pos="993"/>
          <w:tab w:val="left" w:pos="1134"/>
          <w:tab w:val="left" w:pos="1418"/>
        </w:tabs>
        <w:wordWrap w:val="0"/>
        <w:spacing w:line="600" w:lineRule="exact"/>
        <w:ind w:right="480"/>
        <w:jc w:val="both"/>
        <w:rPr>
          <w:rFonts w:hint="eastAsia"/>
          <w:lang w:val="en-US" w:eastAsia="zh-CN"/>
        </w:rPr>
        <w:sectPr>
          <w:pgSz w:w="11906" w:h="16838"/>
          <w:pgMar w:top="1440" w:right="1486" w:bottom="1440" w:left="1800"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eastAsia="宋体" w:cs="宋体"/>
          <w:b/>
          <w:bCs/>
          <w:sz w:val="24"/>
          <w:szCs w:val="24"/>
        </w:rPr>
        <w:t>如对上述公开内容真实、有效性存疑，请拨打社会监督电话：022-25802262，其他事项不受理</w:t>
      </w:r>
      <w:r>
        <w:rPr>
          <w:rFonts w:hint="eastAsia" w:ascii="宋体" w:hAnsi="宋体" w:eastAsia="宋体" w:cs="宋体"/>
          <w:b/>
          <w:bCs/>
          <w:sz w:val="24"/>
          <w:szCs w:val="24"/>
          <w:lang w:eastAsia="zh-CN"/>
        </w:rPr>
        <w:t>。</w:t>
      </w:r>
    </w:p>
    <w:p>
      <w:pPr>
        <w:rPr>
          <w:rFonts w:ascii="Times New Roman" w:hAnsi="Times New Roman" w:eastAsia="仿宋_GB2312" w:cs="Times New Roman"/>
          <w:sz w:val="32"/>
          <w:szCs w:val="32"/>
        </w:rPr>
      </w:pPr>
    </w:p>
    <w:p>
      <w:pPr>
        <w:pStyle w:val="19"/>
        <w:bidi w:val="0"/>
        <w:jc w:val="left"/>
        <w:rPr>
          <w:rFonts w:ascii="微软雅黑" w:hAnsi="微软雅黑" w:eastAsia="微软雅黑"/>
          <w:color w:val="auto"/>
          <w:sz w:val="12"/>
          <w:szCs w:val="12"/>
          <w:lang w:eastAsia="zh-CN"/>
        </w:rPr>
      </w:pPr>
      <w:bookmarkStart w:id="7" w:name="_GoBack"/>
      <w:r>
        <w:rPr>
          <w:rFonts w:hint="eastAsia"/>
          <w:color w:val="auto"/>
          <w:lang w:val="en-US" w:eastAsia="zh-CN"/>
        </w:rPr>
        <w:t xml:space="preserve">附件1     </w:t>
      </w:r>
      <w:r>
        <w:rPr>
          <w:rFonts w:hint="eastAsia"/>
          <w:color w:val="auto"/>
        </w:rPr>
        <w:t>采购范围与主要技术指标</w:t>
      </w:r>
    </w:p>
    <w:bookmarkEnd w:id="7"/>
    <w:p>
      <w:pPr>
        <w:pStyle w:val="32"/>
        <w:spacing w:before="120" w:after="120"/>
        <w:outlineLvl w:val="0"/>
        <w:rPr>
          <w:rFonts w:ascii="微软雅黑" w:hAnsi="微软雅黑" w:eastAsia="微软雅黑" w:cs="Times New Roman"/>
          <w:bCs/>
          <w:color w:val="auto"/>
          <w:sz w:val="32"/>
          <w:szCs w:val="32"/>
          <w:highlight w:val="none"/>
        </w:rPr>
      </w:pPr>
      <w:bookmarkStart w:id="0" w:name="_Toc13249324"/>
      <w:bookmarkStart w:id="1" w:name="_Toc13248927"/>
      <w:r>
        <w:rPr>
          <w:rFonts w:ascii="微软雅黑" w:hAnsi="微软雅黑" w:eastAsia="微软雅黑" w:cs="Times New Roman"/>
          <w:bCs/>
          <w:color w:val="auto"/>
          <w:sz w:val="32"/>
          <w:szCs w:val="32"/>
          <w:highlight w:val="none"/>
        </w:rPr>
        <w:t>一、项目概况及总体要求</w:t>
      </w:r>
      <w:bookmarkEnd w:id="0"/>
      <w:bookmarkEnd w:id="1"/>
    </w:p>
    <w:p>
      <w:pPr>
        <w:pStyle w:val="43"/>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微软雅黑" w:hAnsi="微软雅黑" w:eastAsia="微软雅黑" w:cstheme="minorBidi"/>
          <w:bCs w:val="0"/>
          <w:color w:val="auto"/>
          <w:kern w:val="0"/>
          <w:sz w:val="21"/>
          <w:szCs w:val="21"/>
          <w:highlight w:val="none"/>
          <w:lang w:val="en-US" w:eastAsia="zh-CN" w:bidi="ar-SA"/>
        </w:rPr>
      </w:pPr>
      <w:r>
        <w:rPr>
          <w:rFonts w:hint="eastAsia" w:ascii="微软雅黑" w:hAnsi="微软雅黑" w:eastAsia="微软雅黑" w:cstheme="minorBidi"/>
          <w:bCs w:val="0"/>
          <w:color w:val="auto"/>
          <w:kern w:val="0"/>
          <w:sz w:val="21"/>
          <w:szCs w:val="21"/>
          <w:highlight w:val="none"/>
          <w:lang w:val="en-US" w:eastAsia="zh-CN" w:bidi="ar-SA"/>
        </w:rPr>
        <w:t>随着公司品牌战略的持续发力，自主检测核心能力建设工作作为保障公司产品质量的基础，其重要性也逐渐凸显。《工程技术公司质量管理提升三年行动计划方案（2025版）》以“1234”为工作思路，拟定8个重点专项提升工作方向，其中“质检和实验室能力”“技术升级和创新”纳入到其中，为进一步提高自主检测能力，提升检测效率，同时为提升产品全过程控制能力，严肃原料入库质量把关，提升产品本质质量控制，减少产品检测受检测条件、性能评价条件不足等影响，需要不断开展新的检测指标与方法的研究，同时在开展自主化检测的基础上，将部分工作量较大的检测项目，如pH值测定等，通过自动化的检测仪器投用，能较大幅度地提升检测效率，降低人工投入成本。</w:t>
      </w:r>
    </w:p>
    <w:p>
      <w:pPr>
        <w:pStyle w:val="43"/>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微软雅黑" w:hAnsi="微软雅黑" w:eastAsia="微软雅黑" w:cstheme="minorBidi"/>
          <w:bCs w:val="0"/>
          <w:color w:val="auto"/>
          <w:kern w:val="0"/>
          <w:sz w:val="21"/>
          <w:szCs w:val="21"/>
          <w:highlight w:val="none"/>
          <w:lang w:val="en-US" w:eastAsia="zh-CN" w:bidi="ar-SA"/>
        </w:rPr>
      </w:pPr>
      <w:r>
        <w:rPr>
          <w:rFonts w:hint="eastAsia" w:ascii="微软雅黑" w:hAnsi="微软雅黑" w:eastAsia="微软雅黑" w:cstheme="minorBidi"/>
          <w:bCs w:val="0"/>
          <w:color w:val="auto"/>
          <w:kern w:val="0"/>
          <w:sz w:val="21"/>
          <w:szCs w:val="21"/>
          <w:highlight w:val="none"/>
          <w:lang w:val="en-US" w:eastAsia="zh-CN" w:bidi="ar-SA"/>
        </w:rPr>
        <w:t>本技术要求描述了中海油能源发展股份有限公司工程技术分公司质量控制中心对超高效液相色谱仪等7台设备技术规格等方面的最低要求，买方在投标及后续质量保障工作中应严格遵循。</w:t>
      </w:r>
    </w:p>
    <w:p>
      <w:pPr>
        <w:pStyle w:val="43"/>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微软雅黑" w:hAnsi="微软雅黑" w:eastAsia="微软雅黑" w:cstheme="minorBidi"/>
          <w:bCs w:val="0"/>
          <w:color w:val="auto"/>
          <w:kern w:val="0"/>
          <w:sz w:val="21"/>
          <w:szCs w:val="21"/>
          <w:highlight w:val="yellow"/>
          <w:lang w:val="en-US" w:eastAsia="zh-CN" w:bidi="ar-SA"/>
        </w:rPr>
      </w:pPr>
      <w:r>
        <w:rPr>
          <w:rFonts w:hint="eastAsia" w:ascii="微软雅黑" w:hAnsi="微软雅黑" w:eastAsia="微软雅黑" w:cstheme="minorBidi"/>
          <w:bCs w:val="0"/>
          <w:color w:val="auto"/>
          <w:kern w:val="0"/>
          <w:sz w:val="21"/>
          <w:szCs w:val="21"/>
          <w:highlight w:val="yellow"/>
          <w:lang w:val="en-US" w:eastAsia="zh-CN" w:bidi="ar-SA"/>
        </w:rPr>
        <w:t>标准应用情况概述：JJF 2099-2024《光学接触角测量仪校准规范》、</w:t>
      </w:r>
      <w:r>
        <w:rPr>
          <w:rFonts w:hint="eastAsia" w:ascii="微软雅黑" w:hAnsi="微软雅黑" w:eastAsia="微软雅黑"/>
          <w:color w:val="auto"/>
          <w:highlight w:val="yellow"/>
          <w:lang w:val="en-US" w:eastAsia="zh-CN"/>
        </w:rPr>
        <w:t>JJF 1030-2010《恒温槽技术性能测试规范》</w:t>
      </w:r>
      <w:r>
        <w:rPr>
          <w:rFonts w:hint="eastAsia" w:ascii="微软雅黑" w:hAnsi="微软雅黑" w:eastAsia="微软雅黑" w:cstheme="minorBidi"/>
          <w:bCs w:val="0"/>
          <w:color w:val="auto"/>
          <w:kern w:val="0"/>
          <w:sz w:val="21"/>
          <w:szCs w:val="21"/>
          <w:highlight w:val="yellow"/>
          <w:lang w:val="en-US" w:eastAsia="zh-CN" w:bidi="ar-SA"/>
        </w:rPr>
        <w:t>、JJG 814-2015《自动电位滴定仪检定规程》、</w:t>
      </w:r>
      <w:r>
        <w:rPr>
          <w:rFonts w:hint="eastAsia" w:ascii="微软雅黑" w:hAnsi="微软雅黑" w:eastAsia="微软雅黑"/>
          <w:color w:val="auto"/>
          <w:highlight w:val="yellow"/>
          <w:lang w:val="en-US" w:eastAsia="zh-CN"/>
        </w:rPr>
        <w:t>JJG119-2005《实验室pH（酸度）计》</w:t>
      </w:r>
      <w:r>
        <w:rPr>
          <w:rFonts w:hint="eastAsia" w:ascii="微软雅黑" w:hAnsi="微软雅黑" w:eastAsia="微软雅黑" w:cstheme="minorBidi"/>
          <w:bCs w:val="0"/>
          <w:color w:val="auto"/>
          <w:kern w:val="0"/>
          <w:sz w:val="21"/>
          <w:szCs w:val="21"/>
          <w:highlight w:val="yellow"/>
          <w:lang w:val="en-US" w:eastAsia="zh-CN" w:bidi="ar-SA"/>
        </w:rPr>
        <w:t>相关条款，为部分应用，补充/修改主要内容是：供货要求等技术要求，完善技术要求，并根据项目要求补充应提交的技术文件。</w:t>
      </w:r>
    </w:p>
    <w:p>
      <w:pPr>
        <w:rPr>
          <w:rFonts w:hint="eastAsia"/>
          <w:color w:val="auto"/>
          <w:highlight w:val="none"/>
          <w:lang w:val="en-US" w:eastAsia="zh-CN"/>
        </w:rPr>
      </w:pPr>
    </w:p>
    <w:p>
      <w:pPr>
        <w:pStyle w:val="32"/>
        <w:numPr>
          <w:ilvl w:val="0"/>
          <w:numId w:val="2"/>
        </w:numPr>
        <w:spacing w:before="120" w:after="120"/>
        <w:outlineLvl w:val="0"/>
        <w:rPr>
          <w:rFonts w:ascii="微软雅黑" w:hAnsi="微软雅黑" w:eastAsia="微软雅黑" w:cs="Times New Roman"/>
          <w:bCs/>
          <w:color w:val="auto"/>
          <w:sz w:val="32"/>
          <w:szCs w:val="32"/>
          <w:highlight w:val="none"/>
        </w:rPr>
      </w:pPr>
      <w:bookmarkStart w:id="2" w:name="_Toc13248928"/>
      <w:bookmarkStart w:id="3" w:name="_Toc13249325"/>
      <w:r>
        <w:rPr>
          <w:rFonts w:ascii="微软雅黑" w:hAnsi="微软雅黑" w:eastAsia="微软雅黑" w:cs="Times New Roman"/>
          <w:bCs/>
          <w:color w:val="auto"/>
          <w:sz w:val="32"/>
          <w:szCs w:val="32"/>
          <w:highlight w:val="none"/>
        </w:rPr>
        <w:t>需求一览表</w:t>
      </w:r>
    </w:p>
    <w:p>
      <w:pPr>
        <w:pStyle w:val="32"/>
        <w:numPr>
          <w:ilvl w:val="0"/>
          <w:numId w:val="0"/>
        </w:numPr>
        <w:spacing w:before="120" w:after="120"/>
        <w:outlineLvl w:val="0"/>
        <w:rPr>
          <w:rFonts w:ascii="微软雅黑" w:hAnsi="微软雅黑" w:eastAsia="微软雅黑" w:cs="Times New Roman"/>
          <w:bCs/>
          <w:color w:val="auto"/>
          <w:sz w:val="32"/>
          <w:szCs w:val="32"/>
          <w:highlight w:val="none"/>
        </w:rPr>
      </w:pPr>
    </w:p>
    <w:bookmarkEnd w:id="2"/>
    <w:bookmarkEnd w:id="3"/>
    <w:tbl>
      <w:tblPr>
        <w:tblStyle w:val="22"/>
        <w:tblW w:w="10556" w:type="dxa"/>
        <w:tblInd w:w="-1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35"/>
        <w:gridCol w:w="1250"/>
        <w:gridCol w:w="2657"/>
        <w:gridCol w:w="766"/>
        <w:gridCol w:w="789"/>
        <w:gridCol w:w="651"/>
        <w:gridCol w:w="200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53" w:type="dxa"/>
            <w:vAlign w:val="center"/>
          </w:tcPr>
          <w:p>
            <w:pPr>
              <w:pStyle w:val="7"/>
              <w:adjustRightInd w:val="0"/>
              <w:snapToGrid w:val="0"/>
              <w:spacing w:line="240" w:lineRule="auto"/>
              <w:jc w:val="center"/>
              <w:rPr>
                <w:rFonts w:ascii="微软雅黑" w:hAnsi="微软雅黑" w:eastAsia="微软雅黑"/>
                <w:color w:val="auto"/>
                <w:spacing w:val="0"/>
                <w:sz w:val="21"/>
                <w:szCs w:val="21"/>
                <w:highlight w:val="none"/>
              </w:rPr>
            </w:pPr>
            <w:bookmarkStart w:id="4" w:name="_Toc13249326"/>
            <w:bookmarkStart w:id="5" w:name="_Toc13248929"/>
            <w:r>
              <w:rPr>
                <w:rFonts w:ascii="微软雅黑" w:hAnsi="微软雅黑" w:eastAsia="微软雅黑"/>
                <w:color w:val="auto"/>
                <w:spacing w:val="0"/>
                <w:sz w:val="21"/>
                <w:szCs w:val="21"/>
                <w:highlight w:val="none"/>
              </w:rPr>
              <w:t>序号</w:t>
            </w:r>
          </w:p>
        </w:tc>
        <w:tc>
          <w:tcPr>
            <w:tcW w:w="1135"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rPr>
            </w:pPr>
            <w:r>
              <w:rPr>
                <w:rFonts w:hint="eastAsia" w:ascii="微软雅黑" w:hAnsi="微软雅黑" w:eastAsia="微软雅黑" w:cs="微软雅黑"/>
                <w:color w:val="auto"/>
                <w:spacing w:val="0"/>
                <w:sz w:val="18"/>
                <w:szCs w:val="18"/>
                <w:highlight w:val="none"/>
                <w:lang w:val="en-US" w:eastAsia="zh-CN"/>
              </w:rPr>
              <w:t>物资编码</w:t>
            </w:r>
          </w:p>
        </w:tc>
        <w:tc>
          <w:tcPr>
            <w:tcW w:w="1250"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rPr>
            </w:pPr>
            <w:r>
              <w:rPr>
                <w:rFonts w:hint="eastAsia" w:ascii="微软雅黑" w:hAnsi="微软雅黑" w:eastAsia="微软雅黑"/>
                <w:color w:val="auto"/>
                <w:spacing w:val="0"/>
                <w:sz w:val="21"/>
                <w:szCs w:val="21"/>
                <w:highlight w:val="none"/>
              </w:rPr>
              <w:t>物资</w:t>
            </w:r>
          </w:p>
          <w:p>
            <w:pPr>
              <w:pStyle w:val="7"/>
              <w:adjustRightInd w:val="0"/>
              <w:snapToGrid w:val="0"/>
              <w:spacing w:line="240" w:lineRule="auto"/>
              <w:jc w:val="center"/>
              <w:rPr>
                <w:rFonts w:ascii="微软雅黑" w:hAnsi="微软雅黑" w:eastAsia="微软雅黑"/>
                <w:color w:val="auto"/>
                <w:spacing w:val="0"/>
                <w:sz w:val="21"/>
                <w:szCs w:val="21"/>
                <w:highlight w:val="none"/>
              </w:rPr>
            </w:pPr>
            <w:r>
              <w:rPr>
                <w:rFonts w:ascii="微软雅黑" w:hAnsi="微软雅黑" w:eastAsia="微软雅黑"/>
                <w:color w:val="auto"/>
                <w:spacing w:val="0"/>
                <w:sz w:val="21"/>
                <w:szCs w:val="21"/>
                <w:highlight w:val="none"/>
              </w:rPr>
              <w:t>名称</w:t>
            </w:r>
          </w:p>
        </w:tc>
        <w:tc>
          <w:tcPr>
            <w:tcW w:w="2657" w:type="dxa"/>
            <w:vAlign w:val="center"/>
          </w:tcPr>
          <w:p>
            <w:pPr>
              <w:pStyle w:val="7"/>
              <w:adjustRightInd w:val="0"/>
              <w:snapToGrid w:val="0"/>
              <w:spacing w:line="240" w:lineRule="auto"/>
              <w:jc w:val="center"/>
              <w:rPr>
                <w:rFonts w:ascii="微软雅黑" w:hAnsi="微软雅黑" w:eastAsia="微软雅黑"/>
                <w:color w:val="auto"/>
                <w:spacing w:val="0"/>
                <w:sz w:val="21"/>
                <w:szCs w:val="21"/>
                <w:highlight w:val="none"/>
              </w:rPr>
            </w:pPr>
            <w:r>
              <w:rPr>
                <w:rFonts w:ascii="微软雅黑" w:hAnsi="微软雅黑" w:eastAsia="微软雅黑"/>
                <w:color w:val="auto"/>
                <w:spacing w:val="0"/>
                <w:sz w:val="21"/>
                <w:szCs w:val="21"/>
                <w:highlight w:val="none"/>
              </w:rPr>
              <w:t>规格型号</w:t>
            </w:r>
          </w:p>
        </w:tc>
        <w:tc>
          <w:tcPr>
            <w:tcW w:w="766" w:type="dxa"/>
            <w:vAlign w:val="center"/>
          </w:tcPr>
          <w:p>
            <w:pPr>
              <w:pStyle w:val="7"/>
              <w:adjustRightInd w:val="0"/>
              <w:snapToGrid w:val="0"/>
              <w:spacing w:line="240" w:lineRule="auto"/>
              <w:jc w:val="center"/>
              <w:rPr>
                <w:rFonts w:hint="default"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中文单位</w:t>
            </w:r>
          </w:p>
        </w:tc>
        <w:tc>
          <w:tcPr>
            <w:tcW w:w="789" w:type="dxa"/>
            <w:vAlign w:val="center"/>
          </w:tcPr>
          <w:p>
            <w:pPr>
              <w:pStyle w:val="7"/>
              <w:adjustRightInd w:val="0"/>
              <w:snapToGrid w:val="0"/>
              <w:spacing w:line="240" w:lineRule="auto"/>
              <w:jc w:val="center"/>
              <w:rPr>
                <w:rFonts w:hint="default"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基本单位</w:t>
            </w:r>
          </w:p>
        </w:tc>
        <w:tc>
          <w:tcPr>
            <w:tcW w:w="651" w:type="dxa"/>
            <w:vAlign w:val="center"/>
          </w:tcPr>
          <w:p>
            <w:pPr>
              <w:pStyle w:val="7"/>
              <w:adjustRightInd w:val="0"/>
              <w:snapToGrid w:val="0"/>
              <w:spacing w:line="240" w:lineRule="auto"/>
              <w:jc w:val="center"/>
              <w:rPr>
                <w:rFonts w:ascii="微软雅黑" w:hAnsi="微软雅黑" w:eastAsia="微软雅黑"/>
                <w:color w:val="auto"/>
                <w:spacing w:val="0"/>
                <w:sz w:val="21"/>
                <w:szCs w:val="21"/>
                <w:highlight w:val="none"/>
              </w:rPr>
            </w:pPr>
            <w:r>
              <w:rPr>
                <w:rFonts w:ascii="微软雅黑" w:hAnsi="微软雅黑" w:eastAsia="微软雅黑"/>
                <w:color w:val="auto"/>
                <w:spacing w:val="0"/>
                <w:sz w:val="21"/>
                <w:szCs w:val="21"/>
                <w:highlight w:val="none"/>
              </w:rPr>
              <w:t>数量</w:t>
            </w:r>
          </w:p>
        </w:tc>
        <w:tc>
          <w:tcPr>
            <w:tcW w:w="2000" w:type="dxa"/>
            <w:vAlign w:val="center"/>
          </w:tcPr>
          <w:p>
            <w:pPr>
              <w:pStyle w:val="7"/>
              <w:adjustRightInd w:val="0"/>
              <w:snapToGrid w:val="0"/>
              <w:spacing w:line="240" w:lineRule="auto"/>
              <w:jc w:val="center"/>
              <w:rPr>
                <w:rFonts w:ascii="微软雅黑" w:hAnsi="微软雅黑" w:eastAsia="微软雅黑"/>
                <w:color w:val="auto"/>
                <w:spacing w:val="0"/>
                <w:sz w:val="21"/>
                <w:szCs w:val="21"/>
                <w:highlight w:val="none"/>
              </w:rPr>
            </w:pPr>
            <w:r>
              <w:rPr>
                <w:rFonts w:ascii="微软雅黑" w:hAnsi="微软雅黑" w:eastAsia="微软雅黑"/>
                <w:color w:val="auto"/>
                <w:spacing w:val="0"/>
                <w:sz w:val="21"/>
                <w:szCs w:val="21"/>
                <w:highlight w:val="none"/>
              </w:rPr>
              <w:t>交货地点</w:t>
            </w:r>
          </w:p>
        </w:tc>
        <w:tc>
          <w:tcPr>
            <w:tcW w:w="755" w:type="dxa"/>
            <w:vAlign w:val="center"/>
          </w:tcPr>
          <w:p>
            <w:pPr>
              <w:pStyle w:val="7"/>
              <w:adjustRightInd w:val="0"/>
              <w:snapToGrid w:val="0"/>
              <w:spacing w:line="240" w:lineRule="auto"/>
              <w:jc w:val="center"/>
              <w:rPr>
                <w:rFonts w:ascii="微软雅黑" w:hAnsi="微软雅黑" w:eastAsia="微软雅黑"/>
                <w:color w:val="auto"/>
                <w:spacing w:val="0"/>
                <w:sz w:val="21"/>
                <w:szCs w:val="21"/>
                <w:highlight w:val="none"/>
              </w:rPr>
            </w:pPr>
            <w:r>
              <w:rPr>
                <w:rFonts w:hint="eastAsia" w:ascii="微软雅黑" w:hAnsi="微软雅黑" w:eastAsia="微软雅黑"/>
                <w:color w:val="auto"/>
                <w:spacing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bookmarkStart w:id="6" w:name="OLE_LINK1" w:colFirst="1" w:colLast="1"/>
            <w:r>
              <w:rPr>
                <w:rFonts w:hint="eastAsia" w:ascii="微软雅黑" w:hAnsi="微软雅黑" w:eastAsia="微软雅黑"/>
                <w:color w:val="auto"/>
                <w:spacing w:val="0"/>
                <w:sz w:val="21"/>
                <w:szCs w:val="21"/>
                <w:highlight w:val="none"/>
                <w:lang w:val="en-US" w:eastAsia="zh-CN"/>
              </w:rPr>
              <w:t>1</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A402721</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超高效液相色谱仪</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default" w:ascii="微软雅黑" w:hAnsi="微软雅黑" w:eastAsia="微软雅黑" w:cstheme="minorBidi"/>
                <w:color w:val="auto"/>
                <w:spacing w:val="0"/>
                <w:kern w:val="0"/>
                <w:sz w:val="18"/>
                <w:szCs w:val="18"/>
                <w:highlight w:val="none"/>
                <w:lang w:val="en-US" w:eastAsia="zh-CN" w:bidi="ar-SA"/>
              </w:rPr>
              <w:t>超高效液相色谱仪\0.001～2.0mL/min\0.1\AC220V</w:t>
            </w:r>
          </w:p>
        </w:tc>
        <w:tc>
          <w:tcPr>
            <w:tcW w:w="766"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套</w:t>
            </w:r>
          </w:p>
        </w:tc>
        <w:tc>
          <w:tcPr>
            <w:tcW w:w="789"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SET</w:t>
            </w:r>
          </w:p>
        </w:tc>
        <w:tc>
          <w:tcPr>
            <w:tcW w:w="651"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1</w:t>
            </w:r>
          </w:p>
        </w:tc>
        <w:tc>
          <w:tcPr>
            <w:tcW w:w="200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天津市滨海新区南港工业区泰汇道6号（中海油（天津）油田化工有限公司）</w:t>
            </w:r>
          </w:p>
        </w:tc>
        <w:tc>
          <w:tcPr>
            <w:tcW w:w="75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2</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85200636</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接触角仪</w:t>
            </w:r>
          </w:p>
        </w:tc>
        <w:tc>
          <w:tcPr>
            <w:tcW w:w="2657" w:type="dxa"/>
            <w:vAlign w:val="center"/>
          </w:tcPr>
          <w:p>
            <w:pPr>
              <w:pStyle w:val="7"/>
              <w:adjustRightInd w:val="0"/>
              <w:snapToGrid w:val="0"/>
              <w:spacing w:line="240" w:lineRule="auto"/>
              <w:jc w:val="center"/>
              <w:rPr>
                <w:rFonts w:hint="eastAsia"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接触角仪\0.01～2000mN/m\0.01\AC220V</w:t>
            </w:r>
          </w:p>
        </w:tc>
        <w:tc>
          <w:tcPr>
            <w:tcW w:w="766"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件</w:t>
            </w:r>
          </w:p>
        </w:tc>
        <w:tc>
          <w:tcPr>
            <w:tcW w:w="789"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EA</w:t>
            </w:r>
          </w:p>
        </w:tc>
        <w:tc>
          <w:tcPr>
            <w:tcW w:w="651" w:type="dxa"/>
            <w:vAlign w:val="center"/>
          </w:tcPr>
          <w:p>
            <w:pPr>
              <w:pStyle w:val="7"/>
              <w:adjustRightInd w:val="0"/>
              <w:snapToGrid w:val="0"/>
              <w:spacing w:line="240" w:lineRule="auto"/>
              <w:jc w:val="center"/>
              <w:rPr>
                <w:rFonts w:hint="eastAsia"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1</w:t>
            </w:r>
          </w:p>
        </w:tc>
        <w:tc>
          <w:tcPr>
            <w:tcW w:w="2000" w:type="dxa"/>
            <w:vAlign w:val="center"/>
          </w:tcPr>
          <w:p>
            <w:pPr>
              <w:pStyle w:val="7"/>
              <w:adjustRightInd w:val="0"/>
              <w:snapToGrid w:val="0"/>
              <w:spacing w:line="240" w:lineRule="auto"/>
              <w:jc w:val="center"/>
              <w:rPr>
                <w:rFonts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天津市滨海新区南港工业区泰汇道6号（中海油（天津）油田化工有限公司）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3</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A402599</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品氏粘度计恒温水浴槽</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 xml:space="preserve"> 品氏粘度计恒温水浴槽\ø30cm×52cm</w:t>
            </w:r>
          </w:p>
        </w:tc>
        <w:tc>
          <w:tcPr>
            <w:tcW w:w="766"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件</w:t>
            </w:r>
          </w:p>
        </w:tc>
        <w:tc>
          <w:tcPr>
            <w:tcW w:w="789"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EA</w:t>
            </w:r>
          </w:p>
        </w:tc>
        <w:tc>
          <w:tcPr>
            <w:tcW w:w="651"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1</w:t>
            </w:r>
          </w:p>
        </w:tc>
        <w:tc>
          <w:tcPr>
            <w:tcW w:w="200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天津市滨海新区南港工业区泰汇道6号（中海油（天津）油田化工有限公司）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4</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85185555</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全自动馏程测定仪</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default" w:ascii="微软雅黑" w:hAnsi="微软雅黑" w:eastAsia="微软雅黑" w:cstheme="minorBidi"/>
                <w:color w:val="auto"/>
                <w:spacing w:val="0"/>
                <w:kern w:val="0"/>
                <w:sz w:val="18"/>
                <w:szCs w:val="18"/>
                <w:highlight w:val="none"/>
                <w:lang w:val="en-US" w:eastAsia="zh-CN" w:bidi="ar-SA"/>
              </w:rPr>
              <w:t>全自动馏程测定仪\20～400℃\0.1\AC220V</w:t>
            </w:r>
          </w:p>
        </w:tc>
        <w:tc>
          <w:tcPr>
            <w:tcW w:w="766"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件</w:t>
            </w:r>
          </w:p>
        </w:tc>
        <w:tc>
          <w:tcPr>
            <w:tcW w:w="789" w:type="dxa"/>
            <w:vAlign w:val="center"/>
          </w:tcPr>
          <w:p>
            <w:pPr>
              <w:pStyle w:val="7"/>
              <w:adjustRightInd w:val="0"/>
              <w:snapToGrid w:val="0"/>
              <w:spacing w:line="240" w:lineRule="auto"/>
              <w:jc w:val="center"/>
              <w:rPr>
                <w:rFonts w:hint="default" w:ascii="微软雅黑" w:hAnsi="微软雅黑" w:eastAsia="微软雅黑"/>
                <w:color w:val="auto"/>
                <w:spacing w:val="0"/>
                <w:sz w:val="18"/>
                <w:szCs w:val="18"/>
                <w:highlight w:val="none"/>
                <w:lang w:val="en-US" w:eastAsia="zh-CN"/>
              </w:rPr>
            </w:pPr>
            <w:r>
              <w:rPr>
                <w:rFonts w:hint="eastAsia" w:ascii="微软雅黑" w:hAnsi="微软雅黑" w:eastAsia="微软雅黑"/>
                <w:color w:val="auto"/>
                <w:spacing w:val="0"/>
                <w:sz w:val="18"/>
                <w:szCs w:val="18"/>
                <w:highlight w:val="none"/>
                <w:lang w:val="en-US" w:eastAsia="zh-CN"/>
              </w:rPr>
              <w:t>EA</w:t>
            </w:r>
          </w:p>
        </w:tc>
        <w:tc>
          <w:tcPr>
            <w:tcW w:w="651" w:type="dxa"/>
            <w:vAlign w:val="center"/>
          </w:tcPr>
          <w:p>
            <w:pPr>
              <w:pStyle w:val="7"/>
              <w:adjustRightInd w:val="0"/>
              <w:snapToGrid w:val="0"/>
              <w:spacing w:line="240" w:lineRule="auto"/>
              <w:jc w:val="center"/>
              <w:rPr>
                <w:rFonts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eastAsia="zh-CN"/>
              </w:rPr>
              <w:t>1</w:t>
            </w:r>
          </w:p>
        </w:tc>
        <w:tc>
          <w:tcPr>
            <w:tcW w:w="2000" w:type="dxa"/>
            <w:vAlign w:val="center"/>
          </w:tcPr>
          <w:p>
            <w:pPr>
              <w:pStyle w:val="7"/>
              <w:adjustRightInd w:val="0"/>
              <w:snapToGrid w:val="0"/>
              <w:spacing w:line="240" w:lineRule="auto"/>
              <w:jc w:val="center"/>
              <w:rPr>
                <w:rFonts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广东省惠州市大亚湾石化区滨海八路（中海油能源发展股份有限公司工程技术惠州分公司）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5</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A402722</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羟基测定仪</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default" w:ascii="微软雅黑" w:hAnsi="微软雅黑" w:eastAsia="微软雅黑" w:cstheme="minorBidi"/>
                <w:color w:val="auto"/>
                <w:spacing w:val="0"/>
                <w:kern w:val="0"/>
                <w:sz w:val="18"/>
                <w:szCs w:val="18"/>
                <w:highlight w:val="none"/>
                <w:lang w:val="en-US" w:eastAsia="zh-CN" w:bidi="ar-SA"/>
              </w:rPr>
              <w:t>羟基测定仪\4000～10000</w:t>
            </w:r>
            <w:r>
              <w:rPr>
                <w:rFonts w:hint="eastAsia" w:ascii="微软雅黑" w:hAnsi="微软雅黑" w:eastAsia="微软雅黑" w:cstheme="minorBidi"/>
                <w:color w:val="auto"/>
                <w:spacing w:val="0"/>
                <w:kern w:val="0"/>
                <w:sz w:val="18"/>
                <w:szCs w:val="18"/>
                <w:highlight w:val="none"/>
                <w:lang w:val="en-US" w:eastAsia="zh-CN" w:bidi="ar-SA"/>
              </w:rPr>
              <w:t>c</w:t>
            </w:r>
            <w:r>
              <w:rPr>
                <w:rFonts w:hint="default" w:ascii="微软雅黑" w:hAnsi="微软雅黑" w:eastAsia="微软雅黑" w:cstheme="minorBidi"/>
                <w:color w:val="auto"/>
                <w:spacing w:val="0"/>
                <w:kern w:val="0"/>
                <w:sz w:val="18"/>
                <w:szCs w:val="18"/>
                <w:highlight w:val="none"/>
                <w:lang w:val="en-US" w:eastAsia="zh-CN" w:bidi="ar-SA"/>
              </w:rPr>
              <w:t>m</w:t>
            </w:r>
            <w:r>
              <w:rPr>
                <w:rFonts w:hint="eastAsia" w:ascii="微软雅黑" w:hAnsi="微软雅黑" w:eastAsia="微软雅黑" w:cstheme="minorBidi"/>
                <w:color w:val="auto"/>
                <w:spacing w:val="0"/>
                <w:kern w:val="0"/>
                <w:sz w:val="18"/>
                <w:szCs w:val="18"/>
                <w:highlight w:val="none"/>
                <w:vertAlign w:val="superscript"/>
                <w:lang w:val="en-US" w:eastAsia="zh-CN" w:bidi="ar-SA"/>
              </w:rPr>
              <w:t>-1</w:t>
            </w:r>
            <w:r>
              <w:rPr>
                <w:rFonts w:hint="default" w:ascii="微软雅黑" w:hAnsi="微软雅黑" w:eastAsia="微软雅黑" w:cstheme="minorBidi"/>
                <w:color w:val="auto"/>
                <w:spacing w:val="0"/>
                <w:kern w:val="0"/>
                <w:sz w:val="18"/>
                <w:szCs w:val="18"/>
                <w:highlight w:val="none"/>
                <w:lang w:val="en-US" w:eastAsia="zh-CN" w:bidi="ar-SA"/>
              </w:rPr>
              <w:t>\0.1\AC220V</w:t>
            </w:r>
          </w:p>
        </w:tc>
        <w:tc>
          <w:tcPr>
            <w:tcW w:w="766"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套</w:t>
            </w:r>
          </w:p>
        </w:tc>
        <w:tc>
          <w:tcPr>
            <w:tcW w:w="789"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SET</w:t>
            </w:r>
          </w:p>
        </w:tc>
        <w:tc>
          <w:tcPr>
            <w:tcW w:w="651"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1</w:t>
            </w:r>
          </w:p>
        </w:tc>
        <w:tc>
          <w:tcPr>
            <w:tcW w:w="200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广东省惠州市大亚湾石化区滨海八路（中海油能源发展股份有限公司工程技术惠州分公司）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6</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85185591</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全自动电位滴定仪</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default" w:ascii="微软雅黑" w:hAnsi="微软雅黑" w:eastAsia="微软雅黑" w:cstheme="minorBidi"/>
                <w:color w:val="auto"/>
                <w:spacing w:val="0"/>
                <w:kern w:val="0"/>
                <w:sz w:val="18"/>
                <w:szCs w:val="18"/>
                <w:highlight w:val="none"/>
                <w:lang w:val="en-US" w:eastAsia="zh-CN" w:bidi="ar-SA"/>
              </w:rPr>
              <w:t>全自动电位滴定仪\-1200～1200mV\0.05\AC220V</w:t>
            </w:r>
          </w:p>
        </w:tc>
        <w:tc>
          <w:tcPr>
            <w:tcW w:w="766"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套</w:t>
            </w:r>
          </w:p>
        </w:tc>
        <w:tc>
          <w:tcPr>
            <w:tcW w:w="789"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SET</w:t>
            </w:r>
          </w:p>
        </w:tc>
        <w:tc>
          <w:tcPr>
            <w:tcW w:w="651"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eastAsia="zh-CN"/>
              </w:rPr>
              <w:t>1</w:t>
            </w:r>
          </w:p>
        </w:tc>
        <w:tc>
          <w:tcPr>
            <w:tcW w:w="200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天津市滨海新区南港工业区泰汇道6号（中海油（天津）油田化工有限公司）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53" w:type="dxa"/>
            <w:vAlign w:val="center"/>
          </w:tcPr>
          <w:p>
            <w:pPr>
              <w:pStyle w:val="7"/>
              <w:adjustRightInd w:val="0"/>
              <w:snapToGrid w:val="0"/>
              <w:spacing w:line="240" w:lineRule="auto"/>
              <w:jc w:val="center"/>
              <w:rPr>
                <w:rFonts w:hint="eastAsia" w:ascii="微软雅黑" w:hAnsi="微软雅黑" w:eastAsia="微软雅黑"/>
                <w:color w:val="auto"/>
                <w:spacing w:val="0"/>
                <w:sz w:val="21"/>
                <w:szCs w:val="21"/>
                <w:highlight w:val="none"/>
                <w:lang w:val="en-US" w:eastAsia="zh-CN"/>
              </w:rPr>
            </w:pPr>
            <w:r>
              <w:rPr>
                <w:rFonts w:hint="eastAsia" w:ascii="微软雅黑" w:hAnsi="微软雅黑" w:eastAsia="微软雅黑"/>
                <w:color w:val="auto"/>
                <w:spacing w:val="0"/>
                <w:sz w:val="21"/>
                <w:szCs w:val="21"/>
                <w:highlight w:val="none"/>
                <w:lang w:val="en-US" w:eastAsia="zh-CN"/>
              </w:rPr>
              <w:t>7</w:t>
            </w:r>
          </w:p>
        </w:tc>
        <w:tc>
          <w:tcPr>
            <w:tcW w:w="1135"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stheme="minorBidi"/>
                <w:color w:val="auto"/>
                <w:spacing w:val="0"/>
                <w:kern w:val="0"/>
                <w:sz w:val="18"/>
                <w:szCs w:val="18"/>
                <w:highlight w:val="none"/>
                <w:lang w:val="en-US" w:eastAsia="zh-CN" w:bidi="ar-SA"/>
              </w:rPr>
              <w:t>85183141</w:t>
            </w:r>
          </w:p>
        </w:tc>
        <w:tc>
          <w:tcPr>
            <w:tcW w:w="125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全自动pH检测设备</w:t>
            </w:r>
          </w:p>
        </w:tc>
        <w:tc>
          <w:tcPr>
            <w:tcW w:w="2657" w:type="dxa"/>
            <w:vAlign w:val="center"/>
          </w:tcPr>
          <w:p>
            <w:pPr>
              <w:pStyle w:val="7"/>
              <w:adjustRightInd w:val="0"/>
              <w:snapToGrid w:val="0"/>
              <w:spacing w:line="240" w:lineRule="auto"/>
              <w:jc w:val="center"/>
              <w:rPr>
                <w:rFonts w:hint="default" w:ascii="微软雅黑" w:hAnsi="微软雅黑" w:eastAsia="微软雅黑" w:cstheme="minorBidi"/>
                <w:color w:val="auto"/>
                <w:spacing w:val="0"/>
                <w:kern w:val="0"/>
                <w:sz w:val="18"/>
                <w:szCs w:val="18"/>
                <w:highlight w:val="none"/>
                <w:lang w:val="en-US" w:eastAsia="zh-CN" w:bidi="ar-SA"/>
              </w:rPr>
            </w:pPr>
            <w:r>
              <w:rPr>
                <w:rFonts w:hint="default" w:ascii="微软雅黑" w:hAnsi="微软雅黑" w:eastAsia="微软雅黑" w:cstheme="minorBidi"/>
                <w:color w:val="auto"/>
                <w:spacing w:val="0"/>
                <w:kern w:val="0"/>
                <w:sz w:val="18"/>
                <w:szCs w:val="18"/>
                <w:highlight w:val="none"/>
                <w:lang w:val="en-US" w:eastAsia="zh-CN" w:bidi="ar-SA"/>
              </w:rPr>
              <w:t>全自动pH检测设备\0～14pH\0.01\AC220V</w:t>
            </w:r>
          </w:p>
        </w:tc>
        <w:tc>
          <w:tcPr>
            <w:tcW w:w="766"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套</w:t>
            </w:r>
          </w:p>
        </w:tc>
        <w:tc>
          <w:tcPr>
            <w:tcW w:w="789"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SET</w:t>
            </w:r>
          </w:p>
        </w:tc>
        <w:tc>
          <w:tcPr>
            <w:tcW w:w="651"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1</w:t>
            </w:r>
          </w:p>
        </w:tc>
        <w:tc>
          <w:tcPr>
            <w:tcW w:w="2000" w:type="dxa"/>
            <w:vAlign w:val="center"/>
          </w:tcPr>
          <w:p>
            <w:pPr>
              <w:pStyle w:val="7"/>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r>
              <w:rPr>
                <w:rFonts w:hint="eastAsia" w:ascii="微软雅黑" w:hAnsi="微软雅黑" w:eastAsia="微软雅黑"/>
                <w:color w:val="auto"/>
                <w:spacing w:val="0"/>
                <w:sz w:val="18"/>
                <w:szCs w:val="18"/>
                <w:highlight w:val="none"/>
                <w:lang w:val="en-US" w:eastAsia="zh-CN"/>
              </w:rPr>
              <w:t>天津市滨海新区南港工业区泰汇道6号（中海油（天津）油田化工有限公司）</w:t>
            </w:r>
          </w:p>
        </w:tc>
        <w:tc>
          <w:tcPr>
            <w:tcW w:w="755" w:type="dxa"/>
            <w:vAlign w:val="center"/>
          </w:tcPr>
          <w:p>
            <w:pPr>
              <w:adjustRightInd w:val="0"/>
              <w:snapToGrid w:val="0"/>
              <w:spacing w:line="240" w:lineRule="auto"/>
              <w:jc w:val="center"/>
              <w:rPr>
                <w:rFonts w:hint="eastAsia" w:ascii="微软雅黑" w:hAnsi="微软雅黑" w:eastAsia="微软雅黑" w:cstheme="minorBidi"/>
                <w:color w:val="auto"/>
                <w:spacing w:val="0"/>
                <w:kern w:val="0"/>
                <w:sz w:val="18"/>
                <w:szCs w:val="18"/>
                <w:highlight w:val="none"/>
                <w:lang w:val="en-US" w:eastAsia="zh-CN" w:bidi="ar-SA"/>
              </w:rPr>
            </w:pPr>
          </w:p>
        </w:tc>
      </w:tr>
      <w:bookmarkEnd w:id="6"/>
    </w:tbl>
    <w:p>
      <w:pPr>
        <w:pStyle w:val="32"/>
        <w:spacing w:before="120" w:after="120" w:line="360" w:lineRule="auto"/>
        <w:ind w:firstLine="210" w:firstLineChars="100"/>
        <w:outlineLvl w:val="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备注：</w:t>
      </w:r>
    </w:p>
    <w:p>
      <w:pPr>
        <w:pStyle w:val="32"/>
        <w:spacing w:before="120" w:after="120" w:line="360" w:lineRule="auto"/>
        <w:ind w:firstLine="210" w:firstLineChars="100"/>
        <w:outlineLvl w:val="0"/>
        <w:rPr>
          <w:rFonts w:hint="eastAsia" w:ascii="微软雅黑" w:hAnsi="微软雅黑" w:eastAsia="微软雅黑" w:cs="微软雅黑"/>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★1、交货期：合同签订后，接到买方正式通知之日起3个自然月内。</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10" w:firstLineChars="100"/>
        <w:textAlignment w:val="auto"/>
        <w:rPr>
          <w:rFonts w:hint="eastAsia" w:ascii="微软雅黑" w:hAnsi="微软雅黑" w:eastAsia="微软雅黑" w:cs="微软雅黑"/>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2、交货地点：天津市滨海新区南港工业区泰汇道6号（中海油（天津）油田化工有限公司）、广东省惠州市大亚湾石化区滨海八路（中海油能源发展股份有限公司工程技术惠州分公司），具体以需求一览表中要求地点为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10" w:firstLineChars="100"/>
        <w:textAlignment w:val="auto"/>
        <w:rPr>
          <w:rFonts w:hint="eastAsia" w:ascii="Calibri" w:hAnsi="Calibri" w:eastAsia="宋体" w:cs="Times New Roman"/>
          <w:b w:val="0"/>
          <w:bCs w:val="0"/>
          <w:color w:val="auto"/>
          <w:kern w:val="0"/>
          <w:sz w:val="24"/>
          <w:szCs w:val="22"/>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3、以上所有设备均需具备法定计量校准资质的机构出具的证书。</w:t>
      </w:r>
    </w:p>
    <w:p>
      <w:pPr>
        <w:pStyle w:val="32"/>
        <w:keepNext w:val="0"/>
        <w:keepLines w:val="0"/>
        <w:pageBreakBefore w:val="0"/>
        <w:kinsoku/>
        <w:wordWrap/>
        <w:overflowPunct/>
        <w:topLinePunct w:val="0"/>
        <w:bidi w:val="0"/>
        <w:snapToGrid/>
        <w:spacing w:before="120" w:after="120" w:line="400" w:lineRule="exact"/>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三、执行标准/规范</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right="119" w:hanging="425" w:firstLineChars="0"/>
        <w:textAlignment w:val="auto"/>
        <w:rPr>
          <w:rFonts w:hint="default" w:ascii="微软雅黑" w:hAnsi="微软雅黑" w:eastAsia="微软雅黑"/>
          <w:color w:val="auto"/>
          <w:highlight w:val="yellow"/>
          <w:lang w:val="en-US" w:eastAsia="zh-CN"/>
        </w:rPr>
      </w:pPr>
      <w:r>
        <w:rPr>
          <w:rFonts w:hint="eastAsia" w:ascii="微软雅黑" w:hAnsi="微软雅黑" w:eastAsia="微软雅黑"/>
          <w:color w:val="auto"/>
          <w:highlight w:val="yellow"/>
          <w:lang w:val="en-US" w:eastAsia="zh-CN"/>
        </w:rPr>
        <w:t>接触角仪执行：JJF 2099-2024</w:t>
      </w:r>
      <w:r>
        <w:rPr>
          <w:rFonts w:hint="default" w:ascii="微软雅黑" w:hAnsi="微软雅黑" w:eastAsia="微软雅黑"/>
          <w:color w:val="auto"/>
          <w:highlight w:val="yellow"/>
          <w:lang w:val="en-US" w:eastAsia="zh-CN"/>
        </w:rPr>
        <w:t>《</w:t>
      </w:r>
      <w:r>
        <w:rPr>
          <w:rFonts w:hint="eastAsia" w:ascii="微软雅黑" w:hAnsi="微软雅黑" w:eastAsia="微软雅黑"/>
          <w:color w:val="auto"/>
          <w:highlight w:val="yellow"/>
          <w:lang w:val="en-US" w:eastAsia="zh-CN"/>
        </w:rPr>
        <w:t>光学接触角测量仪校准规范</w:t>
      </w:r>
      <w:r>
        <w:rPr>
          <w:rFonts w:hint="default" w:ascii="微软雅黑" w:hAnsi="微软雅黑" w:eastAsia="微软雅黑"/>
          <w:color w:val="auto"/>
          <w:highlight w:val="yellow"/>
          <w:lang w:val="en-US" w:eastAsia="zh-CN"/>
        </w:rPr>
        <w:t>》</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right="119" w:hanging="425" w:firstLineChars="0"/>
        <w:textAlignment w:val="auto"/>
        <w:rPr>
          <w:rFonts w:hint="eastAsia" w:ascii="微软雅黑" w:hAnsi="微软雅黑" w:eastAsia="微软雅黑"/>
          <w:color w:val="auto"/>
          <w:highlight w:val="yellow"/>
          <w:lang w:eastAsia="zh-CN"/>
        </w:rPr>
      </w:pPr>
      <w:r>
        <w:rPr>
          <w:rFonts w:hint="eastAsia" w:ascii="微软雅黑" w:hAnsi="微软雅黑" w:eastAsia="微软雅黑"/>
          <w:color w:val="auto"/>
          <w:highlight w:val="yellow"/>
          <w:lang w:val="en-US" w:eastAsia="zh-CN"/>
        </w:rPr>
        <w:t>品氏粘度计恒温水浴槽执行：JJF 1030-2010《恒温槽技术性能测试规范》</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right="119" w:hanging="425" w:firstLineChars="0"/>
        <w:textAlignment w:val="auto"/>
        <w:rPr>
          <w:rFonts w:hint="eastAsia" w:ascii="微软雅黑" w:hAnsi="微软雅黑" w:eastAsia="微软雅黑"/>
          <w:color w:val="auto"/>
          <w:highlight w:val="yellow"/>
          <w:lang w:eastAsia="zh-CN"/>
        </w:rPr>
      </w:pPr>
      <w:r>
        <w:rPr>
          <w:rFonts w:hint="eastAsia" w:ascii="微软雅黑" w:hAnsi="微软雅黑" w:eastAsia="微软雅黑"/>
          <w:color w:val="auto"/>
          <w:highlight w:val="yellow"/>
          <w:lang w:val="en-US" w:eastAsia="zh-CN"/>
        </w:rPr>
        <w:t>全自动电位滴定仪执行：JJG 814-2015《自动电位滴定仪检定规程》、</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right="119" w:hanging="425" w:firstLineChars="0"/>
        <w:textAlignment w:val="auto"/>
        <w:rPr>
          <w:rFonts w:hint="eastAsia" w:ascii="微软雅黑" w:hAnsi="微软雅黑" w:eastAsia="微软雅黑"/>
          <w:color w:val="auto"/>
          <w:highlight w:val="yellow"/>
          <w:lang w:eastAsia="zh-CN"/>
        </w:rPr>
      </w:pPr>
      <w:r>
        <w:rPr>
          <w:rFonts w:hint="eastAsia" w:ascii="微软雅黑" w:hAnsi="微软雅黑" w:eastAsia="微软雅黑"/>
          <w:color w:val="auto"/>
          <w:highlight w:val="yellow"/>
          <w:lang w:val="en-US" w:eastAsia="zh-CN"/>
        </w:rPr>
        <w:t>全自动pH检测设备执行：JJG119-2005《实验室pH（酸度）计》</w:t>
      </w:r>
    </w:p>
    <w:p>
      <w:pPr>
        <w:pStyle w:val="32"/>
        <w:keepNext w:val="0"/>
        <w:keepLines w:val="0"/>
        <w:pageBreakBefore w:val="0"/>
        <w:kinsoku/>
        <w:wordWrap/>
        <w:overflowPunct/>
        <w:topLinePunct w:val="0"/>
        <w:bidi w:val="0"/>
        <w:snapToGrid/>
        <w:spacing w:before="120" w:after="120" w:line="400" w:lineRule="exact"/>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四、设计/使用条件</w:t>
      </w:r>
    </w:p>
    <w:p>
      <w:pPr>
        <w:pStyle w:val="5"/>
        <w:keepNext w:val="0"/>
        <w:keepLines w:val="0"/>
        <w:pageBreakBefore w:val="0"/>
        <w:widowControl w:val="0"/>
        <w:kinsoku/>
        <w:wordWrap/>
        <w:overflowPunct/>
        <w:topLinePunct w:val="0"/>
        <w:autoSpaceDE/>
        <w:autoSpaceDN/>
        <w:bidi w:val="0"/>
        <w:adjustRightInd/>
        <w:snapToGrid/>
        <w:spacing w:line="360" w:lineRule="auto"/>
        <w:ind w:right="119" w:firstLine="199" w:firstLineChars="95"/>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 设计要求：</w:t>
      </w:r>
      <w:r>
        <w:rPr>
          <w:rFonts w:hint="eastAsia" w:ascii="微软雅黑" w:hAnsi="微软雅黑" w:eastAsia="微软雅黑"/>
          <w:color w:val="auto"/>
          <w:highlight w:val="none"/>
          <w:lang w:val="en-US" w:eastAsia="zh-CN"/>
        </w:rPr>
        <w:t>无</w:t>
      </w:r>
      <w:r>
        <w:rPr>
          <w:rFonts w:hint="eastAsia" w:ascii="微软雅黑" w:hAnsi="微软雅黑" w:eastAsia="微软雅黑"/>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right="119" w:firstLine="199" w:firstLineChars="95"/>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 到货/安装或使用地点：</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660" w:leftChars="0" w:right="119" w:hanging="440" w:firstLineChars="0"/>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超高效液相色谱仪、接触角仪、品氏粘度计恒温水浴槽、全自动电位滴定仪、全自动pH检测设备，共5台设备送至：</w:t>
      </w:r>
      <w:r>
        <w:rPr>
          <w:rFonts w:hint="eastAsia" w:ascii="微软雅黑" w:hAnsi="微软雅黑" w:eastAsia="微软雅黑"/>
          <w:color w:val="auto"/>
          <w:highlight w:val="none"/>
          <w:lang w:eastAsia="zh-CN"/>
        </w:rPr>
        <w:t>天津市滨海新区南港工业区泰汇道6号（中海油（</w:t>
      </w:r>
      <w:r>
        <w:rPr>
          <w:rFonts w:hint="eastAsia" w:ascii="微软雅黑" w:hAnsi="微软雅黑" w:eastAsia="微软雅黑"/>
          <w:color w:val="auto"/>
          <w:highlight w:val="none"/>
          <w:lang w:val="en-US" w:eastAsia="zh-CN"/>
        </w:rPr>
        <w:t>天津</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油田化工有限公司</w:t>
      </w:r>
      <w:r>
        <w:rPr>
          <w:rFonts w:hint="eastAsia" w:ascii="微软雅黑" w:hAnsi="微软雅黑" w:eastAsia="微软雅黑"/>
          <w:color w:val="auto"/>
          <w:highlight w:val="none"/>
          <w:lang w:eastAsia="zh-CN"/>
        </w:rPr>
        <w:t>）；</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660" w:leftChars="0" w:right="119" w:hanging="440" w:firstLineChars="0"/>
        <w:textAlignment w:val="auto"/>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羟基测定仪、全自动馏程测定仪，共2台设备送至：广东省惠州市大亚湾石化区滨海八路（中海油能源发展股份有限公司工程技术惠州分公司）</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right="119" w:firstLine="199" w:firstLineChars="95"/>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作业环境要求：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9" w:rightChars="0" w:firstLine="630" w:firstLineChars="30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常规作业环境</w:t>
      </w:r>
      <w:r>
        <w:rPr>
          <w:rFonts w:hint="eastAsia" w:ascii="微软雅黑" w:hAnsi="微软雅黑" w:eastAsia="微软雅黑"/>
          <w:color w:val="auto"/>
          <w:highlight w:val="none"/>
          <w:lang w:eastAsia="zh-CN"/>
        </w:rPr>
        <w:t>。</w:t>
      </w:r>
    </w:p>
    <w:p>
      <w:pPr>
        <w:pStyle w:val="32"/>
        <w:keepNext w:val="0"/>
        <w:keepLines w:val="0"/>
        <w:pageBreakBefore w:val="0"/>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五</w:t>
      </w:r>
      <w:r>
        <w:rPr>
          <w:rFonts w:ascii="微软雅黑" w:hAnsi="微软雅黑" w:eastAsia="微软雅黑" w:cs="Times New Roman"/>
          <w:bCs/>
          <w:color w:val="auto"/>
          <w:sz w:val="32"/>
          <w:szCs w:val="32"/>
          <w:highlight w:val="none"/>
        </w:rPr>
        <w:t>、</w:t>
      </w:r>
      <w:r>
        <w:rPr>
          <w:rFonts w:hint="eastAsia" w:ascii="微软雅黑" w:hAnsi="微软雅黑" w:eastAsia="微软雅黑" w:cs="Times New Roman"/>
          <w:bCs/>
          <w:color w:val="auto"/>
          <w:sz w:val="32"/>
          <w:szCs w:val="32"/>
          <w:highlight w:val="none"/>
        </w:rPr>
        <w:t>技术要求</w:t>
      </w:r>
    </w:p>
    <w:p>
      <w:pPr>
        <w:pStyle w:val="32"/>
        <w:keepNext w:val="0"/>
        <w:keepLines w:val="0"/>
        <w:pageBreakBefore w:val="0"/>
        <w:kinsoku/>
        <w:wordWrap/>
        <w:overflowPunct/>
        <w:topLinePunct w:val="0"/>
        <w:bidi w:val="0"/>
        <w:snapToGrid/>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微软雅黑" w:hAnsi="微软雅黑" w:eastAsia="微软雅黑" w:cstheme="minorBidi"/>
          <w:color w:val="auto"/>
          <w:sz w:val="21"/>
          <w:szCs w:val="21"/>
          <w:highlight w:val="none"/>
          <w:lang w:val="en-US" w:eastAsia="zh-CN"/>
        </w:rPr>
        <w:t>5.1超高效液相色谱仪技术参数</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5.1.1输液泵系统</w:t>
      </w:r>
    </w:p>
    <w:p>
      <w:pPr>
        <w:pStyle w:val="32"/>
        <w:keepNext w:val="0"/>
        <w:keepLines w:val="0"/>
        <w:pageBreakBefore w:val="0"/>
        <w:numPr>
          <w:ilvl w:val="0"/>
          <w:numId w:val="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流量范围：0.001-2.0 mL/min，</w:t>
      </w:r>
    </w:p>
    <w:p>
      <w:pPr>
        <w:pStyle w:val="32"/>
        <w:keepNext w:val="0"/>
        <w:keepLines w:val="0"/>
        <w:pageBreakBefore w:val="0"/>
        <w:numPr>
          <w:ilvl w:val="0"/>
          <w:numId w:val="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最大耐压≥15000psi</w:t>
      </w:r>
    </w:p>
    <w:p>
      <w:pPr>
        <w:pStyle w:val="32"/>
        <w:keepNext w:val="0"/>
        <w:keepLines w:val="0"/>
        <w:pageBreakBefore w:val="0"/>
        <w:numPr>
          <w:ilvl w:val="0"/>
          <w:numId w:val="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★延迟体积：＜100uL</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5.1.2自动进样器：</w:t>
      </w:r>
    </w:p>
    <w:p>
      <w:pPr>
        <w:pStyle w:val="32"/>
        <w:keepNext w:val="0"/>
        <w:keepLines w:val="0"/>
        <w:pageBreakBefore w:val="0"/>
        <w:numPr>
          <w:ilvl w:val="0"/>
          <w:numId w:val="7"/>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进样体积：1-20ul，0.1uL步进；</w:t>
      </w:r>
    </w:p>
    <w:p>
      <w:pPr>
        <w:pStyle w:val="32"/>
        <w:keepNext w:val="0"/>
        <w:keepLines w:val="0"/>
        <w:pageBreakBefore w:val="0"/>
        <w:numPr>
          <w:ilvl w:val="0"/>
          <w:numId w:val="7"/>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★进样重复性： &lt;0.3%RSD；</w:t>
      </w:r>
    </w:p>
    <w:p>
      <w:pPr>
        <w:pStyle w:val="32"/>
        <w:keepNext w:val="0"/>
        <w:keepLines w:val="0"/>
        <w:pageBreakBefore w:val="0"/>
        <w:numPr>
          <w:ilvl w:val="0"/>
          <w:numId w:val="7"/>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最大样品容量：≥96位 1.5-2ml样品瓶</w:t>
      </w:r>
    </w:p>
    <w:p>
      <w:pPr>
        <w:pStyle w:val="32"/>
        <w:keepNext w:val="0"/>
        <w:keepLines w:val="0"/>
        <w:pageBreakBefore w:val="0"/>
        <w:numPr>
          <w:ilvl w:val="0"/>
          <w:numId w:val="7"/>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具备程序进样功能，包括自动洗针程序，取样及进样速率设定等；</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5.1.3色谱柱温箱</w:t>
      </w:r>
    </w:p>
    <w:p>
      <w:pPr>
        <w:pStyle w:val="32"/>
        <w:keepNext w:val="0"/>
        <w:keepLines w:val="0"/>
        <w:pageBreakBefore w:val="0"/>
        <w:numPr>
          <w:ilvl w:val="0"/>
          <w:numId w:val="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温控范围：室温+5℃~80℃；</w:t>
      </w:r>
    </w:p>
    <w:p>
      <w:pPr>
        <w:pStyle w:val="32"/>
        <w:keepNext w:val="0"/>
        <w:keepLines w:val="0"/>
        <w:pageBreakBefore w:val="0"/>
        <w:numPr>
          <w:ilvl w:val="0"/>
          <w:numId w:val="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温度稳定性：±0.1℃；</w:t>
      </w:r>
    </w:p>
    <w:p>
      <w:pPr>
        <w:pStyle w:val="32"/>
        <w:keepNext w:val="0"/>
        <w:keepLines w:val="0"/>
        <w:pageBreakBefore w:val="0"/>
        <w:numPr>
          <w:ilvl w:val="0"/>
          <w:numId w:val="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★柱温箱内可加配内置切换阀，可通过软件控制实现不同色谱柱之间自动切换；</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5.1.4DAD检测器</w:t>
      </w:r>
    </w:p>
    <w:p>
      <w:pPr>
        <w:pStyle w:val="32"/>
        <w:keepNext w:val="0"/>
        <w:keepLines w:val="0"/>
        <w:pageBreakBefore w:val="0"/>
        <w:numPr>
          <w:ilvl w:val="0"/>
          <w:numId w:val="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DAD检测器波长范围：190-500nm；</w:t>
      </w:r>
    </w:p>
    <w:p>
      <w:pPr>
        <w:pStyle w:val="32"/>
        <w:keepNext w:val="0"/>
        <w:keepLines w:val="0"/>
        <w:pageBreakBefore w:val="0"/>
        <w:numPr>
          <w:ilvl w:val="0"/>
          <w:numId w:val="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波长准确度：±1nm；</w:t>
      </w:r>
    </w:p>
    <w:p>
      <w:pPr>
        <w:pStyle w:val="32"/>
        <w:keepNext w:val="0"/>
        <w:keepLines w:val="0"/>
        <w:pageBreakBefore w:val="0"/>
        <w:numPr>
          <w:ilvl w:val="0"/>
          <w:numId w:val="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de-DE" w:eastAsia="zh-CN"/>
        </w:rPr>
      </w:pPr>
      <w:r>
        <w:rPr>
          <w:rFonts w:hint="eastAsia" w:ascii="微软雅黑" w:hAnsi="微软雅黑" w:eastAsia="微软雅黑" w:cstheme="minorBidi"/>
          <w:color w:val="auto"/>
          <w:sz w:val="21"/>
          <w:szCs w:val="21"/>
          <w:highlight w:val="none"/>
          <w:lang w:val="en-US" w:eastAsia="zh-CN"/>
        </w:rPr>
        <w:t>波长分辨率：0.6nm；</w:t>
      </w:r>
    </w:p>
    <w:p>
      <w:pPr>
        <w:pStyle w:val="32"/>
        <w:keepNext w:val="0"/>
        <w:keepLines w:val="0"/>
        <w:pageBreakBefore w:val="0"/>
        <w:numPr>
          <w:ilvl w:val="0"/>
          <w:numId w:val="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★采样频率：不低于40Hz。</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5.2接触角仪技术参数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theme="minorBidi"/>
          <w:color w:val="auto"/>
          <w:sz w:val="21"/>
          <w:szCs w:val="21"/>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★5.2.1</w:t>
      </w:r>
      <w:r>
        <w:rPr>
          <w:rFonts w:hint="eastAsia" w:ascii="微软雅黑" w:hAnsi="微软雅黑" w:eastAsia="微软雅黑" w:cstheme="minorBidi"/>
          <w:color w:val="auto"/>
          <w:sz w:val="21"/>
          <w:szCs w:val="21"/>
          <w:highlight w:val="yellow"/>
          <w:lang w:val="en-US" w:eastAsia="zh-CN"/>
        </w:rPr>
        <w:t>接触角仪</w:t>
      </w:r>
      <w:r>
        <w:rPr>
          <w:rFonts w:hint="eastAsia" w:ascii="微软雅黑" w:hAnsi="微软雅黑" w:eastAsia="微软雅黑" w:cstheme="minorBidi"/>
          <w:color w:val="auto"/>
          <w:kern w:val="0"/>
          <w:sz w:val="21"/>
          <w:szCs w:val="21"/>
          <w:highlight w:val="yellow"/>
          <w:lang w:val="en-US" w:eastAsia="zh-CN" w:bidi="ar-SA"/>
        </w:rPr>
        <w:t>【本设备部分引用</w:t>
      </w:r>
      <w:r>
        <w:rPr>
          <w:rFonts w:hint="eastAsia" w:ascii="微软雅黑" w:hAnsi="微软雅黑" w:eastAsia="微软雅黑"/>
          <w:color w:val="auto"/>
          <w:highlight w:val="yellow"/>
          <w:lang w:val="en-US" w:eastAsia="zh-CN"/>
        </w:rPr>
        <w:t>JJF 2099-2024</w:t>
      </w:r>
      <w:r>
        <w:rPr>
          <w:rFonts w:hint="default" w:ascii="微软雅黑" w:hAnsi="微软雅黑" w:eastAsia="微软雅黑"/>
          <w:color w:val="auto"/>
          <w:highlight w:val="yellow"/>
          <w:lang w:val="en-US" w:eastAsia="zh-CN"/>
        </w:rPr>
        <w:t>《</w:t>
      </w:r>
      <w:r>
        <w:rPr>
          <w:rFonts w:hint="eastAsia" w:ascii="微软雅黑" w:hAnsi="微软雅黑" w:eastAsia="微软雅黑"/>
          <w:color w:val="auto"/>
          <w:highlight w:val="yellow"/>
          <w:lang w:val="en-US" w:eastAsia="zh-CN"/>
        </w:rPr>
        <w:t>光学接触角测量仪校准规范</w:t>
      </w:r>
      <w:r>
        <w:rPr>
          <w:rFonts w:hint="default" w:ascii="微软雅黑" w:hAnsi="微软雅黑" w:eastAsia="微软雅黑"/>
          <w:color w:val="auto"/>
          <w:highlight w:val="yellow"/>
          <w:lang w:val="en-US" w:eastAsia="zh-CN"/>
        </w:rPr>
        <w:t>》</w:t>
      </w:r>
      <w:r>
        <w:rPr>
          <w:rFonts w:hint="eastAsia" w:ascii="微软雅黑" w:hAnsi="微软雅黑" w:eastAsia="微软雅黑"/>
          <w:color w:val="auto"/>
          <w:highlight w:val="yellow"/>
          <w:lang w:val="en-US" w:eastAsia="zh-CN"/>
        </w:rPr>
        <w:t>中6校准条件6.2测量标准</w:t>
      </w:r>
      <w:r>
        <w:rPr>
          <w:rFonts w:hint="eastAsia" w:ascii="微软雅黑" w:hAnsi="微软雅黑" w:eastAsia="微软雅黑" w:cstheme="minorBidi"/>
          <w:color w:val="auto"/>
          <w:kern w:val="0"/>
          <w:sz w:val="21"/>
          <w:szCs w:val="21"/>
          <w:highlight w:val="yellow"/>
          <w:lang w:val="en-US" w:eastAsia="zh-CN" w:bidi="ar-SA"/>
        </w:rPr>
        <w:t>】，以下为引用标准中所列条款内容：</w:t>
      </w:r>
    </w:p>
    <w:p>
      <w:pPr>
        <w:pStyle w:val="32"/>
        <w:keepNext w:val="0"/>
        <w:keepLines w:val="0"/>
        <w:pageBreakBefore w:val="0"/>
        <w:kinsoku/>
        <w:wordWrap/>
        <w:overflowPunct/>
        <w:topLinePunct w:val="0"/>
        <w:bidi w:val="0"/>
        <w:snapToGrid/>
        <w:spacing w:line="360" w:lineRule="auto"/>
        <w:ind w:left="0" w:leftChars="0" w:firstLine="1099" w:firstLineChars="458"/>
        <w:textAlignment w:val="auto"/>
        <w:outlineLvl w:val="0"/>
        <w:rPr>
          <w:color w:val="auto"/>
          <w:highlight w:val="none"/>
        </w:rPr>
      </w:pP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906145</wp:posOffset>
                </wp:positionH>
                <wp:positionV relativeFrom="paragraph">
                  <wp:posOffset>4784725</wp:posOffset>
                </wp:positionV>
                <wp:extent cx="304800" cy="161925"/>
                <wp:effectExtent l="6350" t="6350" r="12700" b="22225"/>
                <wp:wrapNone/>
                <wp:docPr id="19" name="矩形 19"/>
                <wp:cNvGraphicFramePr/>
                <a:graphic xmlns:a="http://schemas.openxmlformats.org/drawingml/2006/main">
                  <a:graphicData uri="http://schemas.microsoft.com/office/word/2010/wordprocessingShape">
                    <wps:wsp>
                      <wps:cNvSpPr/>
                      <wps:spPr>
                        <a:xfrm>
                          <a:off x="0" y="0"/>
                          <a:ext cx="304800" cy="1619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35pt;margin-top:376.75pt;height:12.75pt;width:24pt;z-index:251664384;v-text-anchor:middle;mso-width-relative:page;mso-height-relative:page;" filled="f" stroked="t" coordsize="21600,21600" o:gfxdata="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TEL/dgAAAALAQAADwAAAAAAAAABACAAAAAiAAAAZHJzL2Rvd25yZXYueG1sUEsB&#10;AhQAFAAAAAgAh07iQGpBiq1nAgAAzAQAAA4AAAAAAAAAAQAgAAAAJwEAAGRycy9lMm9Eb2MueG1s&#10;UEsFBgAAAAAGAAYAWQEAAAAGAAAAAA==&#10;">
                <v:fill on="f" focussize="0,0"/>
                <v:stroke weight="1pt" color="#C00000 [3204]" miterlimit="8"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4706620</wp:posOffset>
                </wp:positionH>
                <wp:positionV relativeFrom="paragraph">
                  <wp:posOffset>4632325</wp:posOffset>
                </wp:positionV>
                <wp:extent cx="304800" cy="161925"/>
                <wp:effectExtent l="6350" t="6350" r="12700" b="22225"/>
                <wp:wrapNone/>
                <wp:docPr id="18" name="矩形 18"/>
                <wp:cNvGraphicFramePr/>
                <a:graphic xmlns:a="http://schemas.openxmlformats.org/drawingml/2006/main">
                  <a:graphicData uri="http://schemas.microsoft.com/office/word/2010/wordprocessingShape">
                    <wps:wsp>
                      <wps:cNvSpPr/>
                      <wps:spPr>
                        <a:xfrm>
                          <a:off x="5849620" y="6339205"/>
                          <a:ext cx="304800" cy="1619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6pt;margin-top:364.75pt;height:12.75pt;width:24pt;z-index:251663360;v-text-anchor:middle;mso-width-relative:page;mso-height-relative:page;" filled="f" stroked="t" coordsize="21600,21600" o:gfxdata="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rqYKtkAAAALAQAADwAAAAAAAAABACAAAAAiAAAAZHJz&#10;L2Rvd25yZXYueG1sUEsBAhQAFAAAAAgAh07iQGa4TCp1AgAA2AQAAA4AAAAAAAAAAQAgAAAAKAEA&#10;AGRycy9lMm9Eb2MueG1sUEsFBgAAAAAGAAYAWQEAAA8GAAAAAA==&#10;">
                <v:fill on="f" focussize="0,0"/>
                <v:stroke weight="1pt" color="#C00000 [3204]" miterlimit="8" joinstyle="miter"/>
                <v:imagedata o:title=""/>
                <o:lock v:ext="edit" aspectratio="f"/>
              </v:rect>
            </w:pict>
          </mc:Fallback>
        </mc:AlternateContent>
      </w:r>
      <w:r>
        <w:rPr>
          <w:color w:val="auto"/>
          <w:highlight w:val="none"/>
        </w:rPr>
        <w:drawing>
          <wp:inline distT="0" distB="0" distL="114300" distR="114300">
            <wp:extent cx="4435475" cy="4874895"/>
            <wp:effectExtent l="9525" t="9525" r="12700" b="1143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5"/>
                    <a:stretch>
                      <a:fillRect/>
                    </a:stretch>
                  </pic:blipFill>
                  <pic:spPr>
                    <a:xfrm>
                      <a:off x="0" y="0"/>
                      <a:ext cx="4435475" cy="4874895"/>
                    </a:xfrm>
                    <a:prstGeom prst="rect">
                      <a:avLst/>
                    </a:prstGeom>
                    <a:noFill/>
                    <a:ln>
                      <a:solidFill>
                        <a:srgbClr val="0000FF"/>
                      </a:solidFill>
                    </a:ln>
                  </pic:spPr>
                </pic:pic>
              </a:graphicData>
            </a:graphic>
          </wp:inline>
        </w:drawing>
      </w:r>
    </w:p>
    <w:p>
      <w:pPr>
        <w:pStyle w:val="32"/>
        <w:keepNext w:val="0"/>
        <w:keepLines w:val="0"/>
        <w:pageBreakBefore w:val="0"/>
        <w:numPr>
          <w:ilvl w:val="0"/>
          <w:numId w:val="10"/>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接触角测量范围：0-180º</w:t>
      </w:r>
    </w:p>
    <w:p>
      <w:pPr>
        <w:pStyle w:val="5"/>
        <w:spacing w:line="360" w:lineRule="auto"/>
        <w:ind w:right="105" w:rightChars="50" w:firstLine="630" w:firstLineChars="300"/>
        <w:rPr>
          <w:rFonts w:hint="eastAsia"/>
          <w:color w:val="auto"/>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5.2.2【下述补充要求为对上述标准中参数的补充优化】</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配备全自动滴液系统，软件控制液体的滴加方式，实际滴液体积在软件界面实时显示 ；</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 xml:space="preserve">精度：±0.1º </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表面/界面张力测量范围：0.01-2000 mN/m，精度：0.01 mN/m</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★光学系统：≥3400幅图像/秒，分辨率≥2500 x 1500（像素）</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位移系统： 样品台水平度可以独立调节，XYZ三方向手动精密调节，样品台带标尺线；</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de-DE" w:eastAsia="zh-CN"/>
        </w:rPr>
      </w:pPr>
      <w:r>
        <w:rPr>
          <w:rFonts w:hint="eastAsia" w:ascii="微软雅黑" w:hAnsi="微软雅黑" w:eastAsia="微软雅黑" w:cstheme="minorBidi"/>
          <w:color w:val="auto"/>
          <w:sz w:val="21"/>
          <w:szCs w:val="21"/>
          <w:highlight w:val="none"/>
          <w:lang w:val="en-US" w:eastAsia="zh-CN"/>
        </w:rPr>
        <w:t>采用移液枪设计的滴液系统，使用可抛弃型滴液头；</w:t>
      </w:r>
    </w:p>
    <w:p>
      <w:pPr>
        <w:pStyle w:val="32"/>
        <w:keepNext w:val="0"/>
        <w:keepLines w:val="0"/>
        <w:pageBreakBefore w:val="0"/>
        <w:numPr>
          <w:ilvl w:val="0"/>
          <w:numId w:val="11"/>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软件：软件具有润湿和粘附分析功能，能在一个图谱中同时显示多种固体和多种液体的多个接触角的润湿包。</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5.3品氏粘度计恒温水浴槽技术参数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theme="minorBidi"/>
          <w:color w:val="auto"/>
          <w:sz w:val="21"/>
          <w:szCs w:val="21"/>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★5.3.1</w:t>
      </w:r>
      <w:r>
        <w:rPr>
          <w:rFonts w:hint="eastAsia" w:ascii="微软雅黑" w:hAnsi="微软雅黑" w:eastAsia="微软雅黑" w:cstheme="minorBidi"/>
          <w:color w:val="auto"/>
          <w:sz w:val="21"/>
          <w:szCs w:val="21"/>
          <w:highlight w:val="yellow"/>
          <w:lang w:val="en-US" w:eastAsia="zh-CN"/>
        </w:rPr>
        <w:t>品氏粘度计恒温水浴槽</w:t>
      </w:r>
      <w:r>
        <w:rPr>
          <w:rFonts w:hint="eastAsia" w:ascii="微软雅黑" w:hAnsi="微软雅黑" w:eastAsia="微软雅黑" w:cstheme="minorBidi"/>
          <w:color w:val="auto"/>
          <w:kern w:val="0"/>
          <w:sz w:val="21"/>
          <w:szCs w:val="21"/>
          <w:highlight w:val="yellow"/>
          <w:lang w:val="en-US" w:eastAsia="zh-CN" w:bidi="ar-SA"/>
        </w:rPr>
        <w:t>【本设备部分引用</w:t>
      </w:r>
      <w:r>
        <w:rPr>
          <w:rFonts w:hint="eastAsia" w:ascii="微软雅黑" w:hAnsi="微软雅黑" w:eastAsia="微软雅黑"/>
          <w:color w:val="auto"/>
          <w:highlight w:val="yellow"/>
          <w:lang w:val="en-US" w:eastAsia="zh-CN"/>
        </w:rPr>
        <w:t>JJF 1030-2010《恒温槽技术性能测试规范》5技术要求5.2测试方法5.2.2波动性测试</w:t>
      </w:r>
      <w:r>
        <w:rPr>
          <w:rFonts w:hint="eastAsia" w:ascii="微软雅黑" w:hAnsi="微软雅黑" w:eastAsia="微软雅黑" w:cstheme="minorBidi"/>
          <w:color w:val="auto"/>
          <w:kern w:val="0"/>
          <w:sz w:val="21"/>
          <w:szCs w:val="21"/>
          <w:highlight w:val="yellow"/>
          <w:lang w:val="en-US" w:eastAsia="zh-CN" w:bidi="ar-SA"/>
        </w:rPr>
        <w:t>】，以下为引用标准中所列条款内容：</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theme="minorBidi"/>
          <w:color w:val="auto"/>
          <w:sz w:val="21"/>
          <w:szCs w:val="21"/>
          <w:highlight w:val="none"/>
          <w:lang w:val="en-US" w:eastAsia="zh-CN"/>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77470</wp:posOffset>
                </wp:positionH>
                <wp:positionV relativeFrom="paragraph">
                  <wp:posOffset>5162550</wp:posOffset>
                </wp:positionV>
                <wp:extent cx="1600835" cy="190500"/>
                <wp:effectExtent l="6350" t="6350" r="12065" b="12700"/>
                <wp:wrapNone/>
                <wp:docPr id="4" name="矩形 4"/>
                <wp:cNvGraphicFramePr/>
                <a:graphic xmlns:a="http://schemas.openxmlformats.org/drawingml/2006/main">
                  <a:graphicData uri="http://schemas.microsoft.com/office/word/2010/wordprocessingShape">
                    <wps:wsp>
                      <wps:cNvSpPr/>
                      <wps:spPr>
                        <a:xfrm>
                          <a:off x="0" y="0"/>
                          <a:ext cx="1600835" cy="1905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pt;margin-top:406.5pt;height:15pt;width:126.05pt;z-index:251666432;v-text-anchor:middle;mso-width-relative:page;mso-height-relative:page;" filled="f" stroked="t" coordsize="21600,21600" o:gfxdata="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dRktNcAAAAKAQAADwAAAAAAAAABACAAAAAiAAAAZHJzL2Rvd25yZXYueG1sUEsB&#10;AhQAFAAAAAgAh07iQKIoH8RoAgAAywQAAA4AAAAAAAAAAQAgAAAAJgEAAGRycy9lMm9Eb2MueG1s&#10;UEsFBgAAAAAGAAYAWQEAAAAGAAAAAA==&#10;">
                <v:fill on="f" focussize="0,0"/>
                <v:stroke weight="1pt" color="#C00000 [3204]" miterlimit="8"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1820545</wp:posOffset>
                </wp:positionH>
                <wp:positionV relativeFrom="paragraph">
                  <wp:posOffset>4962525</wp:posOffset>
                </wp:positionV>
                <wp:extent cx="3438525" cy="200025"/>
                <wp:effectExtent l="6350" t="6350" r="22225" b="22225"/>
                <wp:wrapNone/>
                <wp:docPr id="21" name="矩形 21"/>
                <wp:cNvGraphicFramePr/>
                <a:graphic xmlns:a="http://schemas.openxmlformats.org/drawingml/2006/main">
                  <a:graphicData uri="http://schemas.microsoft.com/office/word/2010/wordprocessingShape">
                    <wps:wsp>
                      <wps:cNvSpPr/>
                      <wps:spPr>
                        <a:xfrm>
                          <a:off x="1639570" y="7092315"/>
                          <a:ext cx="3438525" cy="2000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35pt;margin-top:390.75pt;height:15.75pt;width:270.75pt;z-index:251665408;v-text-anchor:middle;mso-width-relative:page;mso-height-relative:page;" filled="f" stroked="t" coordsize="21600,21600" o:gfxdata="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TTWq7ZAAAACwEAAA8AAAAAAAAAAQAgAAAAIgAAAGRy&#10;cy9kb3ducmV2LnhtbFBLAQIUABQAAAAIAIdO4kAlxYspdgIAANkEAAAOAAAAAAAAAAEAIAAAACgB&#10;AABkcnMvZTJvRG9jLnhtbFBLBQYAAAAABgAGAFkBAAAQBgAAAAA=&#10;">
                <v:fill on="f" focussize="0,0"/>
                <v:stroke weight="1pt" color="#C00000 [3204]" miterlimit="8" joinstyle="miter"/>
                <v:imagedata o:title=""/>
                <o:lock v:ext="edit" aspectratio="f"/>
              </v:rect>
            </w:pict>
          </mc:Fallback>
        </mc:AlternateContent>
      </w:r>
      <w:r>
        <w:rPr>
          <w:color w:val="auto"/>
          <w:highlight w:val="none"/>
        </w:rPr>
        <w:drawing>
          <wp:inline distT="0" distB="0" distL="114300" distR="114300">
            <wp:extent cx="5268595" cy="5937885"/>
            <wp:effectExtent l="9525" t="9525" r="1778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8595" cy="5937885"/>
                    </a:xfrm>
                    <a:prstGeom prst="rect">
                      <a:avLst/>
                    </a:prstGeom>
                    <a:noFill/>
                    <a:ln>
                      <a:solidFill>
                        <a:srgbClr val="0000FF"/>
                      </a:solidFill>
                    </a:ln>
                  </pic:spPr>
                </pic:pic>
              </a:graphicData>
            </a:graphic>
          </wp:inline>
        </w:drawing>
      </w:r>
    </w:p>
    <w:p>
      <w:pPr>
        <w:pStyle w:val="32"/>
        <w:keepNext w:val="0"/>
        <w:keepLines w:val="0"/>
        <w:pageBreakBefore w:val="0"/>
        <w:numPr>
          <w:ilvl w:val="0"/>
          <w:numId w:val="12"/>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★温度稳定性±0.01℃；</w:t>
      </w:r>
    </w:p>
    <w:p>
      <w:pPr>
        <w:pStyle w:val="5"/>
        <w:spacing w:line="360" w:lineRule="auto"/>
        <w:ind w:left="105" w:leftChars="50" w:right="105" w:rightChars="50" w:firstLine="420"/>
        <w:rPr>
          <w:rFonts w:hint="eastAsia" w:ascii="微软雅黑" w:hAnsi="微软雅黑" w:eastAsia="微软雅黑" w:cstheme="minorBidi"/>
          <w:color w:val="auto"/>
          <w:sz w:val="21"/>
          <w:szCs w:val="21"/>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5.3.2【下述补充要求为对上述标准中参数的补充优化】</w:t>
      </w:r>
    </w:p>
    <w:p>
      <w:pPr>
        <w:pStyle w:val="32"/>
        <w:keepNext w:val="0"/>
        <w:keepLines w:val="0"/>
        <w:pageBreakBefore w:val="0"/>
        <w:numPr>
          <w:ilvl w:val="0"/>
          <w:numId w:val="1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浴槽材质为玻璃</w:t>
      </w:r>
    </w:p>
    <w:p>
      <w:pPr>
        <w:pStyle w:val="32"/>
        <w:keepNext w:val="0"/>
        <w:keepLines w:val="0"/>
        <w:pageBreakBefore w:val="0"/>
        <w:numPr>
          <w:ilvl w:val="0"/>
          <w:numId w:val="1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温度范围：室温+5℃-60℃；</w:t>
      </w:r>
    </w:p>
    <w:p>
      <w:pPr>
        <w:pStyle w:val="32"/>
        <w:keepNext w:val="0"/>
        <w:keepLines w:val="0"/>
        <w:pageBreakBefore w:val="0"/>
        <w:numPr>
          <w:ilvl w:val="0"/>
          <w:numId w:val="1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★大小满足用粘度计夹具或支架把粘度计固定在恒槽中，让恒温糟液面高于粘度计计时球 20mm 以上,使粘度计底部高于恒温槽底。</w:t>
      </w:r>
    </w:p>
    <w:p>
      <w:pPr>
        <w:pStyle w:val="32"/>
        <w:keepNext w:val="0"/>
        <w:keepLines w:val="0"/>
        <w:pageBreakBefore w:val="0"/>
        <w:numPr>
          <w:ilvl w:val="0"/>
          <w:numId w:val="1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体积≥13L；</w:t>
      </w:r>
    </w:p>
    <w:p>
      <w:pPr>
        <w:pStyle w:val="32"/>
        <w:keepNext w:val="0"/>
        <w:keepLines w:val="0"/>
        <w:pageBreakBefore w:val="0"/>
        <w:numPr>
          <w:ilvl w:val="0"/>
          <w:numId w:val="1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尺寸：</w:t>
      </w:r>
      <w:r>
        <w:rPr>
          <w:rFonts w:hint="default" w:ascii="Times New Roman" w:hAnsi="Times New Roman" w:eastAsia="宋体" w:cs="Times New Roman"/>
          <w:color w:val="auto"/>
          <w:sz w:val="21"/>
          <w:szCs w:val="21"/>
          <w:highlight w:val="none"/>
          <w:lang w:val="en-US" w:eastAsia="zh-CN"/>
        </w:rPr>
        <w:t>ø</w:t>
      </w:r>
      <w:r>
        <w:rPr>
          <w:rFonts w:hint="default" w:ascii="Times New Roman" w:hAnsi="Times New Roman" w:eastAsia="微软雅黑" w:cs="Times New Roman"/>
          <w:color w:val="auto"/>
          <w:sz w:val="21"/>
          <w:szCs w:val="21"/>
          <w:highlight w:val="none"/>
          <w:lang w:val="en-US" w:eastAsia="zh-CN"/>
        </w:rPr>
        <w:t>30cm×52cm</w:t>
      </w:r>
      <w:r>
        <w:rPr>
          <w:rFonts w:hint="eastAsia" w:ascii="微软雅黑" w:hAnsi="微软雅黑" w:eastAsia="微软雅黑" w:cstheme="minorBidi"/>
          <w:color w:val="auto"/>
          <w:sz w:val="21"/>
          <w:szCs w:val="21"/>
          <w:highlight w:val="none"/>
          <w:lang w:val="en-US" w:eastAsia="zh-CN"/>
        </w:rPr>
        <w:t>。</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5.4全自动馏程测定仪</w:t>
      </w:r>
      <w:r>
        <w:rPr>
          <w:rFonts w:hint="eastAsia" w:ascii="微软雅黑" w:hAnsi="微软雅黑" w:eastAsia="微软雅黑" w:cstheme="minorBidi"/>
          <w:color w:val="auto"/>
          <w:sz w:val="21"/>
          <w:szCs w:val="21"/>
          <w:highlight w:val="none"/>
          <w:lang w:val="en-US" w:eastAsia="zh-CN"/>
        </w:rPr>
        <w:t>技术参数</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★温度传感器温度测量范围为室温-400℃，分度值为0.1℃；</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★液位跟踪器，体积分辨率0.1mL</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★蒸馏速率：最低2ml/min可任意设定</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★体积范围：0～100%（样品回收百分数）；体积测量精度：0.1 %</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具有自动测量大气压并进行补偿的装置</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具有全自动智能化设置初始加热强度、蒸馏速度、最后加热强度调整，未知油样不用新建立加热程序，真正做到按样品分组一键式操作。</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★全过程即时显示蒸气温度、加热器温度、冷凝温度、接受室温度、蒸馏速率曲线，可方便直观的读出并判断各项指标是否符合标准要求。</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★自动校正样品温度测试系统，自动补偿漂移，PT100可以通过屏幕进行温度点的校正。</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内置2个火焰传感器，具有自动灭火功能，彻底排除着火的可能性隐患。</w:t>
      </w:r>
    </w:p>
    <w:p>
      <w:pPr>
        <w:pStyle w:val="32"/>
        <w:keepNext w:val="0"/>
        <w:keepLines w:val="0"/>
        <w:pageBreakBefore w:val="0"/>
        <w:numPr>
          <w:ilvl w:val="0"/>
          <w:numId w:val="0"/>
        </w:numPr>
        <w:kinsoku/>
        <w:wordWrap/>
        <w:overflowPunct/>
        <w:topLinePunct w:val="0"/>
        <w:bidi w:val="0"/>
        <w:snapToGrid/>
        <w:spacing w:line="400" w:lineRule="exact"/>
        <w:ind w:leftChars="0"/>
        <w:textAlignment w:val="auto"/>
        <w:outlineLvl w:val="0"/>
        <w:rPr>
          <w:rFonts w:hint="eastAsia" w:ascii="微软雅黑" w:hAnsi="微软雅黑" w:eastAsia="微软雅黑" w:cstheme="minorBidi"/>
          <w:color w:val="auto"/>
          <w:sz w:val="21"/>
          <w:szCs w:val="21"/>
          <w:highlight w:val="none"/>
          <w:lang w:val="en-US" w:eastAsia="zh-CN"/>
        </w:rPr>
      </w:pP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5.5羟基测定仪</w:t>
      </w:r>
      <w:r>
        <w:rPr>
          <w:rFonts w:hint="eastAsia" w:ascii="微软雅黑" w:hAnsi="微软雅黑" w:eastAsia="微软雅黑" w:cstheme="minorBidi"/>
          <w:color w:val="auto"/>
          <w:sz w:val="21"/>
          <w:szCs w:val="21"/>
          <w:highlight w:val="none"/>
          <w:lang w:val="en-US" w:eastAsia="zh-CN"/>
        </w:rPr>
        <w:t>技术参数</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分光技术：傅立叶干涉仪</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光谱范围：4000～10000cm</w:t>
      </w:r>
      <w:r>
        <w:rPr>
          <w:rFonts w:hint="eastAsia" w:ascii="微软雅黑" w:hAnsi="微软雅黑" w:eastAsia="微软雅黑" w:cstheme="minorBidi"/>
          <w:color w:val="auto"/>
          <w:sz w:val="21"/>
          <w:szCs w:val="21"/>
          <w:highlight w:val="none"/>
          <w:vertAlign w:val="superscript"/>
          <w:lang w:val="en-US" w:eastAsia="zh-CN"/>
        </w:rPr>
        <w:t>-1</w:t>
      </w:r>
      <w:r>
        <w:rPr>
          <w:rFonts w:hint="eastAsia" w:ascii="微软雅黑" w:hAnsi="微软雅黑" w:eastAsia="微软雅黑" w:cstheme="minorBidi"/>
          <w:color w:val="auto"/>
          <w:sz w:val="21"/>
          <w:szCs w:val="21"/>
          <w:highlight w:val="none"/>
          <w:lang w:val="en-US" w:eastAsia="zh-CN"/>
        </w:rPr>
        <w:t>适用于多元醇及其衍生物中各类基团的特征吸收峰检测；</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★测量精度：0.1mgKOH/g；</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★分辨率优于：5 cm</w:t>
      </w:r>
      <w:r>
        <w:rPr>
          <w:rFonts w:hint="eastAsia" w:ascii="微软雅黑" w:hAnsi="微软雅黑" w:eastAsia="微软雅黑" w:cstheme="minorBidi"/>
          <w:color w:val="auto"/>
          <w:sz w:val="21"/>
          <w:szCs w:val="21"/>
          <w:highlight w:val="none"/>
          <w:vertAlign w:val="superscript"/>
          <w:lang w:val="en-US" w:eastAsia="zh-CN"/>
        </w:rPr>
        <w:t>-1</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波数重复性：&lt; 0.1 cm</w:t>
      </w:r>
      <w:r>
        <w:rPr>
          <w:rFonts w:hint="eastAsia" w:ascii="微软雅黑" w:hAnsi="微软雅黑" w:eastAsia="微软雅黑" w:cstheme="minorBidi"/>
          <w:color w:val="auto"/>
          <w:sz w:val="21"/>
          <w:szCs w:val="21"/>
          <w:highlight w:val="none"/>
          <w:vertAlign w:val="superscript"/>
          <w:lang w:val="en-US" w:eastAsia="zh-CN"/>
        </w:rPr>
        <w:t>-1</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波数准确性：&lt; 0.1cm</w:t>
      </w:r>
      <w:r>
        <w:rPr>
          <w:rFonts w:hint="eastAsia" w:ascii="微软雅黑" w:hAnsi="微软雅黑" w:eastAsia="微软雅黑" w:cstheme="minorBidi"/>
          <w:color w:val="auto"/>
          <w:sz w:val="21"/>
          <w:szCs w:val="21"/>
          <w:highlight w:val="none"/>
          <w:vertAlign w:val="superscript"/>
          <w:lang w:val="en-US" w:eastAsia="zh-CN"/>
        </w:rPr>
        <w:t>-1</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★测试温控范围室温～80℃，温度稳定性±0.1℃。</w:t>
      </w:r>
    </w:p>
    <w:p>
      <w:pPr>
        <w:pStyle w:val="32"/>
        <w:keepNext w:val="0"/>
        <w:keepLines w:val="0"/>
        <w:pageBreakBefore w:val="0"/>
        <w:numPr>
          <w:ilvl w:val="0"/>
          <w:numId w:val="1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工作站预装相关近红外定量软件。</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5.6全自动电位滴定仪</w:t>
      </w:r>
      <w:r>
        <w:rPr>
          <w:rFonts w:hint="eastAsia" w:ascii="微软雅黑" w:hAnsi="微软雅黑" w:eastAsia="微软雅黑" w:cstheme="minorBidi"/>
          <w:color w:val="auto"/>
          <w:sz w:val="21"/>
          <w:szCs w:val="21"/>
          <w:highlight w:val="none"/>
          <w:lang w:val="en-US" w:eastAsia="zh-CN"/>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theme="minorBidi"/>
          <w:color w:val="auto"/>
          <w:sz w:val="21"/>
          <w:szCs w:val="21"/>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★5.6.1全自动电位滴定仪【本设备部分引用</w:t>
      </w:r>
      <w:r>
        <w:rPr>
          <w:rFonts w:hint="eastAsia" w:ascii="微软雅黑" w:hAnsi="微软雅黑" w:eastAsia="微软雅黑"/>
          <w:color w:val="auto"/>
          <w:highlight w:val="yellow"/>
          <w:lang w:val="en-US" w:eastAsia="zh-CN"/>
        </w:rPr>
        <w:t>JJG 814-2015《自动电位滴定仪检定规程》中3计量性能要求</w:t>
      </w:r>
      <w:r>
        <w:rPr>
          <w:rFonts w:hint="eastAsia" w:ascii="微软雅黑" w:hAnsi="微软雅黑" w:eastAsia="微软雅黑" w:cstheme="minorBidi"/>
          <w:color w:val="auto"/>
          <w:kern w:val="0"/>
          <w:sz w:val="21"/>
          <w:szCs w:val="21"/>
          <w:highlight w:val="yellow"/>
          <w:lang w:val="en-US" w:eastAsia="zh-CN" w:bidi="ar-SA"/>
        </w:rPr>
        <w:t>】，以下为引用标准中所列条款内容：</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1233170</wp:posOffset>
                </wp:positionH>
                <wp:positionV relativeFrom="paragraph">
                  <wp:posOffset>3838575</wp:posOffset>
                </wp:positionV>
                <wp:extent cx="1508125" cy="167005"/>
                <wp:effectExtent l="6350" t="6350" r="9525" b="17145"/>
                <wp:wrapNone/>
                <wp:docPr id="16" name="矩形 16"/>
                <wp:cNvGraphicFramePr/>
                <a:graphic xmlns:a="http://schemas.openxmlformats.org/drawingml/2006/main">
                  <a:graphicData uri="http://schemas.microsoft.com/office/word/2010/wordprocessingShape">
                    <wps:wsp>
                      <wps:cNvSpPr/>
                      <wps:spPr>
                        <a:xfrm>
                          <a:off x="2376170" y="4752975"/>
                          <a:ext cx="1508125" cy="167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1pt;margin-top:302.25pt;height:13.15pt;width:118.75pt;z-index:251662336;v-text-anchor:middle;mso-width-relative:page;mso-height-relative:page;" filled="f" stroked="t" coordsize="21600,21600" o:gfxdata="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RWvgPZAAAACwEAAA8AAAAAAAAAAQAgAAAAIgAAAGRy&#10;cy9kb3ducmV2LnhtbFBLAQIUABQAAAAIAIdO4kBzlakxdgIAANkEAAAOAAAAAAAAAAEAIAAAACgB&#10;AABkcnMvZTJvRG9jLnhtbFBLBQYAAAAABgAGAFkBAAAQBgAAAAA=&#10;">
                <v:fill on="f" focussize="0,0"/>
                <v:stroke weight="1pt" color="#C00000 [3204]" miterlimit="8"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1195705</wp:posOffset>
                </wp:positionV>
                <wp:extent cx="460375" cy="174625"/>
                <wp:effectExtent l="6350" t="6350" r="9525" b="9525"/>
                <wp:wrapNone/>
                <wp:docPr id="15" name="矩形 15"/>
                <wp:cNvGraphicFramePr/>
                <a:graphic xmlns:a="http://schemas.openxmlformats.org/drawingml/2006/main">
                  <a:graphicData uri="http://schemas.microsoft.com/office/word/2010/wordprocessingShape">
                    <wps:wsp>
                      <wps:cNvSpPr/>
                      <wps:spPr>
                        <a:xfrm>
                          <a:off x="1201420" y="2125345"/>
                          <a:ext cx="460375" cy="1746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94.15pt;height:13.75pt;width:36.25pt;z-index:251661312;v-text-anchor:middle;mso-width-relative:page;mso-height-relative:page;" filled="f" stroked="t" coordsize="21600,21600" o:gfxdata="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ZJJANYAAAAIAQAADwAAAAAAAAABACAAAAAiAAAAZHJzL2Rv&#10;d25yZXYueG1sUEsBAhQAFAAAAAgAh07iQK5BKpB1AgAA2AQAAA4AAAAAAAAAAQAgAAAAJQEAAGRy&#10;cy9lMm9Eb2MueG1sUEsFBgAAAAAGAAYAWQEAAAwGAAAAAA==&#10;">
                <v:fill on="f" focussize="0,0"/>
                <v:stroke weight="1pt" color="#C00000 [3204]" miterlimit="8" joinstyle="miter"/>
                <v:imagedata o:title=""/>
                <o:lock v:ext="edit" aspectratio="f"/>
              </v:rect>
            </w:pict>
          </mc:Fallback>
        </mc:AlternateContent>
      </w:r>
      <w:r>
        <w:rPr>
          <w:color w:val="auto"/>
          <w:highlight w:val="none"/>
        </w:rPr>
        <w:drawing>
          <wp:inline distT="0" distB="0" distL="114300" distR="114300">
            <wp:extent cx="3853180" cy="4903470"/>
            <wp:effectExtent l="0" t="0" r="1397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853180" cy="4903470"/>
                    </a:xfrm>
                    <a:prstGeom prst="rect">
                      <a:avLst/>
                    </a:prstGeom>
                    <a:noFill/>
                    <a:ln>
                      <a:noFill/>
                    </a:ln>
                  </pic:spPr>
                </pic:pic>
              </a:graphicData>
            </a:graphic>
          </wp:inline>
        </w:drawing>
      </w:r>
    </w:p>
    <w:p>
      <w:pPr>
        <w:pStyle w:val="32"/>
        <w:keepNext w:val="0"/>
        <w:keepLines w:val="0"/>
        <w:pageBreakBefore w:val="0"/>
        <w:numPr>
          <w:ilvl w:val="0"/>
          <w:numId w:val="15"/>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★滴定仪计量性能：按 JJG814-2015 0.05 级；</w:t>
      </w:r>
    </w:p>
    <w:p>
      <w:pPr>
        <w:pStyle w:val="32"/>
        <w:keepNext w:val="0"/>
        <w:keepLines w:val="0"/>
        <w:pageBreakBefore w:val="0"/>
        <w:numPr>
          <w:ilvl w:val="0"/>
          <w:numId w:val="15"/>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★滴定管容量误差及滴定管驱动加液误差满足 JJG814-2015 和 ISO 8655-3-2022 要求；</w:t>
      </w:r>
    </w:p>
    <w:p>
      <w:pPr>
        <w:pStyle w:val="5"/>
        <w:spacing w:line="360" w:lineRule="auto"/>
        <w:ind w:left="105" w:leftChars="50" w:right="105" w:rightChars="50" w:firstLine="420"/>
        <w:rPr>
          <w:rFonts w:hint="eastAsia" w:ascii="微软雅黑" w:hAnsi="微软雅黑" w:eastAsia="微软雅黑" w:cstheme="minorBidi"/>
          <w:color w:val="auto"/>
          <w:sz w:val="21"/>
          <w:szCs w:val="21"/>
          <w:highlight w:val="yellow"/>
          <w:lang w:val="en-US" w:eastAsia="zh-CN"/>
        </w:rPr>
      </w:pPr>
      <w:r>
        <w:rPr>
          <w:rFonts w:hint="eastAsia" w:ascii="微软雅黑" w:hAnsi="微软雅黑" w:eastAsia="微软雅黑" w:cstheme="minorBidi"/>
          <w:color w:val="auto"/>
          <w:kern w:val="0"/>
          <w:sz w:val="21"/>
          <w:szCs w:val="21"/>
          <w:highlight w:val="yellow"/>
          <w:lang w:val="en-US" w:eastAsia="zh-CN" w:bidi="ar-SA"/>
        </w:rPr>
        <w:t>5.6.2【下述补充要求为对上述标准中参数的补充优化】</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工作模式至少具备动态滴定、等量滴定、终点设定滴定、测量、CAL 校正等；</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可直接测定温度、电压；</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测量范围：电位：-1200.0-1200mV ；</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滴定管驱动器步进电机精度为：1/10000；</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可连接滴定管驱动器个数不少于 4 个；</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滴定管可实现数据的可溯源性；</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工作站可全程的数据溯源和审计追踪；具有与LIMS 系统连接的硬件能力；</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仪器可以输出滴定数据（excel  或 pdf 等格式）、备份方法、打印报告、重新校正结果，能够同时在线显示滴定曲线和导数曲线；</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滴定台：滴定杯体积：不小于 100ml；搅拌方式：螺旋搅拌和磁力搅拌器，速度可调，具备密闭滴定功能；</w:t>
      </w:r>
    </w:p>
    <w:p>
      <w:pPr>
        <w:pStyle w:val="32"/>
        <w:keepNext w:val="0"/>
        <w:keepLines w:val="0"/>
        <w:pageBreakBefore w:val="0"/>
        <w:numPr>
          <w:ilvl w:val="0"/>
          <w:numId w:val="16"/>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★自动进样功能器：样品处理器位数≥10 位；滴定完后可自动清洗；具有自动揭盖功能。</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5.7全自动pH检测设备</w:t>
      </w:r>
      <w:r>
        <w:rPr>
          <w:rFonts w:hint="eastAsia" w:ascii="微软雅黑" w:hAnsi="微软雅黑" w:eastAsia="微软雅黑" w:cstheme="minorBidi"/>
          <w:color w:val="auto"/>
          <w:sz w:val="21"/>
          <w:szCs w:val="21"/>
          <w:highlight w:val="none"/>
          <w:lang w:val="en-US" w:eastAsia="zh-CN"/>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微软雅黑" w:hAnsi="微软雅黑" w:eastAsia="微软雅黑" w:cstheme="minorBidi"/>
          <w:color w:val="auto"/>
          <w:kern w:val="0"/>
          <w:sz w:val="21"/>
          <w:szCs w:val="21"/>
          <w:highlight w:val="none"/>
          <w:lang w:val="en-US" w:eastAsia="zh-CN" w:bidi="ar-SA"/>
        </w:rPr>
        <w:t>★5.7.1</w:t>
      </w:r>
      <w:r>
        <w:rPr>
          <w:rFonts w:hint="eastAsia" w:ascii="微软雅黑" w:hAnsi="微软雅黑" w:eastAsia="微软雅黑" w:cs="微软雅黑"/>
          <w:color w:val="auto"/>
          <w:sz w:val="21"/>
          <w:szCs w:val="21"/>
          <w:highlight w:val="none"/>
          <w:lang w:val="en-US" w:eastAsia="zh-CN"/>
        </w:rPr>
        <w:t>全自动pH检测设备</w:t>
      </w:r>
      <w:r>
        <w:rPr>
          <w:rFonts w:hint="eastAsia" w:ascii="微软雅黑" w:hAnsi="微软雅黑" w:eastAsia="微软雅黑" w:cstheme="minorBidi"/>
          <w:color w:val="auto"/>
          <w:kern w:val="0"/>
          <w:sz w:val="21"/>
          <w:szCs w:val="21"/>
          <w:highlight w:val="none"/>
          <w:lang w:val="en-US" w:eastAsia="zh-CN" w:bidi="ar-SA"/>
        </w:rPr>
        <w:t>【本设备部分引用</w:t>
      </w:r>
      <w:r>
        <w:rPr>
          <w:rFonts w:hint="eastAsia" w:ascii="微软雅黑" w:hAnsi="微软雅黑" w:eastAsia="微软雅黑"/>
          <w:color w:val="auto"/>
          <w:highlight w:val="none"/>
          <w:lang w:val="en-US" w:eastAsia="zh-CN"/>
        </w:rPr>
        <w:t>JJG119-2005《实验室pH（酸度）计》中4计量性能要求4.7仪器示值重复性</w:t>
      </w:r>
      <w:r>
        <w:rPr>
          <w:rFonts w:hint="eastAsia" w:ascii="微软雅黑" w:hAnsi="微软雅黑" w:eastAsia="微软雅黑" w:cstheme="minorBidi"/>
          <w:color w:val="auto"/>
          <w:kern w:val="0"/>
          <w:sz w:val="21"/>
          <w:szCs w:val="21"/>
          <w:highlight w:val="none"/>
          <w:lang w:val="en-US" w:eastAsia="zh-CN" w:bidi="ar-SA"/>
        </w:rPr>
        <w:t>】，以下为引用标准中所列条款内容：</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color w:val="auto"/>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3011170</wp:posOffset>
                </wp:positionH>
                <wp:positionV relativeFrom="paragraph">
                  <wp:posOffset>1363345</wp:posOffset>
                </wp:positionV>
                <wp:extent cx="695325" cy="2914650"/>
                <wp:effectExtent l="6350" t="6350" r="22225" b="12700"/>
                <wp:wrapNone/>
                <wp:docPr id="6" name="矩形 6"/>
                <wp:cNvGraphicFramePr/>
                <a:graphic xmlns:a="http://schemas.openxmlformats.org/drawingml/2006/main">
                  <a:graphicData uri="http://schemas.microsoft.com/office/word/2010/wordprocessingShape">
                    <wps:wsp>
                      <wps:cNvSpPr/>
                      <wps:spPr>
                        <a:xfrm>
                          <a:off x="4154170" y="2277745"/>
                          <a:ext cx="695325" cy="29146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1pt;margin-top:107.35pt;height:229.5pt;width:54.75pt;z-index:251660288;v-text-anchor:middle;mso-width-relative:page;mso-height-relative:page;" filled="f" stroked="t" coordsize="21600,21600" o:gfxdata="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nGyZp2QAAAAsBAAAPAAAAAAAAAAEAIAAAACIAAABk&#10;cnMvZG93bnJldi54bWxQSwECFAAUAAAACACHTuJAEoXiC3cCAADXBAAADgAAAAAAAAABACAAAAAo&#10;AQAAZHJzL2Uyb0RvYy54bWxQSwUGAAAAAAYABgBZAQAAEQYAAAAA&#10;">
                <v:fill on="f" focussize="0,0"/>
                <v:stroke weight="1pt" color="#C00000 [3204]" miterlimit="8" joinstyle="miter"/>
                <v:imagedata o:title=""/>
                <o:lock v:ext="edit" aspectratio="f"/>
              </v:rect>
            </w:pict>
          </mc:Fallback>
        </mc:AlternateContent>
      </w:r>
      <w:r>
        <w:rPr>
          <w:color w:val="auto"/>
          <w:highlight w:val="none"/>
        </w:rPr>
        <w:drawing>
          <wp:inline distT="0" distB="0" distL="114300" distR="114300">
            <wp:extent cx="5268595" cy="4201160"/>
            <wp:effectExtent l="0" t="0" r="8255"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68595" cy="4201160"/>
                    </a:xfrm>
                    <a:prstGeom prst="rect">
                      <a:avLst/>
                    </a:prstGeom>
                    <a:noFill/>
                    <a:ln>
                      <a:noFill/>
                    </a:ln>
                  </pic:spPr>
                </pic:pic>
              </a:graphicData>
            </a:graphic>
          </wp:inline>
        </w:drawing>
      </w:r>
    </w:p>
    <w:p>
      <w:pPr>
        <w:pStyle w:val="32"/>
        <w:keepNext w:val="0"/>
        <w:keepLines w:val="0"/>
        <w:pageBreakBefore w:val="0"/>
        <w:numPr>
          <w:ilvl w:val="0"/>
          <w:numId w:val="17"/>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精度：0.01；</w:t>
      </w:r>
    </w:p>
    <w:p>
      <w:pPr>
        <w:pStyle w:val="5"/>
        <w:spacing w:line="360" w:lineRule="auto"/>
        <w:ind w:left="105" w:leftChars="50" w:right="105" w:rightChars="50" w:firstLine="42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kern w:val="0"/>
          <w:sz w:val="21"/>
          <w:szCs w:val="21"/>
          <w:highlight w:val="none"/>
          <w:lang w:val="en-US" w:eastAsia="zh-CN" w:bidi="ar-SA"/>
        </w:rPr>
        <w:t>5.7.2【下述补充要求为对上述标准中参数的补充优化】</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可以自动化实现样品的搅拌、静置、检测pH、清洗等步骤；</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pH值范围0-14；</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★≥16位全自动进样器；</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配备样品自动恒温装置，温控精度±0.5℃；</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★pH可以自校，具备故障预警功能；</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3点以上pH 校准；</w:t>
      </w:r>
    </w:p>
    <w:p>
      <w:pPr>
        <w:pStyle w:val="32"/>
        <w:keepNext w:val="0"/>
        <w:keepLines w:val="0"/>
        <w:pageBreakBefore w:val="0"/>
        <w:numPr>
          <w:ilvl w:val="0"/>
          <w:numId w:val="18"/>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主机具有中文操作界面，可使用触屏和电脑操作软件同时操作。</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5.8备品备件与专用工具：</w:t>
      </w:r>
    </w:p>
    <w:p>
      <w:pPr>
        <w:pStyle w:val="32"/>
        <w:keepNext w:val="0"/>
        <w:keepLines w:val="0"/>
        <w:pageBreakBefore w:val="0"/>
        <w:kinsoku/>
        <w:wordWrap/>
        <w:overflowPunct/>
        <w:topLinePunct w:val="0"/>
        <w:bidi w:val="0"/>
        <w:snapToGrid/>
        <w:spacing w:line="360" w:lineRule="auto"/>
        <w:ind w:firstLine="420" w:firstLineChars="200"/>
        <w:textAlignment w:val="auto"/>
        <w:outlineLvl w:val="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为实现购置设备独立检测功能，以下备件需与设备配套提供。</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5.8.1超高效液相色谱仪备件</w:t>
      </w:r>
    </w:p>
    <w:p>
      <w:pPr>
        <w:pStyle w:val="32"/>
        <w:keepNext w:val="0"/>
        <w:keepLines w:val="0"/>
        <w:pageBreakBefore w:val="0"/>
        <w:numPr>
          <w:ilvl w:val="0"/>
          <w:numId w:val="1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额外附带配液相色谱柱3套（液相 色谱柱具体型号根据实际需要提供）</w:t>
      </w:r>
    </w:p>
    <w:p>
      <w:pPr>
        <w:pStyle w:val="32"/>
        <w:keepNext w:val="0"/>
        <w:keepLines w:val="0"/>
        <w:pageBreakBefore w:val="0"/>
        <w:numPr>
          <w:ilvl w:val="0"/>
          <w:numId w:val="1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附带一年耗材包 1套</w:t>
      </w:r>
    </w:p>
    <w:p>
      <w:pPr>
        <w:pStyle w:val="32"/>
        <w:keepNext w:val="0"/>
        <w:keepLines w:val="0"/>
        <w:pageBreakBefore w:val="0"/>
        <w:numPr>
          <w:ilvl w:val="0"/>
          <w:numId w:val="1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附带安装包1套</w:t>
      </w:r>
    </w:p>
    <w:p>
      <w:pPr>
        <w:pStyle w:val="32"/>
        <w:keepNext w:val="0"/>
        <w:keepLines w:val="0"/>
        <w:pageBreakBefore w:val="0"/>
        <w:numPr>
          <w:ilvl w:val="0"/>
          <w:numId w:val="19"/>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附带工具包1套</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5.8.2接触角仪备件</w:t>
      </w:r>
    </w:p>
    <w:p>
      <w:pPr>
        <w:pStyle w:val="32"/>
        <w:keepNext w:val="0"/>
        <w:keepLines w:val="0"/>
        <w:pageBreakBefore w:val="0"/>
        <w:numPr>
          <w:ilvl w:val="0"/>
          <w:numId w:val="20"/>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附带超疏水滴液头 96个</w:t>
      </w:r>
    </w:p>
    <w:p>
      <w:pPr>
        <w:pStyle w:val="32"/>
        <w:keepNext w:val="0"/>
        <w:keepLines w:val="0"/>
        <w:pageBreakBefore w:val="0"/>
        <w:numPr>
          <w:ilvl w:val="0"/>
          <w:numId w:val="20"/>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附带带认证的标准球 2个</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5.8.3品氏粘度计恒温水浴槽备件</w:t>
      </w:r>
    </w:p>
    <w:p>
      <w:pPr>
        <w:pStyle w:val="32"/>
        <w:keepNext w:val="0"/>
        <w:keepLines w:val="0"/>
        <w:pageBreakBefore w:val="0"/>
        <w:numPr>
          <w:ilvl w:val="0"/>
          <w:numId w:val="21"/>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附带测试管5套</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5.8.4全自动馏程测定仪备件</w:t>
      </w:r>
    </w:p>
    <w:p>
      <w:pPr>
        <w:pStyle w:val="32"/>
        <w:keepNext w:val="0"/>
        <w:keepLines w:val="0"/>
        <w:pageBreakBefore w:val="0"/>
        <w:numPr>
          <w:ilvl w:val="0"/>
          <w:numId w:val="22"/>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附带配套烧瓶5个</w:t>
      </w:r>
    </w:p>
    <w:p>
      <w:pPr>
        <w:pStyle w:val="32"/>
        <w:keepNext w:val="0"/>
        <w:keepLines w:val="0"/>
        <w:pageBreakBefore w:val="0"/>
        <w:numPr>
          <w:ilvl w:val="0"/>
          <w:numId w:val="22"/>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附带配套量筒5个</w:t>
      </w:r>
    </w:p>
    <w:p>
      <w:pPr>
        <w:pStyle w:val="32"/>
        <w:keepNext w:val="0"/>
        <w:keepLines w:val="0"/>
        <w:pageBreakBefore w:val="0"/>
        <w:numPr>
          <w:ilvl w:val="0"/>
          <w:numId w:val="22"/>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附带温度探头1个</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5.8.5羟基测定仪备件</w:t>
      </w:r>
    </w:p>
    <w:p>
      <w:pPr>
        <w:pStyle w:val="32"/>
        <w:keepNext w:val="0"/>
        <w:keepLines w:val="0"/>
        <w:pageBreakBefore w:val="0"/>
        <w:numPr>
          <w:ilvl w:val="0"/>
          <w:numId w:val="2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附带检测用样品瓶，带密封盖 10套</w:t>
      </w:r>
    </w:p>
    <w:p>
      <w:pPr>
        <w:pStyle w:val="32"/>
        <w:keepNext w:val="0"/>
        <w:keepLines w:val="0"/>
        <w:pageBreakBefore w:val="0"/>
        <w:numPr>
          <w:ilvl w:val="0"/>
          <w:numId w:val="23"/>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附带工具包1套</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5.8.6全自动电位滴定仪备件</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附带工具包 1套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附带样品杯 3套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滴定头 3套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附带滴定管 3套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附带参比电极 3套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附带指示电极 3套</w:t>
      </w:r>
    </w:p>
    <w:p>
      <w:pPr>
        <w:pStyle w:val="32"/>
        <w:keepNext w:val="0"/>
        <w:keepLines w:val="0"/>
        <w:pageBreakBefore w:val="0"/>
        <w:numPr>
          <w:ilvl w:val="0"/>
          <w:numId w:val="24"/>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附带无隔膜电极1套</w:t>
      </w:r>
    </w:p>
    <w:p>
      <w:pPr>
        <w:pStyle w:val="32"/>
        <w:keepNext w:val="0"/>
        <w:keepLines w:val="0"/>
        <w:pageBreakBefore w:val="0"/>
        <w:numPr>
          <w:ilvl w:val="0"/>
          <w:numId w:val="0"/>
        </w:numPr>
        <w:kinsoku/>
        <w:wordWrap/>
        <w:overflowPunct/>
        <w:topLinePunct w:val="0"/>
        <w:bidi w:val="0"/>
        <w:snapToGrid/>
        <w:spacing w:line="360" w:lineRule="auto"/>
        <w:ind w:left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5.8.7全自动pH检测设备备件</w:t>
      </w:r>
    </w:p>
    <w:p>
      <w:pPr>
        <w:pStyle w:val="32"/>
        <w:keepNext w:val="0"/>
        <w:keepLines w:val="0"/>
        <w:pageBreakBefore w:val="0"/>
        <w:numPr>
          <w:ilvl w:val="0"/>
          <w:numId w:val="25"/>
        </w:numPr>
        <w:kinsoku/>
        <w:wordWrap/>
        <w:overflowPunct/>
        <w:topLinePunct w:val="0"/>
        <w:bidi w:val="0"/>
        <w:snapToGrid/>
        <w:spacing w:line="360" w:lineRule="auto"/>
        <w:ind w:left="425" w:leftChars="0" w:hanging="425" w:firstLineChars="0"/>
        <w:textAlignment w:val="auto"/>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附带智能三合一免维护pH 电极3套</w:t>
      </w:r>
    </w:p>
    <w:p>
      <w:pPr>
        <w:pStyle w:val="32"/>
        <w:keepNext w:val="0"/>
        <w:keepLines w:val="0"/>
        <w:pageBreakBefore w:val="0"/>
        <w:numPr>
          <w:ilvl w:val="0"/>
          <w:numId w:val="25"/>
        </w:numPr>
        <w:kinsoku/>
        <w:wordWrap/>
        <w:overflowPunct/>
        <w:topLinePunct w:val="0"/>
        <w:bidi w:val="0"/>
        <w:snapToGrid/>
        <w:spacing w:line="360" w:lineRule="auto"/>
        <w:ind w:left="425" w:leftChars="0" w:hanging="425" w:firstLineChars="0"/>
        <w:textAlignment w:val="auto"/>
        <w:outlineLvl w:val="0"/>
        <w:rPr>
          <w:rFonts w:hint="default"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lang w:val="en-US" w:eastAsia="zh-CN"/>
        </w:rPr>
        <w:t>附带校准标准溶液10套</w:t>
      </w:r>
    </w:p>
    <w:p>
      <w:pPr>
        <w:pStyle w:val="32"/>
        <w:keepNext w:val="0"/>
        <w:keepLines w:val="0"/>
        <w:pageBreakBefore w:val="0"/>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六、检测和试验</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6.1 在</w:t>
      </w:r>
      <w:r>
        <w:rPr>
          <w:rFonts w:hint="eastAsia" w:ascii="微软雅黑" w:hAnsi="微软雅黑" w:eastAsia="微软雅黑" w:cs="微软雅黑"/>
          <w:color w:val="auto"/>
          <w:kern w:val="2"/>
          <w:sz w:val="21"/>
          <w:szCs w:val="21"/>
          <w:highlight w:val="none"/>
          <w:lang w:val="en-US" w:eastAsia="zh-CN"/>
        </w:rPr>
        <w:t>生产加工</w:t>
      </w:r>
      <w:r>
        <w:rPr>
          <w:rFonts w:hint="eastAsia" w:ascii="微软雅黑" w:hAnsi="微软雅黑" w:eastAsia="微软雅黑" w:cs="微软雅黑"/>
          <w:color w:val="auto"/>
          <w:kern w:val="2"/>
          <w:sz w:val="21"/>
          <w:szCs w:val="21"/>
          <w:highlight w:val="none"/>
        </w:rPr>
        <w:t>组装期内，我公司有权随时去乙方的建造场地检查工作进展情况。若发现有不符合要求，我公司有权令其修改或重做；</w:t>
      </w:r>
    </w:p>
    <w:p>
      <w:pPr>
        <w:pStyle w:val="32"/>
        <w:keepNext w:val="0"/>
        <w:keepLines w:val="0"/>
        <w:pageBreakBefore w:val="0"/>
        <w:kinsoku/>
        <w:wordWrap/>
        <w:overflowPunct/>
        <w:topLinePunct w:val="0"/>
        <w:bidi w:val="0"/>
        <w:snapToGrid/>
        <w:spacing w:line="360" w:lineRule="auto"/>
        <w:textAlignment w:val="auto"/>
        <w:outlineLvl w:val="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6.2 安装完成后对设备进行调试，性能须满足本项目的技术合同、澄清纪要（或邮件）要求。</w:t>
      </w:r>
    </w:p>
    <w:p>
      <w:pPr>
        <w:pStyle w:val="32"/>
        <w:keepNext w:val="0"/>
        <w:keepLines w:val="0"/>
        <w:pageBreakBefore w:val="0"/>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七、标识、包装、运输和存储</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7.1</w:t>
      </w:r>
      <w:r>
        <w:rPr>
          <w:rFonts w:hint="eastAsia" w:ascii="微软雅黑" w:hAnsi="微软雅黑" w:eastAsia="微软雅黑"/>
          <w:color w:val="auto"/>
          <w:highlight w:val="none"/>
          <w:lang w:eastAsia="zh-CN"/>
        </w:rPr>
        <w:t>产品标识</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设备铭牌要求，包含设备编号、名称、型号、制造日期等内容。</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7.2</w:t>
      </w:r>
      <w:r>
        <w:rPr>
          <w:rFonts w:hint="eastAsia" w:ascii="微软雅黑" w:hAnsi="微软雅黑" w:eastAsia="微软雅黑"/>
          <w:color w:val="auto"/>
          <w:highlight w:val="none"/>
          <w:lang w:eastAsia="zh-CN"/>
        </w:rPr>
        <w:t>产品包装</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设备</w:t>
      </w:r>
      <w:r>
        <w:rPr>
          <w:rFonts w:hint="eastAsia" w:ascii="微软雅黑" w:hAnsi="微软雅黑" w:eastAsia="微软雅黑"/>
          <w:color w:val="auto"/>
          <w:highlight w:val="none"/>
          <w:lang w:eastAsia="zh-CN"/>
        </w:rPr>
        <w:t>内外表面清洁，不含油污、水渍、灰尘，无磕碰、做好防水措施。</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7.3产品存储</w:t>
      </w:r>
    </w:p>
    <w:p>
      <w:pPr>
        <w:pStyle w:val="5"/>
        <w:keepNext w:val="0"/>
        <w:keepLines w:val="0"/>
        <w:pageBreakBefore w:val="0"/>
        <w:kinsoku/>
        <w:wordWrap/>
        <w:overflowPunct/>
        <w:topLinePunct w:val="0"/>
        <w:bidi w:val="0"/>
        <w:snapToGrid/>
        <w:spacing w:line="360" w:lineRule="auto"/>
        <w:ind w:left="0" w:leftChars="0" w:right="122" w:firstLine="210" w:firstLineChars="10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常温遮阳存放。</w:t>
      </w:r>
    </w:p>
    <w:p>
      <w:pPr>
        <w:pStyle w:val="32"/>
        <w:keepNext w:val="0"/>
        <w:keepLines w:val="0"/>
        <w:pageBreakBefore w:val="0"/>
        <w:numPr>
          <w:ilvl w:val="0"/>
          <w:numId w:val="26"/>
        </w:numPr>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技术文件</w:t>
      </w:r>
    </w:p>
    <w:p>
      <w:pPr>
        <w:pStyle w:val="5"/>
        <w:keepNext w:val="0"/>
        <w:keepLines w:val="0"/>
        <w:pageBreakBefore w:val="0"/>
        <w:numPr>
          <w:ilvl w:val="0"/>
          <w:numId w:val="0"/>
        </w:numPr>
        <w:kinsoku/>
        <w:wordWrap/>
        <w:overflowPunct/>
        <w:topLinePunct w:val="0"/>
        <w:bidi w:val="0"/>
        <w:snapToGrid/>
        <w:spacing w:line="360" w:lineRule="auto"/>
        <w:ind w:right="122" w:rightChars="0" w:firstLine="420" w:firstLineChars="200"/>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随</w:t>
      </w:r>
      <w:r>
        <w:rPr>
          <w:rFonts w:hint="eastAsia" w:ascii="微软雅黑" w:hAnsi="微软雅黑" w:eastAsia="微软雅黑" w:cs="微软雅黑"/>
          <w:color w:val="auto"/>
          <w:highlight w:val="none"/>
          <w:lang w:eastAsia="zh-CN"/>
        </w:rPr>
        <w:t>产品交付</w:t>
      </w:r>
      <w:r>
        <w:rPr>
          <w:rFonts w:hint="eastAsia" w:ascii="微软雅黑" w:hAnsi="微软雅黑" w:eastAsia="微软雅黑" w:cs="微软雅黑"/>
          <w:color w:val="auto"/>
          <w:highlight w:val="none"/>
          <w:lang w:val="en-US" w:eastAsia="zh-CN"/>
        </w:rPr>
        <w:t>技术</w:t>
      </w:r>
      <w:r>
        <w:rPr>
          <w:rFonts w:hint="eastAsia" w:ascii="微软雅黑" w:hAnsi="微软雅黑" w:eastAsia="微软雅黑" w:cs="微软雅黑"/>
          <w:color w:val="auto"/>
          <w:highlight w:val="none"/>
          <w:lang w:eastAsia="zh-CN"/>
        </w:rPr>
        <w:t>文件</w:t>
      </w:r>
      <w:r>
        <w:rPr>
          <w:rFonts w:hint="eastAsia" w:ascii="微软雅黑" w:hAnsi="微软雅黑" w:eastAsia="微软雅黑" w:cs="微软雅黑"/>
          <w:color w:val="auto"/>
          <w:kern w:val="2"/>
          <w:sz w:val="21"/>
          <w:szCs w:val="21"/>
          <w:highlight w:val="none"/>
        </w:rPr>
        <w:t>包括但不限于</w:t>
      </w:r>
      <w:r>
        <w:rPr>
          <w:rFonts w:hint="eastAsia" w:ascii="微软雅黑" w:hAnsi="微软雅黑" w:eastAsia="微软雅黑" w:cs="微软雅黑"/>
          <w:color w:val="auto"/>
          <w:highlight w:val="none"/>
          <w:lang w:eastAsia="zh-CN"/>
        </w:rPr>
        <w:t>产品合格证、出厂检验报告、</w:t>
      </w:r>
      <w:r>
        <w:rPr>
          <w:rFonts w:hint="eastAsia" w:ascii="微软雅黑" w:hAnsi="微软雅黑" w:eastAsia="微软雅黑" w:cs="微软雅黑"/>
          <w:color w:val="auto"/>
          <w:highlight w:val="none"/>
          <w:lang w:val="en-US" w:eastAsia="zh-CN"/>
        </w:rPr>
        <w:t>具备法定计量校准资质的机构出具的证书</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见需求一览表“备注”</w:t>
      </w:r>
      <w:r>
        <w:rPr>
          <w:rFonts w:hint="eastAsia" w:ascii="微软雅黑" w:hAnsi="微软雅黑" w:eastAsia="微软雅黑" w:cs="微软雅黑"/>
          <w:color w:val="auto"/>
          <w:highlight w:val="none"/>
          <w:lang w:eastAsia="zh-CN"/>
        </w:rPr>
        <w:t>）等。</w:t>
      </w:r>
    </w:p>
    <w:bookmarkEnd w:id="4"/>
    <w:bookmarkEnd w:id="5"/>
    <w:p>
      <w:pPr>
        <w:pStyle w:val="32"/>
        <w:keepNext w:val="0"/>
        <w:keepLines w:val="0"/>
        <w:pageBreakBefore w:val="0"/>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九、工作进度、监造和现场验收</w:t>
      </w:r>
    </w:p>
    <w:p>
      <w:pPr>
        <w:pStyle w:val="6"/>
        <w:keepNext w:val="0"/>
        <w:keepLines w:val="0"/>
        <w:pageBreakBefore w:val="0"/>
        <w:kinsoku/>
        <w:wordWrap/>
        <w:overflowPunct/>
        <w:topLinePunct w:val="0"/>
        <w:bidi w:val="0"/>
        <w:snapToGrid/>
        <w:spacing w:line="360" w:lineRule="auto"/>
        <w:ind w:left="0" w:leftChars="0" w:firstLine="210" w:firstLineChars="100"/>
        <w:textAlignment w:val="auto"/>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合同签订后，接到买方正式通知之日起3个自然月内。</w:t>
      </w:r>
    </w:p>
    <w:p>
      <w:pPr>
        <w:pStyle w:val="32"/>
        <w:keepNext w:val="0"/>
        <w:keepLines w:val="0"/>
        <w:pageBreakBefore w:val="0"/>
        <w:kinsoku/>
        <w:wordWrap/>
        <w:overflowPunct/>
        <w:topLinePunct w:val="0"/>
        <w:bidi w:val="0"/>
        <w:snapToGrid/>
        <w:spacing w:before="120" w:after="120" w:line="360" w:lineRule="auto"/>
        <w:textAlignment w:val="auto"/>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十、技术服务与售后服务</w:t>
      </w:r>
    </w:p>
    <w:p>
      <w:pPr>
        <w:pStyle w:val="5"/>
        <w:keepNext w:val="0"/>
        <w:keepLines w:val="0"/>
        <w:pageBreakBefore w:val="0"/>
        <w:kinsoku/>
        <w:wordWrap/>
        <w:overflowPunct/>
        <w:topLinePunct w:val="0"/>
        <w:bidi w:val="0"/>
        <w:snapToGrid/>
        <w:spacing w:line="360" w:lineRule="auto"/>
        <w:ind w:right="122" w:firstLineChars="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10.</w:t>
      </w:r>
      <w:r>
        <w:rPr>
          <w:rFonts w:hint="eastAsia" w:ascii="微软雅黑" w:hAnsi="微软雅黑" w:eastAsia="微软雅黑"/>
          <w:color w:val="auto"/>
          <w:highlight w:val="none"/>
          <w:lang w:eastAsia="zh-CN"/>
        </w:rPr>
        <w:t>1</w:t>
      </w:r>
      <w:r>
        <w:rPr>
          <w:rFonts w:hint="eastAsia" w:ascii="微软雅黑" w:hAnsi="微软雅黑" w:eastAsia="微软雅黑" w:cs="微软雅黑"/>
          <w:color w:val="auto"/>
          <w:kern w:val="2"/>
          <w:sz w:val="21"/>
          <w:szCs w:val="21"/>
          <w:highlight w:val="none"/>
        </w:rPr>
        <w:t>按照安装、调试指导要求，在设备到货后，</w:t>
      </w:r>
      <w:r>
        <w:rPr>
          <w:rFonts w:hint="eastAsia" w:ascii="微软雅黑" w:hAnsi="微软雅黑" w:eastAsia="微软雅黑" w:cs="微软雅黑"/>
          <w:color w:val="auto"/>
          <w:kern w:val="2"/>
          <w:sz w:val="21"/>
          <w:szCs w:val="21"/>
          <w:highlight w:val="none"/>
          <w:lang w:val="en-US" w:eastAsia="zh-CN"/>
        </w:rPr>
        <w:t>每台设备</w:t>
      </w:r>
      <w:r>
        <w:rPr>
          <w:rFonts w:hint="eastAsia" w:ascii="微软雅黑" w:hAnsi="微软雅黑" w:eastAsia="微软雅黑" w:cs="微软雅黑"/>
          <w:color w:val="auto"/>
          <w:kern w:val="2"/>
          <w:sz w:val="21"/>
          <w:szCs w:val="21"/>
          <w:highlight w:val="none"/>
        </w:rPr>
        <w:t>需</w:t>
      </w:r>
      <w:r>
        <w:rPr>
          <w:rFonts w:hint="eastAsia" w:ascii="微软雅黑" w:hAnsi="微软雅黑" w:eastAsia="微软雅黑" w:cs="微软雅黑"/>
          <w:color w:val="auto"/>
          <w:kern w:val="2"/>
          <w:sz w:val="21"/>
          <w:szCs w:val="21"/>
          <w:highlight w:val="none"/>
          <w:lang w:val="en-US" w:eastAsia="zh-CN"/>
        </w:rPr>
        <w:t>卖方</w:t>
      </w:r>
      <w:r>
        <w:rPr>
          <w:rFonts w:hint="eastAsia" w:ascii="微软雅黑" w:hAnsi="微软雅黑" w:eastAsia="微软雅黑" w:cs="微软雅黑"/>
          <w:color w:val="auto"/>
          <w:kern w:val="2"/>
          <w:sz w:val="21"/>
          <w:szCs w:val="21"/>
          <w:highlight w:val="none"/>
        </w:rPr>
        <w:t>派遣</w:t>
      </w:r>
      <w:r>
        <w:rPr>
          <w:rFonts w:hint="eastAsia" w:ascii="微软雅黑" w:hAnsi="微软雅黑" w:eastAsia="微软雅黑" w:cs="微软雅黑"/>
          <w:color w:val="auto"/>
          <w:kern w:val="2"/>
          <w:sz w:val="21"/>
          <w:szCs w:val="21"/>
          <w:highlight w:val="none"/>
          <w:lang w:val="en-US" w:eastAsia="zh-CN"/>
        </w:rPr>
        <w:t>技术</w:t>
      </w:r>
      <w:r>
        <w:rPr>
          <w:rFonts w:hint="eastAsia" w:ascii="微软雅黑" w:hAnsi="微软雅黑" w:eastAsia="微软雅黑" w:cs="微软雅黑"/>
          <w:color w:val="auto"/>
          <w:kern w:val="2"/>
          <w:sz w:val="21"/>
          <w:szCs w:val="21"/>
          <w:highlight w:val="none"/>
        </w:rPr>
        <w:t>服务工程师到现场指导</w:t>
      </w:r>
      <w:r>
        <w:rPr>
          <w:rFonts w:hint="eastAsia" w:ascii="微软雅黑" w:hAnsi="微软雅黑" w:eastAsia="微软雅黑" w:cs="微软雅黑"/>
          <w:color w:val="auto"/>
          <w:kern w:val="2"/>
          <w:sz w:val="21"/>
          <w:szCs w:val="21"/>
          <w:highlight w:val="none"/>
          <w:lang w:eastAsia="zh-CN"/>
        </w:rPr>
        <w:t>、</w:t>
      </w:r>
      <w:r>
        <w:rPr>
          <w:rFonts w:hint="eastAsia" w:ascii="微软雅黑" w:hAnsi="微软雅黑" w:eastAsia="微软雅黑" w:cs="微软雅黑"/>
          <w:color w:val="auto"/>
          <w:kern w:val="2"/>
          <w:sz w:val="21"/>
          <w:szCs w:val="21"/>
          <w:highlight w:val="none"/>
          <w:lang w:val="en-US" w:eastAsia="zh-CN"/>
        </w:rPr>
        <w:t>培训至少2次</w:t>
      </w:r>
      <w:r>
        <w:rPr>
          <w:rFonts w:hint="eastAsia" w:ascii="微软雅黑" w:hAnsi="微软雅黑" w:eastAsia="微软雅黑"/>
          <w:color w:val="auto"/>
          <w:highlight w:val="none"/>
          <w:lang w:eastAsia="zh-CN"/>
        </w:rPr>
        <w:t>。</w:t>
      </w:r>
    </w:p>
    <w:p>
      <w:pPr>
        <w:pStyle w:val="5"/>
        <w:keepNext w:val="0"/>
        <w:keepLines w:val="0"/>
        <w:pageBreakBefore w:val="0"/>
        <w:kinsoku/>
        <w:wordWrap/>
        <w:overflowPunct/>
        <w:topLinePunct w:val="0"/>
        <w:bidi w:val="0"/>
        <w:snapToGrid/>
        <w:spacing w:line="360" w:lineRule="auto"/>
        <w:ind w:right="122" w:firstLineChars="0"/>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10.</w:t>
      </w:r>
      <w:r>
        <w:rPr>
          <w:rFonts w:hint="eastAsia" w:ascii="微软雅黑" w:hAnsi="微软雅黑" w:eastAsia="微软雅黑"/>
          <w:color w:val="auto"/>
          <w:highlight w:val="none"/>
          <w:lang w:eastAsia="zh-CN"/>
        </w:rPr>
        <w:t>2售后服务：自安装之日起，一年内免费上门</w:t>
      </w:r>
      <w:r>
        <w:rPr>
          <w:rFonts w:hint="eastAsia" w:ascii="微软雅黑" w:hAnsi="微软雅黑" w:eastAsia="微软雅黑"/>
          <w:color w:val="auto"/>
          <w:highlight w:val="none"/>
          <w:lang w:val="en-US" w:eastAsia="zh-CN"/>
        </w:rPr>
        <w:t>维护</w:t>
      </w:r>
      <w:r>
        <w:rPr>
          <w:rFonts w:hint="eastAsia" w:ascii="微软雅黑" w:hAnsi="微软雅黑" w:eastAsia="微软雅黑"/>
          <w:color w:val="auto"/>
          <w:highlight w:val="none"/>
          <w:lang w:eastAsia="zh-CN"/>
        </w:rPr>
        <w:t>。</w:t>
      </w:r>
      <w:r>
        <w:rPr>
          <w:rFonts w:hint="eastAsia" w:ascii="微软雅黑" w:hAnsi="微软雅黑" w:eastAsia="微软雅黑" w:cs="微软雅黑"/>
          <w:color w:val="auto"/>
          <w:kern w:val="2"/>
          <w:sz w:val="21"/>
          <w:szCs w:val="21"/>
          <w:highlight w:val="none"/>
        </w:rPr>
        <w:t>设备使用过程中发生的问题，</w:t>
      </w:r>
      <w:r>
        <w:rPr>
          <w:rFonts w:hint="eastAsia" w:ascii="微软雅黑" w:hAnsi="微软雅黑" w:eastAsia="微软雅黑" w:cs="微软雅黑"/>
          <w:color w:val="auto"/>
          <w:kern w:val="2"/>
          <w:sz w:val="21"/>
          <w:szCs w:val="21"/>
          <w:highlight w:val="none"/>
          <w:lang w:val="en-US" w:eastAsia="zh-CN"/>
        </w:rPr>
        <w:t>卖方</w:t>
      </w:r>
      <w:r>
        <w:rPr>
          <w:rFonts w:hint="eastAsia" w:ascii="微软雅黑" w:hAnsi="微软雅黑" w:eastAsia="微软雅黑" w:cs="微软雅黑"/>
          <w:color w:val="auto"/>
          <w:kern w:val="2"/>
          <w:sz w:val="21"/>
          <w:szCs w:val="21"/>
          <w:highlight w:val="none"/>
        </w:rPr>
        <w:t>应在 24 小时内给予答复，需要现场解决的，应在48小时内到场解决。</w:t>
      </w:r>
      <w:r>
        <w:rPr>
          <w:rFonts w:hint="eastAsia" w:ascii="微软雅黑" w:hAnsi="微软雅黑" w:eastAsia="微软雅黑"/>
          <w:color w:val="auto"/>
          <w:highlight w:val="none"/>
          <w:lang w:eastAsia="zh-CN"/>
        </w:rPr>
        <w:t>从制造厂安装调试完毕之日起，在</w:t>
      </w:r>
      <w:r>
        <w:rPr>
          <w:rFonts w:hint="eastAsia" w:ascii="微软雅黑" w:hAnsi="微软雅黑" w:eastAsia="微软雅黑"/>
          <w:color w:val="auto"/>
          <w:highlight w:val="none"/>
          <w:lang w:val="en-US" w:eastAsia="zh-CN"/>
        </w:rPr>
        <w:t>一</w:t>
      </w:r>
      <w:r>
        <w:rPr>
          <w:rFonts w:hint="eastAsia" w:ascii="微软雅黑" w:hAnsi="微软雅黑" w:eastAsia="微软雅黑"/>
          <w:color w:val="auto"/>
          <w:highlight w:val="none"/>
          <w:lang w:eastAsia="zh-CN"/>
        </w:rPr>
        <w:t>年内因产品质量不良而发生的损坏或不能正常运行时，卖方无条件地进行维护、修理或更换。</w:t>
      </w:r>
    </w:p>
    <w:p>
      <w:pPr>
        <w:pStyle w:val="5"/>
        <w:keepNext w:val="0"/>
        <w:keepLines w:val="0"/>
        <w:pageBreakBefore w:val="0"/>
        <w:kinsoku/>
        <w:wordWrap/>
        <w:overflowPunct/>
        <w:topLinePunct w:val="0"/>
        <w:bidi w:val="0"/>
        <w:snapToGrid/>
        <w:spacing w:line="360" w:lineRule="auto"/>
        <w:ind w:right="122" w:firstLineChars="0"/>
        <w:textAlignment w:val="auto"/>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10.3</w:t>
      </w:r>
      <w:r>
        <w:rPr>
          <w:rFonts w:hint="eastAsia" w:ascii="微软雅黑" w:hAnsi="微软雅黑" w:eastAsia="微软雅黑"/>
          <w:color w:val="auto"/>
          <w:highlight w:val="none"/>
          <w:lang w:eastAsia="zh-CN"/>
        </w:rPr>
        <w:t>保密要求：</w:t>
      </w:r>
      <w:r>
        <w:rPr>
          <w:rFonts w:hint="eastAsia" w:ascii="微软雅黑" w:hAnsi="微软雅黑" w:eastAsia="微软雅黑"/>
          <w:color w:val="auto"/>
          <w:highlight w:val="none"/>
          <w:lang w:val="en-US" w:eastAsia="zh-CN"/>
        </w:rPr>
        <w:t>无</w:t>
      </w:r>
      <w:r>
        <w:rPr>
          <w:rFonts w:hint="eastAsia" w:ascii="微软雅黑" w:hAnsi="微软雅黑" w:eastAsia="微软雅黑"/>
          <w:color w:val="auto"/>
          <w:highlight w:val="none"/>
          <w:lang w:eastAsia="zh-CN"/>
        </w:rPr>
        <w:t>。</w:t>
      </w:r>
    </w:p>
    <w:p>
      <w:pPr>
        <w:keepNext w:val="0"/>
        <w:keepLines w:val="0"/>
        <w:pageBreakBefore w:val="0"/>
        <w:widowControl/>
        <w:kinsoku/>
        <w:wordWrap/>
        <w:overflowPunct/>
        <w:topLinePunct w:val="0"/>
        <w:bidi w:val="0"/>
        <w:snapToGrid/>
        <w:spacing w:line="360" w:lineRule="auto"/>
        <w:textAlignment w:val="auto"/>
        <w:rPr>
          <w:rFonts w:ascii="微软雅黑" w:hAnsi="微软雅黑" w:eastAsia="微软雅黑"/>
          <w:strike w:val="0"/>
          <w:color w:val="auto"/>
          <w:sz w:val="21"/>
          <w:szCs w:val="21"/>
          <w:highlight w:val="none"/>
          <w:lang w:eastAsia="zh-CN"/>
        </w:rPr>
      </w:pPr>
      <w:r>
        <w:rPr>
          <w:rFonts w:hint="eastAsia" w:ascii="微软雅黑" w:hAnsi="微软雅黑" w:eastAsia="微软雅黑" w:cs="Times New Roman"/>
          <w:bCs/>
          <w:strike w:val="0"/>
          <w:dstrike w:val="0"/>
          <w:color w:val="auto"/>
          <w:sz w:val="32"/>
          <w:szCs w:val="32"/>
          <w:highlight w:val="none"/>
        </w:rPr>
        <w:t>十一、其他</w:t>
      </w:r>
      <w:r>
        <w:rPr>
          <w:rFonts w:ascii="微软雅黑" w:hAnsi="微软雅黑" w:eastAsia="微软雅黑" w:cs="Times New Roman"/>
          <w:bCs/>
          <w:strike w:val="0"/>
          <w:dstrike w:val="0"/>
          <w:color w:val="auto"/>
          <w:sz w:val="32"/>
          <w:szCs w:val="32"/>
          <w:highlight w:val="none"/>
        </w:rPr>
        <w:t>要求</w:t>
      </w:r>
    </w:p>
    <w:p>
      <w:pPr>
        <w:pStyle w:val="32"/>
        <w:keepNext w:val="0"/>
        <w:keepLines w:val="0"/>
        <w:pageBreakBefore w:val="0"/>
        <w:kinsoku/>
        <w:wordWrap/>
        <w:overflowPunct/>
        <w:topLinePunct w:val="0"/>
        <w:bidi w:val="0"/>
        <w:snapToGrid/>
        <w:spacing w:line="360" w:lineRule="auto"/>
        <w:ind w:firstLine="210" w:firstLineChars="100"/>
        <w:textAlignment w:val="auto"/>
        <w:outlineLvl w:val="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11.</w:t>
      </w:r>
      <w:r>
        <w:rPr>
          <w:rFonts w:hint="eastAsia" w:ascii="微软雅黑" w:hAnsi="微软雅黑" w:eastAsia="微软雅黑" w:cs="微软雅黑"/>
          <w:color w:val="auto"/>
          <w:kern w:val="2"/>
          <w:sz w:val="21"/>
          <w:szCs w:val="21"/>
          <w:highlight w:val="none"/>
          <w:lang w:val="en-US" w:eastAsia="zh-CN"/>
        </w:rPr>
        <w:t>1</w:t>
      </w:r>
      <w:r>
        <w:rPr>
          <w:rFonts w:hint="eastAsia" w:ascii="微软雅黑" w:hAnsi="微软雅黑" w:eastAsia="微软雅黑" w:cs="微软雅黑"/>
          <w:color w:val="auto"/>
          <w:kern w:val="2"/>
          <w:sz w:val="21"/>
          <w:szCs w:val="21"/>
          <w:highlight w:val="none"/>
        </w:rPr>
        <w:t xml:space="preserve"> 交货方式：在保证货物安全的基础上由卖方确定，费用由卖方承担。</w:t>
      </w:r>
    </w:p>
    <w:p>
      <w:pPr>
        <w:pStyle w:val="32"/>
        <w:keepNext w:val="0"/>
        <w:keepLines w:val="0"/>
        <w:pageBreakBefore w:val="0"/>
        <w:kinsoku/>
        <w:wordWrap/>
        <w:overflowPunct/>
        <w:topLinePunct w:val="0"/>
        <w:bidi w:val="0"/>
        <w:snapToGrid/>
        <w:spacing w:line="360" w:lineRule="auto"/>
        <w:ind w:firstLine="210" w:firstLineChars="100"/>
        <w:textAlignment w:val="auto"/>
        <w:outlineLvl w:val="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11.</w:t>
      </w:r>
      <w:r>
        <w:rPr>
          <w:rFonts w:hint="eastAsia" w:ascii="微软雅黑" w:hAnsi="微软雅黑" w:eastAsia="微软雅黑" w:cs="微软雅黑"/>
          <w:color w:val="auto"/>
          <w:kern w:val="2"/>
          <w:sz w:val="21"/>
          <w:szCs w:val="21"/>
          <w:highlight w:val="none"/>
          <w:lang w:val="en-US" w:eastAsia="zh-CN"/>
        </w:rPr>
        <w:t>2</w:t>
      </w:r>
      <w:r>
        <w:rPr>
          <w:rFonts w:hint="eastAsia" w:ascii="微软雅黑" w:hAnsi="微软雅黑" w:eastAsia="微软雅黑" w:cs="微软雅黑"/>
          <w:color w:val="auto"/>
          <w:kern w:val="2"/>
          <w:sz w:val="21"/>
          <w:szCs w:val="21"/>
          <w:highlight w:val="none"/>
        </w:rPr>
        <w:t xml:space="preserve"> 质保金和质保期：</w:t>
      </w:r>
    </w:p>
    <w:p>
      <w:pPr>
        <w:pStyle w:val="5"/>
        <w:spacing w:line="360" w:lineRule="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kern w:val="2"/>
          <w:sz w:val="21"/>
          <w:szCs w:val="24"/>
          <w:highlight w:val="none"/>
          <w:lang w:val="en-US" w:eastAsia="zh-CN" w:bidi="ar-SA"/>
        </w:rPr>
        <w:t>★1）质保期：设备到货验收安装调试现场正式投用合格之日起12个月内。</w:t>
      </w:r>
    </w:p>
    <w:p>
      <w:pPr>
        <w:pStyle w:val="5"/>
        <w:spacing w:line="360" w:lineRule="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kern w:val="2"/>
          <w:sz w:val="21"/>
          <w:szCs w:val="24"/>
          <w:highlight w:val="none"/>
          <w:lang w:val="en-US" w:eastAsia="zh-CN" w:bidi="ar-SA"/>
        </w:rPr>
        <w:t>2）在质保期内，对产品出现的质量问题负责免费维修或更换，如因用户人为损坏或不当操作导致的故障，收取相应的成本费用。质保期外，提供终身有偿维修服务，收取维修费用和更换的零部件费用。在接到用户售后请求后，及时响应并安排技术人员与用户沟通，了解故障情况，协商确定维修方案和维修时间。如需返厂维修，将提供快速的物流服务，确保产品尽快恢复正常使用。</w:t>
      </w:r>
    </w:p>
    <w:p>
      <w:pPr>
        <w:pStyle w:val="10"/>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4"/>
          <w:highlight w:val="none"/>
          <w:lang w:val="en-US" w:eastAsia="zh-CN" w:bidi="ar-SA"/>
        </w:rPr>
        <w:t>3）合同总价的3%作为质保金，质保期满无质量问题后 45日内支付结清。</w:t>
      </w:r>
    </w:p>
    <w:p>
      <w:pPr>
        <w:rPr>
          <w:rFonts w:hint="eastAsia"/>
          <w:lang w:eastAsia="zh-CN"/>
        </w:rPr>
      </w:pPr>
      <w:r>
        <w:rPr>
          <w:rFonts w:hint="eastAsia"/>
          <w:lang w:eastAsia="zh-CN"/>
        </w:rPr>
        <w:br w:type="page"/>
      </w:r>
    </w:p>
    <w:p>
      <w:pPr>
        <w:keepNext w:val="0"/>
        <w:keepLines w:val="0"/>
        <w:suppressLineNumbers w:val="0"/>
        <w:adjustRightInd w:val="0"/>
        <w:snapToGrid w:val="0"/>
        <w:spacing w:before="0" w:beforeAutospacing="0" w:after="0" w:afterAutospacing="0" w:line="360" w:lineRule="auto"/>
        <w:ind w:left="0" w:right="0"/>
        <w:jc w:val="left"/>
        <w:outlineLvl w:val="3"/>
        <w:rPr>
          <w:rFonts w:ascii="黑体" w:hAnsi="宋体" w:eastAsia="黑体" w:cs="Times New Roman"/>
          <w:kern w:val="2"/>
          <w:sz w:val="28"/>
          <w:szCs w:val="28"/>
          <w:lang w:eastAsia="zh-CN"/>
        </w:rPr>
      </w:pPr>
      <w:r>
        <w:rPr>
          <w:rFonts w:hint="eastAsia" w:ascii="黑体" w:hAnsi="宋体" w:eastAsia="黑体" w:cs="黑体"/>
          <w:color w:val="FF0000"/>
          <w:sz w:val="28"/>
          <w:szCs w:val="28"/>
          <w:lang w:val="en-US" w:eastAsia="zh-CN" w:bidi="ar"/>
        </w:rPr>
        <w:t>附件：</w:t>
      </w:r>
      <w:r>
        <w:rPr>
          <w:rFonts w:ascii="黑体" w:hAnsi="宋体" w:eastAsia="黑体" w:cs="黑体"/>
          <w:color w:val="FF0000"/>
          <w:sz w:val="28"/>
          <w:szCs w:val="28"/>
          <w:lang w:eastAsia="zh-CN" w:bidi="ar"/>
        </w:rPr>
        <w:t>投标人属性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投标人属性确认函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559" w:leftChars="266" w:right="0" w:firstLine="0" w:firstLineChars="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sz w:val="28"/>
          <w:szCs w:val="28"/>
          <w:shd w:val="clear" w:color="auto" w:fill="FFFFFF"/>
          <w:lang w:eastAsia="zh-CN" w:bidi="ar"/>
        </w:rPr>
        <w:t>致：</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（招标人）</w:t>
      </w:r>
      <w:r>
        <w:rPr>
          <w:rFonts w:hint="eastAsia" w:ascii="宋体" w:hAnsi="宋体" w:eastAsia="宋体" w:cs="宋体"/>
          <w:sz w:val="28"/>
          <w:szCs w:val="28"/>
          <w:shd w:val="clear" w:color="auto" w:fill="FFFFFF"/>
          <w:lang w:eastAsia="zh-CN" w:bidi="ar"/>
        </w:rPr>
        <w:br w:type="textWrapping"/>
      </w:r>
      <w:r>
        <w:rPr>
          <w:rFonts w:hint="eastAsia" w:ascii="宋体" w:hAnsi="宋体" w:eastAsia="宋体" w:cs="宋体"/>
          <w:color w:val="000000"/>
          <w:sz w:val="28"/>
          <w:szCs w:val="28"/>
          <w:shd w:val="clear" w:color="auto" w:fill="FFFFFF"/>
          <w:lang w:eastAsia="zh-CN" w:bidi="ar"/>
        </w:rPr>
        <w:t>兹声明我</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（公司名称）就</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项目(招标编号：</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）作为以下投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标人属性（以下三种勾选一种）参与投标：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□制造商，并提供相应证明材料（附件1）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□代理商，并提供相应证明材料（附件2）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□贸易商，并提供相应证明材料（附件3）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法定代表人或授权人签章：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spacing w:before="0" w:beforeAutospacing="0" w:after="0" w:afterAutospacing="0" w:line="580" w:lineRule="exact"/>
        <w:ind w:left="0" w:right="0" w:firstLine="560" w:firstLineChars="200"/>
        <w:jc w:val="left"/>
        <w:rPr>
          <w:rFonts w:hint="eastAsia" w:ascii="宋体" w:hAnsi="宋体" w:eastAsia="宋体" w:cs="宋体"/>
          <w:color w:val="000000"/>
          <w:sz w:val="28"/>
          <w:szCs w:val="28"/>
          <w:shd w:val="clear" w:color="auto" w:fill="FFFFFF"/>
          <w:lang w:eastAsia="zh-CN" w:bidi="ar"/>
        </w:rPr>
      </w:pPr>
      <w:r>
        <w:rPr>
          <w:rFonts w:hint="eastAsia" w:ascii="宋体" w:hAnsi="宋体" w:eastAsia="宋体" w:cs="宋体"/>
          <w:color w:val="000000"/>
          <w:sz w:val="28"/>
          <w:szCs w:val="28"/>
          <w:shd w:val="clear" w:color="auto" w:fill="FFFFFF"/>
          <w:lang w:eastAsia="zh-CN" w:bidi="ar"/>
        </w:rPr>
        <w:t xml:space="preserve"> </w:t>
      </w:r>
    </w:p>
    <w:p>
      <w:pPr>
        <w:keepNext w:val="0"/>
        <w:keepLines w:val="0"/>
        <w:suppressLineNumbers w:val="0"/>
        <w:spacing w:before="0" w:beforeAutospacing="0" w:after="0" w:afterAutospacing="0"/>
        <w:ind w:left="0" w:right="0"/>
        <w:jc w:val="left"/>
        <w:rPr>
          <w:rFonts w:ascii="仿宋_GB2312" w:hAnsi="Calibri" w:eastAsia="仿宋_GB2312" w:cs="Times New Roman"/>
          <w:kern w:val="2"/>
          <w:sz w:val="32"/>
          <w:szCs w:val="32"/>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bidi="ar"/>
        </w:rPr>
        <w:t>附件1：制造商证明相关材料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kern w:val="2"/>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制造商承诺书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致：</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（招标人）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我们</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（公司名称）是按中华人民共和国法律于</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年</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月</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日成立的一家制造商（集成商视为制造商），主要营业地点设在</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。兹声明我司就</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项目(招标编号：</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）使用我公司</w:t>
      </w:r>
      <w:r>
        <w:rPr>
          <w:rFonts w:hint="eastAsia" w:ascii="宋体" w:hAnsi="宋体" w:eastAsia="宋体" w:cs="宋体"/>
          <w:color w:val="000000"/>
          <w:sz w:val="28"/>
          <w:szCs w:val="28"/>
          <w:u w:val="single"/>
          <w:shd w:val="clear" w:color="auto" w:fill="FFFFFF"/>
          <w:lang w:eastAsia="zh-CN" w:bidi="ar"/>
        </w:rPr>
        <w:t xml:space="preserve">      </w:t>
      </w:r>
      <w:r>
        <w:rPr>
          <w:rFonts w:hint="eastAsia" w:ascii="宋体" w:hAnsi="宋体" w:eastAsia="宋体" w:cs="宋体"/>
          <w:color w:val="000000"/>
          <w:sz w:val="28"/>
          <w:szCs w:val="28"/>
          <w:shd w:val="clear" w:color="auto" w:fill="FFFFFF"/>
          <w:lang w:eastAsia="zh-CN" w:bidi="ar"/>
        </w:rPr>
        <w:t>产品参与投标。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我公司就项目承诺如下：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（1）我司对所投产品拥有产品销售权。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（2）后附我公司相关证明材料真实有效。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法定代表人或授权人签章：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spacing w:before="0" w:beforeAutospacing="0" w:after="0" w:afterAutospacing="0" w:line="580" w:lineRule="exact"/>
        <w:ind w:left="0" w:right="0" w:firstLine="560" w:firstLineChars="200"/>
        <w:jc w:val="left"/>
        <w:rPr>
          <w:rFonts w:hint="eastAsia" w:ascii="宋体" w:hAnsi="宋体" w:eastAsia="宋体" w:cs="宋体"/>
          <w:color w:val="000000"/>
          <w:sz w:val="28"/>
          <w:szCs w:val="28"/>
          <w:shd w:val="clear" w:color="auto" w:fill="FFFFFF"/>
          <w:lang w:eastAsia="zh-CN" w:bidi="ar"/>
        </w:rPr>
      </w:pPr>
      <w:r>
        <w:rPr>
          <w:rFonts w:hint="eastAsia" w:ascii="宋体" w:hAnsi="宋体" w:eastAsia="宋体" w:cs="宋体"/>
          <w:color w:val="000000"/>
          <w:sz w:val="28"/>
          <w:szCs w:val="28"/>
          <w:shd w:val="clear" w:color="auto" w:fill="FFFFFF"/>
          <w:lang w:eastAsia="zh-CN" w:bidi="ar"/>
        </w:rPr>
        <w:t xml:space="preserve"> </w:t>
      </w:r>
    </w:p>
    <w:p>
      <w:pPr>
        <w:keepNext w:val="0"/>
        <w:keepLines w:val="0"/>
        <w:suppressLineNumbers w:val="0"/>
        <w:spacing w:before="0" w:beforeAutospacing="0" w:after="0" w:afterAutospacing="0"/>
        <w:ind w:left="0" w:right="0"/>
        <w:jc w:val="left"/>
        <w:rPr>
          <w:rFonts w:hint="eastAsia" w:ascii="Calibri" w:hAnsi="Calibri" w:eastAsia="宋体" w:cs="Times New Roman"/>
          <w:kern w:val="2"/>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kern w:val="2"/>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制造商证明相关材料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供应商应提供相关证明材料，原件备查。</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bidi="ar"/>
        </w:rPr>
      </w:pPr>
      <w:r>
        <w:rPr>
          <w:rFonts w:hint="eastAsia" w:ascii="宋体" w:hAnsi="宋体" w:eastAsia="宋体" w:cs="宋体"/>
          <w:color w:val="000000"/>
          <w:sz w:val="28"/>
          <w:szCs w:val="28"/>
          <w:shd w:val="clear" w:color="auto" w:fill="FFFFFF"/>
          <w:lang w:eastAsia="zh-CN" w:bidi="ar"/>
        </w:rPr>
        <w:t>若自有厂房或土地提供厂房产权证或土地使用证，若租赁厂房提供有效期内的厂房租赁合同，若租赁土地提供有效期内的土地租赁合同（承租方需为投标人），投标人关联公司（母、子公司）的不视为自有；</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bidi="ar"/>
        </w:rPr>
      </w:pPr>
      <w:r>
        <w:rPr>
          <w:rFonts w:hint="eastAsia" w:ascii="宋体" w:hAnsi="宋体" w:eastAsia="宋体" w:cs="宋体"/>
          <w:color w:val="000000"/>
          <w:sz w:val="28"/>
          <w:szCs w:val="28"/>
          <w:shd w:val="clear" w:color="auto" w:fill="FFFFFF"/>
          <w:lang w:eastAsia="zh-CN" w:bidi="ar"/>
        </w:rPr>
        <w:t xml:space="preserve">投标人自有的用于生产的生产设备，投标时提供生产设备照片和购买合同，或者生产设备照片和购买发票，投标人关联公司（母、子公司）的不视为自有。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ascii="仿宋_GB2312" w:hAnsi="Calibri" w:eastAsia="仿宋_GB2312" w:cs="Times New Roman"/>
          <w:kern w:val="2"/>
          <w:sz w:val="32"/>
          <w:szCs w:val="32"/>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4"/>
          <w:szCs w:val="24"/>
          <w:shd w:val="clear" w:color="auto" w:fill="FFFFFF"/>
          <w:lang w:eastAsia="zh-CN" w:bidi="ar"/>
        </w:rPr>
        <w:t>附件2：代理商证明相关材料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suppressLineNumbers w:val="0"/>
        <w:spacing w:before="0" w:beforeAutospacing="0" w:after="0" w:afterAutospacing="0"/>
        <w:ind w:left="0" w:right="0"/>
        <w:jc w:val="center"/>
        <w:rPr>
          <w:rFonts w:hint="eastAsia" w:ascii="宋体" w:hAnsi="宋体" w:eastAsia="宋体" w:cs="宋体"/>
          <w:b/>
          <w:bCs/>
          <w:kern w:val="2"/>
          <w:sz w:val="28"/>
          <w:szCs w:val="28"/>
          <w:shd w:val="clear" w:color="auto" w:fill="FFFFFF"/>
          <w:lang w:eastAsia="zh-CN"/>
        </w:rPr>
      </w:pPr>
      <w:r>
        <w:rPr>
          <w:rFonts w:hint="eastAsia" w:ascii="宋体" w:hAnsi="宋体" w:eastAsia="宋体" w:cs="宋体"/>
          <w:b/>
          <w:bCs/>
          <w:sz w:val="28"/>
          <w:szCs w:val="28"/>
          <w:shd w:val="clear" w:color="auto" w:fill="FFFFFF"/>
          <w:lang w:eastAsia="zh-CN" w:bidi="ar"/>
        </w:rPr>
        <w:t>代理商承诺书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致：</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（招标人）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我公司已认真阅读招标文件及形式合同文本，我方充分理解了本采办项目的特点和要求，现郑重承诺如下：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我方承诺满足：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（1）承揽中国海油的业务量应与其资质能力、财务状况、质量保障能力相匹配；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（2）具有一定员工数量，履行社会责任；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（3）具有获取产品的渠道能力，且产品质量优良；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（4）未将中国海油作为唯一服务客户。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法定代表人或授权人签章：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日期：</w:t>
      </w:r>
    </w:p>
    <w:p>
      <w:pPr>
        <w:keepNext w:val="0"/>
        <w:keepLines w:val="0"/>
        <w:suppressLineNumbers w:val="0"/>
        <w:spacing w:before="0" w:beforeAutospacing="0" w:after="0" w:afterAutospacing="0"/>
        <w:ind w:left="0" w:right="0"/>
        <w:jc w:val="center"/>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widowControl/>
        <w:suppressLineNumbers w:val="0"/>
        <w:spacing w:before="0" w:beforeAutospacing="0" w:after="0" w:afterAutospacing="0" w:line="580" w:lineRule="exact"/>
        <w:ind w:left="0" w:right="0" w:firstLine="640" w:firstLineChars="200"/>
        <w:jc w:val="left"/>
        <w:rPr>
          <w:rFonts w:ascii="仿宋_GB2312" w:hAnsi="Calibri" w:eastAsia="仿宋_GB2312" w:cs="Times New Roman"/>
          <w:sz w:val="32"/>
          <w:szCs w:val="32"/>
          <w:lang w:eastAsia="zh-CN" w:bidi="ar"/>
        </w:rPr>
      </w:pPr>
      <w:r>
        <w:rPr>
          <w:rFonts w:ascii="仿宋_GB2312" w:hAnsi="Calibri" w:eastAsia="仿宋_GB2312" w:cs="Times New Roman"/>
          <w:sz w:val="32"/>
          <w:szCs w:val="32"/>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center"/>
        <w:rPr>
          <w:rFonts w:hint="eastAsia" w:ascii="宋体" w:hAnsi="宋体" w:eastAsia="宋体" w:cs="宋体"/>
          <w:b/>
          <w:bCs/>
          <w:kern w:val="2"/>
          <w:sz w:val="28"/>
          <w:szCs w:val="28"/>
          <w:shd w:val="clear" w:color="auto" w:fill="FFFFFF"/>
          <w:lang w:eastAsia="zh-CN"/>
        </w:rPr>
      </w:pPr>
      <w:r>
        <w:rPr>
          <w:rFonts w:hint="eastAsia" w:ascii="宋体" w:hAnsi="宋体" w:eastAsia="宋体" w:cs="宋体"/>
          <w:b/>
          <w:bCs/>
          <w:sz w:val="28"/>
          <w:szCs w:val="28"/>
          <w:shd w:val="clear" w:color="auto" w:fill="FFFFFF"/>
          <w:lang w:eastAsia="zh-CN" w:bidi="ar"/>
        </w:rPr>
        <w:t>制造商授权书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致：</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（招标人）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560" w:firstLineChars="20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我单位</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（制造商名称）是按</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（国家／地区名称）法律成立的</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一家制造商，主要营业地点设在</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（制造商地址）。兹授权按</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（国家／地区名称）的法律正式成立的，主要营业地点设在</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（投标人的单位地址）的</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（投标人名称）以我单位制造的</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（设备名称）进行投标活动。我单位同意按照中标合同供货，并对产品质量承担责任。授权期限：</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kern w:val="2"/>
          <w:sz w:val="24"/>
          <w:szCs w:val="24"/>
          <w:shd w:val="clear" w:color="auto" w:fill="FFFFFF"/>
          <w:lang w:eastAsia="zh-CN"/>
        </w:rPr>
      </w:pPr>
      <w:r>
        <w:rPr>
          <w:rFonts w:hint="eastAsia" w:ascii="宋体" w:hAnsi="宋体" w:eastAsia="宋体" w:cs="宋体"/>
          <w:sz w:val="24"/>
          <w:szCs w:val="24"/>
          <w:shd w:val="clear" w:color="auto" w:fill="FFFFFF"/>
          <w:lang w:eastAsia="zh-CN" w:bidi="ar"/>
        </w:rPr>
        <w:t>投标人名称：</w:t>
      </w:r>
      <w:r>
        <w:rPr>
          <w:rFonts w:hint="eastAsia" w:ascii="宋体" w:hAnsi="宋体" w:eastAsia="宋体" w:cs="宋体"/>
          <w:sz w:val="24"/>
          <w:szCs w:val="24"/>
          <w:u w:val="single"/>
          <w:shd w:val="clear" w:color="auto" w:fill="FFFFFF"/>
          <w:lang w:eastAsia="zh-CN" w:bidi="ar"/>
        </w:rPr>
        <w:t xml:space="preserve">       </w:t>
      </w:r>
      <w:r>
        <w:rPr>
          <w:rFonts w:hint="eastAsia" w:ascii="宋体" w:hAnsi="宋体" w:eastAsia="宋体" w:cs="宋体"/>
          <w:sz w:val="24"/>
          <w:szCs w:val="24"/>
          <w:shd w:val="clear" w:color="auto" w:fill="FFFFFF"/>
          <w:lang w:eastAsia="zh-CN" w:bidi="ar"/>
        </w:rPr>
        <w:t>（盖单位章）     制造商名称：</w:t>
      </w:r>
      <w:r>
        <w:rPr>
          <w:rFonts w:hint="eastAsia" w:ascii="宋体" w:hAnsi="宋体" w:eastAsia="宋体" w:cs="宋体"/>
          <w:sz w:val="24"/>
          <w:szCs w:val="24"/>
          <w:u w:val="single"/>
          <w:shd w:val="clear" w:color="auto" w:fill="FFFFFF"/>
          <w:lang w:eastAsia="zh-CN" w:bidi="ar"/>
        </w:rPr>
        <w:t xml:space="preserve">           </w:t>
      </w:r>
      <w:r>
        <w:rPr>
          <w:rFonts w:hint="eastAsia" w:ascii="宋体" w:hAnsi="宋体" w:eastAsia="宋体" w:cs="宋体"/>
          <w:sz w:val="24"/>
          <w:szCs w:val="24"/>
          <w:shd w:val="clear" w:color="auto" w:fill="FFFFFF"/>
          <w:lang w:eastAsia="zh-CN" w:bidi="ar"/>
        </w:rPr>
        <w:t>（盖单位章）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kern w:val="2"/>
          <w:sz w:val="28"/>
          <w:szCs w:val="28"/>
          <w:u w:val="single"/>
          <w:shd w:val="clear" w:color="auto" w:fill="FFFFFF"/>
          <w:lang w:eastAsia="zh-CN"/>
        </w:rPr>
      </w:pPr>
      <w:r>
        <w:rPr>
          <w:rFonts w:hint="eastAsia" w:ascii="宋体" w:hAnsi="宋体" w:eastAsia="宋体" w:cs="宋体"/>
          <w:sz w:val="24"/>
          <w:szCs w:val="24"/>
          <w:shd w:val="clear" w:color="auto" w:fill="FFFFFF"/>
          <w:lang w:eastAsia="zh-CN" w:bidi="ar"/>
        </w:rPr>
        <w:t>签字人职务：</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 xml:space="preserve">    </w:t>
      </w:r>
      <w:r>
        <w:rPr>
          <w:rFonts w:hint="eastAsia" w:ascii="宋体" w:hAnsi="宋体" w:eastAsia="宋体" w:cs="宋体"/>
          <w:sz w:val="24"/>
          <w:szCs w:val="24"/>
          <w:shd w:val="clear" w:color="auto" w:fill="FFFFFF"/>
          <w:lang w:eastAsia="zh-CN" w:bidi="ar"/>
        </w:rPr>
        <w:t>签字人职务：</w:t>
      </w:r>
      <w:r>
        <w:rPr>
          <w:rFonts w:hint="eastAsia" w:ascii="宋体" w:hAnsi="宋体" w:eastAsia="宋体" w:cs="宋体"/>
          <w:sz w:val="28"/>
          <w:szCs w:val="28"/>
          <w:u w:val="single"/>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hint="eastAsia" w:ascii="宋体" w:hAnsi="宋体" w:eastAsia="宋体" w:cs="宋体"/>
          <w:kern w:val="2"/>
          <w:sz w:val="24"/>
          <w:szCs w:val="24"/>
          <w:shd w:val="clear" w:color="auto" w:fill="FFFFFF"/>
          <w:lang w:eastAsia="zh-CN"/>
        </w:rPr>
      </w:pPr>
      <w:r>
        <w:rPr>
          <w:rFonts w:hint="eastAsia" w:ascii="宋体" w:hAnsi="宋体" w:eastAsia="宋体" w:cs="宋体"/>
          <w:sz w:val="24"/>
          <w:szCs w:val="24"/>
          <w:shd w:val="clear" w:color="auto" w:fill="FFFFFF"/>
          <w:lang w:eastAsia="zh-CN" w:bidi="ar"/>
        </w:rPr>
        <w:t>签字人姓名：</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 xml:space="preserve">    </w:t>
      </w:r>
      <w:r>
        <w:rPr>
          <w:rFonts w:hint="eastAsia" w:ascii="宋体" w:hAnsi="宋体" w:eastAsia="宋体" w:cs="宋体"/>
          <w:sz w:val="24"/>
          <w:szCs w:val="24"/>
          <w:shd w:val="clear" w:color="auto" w:fill="FFFFFF"/>
          <w:lang w:eastAsia="zh-CN" w:bidi="ar"/>
        </w:rPr>
        <w:t>签字人姓名：</w:t>
      </w:r>
      <w:r>
        <w:rPr>
          <w:rFonts w:hint="eastAsia" w:ascii="宋体" w:hAnsi="宋体" w:eastAsia="宋体" w:cs="宋体"/>
          <w:sz w:val="28"/>
          <w:szCs w:val="28"/>
          <w:u w:val="single"/>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line="360" w:lineRule="auto"/>
        <w:ind w:left="0" w:right="0"/>
        <w:jc w:val="left"/>
        <w:rPr>
          <w:rFonts w:ascii="Arial" w:hAnsi="Arial" w:eastAsia="宋体" w:cs="Arial"/>
          <w:color w:val="000000"/>
          <w:kern w:val="2"/>
          <w:sz w:val="24"/>
          <w:szCs w:val="24"/>
          <w:shd w:val="clear" w:color="auto" w:fill="FFFFFF"/>
          <w:lang w:eastAsia="zh-CN"/>
        </w:rPr>
      </w:pPr>
      <w:r>
        <w:rPr>
          <w:rFonts w:hint="eastAsia" w:ascii="宋体" w:hAnsi="宋体" w:eastAsia="宋体" w:cs="宋体"/>
          <w:sz w:val="24"/>
          <w:szCs w:val="24"/>
          <w:shd w:val="clear" w:color="auto" w:fill="FFFFFF"/>
          <w:lang w:eastAsia="zh-CN" w:bidi="ar"/>
        </w:rPr>
        <w:t>签字人签名：</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 xml:space="preserve">    </w:t>
      </w:r>
      <w:r>
        <w:rPr>
          <w:rFonts w:hint="eastAsia" w:ascii="宋体" w:hAnsi="宋体" w:eastAsia="宋体" w:cs="宋体"/>
          <w:sz w:val="24"/>
          <w:szCs w:val="24"/>
          <w:shd w:val="clear" w:color="auto" w:fill="FFFFFF"/>
          <w:lang w:eastAsia="zh-CN" w:bidi="ar"/>
        </w:rPr>
        <w:t>签字人签名：</w:t>
      </w:r>
      <w:r>
        <w:rPr>
          <w:rFonts w:hint="eastAsia" w:ascii="宋体" w:hAnsi="宋体" w:eastAsia="宋体" w:cs="宋体"/>
          <w:sz w:val="28"/>
          <w:szCs w:val="28"/>
          <w:u w:val="single"/>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bidi="ar"/>
        </w:rPr>
      </w:pPr>
      <w:r>
        <w:rPr>
          <w:rFonts w:hint="eastAsia" w:ascii="宋体" w:hAnsi="宋体" w:eastAsia="宋体" w:cs="宋体"/>
          <w:color w:val="000000"/>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color w:val="000000"/>
          <w:sz w:val="28"/>
          <w:szCs w:val="28"/>
          <w:shd w:val="clear" w:color="auto" w:fill="FFFFFF"/>
          <w:lang w:eastAsia="zh-CN" w:bidi="ar"/>
        </w:rPr>
      </w:pPr>
    </w:p>
    <w:p>
      <w:pPr>
        <w:keepNext w:val="0"/>
        <w:keepLines w:val="0"/>
        <w:suppressLineNumbers w:val="0"/>
        <w:spacing w:before="0" w:beforeAutospacing="0" w:after="0" w:afterAutospacing="0"/>
        <w:ind w:left="0" w:right="0"/>
        <w:jc w:val="center"/>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left"/>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4"/>
          <w:szCs w:val="24"/>
          <w:shd w:val="clear" w:color="auto" w:fill="FFFFFF"/>
          <w:lang w:eastAsia="zh-CN" w:bidi="ar"/>
        </w:rPr>
        <w:t>附件3：贸易商证明相关材料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bidi="ar"/>
        </w:rPr>
        <w:t xml:space="preserve"> </w:t>
      </w:r>
    </w:p>
    <w:p>
      <w:pPr>
        <w:keepNext w:val="0"/>
        <w:keepLines w:val="0"/>
        <w:suppressLineNumbers w:val="0"/>
        <w:spacing w:before="0" w:beforeAutospacing="0" w:after="0" w:afterAutospacing="0"/>
        <w:ind w:left="0" w:right="0"/>
        <w:jc w:val="center"/>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suppressLineNumbers w:val="0"/>
        <w:spacing w:before="0" w:beforeAutospacing="0" w:after="0" w:afterAutospacing="0"/>
        <w:ind w:left="0" w:right="0"/>
        <w:jc w:val="center"/>
        <w:rPr>
          <w:rFonts w:hint="eastAsia" w:ascii="宋体" w:hAnsi="宋体" w:eastAsia="宋体" w:cs="宋体"/>
          <w:b/>
          <w:bCs/>
          <w:kern w:val="2"/>
          <w:sz w:val="28"/>
          <w:szCs w:val="28"/>
          <w:shd w:val="clear" w:color="auto" w:fill="FFFFFF"/>
          <w:lang w:eastAsia="zh-CN"/>
        </w:rPr>
      </w:pPr>
      <w:r>
        <w:rPr>
          <w:rFonts w:hint="eastAsia" w:ascii="宋体" w:hAnsi="宋体" w:eastAsia="宋体" w:cs="宋体"/>
          <w:b/>
          <w:bCs/>
          <w:sz w:val="28"/>
          <w:szCs w:val="28"/>
          <w:shd w:val="clear" w:color="auto" w:fill="FFFFFF"/>
          <w:lang w:eastAsia="zh-CN" w:bidi="ar"/>
        </w:rPr>
        <w:t>贸易商承诺书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致：</w:t>
      </w:r>
      <w:r>
        <w:rPr>
          <w:rFonts w:hint="eastAsia" w:ascii="宋体" w:hAnsi="宋体" w:eastAsia="宋体" w:cs="宋体"/>
          <w:sz w:val="28"/>
          <w:szCs w:val="28"/>
          <w:u w:val="single"/>
          <w:shd w:val="clear" w:color="auto" w:fill="FFFFFF"/>
          <w:lang w:eastAsia="zh-CN" w:bidi="ar"/>
        </w:rPr>
        <w:t xml:space="preserve">                </w:t>
      </w:r>
      <w:r>
        <w:rPr>
          <w:rFonts w:hint="eastAsia" w:ascii="宋体" w:hAnsi="宋体" w:eastAsia="宋体" w:cs="宋体"/>
          <w:sz w:val="28"/>
          <w:szCs w:val="28"/>
          <w:shd w:val="clear" w:color="auto" w:fill="FFFFFF"/>
          <w:lang w:eastAsia="zh-CN" w:bidi="ar"/>
        </w:rPr>
        <w:t>（招标人）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我公司已认真阅读招标文件及形式合同文本，我方充分理解了本采办项目的特点和要求，现郑重承诺如下：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我方承诺满足：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（1）承揽中国海油的业务量应与其资质能力、财务状况、质量保障能力相匹配；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（2）具有一定员工数量，履行社会责任；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（3）具有获取产品的渠道能力，且产品质量优良；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kern w:val="2"/>
          <w:sz w:val="28"/>
          <w:szCs w:val="28"/>
          <w:shd w:val="clear" w:color="auto" w:fill="FFFFFF"/>
          <w:lang w:eastAsia="zh-CN"/>
        </w:rPr>
      </w:pPr>
      <w:r>
        <w:rPr>
          <w:rFonts w:hint="eastAsia" w:ascii="宋体" w:hAnsi="宋体" w:eastAsia="宋体" w:cs="宋体"/>
          <w:sz w:val="28"/>
          <w:szCs w:val="28"/>
          <w:shd w:val="clear" w:color="auto" w:fill="FFFFFF"/>
          <w:lang w:eastAsia="zh-CN" w:bidi="ar"/>
        </w:rPr>
        <w:t>（4）未将中国海油作为唯一服务客户。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0" w:firstLineChars="1600"/>
        <w:jc w:val="left"/>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法定代表人或授权人签章：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3080" w:firstLineChars="1100"/>
        <w:jc w:val="left"/>
        <w:rPr>
          <w:rFonts w:hint="eastAsia" w:ascii="宋体" w:hAnsi="宋体" w:eastAsia="宋体" w:cs="宋体"/>
          <w:color w:val="000000"/>
          <w:kern w:val="2"/>
          <w:sz w:val="28"/>
          <w:szCs w:val="28"/>
          <w:shd w:val="clear" w:color="auto" w:fill="FFFFFF"/>
          <w:lang w:eastAsia="zh-CN"/>
        </w:rPr>
      </w:pPr>
      <w:r>
        <w:rPr>
          <w:rFonts w:hint="eastAsia" w:ascii="宋体" w:hAnsi="宋体" w:eastAsia="宋体" w:cs="宋体"/>
          <w:color w:val="000000"/>
          <w:sz w:val="28"/>
          <w:szCs w:val="28"/>
          <w:shd w:val="clear" w:color="auto" w:fill="FFFFFF"/>
          <w:lang w:eastAsia="zh-CN" w:bidi="ar"/>
        </w:rPr>
        <w:t>日期：</w:t>
      </w:r>
    </w:p>
    <w:p>
      <w:pPr>
        <w:pStyle w:val="17"/>
        <w:rPr>
          <w:rFonts w:hint="eastAsia"/>
          <w:lang w:eastAsia="zh-CN"/>
        </w:rPr>
      </w:pPr>
    </w:p>
    <w:p>
      <w:pPr>
        <w:pStyle w:val="5"/>
        <w:spacing w:line="360" w:lineRule="auto"/>
        <w:ind w:left="0" w:leftChars="0" w:right="115" w:rightChars="55" w:firstLine="0" w:firstLineChars="0"/>
        <w:rPr>
          <w:rFonts w:hint="default"/>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416"/>
    <w:multiLevelType w:val="singleLevel"/>
    <w:tmpl w:val="886C3416"/>
    <w:lvl w:ilvl="0" w:tentative="0">
      <w:start w:val="1"/>
      <w:numFmt w:val="decimal"/>
      <w:lvlText w:val="(%1)"/>
      <w:lvlJc w:val="left"/>
      <w:pPr>
        <w:ind w:left="425" w:hanging="425"/>
      </w:pPr>
      <w:rPr>
        <w:rFonts w:hint="default"/>
      </w:rPr>
    </w:lvl>
  </w:abstractNum>
  <w:abstractNum w:abstractNumId="1">
    <w:nsid w:val="88BA2CF2"/>
    <w:multiLevelType w:val="singleLevel"/>
    <w:tmpl w:val="88BA2CF2"/>
    <w:lvl w:ilvl="0" w:tentative="0">
      <w:start w:val="1"/>
      <w:numFmt w:val="decimal"/>
      <w:suff w:val="nothing"/>
      <w:lvlText w:val="%1）"/>
      <w:lvlJc w:val="left"/>
      <w:pPr>
        <w:ind w:left="105" w:leftChars="0" w:firstLine="0" w:firstLineChars="0"/>
      </w:pPr>
    </w:lvl>
  </w:abstractNum>
  <w:abstractNum w:abstractNumId="2">
    <w:nsid w:val="9753F1AF"/>
    <w:multiLevelType w:val="singleLevel"/>
    <w:tmpl w:val="9753F1AF"/>
    <w:lvl w:ilvl="0" w:tentative="0">
      <w:start w:val="3"/>
      <w:numFmt w:val="decimal"/>
      <w:suff w:val="space"/>
      <w:lvlText w:val="%1."/>
      <w:lvlJc w:val="left"/>
    </w:lvl>
  </w:abstractNum>
  <w:abstractNum w:abstractNumId="3">
    <w:nsid w:val="9806A46E"/>
    <w:multiLevelType w:val="singleLevel"/>
    <w:tmpl w:val="9806A46E"/>
    <w:lvl w:ilvl="0" w:tentative="0">
      <w:start w:val="1"/>
      <w:numFmt w:val="decimal"/>
      <w:lvlText w:val="(%1)"/>
      <w:lvlJc w:val="left"/>
      <w:pPr>
        <w:ind w:left="425" w:hanging="425"/>
      </w:pPr>
      <w:rPr>
        <w:rFonts w:hint="default"/>
      </w:rPr>
    </w:lvl>
  </w:abstractNum>
  <w:abstractNum w:abstractNumId="4">
    <w:nsid w:val="9C07EB86"/>
    <w:multiLevelType w:val="singleLevel"/>
    <w:tmpl w:val="9C07EB86"/>
    <w:lvl w:ilvl="0" w:tentative="0">
      <w:start w:val="1"/>
      <w:numFmt w:val="decimal"/>
      <w:lvlText w:val="(%1)"/>
      <w:lvlJc w:val="left"/>
      <w:pPr>
        <w:ind w:left="425" w:hanging="425"/>
      </w:pPr>
      <w:rPr>
        <w:rFonts w:hint="default"/>
      </w:rPr>
    </w:lvl>
  </w:abstractNum>
  <w:abstractNum w:abstractNumId="5">
    <w:nsid w:val="9E7C83C4"/>
    <w:multiLevelType w:val="singleLevel"/>
    <w:tmpl w:val="9E7C83C4"/>
    <w:lvl w:ilvl="0" w:tentative="0">
      <w:start w:val="1"/>
      <w:numFmt w:val="decimal"/>
      <w:lvlText w:val="(%1)"/>
      <w:lvlJc w:val="left"/>
      <w:pPr>
        <w:ind w:left="425" w:hanging="425"/>
      </w:pPr>
      <w:rPr>
        <w:rFonts w:hint="default"/>
      </w:rPr>
    </w:lvl>
  </w:abstractNum>
  <w:abstractNum w:abstractNumId="6">
    <w:nsid w:val="A09932AF"/>
    <w:multiLevelType w:val="singleLevel"/>
    <w:tmpl w:val="A09932AF"/>
    <w:lvl w:ilvl="0" w:tentative="0">
      <w:start w:val="1"/>
      <w:numFmt w:val="decimal"/>
      <w:lvlText w:val="(%1)"/>
      <w:lvlJc w:val="left"/>
      <w:pPr>
        <w:ind w:left="425" w:hanging="425"/>
      </w:pPr>
      <w:rPr>
        <w:rFonts w:hint="default"/>
      </w:rPr>
    </w:lvl>
  </w:abstractNum>
  <w:abstractNum w:abstractNumId="7">
    <w:nsid w:val="AA8ABA88"/>
    <w:multiLevelType w:val="singleLevel"/>
    <w:tmpl w:val="AA8ABA88"/>
    <w:lvl w:ilvl="0" w:tentative="0">
      <w:start w:val="1"/>
      <w:numFmt w:val="decimal"/>
      <w:lvlText w:val="%1."/>
      <w:lvlJc w:val="left"/>
      <w:pPr>
        <w:ind w:left="425" w:hanging="425"/>
      </w:pPr>
      <w:rPr>
        <w:rFonts w:hint="default"/>
      </w:rPr>
    </w:lvl>
  </w:abstractNum>
  <w:abstractNum w:abstractNumId="8">
    <w:nsid w:val="B372B94C"/>
    <w:multiLevelType w:val="singleLevel"/>
    <w:tmpl w:val="B372B94C"/>
    <w:lvl w:ilvl="0" w:tentative="0">
      <w:start w:val="1"/>
      <w:numFmt w:val="bullet"/>
      <w:lvlText w:val=""/>
      <w:lvlJc w:val="left"/>
      <w:pPr>
        <w:ind w:left="420" w:hanging="420"/>
      </w:pPr>
      <w:rPr>
        <w:rFonts w:hint="default" w:ascii="Wingdings" w:hAnsi="Wingdings"/>
      </w:rPr>
    </w:lvl>
  </w:abstractNum>
  <w:abstractNum w:abstractNumId="9">
    <w:nsid w:val="B5EF680F"/>
    <w:multiLevelType w:val="singleLevel"/>
    <w:tmpl w:val="B5EF680F"/>
    <w:lvl w:ilvl="0" w:tentative="0">
      <w:start w:val="1"/>
      <w:numFmt w:val="decimal"/>
      <w:lvlText w:val="(%1)"/>
      <w:lvlJc w:val="left"/>
      <w:pPr>
        <w:ind w:left="425" w:hanging="425"/>
      </w:pPr>
      <w:rPr>
        <w:rFonts w:hint="default"/>
      </w:rPr>
    </w:lvl>
  </w:abstractNum>
  <w:abstractNum w:abstractNumId="10">
    <w:nsid w:val="BA0EA522"/>
    <w:multiLevelType w:val="singleLevel"/>
    <w:tmpl w:val="BA0EA522"/>
    <w:lvl w:ilvl="0" w:tentative="0">
      <w:start w:val="1"/>
      <w:numFmt w:val="decimal"/>
      <w:lvlText w:val="(%1)"/>
      <w:lvlJc w:val="left"/>
      <w:pPr>
        <w:ind w:left="425" w:hanging="425"/>
      </w:pPr>
      <w:rPr>
        <w:rFonts w:hint="default"/>
      </w:rPr>
    </w:lvl>
  </w:abstractNum>
  <w:abstractNum w:abstractNumId="11">
    <w:nsid w:val="CDFA3BA0"/>
    <w:multiLevelType w:val="singleLevel"/>
    <w:tmpl w:val="CDFA3BA0"/>
    <w:lvl w:ilvl="0" w:tentative="0">
      <w:start w:val="1"/>
      <w:numFmt w:val="decimal"/>
      <w:lvlText w:val="(%1)"/>
      <w:lvlJc w:val="left"/>
      <w:pPr>
        <w:ind w:left="425" w:hanging="425"/>
      </w:pPr>
      <w:rPr>
        <w:rFonts w:hint="default"/>
      </w:rPr>
    </w:lvl>
  </w:abstractNum>
  <w:abstractNum w:abstractNumId="12">
    <w:nsid w:val="DF7EFC21"/>
    <w:multiLevelType w:val="singleLevel"/>
    <w:tmpl w:val="DF7EFC21"/>
    <w:lvl w:ilvl="0" w:tentative="0">
      <w:start w:val="1"/>
      <w:numFmt w:val="decimal"/>
      <w:suff w:val="nothing"/>
      <w:lvlText w:val="（%1）"/>
      <w:lvlJc w:val="left"/>
    </w:lvl>
  </w:abstractNum>
  <w:abstractNum w:abstractNumId="13">
    <w:nsid w:val="E4A9D1ED"/>
    <w:multiLevelType w:val="singleLevel"/>
    <w:tmpl w:val="E4A9D1ED"/>
    <w:lvl w:ilvl="0" w:tentative="0">
      <w:start w:val="1"/>
      <w:numFmt w:val="decimal"/>
      <w:lvlText w:val="(%1)"/>
      <w:lvlJc w:val="left"/>
      <w:pPr>
        <w:ind w:left="425" w:hanging="425"/>
      </w:pPr>
      <w:rPr>
        <w:rFonts w:hint="default"/>
      </w:rPr>
    </w:lvl>
  </w:abstractNum>
  <w:abstractNum w:abstractNumId="14">
    <w:nsid w:val="FE29FC05"/>
    <w:multiLevelType w:val="singleLevel"/>
    <w:tmpl w:val="FE29FC05"/>
    <w:lvl w:ilvl="0" w:tentative="0">
      <w:start w:val="1"/>
      <w:numFmt w:val="decimal"/>
      <w:lvlText w:val="(%1)"/>
      <w:lvlJc w:val="left"/>
      <w:pPr>
        <w:ind w:left="425" w:hanging="425"/>
      </w:pPr>
      <w:rPr>
        <w:rFonts w:hint="default"/>
      </w:rPr>
    </w:lvl>
  </w:abstractNum>
  <w:abstractNum w:abstractNumId="15">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E85ABC"/>
    <w:multiLevelType w:val="singleLevel"/>
    <w:tmpl w:val="0EE85ABC"/>
    <w:lvl w:ilvl="0" w:tentative="0">
      <w:start w:val="1"/>
      <w:numFmt w:val="decimal"/>
      <w:lvlText w:val="(%1)"/>
      <w:lvlJc w:val="left"/>
      <w:pPr>
        <w:ind w:left="425" w:hanging="425"/>
      </w:pPr>
      <w:rPr>
        <w:rFonts w:hint="default"/>
      </w:rPr>
    </w:lvl>
  </w:abstractNum>
  <w:abstractNum w:abstractNumId="17">
    <w:nsid w:val="213691A6"/>
    <w:multiLevelType w:val="singleLevel"/>
    <w:tmpl w:val="213691A6"/>
    <w:lvl w:ilvl="0" w:tentative="0">
      <w:start w:val="1"/>
      <w:numFmt w:val="decimal"/>
      <w:lvlText w:val="(%1)"/>
      <w:lvlJc w:val="left"/>
      <w:pPr>
        <w:ind w:left="425" w:hanging="425"/>
      </w:pPr>
      <w:rPr>
        <w:rFonts w:hint="default"/>
      </w:rPr>
    </w:lvl>
  </w:abstractNum>
  <w:abstractNum w:abstractNumId="18">
    <w:nsid w:val="24726900"/>
    <w:multiLevelType w:val="singleLevel"/>
    <w:tmpl w:val="24726900"/>
    <w:lvl w:ilvl="0" w:tentative="0">
      <w:start w:val="1"/>
      <w:numFmt w:val="decimal"/>
      <w:lvlText w:val="(%1)"/>
      <w:lvlJc w:val="left"/>
      <w:pPr>
        <w:ind w:left="425" w:hanging="425"/>
      </w:pPr>
      <w:rPr>
        <w:rFonts w:hint="default"/>
      </w:rPr>
    </w:lvl>
  </w:abstractNum>
  <w:abstractNum w:abstractNumId="19">
    <w:nsid w:val="28754C34"/>
    <w:multiLevelType w:val="singleLevel"/>
    <w:tmpl w:val="28754C34"/>
    <w:lvl w:ilvl="0" w:tentative="0">
      <w:start w:val="1"/>
      <w:numFmt w:val="decimal"/>
      <w:lvlText w:val="(%1)"/>
      <w:lvlJc w:val="left"/>
      <w:pPr>
        <w:ind w:left="425" w:hanging="425"/>
      </w:pPr>
      <w:rPr>
        <w:rFonts w:hint="default"/>
      </w:rPr>
    </w:lvl>
  </w:abstractNum>
  <w:abstractNum w:abstractNumId="20">
    <w:nsid w:val="33F5A701"/>
    <w:multiLevelType w:val="singleLevel"/>
    <w:tmpl w:val="33F5A701"/>
    <w:lvl w:ilvl="0" w:tentative="0">
      <w:start w:val="1"/>
      <w:numFmt w:val="decimal"/>
      <w:lvlText w:val="(%1)"/>
      <w:lvlJc w:val="left"/>
      <w:pPr>
        <w:ind w:left="425" w:hanging="425"/>
      </w:pPr>
      <w:rPr>
        <w:rFonts w:hint="default"/>
      </w:rPr>
    </w:lvl>
  </w:abstractNum>
  <w:abstractNum w:abstractNumId="21">
    <w:nsid w:val="384BBCD1"/>
    <w:multiLevelType w:val="singleLevel"/>
    <w:tmpl w:val="384BBCD1"/>
    <w:lvl w:ilvl="0" w:tentative="0">
      <w:start w:val="1"/>
      <w:numFmt w:val="decimal"/>
      <w:lvlText w:val="(%1)"/>
      <w:lvlJc w:val="left"/>
      <w:pPr>
        <w:ind w:left="425" w:hanging="425"/>
      </w:pPr>
      <w:rPr>
        <w:rFonts w:hint="default"/>
      </w:rPr>
    </w:lvl>
  </w:abstractNum>
  <w:abstractNum w:abstractNumId="22">
    <w:nsid w:val="402CEC38"/>
    <w:multiLevelType w:val="singleLevel"/>
    <w:tmpl w:val="402CEC38"/>
    <w:lvl w:ilvl="0" w:tentative="0">
      <w:start w:val="1"/>
      <w:numFmt w:val="decimal"/>
      <w:lvlText w:val="(%1)"/>
      <w:lvlJc w:val="left"/>
      <w:pPr>
        <w:ind w:left="425" w:hanging="425"/>
      </w:pPr>
      <w:rPr>
        <w:rFonts w:hint="default"/>
      </w:rPr>
    </w:lvl>
  </w:abstractNum>
  <w:abstractNum w:abstractNumId="23">
    <w:nsid w:val="468A2B6F"/>
    <w:multiLevelType w:val="singleLevel"/>
    <w:tmpl w:val="468A2B6F"/>
    <w:lvl w:ilvl="0" w:tentative="0">
      <w:start w:val="1"/>
      <w:numFmt w:val="decimal"/>
      <w:lvlText w:val="(%1)"/>
      <w:lvlJc w:val="left"/>
      <w:pPr>
        <w:ind w:left="425" w:hanging="425"/>
      </w:pPr>
      <w:rPr>
        <w:rFonts w:hint="default"/>
      </w:rPr>
    </w:lvl>
  </w:abstractNum>
  <w:abstractNum w:abstractNumId="24">
    <w:nsid w:val="4F2697E6"/>
    <w:multiLevelType w:val="singleLevel"/>
    <w:tmpl w:val="4F2697E6"/>
    <w:lvl w:ilvl="0" w:tentative="0">
      <w:start w:val="1"/>
      <w:numFmt w:val="decimal"/>
      <w:lvlText w:val="(%1)"/>
      <w:lvlJc w:val="left"/>
      <w:pPr>
        <w:ind w:left="425" w:hanging="425"/>
      </w:pPr>
      <w:rPr>
        <w:rFonts w:hint="default"/>
      </w:rPr>
    </w:lvl>
  </w:abstractNum>
  <w:abstractNum w:abstractNumId="25">
    <w:nsid w:val="50AB0E18"/>
    <w:multiLevelType w:val="singleLevel"/>
    <w:tmpl w:val="50AB0E18"/>
    <w:lvl w:ilvl="0" w:tentative="0">
      <w:start w:val="2"/>
      <w:numFmt w:val="chineseCounting"/>
      <w:suff w:val="nothing"/>
      <w:lvlText w:val="%1、"/>
      <w:lvlJc w:val="left"/>
      <w:rPr>
        <w:rFonts w:hint="eastAsia"/>
      </w:rPr>
    </w:lvl>
  </w:abstractNum>
  <w:abstractNum w:abstractNumId="26">
    <w:nsid w:val="70169C6D"/>
    <w:multiLevelType w:val="singleLevel"/>
    <w:tmpl w:val="70169C6D"/>
    <w:lvl w:ilvl="0" w:tentative="0">
      <w:start w:val="1"/>
      <w:numFmt w:val="decimal"/>
      <w:lvlText w:val="(%1)"/>
      <w:lvlJc w:val="left"/>
      <w:pPr>
        <w:ind w:left="425" w:hanging="425"/>
      </w:pPr>
      <w:rPr>
        <w:rFonts w:hint="default"/>
      </w:rPr>
    </w:lvl>
  </w:abstractNum>
  <w:num w:numId="1">
    <w:abstractNumId w:val="1"/>
  </w:num>
  <w:num w:numId="2">
    <w:abstractNumId w:val="25"/>
  </w:num>
  <w:num w:numId="3">
    <w:abstractNumId w:val="7"/>
  </w:num>
  <w:num w:numId="4">
    <w:abstractNumId w:val="8"/>
  </w:num>
  <w:num w:numId="5">
    <w:abstractNumId w:val="2"/>
  </w:num>
  <w:num w:numId="6">
    <w:abstractNumId w:val="19"/>
  </w:num>
  <w:num w:numId="7">
    <w:abstractNumId w:val="23"/>
  </w:num>
  <w:num w:numId="8">
    <w:abstractNumId w:val="16"/>
  </w:num>
  <w:num w:numId="9">
    <w:abstractNumId w:val="21"/>
  </w:num>
  <w:num w:numId="10">
    <w:abstractNumId w:val="14"/>
  </w:num>
  <w:num w:numId="11">
    <w:abstractNumId w:val="0"/>
  </w:num>
  <w:num w:numId="12">
    <w:abstractNumId w:val="26"/>
  </w:num>
  <w:num w:numId="13">
    <w:abstractNumId w:val="3"/>
  </w:num>
  <w:num w:numId="14">
    <w:abstractNumId w:val="24"/>
  </w:num>
  <w:num w:numId="15">
    <w:abstractNumId w:val="9"/>
  </w:num>
  <w:num w:numId="16">
    <w:abstractNumId w:val="17"/>
  </w:num>
  <w:num w:numId="17">
    <w:abstractNumId w:val="22"/>
  </w:num>
  <w:num w:numId="18">
    <w:abstractNumId w:val="10"/>
  </w:num>
  <w:num w:numId="19">
    <w:abstractNumId w:val="20"/>
  </w:num>
  <w:num w:numId="20">
    <w:abstractNumId w:val="13"/>
  </w:num>
  <w:num w:numId="21">
    <w:abstractNumId w:val="4"/>
  </w:num>
  <w:num w:numId="22">
    <w:abstractNumId w:val="5"/>
  </w:num>
  <w:num w:numId="23">
    <w:abstractNumId w:val="11"/>
  </w:num>
  <w:num w:numId="24">
    <w:abstractNumId w:val="6"/>
  </w:num>
  <w:num w:numId="25">
    <w:abstractNumId w:val="18"/>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167934"/>
    <w:rsid w:val="002E3C4A"/>
    <w:rsid w:val="00385EF5"/>
    <w:rsid w:val="004029A6"/>
    <w:rsid w:val="00443F95"/>
    <w:rsid w:val="00553553"/>
    <w:rsid w:val="00582943"/>
    <w:rsid w:val="00771D7B"/>
    <w:rsid w:val="008D2971"/>
    <w:rsid w:val="009455D5"/>
    <w:rsid w:val="00AD1FFC"/>
    <w:rsid w:val="00AE20AB"/>
    <w:rsid w:val="00AF4E95"/>
    <w:rsid w:val="00B42877"/>
    <w:rsid w:val="00BB4CB5"/>
    <w:rsid w:val="00ED277A"/>
    <w:rsid w:val="00F70C58"/>
    <w:rsid w:val="00FD27C2"/>
    <w:rsid w:val="01697006"/>
    <w:rsid w:val="033C7A7D"/>
    <w:rsid w:val="03A651B2"/>
    <w:rsid w:val="05B01906"/>
    <w:rsid w:val="06607510"/>
    <w:rsid w:val="06B932AD"/>
    <w:rsid w:val="08166134"/>
    <w:rsid w:val="086A31E5"/>
    <w:rsid w:val="08706DA6"/>
    <w:rsid w:val="08FC3FA1"/>
    <w:rsid w:val="097A4D21"/>
    <w:rsid w:val="09E7757A"/>
    <w:rsid w:val="09E82A6A"/>
    <w:rsid w:val="0A821DCB"/>
    <w:rsid w:val="0C9308B1"/>
    <w:rsid w:val="0C9F1D59"/>
    <w:rsid w:val="0CC375AB"/>
    <w:rsid w:val="0E4D13A3"/>
    <w:rsid w:val="0ECE0F5D"/>
    <w:rsid w:val="10C33C76"/>
    <w:rsid w:val="11555973"/>
    <w:rsid w:val="115A7068"/>
    <w:rsid w:val="11F1656D"/>
    <w:rsid w:val="123242E4"/>
    <w:rsid w:val="1240186F"/>
    <w:rsid w:val="126A4ADC"/>
    <w:rsid w:val="12747493"/>
    <w:rsid w:val="13AF387C"/>
    <w:rsid w:val="151E6048"/>
    <w:rsid w:val="15583651"/>
    <w:rsid w:val="172C3B42"/>
    <w:rsid w:val="17B23BCE"/>
    <w:rsid w:val="17C9383B"/>
    <w:rsid w:val="184968E4"/>
    <w:rsid w:val="18795761"/>
    <w:rsid w:val="18C964C2"/>
    <w:rsid w:val="18D07862"/>
    <w:rsid w:val="1A310152"/>
    <w:rsid w:val="1C2B420C"/>
    <w:rsid w:val="1C4231EC"/>
    <w:rsid w:val="1C446AAF"/>
    <w:rsid w:val="1C4A593A"/>
    <w:rsid w:val="1C7D38BA"/>
    <w:rsid w:val="1D030DCD"/>
    <w:rsid w:val="1EB752DC"/>
    <w:rsid w:val="1EC319D9"/>
    <w:rsid w:val="1ED851CD"/>
    <w:rsid w:val="1FA51961"/>
    <w:rsid w:val="1FFF5363"/>
    <w:rsid w:val="20700EFE"/>
    <w:rsid w:val="218E6F91"/>
    <w:rsid w:val="23190EFC"/>
    <w:rsid w:val="23532980"/>
    <w:rsid w:val="24082A8D"/>
    <w:rsid w:val="241F0CED"/>
    <w:rsid w:val="254E2622"/>
    <w:rsid w:val="25CE4F44"/>
    <w:rsid w:val="27333F5E"/>
    <w:rsid w:val="28A6118D"/>
    <w:rsid w:val="2955491F"/>
    <w:rsid w:val="299711CA"/>
    <w:rsid w:val="2A1820A6"/>
    <w:rsid w:val="2A7334AE"/>
    <w:rsid w:val="2B8E0CD6"/>
    <w:rsid w:val="2BA56E75"/>
    <w:rsid w:val="2C5B0F65"/>
    <w:rsid w:val="2CB14AD3"/>
    <w:rsid w:val="2E561B03"/>
    <w:rsid w:val="2E992E2E"/>
    <w:rsid w:val="30DB5A72"/>
    <w:rsid w:val="32745372"/>
    <w:rsid w:val="33C8437F"/>
    <w:rsid w:val="35745722"/>
    <w:rsid w:val="364D70A5"/>
    <w:rsid w:val="36E5412A"/>
    <w:rsid w:val="3822651A"/>
    <w:rsid w:val="38F43835"/>
    <w:rsid w:val="3D1A7CCD"/>
    <w:rsid w:val="3D9F37A9"/>
    <w:rsid w:val="3DD55258"/>
    <w:rsid w:val="3E4A1E57"/>
    <w:rsid w:val="3E9E2825"/>
    <w:rsid w:val="3F086358"/>
    <w:rsid w:val="3F8035CA"/>
    <w:rsid w:val="3FED739E"/>
    <w:rsid w:val="3FF54484"/>
    <w:rsid w:val="41083DBC"/>
    <w:rsid w:val="410F22BC"/>
    <w:rsid w:val="41673A38"/>
    <w:rsid w:val="425A0D62"/>
    <w:rsid w:val="4553215E"/>
    <w:rsid w:val="45645FC1"/>
    <w:rsid w:val="45B6401C"/>
    <w:rsid w:val="45F2708A"/>
    <w:rsid w:val="461C1E7F"/>
    <w:rsid w:val="462D5D06"/>
    <w:rsid w:val="46BB7E19"/>
    <w:rsid w:val="48573E95"/>
    <w:rsid w:val="485834EE"/>
    <w:rsid w:val="48DF209C"/>
    <w:rsid w:val="4A161D99"/>
    <w:rsid w:val="4A9139CC"/>
    <w:rsid w:val="4BBC472D"/>
    <w:rsid w:val="4CB76E6A"/>
    <w:rsid w:val="4CD32562"/>
    <w:rsid w:val="4CF40C0C"/>
    <w:rsid w:val="50350035"/>
    <w:rsid w:val="50E84ECD"/>
    <w:rsid w:val="511B225C"/>
    <w:rsid w:val="515A638A"/>
    <w:rsid w:val="51CA57CD"/>
    <w:rsid w:val="5207605D"/>
    <w:rsid w:val="521121FD"/>
    <w:rsid w:val="526B3F2A"/>
    <w:rsid w:val="52BB0660"/>
    <w:rsid w:val="532A2681"/>
    <w:rsid w:val="53456349"/>
    <w:rsid w:val="538F7E27"/>
    <w:rsid w:val="5392738E"/>
    <w:rsid w:val="53F12E91"/>
    <w:rsid w:val="56707725"/>
    <w:rsid w:val="56B66F81"/>
    <w:rsid w:val="56F264DA"/>
    <w:rsid w:val="578E1D09"/>
    <w:rsid w:val="579E108F"/>
    <w:rsid w:val="57AC57FC"/>
    <w:rsid w:val="5853574C"/>
    <w:rsid w:val="5A36150F"/>
    <w:rsid w:val="5A6F322D"/>
    <w:rsid w:val="5A802F34"/>
    <w:rsid w:val="5D012C07"/>
    <w:rsid w:val="5D406F09"/>
    <w:rsid w:val="5DAC1155"/>
    <w:rsid w:val="5F220723"/>
    <w:rsid w:val="608E71EB"/>
    <w:rsid w:val="61F830B8"/>
    <w:rsid w:val="62850165"/>
    <w:rsid w:val="63391F98"/>
    <w:rsid w:val="644010CB"/>
    <w:rsid w:val="657809E0"/>
    <w:rsid w:val="6681691E"/>
    <w:rsid w:val="6737097B"/>
    <w:rsid w:val="673D0620"/>
    <w:rsid w:val="69863DD5"/>
    <w:rsid w:val="6AEA1ADB"/>
    <w:rsid w:val="6C2C4CD6"/>
    <w:rsid w:val="6C367E96"/>
    <w:rsid w:val="6C8B765D"/>
    <w:rsid w:val="6CB41BFC"/>
    <w:rsid w:val="6CF32113"/>
    <w:rsid w:val="6CFB4D81"/>
    <w:rsid w:val="6D455AEB"/>
    <w:rsid w:val="6D761F3D"/>
    <w:rsid w:val="6EC71C90"/>
    <w:rsid w:val="6ECE5857"/>
    <w:rsid w:val="6FCB30AA"/>
    <w:rsid w:val="70121BEB"/>
    <w:rsid w:val="703624A5"/>
    <w:rsid w:val="71F82A13"/>
    <w:rsid w:val="7255309E"/>
    <w:rsid w:val="72C11C2F"/>
    <w:rsid w:val="73056FAA"/>
    <w:rsid w:val="73203CF9"/>
    <w:rsid w:val="7359343D"/>
    <w:rsid w:val="74433E94"/>
    <w:rsid w:val="75F764EE"/>
    <w:rsid w:val="78C60BC7"/>
    <w:rsid w:val="78DB27F0"/>
    <w:rsid w:val="7A15799B"/>
    <w:rsid w:val="7A5C3D77"/>
    <w:rsid w:val="7D45205F"/>
    <w:rsid w:val="7DF8742C"/>
    <w:rsid w:val="7F95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7">
    <w:name w:val="heading 2"/>
    <w:basedOn w:val="1"/>
    <w:next w:val="1"/>
    <w:qFormat/>
    <w:uiPriority w:val="1"/>
    <w:pPr>
      <w:spacing w:line="479" w:lineRule="exact"/>
      <w:jc w:val="left"/>
      <w:outlineLvl w:val="1"/>
    </w:pPr>
    <w:rPr>
      <w:rFonts w:ascii="Microsoft YaHei UI" w:hAnsi="Microsoft YaHei UI" w:eastAsia="Microsoft YaHei UI"/>
      <w:spacing w:val="2"/>
      <w:kern w:val="0"/>
      <w:sz w:val="32"/>
      <w:szCs w:val="32"/>
    </w:rPr>
  </w:style>
  <w:style w:type="paragraph" w:styleId="8">
    <w:name w:val="heading 3"/>
    <w:basedOn w:val="1"/>
    <w:next w:val="1"/>
    <w:qFormat/>
    <w:uiPriority w:val="0"/>
    <w:pPr>
      <w:keepNext/>
      <w:keepLines/>
      <w:spacing w:line="360" w:lineRule="auto"/>
      <w:outlineLvl w:val="2"/>
    </w:pPr>
    <w:rPr>
      <w:b/>
      <w:bCs/>
      <w:sz w:val="24"/>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8"/>
    <w:unhideWhenUsed/>
    <w:qFormat/>
    <w:uiPriority w:val="99"/>
    <w:pPr>
      <w:tabs>
        <w:tab w:val="center" w:pos="4153"/>
        <w:tab w:val="right" w:pos="8306"/>
      </w:tabs>
      <w:snapToGrid w:val="0"/>
      <w:jc w:val="left"/>
    </w:pPr>
    <w:rPr>
      <w:sz w:val="18"/>
      <w:szCs w:val="18"/>
    </w:rPr>
  </w:style>
  <w:style w:type="paragraph" w:styleId="3">
    <w:name w:val="Normal Indent"/>
    <w:basedOn w:val="1"/>
    <w:next w:val="1"/>
    <w:semiHidden/>
    <w:unhideWhenUsed/>
    <w:qFormat/>
    <w:uiPriority w:val="99"/>
    <w:pPr>
      <w:ind w:firstLine="420" w:firstLineChars="200"/>
    </w:pPr>
  </w:style>
  <w:style w:type="paragraph" w:styleId="5">
    <w:name w:val="Body Text"/>
    <w:basedOn w:val="1"/>
    <w:next w:val="6"/>
    <w:link w:val="39"/>
    <w:qFormat/>
    <w:uiPriority w:val="1"/>
    <w:pPr>
      <w:ind w:firstLine="200" w:firstLineChars="200"/>
    </w:pPr>
    <w:rPr>
      <w:rFonts w:ascii="Microsoft YaHei UI" w:hAnsi="Microsoft YaHei UI" w:eastAsia="Microsoft YaHei UI"/>
      <w:kern w:val="0"/>
      <w:szCs w:val="21"/>
      <w:lang w:eastAsia="en-US"/>
    </w:rPr>
  </w:style>
  <w:style w:type="paragraph" w:styleId="6">
    <w:name w:val="Body Text First Indent"/>
    <w:basedOn w:val="5"/>
    <w:next w:val="1"/>
    <w:semiHidden/>
    <w:unhideWhenUsed/>
    <w:qFormat/>
    <w:uiPriority w:val="99"/>
    <w:pPr>
      <w:autoSpaceDE/>
      <w:autoSpaceDN/>
      <w:adjustRightInd/>
      <w:spacing w:before="0" w:after="120"/>
      <w:ind w:left="0" w:firstLine="420" w:firstLineChars="100"/>
      <w:jc w:val="both"/>
    </w:pPr>
    <w:rPr>
      <w:rFonts w:ascii="Times New Roman" w:cs="Times New Roman"/>
      <w:kern w:val="2"/>
      <w:szCs w:val="24"/>
    </w:rPr>
  </w:style>
  <w:style w:type="paragraph" w:styleId="9">
    <w:name w:val="toa heading"/>
    <w:basedOn w:val="1"/>
    <w:next w:val="1"/>
    <w:qFormat/>
    <w:uiPriority w:val="0"/>
    <w:pPr>
      <w:spacing w:before="120"/>
    </w:pPr>
    <w:rPr>
      <w:rFonts w:ascii="Cambria" w:hAnsi="Cambria"/>
    </w:rPr>
  </w:style>
  <w:style w:type="paragraph" w:styleId="10">
    <w:name w:val="annotation text"/>
    <w:basedOn w:val="1"/>
    <w:link w:val="36"/>
    <w:unhideWhenUsed/>
    <w:qFormat/>
    <w:uiPriority w:val="99"/>
    <w:pPr>
      <w:jc w:val="left"/>
    </w:pPr>
  </w:style>
  <w:style w:type="paragraph" w:styleId="11">
    <w:name w:val="Body Text Indent"/>
    <w:basedOn w:val="1"/>
    <w:next w:val="12"/>
    <w:semiHidden/>
    <w:unhideWhenUsed/>
    <w:qFormat/>
    <w:uiPriority w:val="99"/>
    <w:pPr>
      <w:spacing w:after="120"/>
      <w:ind w:left="420" w:leftChars="200"/>
    </w:pPr>
  </w:style>
  <w:style w:type="paragraph" w:styleId="12">
    <w:name w:val="annotation subject"/>
    <w:basedOn w:val="10"/>
    <w:next w:val="10"/>
    <w:link w:val="37"/>
    <w:semiHidden/>
    <w:unhideWhenUsed/>
    <w:qFormat/>
    <w:uiPriority w:val="99"/>
    <w:rPr>
      <w:b/>
      <w:bCs/>
    </w:rPr>
  </w:style>
  <w:style w:type="paragraph" w:styleId="13">
    <w:name w:val="toc 3"/>
    <w:basedOn w:val="1"/>
    <w:next w:val="1"/>
    <w:unhideWhenUsed/>
    <w:qFormat/>
    <w:uiPriority w:val="39"/>
    <w:pPr>
      <w:widowControl/>
      <w:spacing w:after="100" w:line="259" w:lineRule="auto"/>
      <w:ind w:left="440"/>
    </w:pPr>
    <w:rPr>
      <w:rFonts w:cs="Times New Roman"/>
      <w:lang w:eastAsia="zh-CN"/>
    </w:rPr>
  </w:style>
  <w:style w:type="paragraph" w:styleId="14">
    <w:name w:val="Balloon Text"/>
    <w:basedOn w:val="1"/>
    <w:link w:val="38"/>
    <w:semiHidden/>
    <w:unhideWhenUsed/>
    <w:qFormat/>
    <w:uiPriority w:val="99"/>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pPr>
    <w:rPr>
      <w:rFonts w:cs="Times New Roman"/>
      <w:lang w:eastAsia="zh-CN"/>
    </w:rPr>
  </w:style>
  <w:style w:type="paragraph" w:styleId="17">
    <w:name w:val="toc 2"/>
    <w:basedOn w:val="1"/>
    <w:next w:val="1"/>
    <w:unhideWhenUsed/>
    <w:qFormat/>
    <w:uiPriority w:val="39"/>
    <w:pPr>
      <w:tabs>
        <w:tab w:val="left" w:pos="1045"/>
        <w:tab w:val="right" w:leader="dot" w:pos="8828"/>
      </w:tabs>
      <w:ind w:left="44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after="60"/>
      <w:jc w:val="center"/>
      <w:outlineLvl w:val="0"/>
    </w:pPr>
    <w:rPr>
      <w:rFonts w:ascii="Arial" w:hAnsi="Arial" w:eastAsia="宋体" w:cs="Times New Roman"/>
      <w:b/>
      <w:bCs/>
      <w:kern w:val="2"/>
      <w:sz w:val="32"/>
      <w:szCs w:val="32"/>
    </w:rPr>
  </w:style>
  <w:style w:type="paragraph" w:styleId="20">
    <w:name w:val="Body Text First Indent 2"/>
    <w:basedOn w:val="11"/>
    <w:next w:val="11"/>
    <w:semiHidden/>
    <w:unhideWhenUsed/>
    <w:qFormat/>
    <w:uiPriority w:val="99"/>
    <w:pPr>
      <w:ind w:firstLine="420" w:firstLineChars="200"/>
    </w:pPr>
  </w:style>
  <w:style w:type="table" w:styleId="22">
    <w:name w:val="Table Grid"/>
    <w:basedOn w:val="2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semiHidden/>
    <w:unhideWhenUsed/>
    <w:qFormat/>
    <w:uiPriority w:val="99"/>
    <w:rPr>
      <w:sz w:val="21"/>
      <w:szCs w:val="21"/>
    </w:rPr>
  </w:style>
  <w:style w:type="paragraph" w:customStyle="1" w:styleId="25">
    <w:name w:val="默认段落字体 Para Char"/>
    <w:basedOn w:val="26"/>
    <w:next w:val="26"/>
    <w:qFormat/>
    <w:uiPriority w:val="0"/>
    <w:pPr>
      <w:tabs>
        <w:tab w:val="left" w:pos="6940"/>
      </w:tabs>
    </w:pPr>
    <w:rPr>
      <w:szCs w:val="24"/>
    </w:rPr>
  </w:style>
  <w:style w:type="paragraph" w:customStyle="1" w:styleId="26">
    <w:name w:val="Normal_1"/>
    <w:next w:val="25"/>
    <w:qFormat/>
    <w:uiPriority w:val="1"/>
    <w:pPr>
      <w:widowControl w:val="0"/>
    </w:pPr>
    <w:rPr>
      <w:rFonts w:ascii="宋体" w:hAnsi="宋体" w:eastAsia="宋体" w:cs="宋体"/>
      <w:sz w:val="22"/>
      <w:szCs w:val="22"/>
      <w:lang w:val="en-US" w:eastAsia="en-US" w:bidi="ar-SA"/>
    </w:rPr>
  </w:style>
  <w:style w:type="character" w:customStyle="1" w:styleId="27">
    <w:name w:val="页眉 字符"/>
    <w:basedOn w:val="23"/>
    <w:link w:val="15"/>
    <w:qFormat/>
    <w:uiPriority w:val="99"/>
    <w:rPr>
      <w:sz w:val="18"/>
      <w:szCs w:val="18"/>
    </w:rPr>
  </w:style>
  <w:style w:type="character" w:customStyle="1" w:styleId="28">
    <w:name w:val="页脚 字符"/>
    <w:basedOn w:val="23"/>
    <w:link w:val="2"/>
    <w:qFormat/>
    <w:uiPriority w:val="99"/>
    <w:rPr>
      <w:sz w:val="18"/>
      <w:szCs w:val="18"/>
    </w:rPr>
  </w:style>
  <w:style w:type="paragraph" w:customStyle="1" w:styleId="29">
    <w:name w:val="Table Paragraph"/>
    <w:basedOn w:val="30"/>
    <w:qFormat/>
    <w:uiPriority w:val="1"/>
    <w:pPr>
      <w:jc w:val="left"/>
    </w:pPr>
    <w:rPr>
      <w:kern w:val="0"/>
      <w:sz w:val="22"/>
      <w:lang w:eastAsia="en-US"/>
    </w:rPr>
  </w:style>
  <w:style w:type="paragraph" w:customStyle="1" w:styleId="30">
    <w:name w:val="正文_1"/>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qFormat/>
    <w:uiPriority w:val="34"/>
    <w:pPr>
      <w:widowControl/>
      <w:ind w:firstLine="420"/>
    </w:pPr>
    <w:rPr>
      <w:rFonts w:ascii="Calibri" w:hAnsi="Calibri" w:eastAsia="宋体" w:cs="Calibri"/>
      <w:kern w:val="0"/>
      <w:szCs w:val="21"/>
    </w:rPr>
  </w:style>
  <w:style w:type="paragraph" w:customStyle="1" w:styleId="32">
    <w:name w:val="Default"/>
    <w:basedOn w:val="1"/>
    <w:qFormat/>
    <w:uiPriority w:val="0"/>
    <w:pPr>
      <w:autoSpaceDE w:val="0"/>
      <w:autoSpaceDN w:val="0"/>
      <w:adjustRightInd w:val="0"/>
      <w:jc w:val="left"/>
    </w:pPr>
    <w:rPr>
      <w:rFonts w:ascii="宋体" w:cs="宋体"/>
      <w:color w:val="000000"/>
      <w:kern w:val="0"/>
      <w:sz w:val="24"/>
      <w:szCs w:val="24"/>
    </w:rPr>
  </w:style>
  <w:style w:type="paragraph" w:customStyle="1" w:styleId="33">
    <w:name w:val="列出段落1"/>
    <w:basedOn w:val="1"/>
    <w:qFormat/>
    <w:uiPriority w:val="34"/>
    <w:pPr>
      <w:ind w:firstLine="420" w:firstLineChars="200"/>
    </w:pPr>
    <w:rPr>
      <w:rFonts w:ascii="Calibri" w:hAnsi="Calibri" w:eastAsia="宋体" w:cs="Times New Roman"/>
    </w:rPr>
  </w:style>
  <w:style w:type="paragraph" w:customStyle="1" w:styleId="34">
    <w:name w:val="111"/>
    <w:basedOn w:val="1"/>
    <w:link w:val="35"/>
    <w:qFormat/>
    <w:uiPriority w:val="0"/>
    <w:pPr>
      <w:widowControl/>
      <w:jc w:val="center"/>
    </w:pPr>
    <w:rPr>
      <w:rFonts w:ascii="宋体" w:hAnsi="宋体" w:eastAsia="宋体" w:cs="宋体"/>
      <w:color w:val="000000"/>
      <w:kern w:val="0"/>
      <w:sz w:val="18"/>
      <w:szCs w:val="18"/>
    </w:rPr>
  </w:style>
  <w:style w:type="character" w:customStyle="1" w:styleId="35">
    <w:name w:val="111 Char"/>
    <w:link w:val="34"/>
    <w:qFormat/>
    <w:locked/>
    <w:uiPriority w:val="0"/>
    <w:rPr>
      <w:rFonts w:ascii="宋体" w:hAnsi="宋体" w:eastAsia="宋体" w:cs="宋体"/>
      <w:color w:val="000000"/>
      <w:sz w:val="18"/>
      <w:szCs w:val="18"/>
    </w:rPr>
  </w:style>
  <w:style w:type="character" w:customStyle="1" w:styleId="36">
    <w:name w:val="批注文字 字符"/>
    <w:basedOn w:val="23"/>
    <w:link w:val="10"/>
    <w:qFormat/>
    <w:uiPriority w:val="99"/>
    <w:rPr>
      <w:rFonts w:asciiTheme="minorHAnsi" w:hAnsiTheme="minorHAnsi" w:eastAsiaTheme="minorEastAsia" w:cstheme="minorBidi"/>
      <w:kern w:val="2"/>
      <w:sz w:val="21"/>
      <w:szCs w:val="22"/>
    </w:rPr>
  </w:style>
  <w:style w:type="character" w:customStyle="1" w:styleId="37">
    <w:name w:val="批注主题 字符"/>
    <w:basedOn w:val="36"/>
    <w:link w:val="12"/>
    <w:semiHidden/>
    <w:qFormat/>
    <w:uiPriority w:val="99"/>
    <w:rPr>
      <w:rFonts w:asciiTheme="minorHAnsi" w:hAnsiTheme="minorHAnsi" w:eastAsiaTheme="minorEastAsia" w:cstheme="minorBidi"/>
      <w:b/>
      <w:bCs/>
      <w:kern w:val="2"/>
      <w:sz w:val="21"/>
      <w:szCs w:val="22"/>
    </w:rPr>
  </w:style>
  <w:style w:type="character" w:customStyle="1" w:styleId="38">
    <w:name w:val="批注框文本 字符"/>
    <w:basedOn w:val="23"/>
    <w:link w:val="14"/>
    <w:semiHidden/>
    <w:qFormat/>
    <w:uiPriority w:val="99"/>
    <w:rPr>
      <w:rFonts w:asciiTheme="minorHAnsi" w:hAnsiTheme="minorHAnsi" w:eastAsiaTheme="minorEastAsia" w:cstheme="minorBidi"/>
      <w:kern w:val="2"/>
      <w:sz w:val="18"/>
      <w:szCs w:val="18"/>
    </w:rPr>
  </w:style>
  <w:style w:type="character" w:customStyle="1" w:styleId="39">
    <w:name w:val="正文文本 字符"/>
    <w:basedOn w:val="23"/>
    <w:link w:val="5"/>
    <w:qFormat/>
    <w:uiPriority w:val="1"/>
    <w:rPr>
      <w:rFonts w:ascii="Microsoft YaHei UI" w:hAnsi="Microsoft YaHei UI" w:eastAsia="Microsoft YaHei UI" w:cstheme="minorBidi"/>
      <w:sz w:val="21"/>
      <w:szCs w:val="21"/>
      <w:lang w:eastAsia="en-US"/>
    </w:rPr>
  </w:style>
  <w:style w:type="paragraph" w:customStyle="1" w:styleId="40">
    <w:name w:val="正文文本1"/>
    <w:basedOn w:val="1"/>
    <w:qFormat/>
    <w:uiPriority w:val="0"/>
    <w:pPr>
      <w:widowControl w:val="0"/>
      <w:shd w:val="clear" w:color="auto" w:fill="auto"/>
      <w:spacing w:after="200" w:line="422" w:lineRule="auto"/>
      <w:ind w:firstLine="400"/>
    </w:pPr>
    <w:rPr>
      <w:rFonts w:ascii="宋体" w:hAnsi="宋体" w:eastAsia="宋体" w:cs="宋体"/>
      <w:sz w:val="20"/>
      <w:szCs w:val="20"/>
      <w:u w:val="none"/>
      <w:lang w:val="zh-CN" w:eastAsia="zh-CN" w:bidi="zh-CN"/>
    </w:rPr>
  </w:style>
  <w:style w:type="paragraph" w:customStyle="1" w:styleId="41">
    <w:name w:val="其他"/>
    <w:basedOn w:val="1"/>
    <w:qFormat/>
    <w:uiPriority w:val="0"/>
    <w:pPr>
      <w:widowControl w:val="0"/>
      <w:shd w:val="clear" w:color="auto" w:fill="auto"/>
      <w:spacing w:after="200" w:line="422" w:lineRule="auto"/>
      <w:ind w:firstLine="400"/>
    </w:pPr>
    <w:rPr>
      <w:rFonts w:ascii="宋体" w:hAnsi="宋体" w:eastAsia="宋体" w:cs="宋体"/>
      <w:sz w:val="20"/>
      <w:szCs w:val="20"/>
      <w:u w:val="none"/>
    </w:rPr>
  </w:style>
  <w:style w:type="paragraph" w:customStyle="1" w:styleId="42">
    <w:name w:val="临时正文"/>
    <w:basedOn w:val="43"/>
    <w:qFormat/>
    <w:uiPriority w:val="0"/>
    <w:pPr>
      <w:spacing w:line="360" w:lineRule="auto"/>
      <w:ind w:firstLine="200"/>
    </w:pPr>
    <w:rPr>
      <w:rFonts w:ascii="Times New Roman" w:hAnsi="Times New Roman" w:eastAsia="宋体"/>
      <w:bCs/>
      <w:kern w:val="21"/>
      <w:szCs w:val="24"/>
    </w:rPr>
  </w:style>
  <w:style w:type="paragraph" w:customStyle="1" w:styleId="43">
    <w:name w:val="正文格式"/>
    <w:basedOn w:val="1"/>
    <w:next w:val="1"/>
    <w:qFormat/>
    <w:uiPriority w:val="0"/>
    <w:pPr>
      <w:keepNext w:val="0"/>
      <w:topLinePunct/>
      <w:ind w:firstLine="420" w:firstLineChars="200"/>
    </w:pPr>
    <w:rPr>
      <w:rFonts w:ascii="宋体" w:hAnsi="宋体"/>
      <w:szCs w:val="20"/>
    </w:rPr>
  </w:style>
  <w:style w:type="paragraph" w:customStyle="1" w:styleId="44">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14ADA-2E41-4959-B8C6-3210D4DE830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940</Words>
  <Characters>5360</Characters>
  <Lines>44</Lines>
  <Paragraphs>12</Paragraphs>
  <TotalTime>4</TotalTime>
  <ScaleCrop>false</ScaleCrop>
  <LinksUpToDate>false</LinksUpToDate>
  <CharactersWithSpaces>6288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2021-10-29T05:15:00Z</dcterms:created>
  <dc:creator>季云峰/采办项目组/集团公司机关</dc:creator>
  <cp:lastModifiedBy>admin</cp:lastModifiedBy>
  <dcterms:modified xsi:type="dcterms:W3CDTF">2026-01-23T10:03:05Z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9BF6AB1E9C074DA9BFF97103526B98A8</vt:lpwstr>
  </property>
</Properties>
</file>