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E1869">
      <w:pPr>
        <w:tabs>
          <w:tab w:val="left" w:pos="2070"/>
          <w:tab w:val="center" w:pos="4365"/>
        </w:tabs>
        <w:snapToGrid w:val="0"/>
        <w:rPr>
          <w:rFonts w:ascii="华文中宋" w:hAnsi="华文中宋" w:eastAsia="华文中宋"/>
          <w:sz w:val="30"/>
          <w:szCs w:val="30"/>
        </w:rPr>
      </w:pPr>
    </w:p>
    <w:p w14:paraId="0C75CEA3">
      <w:pPr>
        <w:tabs>
          <w:tab w:val="left" w:pos="2070"/>
          <w:tab w:val="center" w:pos="4365"/>
        </w:tabs>
        <w:snapToGrid w:val="0"/>
        <w:ind w:firstLine="9680" w:firstLineChars="2200"/>
        <w:rPr>
          <w:rFonts w:ascii="华文中宋" w:hAnsi="华文中宋" w:eastAsia="华文中宋"/>
          <w:sz w:val="44"/>
          <w:szCs w:val="44"/>
        </w:rPr>
      </w:pPr>
    </w:p>
    <w:p w14:paraId="2351D41C">
      <w:pPr>
        <w:tabs>
          <w:tab w:val="left" w:pos="2070"/>
          <w:tab w:val="center" w:pos="4365"/>
        </w:tabs>
        <w:snapToGrid w:val="0"/>
        <w:rPr>
          <w:rFonts w:ascii="华文中宋" w:hAnsi="华文中宋" w:eastAsia="华文中宋"/>
          <w:sz w:val="44"/>
          <w:szCs w:val="44"/>
        </w:rPr>
      </w:pPr>
    </w:p>
    <w:p w14:paraId="7EFF185C">
      <w:pPr>
        <w:tabs>
          <w:tab w:val="left" w:pos="2070"/>
          <w:tab w:val="center" w:pos="4365"/>
        </w:tabs>
        <w:snapToGrid w:val="0"/>
        <w:jc w:val="center"/>
        <w:rPr>
          <w:rFonts w:ascii="华文中宋" w:hAnsi="华文中宋" w:eastAsia="华文中宋"/>
          <w:b/>
          <w:sz w:val="96"/>
          <w:szCs w:val="96"/>
        </w:rPr>
      </w:pPr>
      <w:bookmarkStart w:id="0" w:name="_Toc26881689"/>
      <w:bookmarkStart w:id="1" w:name="_Toc352761928"/>
      <w:bookmarkStart w:id="2" w:name="_Toc424378683"/>
      <w:r>
        <w:rPr>
          <w:rFonts w:hint="eastAsia" w:ascii="华文中宋" w:hAnsi="华文中宋" w:eastAsia="华文中宋"/>
          <w:b/>
          <w:sz w:val="96"/>
          <w:szCs w:val="96"/>
        </w:rPr>
        <w:t>公开招标文件</w:t>
      </w:r>
    </w:p>
    <w:p w14:paraId="06F29D87">
      <w:pPr>
        <w:tabs>
          <w:tab w:val="left" w:pos="2070"/>
          <w:tab w:val="center" w:pos="4365"/>
        </w:tabs>
        <w:snapToGrid w:val="0"/>
        <w:jc w:val="center"/>
        <w:rPr>
          <w:rFonts w:ascii="华文中宋" w:hAnsi="华文中宋" w:eastAsia="华文中宋"/>
          <w:sz w:val="44"/>
          <w:szCs w:val="44"/>
        </w:rPr>
      </w:pPr>
    </w:p>
    <w:p w14:paraId="564708F5">
      <w:pPr>
        <w:tabs>
          <w:tab w:val="left" w:pos="2070"/>
          <w:tab w:val="center" w:pos="4365"/>
        </w:tabs>
        <w:snapToGrid w:val="0"/>
        <w:jc w:val="center"/>
        <w:rPr>
          <w:rFonts w:ascii="华文中宋" w:hAnsi="华文中宋" w:eastAsia="华文中宋"/>
          <w:sz w:val="44"/>
          <w:szCs w:val="44"/>
        </w:rPr>
      </w:pPr>
    </w:p>
    <w:p w14:paraId="59460FAB">
      <w:pPr>
        <w:tabs>
          <w:tab w:val="left" w:pos="2070"/>
          <w:tab w:val="center" w:pos="4365"/>
        </w:tabs>
        <w:snapToGrid w:val="0"/>
        <w:jc w:val="center"/>
        <w:rPr>
          <w:rFonts w:ascii="华文中宋" w:hAnsi="华文中宋" w:eastAsia="华文中宋"/>
          <w:sz w:val="44"/>
          <w:szCs w:val="44"/>
        </w:rPr>
      </w:pPr>
    </w:p>
    <w:p w14:paraId="53549C2E">
      <w:pPr>
        <w:tabs>
          <w:tab w:val="left" w:pos="2070"/>
          <w:tab w:val="center" w:pos="4365"/>
        </w:tabs>
        <w:snapToGrid w:val="0"/>
        <w:jc w:val="center"/>
        <w:rPr>
          <w:rFonts w:ascii="华文中宋" w:hAnsi="华文中宋" w:eastAsia="华文中宋"/>
          <w:sz w:val="44"/>
          <w:szCs w:val="44"/>
        </w:rPr>
      </w:pPr>
    </w:p>
    <w:p w14:paraId="046A0C5B">
      <w:pPr>
        <w:tabs>
          <w:tab w:val="left" w:pos="2070"/>
          <w:tab w:val="center" w:pos="4365"/>
        </w:tabs>
        <w:snapToGrid w:val="0"/>
        <w:rPr>
          <w:rFonts w:ascii="华文中宋" w:hAnsi="华文中宋" w:eastAsia="华文中宋"/>
          <w:sz w:val="44"/>
          <w:szCs w:val="44"/>
        </w:rPr>
      </w:pPr>
    </w:p>
    <w:p w14:paraId="56098F67">
      <w:pPr>
        <w:spacing w:beforeLines="100" w:afterLines="100" w:line="360" w:lineRule="auto"/>
        <w:rPr>
          <w:rFonts w:hint="eastAsia" w:ascii="华文中宋" w:hAnsi="华文中宋" w:eastAsia="华文中宋"/>
          <w:sz w:val="32"/>
          <w:szCs w:val="32"/>
        </w:rPr>
      </w:pPr>
      <w:r>
        <w:rPr>
          <w:rFonts w:hint="eastAsia" w:ascii="华文中宋" w:hAnsi="华文中宋" w:eastAsia="华文中宋"/>
          <w:sz w:val="32"/>
          <w:szCs w:val="32"/>
        </w:rPr>
        <w:t>项目名称：上党区2023年义务教育薄弱环节</w:t>
      </w:r>
    </w:p>
    <w:p w14:paraId="7724FA0F">
      <w:pPr>
        <w:spacing w:beforeLines="100" w:afterLines="100" w:line="360" w:lineRule="auto"/>
        <w:ind w:firstLine="1920" w:firstLineChars="600"/>
        <w:rPr>
          <w:rFonts w:hint="default" w:ascii="华文中宋" w:hAnsi="华文中宋" w:eastAsia="华文中宋"/>
          <w:sz w:val="32"/>
          <w:szCs w:val="32"/>
          <w:lang w:val="en-US" w:eastAsia="zh-CN"/>
        </w:rPr>
      </w:pPr>
      <w:r>
        <w:rPr>
          <w:rFonts w:hint="eastAsia" w:ascii="华文中宋" w:hAnsi="华文中宋" w:eastAsia="华文中宋"/>
          <w:sz w:val="32"/>
          <w:szCs w:val="32"/>
        </w:rPr>
        <w:t>改善与能力提升设备购置</w:t>
      </w:r>
    </w:p>
    <w:p w14:paraId="561ED7DD">
      <w:pPr>
        <w:tabs>
          <w:tab w:val="left" w:pos="2070"/>
          <w:tab w:val="center" w:pos="4365"/>
        </w:tabs>
        <w:snapToGrid w:val="0"/>
        <w:spacing w:line="360" w:lineRule="auto"/>
        <w:jc w:val="left"/>
        <w:rPr>
          <w:rFonts w:ascii="华文中宋" w:hAnsi="华文中宋" w:eastAsia="华文中宋"/>
          <w:sz w:val="32"/>
          <w:szCs w:val="32"/>
        </w:rPr>
      </w:pPr>
      <w:r>
        <w:rPr>
          <w:rFonts w:hint="eastAsia" w:ascii="华文中宋" w:hAnsi="华文中宋" w:eastAsia="华文中宋"/>
          <w:sz w:val="32"/>
          <w:szCs w:val="32"/>
        </w:rPr>
        <w:t>项目编号：1404042025AGK00027</w:t>
      </w:r>
    </w:p>
    <w:p w14:paraId="56951077">
      <w:pPr>
        <w:tabs>
          <w:tab w:val="left" w:pos="2070"/>
          <w:tab w:val="center" w:pos="4365"/>
        </w:tabs>
        <w:snapToGrid w:val="0"/>
        <w:spacing w:line="360" w:lineRule="auto"/>
        <w:rPr>
          <w:rFonts w:hint="eastAsia" w:ascii="华文中宋" w:hAnsi="华文中宋" w:eastAsia="华文中宋"/>
          <w:sz w:val="32"/>
          <w:szCs w:val="32"/>
          <w:lang w:eastAsia="zh-CN"/>
        </w:rPr>
      </w:pPr>
      <w:r>
        <w:rPr>
          <w:rFonts w:hint="eastAsia" w:ascii="华文中宋" w:hAnsi="华文中宋" w:eastAsia="华文中宋"/>
          <w:sz w:val="32"/>
          <w:szCs w:val="32"/>
        </w:rPr>
        <w:t>采 购 人：</w:t>
      </w:r>
      <w:r>
        <w:rPr>
          <w:rFonts w:hint="eastAsia" w:ascii="华文中宋" w:hAnsi="华文中宋" w:eastAsia="华文中宋"/>
          <w:sz w:val="32"/>
          <w:szCs w:val="32"/>
          <w:lang w:eastAsia="zh-CN"/>
        </w:rPr>
        <w:t>长治市上党区教育局（牵头人）</w:t>
      </w:r>
    </w:p>
    <w:p w14:paraId="7514931E">
      <w:pPr>
        <w:tabs>
          <w:tab w:val="left" w:pos="2070"/>
          <w:tab w:val="center" w:pos="4365"/>
        </w:tabs>
        <w:snapToGrid w:val="0"/>
        <w:spacing w:line="360" w:lineRule="auto"/>
        <w:rPr>
          <w:rFonts w:ascii="华文中宋" w:hAnsi="华文中宋" w:eastAsia="华文中宋"/>
          <w:sz w:val="32"/>
          <w:szCs w:val="32"/>
        </w:rPr>
      </w:pPr>
    </w:p>
    <w:p w14:paraId="6F57AF46">
      <w:pPr>
        <w:tabs>
          <w:tab w:val="left" w:pos="2070"/>
          <w:tab w:val="center" w:pos="4365"/>
        </w:tabs>
        <w:snapToGrid w:val="0"/>
        <w:rPr>
          <w:rFonts w:hint="eastAsia" w:ascii="华文中宋" w:hAnsi="华文中宋" w:eastAsia="华文中宋"/>
          <w:sz w:val="32"/>
          <w:szCs w:val="32"/>
          <w:lang w:eastAsia="zh-CN"/>
        </w:rPr>
      </w:pPr>
      <w:r>
        <w:rPr>
          <w:rFonts w:hint="eastAsia" w:ascii="华文中宋" w:hAnsi="华文中宋" w:eastAsia="华文中宋"/>
          <w:sz w:val="32"/>
          <w:szCs w:val="32"/>
        </w:rPr>
        <w:t>集中采购机构：</w:t>
      </w:r>
      <w:r>
        <w:rPr>
          <w:rFonts w:hint="eastAsia" w:ascii="华文中宋" w:hAnsi="华文中宋" w:eastAsia="华文中宋"/>
          <w:sz w:val="32"/>
          <w:szCs w:val="32"/>
          <w:lang w:eastAsia="zh-CN"/>
        </w:rPr>
        <w:t>长治市上党区政府采购中心</w:t>
      </w:r>
    </w:p>
    <w:p w14:paraId="69364EFF">
      <w:pPr>
        <w:tabs>
          <w:tab w:val="left" w:pos="2070"/>
          <w:tab w:val="center" w:pos="4365"/>
        </w:tabs>
        <w:snapToGrid w:val="0"/>
        <w:rPr>
          <w:rFonts w:ascii="华文中宋" w:hAnsi="华文中宋" w:eastAsia="华文中宋"/>
          <w:sz w:val="32"/>
          <w:szCs w:val="32"/>
        </w:rPr>
      </w:pPr>
    </w:p>
    <w:p w14:paraId="7F2501FA">
      <w:pPr>
        <w:tabs>
          <w:tab w:val="left" w:pos="2070"/>
          <w:tab w:val="center" w:pos="4365"/>
        </w:tabs>
        <w:snapToGrid w:val="0"/>
        <w:rPr>
          <w:rFonts w:ascii="华文中宋" w:hAnsi="华文中宋" w:eastAsia="华文中宋"/>
          <w:sz w:val="32"/>
          <w:szCs w:val="32"/>
        </w:rPr>
      </w:pPr>
    </w:p>
    <w:p w14:paraId="6055115A">
      <w:pPr>
        <w:tabs>
          <w:tab w:val="left" w:pos="2070"/>
          <w:tab w:val="center" w:pos="4365"/>
        </w:tabs>
        <w:snapToGrid w:val="0"/>
        <w:rPr>
          <w:rFonts w:ascii="华文中宋" w:hAnsi="华文中宋" w:eastAsia="华文中宋"/>
          <w:sz w:val="32"/>
          <w:szCs w:val="32"/>
        </w:rPr>
      </w:pPr>
    </w:p>
    <w:p w14:paraId="1B61DF25">
      <w:pPr>
        <w:tabs>
          <w:tab w:val="left" w:pos="2070"/>
          <w:tab w:val="center" w:pos="4365"/>
        </w:tabs>
        <w:snapToGrid w:val="0"/>
        <w:rPr>
          <w:rFonts w:ascii="华文中宋" w:hAnsi="华文中宋" w:eastAsia="华文中宋"/>
          <w:sz w:val="32"/>
          <w:szCs w:val="32"/>
        </w:rPr>
      </w:pPr>
    </w:p>
    <w:p w14:paraId="6E39F5DA">
      <w:pPr>
        <w:tabs>
          <w:tab w:val="left" w:pos="2070"/>
          <w:tab w:val="center" w:pos="4365"/>
        </w:tabs>
        <w:snapToGrid w:val="0"/>
        <w:jc w:val="center"/>
        <w:rPr>
          <w:rFonts w:ascii="华文中宋" w:hAnsi="华文中宋" w:eastAsia="华文中宋"/>
          <w:sz w:val="32"/>
          <w:szCs w:val="32"/>
        </w:rPr>
        <w:sectPr>
          <w:headerReference r:id="rId3" w:type="default"/>
          <w:pgSz w:w="11906" w:h="16838"/>
          <w:pgMar w:top="1134" w:right="1361" w:bottom="1021" w:left="1531" w:header="851" w:footer="992" w:gutter="0"/>
          <w:pgNumType w:fmt="decimal" w:start="1"/>
          <w:cols w:space="425" w:num="1"/>
          <w:docGrid w:type="lines" w:linePitch="312" w:charSpace="0"/>
        </w:sectPr>
      </w:pPr>
    </w:p>
    <w:p w14:paraId="5F2F383F">
      <w:pPr>
        <w:tabs>
          <w:tab w:val="left" w:pos="2070"/>
          <w:tab w:val="center" w:pos="4365"/>
        </w:tabs>
        <w:snapToGrid w:val="0"/>
        <w:rPr>
          <w:rFonts w:ascii="华文中宋" w:hAnsi="华文中宋" w:eastAsia="华文中宋"/>
          <w:b/>
          <w:sz w:val="28"/>
          <w:szCs w:val="28"/>
        </w:rPr>
      </w:pPr>
    </w:p>
    <w:p w14:paraId="2573BC36">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04AD88D2">
      <w:pPr>
        <w:pStyle w:val="29"/>
        <w:tabs>
          <w:tab w:val="right" w:leader="dot" w:pos="9004"/>
        </w:tabs>
        <w:spacing w:line="360" w:lineRule="auto"/>
        <w:rPr>
          <w:rFonts w:asciiTheme="minorHAnsi" w:hAnsiTheme="minorHAnsi" w:eastAsiaTheme="minorEastAsia" w:cstheme="minorBid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"_Toc26881688" </w:instrText>
      </w:r>
      <w:r>
        <w:fldChar w:fldCharType="separate"/>
      </w:r>
      <w:r>
        <w:rPr>
          <w:rStyle w:val="44"/>
          <w:rFonts w:hint="eastAsia" w:ascii="华文中宋" w:hAnsi="华文中宋" w:eastAsia="华文中宋"/>
          <w:color w:val="auto"/>
          <w:spacing w:val="20"/>
        </w:rPr>
        <w:t>第一部分 招标公告</w:t>
      </w:r>
      <w:r>
        <w:tab/>
      </w:r>
      <w:r>
        <w:rPr>
          <w:rFonts w:hint="eastAsia"/>
        </w:rPr>
        <w:t>1</w:t>
      </w:r>
      <w:r>
        <w:rPr>
          <w:rFonts w:hint="eastAsia"/>
        </w:rPr>
        <w:fldChar w:fldCharType="end"/>
      </w:r>
    </w:p>
    <w:p w14:paraId="1B012FAE">
      <w:pPr>
        <w:pStyle w:val="29"/>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"_Toc26881689" </w:instrText>
      </w:r>
      <w:r>
        <w:fldChar w:fldCharType="separate"/>
      </w:r>
      <w:r>
        <w:rPr>
          <w:rStyle w:val="44"/>
          <w:rFonts w:hint="eastAsia" w:ascii="华文中宋" w:hAnsi="华文中宋" w:eastAsia="华文中宋"/>
          <w:color w:val="auto"/>
          <w:spacing w:val="20"/>
        </w:rPr>
        <w:t>第二部分 投标人须知前附表</w:t>
      </w:r>
      <w:r>
        <w:tab/>
      </w:r>
      <w:r>
        <w:rPr>
          <w:rFonts w:hint="eastAsia"/>
        </w:rPr>
        <w:t>5</w:t>
      </w:r>
      <w:r>
        <w:rPr>
          <w:rFonts w:hint="eastAsia"/>
        </w:rPr>
        <w:fldChar w:fldCharType="end"/>
      </w:r>
    </w:p>
    <w:p w14:paraId="647D0F22">
      <w:pPr>
        <w:pStyle w:val="29"/>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"_Toc26881690" </w:instrText>
      </w:r>
      <w:r>
        <w:fldChar w:fldCharType="separate"/>
      </w:r>
      <w:r>
        <w:rPr>
          <w:rStyle w:val="44"/>
          <w:rFonts w:hint="eastAsia" w:ascii="华文中宋" w:hAnsi="华文中宋" w:eastAsia="华文中宋"/>
          <w:color w:val="auto"/>
          <w:spacing w:val="20"/>
        </w:rPr>
        <w:t>第三部分 投标人须知</w:t>
      </w:r>
      <w:r>
        <w:tab/>
      </w:r>
      <w:r>
        <w:rPr>
          <w:rFonts w:hint="eastAsia"/>
        </w:rPr>
        <w:t>7</w:t>
      </w:r>
      <w:r>
        <w:rPr>
          <w:rFonts w:hint="eastAsia"/>
        </w:rPr>
        <w:fldChar w:fldCharType="end"/>
      </w:r>
    </w:p>
    <w:p w14:paraId="031FEA42">
      <w:pPr>
        <w:pStyle w:val="30"/>
        <w:tabs>
          <w:tab w:val="left" w:pos="1260"/>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"_Toc26881691" </w:instrText>
      </w:r>
      <w:r>
        <w:fldChar w:fldCharType="separate"/>
      </w:r>
      <w:r>
        <w:rPr>
          <w:rStyle w:val="44"/>
          <w:rFonts w:hint="eastAsia" w:ascii="华文中宋" w:hAnsi="华文中宋" w:eastAsia="华文中宋"/>
          <w:color w:val="auto"/>
          <w:spacing w:val="10"/>
        </w:rPr>
        <w:t>一、总则</w:t>
      </w:r>
      <w:r>
        <w:tab/>
      </w:r>
      <w:r>
        <w:rPr>
          <w:rFonts w:hint="eastAsia"/>
        </w:rPr>
        <w:t>7</w:t>
      </w:r>
      <w:r>
        <w:rPr>
          <w:rFonts w:hint="eastAsia"/>
        </w:rPr>
        <w:fldChar w:fldCharType="end"/>
      </w:r>
    </w:p>
    <w:p w14:paraId="7C24C00F">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"_Toc26881692" </w:instrText>
      </w:r>
      <w:r>
        <w:fldChar w:fldCharType="separate"/>
      </w:r>
      <w:r>
        <w:rPr>
          <w:rStyle w:val="44"/>
          <w:rFonts w:hint="eastAsia" w:ascii="华文中宋" w:hAnsi="华文中宋" w:eastAsia="华文中宋"/>
          <w:color w:val="auto"/>
          <w:spacing w:val="10"/>
        </w:rPr>
        <w:t>二、招标文件</w:t>
      </w:r>
      <w:r>
        <w:tab/>
      </w:r>
      <w:r>
        <w:rPr>
          <w:rFonts w:hint="eastAsia"/>
        </w:rPr>
        <w:t>8</w:t>
      </w:r>
      <w:r>
        <w:rPr>
          <w:rFonts w:hint="eastAsia"/>
        </w:rPr>
        <w:fldChar w:fldCharType="end"/>
      </w:r>
    </w:p>
    <w:p w14:paraId="76DA9F01">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"_Toc26881693" </w:instrText>
      </w:r>
      <w:r>
        <w:fldChar w:fldCharType="separate"/>
      </w:r>
      <w:r>
        <w:rPr>
          <w:rStyle w:val="44"/>
          <w:rFonts w:hint="eastAsia" w:ascii="华文中宋" w:hAnsi="华文中宋" w:eastAsia="华文中宋"/>
          <w:color w:val="auto"/>
          <w:spacing w:val="10"/>
        </w:rPr>
        <w:t>三、投标文件</w:t>
      </w:r>
      <w:r>
        <w:tab/>
      </w:r>
      <w:r>
        <w:rPr>
          <w:rFonts w:hint="eastAsia"/>
        </w:rPr>
        <w:t>9</w:t>
      </w:r>
      <w:r>
        <w:rPr>
          <w:rFonts w:hint="eastAsia"/>
        </w:rPr>
        <w:fldChar w:fldCharType="end"/>
      </w:r>
    </w:p>
    <w:p w14:paraId="0D723BFD">
      <w:pPr>
        <w:pStyle w:val="30"/>
        <w:tabs>
          <w:tab w:val="right" w:leader="dot" w:pos="9004"/>
        </w:tabs>
        <w:spacing w:line="360" w:lineRule="auto"/>
        <w:rPr>
          <w:rFonts w:asciiTheme="minorHAnsi" w:hAnsiTheme="minorHAnsi" w:cstheme="minorBidi"/>
          <w:szCs w:val="22"/>
        </w:rPr>
      </w:pPr>
      <w:r>
        <w:fldChar w:fldCharType="begin"/>
      </w:r>
      <w:r>
        <w:instrText xml:space="preserve"> HYPERLINK \l "_Toc26881694" </w:instrText>
      </w:r>
      <w:r>
        <w:fldChar w:fldCharType="separate"/>
      </w:r>
      <w:r>
        <w:rPr>
          <w:rStyle w:val="44"/>
          <w:rFonts w:hint="eastAsia" w:ascii="华文中宋" w:hAnsi="华文中宋" w:eastAsia="华文中宋"/>
          <w:color w:val="auto"/>
          <w:spacing w:val="10"/>
        </w:rPr>
        <w:t>四、投标文件的递交</w:t>
      </w:r>
      <w:r>
        <w:tab/>
      </w:r>
      <w:r>
        <w:rPr>
          <w:rFonts w:hint="eastAsia"/>
        </w:rPr>
        <w:t>1</w:t>
      </w:r>
      <w:r>
        <w:rPr>
          <w:rFonts w:hint="eastAsia"/>
        </w:rPr>
        <w:fldChar w:fldCharType="end"/>
      </w:r>
      <w:r>
        <w:rPr>
          <w:rFonts w:hint="eastAsia"/>
        </w:rPr>
        <w:t>1</w:t>
      </w:r>
    </w:p>
    <w:p w14:paraId="57FEBD9A">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"_Toc26881695" </w:instrText>
      </w:r>
      <w:r>
        <w:fldChar w:fldCharType="separate"/>
      </w:r>
      <w:r>
        <w:rPr>
          <w:rStyle w:val="44"/>
          <w:rFonts w:hint="eastAsia" w:ascii="华文中宋" w:hAnsi="华文中宋" w:eastAsia="华文中宋"/>
          <w:color w:val="auto"/>
          <w:spacing w:val="10"/>
        </w:rPr>
        <w:t>五、开标</w:t>
      </w:r>
      <w:r>
        <w:tab/>
      </w:r>
      <w:r>
        <w:fldChar w:fldCharType="begin"/>
      </w:r>
      <w:r>
        <w:instrText xml:space="preserve"> PAGEREF _Toc26881695 \h </w:instrText>
      </w:r>
      <w:r>
        <w:fldChar w:fldCharType="separate"/>
      </w:r>
      <w:r>
        <w:t>1</w:t>
      </w:r>
      <w:r>
        <w:rPr>
          <w:rFonts w:hint="eastAsia"/>
        </w:rPr>
        <w:t>2</w:t>
      </w:r>
      <w:r>
        <w:fldChar w:fldCharType="end"/>
      </w:r>
      <w:r>
        <w:fldChar w:fldCharType="end"/>
      </w:r>
    </w:p>
    <w:p w14:paraId="0E799496">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"_Toc26881696" </w:instrText>
      </w:r>
      <w:r>
        <w:fldChar w:fldCharType="separate"/>
      </w:r>
      <w:r>
        <w:rPr>
          <w:rStyle w:val="44"/>
          <w:rFonts w:hint="eastAsia" w:ascii="华文中宋" w:hAnsi="华文中宋" w:eastAsia="华文中宋"/>
          <w:color w:val="auto"/>
          <w:spacing w:val="10"/>
        </w:rPr>
        <w:t>六、评标程序和要求</w:t>
      </w:r>
      <w:r>
        <w:tab/>
      </w:r>
      <w:r>
        <w:fldChar w:fldCharType="begin"/>
      </w:r>
      <w:r>
        <w:instrText xml:space="preserve"> PAGEREF _Toc26881696 \h </w:instrText>
      </w:r>
      <w:r>
        <w:fldChar w:fldCharType="separate"/>
      </w:r>
      <w:r>
        <w:t>1</w:t>
      </w:r>
      <w:r>
        <w:rPr>
          <w:rFonts w:hint="eastAsia"/>
        </w:rPr>
        <w:t>2</w:t>
      </w:r>
      <w:r>
        <w:fldChar w:fldCharType="end"/>
      </w:r>
      <w:r>
        <w:fldChar w:fldCharType="end"/>
      </w:r>
    </w:p>
    <w:p w14:paraId="6072BFEE">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"_Toc26881697" </w:instrText>
      </w:r>
      <w:r>
        <w:fldChar w:fldCharType="separate"/>
      </w:r>
      <w:r>
        <w:rPr>
          <w:rStyle w:val="44"/>
          <w:rFonts w:hint="eastAsia" w:ascii="华文中宋" w:hAnsi="华文中宋" w:eastAsia="华文中宋"/>
          <w:color w:val="auto"/>
          <w:spacing w:val="10"/>
        </w:rPr>
        <w:t>七、签订合同</w:t>
      </w:r>
      <w:r>
        <w:tab/>
      </w:r>
      <w:r>
        <w:fldChar w:fldCharType="begin"/>
      </w:r>
      <w:r>
        <w:instrText xml:space="preserve"> PAGEREF _Toc26881697 \h </w:instrText>
      </w:r>
      <w:r>
        <w:fldChar w:fldCharType="separate"/>
      </w:r>
      <w:r>
        <w:t>1</w:t>
      </w:r>
      <w:r>
        <w:rPr>
          <w:rFonts w:hint="eastAsia"/>
        </w:rPr>
        <w:t>6</w:t>
      </w:r>
      <w:r>
        <w:fldChar w:fldCharType="end"/>
      </w:r>
      <w:r>
        <w:fldChar w:fldCharType="end"/>
      </w:r>
    </w:p>
    <w:p w14:paraId="1659796F">
      <w:pPr>
        <w:pStyle w:val="30"/>
        <w:tabs>
          <w:tab w:val="right" w:leader="dot" w:pos="9004"/>
        </w:tabs>
        <w:spacing w:line="360" w:lineRule="auto"/>
        <w:rPr>
          <w:rFonts w:asciiTheme="minorHAnsi" w:hAnsiTheme="minorHAnsi" w:cstheme="minorBidi"/>
          <w:szCs w:val="22"/>
        </w:rPr>
      </w:pPr>
      <w:r>
        <w:fldChar w:fldCharType="begin"/>
      </w:r>
      <w:r>
        <w:instrText xml:space="preserve"> HYPERLINK \l "_Toc26881698" </w:instrText>
      </w:r>
      <w:r>
        <w:fldChar w:fldCharType="separate"/>
      </w:r>
      <w:r>
        <w:rPr>
          <w:rStyle w:val="44"/>
          <w:rFonts w:hint="eastAsia" w:ascii="华文中宋" w:hAnsi="华文中宋" w:eastAsia="华文中宋"/>
          <w:color w:val="auto"/>
          <w:spacing w:val="10"/>
        </w:rPr>
        <w:t>八、服务费</w:t>
      </w:r>
      <w:r>
        <w:tab/>
      </w:r>
      <w:r>
        <w:rPr>
          <w:rFonts w:hint="eastAsia"/>
        </w:rPr>
        <w:t>1</w:t>
      </w:r>
      <w:r>
        <w:rPr>
          <w:rFonts w:hint="eastAsia"/>
        </w:rPr>
        <w:fldChar w:fldCharType="end"/>
      </w:r>
      <w:r>
        <w:rPr>
          <w:rFonts w:hint="eastAsia"/>
        </w:rPr>
        <w:t>6</w:t>
      </w:r>
    </w:p>
    <w:p w14:paraId="0C97C392">
      <w:pPr>
        <w:pStyle w:val="30"/>
        <w:tabs>
          <w:tab w:val="right" w:leader="dot" w:pos="9004"/>
        </w:tabs>
        <w:spacing w:line="360" w:lineRule="auto"/>
        <w:rPr>
          <w:rFonts w:asciiTheme="minorHAnsi" w:hAnsiTheme="minorHAnsi" w:cstheme="minorBidi"/>
          <w:szCs w:val="22"/>
        </w:rPr>
      </w:pPr>
      <w:r>
        <w:fldChar w:fldCharType="begin"/>
      </w:r>
      <w:r>
        <w:instrText xml:space="preserve"> HYPERLINK \l "_Toc26881699" </w:instrText>
      </w:r>
      <w:r>
        <w:fldChar w:fldCharType="separate"/>
      </w:r>
      <w:r>
        <w:rPr>
          <w:rStyle w:val="44"/>
          <w:rFonts w:hint="eastAsia" w:ascii="华文中宋" w:hAnsi="华文中宋" w:eastAsia="华文中宋"/>
          <w:color w:val="auto"/>
          <w:spacing w:val="10"/>
        </w:rPr>
        <w:t>九、保密和披露</w:t>
      </w:r>
      <w:r>
        <w:tab/>
      </w:r>
      <w:r>
        <w:rPr>
          <w:rFonts w:hint="eastAsia"/>
        </w:rPr>
        <w:t>1</w:t>
      </w:r>
      <w:r>
        <w:rPr>
          <w:rFonts w:hint="eastAsia"/>
        </w:rPr>
        <w:fldChar w:fldCharType="end"/>
      </w:r>
      <w:r>
        <w:rPr>
          <w:rFonts w:hint="eastAsia"/>
        </w:rPr>
        <w:t>6</w:t>
      </w:r>
    </w:p>
    <w:p w14:paraId="531252D0">
      <w:pPr>
        <w:pStyle w:val="30"/>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"_Toc26881700" </w:instrText>
      </w:r>
      <w:r>
        <w:fldChar w:fldCharType="separate"/>
      </w:r>
      <w:r>
        <w:rPr>
          <w:rStyle w:val="44"/>
          <w:rFonts w:hint="eastAsia" w:ascii="华文中宋" w:hAnsi="华文中宋" w:eastAsia="华文中宋"/>
          <w:color w:val="auto"/>
          <w:spacing w:val="10"/>
        </w:rPr>
        <w:t>十、询问和质疑</w:t>
      </w:r>
      <w:r>
        <w:tab/>
      </w:r>
      <w:r>
        <w:rPr>
          <w:rFonts w:hint="eastAsia"/>
        </w:rPr>
        <w:t>17</w:t>
      </w:r>
      <w:r>
        <w:rPr>
          <w:rFonts w:hint="eastAsia"/>
        </w:rPr>
        <w:fldChar w:fldCharType="end"/>
      </w:r>
    </w:p>
    <w:p w14:paraId="337F46AD">
      <w:pPr>
        <w:pStyle w:val="29"/>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"_Toc26881701" </w:instrText>
      </w:r>
      <w:r>
        <w:fldChar w:fldCharType="separate"/>
      </w:r>
      <w:r>
        <w:rPr>
          <w:rStyle w:val="44"/>
          <w:rFonts w:hint="eastAsia" w:ascii="华文中宋" w:hAnsi="华文中宋" w:eastAsia="华文中宋"/>
          <w:color w:val="auto"/>
          <w:spacing w:val="20"/>
        </w:rPr>
        <w:t>第四部分 采购需求</w:t>
      </w:r>
      <w:r>
        <w:tab/>
      </w:r>
      <w:r>
        <w:rPr>
          <w:rFonts w:hint="eastAsia"/>
        </w:rPr>
        <w:t>20</w:t>
      </w:r>
      <w:r>
        <w:rPr>
          <w:rFonts w:hint="eastAsia"/>
        </w:rPr>
        <w:fldChar w:fldCharType="end"/>
      </w:r>
    </w:p>
    <w:p w14:paraId="5F10ABF1">
      <w:pPr>
        <w:pStyle w:val="29"/>
        <w:tabs>
          <w:tab w:val="right" w:leader="dot" w:pos="9004"/>
        </w:tabs>
        <w:spacing w:line="360" w:lineRule="auto"/>
        <w:rPr>
          <w:rFonts w:asciiTheme="minorHAnsi" w:hAnsiTheme="minorHAnsi" w:cstheme="minorBidi"/>
          <w:szCs w:val="22"/>
        </w:rPr>
      </w:pPr>
      <w:r>
        <w:fldChar w:fldCharType="begin"/>
      </w:r>
      <w:r>
        <w:instrText xml:space="preserve"> HYPERLINK \l "_Toc26881702" </w:instrText>
      </w:r>
      <w:r>
        <w:fldChar w:fldCharType="separate"/>
      </w:r>
      <w:r>
        <w:rPr>
          <w:rStyle w:val="44"/>
          <w:rFonts w:hint="eastAsia" w:ascii="华文中宋" w:hAnsi="华文中宋" w:eastAsia="华文中宋"/>
          <w:color w:val="auto"/>
          <w:spacing w:val="20"/>
        </w:rPr>
        <w:t>第五部分 资格审查内容及标准</w:t>
      </w:r>
      <w:r>
        <w:tab/>
      </w:r>
      <w:r>
        <w:fldChar w:fldCharType="end"/>
      </w:r>
      <w:r>
        <w:rPr>
          <w:rFonts w:hint="eastAsia"/>
        </w:rPr>
        <w:t>23</w:t>
      </w:r>
    </w:p>
    <w:p w14:paraId="380AFF9F">
      <w:pPr>
        <w:pStyle w:val="29"/>
        <w:tabs>
          <w:tab w:val="right" w:leader="dot" w:pos="9004"/>
        </w:tabs>
        <w:spacing w:line="360" w:lineRule="auto"/>
        <w:rPr>
          <w:rFonts w:asciiTheme="minorHAnsi" w:hAnsiTheme="minorHAnsi" w:cstheme="minorBidi"/>
          <w:szCs w:val="22"/>
        </w:rPr>
      </w:pPr>
      <w:r>
        <w:fldChar w:fldCharType="begin"/>
      </w:r>
      <w:r>
        <w:instrText xml:space="preserve"> HYPERLINK \l "_Toc26881703" </w:instrText>
      </w:r>
      <w:r>
        <w:fldChar w:fldCharType="separate"/>
      </w:r>
      <w:r>
        <w:rPr>
          <w:rStyle w:val="44"/>
          <w:rFonts w:hint="eastAsia" w:ascii="华文中宋" w:hAnsi="华文中宋" w:eastAsia="华文中宋"/>
          <w:color w:val="auto"/>
          <w:spacing w:val="20"/>
        </w:rPr>
        <w:t>第六部分 评标标准和评标方法</w:t>
      </w:r>
      <w:r>
        <w:tab/>
      </w:r>
      <w:r>
        <w:fldChar w:fldCharType="end"/>
      </w:r>
      <w:r>
        <w:rPr>
          <w:rFonts w:hint="eastAsia"/>
        </w:rPr>
        <w:t>24</w:t>
      </w:r>
    </w:p>
    <w:p w14:paraId="1A7C087B">
      <w:pPr>
        <w:pStyle w:val="29"/>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"_Toc26881704" </w:instrText>
      </w:r>
      <w:r>
        <w:fldChar w:fldCharType="separate"/>
      </w:r>
      <w:r>
        <w:rPr>
          <w:rStyle w:val="44"/>
          <w:rFonts w:hint="eastAsia" w:ascii="华文中宋" w:hAnsi="华文中宋" w:eastAsia="华文中宋"/>
          <w:color w:val="auto"/>
          <w:spacing w:val="20"/>
        </w:rPr>
        <w:t>第七部分 合同文本</w:t>
      </w:r>
      <w:r>
        <w:tab/>
      </w:r>
      <w:r>
        <w:fldChar w:fldCharType="end"/>
      </w:r>
      <w:r>
        <w:rPr>
          <w:rFonts w:hint="eastAsia"/>
        </w:rPr>
        <w:t>30</w:t>
      </w:r>
    </w:p>
    <w:p w14:paraId="08799A87">
      <w:pPr>
        <w:pStyle w:val="29"/>
        <w:tabs>
          <w:tab w:val="right" w:leader="dot" w:pos="9004"/>
        </w:tabs>
        <w:spacing w:line="360" w:lineRule="auto"/>
        <w:rPr>
          <w:rFonts w:asciiTheme="minorHAnsi" w:hAnsiTheme="minorHAnsi" w:eastAsiaTheme="minorEastAsia" w:cstheme="minorBidi"/>
          <w:szCs w:val="22"/>
        </w:rPr>
      </w:pPr>
      <w:r>
        <w:fldChar w:fldCharType="begin"/>
      </w:r>
      <w:r>
        <w:instrText xml:space="preserve"> HYPERLINK \l "_Toc26881705" </w:instrText>
      </w:r>
      <w:r>
        <w:fldChar w:fldCharType="separate"/>
      </w:r>
      <w:r>
        <w:rPr>
          <w:rStyle w:val="44"/>
          <w:rFonts w:hint="eastAsia" w:ascii="华文中宋" w:hAnsi="华文中宋" w:eastAsia="华文中宋" w:cs="华文中宋"/>
          <w:color w:val="auto"/>
          <w:spacing w:val="20"/>
          <w:kern w:val="44"/>
        </w:rPr>
        <w:t>第八部分 投标文件内容要求及格式</w:t>
      </w:r>
      <w:r>
        <w:tab/>
      </w:r>
      <w:r>
        <w:fldChar w:fldCharType="end"/>
      </w:r>
      <w:r>
        <w:rPr>
          <w:rFonts w:hint="eastAsia"/>
        </w:rPr>
        <w:t>33</w:t>
      </w:r>
    </w:p>
    <w:p w14:paraId="5946D146">
      <w:pPr>
        <w:spacing w:line="360" w:lineRule="auto"/>
        <w:rPr>
          <w:rFonts w:ascii="华文中宋" w:hAnsi="华文中宋" w:eastAsia="华文中宋"/>
        </w:rPr>
        <w:sectPr>
          <w:headerReference r:id="rId4" w:type="default"/>
          <w:pgSz w:w="11906" w:h="16838"/>
          <w:pgMar w:top="1134" w:right="1361" w:bottom="1021" w:left="1531" w:header="851" w:footer="992" w:gutter="0"/>
          <w:pgNumType w:fmt="decimal" w:start="1"/>
          <w:cols w:space="425" w:num="1"/>
          <w:docGrid w:type="lines" w:linePitch="312" w:charSpace="0"/>
        </w:sectPr>
      </w:pPr>
      <w:r>
        <w:rPr>
          <w:rFonts w:ascii="华文中宋" w:hAnsi="华文中宋" w:eastAsia="华文中宋"/>
        </w:rPr>
        <w:fldChar w:fldCharType="end"/>
      </w:r>
    </w:p>
    <w:p w14:paraId="10341E36">
      <w:pPr>
        <w:widowControl/>
        <w:spacing w:line="560" w:lineRule="exact"/>
        <w:jc w:val="center"/>
        <w:outlineLvl w:val="0"/>
        <w:rPr>
          <w:rFonts w:ascii="黑体" w:hAnsi="黑体" w:eastAsia="黑体" w:cs="Arial"/>
          <w:kern w:val="0"/>
          <w:sz w:val="32"/>
          <w:szCs w:val="32"/>
        </w:rPr>
      </w:pPr>
      <w:r>
        <w:rPr>
          <w:rFonts w:hint="eastAsia" w:ascii="黑体" w:hAnsi="黑体" w:eastAsia="黑体" w:cs="宋体"/>
          <w:kern w:val="0"/>
          <w:sz w:val="32"/>
          <w:szCs w:val="32"/>
        </w:rPr>
        <w:t>第一部分  招标公告</w:t>
      </w:r>
    </w:p>
    <w:p w14:paraId="0D17D5B8">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729DFE1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上党区2023年义务教育薄弱环节改善与能力提升设备购置</w:t>
      </w:r>
      <w:r>
        <w:rPr>
          <w:rFonts w:hint="eastAsia" w:ascii="仿宋" w:hAnsi="仿宋" w:eastAsia="仿宋"/>
          <w:sz w:val="28"/>
          <w:szCs w:val="28"/>
          <w:lang w:eastAsia="zh-CN"/>
        </w:rPr>
        <w:t>项目</w:t>
      </w:r>
      <w:r>
        <w:rPr>
          <w:rFonts w:hint="eastAsia" w:ascii="仿宋" w:hAnsi="仿宋" w:eastAsia="仿宋"/>
          <w:sz w:val="28"/>
          <w:szCs w:val="28"/>
        </w:rPr>
        <w:t>采购的潜在投标人应在山西政府采购平台获取招标文件，并于202</w:t>
      </w:r>
      <w:r>
        <w:rPr>
          <w:rFonts w:hint="eastAsia" w:ascii="仿宋" w:hAnsi="仿宋" w:eastAsia="仿宋"/>
          <w:sz w:val="28"/>
          <w:szCs w:val="28"/>
          <w:lang w:val="en-US" w:eastAsia="zh-CN"/>
        </w:rPr>
        <w:t>5</w:t>
      </w:r>
      <w:r>
        <w:rPr>
          <w:rFonts w:hint="eastAsia" w:ascii="仿宋" w:hAnsi="仿宋" w:eastAsia="仿宋"/>
          <w:bCs/>
          <w:sz w:val="28"/>
          <w:szCs w:val="28"/>
        </w:rPr>
        <w:t>年</w:t>
      </w:r>
      <w:r>
        <w:rPr>
          <w:rFonts w:hint="eastAsia" w:ascii="仿宋" w:hAnsi="仿宋" w:eastAsia="仿宋"/>
          <w:bCs/>
          <w:sz w:val="28"/>
          <w:szCs w:val="28"/>
          <w:lang w:val="en-US" w:eastAsia="zh-CN"/>
        </w:rPr>
        <w:t>5</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日9点30分前递交投标</w:t>
      </w:r>
      <w:r>
        <w:rPr>
          <w:rFonts w:ascii="仿宋" w:hAnsi="仿宋" w:eastAsia="仿宋"/>
          <w:bCs/>
          <w:sz w:val="28"/>
          <w:szCs w:val="28"/>
        </w:rPr>
        <w:t>文件</w:t>
      </w:r>
      <w:r>
        <w:rPr>
          <w:rFonts w:hint="eastAsia" w:ascii="仿宋" w:hAnsi="仿宋" w:eastAsia="仿宋"/>
          <w:sz w:val="28"/>
          <w:szCs w:val="28"/>
        </w:rPr>
        <w:t>。</w:t>
      </w:r>
    </w:p>
    <w:p w14:paraId="69118231">
      <w:pPr>
        <w:pStyle w:val="3"/>
        <w:numPr>
          <w:ilvl w:val="0"/>
          <w:numId w:val="0"/>
        </w:numPr>
        <w:spacing w:line="520" w:lineRule="exact"/>
        <w:ind w:left="720"/>
        <w:rPr>
          <w:rFonts w:ascii="黑体" w:hAnsi="黑体" w:cs="宋体"/>
          <w:b w:val="0"/>
          <w:sz w:val="28"/>
          <w:szCs w:val="28"/>
        </w:rPr>
      </w:pPr>
      <w:bookmarkStart w:id="3" w:name="_Toc35393790"/>
      <w:bookmarkStart w:id="4" w:name="_Toc28359002"/>
      <w:bookmarkStart w:id="5" w:name="_Toc28359079"/>
      <w:bookmarkStart w:id="6" w:name="_Toc35393621"/>
      <w:bookmarkStart w:id="7" w:name="_Hlk24379207"/>
      <w:r>
        <w:rPr>
          <w:rFonts w:hint="eastAsia" w:ascii="黑体" w:hAnsi="黑体" w:cs="宋体"/>
          <w:b w:val="0"/>
          <w:sz w:val="28"/>
          <w:szCs w:val="28"/>
        </w:rPr>
        <w:t>一、项目基本情况</w:t>
      </w:r>
      <w:bookmarkEnd w:id="3"/>
      <w:bookmarkEnd w:id="4"/>
      <w:bookmarkEnd w:id="5"/>
      <w:bookmarkEnd w:id="6"/>
    </w:p>
    <w:p w14:paraId="5BEC39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560" w:firstLineChars="200"/>
        <w:rPr>
          <w:rFonts w:ascii="仿宋" w:hAnsi="仿宋" w:eastAsia="仿宋"/>
          <w:sz w:val="28"/>
          <w:szCs w:val="28"/>
        </w:rPr>
      </w:pPr>
      <w:r>
        <w:rPr>
          <w:rFonts w:hint="eastAsia" w:ascii="仿宋" w:hAnsi="仿宋" w:eastAsia="仿宋"/>
          <w:sz w:val="28"/>
          <w:szCs w:val="28"/>
        </w:rPr>
        <w:t>1.项目编号：</w:t>
      </w:r>
      <w:r>
        <w:rPr>
          <w:rFonts w:hint="eastAsia" w:ascii="微软雅黑" w:hAnsi="微软雅黑" w:eastAsia="微软雅黑" w:cs="微软雅黑"/>
          <w:i w:val="0"/>
          <w:iCs w:val="0"/>
          <w:caps w:val="0"/>
          <w:spacing w:val="0"/>
          <w:sz w:val="21"/>
          <w:szCs w:val="21"/>
          <w:shd w:val="clear" w:fill="FFFFFF"/>
        </w:rPr>
        <w:t>1404042025AGK00027</w:t>
      </w:r>
    </w:p>
    <w:p w14:paraId="1B14E938">
      <w:pPr>
        <w:spacing w:line="520" w:lineRule="exact"/>
        <w:ind w:firstLine="560" w:firstLineChars="200"/>
        <w:rPr>
          <w:rFonts w:ascii="仿宋" w:hAnsi="仿宋" w:eastAsia="仿宋"/>
          <w:sz w:val="28"/>
          <w:szCs w:val="28"/>
        </w:rPr>
      </w:pPr>
      <w:r>
        <w:rPr>
          <w:rFonts w:hint="eastAsia" w:ascii="仿宋" w:hAnsi="仿宋" w:eastAsia="仿宋"/>
          <w:sz w:val="28"/>
          <w:szCs w:val="28"/>
        </w:rPr>
        <w:t>2.项目名称：上党区2023年义务教育薄弱环节改善与能力提升设备购置</w:t>
      </w:r>
    </w:p>
    <w:bookmarkEnd w:id="7"/>
    <w:p w14:paraId="2628D302">
      <w:pPr>
        <w:pStyle w:val="18"/>
        <w:ind w:firstLine="560" w:firstLineChars="200"/>
        <w:rPr>
          <w:rFonts w:hint="eastAsia" w:ascii="仿宋" w:hAnsi="仿宋" w:eastAsia="仿宋"/>
          <w:sz w:val="28"/>
          <w:szCs w:val="28"/>
        </w:rPr>
      </w:pPr>
      <w:r>
        <w:rPr>
          <w:rFonts w:hint="eastAsia" w:ascii="仿宋" w:hAnsi="仿宋" w:eastAsia="仿宋"/>
          <w:sz w:val="28"/>
          <w:szCs w:val="28"/>
        </w:rPr>
        <w:t>3.预算金额：</w:t>
      </w:r>
      <w:r>
        <w:rPr>
          <w:rFonts w:ascii="仿宋" w:hAnsi="仿宋" w:eastAsia="仿宋"/>
          <w:sz w:val="28"/>
          <w:szCs w:val="28"/>
        </w:rPr>
        <w:t xml:space="preserve"> </w:t>
      </w:r>
      <w:r>
        <w:rPr>
          <w:rFonts w:hint="eastAsia" w:ascii="仿宋" w:hAnsi="仿宋" w:eastAsia="仿宋"/>
          <w:sz w:val="28"/>
          <w:szCs w:val="28"/>
          <w:lang w:val="en-US" w:eastAsia="zh-CN"/>
        </w:rPr>
        <w:t>8509999</w:t>
      </w:r>
      <w:r>
        <w:rPr>
          <w:rFonts w:hint="eastAsia" w:ascii="仿宋" w:hAnsi="仿宋" w:eastAsia="仿宋"/>
          <w:sz w:val="28"/>
          <w:szCs w:val="28"/>
        </w:rPr>
        <w:t>元</w:t>
      </w:r>
    </w:p>
    <w:p w14:paraId="7048631E">
      <w:pPr>
        <w:pStyle w:val="18"/>
        <w:ind w:firstLine="560" w:firstLineChars="200"/>
      </w:pPr>
      <w:r>
        <w:rPr>
          <w:rFonts w:hint="eastAsia" w:ascii="仿宋" w:hAnsi="仿宋" w:eastAsia="仿宋"/>
          <w:sz w:val="28"/>
          <w:szCs w:val="28"/>
        </w:rPr>
        <w:t>4.采购需求：</w:t>
      </w:r>
    </w:p>
    <w:p w14:paraId="632CA5EC">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（1）本次公开招标共</w:t>
      </w:r>
      <w:r>
        <w:rPr>
          <w:rFonts w:hint="eastAsia" w:ascii="仿宋" w:hAnsi="仿宋" w:eastAsia="仿宋"/>
          <w:sz w:val="28"/>
          <w:szCs w:val="28"/>
          <w:lang w:eastAsia="zh-CN"/>
        </w:rPr>
        <w:t>两</w:t>
      </w:r>
      <w:r>
        <w:rPr>
          <w:rFonts w:hint="eastAsia" w:ascii="仿宋" w:hAnsi="仿宋" w:eastAsia="仿宋"/>
          <w:sz w:val="28"/>
          <w:szCs w:val="28"/>
        </w:rPr>
        <w:t>包</w:t>
      </w:r>
      <w:r>
        <w:rPr>
          <w:rFonts w:hint="eastAsia" w:ascii="仿宋" w:hAnsi="仿宋" w:eastAsia="仿宋"/>
          <w:sz w:val="28"/>
          <w:szCs w:val="28"/>
          <w:lang w:eastAsia="zh-CN"/>
        </w:rPr>
        <w:t>。</w:t>
      </w:r>
    </w:p>
    <w:p w14:paraId="28CE394A">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采购包</w:t>
      </w:r>
      <w:r>
        <w:rPr>
          <w:rFonts w:hint="eastAsia" w:ascii="仿宋" w:hAnsi="仿宋" w:eastAsia="仿宋"/>
          <w:sz w:val="28"/>
          <w:szCs w:val="28"/>
          <w:lang w:val="en-US" w:eastAsia="zh-CN"/>
        </w:rPr>
        <w:t>1，预算金额：4501169元（后附采购清单）</w:t>
      </w:r>
    </w:p>
    <w:p w14:paraId="5652FDEF">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采购包2，预算金额：4008830元（后附采购清单）</w:t>
      </w:r>
    </w:p>
    <w:p w14:paraId="3AAEBE58">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本项目为统采分签项目，统采分签指主管部门整合本系统内同类采购项目资源，充分发挥集约规模效益，形成中标价格后由县级各项目接收单位与中标供应商签订分合同、分别进行支付的一种新型采购模式。本项目牵头单位为上党区教育局，共</w:t>
      </w:r>
      <w:r>
        <w:rPr>
          <w:rFonts w:hint="eastAsia" w:ascii="仿宋" w:hAnsi="仿宋" w:eastAsia="仿宋"/>
          <w:sz w:val="28"/>
          <w:szCs w:val="28"/>
          <w:lang w:val="en-US" w:eastAsia="zh-CN"/>
        </w:rPr>
        <w:t>16所中小学集体采购。</w:t>
      </w:r>
    </w:p>
    <w:p w14:paraId="3B247444">
      <w:pPr>
        <w:spacing w:line="520" w:lineRule="exact"/>
        <w:ind w:firstLine="560" w:firstLineChars="200"/>
        <w:rPr>
          <w:rFonts w:ascii="仿宋" w:hAnsi="仿宋" w:eastAsia="仿宋"/>
          <w:sz w:val="28"/>
          <w:szCs w:val="28"/>
        </w:rPr>
      </w:pPr>
      <w:r>
        <w:rPr>
          <w:rFonts w:hint="eastAsia" w:ascii="仿宋" w:hAnsi="仿宋" w:eastAsia="仿宋"/>
          <w:sz w:val="28"/>
          <w:szCs w:val="28"/>
        </w:rPr>
        <w:t>所投包内容必须完全响应本招标文件所列示内容。未特别标注为“进口产品”字样的，均必须采购国产产品；所采购的货物、服务必须符合国家强制性标准。</w:t>
      </w:r>
    </w:p>
    <w:p w14:paraId="6C1FCBD6">
      <w:pPr>
        <w:numPr>
          <w:ilvl w:val="0"/>
          <w:numId w:val="3"/>
        </w:numPr>
        <w:spacing w:line="520" w:lineRule="exact"/>
        <w:ind w:firstLine="560" w:firstLineChars="200"/>
        <w:rPr>
          <w:rFonts w:ascii="仿宋" w:hAnsi="仿宋" w:eastAsia="仿宋"/>
          <w:sz w:val="28"/>
          <w:szCs w:val="28"/>
        </w:rPr>
      </w:pPr>
      <w:r>
        <w:rPr>
          <w:rFonts w:hint="eastAsia" w:ascii="仿宋" w:hAnsi="仿宋" w:eastAsia="仿宋"/>
          <w:sz w:val="28"/>
          <w:szCs w:val="28"/>
        </w:rPr>
        <w:t>采购内容：详见附件采购明细表</w:t>
      </w:r>
    </w:p>
    <w:p w14:paraId="2EA41017">
      <w:pPr>
        <w:spacing w:line="520" w:lineRule="exact"/>
        <w:ind w:firstLine="560" w:firstLineChars="200"/>
        <w:rPr>
          <w:rFonts w:ascii="仿宋" w:hAnsi="仿宋" w:eastAsia="仿宋"/>
          <w:sz w:val="28"/>
          <w:szCs w:val="28"/>
        </w:rPr>
      </w:pPr>
      <w:r>
        <w:rPr>
          <w:rFonts w:hint="eastAsia" w:ascii="仿宋" w:hAnsi="仿宋" w:eastAsia="仿宋"/>
          <w:sz w:val="28"/>
          <w:szCs w:val="28"/>
        </w:rPr>
        <w:t>采购内容主要技术参数详见本招标文件第四部分及采购明细表。</w:t>
      </w:r>
    </w:p>
    <w:p w14:paraId="59A90746">
      <w:pPr>
        <w:spacing w:line="520" w:lineRule="exact"/>
        <w:ind w:firstLine="560" w:firstLineChars="200"/>
        <w:rPr>
          <w:rFonts w:ascii="仿宋" w:hAnsi="仿宋" w:eastAsia="仿宋"/>
          <w:sz w:val="28"/>
          <w:szCs w:val="28"/>
        </w:rPr>
      </w:pPr>
      <w:r>
        <w:rPr>
          <w:rFonts w:hint="eastAsia" w:ascii="仿宋" w:hAnsi="仿宋" w:eastAsia="仿宋"/>
          <w:sz w:val="28"/>
          <w:szCs w:val="28"/>
        </w:rPr>
        <w:t>（3）范围包括：运输、安装、辅料、系统集成、税金及其他达到设备正常运行的所有费用等。具体要求以本招标文件中商务、技术和服务等的相应要求为准。</w:t>
      </w:r>
      <w:r>
        <w:rPr>
          <w:rFonts w:hint="eastAsia" w:ascii="仿宋" w:hAnsi="仿宋" w:eastAsia="仿宋"/>
          <w:sz w:val="28"/>
          <w:szCs w:val="28"/>
        </w:rPr>
        <w:tab/>
      </w:r>
    </w:p>
    <w:p w14:paraId="67BA3740">
      <w:pPr>
        <w:spacing w:line="520" w:lineRule="exact"/>
        <w:ind w:firstLine="560" w:firstLineChars="200"/>
        <w:rPr>
          <w:rFonts w:ascii="仿宋" w:hAnsi="仿宋" w:eastAsia="仿宋"/>
          <w:sz w:val="28"/>
          <w:szCs w:val="28"/>
        </w:rPr>
      </w:pPr>
      <w:r>
        <w:rPr>
          <w:rFonts w:hint="eastAsia" w:ascii="仿宋" w:hAnsi="仿宋" w:eastAsia="仿宋"/>
          <w:sz w:val="28"/>
          <w:szCs w:val="28"/>
        </w:rPr>
        <w:t>（4）交付地点：采购人指定地点</w:t>
      </w:r>
    </w:p>
    <w:p w14:paraId="6C65FD58">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（5）合同履行期限：合同</w:t>
      </w:r>
      <w:r>
        <w:rPr>
          <w:rFonts w:hint="eastAsia" w:ascii="仿宋" w:hAnsi="仿宋" w:eastAsia="仿宋"/>
          <w:sz w:val="28"/>
          <w:szCs w:val="28"/>
          <w:lang w:eastAsia="zh-CN"/>
        </w:rPr>
        <w:t>签订后</w:t>
      </w:r>
      <w:r>
        <w:rPr>
          <w:rFonts w:hint="eastAsia" w:ascii="仿宋" w:hAnsi="仿宋" w:eastAsia="仿宋"/>
          <w:sz w:val="28"/>
          <w:szCs w:val="28"/>
          <w:lang w:val="en-US" w:eastAsia="zh-CN"/>
        </w:rPr>
        <w:t>60天内</w:t>
      </w:r>
    </w:p>
    <w:p w14:paraId="01C4FE1A">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（6）本项目不接受联合体投标</w:t>
      </w:r>
      <w:r>
        <w:rPr>
          <w:rFonts w:hint="eastAsia" w:ascii="仿宋" w:hAnsi="仿宋" w:eastAsia="仿宋"/>
          <w:sz w:val="28"/>
          <w:szCs w:val="28"/>
          <w:lang w:eastAsia="zh-CN"/>
        </w:rPr>
        <w:t>。</w:t>
      </w:r>
    </w:p>
    <w:p w14:paraId="710AD2ED">
      <w:pPr>
        <w:pStyle w:val="3"/>
        <w:numPr>
          <w:ilvl w:val="0"/>
          <w:numId w:val="0"/>
        </w:numPr>
        <w:spacing w:line="520" w:lineRule="exact"/>
        <w:ind w:left="720"/>
        <w:rPr>
          <w:rFonts w:ascii="黑体" w:hAnsi="黑体" w:cs="宋体"/>
          <w:b w:val="0"/>
          <w:sz w:val="28"/>
          <w:szCs w:val="28"/>
        </w:rPr>
      </w:pPr>
      <w:bookmarkStart w:id="8" w:name="_Toc28359003"/>
      <w:bookmarkStart w:id="9" w:name="_Toc35393791"/>
      <w:bookmarkStart w:id="10" w:name="_Toc28359080"/>
      <w:bookmarkStart w:id="11" w:name="_Toc35393622"/>
      <w:r>
        <w:rPr>
          <w:rFonts w:hint="eastAsia" w:ascii="黑体" w:hAnsi="黑体" w:cs="宋体"/>
          <w:b w:val="0"/>
          <w:sz w:val="28"/>
          <w:szCs w:val="28"/>
        </w:rPr>
        <w:t>二、申请人的资格要求：</w:t>
      </w:r>
      <w:bookmarkEnd w:id="8"/>
      <w:bookmarkEnd w:id="9"/>
      <w:bookmarkEnd w:id="10"/>
      <w:bookmarkEnd w:id="11"/>
    </w:p>
    <w:p w14:paraId="32A5A2F4">
      <w:pPr>
        <w:spacing w:line="520" w:lineRule="exact"/>
        <w:ind w:firstLine="560" w:firstLineChars="200"/>
        <w:rPr>
          <w:rFonts w:ascii="仿宋" w:hAnsi="仿宋" w:eastAsia="仿宋"/>
          <w:sz w:val="28"/>
          <w:szCs w:val="28"/>
        </w:rPr>
      </w:pPr>
      <w:bookmarkStart w:id="12" w:name="_Toc28359004"/>
      <w:bookmarkStart w:id="13" w:name="_Toc28359081"/>
      <w:r>
        <w:rPr>
          <w:rFonts w:hint="eastAsia" w:ascii="仿宋" w:hAnsi="仿宋" w:eastAsia="仿宋"/>
          <w:sz w:val="28"/>
          <w:szCs w:val="28"/>
        </w:rPr>
        <w:t>1.满足《中华人民共和国政府采购法》第二十二条规定；</w:t>
      </w:r>
    </w:p>
    <w:p w14:paraId="0F48BEEA">
      <w:pPr>
        <w:spacing w:line="520" w:lineRule="exact"/>
        <w:ind w:firstLine="560" w:firstLineChars="200"/>
        <w:rPr>
          <w:rFonts w:hint="eastAsia" w:ascii="仿宋" w:hAnsi="仿宋" w:eastAsia="仿宋"/>
          <w:sz w:val="28"/>
          <w:szCs w:val="28"/>
          <w:lang w:val="en-US" w:eastAsia="zh-CN"/>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无</w:t>
      </w:r>
    </w:p>
    <w:p w14:paraId="647D6439">
      <w:pPr>
        <w:spacing w:line="52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rPr>
        <w:t xml:space="preserve"> </w:t>
      </w:r>
      <w:r>
        <w:rPr>
          <w:rFonts w:hint="eastAsia" w:ascii="仿宋" w:hAnsi="仿宋" w:eastAsia="仿宋"/>
          <w:sz w:val="28"/>
          <w:szCs w:val="28"/>
        </w:rPr>
        <w:t>通过“信用中国（www.creditchina.gov.cn）”、中国政府采购网（www.ccgp.gov.cn）等渠道查询，未被列入失信被执行人、重大税收违法案件当事人、政府采购严重违法失信行为记录等名单；</w:t>
      </w:r>
    </w:p>
    <w:p w14:paraId="40719F46">
      <w:pPr>
        <w:spacing w:line="520" w:lineRule="exact"/>
        <w:ind w:firstLine="560" w:firstLineChars="200"/>
        <w:rPr>
          <w:rFonts w:ascii="仿宋" w:hAnsi="仿宋" w:eastAsia="仿宋"/>
          <w:sz w:val="28"/>
          <w:szCs w:val="28"/>
        </w:rPr>
      </w:pPr>
      <w:r>
        <w:rPr>
          <w:rFonts w:hint="eastAsia" w:ascii="仿宋" w:hAnsi="仿宋" w:eastAsia="仿宋"/>
          <w:sz w:val="28"/>
          <w:szCs w:val="28"/>
        </w:rPr>
        <w:t>4.本项目的特定资格要求：无</w:t>
      </w:r>
    </w:p>
    <w:p w14:paraId="203C0FFB">
      <w:pPr>
        <w:pStyle w:val="3"/>
        <w:numPr>
          <w:ilvl w:val="0"/>
          <w:numId w:val="0"/>
        </w:numPr>
        <w:spacing w:line="520" w:lineRule="exact"/>
        <w:ind w:left="720"/>
        <w:rPr>
          <w:rFonts w:ascii="黑体" w:hAnsi="黑体" w:cs="宋体"/>
          <w:b w:val="0"/>
          <w:sz w:val="28"/>
          <w:szCs w:val="28"/>
        </w:rPr>
      </w:pPr>
      <w:bookmarkStart w:id="14" w:name="_Toc35393792"/>
      <w:bookmarkStart w:id="15" w:name="_Toc35393623"/>
      <w:r>
        <w:rPr>
          <w:rFonts w:hint="eastAsia" w:ascii="黑体" w:hAnsi="黑体" w:cs="宋体"/>
          <w:b w:val="0"/>
          <w:sz w:val="28"/>
          <w:szCs w:val="28"/>
        </w:rPr>
        <w:t>三、获取招标文件</w:t>
      </w:r>
      <w:bookmarkEnd w:id="12"/>
      <w:bookmarkEnd w:id="13"/>
      <w:bookmarkEnd w:id="14"/>
      <w:bookmarkEnd w:id="15"/>
    </w:p>
    <w:p w14:paraId="4FDADBDA">
      <w:pPr>
        <w:spacing w:line="520" w:lineRule="exact"/>
        <w:ind w:firstLine="540"/>
        <w:rPr>
          <w:rFonts w:ascii="仿宋" w:hAnsi="仿宋" w:eastAsia="仿宋" w:cs="宋体"/>
          <w:sz w:val="28"/>
          <w:szCs w:val="28"/>
        </w:rPr>
      </w:pPr>
      <w:r>
        <w:rPr>
          <w:rFonts w:hint="eastAsia" w:ascii="仿宋" w:hAnsi="仿宋" w:eastAsia="仿宋" w:cs="宋体"/>
          <w:sz w:val="28"/>
          <w:szCs w:val="28"/>
        </w:rPr>
        <w:t>时间：202</w:t>
      </w:r>
      <w:r>
        <w:rPr>
          <w:rFonts w:hint="eastAsia" w:ascii="仿宋" w:hAnsi="仿宋" w:eastAsia="仿宋" w:cs="宋体"/>
          <w:sz w:val="28"/>
          <w:szCs w:val="28"/>
          <w:lang w:val="en-US" w:eastAsia="zh-CN"/>
        </w:rPr>
        <w:t>5</w:t>
      </w:r>
      <w:r>
        <w:rPr>
          <w:rFonts w:hint="eastAsia" w:ascii="仿宋" w:hAnsi="仿宋" w:eastAsia="仿宋" w:cs="宋体"/>
          <w:sz w:val="28"/>
          <w:szCs w:val="28"/>
        </w:rPr>
        <w:t>年</w:t>
      </w:r>
      <w:r>
        <w:rPr>
          <w:rFonts w:hint="eastAsia" w:ascii="仿宋" w:hAnsi="仿宋" w:eastAsia="仿宋" w:cs="宋体"/>
          <w:sz w:val="28"/>
          <w:szCs w:val="28"/>
          <w:lang w:val="en-US" w:eastAsia="zh-CN"/>
        </w:rPr>
        <w:t>4</w:t>
      </w:r>
      <w:r>
        <w:rPr>
          <w:rFonts w:hint="eastAsia" w:ascii="仿宋" w:hAnsi="仿宋" w:eastAsia="仿宋" w:cs="宋体"/>
          <w:sz w:val="28"/>
          <w:szCs w:val="28"/>
        </w:rPr>
        <w:t>月</w:t>
      </w:r>
      <w:r>
        <w:rPr>
          <w:rFonts w:hint="eastAsia" w:ascii="仿宋" w:hAnsi="仿宋" w:eastAsia="仿宋" w:cs="宋体"/>
          <w:sz w:val="28"/>
          <w:szCs w:val="28"/>
          <w:lang w:val="en-US" w:eastAsia="zh-CN"/>
        </w:rPr>
        <w:t>17</w:t>
      </w:r>
      <w:r>
        <w:rPr>
          <w:rFonts w:hint="eastAsia" w:ascii="仿宋" w:hAnsi="仿宋" w:eastAsia="仿宋" w:cs="宋体"/>
          <w:sz w:val="28"/>
          <w:szCs w:val="28"/>
        </w:rPr>
        <w:t>日至202</w:t>
      </w:r>
      <w:r>
        <w:rPr>
          <w:rFonts w:hint="eastAsia" w:ascii="仿宋" w:hAnsi="仿宋" w:eastAsia="仿宋" w:cs="宋体"/>
          <w:sz w:val="28"/>
          <w:szCs w:val="28"/>
          <w:lang w:val="en-US" w:eastAsia="zh-CN"/>
        </w:rPr>
        <w:t>5</w:t>
      </w:r>
      <w:r>
        <w:rPr>
          <w:rFonts w:hint="eastAsia" w:ascii="仿宋" w:hAnsi="仿宋" w:eastAsia="仿宋" w:cs="宋体"/>
          <w:sz w:val="28"/>
          <w:szCs w:val="28"/>
        </w:rPr>
        <w:t>年</w:t>
      </w:r>
      <w:r>
        <w:rPr>
          <w:rFonts w:hint="eastAsia" w:ascii="仿宋" w:hAnsi="仿宋" w:eastAsia="仿宋" w:cs="宋体"/>
          <w:sz w:val="28"/>
          <w:szCs w:val="28"/>
          <w:lang w:val="en-US" w:eastAsia="zh-CN"/>
        </w:rPr>
        <w:t>5</w:t>
      </w:r>
      <w:r>
        <w:rPr>
          <w:rFonts w:hint="eastAsia" w:ascii="仿宋" w:hAnsi="仿宋" w:eastAsia="仿宋" w:cs="宋体"/>
          <w:sz w:val="28"/>
          <w:szCs w:val="28"/>
        </w:rPr>
        <w:t>月</w:t>
      </w:r>
      <w:r>
        <w:rPr>
          <w:rFonts w:hint="eastAsia" w:ascii="仿宋" w:hAnsi="仿宋" w:eastAsia="仿宋" w:cs="宋体"/>
          <w:sz w:val="28"/>
          <w:szCs w:val="28"/>
          <w:lang w:val="en-US" w:eastAsia="zh-CN"/>
        </w:rPr>
        <w:t>7</w:t>
      </w:r>
      <w:r>
        <w:rPr>
          <w:rFonts w:hint="eastAsia" w:ascii="仿宋" w:hAnsi="仿宋" w:eastAsia="仿宋" w:cs="宋体"/>
          <w:sz w:val="28"/>
          <w:szCs w:val="28"/>
        </w:rPr>
        <w:t>日9点30分。</w:t>
      </w:r>
    </w:p>
    <w:p w14:paraId="187A2066">
      <w:pPr>
        <w:spacing w:line="520" w:lineRule="exact"/>
        <w:ind w:firstLine="540"/>
        <w:rPr>
          <w:rFonts w:ascii="仿宋" w:hAnsi="仿宋" w:eastAsia="仿宋" w:cs="宋体"/>
          <w:sz w:val="28"/>
          <w:szCs w:val="28"/>
        </w:rPr>
      </w:pPr>
      <w:r>
        <w:rPr>
          <w:rFonts w:hint="eastAsia" w:ascii="仿宋" w:hAnsi="仿宋" w:eastAsia="仿宋" w:cs="宋体"/>
          <w:sz w:val="28"/>
          <w:szCs w:val="28"/>
        </w:rPr>
        <w:t>地点：山西政府采购平台</w:t>
      </w:r>
    </w:p>
    <w:p w14:paraId="40F684F1">
      <w:pPr>
        <w:spacing w:line="520" w:lineRule="exact"/>
        <w:ind w:firstLine="540"/>
        <w:rPr>
          <w:rFonts w:ascii="仿宋" w:hAnsi="仿宋" w:eastAsia="仿宋" w:cs="宋体"/>
          <w:sz w:val="28"/>
          <w:szCs w:val="28"/>
        </w:rPr>
      </w:pPr>
      <w:r>
        <w:rPr>
          <w:rFonts w:hint="eastAsia" w:ascii="仿宋" w:hAnsi="仿宋" w:eastAsia="仿宋" w:cs="宋体"/>
          <w:sz w:val="28"/>
          <w:szCs w:val="28"/>
        </w:rPr>
        <w:t>方式：供应商登陆山西省政府采购网-山西政府采购平台（http://www.ccgp-shanxi.gov.cn/home.html）线上获取招标文件。</w:t>
      </w:r>
    </w:p>
    <w:p w14:paraId="7D41F51D">
      <w:pPr>
        <w:spacing w:line="520" w:lineRule="exact"/>
        <w:ind w:firstLine="540"/>
        <w:rPr>
          <w:rFonts w:ascii="仿宋" w:hAnsi="仿宋" w:eastAsia="仿宋" w:cs="宋体"/>
          <w:sz w:val="28"/>
          <w:szCs w:val="28"/>
        </w:rPr>
      </w:pPr>
      <w:r>
        <w:rPr>
          <w:rFonts w:hint="eastAsia" w:ascii="仿宋" w:hAnsi="仿宋" w:eastAsia="仿宋" w:cs="宋体"/>
          <w:sz w:val="28"/>
          <w:szCs w:val="28"/>
        </w:rPr>
        <w:t>售价：免费提供。</w:t>
      </w:r>
    </w:p>
    <w:p w14:paraId="41E25009">
      <w:pPr>
        <w:pStyle w:val="3"/>
        <w:numPr>
          <w:ilvl w:val="0"/>
          <w:numId w:val="0"/>
        </w:numPr>
        <w:spacing w:line="520" w:lineRule="exact"/>
        <w:ind w:left="720"/>
        <w:rPr>
          <w:rFonts w:ascii="黑体" w:hAnsi="黑体" w:cs="宋体"/>
          <w:b w:val="0"/>
          <w:sz w:val="28"/>
          <w:szCs w:val="28"/>
        </w:rPr>
      </w:pPr>
      <w:bookmarkStart w:id="16" w:name="_Toc28359082"/>
      <w:bookmarkStart w:id="17" w:name="_Toc28359005"/>
      <w:bookmarkStart w:id="18" w:name="_Toc35393624"/>
      <w:bookmarkStart w:id="19" w:name="_Toc35393793"/>
      <w:r>
        <w:rPr>
          <w:rFonts w:hint="eastAsia" w:ascii="黑体" w:hAnsi="黑体" w:cs="宋体"/>
          <w:b w:val="0"/>
          <w:sz w:val="28"/>
          <w:szCs w:val="28"/>
        </w:rPr>
        <w:t>四、提交电子投标文件</w:t>
      </w:r>
      <w:bookmarkEnd w:id="16"/>
      <w:bookmarkEnd w:id="17"/>
      <w:r>
        <w:rPr>
          <w:rFonts w:hint="eastAsia" w:ascii="黑体" w:hAnsi="黑体" w:cs="宋体"/>
          <w:b w:val="0"/>
          <w:sz w:val="28"/>
          <w:szCs w:val="28"/>
        </w:rPr>
        <w:t>截止时间、开标时间和地点</w:t>
      </w:r>
      <w:bookmarkEnd w:id="18"/>
      <w:bookmarkEnd w:id="19"/>
    </w:p>
    <w:p w14:paraId="5B54D6E0">
      <w:pPr>
        <w:spacing w:line="520" w:lineRule="exact"/>
        <w:ind w:firstLine="560" w:firstLineChars="200"/>
        <w:rPr>
          <w:rFonts w:ascii="仿宋" w:hAnsi="仿宋" w:eastAsia="仿宋"/>
          <w:bCs/>
          <w:sz w:val="28"/>
          <w:szCs w:val="28"/>
        </w:rPr>
      </w:pPr>
      <w:r>
        <w:rPr>
          <w:rFonts w:hint="eastAsia" w:ascii="黑体" w:hAnsi="黑体" w:cs="宋体"/>
          <w:sz w:val="28"/>
          <w:szCs w:val="28"/>
        </w:rPr>
        <w:t>时间：</w:t>
      </w:r>
      <w:r>
        <w:rPr>
          <w:rFonts w:hint="eastAsia" w:ascii="仿宋" w:hAnsi="仿宋" w:eastAsia="仿宋"/>
          <w:bCs/>
          <w:sz w:val="28"/>
          <w:szCs w:val="28"/>
        </w:rPr>
        <w:t>202</w:t>
      </w:r>
      <w:r>
        <w:rPr>
          <w:rFonts w:hint="eastAsia" w:ascii="仿宋" w:hAnsi="仿宋" w:eastAsia="仿宋"/>
          <w:bCs/>
          <w:sz w:val="28"/>
          <w:szCs w:val="28"/>
          <w:lang w:val="en-US" w:eastAsia="zh-CN"/>
        </w:rPr>
        <w:t>5</w:t>
      </w:r>
      <w:r>
        <w:rPr>
          <w:rFonts w:hint="eastAsia" w:ascii="仿宋" w:hAnsi="仿宋" w:eastAsia="仿宋"/>
          <w:bCs/>
          <w:sz w:val="28"/>
          <w:szCs w:val="28"/>
        </w:rPr>
        <w:t>年</w:t>
      </w:r>
      <w:r>
        <w:rPr>
          <w:rFonts w:hint="eastAsia" w:ascii="仿宋" w:hAnsi="仿宋" w:eastAsia="仿宋"/>
          <w:bCs/>
          <w:sz w:val="28"/>
          <w:szCs w:val="28"/>
          <w:lang w:val="en-US" w:eastAsia="zh-CN"/>
        </w:rPr>
        <w:t>5</w:t>
      </w:r>
      <w:r>
        <w:rPr>
          <w:rFonts w:hint="eastAsia" w:ascii="仿宋" w:hAnsi="仿宋" w:eastAsia="仿宋"/>
          <w:bCs/>
          <w:sz w:val="28"/>
          <w:szCs w:val="28"/>
        </w:rPr>
        <w:t>月</w:t>
      </w:r>
      <w:r>
        <w:rPr>
          <w:rFonts w:hint="eastAsia" w:ascii="仿宋" w:hAnsi="仿宋" w:eastAsia="仿宋"/>
          <w:bCs/>
          <w:sz w:val="28"/>
          <w:szCs w:val="28"/>
          <w:lang w:val="en-US" w:eastAsia="zh-CN"/>
        </w:rPr>
        <w:t>7</w:t>
      </w:r>
      <w:r>
        <w:rPr>
          <w:rFonts w:hint="eastAsia" w:ascii="仿宋" w:hAnsi="仿宋" w:eastAsia="仿宋"/>
          <w:bCs/>
          <w:sz w:val="28"/>
          <w:szCs w:val="28"/>
        </w:rPr>
        <w:t>日9点30分。</w:t>
      </w:r>
    </w:p>
    <w:p w14:paraId="7BABC073">
      <w:pPr>
        <w:spacing w:line="520" w:lineRule="exact"/>
        <w:ind w:firstLine="560" w:firstLineChars="200"/>
        <w:rPr>
          <w:rFonts w:ascii="仿宋" w:hAnsi="仿宋" w:eastAsia="仿宋"/>
          <w:sz w:val="28"/>
          <w:szCs w:val="28"/>
        </w:rPr>
      </w:pPr>
      <w:r>
        <w:rPr>
          <w:rFonts w:hint="eastAsia" w:ascii="仿宋" w:hAnsi="仿宋" w:eastAsia="仿宋"/>
          <w:sz w:val="28"/>
          <w:szCs w:val="28"/>
        </w:rPr>
        <w:t>地点：山西政府采购平台</w:t>
      </w:r>
    </w:p>
    <w:p w14:paraId="793F270E">
      <w:pPr>
        <w:spacing w:line="520" w:lineRule="exact"/>
        <w:ind w:firstLine="560" w:firstLineChars="200"/>
        <w:rPr>
          <w:rFonts w:ascii="仿宋" w:hAnsi="仿宋" w:eastAsia="仿宋"/>
          <w:bCs/>
          <w:sz w:val="28"/>
          <w:szCs w:val="28"/>
        </w:rPr>
      </w:pPr>
      <w:r>
        <w:rPr>
          <w:rFonts w:hint="eastAsia" w:ascii="仿宋" w:hAnsi="仿宋" w:eastAsia="仿宋"/>
          <w:sz w:val="28"/>
          <w:szCs w:val="28"/>
        </w:rPr>
        <w:t>本项目采用在线投标方式进行，供应商通过山西政府采购平台电子投标客户端提交投标文件。</w:t>
      </w:r>
    </w:p>
    <w:p w14:paraId="193F0B47">
      <w:pPr>
        <w:pStyle w:val="3"/>
        <w:numPr>
          <w:ilvl w:val="0"/>
          <w:numId w:val="0"/>
        </w:numPr>
        <w:spacing w:line="520" w:lineRule="exact"/>
        <w:ind w:left="720"/>
        <w:rPr>
          <w:rFonts w:ascii="黑体" w:hAnsi="黑体" w:cs="宋体"/>
          <w:b w:val="0"/>
          <w:sz w:val="28"/>
          <w:szCs w:val="28"/>
        </w:rPr>
      </w:pPr>
      <w:bookmarkStart w:id="20" w:name="_Toc35393625"/>
      <w:bookmarkStart w:id="21" w:name="_Toc28359007"/>
      <w:bookmarkStart w:id="22" w:name="_Toc28359084"/>
      <w:bookmarkStart w:id="23" w:name="_Toc35393794"/>
      <w:r>
        <w:rPr>
          <w:rFonts w:hint="eastAsia" w:ascii="黑体" w:hAnsi="黑体" w:cs="宋体"/>
          <w:b w:val="0"/>
          <w:sz w:val="28"/>
          <w:szCs w:val="28"/>
        </w:rPr>
        <w:t>五、公告期限</w:t>
      </w:r>
      <w:bookmarkEnd w:id="20"/>
      <w:bookmarkEnd w:id="21"/>
      <w:bookmarkEnd w:id="22"/>
      <w:bookmarkEnd w:id="23"/>
    </w:p>
    <w:p w14:paraId="2BFFA602">
      <w:pPr>
        <w:pStyle w:val="3"/>
        <w:numPr>
          <w:ilvl w:val="0"/>
          <w:numId w:val="0"/>
        </w:numPr>
        <w:spacing w:line="520" w:lineRule="exact"/>
        <w:ind w:left="720"/>
        <w:rPr>
          <w:rFonts w:ascii="黑体" w:hAnsi="黑体" w:cs="宋体"/>
          <w:b w:val="0"/>
          <w:sz w:val="28"/>
          <w:szCs w:val="28"/>
        </w:rPr>
      </w:pPr>
      <w:r>
        <w:rPr>
          <w:rFonts w:hint="eastAsia" w:ascii="仿宋" w:hAnsi="仿宋" w:eastAsia="仿宋" w:cs="宋体"/>
          <w:b w:val="0"/>
          <w:sz w:val="28"/>
          <w:szCs w:val="28"/>
        </w:rPr>
        <w:t>自本公告发布之日起10个工作日。</w:t>
      </w:r>
    </w:p>
    <w:p w14:paraId="0301CD98">
      <w:pPr>
        <w:pStyle w:val="3"/>
        <w:numPr>
          <w:ilvl w:val="0"/>
          <w:numId w:val="0"/>
        </w:numPr>
        <w:spacing w:line="520" w:lineRule="exact"/>
        <w:ind w:left="720"/>
        <w:rPr>
          <w:rFonts w:ascii="黑体" w:hAnsi="黑体" w:cs="宋体"/>
          <w:b w:val="0"/>
          <w:sz w:val="28"/>
          <w:szCs w:val="28"/>
        </w:rPr>
      </w:pPr>
      <w:bookmarkStart w:id="24" w:name="_Toc35393626"/>
      <w:bookmarkStart w:id="25" w:name="_Toc35393795"/>
      <w:r>
        <w:rPr>
          <w:rFonts w:hint="eastAsia" w:ascii="黑体" w:hAnsi="黑体" w:cs="宋体"/>
          <w:b w:val="0"/>
          <w:sz w:val="28"/>
          <w:szCs w:val="28"/>
        </w:rPr>
        <w:t>六、其他补充事宜</w:t>
      </w:r>
      <w:bookmarkEnd w:id="24"/>
      <w:bookmarkEnd w:id="25"/>
    </w:p>
    <w:p w14:paraId="47BEEEBC">
      <w:pPr>
        <w:spacing w:line="520" w:lineRule="exact"/>
        <w:ind w:firstLine="560" w:firstLineChars="200"/>
        <w:rPr>
          <w:rFonts w:ascii="仿宋" w:hAnsi="仿宋" w:eastAsia="仿宋"/>
          <w:sz w:val="28"/>
          <w:szCs w:val="28"/>
        </w:rPr>
      </w:pPr>
      <w:r>
        <w:rPr>
          <w:rFonts w:hint="eastAsia" w:ascii="仿宋" w:hAnsi="仿宋" w:eastAsia="仿宋"/>
          <w:sz w:val="28"/>
          <w:szCs w:val="28"/>
        </w:rPr>
        <w:t>1.本项目采用电子化交易；电子化交易流程操作指南：“山西省政府采购网&gt;办事指南&gt;下载专区”获取；</w:t>
      </w:r>
    </w:p>
    <w:p w14:paraId="4738B33C">
      <w:pPr>
        <w:spacing w:line="520" w:lineRule="exact"/>
        <w:ind w:firstLine="560" w:firstLineChars="200"/>
        <w:rPr>
          <w:rFonts w:ascii="仿宋" w:hAnsi="仿宋" w:eastAsia="仿宋"/>
          <w:sz w:val="28"/>
          <w:szCs w:val="28"/>
        </w:rPr>
      </w:pPr>
      <w:r>
        <w:rPr>
          <w:rFonts w:hint="eastAsia" w:ascii="仿宋" w:hAnsi="仿宋" w:eastAsia="仿宋"/>
          <w:sz w:val="28"/>
          <w:szCs w:val="28"/>
        </w:rPr>
        <w:t>2.供应商在提交投标文件前完成CA数字证书办理；</w:t>
      </w:r>
    </w:p>
    <w:p w14:paraId="2B358135">
      <w:pPr>
        <w:spacing w:line="520" w:lineRule="exact"/>
        <w:ind w:firstLine="560" w:firstLineChars="200"/>
        <w:rPr>
          <w:rFonts w:ascii="仿宋" w:hAnsi="仿宋" w:eastAsia="仿宋"/>
          <w:sz w:val="28"/>
          <w:szCs w:val="28"/>
        </w:rPr>
      </w:pPr>
      <w:r>
        <w:rPr>
          <w:rFonts w:hint="eastAsia" w:ascii="仿宋" w:hAnsi="仿宋" w:eastAsia="仿宋"/>
          <w:sz w:val="28"/>
          <w:szCs w:val="28"/>
        </w:rPr>
        <w:t>CA数字证书办理咨询电话：0355-2090058（山西CA）；0355-2136789（北京CA）。</w:t>
      </w:r>
    </w:p>
    <w:p w14:paraId="3CD32DC6">
      <w:pPr>
        <w:spacing w:line="520" w:lineRule="exact"/>
        <w:ind w:firstLine="560" w:firstLineChars="200"/>
        <w:rPr>
          <w:rFonts w:ascii="仿宋" w:hAnsi="仿宋" w:eastAsia="仿宋"/>
          <w:sz w:val="28"/>
          <w:szCs w:val="28"/>
        </w:rPr>
      </w:pPr>
      <w:r>
        <w:rPr>
          <w:rFonts w:hint="eastAsia" w:ascii="仿宋" w:hAnsi="仿宋" w:eastAsia="仿宋"/>
          <w:sz w:val="28"/>
          <w:szCs w:val="28"/>
        </w:rPr>
        <w:t>3.供应商应安装“山西政府采购平台电子投标客户端”，山西省政府采购网&gt;办事指南&gt;下载专区”获取；</w:t>
      </w:r>
    </w:p>
    <w:p w14:paraId="2A3E248C">
      <w:pPr>
        <w:spacing w:line="520" w:lineRule="exact"/>
        <w:ind w:firstLine="560" w:firstLineChars="200"/>
        <w:rPr>
          <w:rFonts w:ascii="仿宋" w:hAnsi="仿宋" w:eastAsia="仿宋"/>
          <w:sz w:val="28"/>
          <w:szCs w:val="28"/>
        </w:rPr>
      </w:pPr>
      <w:r>
        <w:rPr>
          <w:rFonts w:hint="eastAsia" w:ascii="仿宋" w:hAnsi="仿宋" w:eastAsia="仿宋"/>
          <w:sz w:val="28"/>
          <w:szCs w:val="28"/>
        </w:rPr>
        <w:t>4.山西政府采购平台技术支持热线：400-881-7190；</w:t>
      </w:r>
    </w:p>
    <w:p w14:paraId="4DF04DF4">
      <w:pPr>
        <w:spacing w:line="520" w:lineRule="exact"/>
        <w:ind w:firstLine="560" w:firstLineChars="200"/>
        <w:rPr>
          <w:rFonts w:ascii="仿宋" w:hAnsi="仿宋" w:eastAsia="仿宋"/>
          <w:sz w:val="28"/>
          <w:szCs w:val="28"/>
        </w:rPr>
      </w:pPr>
      <w:r>
        <w:rPr>
          <w:rFonts w:hint="eastAsia" w:ascii="仿宋" w:hAnsi="仿宋" w:eastAsia="仿宋"/>
          <w:sz w:val="28"/>
          <w:szCs w:val="28"/>
        </w:rPr>
        <w:t>5.开标时间起30分钟内供应商登陆“山西政府采购平台”，在项目采购-开标评标模块对投标文件进行在线解密。在规定时间内投标文件无法解密或解密失败的，视为无效投标；</w:t>
      </w:r>
    </w:p>
    <w:p w14:paraId="49CD23F7">
      <w:pPr>
        <w:spacing w:line="520" w:lineRule="exact"/>
        <w:ind w:firstLine="560" w:firstLineChars="200"/>
        <w:rPr>
          <w:rFonts w:ascii="仿宋" w:hAnsi="仿宋" w:eastAsia="仿宋"/>
          <w:sz w:val="28"/>
          <w:szCs w:val="28"/>
        </w:rPr>
      </w:pPr>
      <w:r>
        <w:rPr>
          <w:rFonts w:hint="eastAsia" w:ascii="仿宋" w:hAnsi="仿宋" w:eastAsia="仿宋"/>
          <w:sz w:val="28"/>
          <w:szCs w:val="28"/>
        </w:rPr>
        <w:t>6. 本采购文件所表述的时间均为北京时间。</w:t>
      </w:r>
    </w:p>
    <w:p w14:paraId="0A3E55F5">
      <w:pPr>
        <w:pStyle w:val="3"/>
        <w:numPr>
          <w:ilvl w:val="0"/>
          <w:numId w:val="0"/>
        </w:numPr>
        <w:spacing w:line="520" w:lineRule="exact"/>
        <w:ind w:left="720"/>
        <w:rPr>
          <w:rFonts w:ascii="黑体" w:hAnsi="黑体" w:cs="宋体"/>
          <w:b w:val="0"/>
          <w:sz w:val="28"/>
          <w:szCs w:val="28"/>
        </w:rPr>
      </w:pPr>
      <w:bookmarkStart w:id="26" w:name="_Toc35393627"/>
      <w:bookmarkStart w:id="27" w:name="_Toc28359008"/>
      <w:bookmarkStart w:id="28" w:name="_Toc28359085"/>
      <w:bookmarkStart w:id="29"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14:paraId="5DF02282">
      <w:pPr>
        <w:widowControl/>
        <w:spacing w:line="520" w:lineRule="exact"/>
        <w:jc w:val="left"/>
        <w:rPr>
          <w:rFonts w:ascii="仿宋_GB2312" w:eastAsia="仿宋_GB2312"/>
          <w:sz w:val="28"/>
          <w:szCs w:val="28"/>
        </w:rPr>
      </w:pPr>
      <w:r>
        <w:rPr>
          <w:rFonts w:hint="eastAsia" w:ascii="仿宋" w:hAnsi="仿宋" w:eastAsia="仿宋" w:cs="宋体"/>
          <w:sz w:val="28"/>
          <w:szCs w:val="28"/>
        </w:rPr>
        <w:t>　　　1.采购人信息</w:t>
      </w:r>
    </w:p>
    <w:p w14:paraId="175B0BCA">
      <w:pPr>
        <w:spacing w:line="52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称：长治市上党区教育局</w:t>
      </w:r>
      <w:r>
        <w:rPr>
          <w:rFonts w:hint="eastAsia" w:ascii="仿宋" w:hAnsi="仿宋" w:eastAsia="仿宋"/>
          <w:sz w:val="28"/>
          <w:szCs w:val="28"/>
          <w:lang w:eastAsia="zh-CN"/>
        </w:rPr>
        <w:t>（牵头人）</w:t>
      </w:r>
    </w:p>
    <w:p w14:paraId="64447479">
      <w:pPr>
        <w:spacing w:line="520" w:lineRule="exact"/>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eastAsia="zh-CN"/>
        </w:rPr>
        <w:t>上党区民生大厦</w:t>
      </w:r>
      <w:r>
        <w:rPr>
          <w:rFonts w:hint="eastAsia" w:ascii="仿宋" w:hAnsi="仿宋" w:eastAsia="仿宋"/>
          <w:sz w:val="28"/>
          <w:szCs w:val="28"/>
          <w:lang w:val="en-US" w:eastAsia="zh-CN"/>
        </w:rPr>
        <w:t>5楼</w:t>
      </w:r>
    </w:p>
    <w:p w14:paraId="76A54F0D">
      <w:pPr>
        <w:spacing w:line="52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eastAsia="zh-CN"/>
        </w:rPr>
        <w:t>王</w:t>
      </w:r>
      <w:r>
        <w:rPr>
          <w:rFonts w:hint="eastAsia" w:ascii="仿宋" w:hAnsi="仿宋" w:eastAsia="仿宋"/>
          <w:sz w:val="28"/>
          <w:szCs w:val="28"/>
        </w:rPr>
        <w:t>先生</w:t>
      </w:r>
    </w:p>
    <w:p w14:paraId="69CD20C3">
      <w:pPr>
        <w:spacing w:line="52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项目联系方式：</w:t>
      </w:r>
      <w:bookmarkStart w:id="30" w:name="_Toc28359086"/>
      <w:bookmarkStart w:id="31" w:name="_Toc28359009"/>
      <w:r>
        <w:rPr>
          <w:rFonts w:hint="eastAsia" w:ascii="仿宋" w:hAnsi="仿宋" w:eastAsia="仿宋"/>
          <w:sz w:val="28"/>
          <w:szCs w:val="28"/>
        </w:rPr>
        <w:t>0355-8095123</w:t>
      </w:r>
    </w:p>
    <w:p w14:paraId="0C8F23DD">
      <w:pPr>
        <w:spacing w:line="520" w:lineRule="exact"/>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0"/>
      <w:bookmarkEnd w:id="31"/>
    </w:p>
    <w:p w14:paraId="2351B238">
      <w:pPr>
        <w:spacing w:line="52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长治市上党区政府采购中心</w:t>
      </w:r>
    </w:p>
    <w:p w14:paraId="3382A92F">
      <w:pPr>
        <w:spacing w:line="52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eastAsia="zh-CN"/>
        </w:rPr>
        <w:t>上党区民生大厦</w:t>
      </w:r>
      <w:r>
        <w:rPr>
          <w:rFonts w:hint="eastAsia" w:ascii="仿宋" w:hAnsi="仿宋" w:eastAsia="仿宋"/>
          <w:sz w:val="28"/>
          <w:szCs w:val="28"/>
          <w:lang w:val="en-US" w:eastAsia="zh-CN"/>
        </w:rPr>
        <w:t>3楼</w:t>
      </w:r>
    </w:p>
    <w:p w14:paraId="73E7EED1">
      <w:pPr>
        <w:spacing w:line="52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eastAsia="zh-CN"/>
        </w:rPr>
        <w:t>李女士</w:t>
      </w:r>
    </w:p>
    <w:p w14:paraId="1443CBF2">
      <w:pPr>
        <w:spacing w:line="520" w:lineRule="exact"/>
        <w:ind w:firstLine="840" w:firstLineChars="300"/>
        <w:rPr>
          <w:rFonts w:hint="default" w:ascii="仿宋" w:hAnsi="仿宋" w:eastAsia="仿宋"/>
          <w:sz w:val="32"/>
          <w:szCs w:val="32"/>
          <w:lang w:val="en-US" w:eastAsia="zh-CN"/>
        </w:rPr>
      </w:pPr>
      <w:r>
        <w:rPr>
          <w:rFonts w:hint="eastAsia" w:ascii="仿宋" w:hAnsi="仿宋" w:eastAsia="仿宋"/>
          <w:sz w:val="28"/>
          <w:szCs w:val="28"/>
        </w:rPr>
        <w:t>项目联系方式：</w:t>
      </w:r>
      <w:bookmarkStart w:id="32" w:name="_Toc28359010"/>
      <w:bookmarkStart w:id="33" w:name="_Toc28359087"/>
      <w:r>
        <w:rPr>
          <w:rFonts w:ascii="仿宋" w:hAnsi="仿宋" w:eastAsia="仿宋"/>
          <w:sz w:val="28"/>
          <w:szCs w:val="28"/>
        </w:rPr>
        <w:t>0355-</w:t>
      </w:r>
      <w:bookmarkEnd w:id="32"/>
      <w:bookmarkEnd w:id="33"/>
      <w:r>
        <w:rPr>
          <w:rFonts w:hint="eastAsia" w:ascii="仿宋" w:hAnsi="仿宋" w:eastAsia="仿宋"/>
          <w:sz w:val="28"/>
          <w:szCs w:val="28"/>
          <w:lang w:val="en-US" w:eastAsia="zh-CN"/>
        </w:rPr>
        <w:t>8202595</w:t>
      </w:r>
    </w:p>
    <w:p w14:paraId="0A7CFD82">
      <w:pPr>
        <w:spacing w:line="520" w:lineRule="exact"/>
        <w:ind w:firstLine="960" w:firstLineChars="300"/>
        <w:rPr>
          <w:rFonts w:ascii="仿宋" w:hAnsi="仿宋" w:eastAsia="仿宋"/>
          <w:sz w:val="32"/>
          <w:szCs w:val="32"/>
        </w:rPr>
      </w:pPr>
    </w:p>
    <w:p w14:paraId="52F93A53">
      <w:pPr>
        <w:spacing w:line="560" w:lineRule="atLeast"/>
        <w:rPr>
          <w:rFonts w:ascii="仿宋" w:hAnsi="仿宋" w:eastAsia="仿宋"/>
          <w:sz w:val="32"/>
          <w:szCs w:val="32"/>
        </w:rPr>
      </w:pPr>
    </w:p>
    <w:p w14:paraId="4392E48D">
      <w:pPr>
        <w:spacing w:line="560" w:lineRule="atLeast"/>
        <w:rPr>
          <w:rFonts w:ascii="仿宋" w:hAnsi="仿宋" w:eastAsia="仿宋"/>
          <w:sz w:val="32"/>
          <w:szCs w:val="32"/>
        </w:rPr>
      </w:pPr>
    </w:p>
    <w:p w14:paraId="79626754">
      <w:pPr>
        <w:spacing w:line="560" w:lineRule="atLeast"/>
        <w:rPr>
          <w:rFonts w:ascii="仿宋" w:hAnsi="仿宋" w:eastAsia="仿宋"/>
          <w:sz w:val="32"/>
          <w:szCs w:val="32"/>
        </w:rPr>
      </w:pPr>
    </w:p>
    <w:p w14:paraId="65801ED5">
      <w:pPr>
        <w:widowControl/>
        <w:jc w:val="left"/>
        <w:rPr>
          <w:rFonts w:ascii="华文中宋" w:hAnsi="华文中宋" w:eastAsia="华文中宋" w:cs="宋体"/>
          <w:b/>
          <w:bCs/>
          <w:spacing w:val="20"/>
          <w:kern w:val="44"/>
          <w:sz w:val="28"/>
          <w:szCs w:val="28"/>
        </w:rPr>
      </w:pPr>
    </w:p>
    <w:p w14:paraId="6BAB166B">
      <w:pPr>
        <w:pStyle w:val="62"/>
        <w:numPr>
          <w:ilvl w:val="0"/>
          <w:numId w:val="0"/>
        </w:numPr>
        <w:snapToGrid w:val="0"/>
        <w:spacing w:before="0" w:after="0"/>
        <w:rPr>
          <w:rFonts w:ascii="华文中宋" w:hAnsi="华文中宋" w:eastAsia="华文中宋"/>
          <w:spacing w:val="20"/>
          <w:szCs w:val="28"/>
        </w:rPr>
      </w:pPr>
      <w:r>
        <w:rPr>
          <w:rFonts w:hint="eastAsia" w:ascii="华文中宋" w:hAnsi="华文中宋" w:eastAsia="华文中宋"/>
          <w:spacing w:val="20"/>
          <w:szCs w:val="28"/>
        </w:rPr>
        <w:t>第二部分  投标人须知前附表</w:t>
      </w:r>
      <w:bookmarkEnd w:id="0"/>
      <w:bookmarkEnd w:id="1"/>
      <w:bookmarkEnd w:id="2"/>
    </w:p>
    <w:tbl>
      <w:tblPr>
        <w:tblStyle w:val="3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531F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5CD0E24C">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799" w:type="dxa"/>
            <w:vAlign w:val="center"/>
          </w:tcPr>
          <w:p w14:paraId="3B6DCD08">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内  容</w:t>
            </w:r>
          </w:p>
        </w:tc>
        <w:tc>
          <w:tcPr>
            <w:tcW w:w="6660" w:type="dxa"/>
            <w:shd w:val="clear" w:color="auto" w:fill="auto"/>
            <w:vAlign w:val="center"/>
          </w:tcPr>
          <w:p w14:paraId="52A10FD9">
            <w:pPr>
              <w:pStyle w:val="23"/>
              <w:snapToGrid w:val="0"/>
              <w:spacing w:line="390" w:lineRule="exact"/>
              <w:jc w:val="center"/>
              <w:rPr>
                <w:rFonts w:asciiTheme="minorEastAsia" w:hAnsiTheme="minorEastAsia" w:eastAsiaTheme="minorEastAsia"/>
                <w:b/>
              </w:rPr>
            </w:pPr>
            <w:r>
              <w:rPr>
                <w:rFonts w:hint="eastAsia" w:asciiTheme="minorEastAsia" w:hAnsiTheme="minorEastAsia" w:eastAsiaTheme="minorEastAsia"/>
                <w:b/>
                <w:kern w:val="0"/>
              </w:rPr>
              <w:t>说明与要求</w:t>
            </w:r>
          </w:p>
        </w:tc>
      </w:tr>
      <w:tr w14:paraId="24F4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49" w:type="dxa"/>
            <w:vAlign w:val="center"/>
          </w:tcPr>
          <w:p w14:paraId="207A7EBC">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799" w:type="dxa"/>
            <w:vAlign w:val="center"/>
          </w:tcPr>
          <w:p w14:paraId="56983C6B">
            <w:pPr>
              <w:pStyle w:val="64"/>
              <w:tabs>
                <w:tab w:val="clear" w:pos="2880"/>
              </w:tabs>
              <w:snapToGrid w:val="0"/>
              <w:spacing w:line="390" w:lineRule="exact"/>
              <w:ind w:left="721" w:hanging="718" w:hangingChars="34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投标人应具备的</w:t>
            </w:r>
          </w:p>
          <w:p w14:paraId="728199BB">
            <w:pPr>
              <w:pStyle w:val="64"/>
              <w:tabs>
                <w:tab w:val="clear" w:pos="2880"/>
              </w:tabs>
              <w:snapToGrid w:val="0"/>
              <w:spacing w:line="390" w:lineRule="exact"/>
              <w:ind w:left="721" w:hanging="718" w:hangingChars="34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特定资格要求</w:t>
            </w:r>
          </w:p>
        </w:tc>
        <w:tc>
          <w:tcPr>
            <w:tcW w:w="6660" w:type="dxa"/>
            <w:shd w:val="clear" w:color="auto" w:fill="auto"/>
            <w:vAlign w:val="center"/>
          </w:tcPr>
          <w:p w14:paraId="7EA3F0AE">
            <w:pPr>
              <w:spacing w:line="36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本项目其他特定资格条件：无</w:t>
            </w:r>
          </w:p>
          <w:p w14:paraId="77009A9C">
            <w:pPr>
              <w:spacing w:line="36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本次招标允许代理商参加投标；</w:t>
            </w:r>
          </w:p>
          <w:p w14:paraId="6086B4B9">
            <w:pPr>
              <w:spacing w:line="36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本次招标不接受联合体参加投标。</w:t>
            </w:r>
          </w:p>
        </w:tc>
      </w:tr>
      <w:tr w14:paraId="1539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E7FB078">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799" w:type="dxa"/>
            <w:vAlign w:val="center"/>
          </w:tcPr>
          <w:p w14:paraId="434E9E62">
            <w:pPr>
              <w:snapToGrid w:val="0"/>
              <w:spacing w:line="390" w:lineRule="exact"/>
              <w:ind w:firstLine="105" w:firstLineChars="50"/>
              <w:jc w:val="center"/>
              <w:rPr>
                <w:rFonts w:asciiTheme="minorEastAsia" w:hAnsiTheme="minorEastAsia" w:eastAsiaTheme="minorEastAsia"/>
                <w:b/>
                <w:szCs w:val="21"/>
              </w:rPr>
            </w:pPr>
            <w:r>
              <w:rPr>
                <w:rFonts w:hint="eastAsia" w:asciiTheme="minorEastAsia" w:hAnsiTheme="minorEastAsia" w:eastAsiaTheme="minorEastAsia"/>
                <w:b/>
                <w:szCs w:val="21"/>
              </w:rPr>
              <w:t>投标文件</w:t>
            </w:r>
          </w:p>
          <w:p w14:paraId="7EAE608F">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（资格证明文件）</w:t>
            </w:r>
          </w:p>
        </w:tc>
        <w:tc>
          <w:tcPr>
            <w:tcW w:w="6660" w:type="dxa"/>
            <w:shd w:val="clear" w:color="auto" w:fill="auto"/>
            <w:vAlign w:val="center"/>
          </w:tcPr>
          <w:p w14:paraId="068191FA">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1.其他基本资质</w:t>
            </w:r>
          </w:p>
          <w:p w14:paraId="708D4E4E">
            <w:pPr>
              <w:pStyle w:val="47"/>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（1）具有独立承担民事责任的能力；</w:t>
            </w:r>
          </w:p>
          <w:p w14:paraId="41E73D72">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14:paraId="20FE5A5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14:paraId="02E16222">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14:paraId="22EB222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（5）参加政府采购活动前三年内，在经营活动中没有重大违法记录；</w:t>
            </w:r>
          </w:p>
          <w:p w14:paraId="587D5C3C">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14:paraId="6A379E53">
            <w:pPr>
              <w:spacing w:line="32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本项6条仅需提供《长治市政府采购供应商信用承诺函》；</w:t>
            </w:r>
          </w:p>
          <w:p w14:paraId="253D0FCA">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2.中小企业资格证明</w:t>
            </w:r>
          </w:p>
          <w:p w14:paraId="11041A4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提供以下任意一项：</w:t>
            </w:r>
          </w:p>
          <w:p w14:paraId="66C16CA6">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（1）中小企业声明函；</w:t>
            </w:r>
          </w:p>
          <w:p w14:paraId="68A5EC9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（2）残疾人福利性单位声明函；</w:t>
            </w:r>
          </w:p>
          <w:p w14:paraId="5333E334">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 监狱企业证明文件。</w:t>
            </w:r>
          </w:p>
          <w:p w14:paraId="0D2B0155">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3.本项目其他特定资格条件；</w:t>
            </w:r>
          </w:p>
          <w:p w14:paraId="27A89BE7">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按照本部分序号1“其他特定资质条件”规定提交相关证明文件。</w:t>
            </w:r>
          </w:p>
          <w:p w14:paraId="4451222F">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联合体投标。</w:t>
            </w:r>
          </w:p>
          <w:p w14:paraId="4B642DAF">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若本项目允许联合体参加投标，须提供联合体各方签订的《联合投标协议书》。</w:t>
            </w:r>
          </w:p>
          <w:p w14:paraId="54EF9BB1">
            <w:pPr>
              <w:spacing w:line="32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说明：以上内容涉及的格式资料详见第八部分。本项目将根据投标人提供的上述文件进行资格审查，具体检查的内容标准详见本招标文件“第五部分 资格审查内容及标准”。</w:t>
            </w:r>
          </w:p>
        </w:tc>
      </w:tr>
      <w:tr w14:paraId="4497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82ACAE6">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799" w:type="dxa"/>
            <w:vAlign w:val="center"/>
          </w:tcPr>
          <w:p w14:paraId="570EEEE6">
            <w:pPr>
              <w:snapToGrid w:val="0"/>
              <w:spacing w:line="390" w:lineRule="exact"/>
              <w:ind w:firstLine="105" w:firstLineChars="50"/>
              <w:jc w:val="center"/>
              <w:rPr>
                <w:rFonts w:asciiTheme="minorEastAsia" w:hAnsiTheme="minorEastAsia" w:eastAsiaTheme="minorEastAsia"/>
                <w:b/>
                <w:szCs w:val="21"/>
              </w:rPr>
            </w:pPr>
            <w:r>
              <w:rPr>
                <w:rFonts w:hint="eastAsia" w:asciiTheme="minorEastAsia" w:hAnsiTheme="minorEastAsia" w:eastAsiaTheme="minorEastAsia"/>
                <w:b/>
                <w:szCs w:val="21"/>
              </w:rPr>
              <w:t>投标文件</w:t>
            </w:r>
          </w:p>
          <w:p w14:paraId="6CEA2858">
            <w:pPr>
              <w:snapToGrid w:val="0"/>
              <w:spacing w:line="390" w:lineRule="exact"/>
              <w:rPr>
                <w:rFonts w:asciiTheme="minorEastAsia" w:hAnsiTheme="minorEastAsia" w:eastAsiaTheme="minorEastAsia"/>
                <w:b/>
                <w:szCs w:val="21"/>
              </w:rPr>
            </w:pPr>
            <w:r>
              <w:rPr>
                <w:rFonts w:hint="eastAsia" w:asciiTheme="minorEastAsia" w:hAnsiTheme="minorEastAsia" w:eastAsiaTheme="minorEastAsia"/>
                <w:b/>
                <w:szCs w:val="21"/>
              </w:rPr>
              <w:t>（商务技术文件）</w:t>
            </w:r>
          </w:p>
        </w:tc>
        <w:tc>
          <w:tcPr>
            <w:tcW w:w="6660" w:type="dxa"/>
            <w:shd w:val="clear" w:color="auto" w:fill="auto"/>
            <w:vAlign w:val="center"/>
          </w:tcPr>
          <w:p w14:paraId="255AF14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1.投标人代表的证明</w:t>
            </w:r>
          </w:p>
          <w:p w14:paraId="1839EBD2">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（1）法定代表人参加投标的，提供“法定代表人身份证明书”；</w:t>
            </w:r>
          </w:p>
          <w:p w14:paraId="7D7EBB5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（2）委托代理人参加投标的，提供“法定代表人授权委托书”；</w:t>
            </w:r>
          </w:p>
          <w:p w14:paraId="6EC261F3">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（3）自然人参加投标的，提供个人身份证明扫描件；</w:t>
            </w:r>
          </w:p>
          <w:p w14:paraId="48D53D2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2.投标函</w:t>
            </w:r>
          </w:p>
          <w:p w14:paraId="1605C86C">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3.对商务要求的响应内容；</w:t>
            </w:r>
          </w:p>
          <w:p w14:paraId="00BD7FA6">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4.对服务要求的响应内容；</w:t>
            </w:r>
          </w:p>
          <w:p w14:paraId="412089DF">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（1）服务方案响应情况：包括实施时间进度表、实施交付使用标准、保障措施等。</w:t>
            </w:r>
          </w:p>
          <w:p w14:paraId="0C00E56B">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（2）售后服务响应情况：包括售后服务网点、人员、设施等情况，培训、维修承诺等。</w:t>
            </w:r>
          </w:p>
          <w:p w14:paraId="560A1226">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5.对技术要求的响应内容；</w:t>
            </w:r>
          </w:p>
          <w:p w14:paraId="54632C1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《投报货物技术偏离表》</w:t>
            </w:r>
          </w:p>
          <w:p w14:paraId="1A8D98C3">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6.政府采购政策要求内容；</w:t>
            </w:r>
          </w:p>
          <w:p w14:paraId="05913F53">
            <w:pPr>
              <w:rPr>
                <w:rFonts w:asciiTheme="minorEastAsia" w:hAnsiTheme="minorEastAsia" w:eastAsiaTheme="minorEastAsia"/>
              </w:rPr>
            </w:pPr>
            <w:r>
              <w:rPr>
                <w:rFonts w:hint="eastAsia" w:asciiTheme="minorEastAsia" w:hAnsiTheme="minorEastAsia" w:eastAsiaTheme="minorEastAsia"/>
              </w:rPr>
              <w:t>（1）政府强制采购（节能、环保）产品明细表</w:t>
            </w:r>
          </w:p>
          <w:p w14:paraId="74A9400B">
            <w:pPr>
              <w:pStyle w:val="47"/>
            </w:pPr>
            <w:r>
              <w:rPr>
                <w:rFonts w:hint="eastAsia" w:asciiTheme="minorEastAsia" w:hAnsiTheme="minorEastAsia" w:eastAsiaTheme="minorEastAsia"/>
                <w:sz w:val="21"/>
              </w:rPr>
              <w:t>（如台式计算机、平板电脑、电视机、触控屏、一体机、空调、LED显示屏、办公家具等属于政府采购强制节能产品）</w:t>
            </w:r>
          </w:p>
          <w:p w14:paraId="5241C611">
            <w:pPr>
              <w:rPr>
                <w:rFonts w:asciiTheme="minorEastAsia" w:hAnsiTheme="minorEastAsia" w:eastAsiaTheme="minorEastAsia"/>
              </w:rPr>
            </w:pPr>
            <w:r>
              <w:rPr>
                <w:rFonts w:hint="eastAsia" w:asciiTheme="minorEastAsia" w:hAnsiTheme="minorEastAsia" w:eastAsiaTheme="minorEastAsia"/>
              </w:rPr>
              <w:t>（2）正版软件承诺</w:t>
            </w:r>
          </w:p>
          <w:p w14:paraId="1F7E767E">
            <w:pPr>
              <w:rPr>
                <w:rFonts w:asciiTheme="minorEastAsia" w:hAnsiTheme="minorEastAsia" w:eastAsiaTheme="minorEastAsia"/>
              </w:rPr>
            </w:pPr>
            <w:r>
              <w:rPr>
                <w:rFonts w:hint="eastAsia" w:asciiTheme="minorEastAsia" w:hAnsiTheme="minorEastAsia" w:eastAsiaTheme="minorEastAsia"/>
              </w:rPr>
              <w:t>（3）信息安全产品说明</w:t>
            </w:r>
          </w:p>
          <w:p w14:paraId="34B21DC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注：本项目落实政府采购政策的相关要求详见“第六部分 评标标准和评标方法 二、落实政府采购政策性要求的评审内容及标准”。</w:t>
            </w:r>
          </w:p>
          <w:p w14:paraId="2050BC7F">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7.招标文件要求或投标人认为需要提供的其他商务技术材料/文件；</w:t>
            </w:r>
          </w:p>
          <w:p w14:paraId="0E2AC677">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8.开标一览表报价明细表</w:t>
            </w:r>
          </w:p>
          <w:p w14:paraId="1A54850C">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说明：以上内容涉及的格式资料详见第八部分。以上涉及相关要求的内容见本文件第四部分及采购需求明细表相对应内容。本项目将根据投标人提供的上述文件进行符合性审查，具体检查的内容标准详见本招标文件“第六部分 评标标准和评标方法”。</w:t>
            </w:r>
          </w:p>
        </w:tc>
      </w:tr>
      <w:tr w14:paraId="54AD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9AC7672">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799" w:type="dxa"/>
            <w:vAlign w:val="center"/>
          </w:tcPr>
          <w:p w14:paraId="4A85B3DD">
            <w:pPr>
              <w:snapToGrid w:val="0"/>
              <w:spacing w:line="390" w:lineRule="exact"/>
              <w:ind w:firstLine="105" w:firstLineChars="50"/>
              <w:rPr>
                <w:rFonts w:asciiTheme="minorEastAsia" w:hAnsiTheme="minorEastAsia" w:eastAsiaTheme="minorEastAsia"/>
                <w:b/>
                <w:szCs w:val="21"/>
              </w:rPr>
            </w:pPr>
            <w:r>
              <w:rPr>
                <w:rFonts w:hint="eastAsia" w:asciiTheme="minorEastAsia" w:hAnsiTheme="minorEastAsia" w:eastAsiaTheme="minorEastAsia"/>
                <w:b/>
                <w:szCs w:val="21"/>
              </w:rPr>
              <w:t>投标保证金</w:t>
            </w:r>
          </w:p>
        </w:tc>
        <w:tc>
          <w:tcPr>
            <w:tcW w:w="6660" w:type="dxa"/>
            <w:shd w:val="clear" w:color="auto" w:fill="auto"/>
            <w:vAlign w:val="center"/>
          </w:tcPr>
          <w:p w14:paraId="0BFCCD8F">
            <w:pPr>
              <w:pStyle w:val="23"/>
              <w:snapToGrid w:val="0"/>
              <w:spacing w:line="390" w:lineRule="exact"/>
              <w:rPr>
                <w:rFonts w:asciiTheme="minorEastAsia" w:hAnsiTheme="minorEastAsia" w:eastAsiaTheme="minorEastAsia"/>
              </w:rPr>
            </w:pPr>
            <w:r>
              <w:rPr>
                <w:rFonts w:hint="eastAsia" w:asciiTheme="minorEastAsia" w:hAnsiTheme="minorEastAsia" w:eastAsiaTheme="minorEastAsia"/>
              </w:rPr>
              <w:t>本项目不要求提交投标保证金。</w:t>
            </w:r>
          </w:p>
          <w:p w14:paraId="07EA9E5B">
            <w:pPr>
              <w:pStyle w:val="23"/>
              <w:snapToGrid w:val="0"/>
              <w:spacing w:line="390" w:lineRule="exact"/>
              <w:rPr>
                <w:rFonts w:ascii="华文中宋" w:hAnsi="华文中宋" w:eastAsia="华文中宋"/>
              </w:rPr>
            </w:pPr>
            <w:r>
              <w:rPr>
                <w:rFonts w:hint="eastAsia" w:ascii="华文中宋" w:hAnsi="华文中宋" w:eastAsia="华文中宋"/>
              </w:rPr>
              <w:t>履约保证金：本项目不收取。</w:t>
            </w:r>
          </w:p>
          <w:p w14:paraId="2557E8FC">
            <w:pPr>
              <w:pStyle w:val="23"/>
              <w:snapToGrid w:val="0"/>
              <w:spacing w:line="390" w:lineRule="exact"/>
              <w:rPr>
                <w:rFonts w:asciiTheme="minorEastAsia" w:hAnsiTheme="minorEastAsia" w:eastAsiaTheme="minorEastAsia"/>
                <w:spacing w:val="10"/>
                <w:kern w:val="0"/>
              </w:rPr>
            </w:pPr>
            <w:r>
              <w:rPr>
                <w:rFonts w:hint="eastAsia" w:asciiTheme="minorEastAsia" w:hAnsiTheme="minorEastAsia" w:eastAsiaTheme="minorEastAsia"/>
              </w:rPr>
              <w:t xml:space="preserve">( </w:t>
            </w:r>
            <w:r>
              <w:rPr>
                <w:rFonts w:hint="eastAsia" w:asciiTheme="minorEastAsia" w:hAnsiTheme="minorEastAsia" w:eastAsiaTheme="minorEastAsia"/>
                <w:b/>
              </w:rPr>
              <w:t>保证金的提交、退还规定，请详细阅读投标人须知第9.2条</w:t>
            </w:r>
            <w:r>
              <w:rPr>
                <w:rFonts w:hint="eastAsia" w:asciiTheme="minorEastAsia" w:hAnsiTheme="minorEastAsia" w:eastAsiaTheme="minorEastAsia"/>
              </w:rPr>
              <w:t>)</w:t>
            </w:r>
          </w:p>
        </w:tc>
      </w:tr>
      <w:tr w14:paraId="49B9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6DC240B">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5</w:t>
            </w:r>
          </w:p>
        </w:tc>
        <w:tc>
          <w:tcPr>
            <w:tcW w:w="1799" w:type="dxa"/>
            <w:vAlign w:val="center"/>
          </w:tcPr>
          <w:p w14:paraId="2876DCEB">
            <w:pPr>
              <w:snapToGrid w:val="0"/>
              <w:spacing w:line="390" w:lineRule="exact"/>
              <w:rPr>
                <w:rFonts w:cs="宋体" w:asciiTheme="minorEastAsia" w:hAnsiTheme="minorEastAsia" w:eastAsiaTheme="minorEastAsia"/>
                <w:b/>
                <w:bCs/>
                <w:szCs w:val="21"/>
              </w:rPr>
            </w:pPr>
            <w:r>
              <w:rPr>
                <w:rFonts w:hint="eastAsia" w:asciiTheme="minorEastAsia" w:hAnsiTheme="minorEastAsia" w:eastAsiaTheme="minorEastAsia"/>
                <w:b/>
                <w:szCs w:val="21"/>
              </w:rPr>
              <w:t>投标文件有效期</w:t>
            </w:r>
          </w:p>
        </w:tc>
        <w:tc>
          <w:tcPr>
            <w:tcW w:w="6660" w:type="dxa"/>
            <w:shd w:val="clear" w:color="auto" w:fill="auto"/>
            <w:vAlign w:val="center"/>
          </w:tcPr>
          <w:p w14:paraId="79A48014">
            <w:pPr>
              <w:spacing w:line="390" w:lineRule="exact"/>
              <w:rPr>
                <w:rFonts w:asciiTheme="minorEastAsia" w:hAnsiTheme="minorEastAsia" w:eastAsiaTheme="minorEastAsia"/>
                <w:szCs w:val="21"/>
              </w:rPr>
            </w:pPr>
            <w:r>
              <w:rPr>
                <w:rFonts w:hint="eastAsia" w:asciiTheme="minorEastAsia" w:hAnsiTheme="minorEastAsia" w:eastAsiaTheme="minorEastAsia"/>
                <w:szCs w:val="21"/>
              </w:rPr>
              <w:t>90个日历天（自递交投标文件之日起计算）</w:t>
            </w:r>
          </w:p>
        </w:tc>
      </w:tr>
      <w:tr w14:paraId="50F6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AEEA2FD">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6</w:t>
            </w:r>
          </w:p>
        </w:tc>
        <w:tc>
          <w:tcPr>
            <w:tcW w:w="1799" w:type="dxa"/>
            <w:vAlign w:val="center"/>
          </w:tcPr>
          <w:p w14:paraId="27657597">
            <w:pPr>
              <w:pStyle w:val="65"/>
              <w:keepNext w:val="0"/>
              <w:keepLines w:val="0"/>
              <w:numPr>
                <w:ilvl w:val="0"/>
                <w:numId w:val="0"/>
              </w:numPr>
              <w:spacing w:before="0" w:after="0" w:line="360" w:lineRule="exact"/>
              <w:jc w:val="both"/>
              <w:rPr>
                <w:rFonts w:asciiTheme="minorEastAsia" w:hAnsiTheme="minorEastAsia" w:eastAsiaTheme="minorEastAsia"/>
                <w:bCs w:val="0"/>
                <w:szCs w:val="21"/>
              </w:rPr>
            </w:pPr>
            <w:r>
              <w:rPr>
                <w:rFonts w:hint="eastAsia" w:asciiTheme="minorEastAsia" w:hAnsiTheme="minorEastAsia" w:eastAsiaTheme="minorEastAsia"/>
                <w:bCs w:val="0"/>
                <w:szCs w:val="21"/>
              </w:rPr>
              <w:t>本项目预算金额</w:t>
            </w:r>
          </w:p>
        </w:tc>
        <w:tc>
          <w:tcPr>
            <w:tcW w:w="6660" w:type="dxa"/>
            <w:shd w:val="clear" w:color="auto" w:fill="auto"/>
            <w:vAlign w:val="center"/>
          </w:tcPr>
          <w:p w14:paraId="11588A6F">
            <w:pPr>
              <w:pStyle w:val="18"/>
              <w:rPr>
                <w:rFonts w:ascii="仿宋" w:hAnsi="仿宋" w:eastAsia="仿宋"/>
                <w:sz w:val="28"/>
                <w:szCs w:val="28"/>
              </w:rPr>
            </w:pPr>
            <w:r>
              <w:rPr>
                <w:rFonts w:hint="eastAsia" w:asciiTheme="minorEastAsia" w:hAnsiTheme="minorEastAsia" w:eastAsiaTheme="minorEastAsia"/>
                <w:szCs w:val="21"/>
                <w:lang w:val="en-US" w:eastAsia="zh-CN"/>
              </w:rPr>
              <w:t>8509999</w:t>
            </w:r>
            <w:r>
              <w:rPr>
                <w:rFonts w:hint="eastAsia" w:asciiTheme="minorEastAsia" w:hAnsiTheme="minorEastAsia" w:eastAsiaTheme="minorEastAsia"/>
                <w:szCs w:val="21"/>
              </w:rPr>
              <w:t>元</w:t>
            </w:r>
          </w:p>
        </w:tc>
      </w:tr>
      <w:tr w14:paraId="5E95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B491C4D">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7</w:t>
            </w:r>
          </w:p>
        </w:tc>
        <w:tc>
          <w:tcPr>
            <w:tcW w:w="1799" w:type="dxa"/>
            <w:vAlign w:val="center"/>
          </w:tcPr>
          <w:p w14:paraId="3DA71BB5">
            <w:pPr>
              <w:pStyle w:val="65"/>
              <w:keepNext w:val="0"/>
              <w:keepLines w:val="0"/>
              <w:numPr>
                <w:ilvl w:val="0"/>
                <w:numId w:val="0"/>
              </w:numPr>
              <w:spacing w:before="0" w:after="0" w:line="360" w:lineRule="exact"/>
              <w:ind w:firstLine="315" w:firstLineChars="150"/>
              <w:jc w:val="both"/>
              <w:rPr>
                <w:rFonts w:asciiTheme="minorEastAsia" w:hAnsiTheme="minorEastAsia" w:eastAsiaTheme="minorEastAsia"/>
                <w:szCs w:val="21"/>
              </w:rPr>
            </w:pPr>
            <w:r>
              <w:rPr>
                <w:rFonts w:hint="eastAsia" w:asciiTheme="minorEastAsia" w:hAnsiTheme="minorEastAsia" w:eastAsiaTheme="minorEastAsia"/>
                <w:szCs w:val="21"/>
              </w:rPr>
              <w:t>现场勘查</w:t>
            </w:r>
          </w:p>
          <w:p w14:paraId="04596287">
            <w:pPr>
              <w:pStyle w:val="65"/>
              <w:keepNext w:val="0"/>
              <w:keepLines w:val="0"/>
              <w:numPr>
                <w:ilvl w:val="0"/>
                <w:numId w:val="0"/>
              </w:numPr>
              <w:spacing w:before="0" w:after="0" w:line="360" w:lineRule="exact"/>
              <w:jc w:val="both"/>
              <w:rPr>
                <w:rFonts w:asciiTheme="minorEastAsia" w:hAnsiTheme="minorEastAsia" w:eastAsiaTheme="minorEastAsia"/>
                <w:bCs w:val="0"/>
                <w:szCs w:val="21"/>
              </w:rPr>
            </w:pPr>
            <w:r>
              <w:rPr>
                <w:rFonts w:hint="eastAsia" w:asciiTheme="minorEastAsia" w:hAnsiTheme="minorEastAsia" w:eastAsiaTheme="minorEastAsia"/>
                <w:szCs w:val="21"/>
              </w:rPr>
              <w:t>（或标前答疑会）</w:t>
            </w:r>
          </w:p>
        </w:tc>
        <w:tc>
          <w:tcPr>
            <w:tcW w:w="6660" w:type="dxa"/>
            <w:shd w:val="clear" w:color="auto" w:fill="auto"/>
            <w:vAlign w:val="center"/>
          </w:tcPr>
          <w:p w14:paraId="7D520388">
            <w:pPr>
              <w:spacing w:line="360" w:lineRule="exact"/>
              <w:ind w:left="315" w:hanging="315" w:hangingChars="150"/>
              <w:rPr>
                <w:rFonts w:cs="华文中宋" w:asciiTheme="minorEastAsia" w:hAnsiTheme="minorEastAsia" w:eastAsiaTheme="minorEastAsia"/>
                <w:b/>
                <w:szCs w:val="21"/>
              </w:rPr>
            </w:pPr>
            <w:r>
              <w:rPr>
                <w:rFonts w:hint="eastAsia" w:cs="华文中宋" w:asciiTheme="minorEastAsia" w:hAnsiTheme="minorEastAsia" w:eastAsiaTheme="minorEastAsia"/>
                <w:szCs w:val="21"/>
              </w:rPr>
              <w:t>本项目不组织。</w:t>
            </w:r>
          </w:p>
        </w:tc>
      </w:tr>
      <w:tr w14:paraId="086A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78937CC">
            <w:pPr>
              <w:snapToGrid w:val="0"/>
              <w:spacing w:line="39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8</w:t>
            </w:r>
          </w:p>
        </w:tc>
        <w:tc>
          <w:tcPr>
            <w:tcW w:w="1799" w:type="dxa"/>
            <w:vAlign w:val="center"/>
          </w:tcPr>
          <w:p w14:paraId="41F0F748">
            <w:pPr>
              <w:pStyle w:val="65"/>
              <w:keepNext w:val="0"/>
              <w:keepLines w:val="0"/>
              <w:numPr>
                <w:ilvl w:val="0"/>
                <w:numId w:val="0"/>
              </w:numPr>
              <w:spacing w:before="0" w:after="0" w:line="360" w:lineRule="exact"/>
              <w:jc w:val="both"/>
              <w:rPr>
                <w:rFonts w:asciiTheme="minorEastAsia" w:hAnsiTheme="minorEastAsia" w:eastAsiaTheme="minorEastAsia"/>
                <w:szCs w:val="21"/>
              </w:rPr>
            </w:pPr>
            <w:r>
              <w:rPr>
                <w:rFonts w:hint="eastAsia" w:asciiTheme="minorEastAsia" w:hAnsiTheme="minorEastAsia" w:eastAsiaTheme="minorEastAsia"/>
                <w:szCs w:val="21"/>
              </w:rPr>
              <w:t>接收质疑函的方式（如有的话）</w:t>
            </w:r>
          </w:p>
        </w:tc>
        <w:tc>
          <w:tcPr>
            <w:tcW w:w="6660" w:type="dxa"/>
            <w:shd w:val="clear" w:color="auto" w:fill="auto"/>
            <w:vAlign w:val="center"/>
          </w:tcPr>
          <w:p w14:paraId="2BA19FDE">
            <w:pPr>
              <w:spacing w:line="320" w:lineRule="exact"/>
              <w:rPr>
                <w:rFonts w:asciiTheme="minorEastAsia" w:hAnsiTheme="minorEastAsia" w:eastAsiaTheme="minorEastAsia"/>
                <w:szCs w:val="21"/>
              </w:rPr>
            </w:pPr>
            <w:r>
              <w:rPr>
                <w:rFonts w:hint="eastAsia" w:cs="华文中宋" w:asciiTheme="minorEastAsia" w:hAnsiTheme="minorEastAsia" w:eastAsiaTheme="minorEastAsia"/>
                <w:szCs w:val="21"/>
              </w:rPr>
              <w:t>通过山西省政府采购平台进入“项目质疑管理”栏目在线提起质疑。</w:t>
            </w:r>
          </w:p>
        </w:tc>
      </w:tr>
    </w:tbl>
    <w:p w14:paraId="581EAE2D">
      <w:pPr>
        <w:snapToGrid w:val="0"/>
        <w:rPr>
          <w:rFonts w:ascii="华文中宋" w:hAnsi="华文中宋" w:eastAsia="华文中宋"/>
          <w:szCs w:val="21"/>
        </w:rPr>
      </w:pPr>
      <w:r>
        <w:rPr>
          <w:rFonts w:hint="eastAsia" w:ascii="华文中宋" w:hAnsi="华文中宋" w:eastAsia="华文中宋"/>
          <w:szCs w:val="21"/>
        </w:rPr>
        <w:t>注：本表内容与投标人须知内容不一致的，以本表内容为准。</w:t>
      </w:r>
    </w:p>
    <w:p w14:paraId="3505F9CE">
      <w:r>
        <w:br w:type="page"/>
      </w:r>
    </w:p>
    <w:p w14:paraId="443154F5">
      <w:pPr>
        <w:pStyle w:val="62"/>
        <w:numPr>
          <w:ilvl w:val="0"/>
          <w:numId w:val="0"/>
        </w:numPr>
        <w:snapToGrid w:val="0"/>
        <w:spacing w:before="0" w:after="0"/>
        <w:rPr>
          <w:rFonts w:ascii="华文中宋" w:hAnsi="华文中宋" w:eastAsia="华文中宋"/>
          <w:spacing w:val="20"/>
          <w:szCs w:val="28"/>
        </w:rPr>
      </w:pPr>
      <w:bookmarkStart w:id="34" w:name="_Toc352761929"/>
      <w:bookmarkStart w:id="35" w:name="_Toc26881690"/>
      <w:bookmarkStart w:id="36" w:name="_Toc424378684"/>
      <w:r>
        <w:rPr>
          <w:rFonts w:hint="eastAsia" w:ascii="华文中宋" w:hAnsi="华文中宋" w:eastAsia="华文中宋"/>
          <w:spacing w:val="20"/>
          <w:szCs w:val="28"/>
        </w:rPr>
        <w:t>第三部分  投标人须知</w:t>
      </w:r>
      <w:bookmarkEnd w:id="34"/>
      <w:bookmarkEnd w:id="35"/>
      <w:bookmarkEnd w:id="36"/>
    </w:p>
    <w:p w14:paraId="0B1C6B1F">
      <w:pPr>
        <w:pStyle w:val="3"/>
        <w:numPr>
          <w:ilvl w:val="0"/>
          <w:numId w:val="4"/>
        </w:numPr>
        <w:spacing w:beforeLines="10" w:afterLines="10" w:line="480" w:lineRule="exact"/>
        <w:jc w:val="both"/>
        <w:rPr>
          <w:rFonts w:ascii="华文中宋" w:hAnsi="华文中宋" w:eastAsia="华文中宋"/>
          <w:spacing w:val="10"/>
          <w:sz w:val="24"/>
          <w:szCs w:val="24"/>
        </w:rPr>
      </w:pPr>
      <w:bookmarkStart w:id="37" w:name="_Toc26881691"/>
      <w:bookmarkStart w:id="38" w:name="_Toc424378685"/>
      <w:bookmarkStart w:id="39" w:name="_Toc352761930"/>
      <w:r>
        <w:rPr>
          <w:rFonts w:hint="eastAsia" w:ascii="华文中宋" w:hAnsi="华文中宋" w:eastAsia="华文中宋"/>
          <w:spacing w:val="10"/>
          <w:sz w:val="24"/>
          <w:szCs w:val="24"/>
        </w:rPr>
        <w:t>总则</w:t>
      </w:r>
      <w:bookmarkEnd w:id="37"/>
      <w:bookmarkEnd w:id="38"/>
      <w:bookmarkEnd w:id="39"/>
    </w:p>
    <w:p w14:paraId="346CE93A">
      <w:pPr>
        <w:pStyle w:val="66"/>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1. 适用范围</w:t>
      </w:r>
    </w:p>
    <w:p w14:paraId="3BED6134">
      <w:pPr>
        <w:pStyle w:val="66"/>
        <w:snapToGrid w:val="0"/>
        <w:spacing w:line="480" w:lineRule="exact"/>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74779E7C">
      <w:pPr>
        <w:pStyle w:val="66"/>
        <w:tabs>
          <w:tab w:val="left" w:pos="0"/>
        </w:tabs>
        <w:snapToGrid w:val="0"/>
        <w:spacing w:line="480" w:lineRule="exact"/>
        <w:ind w:left="472" w:leftChars="225"/>
        <w:textAlignment w:val="auto"/>
        <w:rPr>
          <w:rFonts w:ascii="华文中宋" w:hAnsi="华文中宋" w:eastAsia="华文中宋"/>
          <w:b/>
          <w:spacing w:val="10"/>
        </w:rPr>
      </w:pPr>
      <w:r>
        <w:rPr>
          <w:rFonts w:hint="eastAsia" w:ascii="华文中宋" w:hAnsi="华文中宋" w:eastAsia="华文中宋"/>
          <w:b/>
          <w:spacing w:val="10"/>
        </w:rPr>
        <w:t>2. 定义</w:t>
      </w:r>
    </w:p>
    <w:p w14:paraId="3BB51584">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2.1 “采购人”指本次招标活动的采购单位。</w:t>
      </w:r>
    </w:p>
    <w:p w14:paraId="016A6F5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2.2 “集中采购机构”指组织本次招标活动的执行机构，即“</w:t>
      </w:r>
      <w:r>
        <w:rPr>
          <w:rFonts w:hint="eastAsia" w:ascii="华文中宋" w:hAnsi="华文中宋" w:eastAsia="华文中宋" w:cs="仿宋"/>
          <w:lang w:eastAsia="zh-CN"/>
        </w:rPr>
        <w:t>长治市上党区政府采购中心</w:t>
      </w:r>
      <w:r>
        <w:rPr>
          <w:rFonts w:hint="eastAsia" w:ascii="华文中宋" w:hAnsi="华文中宋" w:eastAsia="华文中宋"/>
        </w:rPr>
        <w:t>”。</w:t>
      </w:r>
    </w:p>
    <w:p w14:paraId="4DCE364C">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 “投标人”指符合本招标文件规定并向集中采购机构提交投标文件的供应商。</w:t>
      </w:r>
    </w:p>
    <w:p w14:paraId="39A4B84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2.4 “货物”指供应商按招标文件的规定，须向采购人提供的各种形态和种类的物品及其他有关技术资料和材料。</w:t>
      </w:r>
    </w:p>
    <w:p w14:paraId="1B072BA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2.5 “服务”指招标文件所表述的投标人须向采购人提供的服务和应当履行的承诺和义务。</w:t>
      </w:r>
    </w:p>
    <w:p w14:paraId="44707625">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rPr>
        <w:t xml:space="preserve">2.6 </w:t>
      </w:r>
      <w:r>
        <w:rPr>
          <w:rFonts w:hint="eastAsia" w:ascii="华文中宋" w:hAnsi="华文中宋" w:eastAsia="华文中宋" w:cs="华文中宋"/>
        </w:rPr>
        <w:t>“电子签章”指可通过山西政府采购平台正确读取签章信息的电子签章，电子签章包含供应商电子公章、法定代表人电子签章、供应商的授权代表电子签章、自然人电子签章。</w:t>
      </w:r>
    </w:p>
    <w:p w14:paraId="1AB81C3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cs="华文中宋"/>
        </w:rPr>
        <w:t>2.7</w:t>
      </w:r>
      <w:r>
        <w:rPr>
          <w:rFonts w:hint="eastAsia" w:ascii="华文中宋" w:hAnsi="华文中宋" w:eastAsia="华文中宋"/>
        </w:rPr>
        <w:t>本招标文件各部分规定的期间以时、日、月、年计算。期间开始的时和日，不计算在期间内。</w:t>
      </w:r>
    </w:p>
    <w:p w14:paraId="7E33BD9C">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w:t>
      </w:r>
      <w:r>
        <w:rPr>
          <w:rFonts w:hint="eastAsia" w:ascii="华文中宋" w:hAnsi="华文中宋" w:eastAsia="华文中宋" w:cs="华文中宋"/>
        </w:rPr>
        <w:t>8</w:t>
      </w:r>
      <w:r>
        <w:rPr>
          <w:rFonts w:hint="eastAsia" w:ascii="华文中宋" w:hAnsi="华文中宋" w:eastAsia="华文中宋"/>
        </w:rPr>
        <w:t>本须知中单独对货物所描述的要求，只针对涉及采购货物。</w:t>
      </w:r>
    </w:p>
    <w:p w14:paraId="50D7F376">
      <w:pPr>
        <w:pStyle w:val="66"/>
        <w:tabs>
          <w:tab w:val="left" w:pos="0"/>
        </w:tabs>
        <w:snapToGrid w:val="0"/>
        <w:spacing w:line="480" w:lineRule="exact"/>
        <w:ind w:left="472" w:leftChars="225"/>
        <w:textAlignment w:val="auto"/>
        <w:rPr>
          <w:rFonts w:ascii="华文中宋" w:hAnsi="华文中宋" w:eastAsia="华文中宋"/>
          <w:b/>
          <w:spacing w:val="10"/>
        </w:rPr>
      </w:pPr>
      <w:r>
        <w:rPr>
          <w:rFonts w:hint="eastAsia" w:ascii="华文中宋" w:hAnsi="华文中宋" w:eastAsia="华文中宋"/>
          <w:b/>
          <w:spacing w:val="10"/>
        </w:rPr>
        <w:t>3. 合格的投标人</w:t>
      </w:r>
    </w:p>
    <w:p w14:paraId="41D596F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3.1 具有本项目生产、制造、供应及/或实施能力，符合、承认并承诺履行本招标文件各项规定的国内供应商。</w:t>
      </w:r>
    </w:p>
    <w:p w14:paraId="4506AAE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3.2 投标人必须是已在中国境内依法登记注册，并持有符合法律法规规定的有效证件的供应商。</w:t>
      </w:r>
    </w:p>
    <w:p w14:paraId="11EF3DB4">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2的要求。</w:t>
      </w:r>
    </w:p>
    <w:p w14:paraId="79454BC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3.4 本次招标是否允许代理商参加投标，详见投标人须知前附表序号1的规定。</w:t>
      </w:r>
    </w:p>
    <w:p w14:paraId="6DCADEB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51F272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3.6 本次招标是否允许由两个以上供应商组成一个联合体以一个投标人身份共同参加投标，详见投标人须知前附表序号1的规定。</w:t>
      </w:r>
    </w:p>
    <w:p w14:paraId="3D17E1D9">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3.6.1 联合体各方均应当符合《政府采购法》第二十二条规定的条件，联合体各方均应按照本部分3.3条的要求提供相关材料。</w:t>
      </w:r>
    </w:p>
    <w:p w14:paraId="69A38297">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4575EE9">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3.6.3 联合体各方之间应当签订联合投标协议，明确约定联合体各方承担的工作和相应的责任，并将联合投标协议连同投标文件一并提交，联合投标协议格式见本招标文件第八部分。</w:t>
      </w:r>
    </w:p>
    <w:p w14:paraId="7CB2AAAB">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4. 投标费用</w:t>
      </w:r>
    </w:p>
    <w:p w14:paraId="4F1847C1">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投标人应当承担所有与准备和参加投标有关的费用，集中采购机构和采购人在任何情况下均无义务和责任承担这些费用。</w:t>
      </w:r>
    </w:p>
    <w:p w14:paraId="71C098E5">
      <w:pPr>
        <w:pStyle w:val="66"/>
        <w:snapToGrid w:val="0"/>
        <w:spacing w:line="480" w:lineRule="exact"/>
        <w:textAlignment w:val="auto"/>
        <w:rPr>
          <w:rFonts w:ascii="华文中宋" w:hAnsi="华文中宋" w:eastAsia="华文中宋"/>
          <w:b/>
          <w:spacing w:val="10"/>
        </w:rPr>
      </w:pPr>
      <w:r>
        <w:rPr>
          <w:rFonts w:hint="eastAsia" w:ascii="华文中宋" w:hAnsi="华文中宋" w:eastAsia="华文中宋"/>
          <w:b/>
          <w:spacing w:val="10"/>
        </w:rPr>
        <w:t xml:space="preserve">    5. 通知</w:t>
      </w:r>
      <w:r>
        <w:rPr>
          <w:rFonts w:hint="eastAsia" w:ascii="华文中宋" w:hAnsi="华文中宋" w:eastAsia="华文中宋" w:cs="华文中宋"/>
          <w:b/>
          <w:spacing w:val="10"/>
        </w:rPr>
        <w:t>的告知及获取</w:t>
      </w:r>
    </w:p>
    <w:p w14:paraId="58AE1D63">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5.1通知的告知</w:t>
      </w:r>
    </w:p>
    <w:p w14:paraId="0A91A844">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rPr>
        <w:t>对与本项目有关的通知，集中采购机构将以在本次招标公告刊登的媒体上发布公告的形式告知所有已</w:t>
      </w:r>
      <w:r>
        <w:rPr>
          <w:rFonts w:hint="eastAsia" w:ascii="华文中宋" w:hAnsi="华文中宋" w:eastAsia="华文中宋" w:cs="华文中宋"/>
        </w:rPr>
        <w:t>获取</w:t>
      </w:r>
      <w:r>
        <w:rPr>
          <w:rFonts w:hint="eastAsia" w:ascii="华文中宋" w:hAnsi="华文中宋" w:eastAsia="华文中宋"/>
        </w:rPr>
        <w:t>了招标文件的投标人</w:t>
      </w:r>
      <w:r>
        <w:rPr>
          <w:rFonts w:hint="eastAsia" w:ascii="华文中宋" w:hAnsi="华文中宋" w:eastAsia="华文中宋" w:cs="华文中宋"/>
        </w:rPr>
        <w:t>及潜在</w:t>
      </w:r>
      <w:r>
        <w:rPr>
          <w:rFonts w:hint="eastAsia" w:ascii="华文中宋" w:hAnsi="华文中宋" w:eastAsia="华文中宋"/>
        </w:rPr>
        <w:t>投标人</w:t>
      </w:r>
      <w:r>
        <w:rPr>
          <w:rFonts w:hint="eastAsia" w:ascii="华文中宋" w:hAnsi="华文中宋" w:eastAsia="华文中宋" w:cs="华文中宋"/>
        </w:rPr>
        <w:t>。</w:t>
      </w:r>
    </w:p>
    <w:p w14:paraId="02064450">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5.2通知的获取</w:t>
      </w:r>
    </w:p>
    <w:p w14:paraId="4BB37F2A">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rPr>
        <w:t>投标人</w:t>
      </w:r>
      <w:r>
        <w:rPr>
          <w:rFonts w:hint="eastAsia" w:ascii="华文中宋" w:hAnsi="华文中宋" w:eastAsia="华文中宋" w:cs="华文中宋"/>
        </w:rPr>
        <w:t>可在本次招标公告刊登的媒体上查看获取已发布的通知。</w:t>
      </w:r>
    </w:p>
    <w:p w14:paraId="14DEE0DC">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cs="华文中宋"/>
        </w:rPr>
        <w:t>因</w:t>
      </w:r>
      <w:r>
        <w:rPr>
          <w:rFonts w:hint="eastAsia" w:ascii="华文中宋" w:hAnsi="华文中宋" w:eastAsia="华文中宋"/>
        </w:rPr>
        <w:t>线路故障导致通知延迟</w:t>
      </w:r>
      <w:r>
        <w:rPr>
          <w:rFonts w:hint="eastAsia" w:ascii="华文中宋" w:hAnsi="华文中宋" w:eastAsia="华文中宋" w:cs="华文中宋"/>
        </w:rPr>
        <w:t>获取</w:t>
      </w:r>
      <w:r>
        <w:rPr>
          <w:rFonts w:hint="eastAsia" w:ascii="华文中宋" w:hAnsi="华文中宋" w:eastAsia="华文中宋"/>
        </w:rPr>
        <w:t>或无法</w:t>
      </w:r>
      <w:r>
        <w:rPr>
          <w:rFonts w:hint="eastAsia" w:ascii="华文中宋" w:hAnsi="华文中宋" w:eastAsia="华文中宋" w:cs="华文中宋"/>
        </w:rPr>
        <w:t>获取</w:t>
      </w:r>
      <w:r>
        <w:rPr>
          <w:rFonts w:hint="eastAsia" w:ascii="华文中宋" w:hAnsi="华文中宋" w:eastAsia="华文中宋"/>
        </w:rPr>
        <w:t>，集中采购机构不因此承担任何责任，有关的招标活动可以继续有效地进行。</w:t>
      </w:r>
    </w:p>
    <w:p w14:paraId="70C2FECC">
      <w:pPr>
        <w:pStyle w:val="3"/>
        <w:numPr>
          <w:ilvl w:val="0"/>
          <w:numId w:val="0"/>
        </w:numPr>
        <w:spacing w:beforeLines="10" w:afterLines="10" w:line="480" w:lineRule="exact"/>
        <w:ind w:left="539"/>
        <w:jc w:val="both"/>
        <w:rPr>
          <w:rFonts w:ascii="华文中宋" w:hAnsi="华文中宋" w:eastAsia="华文中宋"/>
          <w:spacing w:val="10"/>
          <w:sz w:val="24"/>
          <w:szCs w:val="24"/>
        </w:rPr>
      </w:pPr>
      <w:bookmarkStart w:id="40" w:name="_Toc424378686"/>
      <w:bookmarkStart w:id="41" w:name="_Toc24133"/>
      <w:bookmarkStart w:id="42" w:name="_Toc352761931"/>
      <w:bookmarkStart w:id="43" w:name="_Toc26881692"/>
      <w:r>
        <w:rPr>
          <w:rFonts w:hint="eastAsia" w:ascii="华文中宋" w:hAnsi="华文中宋" w:eastAsia="华文中宋"/>
          <w:spacing w:val="10"/>
          <w:sz w:val="24"/>
          <w:szCs w:val="24"/>
        </w:rPr>
        <w:t>二、招标文件</w:t>
      </w:r>
      <w:bookmarkEnd w:id="40"/>
      <w:bookmarkEnd w:id="41"/>
      <w:bookmarkEnd w:id="42"/>
      <w:bookmarkEnd w:id="43"/>
    </w:p>
    <w:p w14:paraId="12C22264">
      <w:pPr>
        <w:pStyle w:val="66"/>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6. 招标文件的内容</w:t>
      </w:r>
    </w:p>
    <w:p w14:paraId="1FC9880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6.1 招标文件由下列八部分内容组成：</w:t>
      </w:r>
    </w:p>
    <w:p w14:paraId="444A009E">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第一部分 招标公告；</w:t>
      </w:r>
    </w:p>
    <w:p w14:paraId="35C0761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515B581D">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1CA05EB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0C5B4B5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788311A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649A783E">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25E8A9E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21111570">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6.2 招标文件中落实政府采购政策的相关要求详见“第六部分 评标标准和评标方法 二、落实政府采购政策性要求的评审内容及标准”。</w:t>
      </w:r>
    </w:p>
    <w:p w14:paraId="09B00E0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6.3除非特殊要求，招标文件不单独提供招标项目使用地的自然环境、气候条件、公用设施情况，投标人被视为熟悉上述与履行合同有关的一切情况。</w:t>
      </w:r>
    </w:p>
    <w:p w14:paraId="595D0860">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6.4 招标文件的解释权归集中采购机构所有。当对一个问题有多种解释时以集中采购机构解释为准。</w:t>
      </w:r>
    </w:p>
    <w:p w14:paraId="3355279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6.5招标文件未作须知明示，而又有法律、法规规定的，集中采购机构将依据法律法规的规定进行解释。</w:t>
      </w:r>
    </w:p>
    <w:p w14:paraId="1CDD207A">
      <w:pPr>
        <w:pStyle w:val="66"/>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7. 招标文件的澄清和修改</w:t>
      </w:r>
    </w:p>
    <w:p w14:paraId="5A1B5EAA">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7.1 投标人对招标文件有疑问的，可向集中采购机构、采购人提出询问。</w:t>
      </w:r>
    </w:p>
    <w:p w14:paraId="50EA09CD">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7.2采购人或集中采购机构可主动地或在解答投标人提出的问题时对招标文件进行澄清与修改，澄清或者修改在原公告发布媒体上发布澄清公告。澄清或者修改的内容为招标文件的组成部分，对所有投标人均具有约束作用。投标人应主动上网查询。集中采购机构不承担投标人未及时关注相关信息引发的相关责任。</w:t>
      </w:r>
    </w:p>
    <w:p w14:paraId="512C2EA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7.3澄清或者修改的内容可能影响投标文件编制的，集中采购机构在投标截止时间至少15日前，以发布公告的形式通知所有获取招标文件的潜在投标人；不足15日的，顺延提交投标文件的截止时间。</w:t>
      </w:r>
    </w:p>
    <w:p w14:paraId="64E8358D">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7.4任何人或任何组织向投标人提供的任何书面或口头资料，未经集中采购机构在网上发布或书面通知，均作无效处理，不得作为招标文件的组成部分。集中采购机构对投标人由此而做出的推论、理解和结论概不负责。</w:t>
      </w:r>
    </w:p>
    <w:p w14:paraId="006F7B7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7.5对于没有提出疑问又参与了本项目投标的投标人将被视为完全认同本招标文件（含澄清或修改的内容）。</w:t>
      </w:r>
    </w:p>
    <w:p w14:paraId="25E8D3F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7.6集中采购机构将视情况确定是否进行现场勘查或召开标前答疑会，详细内容见第二部分投标人须知前附表序号7的要求。</w:t>
      </w:r>
    </w:p>
    <w:p w14:paraId="5AC38F44">
      <w:pPr>
        <w:pStyle w:val="3"/>
        <w:numPr>
          <w:ilvl w:val="0"/>
          <w:numId w:val="0"/>
        </w:numPr>
        <w:spacing w:beforeLines="10" w:afterLines="10" w:line="480" w:lineRule="exact"/>
        <w:ind w:left="539"/>
        <w:jc w:val="both"/>
        <w:rPr>
          <w:rFonts w:ascii="华文中宋" w:hAnsi="华文中宋" w:eastAsia="华文中宋"/>
          <w:spacing w:val="10"/>
          <w:sz w:val="24"/>
          <w:szCs w:val="24"/>
        </w:rPr>
      </w:pPr>
      <w:bookmarkStart w:id="44" w:name="_Toc352761932"/>
      <w:bookmarkStart w:id="45" w:name="_Toc26881693"/>
      <w:bookmarkStart w:id="46" w:name="_Toc424378687"/>
      <w:bookmarkStart w:id="47" w:name="_Toc12041"/>
      <w:r>
        <w:rPr>
          <w:rFonts w:hint="eastAsia" w:ascii="华文中宋" w:hAnsi="华文中宋" w:eastAsia="华文中宋"/>
          <w:spacing w:val="10"/>
          <w:sz w:val="24"/>
          <w:szCs w:val="24"/>
        </w:rPr>
        <w:t>三、投标文件</w:t>
      </w:r>
      <w:bookmarkEnd w:id="44"/>
      <w:bookmarkEnd w:id="45"/>
      <w:bookmarkEnd w:id="46"/>
      <w:bookmarkEnd w:id="47"/>
    </w:p>
    <w:p w14:paraId="3A2E65BB">
      <w:pPr>
        <w:pStyle w:val="66"/>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8. 投标文件的语言和计量单位</w:t>
      </w:r>
    </w:p>
    <w:p w14:paraId="0AE2E53E">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8.1 投标人提交的投标文件（包括技术文件和资料、图纸中的说明）以及投标人与集中采购机构就有关投标的所有来往函电均应使用中文简体字。外文资料必须提供中文译文，并保持与原文一致，否则，产生的不利后果由投标人承担。</w:t>
      </w:r>
    </w:p>
    <w:p w14:paraId="05D212AE">
      <w:pPr>
        <w:pStyle w:val="66"/>
        <w:tabs>
          <w:tab w:val="left" w:pos="7050"/>
        </w:tabs>
        <w:snapToGrid w:val="0"/>
        <w:spacing w:line="480" w:lineRule="exact"/>
        <w:ind w:firstLine="432" w:firstLineChars="206"/>
        <w:textAlignment w:val="auto"/>
        <w:rPr>
          <w:rFonts w:ascii="华文中宋" w:hAnsi="华文中宋" w:eastAsia="华文中宋"/>
          <w:spacing w:val="10"/>
        </w:rPr>
      </w:pPr>
      <w:r>
        <w:rPr>
          <w:rFonts w:hint="eastAsia" w:ascii="华文中宋" w:hAnsi="华文中宋" w:eastAsia="华文中宋"/>
        </w:rPr>
        <w:t>8.2 投标文件所使用的计量单位，必须使用国家法定计量单位。</w:t>
      </w:r>
    </w:p>
    <w:p w14:paraId="3D15AF0D">
      <w:pPr>
        <w:pStyle w:val="66"/>
        <w:snapToGrid w:val="0"/>
        <w:spacing w:line="480" w:lineRule="exact"/>
        <w:ind w:firstLine="460" w:firstLineChars="200"/>
        <w:textAlignment w:val="auto"/>
        <w:rPr>
          <w:rFonts w:ascii="华文中宋" w:hAnsi="华文中宋" w:eastAsia="华文中宋"/>
          <w:b/>
          <w:spacing w:val="10"/>
        </w:rPr>
      </w:pPr>
      <w:r>
        <w:rPr>
          <w:rFonts w:hint="eastAsia" w:ascii="华文中宋" w:hAnsi="华文中宋" w:eastAsia="华文中宋"/>
          <w:b/>
          <w:spacing w:val="10"/>
        </w:rPr>
        <w:t>9. 投标文件的组成及相关要求</w:t>
      </w:r>
    </w:p>
    <w:p w14:paraId="53BFF90D">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9.1 投标文件分为资格文件、商务技术文件。</w:t>
      </w:r>
    </w:p>
    <w:p w14:paraId="6414299F">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9.1.1 投标文件使用山西政采云电子投标客户端进行编制（</w:t>
      </w:r>
      <w:r>
        <w:rPr>
          <w:rFonts w:hint="eastAsia" w:ascii="华文中宋" w:hAnsi="华文中宋" w:eastAsia="华文中宋"/>
          <w:bCs/>
        </w:rPr>
        <w:t>山西省政府采购网&gt;办事指南&gt;下载专区”获取</w:t>
      </w:r>
      <w:r>
        <w:rPr>
          <w:rFonts w:hint="eastAsia" w:ascii="华文中宋" w:hAnsi="华文中宋" w:eastAsia="华文中宋" w:cs="华文中宋"/>
        </w:rPr>
        <w:t>）。</w:t>
      </w:r>
    </w:p>
    <w:p w14:paraId="1C13912B">
      <w:pPr>
        <w:pStyle w:val="66"/>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9.1.2 相关资质证明证书材料提供扫描件。</w:t>
      </w:r>
    </w:p>
    <w:p w14:paraId="0282DEA5">
      <w:pPr>
        <w:pStyle w:val="66"/>
        <w:snapToGrid w:val="0"/>
        <w:spacing w:line="360" w:lineRule="auto"/>
        <w:ind w:firstLine="432" w:firstLineChars="206"/>
        <w:textAlignment w:val="auto"/>
        <w:rPr>
          <w:rFonts w:ascii="华文中宋" w:hAnsi="华文中宋" w:eastAsia="华文中宋" w:cs="华文中宋"/>
        </w:rPr>
      </w:pPr>
      <w:r>
        <w:rPr>
          <w:rFonts w:hint="eastAsia" w:ascii="华文中宋" w:hAnsi="华文中宋" w:eastAsia="华文中宋"/>
        </w:rPr>
        <w:t>9.2 投标保证金</w:t>
      </w:r>
    </w:p>
    <w:p w14:paraId="57EAB64C">
      <w:pPr>
        <w:spacing w:line="360" w:lineRule="auto"/>
        <w:ind w:firstLine="420"/>
        <w:rPr>
          <w:rFonts w:ascii="华文中宋" w:hAnsi="华文中宋" w:eastAsia="华文中宋"/>
          <w:szCs w:val="21"/>
        </w:rPr>
      </w:pPr>
      <w:r>
        <w:rPr>
          <w:rFonts w:hint="eastAsia" w:ascii="华文中宋" w:hAnsi="华文中宋" w:eastAsia="华文中宋"/>
        </w:rPr>
        <w:t>9.2.1 本项目是否要求投标人提交保证金，及要求投标人应提交的投标保证金金额详见投标人须知前附表序号4的相关规定。</w:t>
      </w:r>
    </w:p>
    <w:p w14:paraId="137FF285">
      <w:pPr>
        <w:spacing w:line="360" w:lineRule="auto"/>
        <w:rPr>
          <w:rFonts w:ascii="华文中宋" w:hAnsi="华文中宋" w:eastAsia="华文中宋"/>
          <w:szCs w:val="21"/>
        </w:rPr>
      </w:pPr>
      <w:r>
        <w:rPr>
          <w:rFonts w:hint="eastAsia" w:ascii="华文中宋" w:hAnsi="华文中宋" w:eastAsia="华文中宋"/>
          <w:szCs w:val="21"/>
        </w:rPr>
        <w:t xml:space="preserve">    9.2.1.1投标保证金按下列提交方式提交：投标人须在投标文件</w:t>
      </w:r>
      <w:r>
        <w:rPr>
          <w:rFonts w:hint="eastAsia" w:ascii="华文中宋" w:hAnsi="华文中宋" w:eastAsia="华文中宋" w:cs="华文中宋"/>
          <w:szCs w:val="21"/>
        </w:rPr>
        <w:t>解密/</w:t>
      </w:r>
      <w:r>
        <w:rPr>
          <w:rFonts w:hint="eastAsia" w:ascii="华文中宋" w:hAnsi="华文中宋" w:eastAsia="华文中宋"/>
          <w:szCs w:val="21"/>
        </w:rPr>
        <w:t>递交之前将本项目投标保证金从自己的基本存款账户交纳到</w:t>
      </w:r>
      <w:r>
        <w:rPr>
          <w:rFonts w:hint="eastAsia" w:ascii="华文中宋" w:hAnsi="华文中宋" w:eastAsia="华文中宋"/>
          <w:szCs w:val="21"/>
          <w:lang w:eastAsia="zh-CN"/>
        </w:rPr>
        <w:t>长治市上党区政府采购中心</w:t>
      </w:r>
      <w:r>
        <w:rPr>
          <w:rFonts w:hint="eastAsia" w:ascii="华文中宋" w:hAnsi="华文中宋" w:eastAsia="华文中宋"/>
          <w:szCs w:val="21"/>
        </w:rPr>
        <w:t>专用存款账户上（账户详细信息见本文件的第二部分 投标人须知前附表 序号4投标保证金）。</w:t>
      </w:r>
    </w:p>
    <w:p w14:paraId="5D06E097">
      <w:pPr>
        <w:spacing w:line="360" w:lineRule="auto"/>
        <w:rPr>
          <w:rFonts w:ascii="华文中宋" w:hAnsi="华文中宋" w:eastAsia="华文中宋"/>
          <w:szCs w:val="21"/>
        </w:rPr>
      </w:pPr>
      <w:r>
        <w:rPr>
          <w:rFonts w:hint="eastAsia" w:ascii="华文中宋" w:hAnsi="华文中宋" w:eastAsia="华文中宋"/>
          <w:szCs w:val="21"/>
        </w:rPr>
        <w:t xml:space="preserve">    9.2.2 未按上述要求提交投标保证金或提交的投标保证金金额不足的，其投标无效。</w:t>
      </w:r>
    </w:p>
    <w:p w14:paraId="5EA51B5E">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9.2.3前次采购失败的，集中采购机构将退还投标人的投标保证金。</w:t>
      </w:r>
    </w:p>
    <w:p w14:paraId="1716BECF">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9.2.4集中采购机构投标保证金缴纳账号采用动态虚拟账号（分包项目每一个包别对应一个账号），项目采购失败后，投标保证金缴纳账号将会发生变化，请投标人参与后续采购时，注意勿将投标保证金错交至其他项目虚拟账号或前次公告账号。</w:t>
      </w:r>
    </w:p>
    <w:p w14:paraId="43E086E2">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9.2.5凡转账到其他项目虚拟账号或本项目前次公告账号的，投标保证金无效。</w:t>
      </w:r>
    </w:p>
    <w:p w14:paraId="40E3FF98">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9.2.6有下列情形之一的，投标保证金不予退还：</w:t>
      </w:r>
    </w:p>
    <w:p w14:paraId="43B7C416">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（1）投标人在投标截止时间后撤销投标文件的；</w:t>
      </w:r>
    </w:p>
    <w:p w14:paraId="47563431">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（2）投标人在投标文件中提供虚假材料的；</w:t>
      </w:r>
    </w:p>
    <w:p w14:paraId="1DC35848">
      <w:pPr>
        <w:pStyle w:val="66"/>
        <w:snapToGrid w:val="0"/>
        <w:spacing w:line="480" w:lineRule="exact"/>
        <w:ind w:firstLine="420" w:firstLineChars="200"/>
        <w:rPr>
          <w:rFonts w:ascii="华文中宋" w:hAnsi="华文中宋" w:eastAsia="华文中宋"/>
          <w:sz w:val="36"/>
          <w:szCs w:val="36"/>
        </w:rPr>
      </w:pPr>
      <w:r>
        <w:rPr>
          <w:rFonts w:hint="eastAsia" w:ascii="华文中宋" w:hAnsi="华文中宋" w:eastAsia="华文中宋"/>
        </w:rPr>
        <w:t>（3）除因不可抗力或招标文件认可的情形以外，中标人不与采购人签订合同的；</w:t>
      </w:r>
      <w:r>
        <w:rPr>
          <w:rFonts w:ascii="华文中宋" w:hAnsi="华文中宋" w:eastAsia="华文中宋"/>
          <w:sz w:val="36"/>
          <w:szCs w:val="36"/>
        </w:rPr>
        <w:t xml:space="preserve"> </w:t>
      </w:r>
    </w:p>
    <w:p w14:paraId="602C4BBB">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（4）投标人与采购人、其他投标人或者集中采购机构恶意串通的；</w:t>
      </w:r>
    </w:p>
    <w:p w14:paraId="61895270">
      <w:pPr>
        <w:pStyle w:val="66"/>
        <w:snapToGrid w:val="0"/>
        <w:spacing w:line="480" w:lineRule="exact"/>
        <w:ind w:firstLine="420" w:firstLineChars="200"/>
        <w:rPr>
          <w:rFonts w:ascii="华文中宋" w:hAnsi="华文中宋" w:eastAsia="华文中宋"/>
        </w:rPr>
      </w:pPr>
      <w:r>
        <w:rPr>
          <w:rFonts w:hint="eastAsia" w:ascii="华文中宋" w:hAnsi="华文中宋" w:eastAsia="华文中宋"/>
        </w:rPr>
        <w:t>（5）投标人在投标有效期内撤销投标文件的。</w:t>
      </w:r>
    </w:p>
    <w:p w14:paraId="7BDDC051">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9.3 投标报价</w:t>
      </w:r>
    </w:p>
    <w:p w14:paraId="63CF38F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9.3.1 所有投标报价均以人民币元为计算单位。只要投报了一个确定数额的总价，无论分项价格是否全部填报了相应的金额或免费字样，报价均被视为已经包含了但并不限于各项购买货物/服务及其运送、安装、调试、验收、保险、税金和相关服务等的费用。在其它情况下，由于分项报价填报不完整、不清楚或存在其它任何失误，所导致的任何不利后果均应当由投标人自行承担。</w:t>
      </w:r>
    </w:p>
    <w:p w14:paraId="1A92EE6D">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9.3.2 投标人投报多包的，应对每包分别报价并分别填报开标一览表报价明细表。投标人报出的总价为货物/服务全部完成交付的最终价格。</w:t>
      </w:r>
    </w:p>
    <w:p w14:paraId="14A8ED6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9.3.3投标人必须整包进行投标，不得拆包分项投标。</w:t>
      </w:r>
    </w:p>
    <w:p w14:paraId="67F5F0E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9.3.4 本次招标不接受可选择或可调整的投标和报价。</w:t>
      </w:r>
    </w:p>
    <w:p w14:paraId="05476D4D">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9.3.5 投标人应提供货物/服务的单价（包括</w:t>
      </w:r>
      <w:r>
        <w:rPr>
          <w:rFonts w:hint="eastAsia" w:ascii="华文中宋" w:hAnsi="华文中宋" w:eastAsia="华文中宋"/>
          <w:szCs w:val="21"/>
          <w:u w:val="single"/>
        </w:rPr>
        <w:t>货物报价、装箱、包装、包装物料、送货、安装调试费、保险费用及其他应有的费用</w:t>
      </w:r>
      <w:r>
        <w:rPr>
          <w:rFonts w:hint="eastAsia" w:ascii="华文中宋" w:hAnsi="华文中宋" w:eastAsia="华文中宋"/>
          <w:szCs w:val="21"/>
        </w:rPr>
        <w:t>）、总价及其他事项。</w:t>
      </w:r>
    </w:p>
    <w:p w14:paraId="3DE410DC">
      <w:pPr>
        <w:pStyle w:val="66"/>
        <w:snapToGrid w:val="0"/>
        <w:spacing w:line="480" w:lineRule="exact"/>
        <w:ind w:firstLine="420" w:firstLineChars="200"/>
        <w:textAlignment w:val="auto"/>
        <w:rPr>
          <w:rFonts w:ascii="华文中宋" w:hAnsi="华文中宋" w:eastAsia="华文中宋"/>
          <w:sz w:val="32"/>
          <w:szCs w:val="32"/>
        </w:rPr>
      </w:pPr>
      <w:r>
        <w:rPr>
          <w:rFonts w:hint="eastAsia" w:ascii="华文中宋" w:hAnsi="华文中宋" w:eastAsia="华文中宋"/>
        </w:rPr>
        <w:t>9.3.6 任何超出招标文件要求而额外赠送的货物、服务等其他形式的优惠，在评标时将不作为价格折算的必备条件。</w:t>
      </w:r>
    </w:p>
    <w:p w14:paraId="38BD59B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9.3.7项目实施过程中需要主要辅材的项目，投标人自行设计表格，填写主要辅材清单，注明品牌、型号、产地、单价、数量等内容。</w:t>
      </w:r>
    </w:p>
    <w:p w14:paraId="7F2941FA">
      <w:pPr>
        <w:pStyle w:val="66"/>
        <w:snapToGrid w:val="0"/>
        <w:spacing w:line="480" w:lineRule="exact"/>
        <w:ind w:firstLine="432" w:firstLineChars="206"/>
        <w:textAlignment w:val="auto"/>
        <w:rPr>
          <w:rFonts w:ascii="华文中宋" w:hAnsi="华文中宋" w:eastAsia="华文中宋"/>
          <w:b/>
        </w:rPr>
      </w:pPr>
      <w:r>
        <w:rPr>
          <w:rFonts w:hint="eastAsia" w:ascii="华文中宋" w:hAnsi="华文中宋" w:eastAsia="华文中宋"/>
          <w:b/>
        </w:rPr>
        <w:t>10. 投标内容填写说明</w:t>
      </w:r>
    </w:p>
    <w:p w14:paraId="2CAFCFF7">
      <w:pPr>
        <w:spacing w:line="480" w:lineRule="exact"/>
        <w:ind w:firstLine="432" w:firstLineChars="206"/>
        <w:rPr>
          <w:rFonts w:ascii="华文中宋" w:hAnsi="华文中宋" w:eastAsia="华文中宋"/>
          <w:b/>
          <w:szCs w:val="21"/>
        </w:rPr>
      </w:pPr>
      <w:r>
        <w:rPr>
          <w:rFonts w:hint="eastAsia" w:ascii="华文中宋" w:hAnsi="华文中宋" w:eastAsia="华文中宋"/>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45CDA9B6">
      <w:pPr>
        <w:spacing w:line="480" w:lineRule="exact"/>
        <w:ind w:firstLine="432" w:firstLineChars="206"/>
        <w:rPr>
          <w:rFonts w:ascii="华文中宋" w:hAnsi="华文中宋" w:eastAsia="华文中宋"/>
        </w:rPr>
      </w:pPr>
      <w:r>
        <w:rPr>
          <w:rFonts w:hint="eastAsia" w:ascii="华文中宋" w:hAnsi="华文中宋" w:eastAsia="华文中宋"/>
        </w:rPr>
        <w:t>10.2  投标文件有固定格式要求的须按第八部分提供的统一格式逐项填写；无相应内容可填的项填写“无”、“未测试”、“没有相应指标”、“/”等明确的回答。</w:t>
      </w:r>
    </w:p>
    <w:p w14:paraId="263FEEB0">
      <w:pPr>
        <w:spacing w:line="480" w:lineRule="exact"/>
        <w:ind w:firstLine="432" w:firstLineChars="206"/>
        <w:rPr>
          <w:rFonts w:ascii="华文中宋" w:hAnsi="华文中宋" w:eastAsia="华文中宋"/>
          <w:szCs w:val="21"/>
        </w:rPr>
      </w:pPr>
      <w:r>
        <w:rPr>
          <w:rFonts w:hint="eastAsia" w:ascii="华文中宋" w:hAnsi="华文中宋" w:eastAsia="华文中宋"/>
          <w:szCs w:val="21"/>
        </w:rPr>
        <w:t>10.3开标一览表报价明细表要求按格式统一填写</w:t>
      </w:r>
      <w:r>
        <w:rPr>
          <w:rFonts w:hint="eastAsia" w:ascii="华文中宋" w:hAnsi="华文中宋" w:eastAsia="华文中宋"/>
        </w:rPr>
        <w:t>，不得自行增减内容</w:t>
      </w:r>
      <w:r>
        <w:rPr>
          <w:rFonts w:hint="eastAsia" w:ascii="华文中宋" w:hAnsi="华文中宋" w:eastAsia="华文中宋"/>
          <w:szCs w:val="21"/>
        </w:rPr>
        <w:t>。</w:t>
      </w:r>
    </w:p>
    <w:p w14:paraId="69E05BD2">
      <w:pPr>
        <w:spacing w:line="480" w:lineRule="exact"/>
        <w:ind w:firstLine="432" w:firstLineChars="206"/>
        <w:rPr>
          <w:rFonts w:ascii="华文中宋" w:hAnsi="华文中宋" w:eastAsia="华文中宋"/>
          <w:szCs w:val="21"/>
        </w:rPr>
      </w:pPr>
      <w:r>
        <w:rPr>
          <w:rFonts w:hint="eastAsia" w:ascii="华文中宋" w:hAnsi="华文中宋" w:eastAsia="华文中宋"/>
          <w:szCs w:val="21"/>
        </w:rPr>
        <w:t>10.4投标人必须保证投标文件所提供的全部资料真实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58385B30">
      <w:pPr>
        <w:spacing w:line="480" w:lineRule="exact"/>
        <w:ind w:firstLine="432" w:firstLineChars="206"/>
        <w:rPr>
          <w:rFonts w:ascii="华文中宋" w:hAnsi="华文中宋" w:eastAsia="华文中宋"/>
          <w:szCs w:val="21"/>
        </w:rPr>
      </w:pPr>
      <w:r>
        <w:rPr>
          <w:rFonts w:hint="eastAsia" w:ascii="华文中宋" w:hAnsi="华文中宋" w:eastAsia="华文中宋"/>
        </w:rPr>
        <w:t>1</w:t>
      </w:r>
      <w:r>
        <w:rPr>
          <w:rFonts w:hint="eastAsia" w:ascii="华文中宋" w:hAnsi="华文中宋" w:eastAsia="华文中宋"/>
          <w:szCs w:val="21"/>
        </w:rPr>
        <w:t>0.5因投标文件字迹潦草、提交资料不清晰或表达不清楚所引起的不利后果由投标人承担。</w:t>
      </w:r>
    </w:p>
    <w:p w14:paraId="43140B55">
      <w:pPr>
        <w:spacing w:line="480" w:lineRule="exact"/>
        <w:ind w:firstLine="432" w:firstLineChars="206"/>
        <w:rPr>
          <w:rFonts w:ascii="华文中宋" w:hAnsi="华文中宋" w:eastAsia="华文中宋"/>
          <w:b/>
          <w:szCs w:val="21"/>
        </w:rPr>
      </w:pPr>
      <w:r>
        <w:rPr>
          <w:rFonts w:hint="eastAsia" w:ascii="华文中宋" w:hAnsi="华文中宋" w:eastAsia="华文中宋"/>
          <w:b/>
          <w:szCs w:val="21"/>
        </w:rPr>
        <w:t>11.投标文件的有效期限</w:t>
      </w:r>
    </w:p>
    <w:p w14:paraId="39F07075">
      <w:pPr>
        <w:pStyle w:val="66"/>
        <w:snapToGrid w:val="0"/>
        <w:spacing w:line="480" w:lineRule="exact"/>
        <w:ind w:firstLine="432" w:firstLineChars="206"/>
        <w:textAlignment w:val="auto"/>
        <w:rPr>
          <w:rFonts w:ascii="华文中宋" w:hAnsi="华文中宋" w:eastAsia="华文中宋"/>
        </w:rPr>
      </w:pPr>
      <w:r>
        <w:rPr>
          <w:rFonts w:hint="eastAsia" w:ascii="华文中宋" w:hAnsi="华文中宋" w:eastAsia="华文中宋"/>
        </w:rPr>
        <w:t>本项目投标文件的有效期见投标人须知前附表序号5的规定。</w:t>
      </w:r>
    </w:p>
    <w:p w14:paraId="545A7A19">
      <w:pPr>
        <w:spacing w:line="480" w:lineRule="exact"/>
        <w:ind w:firstLine="432" w:firstLineChars="206"/>
        <w:rPr>
          <w:rFonts w:ascii="华文中宋" w:hAnsi="华文中宋" w:eastAsia="华文中宋"/>
          <w:b/>
          <w:szCs w:val="21"/>
        </w:rPr>
      </w:pPr>
      <w:r>
        <w:rPr>
          <w:rFonts w:hint="eastAsia" w:ascii="华文中宋" w:hAnsi="华文中宋" w:eastAsia="华文中宋"/>
          <w:b/>
          <w:szCs w:val="21"/>
        </w:rPr>
        <w:t>12.投标文件的签署</w:t>
      </w:r>
    </w:p>
    <w:p w14:paraId="4E9CC29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12.1 组成投标文件的各种文件均应遵守本条规定。</w:t>
      </w:r>
    </w:p>
    <w:p w14:paraId="31E80BAF">
      <w:pPr>
        <w:pStyle w:val="66"/>
        <w:snapToGrid w:val="0"/>
        <w:spacing w:line="480" w:lineRule="exact"/>
        <w:ind w:firstLine="420" w:firstLineChars="200"/>
        <w:textAlignment w:val="auto"/>
      </w:pPr>
      <w:r>
        <w:rPr>
          <w:rFonts w:hint="eastAsia" w:ascii="华文中宋" w:hAnsi="华文中宋" w:eastAsia="华文中宋"/>
        </w:rPr>
        <w:t>12.2 投标人在</w:t>
      </w:r>
      <w:r>
        <w:rPr>
          <w:rFonts w:hint="eastAsia" w:ascii="华文中宋" w:hAnsi="华文中宋" w:eastAsia="华文中宋" w:cs="华文中宋"/>
        </w:rPr>
        <w:t>电子</w:t>
      </w:r>
      <w:r>
        <w:rPr>
          <w:rFonts w:hint="eastAsia" w:ascii="华文中宋" w:hAnsi="华文中宋" w:eastAsia="华文中宋"/>
        </w:rPr>
        <w:t>投标文件及相关文件的签订、履行、通知等事项中的“盖章”、“印章”、“公章”等处均仅指与投标人名称全称相一致的标准公章的电子签章，不得使用其它（如带有“专用章”等字样）的印章。</w:t>
      </w:r>
    </w:p>
    <w:p w14:paraId="2ADABB83">
      <w:pPr>
        <w:pStyle w:val="3"/>
        <w:numPr>
          <w:ilvl w:val="0"/>
          <w:numId w:val="0"/>
        </w:numPr>
        <w:spacing w:beforeLines="10" w:afterLines="10" w:line="480" w:lineRule="exact"/>
        <w:ind w:left="539"/>
        <w:jc w:val="both"/>
        <w:rPr>
          <w:rFonts w:ascii="华文中宋" w:hAnsi="华文中宋" w:eastAsia="华文中宋"/>
          <w:spacing w:val="10"/>
          <w:sz w:val="24"/>
          <w:szCs w:val="24"/>
        </w:rPr>
      </w:pPr>
      <w:bookmarkStart w:id="48" w:name="_Toc27187"/>
      <w:bookmarkStart w:id="49" w:name="_Toc26881694"/>
      <w:bookmarkStart w:id="50" w:name="_Toc424378688"/>
      <w:r>
        <w:rPr>
          <w:rFonts w:hint="eastAsia" w:ascii="华文中宋" w:hAnsi="华文中宋" w:eastAsia="华文中宋"/>
          <w:spacing w:val="10"/>
          <w:sz w:val="24"/>
          <w:szCs w:val="24"/>
        </w:rPr>
        <w:t>四、投标文件的递交</w:t>
      </w:r>
      <w:bookmarkEnd w:id="48"/>
      <w:bookmarkEnd w:id="49"/>
      <w:bookmarkEnd w:id="50"/>
    </w:p>
    <w:p w14:paraId="30D9B9CB">
      <w:pPr>
        <w:spacing w:line="480" w:lineRule="exact"/>
        <w:ind w:firstLine="432" w:firstLineChars="206"/>
        <w:rPr>
          <w:rFonts w:ascii="华文中宋" w:hAnsi="华文中宋" w:eastAsia="华文中宋"/>
          <w:b/>
          <w:szCs w:val="21"/>
        </w:rPr>
      </w:pPr>
      <w:r>
        <w:rPr>
          <w:rFonts w:hint="eastAsia" w:ascii="华文中宋" w:hAnsi="华文中宋" w:eastAsia="华文中宋"/>
          <w:b/>
          <w:szCs w:val="21"/>
        </w:rPr>
        <w:t>13 . 投标文件的上传</w:t>
      </w:r>
    </w:p>
    <w:p w14:paraId="5D976CB8">
      <w:pPr>
        <w:spacing w:line="480" w:lineRule="exact"/>
        <w:ind w:firstLine="432" w:firstLineChars="206"/>
        <w:rPr>
          <w:rFonts w:ascii="华文中宋" w:hAnsi="华文中宋" w:eastAsia="华文中宋"/>
          <w:kern w:val="0"/>
          <w:szCs w:val="21"/>
        </w:rPr>
      </w:pPr>
      <w:r>
        <w:rPr>
          <w:rFonts w:hint="eastAsia" w:ascii="华文中宋" w:hAnsi="华文中宋" w:eastAsia="华文中宋"/>
          <w:kern w:val="0"/>
          <w:szCs w:val="21"/>
        </w:rPr>
        <w:t>本项目采用在线投标方式。投标人须在投标文件提交截止时间前，使用CA数字证书登陆“山西政府采购平台”在线提交电子投标文件，投标截止时间后将无法上传投标文件。</w:t>
      </w:r>
    </w:p>
    <w:p w14:paraId="0B9851E1">
      <w:pPr>
        <w:spacing w:line="480" w:lineRule="exact"/>
        <w:ind w:firstLine="432" w:firstLineChars="206"/>
        <w:rPr>
          <w:rFonts w:ascii="华文中宋" w:hAnsi="华文中宋" w:eastAsia="华文中宋"/>
          <w:b/>
          <w:kern w:val="0"/>
          <w:szCs w:val="21"/>
        </w:rPr>
      </w:pPr>
      <w:r>
        <w:rPr>
          <w:rFonts w:hint="eastAsia" w:ascii="华文中宋" w:hAnsi="华文中宋" w:eastAsia="华文中宋"/>
          <w:b/>
          <w:kern w:val="0"/>
          <w:szCs w:val="21"/>
        </w:rPr>
        <w:t>14．投标截止时间和在线解密</w:t>
      </w:r>
    </w:p>
    <w:p w14:paraId="6D33E16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14.1 投标人须按照本招标文件第一部分招标公告中规定的时间登陆“山西政府采购平台”，在项目采购-开标评标模块对投标文件进行在线解密。在规定时间内投标文件无法解密或解密失败的，视为无效投标。</w:t>
      </w:r>
    </w:p>
    <w:p w14:paraId="5BA7F86D">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14.2 集中采购机构根据本须知的规定，通过修改招标文件或自行决定延长投标截止日期的，采购人和投标人受投标截止日期制约的所有权利和义务均延长至新的截止日期。</w:t>
      </w:r>
    </w:p>
    <w:p w14:paraId="67E50164">
      <w:pPr>
        <w:spacing w:line="360" w:lineRule="auto"/>
        <w:ind w:firstLine="432" w:firstLineChars="206"/>
        <w:rPr>
          <w:rFonts w:ascii="华文中宋" w:hAnsi="华文中宋" w:eastAsia="华文中宋"/>
          <w:b/>
          <w:kern w:val="0"/>
          <w:szCs w:val="21"/>
        </w:rPr>
      </w:pPr>
      <w:r>
        <w:rPr>
          <w:rFonts w:hint="eastAsia" w:ascii="华文中宋" w:hAnsi="华文中宋" w:eastAsia="华文中宋"/>
          <w:b/>
          <w:kern w:val="0"/>
          <w:szCs w:val="21"/>
        </w:rPr>
        <w:t>15．投标文件的补充、修改和撤回</w:t>
      </w:r>
    </w:p>
    <w:p w14:paraId="4058681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15.1投标人在投标文件提交截止时间前，可对投标文件进行补充、修改或者撤回。</w:t>
      </w:r>
    </w:p>
    <w:p w14:paraId="6E46EDAE">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15.2投标人对电子投标文件的补充、修改应在电子投标文件上进行，修改完成后重新上传。</w:t>
      </w:r>
    </w:p>
    <w:p w14:paraId="1510E18E">
      <w:pPr>
        <w:pStyle w:val="66"/>
        <w:snapToGrid w:val="0"/>
        <w:spacing w:line="480" w:lineRule="exact"/>
        <w:ind w:firstLine="420" w:firstLineChars="200"/>
        <w:textAlignment w:val="auto"/>
        <w:rPr>
          <w:rFonts w:ascii="华文中宋" w:hAnsi="华文中宋" w:eastAsia="华文中宋"/>
          <w:sz w:val="36"/>
          <w:szCs w:val="36"/>
        </w:rPr>
      </w:pPr>
      <w:r>
        <w:rPr>
          <w:rFonts w:hint="eastAsia" w:ascii="华文中宋" w:hAnsi="华文中宋" w:eastAsia="华文中宋"/>
        </w:rPr>
        <w:t>15.3在招标文件规定的投标文件提交截止时间之后，投标人不得对其投标文件进行补充、修改或撤销。</w:t>
      </w:r>
    </w:p>
    <w:p w14:paraId="72DDBDFE">
      <w:pPr>
        <w:pStyle w:val="66"/>
        <w:snapToGrid w:val="0"/>
        <w:spacing w:line="480" w:lineRule="exact"/>
        <w:ind w:firstLine="520" w:firstLineChars="200"/>
        <w:textAlignment w:val="auto"/>
        <w:rPr>
          <w:rFonts w:ascii="华文中宋" w:hAnsi="华文中宋" w:eastAsia="华文中宋"/>
          <w:b/>
          <w:bCs/>
          <w:spacing w:val="10"/>
          <w:sz w:val="24"/>
          <w:szCs w:val="24"/>
        </w:rPr>
      </w:pPr>
      <w:bookmarkStart w:id="51" w:name="_Toc424378689"/>
      <w:bookmarkStart w:id="52" w:name="_Toc352761934"/>
      <w:bookmarkStart w:id="53" w:name="_Toc829"/>
      <w:bookmarkStart w:id="54" w:name="_Toc26881695"/>
      <w:r>
        <w:rPr>
          <w:rFonts w:hint="eastAsia" w:ascii="华文中宋" w:hAnsi="华文中宋" w:eastAsia="华文中宋"/>
          <w:b/>
          <w:bCs/>
          <w:spacing w:val="10"/>
          <w:sz w:val="24"/>
          <w:szCs w:val="24"/>
        </w:rPr>
        <w:t>五、开标</w:t>
      </w:r>
      <w:bookmarkEnd w:id="51"/>
      <w:bookmarkEnd w:id="52"/>
      <w:bookmarkEnd w:id="53"/>
      <w:bookmarkEnd w:id="54"/>
    </w:p>
    <w:p w14:paraId="1D91F088">
      <w:pPr>
        <w:spacing w:line="480" w:lineRule="exact"/>
        <w:ind w:firstLine="474" w:firstLineChars="226"/>
        <w:rPr>
          <w:rFonts w:ascii="华文中宋" w:hAnsi="华文中宋" w:eastAsia="华文中宋"/>
          <w:kern w:val="0"/>
          <w:szCs w:val="21"/>
        </w:rPr>
      </w:pPr>
      <w:r>
        <w:rPr>
          <w:rFonts w:hint="eastAsia" w:ascii="华文中宋" w:hAnsi="华文中宋" w:eastAsia="华文中宋"/>
          <w:kern w:val="0"/>
          <w:szCs w:val="21"/>
        </w:rPr>
        <w:t>16. 开标及其有关事项</w:t>
      </w:r>
    </w:p>
    <w:p w14:paraId="2509058B">
      <w:pPr>
        <w:pStyle w:val="66"/>
        <w:snapToGrid w:val="0"/>
        <w:spacing w:line="480" w:lineRule="exact"/>
        <w:ind w:firstLine="474" w:firstLineChars="226"/>
        <w:textAlignment w:val="auto"/>
        <w:rPr>
          <w:rFonts w:ascii="华文中宋" w:hAnsi="华文中宋" w:eastAsia="华文中宋"/>
        </w:rPr>
      </w:pPr>
      <w:bookmarkStart w:id="55" w:name="_Toc424378690"/>
      <w:bookmarkStart w:id="56" w:name="_Toc352761935"/>
      <w:r>
        <w:rPr>
          <w:rFonts w:hint="eastAsia" w:ascii="华文中宋" w:hAnsi="华文中宋" w:eastAsia="华文中宋"/>
        </w:rPr>
        <w:t>16.1投标人不足三家的，不得开标。</w:t>
      </w:r>
      <w:bookmarkStart w:id="57" w:name="_Toc26881696"/>
      <w:bookmarkStart w:id="58" w:name="_Toc8119"/>
    </w:p>
    <w:p w14:paraId="41271C68">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16.2集中采购机构按招标文件规定的时间、地点主持进行公开开标，采购人代表及有关工作人员参加。</w:t>
      </w:r>
    </w:p>
    <w:p w14:paraId="6646795C">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16.3集中采购机构将通过网上开标系统公布开标结果，公布内容包括投标人名称、投标价格及招标文件规定的内容。</w:t>
      </w:r>
    </w:p>
    <w:p w14:paraId="2E473849">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16.4各投标人需在规定时间内进行唱标确认。</w:t>
      </w:r>
    </w:p>
    <w:p w14:paraId="023206DF">
      <w:pPr>
        <w:pStyle w:val="66"/>
        <w:snapToGrid w:val="0"/>
        <w:spacing w:line="480" w:lineRule="exact"/>
        <w:ind w:firstLine="587" w:firstLineChars="226"/>
        <w:textAlignment w:val="auto"/>
        <w:rPr>
          <w:rFonts w:ascii="华文中宋" w:hAnsi="华文中宋" w:eastAsia="华文中宋"/>
          <w:b/>
          <w:bCs/>
          <w:spacing w:val="10"/>
          <w:sz w:val="24"/>
          <w:szCs w:val="24"/>
        </w:rPr>
      </w:pPr>
      <w:r>
        <w:rPr>
          <w:rFonts w:hint="eastAsia" w:ascii="华文中宋" w:hAnsi="华文中宋" w:eastAsia="华文中宋"/>
          <w:b/>
          <w:bCs/>
          <w:spacing w:val="10"/>
          <w:sz w:val="24"/>
          <w:szCs w:val="24"/>
        </w:rPr>
        <w:t>六、评标程序和要求</w:t>
      </w:r>
      <w:bookmarkEnd w:id="55"/>
      <w:bookmarkEnd w:id="56"/>
      <w:bookmarkEnd w:id="57"/>
      <w:bookmarkEnd w:id="58"/>
    </w:p>
    <w:p w14:paraId="3C00EAB4">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b/>
        </w:rPr>
        <w:t>17.项目组织</w:t>
      </w:r>
    </w:p>
    <w:p w14:paraId="78BE2E4E">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17.1集中采购机构负责组织评标工作并履行相关职责。</w:t>
      </w:r>
    </w:p>
    <w:p w14:paraId="2CF69429">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b/>
        </w:rPr>
        <w:t>18. 投标人资格审查</w:t>
      </w:r>
    </w:p>
    <w:p w14:paraId="434F9B02">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18.1公开招标采购项目解密结束后，采购人依据法律法规并按照本招标文件第五部分中资格审查的内容及标准对投标人提交的投标文件（资格证明文件）进行资格审查，以确定投标人是否具备投标资格。审查后合格投标人不足3家的不得评标。</w:t>
      </w:r>
    </w:p>
    <w:p w14:paraId="454D8409">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18.2采购人对投标人的信用信息进行查询，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在本招标文件规定的查询时间之外，网站信息发生的任何变更均不作为资格审查依据。投标人自行提供的与网站信息不一致的其他证明材料亦不作为资格审查依据。</w:t>
      </w:r>
    </w:p>
    <w:p w14:paraId="5450A49D">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b/>
        </w:rPr>
        <w:t>19. 组建评标委员会</w:t>
      </w:r>
    </w:p>
    <w:p w14:paraId="222BA1F3">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19.1 集中采购机构根据政府采购有关法律法规和本招标文件的规定，结合本招标项目的特点组建评标委员会，评标委员会由三人以上单数组成。</w:t>
      </w:r>
    </w:p>
    <w:p w14:paraId="348336F6">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19.2 评标委员会负责对符合资格的投标人的投标文件（商务技术文件）进行符合性审查以及商务、技术、价格部分的评标事务，出具经评标委员会签字的评标报告。</w:t>
      </w:r>
    </w:p>
    <w:p w14:paraId="1FC18456">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b/>
        </w:rPr>
        <w:t>20.投标文件（商务技术文件）符合性审查</w:t>
      </w:r>
    </w:p>
    <w:p w14:paraId="4357DC6A">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评标委员会按照招标文件第六部分评标标准和评标办法中符合性审查的内容及标准对投标文件进行符合性审查，以确定投标文件是否对招标文件的商务、技术、报价等实质性要求作出响应。</w:t>
      </w:r>
    </w:p>
    <w:p w14:paraId="0A5BB44F">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b/>
        </w:rPr>
        <w:t>21.评审中遵循的原则</w:t>
      </w:r>
    </w:p>
    <w:p w14:paraId="107835AA">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21.1审查中，投标人存在下列情况之一的，投标无效</w:t>
      </w:r>
      <w:r>
        <w:rPr>
          <w:rFonts w:hint="eastAsia" w:ascii="华文中宋" w:hAnsi="华文中宋" w:eastAsia="华文中宋" w:cs="华文中宋"/>
        </w:rPr>
        <w:t xml:space="preserve">： </w:t>
      </w:r>
    </w:p>
    <w:p w14:paraId="4AFB0374">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A、未按招标文件的规定提交投标保证金的；</w:t>
      </w:r>
    </w:p>
    <w:p w14:paraId="1113C1E9">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B、投标文件未按招标文件要求签署、盖章的；</w:t>
      </w:r>
    </w:p>
    <w:p w14:paraId="3339FECA">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C、不具备招标文件规定的资格要求的；</w:t>
      </w:r>
    </w:p>
    <w:p w14:paraId="12946F24">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D、报价超过招标文件规定预算金额的；</w:t>
      </w:r>
    </w:p>
    <w:p w14:paraId="504FD3FF">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E、投标文件含有采购人不能接受的附加条件的；</w:t>
      </w:r>
    </w:p>
    <w:p w14:paraId="771AD70B">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F、联合体投标文件未附联合体投标协议书的</w:t>
      </w:r>
    </w:p>
    <w:p w14:paraId="385AF1EF">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G、法律、法规和招标文件规定的其他无效情形的；</w:t>
      </w:r>
    </w:p>
    <w:p w14:paraId="5751CFD9">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21.2审查中，对明显的文字和计算错误按下述原则处理</w:t>
      </w:r>
      <w:r>
        <w:rPr>
          <w:rFonts w:hint="eastAsia" w:ascii="华文中宋" w:hAnsi="华文中宋" w:eastAsia="华文中宋" w:cs="华文中宋"/>
        </w:rPr>
        <w:t xml:space="preserve">： </w:t>
      </w:r>
    </w:p>
    <w:p w14:paraId="04542913">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A、开标一览表报价明细表内容与投标文件中相应内容不一致的，以开标一览表报价明细表为准；</w:t>
      </w:r>
    </w:p>
    <w:p w14:paraId="5F486460">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B、大写金额和小写金额不一致的，以大写金额为准；</w:t>
      </w:r>
    </w:p>
    <w:p w14:paraId="15FFC249">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C、单价金额小数点或百分比有明显错误的，以开标一览表报价明细表的总价为准，并修改单价；</w:t>
      </w:r>
    </w:p>
    <w:p w14:paraId="09184DA0">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D总价金额与按单价汇总金额不一致的，以单价金额计算结果为准；</w:t>
      </w:r>
    </w:p>
    <w:p w14:paraId="6205D4B6">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评标委员会将要求投标人按上述原则在山西政府采购平台政府采购</w:t>
      </w:r>
      <w:r>
        <w:rPr>
          <w:rFonts w:hint="eastAsia" w:ascii="华文中宋" w:hAnsi="华文中宋" w:eastAsia="华文中宋" w:cs="华文中宋"/>
        </w:rPr>
        <w:t>业务</w:t>
      </w:r>
      <w:r>
        <w:rPr>
          <w:rFonts w:hint="eastAsia" w:ascii="华文中宋" w:hAnsi="华文中宋" w:eastAsia="华文中宋"/>
        </w:rPr>
        <w:t>系统内调整确认，并</w:t>
      </w:r>
      <w:r>
        <w:rPr>
          <w:rFonts w:hint="eastAsia" w:ascii="华文中宋" w:hAnsi="华文中宋" w:eastAsia="华文中宋" w:cs="华文中宋"/>
        </w:rPr>
        <w:t>加盖</w:t>
      </w:r>
      <w:r>
        <w:rPr>
          <w:rFonts w:hint="eastAsia" w:ascii="华文中宋" w:hAnsi="华文中宋" w:eastAsia="华文中宋" w:cs="华文中宋"/>
          <w:b/>
        </w:rPr>
        <w:t>电子公章</w:t>
      </w:r>
      <w:r>
        <w:rPr>
          <w:rFonts w:hint="eastAsia" w:ascii="华文中宋" w:hAnsi="华文中宋" w:eastAsia="华文中宋"/>
        </w:rPr>
        <w:t>予以确认。</w:t>
      </w:r>
    </w:p>
    <w:p w14:paraId="21177557">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投标人确认后的报价对投标人具有约束力，如果投标人不予确认，其投标无效。</w:t>
      </w:r>
    </w:p>
    <w:p w14:paraId="28D5C06E">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21.3不同投标人提供相同品牌产品的按下述原则处理：</w:t>
      </w:r>
    </w:p>
    <w:p w14:paraId="2F9EB61A">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643AF396">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B、采用综合评分法的采购项目，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B2CC08C">
      <w:pPr>
        <w:pStyle w:val="66"/>
        <w:snapToGrid w:val="0"/>
        <w:spacing w:line="480" w:lineRule="exact"/>
        <w:ind w:firstLine="474" w:firstLineChars="226"/>
        <w:textAlignment w:val="auto"/>
        <w:rPr>
          <w:rFonts w:ascii="华文中宋" w:hAnsi="华文中宋" w:eastAsia="华文中宋"/>
          <w:b/>
        </w:rPr>
      </w:pPr>
      <w:r>
        <w:rPr>
          <w:rFonts w:hint="eastAsia" w:ascii="华文中宋" w:hAnsi="华文中宋" w:eastAsia="华文中宋"/>
        </w:rPr>
        <w:t>C、非单一产品采购项目，采购人应当根据采购项目技术构成、产品价格比重等合理确定核心产品，并在招标文件中载明。多家投标人提供的核心产品品牌相同的，按前两款规定处理。</w:t>
      </w:r>
    </w:p>
    <w:p w14:paraId="5EC7DC27">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 xml:space="preserve">22. 投标的澄清、说明或者补正 </w:t>
      </w:r>
    </w:p>
    <w:p w14:paraId="68939D37">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22.1 对于投标文件中含义不明确、同类问题表述不一致或者有明显文字和计算错误的内容，评标委员会应要求投标人作出必要的澄清、说明或者补正。该澄清、说明或者补正应当</w:t>
      </w:r>
      <w:r>
        <w:rPr>
          <w:rFonts w:hint="eastAsia" w:ascii="华文中宋" w:hAnsi="华文中宋" w:eastAsia="华文中宋" w:cs="华文中宋"/>
        </w:rPr>
        <w:t>加盖</w:t>
      </w:r>
      <w:r>
        <w:rPr>
          <w:rFonts w:hint="eastAsia" w:ascii="华文中宋" w:hAnsi="华文中宋" w:eastAsia="华文中宋" w:cs="华文中宋"/>
          <w:b/>
        </w:rPr>
        <w:t>电子公章</w:t>
      </w:r>
      <w:r>
        <w:rPr>
          <w:rFonts w:hint="eastAsia" w:ascii="华文中宋" w:hAnsi="华文中宋" w:eastAsia="华文中宋"/>
        </w:rPr>
        <w:t>，或者由法定代表人或其授权的代表电子签章。投标人的澄清、说明或者补正不得超出投标文件的范围或者改变投标文件的实质性内容。</w:t>
      </w:r>
    </w:p>
    <w:p w14:paraId="319F7DF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22.2 评标委员会认为投标人的报价明显低于其他通过符合性审查投标人的报价，有可能影响产品质量或者不能诚信履约的，应当要求其在合理的时间内在系统中提供说明并</w:t>
      </w:r>
      <w:r>
        <w:rPr>
          <w:rFonts w:hint="eastAsia" w:ascii="华文中宋" w:hAnsi="华文中宋" w:eastAsia="华文中宋" w:cs="华文中宋"/>
        </w:rPr>
        <w:t>加盖</w:t>
      </w:r>
      <w:r>
        <w:rPr>
          <w:rFonts w:hint="eastAsia" w:ascii="华文中宋" w:hAnsi="华文中宋" w:eastAsia="华文中宋" w:cs="华文中宋"/>
          <w:b/>
          <w:u w:val="single"/>
        </w:rPr>
        <w:t>电子公章</w:t>
      </w:r>
      <w:r>
        <w:rPr>
          <w:rFonts w:hint="eastAsia" w:ascii="华文中宋" w:hAnsi="华文中宋" w:eastAsia="华文中宋"/>
        </w:rPr>
        <w:t>形式，必要时提交相关证明材料；投标人不能证明其报价合理性的，评标委员会应当将其作为无效投标处理。</w:t>
      </w:r>
    </w:p>
    <w:p w14:paraId="61FC4DE5">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 xml:space="preserve">23. 比较与评价  </w:t>
      </w:r>
    </w:p>
    <w:p w14:paraId="59182CCA">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23.1 评标委员会按照招标文件中第六部分规定的评标标准和评标办法，对符合性审查合格的投标文件（商务技术文件）进行商务和技术评估，综合比较和评价。</w:t>
      </w:r>
    </w:p>
    <w:p w14:paraId="61962267">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23.2 采用综合评分法评审的应按照招标文件第六部分评标标准和评标办法中规定的评标方法、中标条件以及评分细则进行。</w:t>
      </w:r>
    </w:p>
    <w:p w14:paraId="7DE3435C">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 xml:space="preserve">24. 评审复核    </w:t>
      </w:r>
    </w:p>
    <w:p w14:paraId="116E10F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24.1评标结果汇总完成后，除下列情形外，任何人不得修改评标结果：</w:t>
      </w:r>
    </w:p>
    <w:p w14:paraId="402D6AC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A、分值汇总计算错误的；</w:t>
      </w:r>
    </w:p>
    <w:p w14:paraId="7CA9E470">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B、分项评分超出评分标准范围的；</w:t>
      </w:r>
    </w:p>
    <w:p w14:paraId="6EBCC6C8">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C、评标委员会成员对客观评审因素评分不一致的；</w:t>
      </w:r>
    </w:p>
    <w:p w14:paraId="6D9DF427">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D、经评标委员会认定评分畸高、畸低的；</w:t>
      </w:r>
    </w:p>
    <w:p w14:paraId="76406F11">
      <w:pPr>
        <w:pStyle w:val="66"/>
        <w:snapToGrid w:val="0"/>
        <w:spacing w:line="480" w:lineRule="exact"/>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中采购机构发现存在以上情形之一的，应当组织原评标委员会进行重新评审，重新评审改变评标结果的，书面报告本级财政部门。</w:t>
      </w:r>
    </w:p>
    <w:p w14:paraId="77F96A85">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cs="Arial"/>
        </w:rPr>
        <w:t>24.2</w:t>
      </w:r>
      <w:r>
        <w:rPr>
          <w:rFonts w:hint="eastAsia" w:ascii="华文中宋" w:hAnsi="华文中宋" w:eastAsia="华文中宋"/>
        </w:rPr>
        <w:t>评标委员会</w:t>
      </w:r>
      <w:r>
        <w:rPr>
          <w:rFonts w:hint="eastAsia" w:ascii="华文中宋" w:hAnsi="华文中宋" w:eastAsia="华文中宋" w:cs="Arial"/>
        </w:rPr>
        <w:t>向采购人、集中采购机构或者有关部门报告评审中发现的违法行为。在评审过程中发现投标人有下列情形的，</w:t>
      </w:r>
      <w:r>
        <w:rPr>
          <w:rFonts w:hint="eastAsia" w:ascii="华文中宋" w:hAnsi="华文中宋" w:eastAsia="华文中宋"/>
        </w:rPr>
        <w:t xml:space="preserve">评标委员会应认定其投标无效，并书面报告本级财政部门： </w:t>
      </w:r>
    </w:p>
    <w:p w14:paraId="6CB4A39D">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A、有恶意串通的；</w:t>
      </w:r>
    </w:p>
    <w:p w14:paraId="26C8218C">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①不同投标人的投标文件由同一单位或者个人编制；</w:t>
      </w:r>
    </w:p>
    <w:p w14:paraId="17426468">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②不同投标人委托同一单位或者个人办理投标事宜；</w:t>
      </w:r>
    </w:p>
    <w:p w14:paraId="4E4609C5">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③不同投标人的投标文件载明的项目管理成员或者联系人为同一人；</w:t>
      </w:r>
    </w:p>
    <w:p w14:paraId="56B2A45E">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④不同投标人的投标文件异常一致或者投标报价呈规律性差异；</w:t>
      </w:r>
    </w:p>
    <w:p w14:paraId="19C2C635">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⑤不同投标人的投标文件相互混装；</w:t>
      </w:r>
    </w:p>
    <w:p w14:paraId="579527C5">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⑥不同投标人的投标保证金从同一单位或者个人的账户转出。）</w:t>
      </w:r>
      <w:r>
        <w:rPr>
          <w:rFonts w:ascii="华文中宋" w:hAnsi="华文中宋" w:eastAsia="华文中宋"/>
        </w:rPr>
        <w:t xml:space="preserve"> </w:t>
      </w:r>
    </w:p>
    <w:p w14:paraId="18346392">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B、有妨碍其他投标人的竞争行为的；</w:t>
      </w:r>
    </w:p>
    <w:p w14:paraId="3E936666">
      <w:pPr>
        <w:pStyle w:val="66"/>
        <w:snapToGrid w:val="0"/>
        <w:spacing w:line="480" w:lineRule="exact"/>
        <w:ind w:firstLine="474" w:firstLineChars="226"/>
        <w:textAlignment w:val="auto"/>
        <w:rPr>
          <w:rFonts w:ascii="华文中宋" w:hAnsi="华文中宋" w:eastAsia="华文中宋"/>
        </w:rPr>
      </w:pPr>
      <w:r>
        <w:rPr>
          <w:rFonts w:hint="eastAsia" w:ascii="华文中宋" w:hAnsi="华文中宋" w:eastAsia="华文中宋"/>
        </w:rPr>
        <w:t>C、有损害采购人或者其他投标人的合法权益的；</w:t>
      </w:r>
    </w:p>
    <w:p w14:paraId="0BC647D5">
      <w:pPr>
        <w:pStyle w:val="66"/>
        <w:snapToGrid w:val="0"/>
        <w:spacing w:line="480" w:lineRule="exact"/>
        <w:ind w:left="420" w:leftChars="200"/>
        <w:textAlignment w:val="auto"/>
        <w:rPr>
          <w:rFonts w:ascii="华文中宋" w:hAnsi="华文中宋" w:eastAsia="华文中宋"/>
        </w:rPr>
      </w:pPr>
      <w:r>
        <w:rPr>
          <w:rFonts w:hint="eastAsia" w:ascii="华文中宋" w:hAnsi="华文中宋" w:eastAsia="华文中宋"/>
          <w:b/>
        </w:rPr>
        <w:t>25. 确定中标人</w:t>
      </w:r>
    </w:p>
    <w:p w14:paraId="797B5E8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25.1 招标文件第六部分规定采用综合评分法评标的，评标结果按评审后得分由高到低顺序排列，得分最高的投标人为中标人。得分相同的，按投标报价由低到高顺序排列。得分且投标报价相同的采取随机抽取的方式确定中标人。</w:t>
      </w:r>
    </w:p>
    <w:p w14:paraId="44C7888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25.2 招标文件第六部分规定采用最低评标价法评标的，评标结果按投标报价由低到高顺序排列，投标报价最低的投标人为中标人。投标报价相同的采取随机抽取的方式确定中标人。</w:t>
      </w:r>
    </w:p>
    <w:p w14:paraId="7A6F8465">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26. 编写评标报告</w:t>
      </w:r>
    </w:p>
    <w:p w14:paraId="00C853F5">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4919BDBB">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 xml:space="preserve">27. 评标过程保密    </w:t>
      </w:r>
    </w:p>
    <w:p w14:paraId="36DE1804">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采购人、集中采购机构要采取必要措施，保证评标在严格保密的情况下进行。除采购人代表、评标现场组织人员外，采购人的其他工作人员以及与评标工作无关的人员不得进入评标现场。</w:t>
      </w:r>
    </w:p>
    <w:p w14:paraId="4BB72D06">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6EC4446A">
      <w:pPr>
        <w:spacing w:line="480" w:lineRule="exact"/>
        <w:ind w:firstLine="474" w:firstLineChars="226"/>
        <w:rPr>
          <w:rFonts w:ascii="华文中宋" w:hAnsi="华文中宋" w:eastAsia="华文中宋"/>
          <w:b/>
          <w:szCs w:val="21"/>
        </w:rPr>
      </w:pPr>
      <w:r>
        <w:rPr>
          <w:rFonts w:hint="eastAsia" w:ascii="华文中宋" w:hAnsi="华文中宋" w:eastAsia="华文中宋"/>
          <w:b/>
          <w:szCs w:val="21"/>
        </w:rPr>
        <w:t>28. 采购项目废标</w:t>
      </w:r>
    </w:p>
    <w:p w14:paraId="0F19F1B6">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28.1 在评标过程中，评标委员会发现有下列情形之一的，应对采购项目予以废标：</w:t>
      </w:r>
    </w:p>
    <w:p w14:paraId="63D5D53E">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A、符合专业条件的投标供应商或者对招标文件作实质响应的供应商数量不足3家的；</w:t>
      </w:r>
    </w:p>
    <w:p w14:paraId="1007AC8A">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B、投标人的报价均超过采购预算的；</w:t>
      </w:r>
    </w:p>
    <w:p w14:paraId="6C446C5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C、出现影响采购公正的违法、违规行为的；</w:t>
      </w:r>
    </w:p>
    <w:p w14:paraId="0C728C64">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D、因重大变故，采购任务取消的。</w:t>
      </w:r>
    </w:p>
    <w:p w14:paraId="6B189ED6">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59A3D3BA">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28.2 废标后，集中采购机构将在财政部门指定的媒体上发布废标结果公告。</w:t>
      </w:r>
    </w:p>
    <w:p w14:paraId="31F89DDE">
      <w:pPr>
        <w:pStyle w:val="3"/>
        <w:numPr>
          <w:ilvl w:val="1"/>
          <w:numId w:val="0"/>
        </w:numPr>
        <w:spacing w:beforeLines="10" w:afterLines="10" w:line="480" w:lineRule="exact"/>
        <w:jc w:val="both"/>
        <w:rPr>
          <w:rFonts w:ascii="华文中宋" w:hAnsi="华文中宋" w:eastAsia="华文中宋"/>
          <w:spacing w:val="10"/>
          <w:sz w:val="24"/>
          <w:szCs w:val="24"/>
        </w:rPr>
      </w:pPr>
      <w:bookmarkStart w:id="59" w:name="_Toc32242"/>
      <w:bookmarkStart w:id="60" w:name="_Toc424378691"/>
      <w:bookmarkStart w:id="61" w:name="_Toc26881697"/>
      <w:r>
        <w:rPr>
          <w:rFonts w:hint="eastAsia" w:ascii="华文中宋" w:hAnsi="华文中宋" w:eastAsia="华文中宋"/>
          <w:spacing w:val="10"/>
          <w:sz w:val="24"/>
          <w:szCs w:val="24"/>
        </w:rPr>
        <w:t>七、签订合同</w:t>
      </w:r>
      <w:bookmarkEnd w:id="59"/>
      <w:bookmarkEnd w:id="60"/>
      <w:bookmarkEnd w:id="61"/>
    </w:p>
    <w:p w14:paraId="3B2637C4">
      <w:pPr>
        <w:spacing w:line="480" w:lineRule="exact"/>
        <w:rPr>
          <w:rFonts w:ascii="华文中宋" w:hAnsi="华文中宋" w:eastAsia="华文中宋"/>
          <w:b/>
          <w:szCs w:val="21"/>
        </w:rPr>
      </w:pPr>
      <w:r>
        <w:rPr>
          <w:rFonts w:hint="eastAsia" w:ascii="华文中宋" w:hAnsi="华文中宋" w:eastAsia="华文中宋"/>
          <w:b/>
          <w:szCs w:val="21"/>
        </w:rPr>
        <w:t xml:space="preserve">    29．中标通知</w:t>
      </w:r>
    </w:p>
    <w:p w14:paraId="40AF6592">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29.1 中标人确定后，集中采购机构将在刊登本次招标公告的媒体上发布中标公告，同时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0BA42D09">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29.2 集中采购机构对未中标的投标人不作未中标原因的解释。</w:t>
      </w:r>
    </w:p>
    <w:p w14:paraId="2880CB1D">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29.3 中标通知书是合同的组成部分。</w:t>
      </w:r>
    </w:p>
    <w:p w14:paraId="3142DDBA">
      <w:pPr>
        <w:pStyle w:val="66"/>
        <w:snapToGrid w:val="0"/>
        <w:spacing w:line="480" w:lineRule="exact"/>
        <w:ind w:firstLine="462" w:firstLineChars="220"/>
        <w:textAlignment w:val="auto"/>
        <w:rPr>
          <w:rFonts w:ascii="华文中宋" w:hAnsi="华文中宋" w:eastAsia="华文中宋"/>
        </w:rPr>
      </w:pPr>
      <w:r>
        <w:rPr>
          <w:rFonts w:hint="eastAsia" w:ascii="华文中宋" w:hAnsi="华文中宋" w:eastAsia="华文中宋"/>
          <w:b/>
        </w:rPr>
        <w:t>30．签订合同</w:t>
      </w:r>
    </w:p>
    <w:p w14:paraId="0BCFAE9B">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 xml:space="preserve">30.1 </w:t>
      </w:r>
      <w:r>
        <w:rPr>
          <w:rFonts w:hint="eastAsia" w:ascii="华文中宋" w:hAnsi="华文中宋" w:eastAsia="华文中宋" w:cs="华文中宋"/>
        </w:rPr>
        <w:t>采购人应当自中标通知书发出之日起30日内与中标人签订书面合同。</w:t>
      </w:r>
    </w:p>
    <w:p w14:paraId="0EFA88D0">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30.2 中标人应按照招标文件、投标文件及评标过程中的有关澄清、说明或者补正文件的内容与采购人签订合同。中标人不得再与采购人签订背离合同实质性内容的其它协议或声明。</w:t>
      </w:r>
    </w:p>
    <w:p w14:paraId="0B59F75F">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30.3本文件第四部分 采购需求商务条件中要求中标人提交履约保证金的，中标人须按照规定向采购人提交履约保证金。</w:t>
      </w:r>
    </w:p>
    <w:p w14:paraId="35A49BB2">
      <w:pPr>
        <w:pStyle w:val="3"/>
        <w:numPr>
          <w:ilvl w:val="1"/>
          <w:numId w:val="0"/>
        </w:numPr>
        <w:spacing w:beforeLines="10" w:afterLines="10" w:line="480" w:lineRule="exact"/>
        <w:ind w:left="447"/>
        <w:jc w:val="both"/>
        <w:rPr>
          <w:rFonts w:ascii="华文中宋" w:hAnsi="华文中宋" w:eastAsia="华文中宋"/>
          <w:spacing w:val="10"/>
          <w:sz w:val="24"/>
          <w:szCs w:val="24"/>
        </w:rPr>
      </w:pPr>
      <w:bookmarkStart w:id="62" w:name="_Toc18682"/>
      <w:bookmarkStart w:id="63" w:name="_Toc424378692"/>
      <w:bookmarkStart w:id="64" w:name="_Toc421716587"/>
      <w:bookmarkStart w:id="65" w:name="_Toc26881698"/>
      <w:r>
        <w:rPr>
          <w:rFonts w:hint="eastAsia" w:ascii="华文中宋" w:hAnsi="华文中宋" w:eastAsia="华文中宋"/>
          <w:spacing w:val="10"/>
          <w:sz w:val="24"/>
          <w:szCs w:val="24"/>
        </w:rPr>
        <w:t>八、服务费</w:t>
      </w:r>
      <w:bookmarkEnd w:id="62"/>
      <w:bookmarkEnd w:id="63"/>
      <w:bookmarkEnd w:id="64"/>
      <w:bookmarkEnd w:id="65"/>
      <w:r>
        <w:rPr>
          <w:rFonts w:hint="eastAsia" w:ascii="华文中宋" w:hAnsi="华文中宋" w:eastAsia="华文中宋"/>
          <w:spacing w:val="10"/>
          <w:sz w:val="24"/>
          <w:szCs w:val="24"/>
        </w:rPr>
        <w:t>　　</w:t>
      </w:r>
    </w:p>
    <w:p w14:paraId="7F25A9A4">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31. 服务费</w:t>
      </w:r>
    </w:p>
    <w:p w14:paraId="2DF5D1A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集中采购机构作为非营利事业法人，是集中采购项目的执行机构，在政府采购活动中不收取任何服务费。</w:t>
      </w:r>
    </w:p>
    <w:p w14:paraId="2BB67904">
      <w:pPr>
        <w:pStyle w:val="3"/>
        <w:numPr>
          <w:ilvl w:val="1"/>
          <w:numId w:val="0"/>
        </w:numPr>
        <w:spacing w:beforeLines="10" w:afterLines="10" w:line="480" w:lineRule="exact"/>
        <w:ind w:left="420"/>
        <w:jc w:val="both"/>
        <w:rPr>
          <w:rFonts w:ascii="华文中宋" w:hAnsi="华文中宋" w:eastAsia="华文中宋"/>
          <w:spacing w:val="10"/>
          <w:sz w:val="24"/>
          <w:szCs w:val="24"/>
        </w:rPr>
      </w:pPr>
      <w:bookmarkStart w:id="66" w:name="_Toc29869"/>
      <w:bookmarkStart w:id="67" w:name="_Toc424378693"/>
      <w:bookmarkStart w:id="68" w:name="_Toc421716588"/>
      <w:bookmarkStart w:id="69" w:name="_Toc26881699"/>
      <w:r>
        <w:rPr>
          <w:rFonts w:hint="eastAsia" w:ascii="华文中宋" w:hAnsi="华文中宋" w:eastAsia="华文中宋"/>
          <w:spacing w:val="10"/>
          <w:sz w:val="24"/>
          <w:szCs w:val="24"/>
        </w:rPr>
        <w:t>九、保密和披露</w:t>
      </w:r>
      <w:bookmarkEnd w:id="66"/>
      <w:bookmarkEnd w:id="67"/>
      <w:bookmarkEnd w:id="68"/>
      <w:bookmarkEnd w:id="69"/>
    </w:p>
    <w:p w14:paraId="5018F09F">
      <w:pPr>
        <w:pStyle w:val="66"/>
        <w:adjustRightInd/>
        <w:spacing w:line="480" w:lineRule="exact"/>
        <w:ind w:left="1" w:firstLine="25" w:firstLineChars="12"/>
        <w:textAlignment w:val="auto"/>
        <w:rPr>
          <w:rFonts w:ascii="华文中宋" w:hAnsi="华文中宋" w:eastAsia="华文中宋"/>
          <w:b/>
        </w:rPr>
      </w:pPr>
      <w:r>
        <w:rPr>
          <w:rFonts w:hint="eastAsia" w:ascii="华文中宋" w:hAnsi="华文中宋" w:eastAsia="华文中宋"/>
          <w:b/>
        </w:rPr>
        <w:t xml:space="preserve">    32. 保密</w:t>
      </w:r>
    </w:p>
    <w:p w14:paraId="14A77672">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08725CB6">
      <w:pPr>
        <w:pStyle w:val="66"/>
        <w:adjustRightInd/>
        <w:spacing w:line="480" w:lineRule="exact"/>
        <w:ind w:firstLine="25" w:firstLineChars="12"/>
        <w:textAlignment w:val="auto"/>
        <w:rPr>
          <w:rFonts w:ascii="华文中宋" w:hAnsi="华文中宋" w:eastAsia="华文中宋"/>
          <w:b/>
        </w:rPr>
      </w:pPr>
      <w:r>
        <w:rPr>
          <w:rFonts w:hint="eastAsia" w:ascii="华文中宋" w:hAnsi="华文中宋" w:eastAsia="华文中宋"/>
          <w:b/>
        </w:rPr>
        <w:t xml:space="preserve">    33. 披露</w:t>
      </w:r>
    </w:p>
    <w:p w14:paraId="7C412207">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33.1 集中采购机构有权将投标人提供的所有资料向有关政府部门或评审标书的有关人员披露。</w:t>
      </w:r>
    </w:p>
    <w:p w14:paraId="411DB980">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30B6AE7">
      <w:pPr>
        <w:pStyle w:val="3"/>
        <w:numPr>
          <w:ilvl w:val="1"/>
          <w:numId w:val="0"/>
        </w:numPr>
        <w:spacing w:beforeLines="10" w:afterLines="10" w:line="240" w:lineRule="auto"/>
        <w:ind w:left="539"/>
        <w:contextualSpacing/>
        <w:jc w:val="both"/>
        <w:rPr>
          <w:rFonts w:ascii="华文中宋" w:hAnsi="华文中宋" w:eastAsia="华文中宋"/>
          <w:spacing w:val="10"/>
          <w:sz w:val="24"/>
          <w:szCs w:val="24"/>
        </w:rPr>
      </w:pPr>
      <w:bookmarkStart w:id="70" w:name="_Toc26881700"/>
      <w:bookmarkStart w:id="71" w:name="_Toc20833"/>
      <w:bookmarkStart w:id="72" w:name="_Toc352761941"/>
      <w:r>
        <w:rPr>
          <w:rFonts w:hint="eastAsia" w:ascii="华文中宋" w:hAnsi="华文中宋" w:eastAsia="华文中宋"/>
          <w:spacing w:val="10"/>
          <w:sz w:val="24"/>
          <w:szCs w:val="24"/>
        </w:rPr>
        <w:t>十、质疑</w:t>
      </w:r>
      <w:bookmarkEnd w:id="70"/>
      <w:bookmarkEnd w:id="71"/>
    </w:p>
    <w:p w14:paraId="754143FC">
      <w:pPr>
        <w:pStyle w:val="66"/>
        <w:snapToGrid w:val="0"/>
        <w:spacing w:line="480" w:lineRule="exact"/>
        <w:ind w:firstLine="420" w:firstLineChars="200"/>
        <w:textAlignment w:val="auto"/>
        <w:rPr>
          <w:rFonts w:ascii="华文中宋" w:hAnsi="华文中宋" w:eastAsia="华文中宋"/>
          <w:b/>
        </w:rPr>
      </w:pPr>
      <w:r>
        <w:rPr>
          <w:rFonts w:hint="eastAsia" w:ascii="华文中宋" w:hAnsi="华文中宋" w:eastAsia="华文中宋"/>
          <w:b/>
        </w:rPr>
        <w:t>34.质疑</w:t>
      </w:r>
    </w:p>
    <w:p w14:paraId="5C3C2F54">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34.1在线质疑提出</w:t>
      </w:r>
    </w:p>
    <w:p w14:paraId="0CD59E6B">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供应商参与山西省政府采购项目时，符合法定质疑条件的，通过政府采购平台进入“项目质疑管理”栏目向采购人、采购代理机构在线提起质疑。</w:t>
      </w:r>
    </w:p>
    <w:p w14:paraId="21530FE8">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供应商应当在法定质疑期内一次性提出针对同一采购程序环节的质疑。</w:t>
      </w:r>
    </w:p>
    <w:p w14:paraId="130F6252">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政府采购平台自动登记收到质疑的时间，从次日计算答复期限。</w:t>
      </w:r>
    </w:p>
    <w:p w14:paraId="2E27B96C">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34.2质疑材料要求</w:t>
      </w:r>
    </w:p>
    <w:p w14:paraId="73F0D7F2">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供应商提起在线质疑，应当按照《政府采购质疑和投诉办法》有关规定如实填写事项及信息，在线提交质疑函及必要的证明材料纸质版扫描件或图片（支持格式：DOC、DOCX、PDF、JPG、PNG、GIF）。</w:t>
      </w:r>
    </w:p>
    <w:p w14:paraId="1A22FAD0">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在线质疑由供应商委托代理人提起的，还需上传授权委托书及被委托人身份证明，授权委托书应当载明委托人及被委托人的姓名或名称、代理事项、具体权限、期限等。</w:t>
      </w:r>
    </w:p>
    <w:p w14:paraId="3FAF2A8A">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供应商为法人或者其他组织的，相关材料由法定代表人、主要负责人或者其授权代表签名或者盖章并加盖公章；供应商为自然人的，相关材料由本人签名。</w:t>
      </w:r>
    </w:p>
    <w:p w14:paraId="4305859B">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34.3在线质疑答复</w:t>
      </w:r>
    </w:p>
    <w:p w14:paraId="2A0AD9DE">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采购人、采购代理机构收到在线质疑后，应当按照政府采购相关规定，在7个工作日内通过政府采购平台对供应商依法提出的质疑作出答复，但答复的内容不得涉及商业秘密。</w:t>
      </w:r>
    </w:p>
    <w:p w14:paraId="290FDA09">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质疑供应商通过政府采购平台在线接收质疑答复结果。</w:t>
      </w:r>
    </w:p>
    <w:p w14:paraId="4C0B0344">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对采购文件质疑的处理。采购代理机构应当对被质疑的采购文件相关内容进行核实并逐一作出答复；必要时，可邀请不少于3名以上单数政府采购专家对质疑内容进行审核，并依据专家意见进行答复。质疑针对采购文件中采购需求（含评分办法）的，由采购人进行答复。</w:t>
      </w:r>
    </w:p>
    <w:p w14:paraId="3D1C8731">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对采购过程质疑的处理。采购代理机构应当对质疑内容进行核实，并依据核实结果进行答复，必要时应出具相关依据。</w:t>
      </w:r>
    </w:p>
    <w:p w14:paraId="1223B705">
      <w:pPr>
        <w:adjustRightInd w:val="0"/>
        <w:snapToGrid w:val="0"/>
        <w:spacing w:line="360" w:lineRule="auto"/>
        <w:ind w:firstLine="420" w:firstLineChars="200"/>
        <w:rPr>
          <w:rFonts w:ascii="华文中宋" w:hAnsi="华文中宋" w:eastAsia="华文中宋"/>
          <w:kern w:val="0"/>
          <w:szCs w:val="21"/>
        </w:rPr>
      </w:pPr>
      <w:r>
        <w:rPr>
          <w:rFonts w:hint="eastAsia" w:ascii="华文中宋" w:hAnsi="华文中宋" w:eastAsia="华文中宋"/>
          <w:kern w:val="0"/>
          <w:szCs w:val="21"/>
        </w:rPr>
        <w:t>对中标、成交结果质疑的处理。质疑内容属于评审报告中已有结论性意见的，采购人可依据评审报告意见答复；必要时，采购人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质疑供应商应当提供书面材料证明其合法来源。</w:t>
      </w:r>
    </w:p>
    <w:p w14:paraId="5663D713">
      <w:pPr>
        <w:pStyle w:val="66"/>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34.4质疑供应商撤回质疑的，终止质疑处理。</w:t>
      </w:r>
    </w:p>
    <w:p w14:paraId="74AEE863">
      <w:pPr>
        <w:pStyle w:val="66"/>
        <w:snapToGrid w:val="0"/>
        <w:spacing w:line="480" w:lineRule="exact"/>
        <w:ind w:firstLine="420" w:firstLineChars="200"/>
        <w:textAlignment w:val="auto"/>
        <w:rPr>
          <w:rFonts w:ascii="华文中宋" w:hAnsi="华文中宋" w:eastAsia="华文中宋"/>
        </w:rPr>
      </w:pPr>
    </w:p>
    <w:p w14:paraId="3329457F">
      <w:pPr>
        <w:pStyle w:val="66"/>
        <w:snapToGrid w:val="0"/>
        <w:spacing w:line="480" w:lineRule="exact"/>
        <w:ind w:firstLine="420" w:firstLineChars="200"/>
        <w:textAlignment w:val="auto"/>
        <w:rPr>
          <w:rFonts w:ascii="华文中宋" w:hAnsi="华文中宋" w:eastAsia="华文中宋"/>
        </w:rPr>
      </w:pPr>
    </w:p>
    <w:p w14:paraId="03948AA5">
      <w:pPr>
        <w:pStyle w:val="66"/>
        <w:snapToGrid w:val="0"/>
        <w:spacing w:line="480" w:lineRule="exact"/>
        <w:ind w:firstLine="420" w:firstLineChars="200"/>
        <w:textAlignment w:val="auto"/>
        <w:rPr>
          <w:rFonts w:ascii="华文中宋" w:hAnsi="华文中宋" w:eastAsia="华文中宋"/>
        </w:rPr>
      </w:pPr>
    </w:p>
    <w:p w14:paraId="7065BF60">
      <w:pPr>
        <w:pStyle w:val="66"/>
        <w:snapToGrid w:val="0"/>
        <w:spacing w:line="480" w:lineRule="exact"/>
        <w:ind w:firstLine="420" w:firstLineChars="200"/>
        <w:textAlignment w:val="auto"/>
        <w:rPr>
          <w:rFonts w:ascii="华文中宋" w:hAnsi="华文中宋" w:eastAsia="华文中宋"/>
        </w:rPr>
      </w:pPr>
    </w:p>
    <w:p w14:paraId="23E9B904">
      <w:pPr>
        <w:pStyle w:val="66"/>
        <w:snapToGrid w:val="0"/>
        <w:spacing w:line="480" w:lineRule="exact"/>
        <w:ind w:firstLine="420" w:firstLineChars="200"/>
        <w:textAlignment w:val="auto"/>
        <w:rPr>
          <w:rFonts w:ascii="华文中宋" w:hAnsi="华文中宋" w:eastAsia="华文中宋"/>
        </w:rPr>
      </w:pPr>
    </w:p>
    <w:p w14:paraId="530E838A">
      <w:pPr>
        <w:pStyle w:val="66"/>
        <w:snapToGrid w:val="0"/>
        <w:spacing w:line="480" w:lineRule="exact"/>
        <w:ind w:firstLine="420" w:firstLineChars="200"/>
        <w:textAlignment w:val="auto"/>
        <w:rPr>
          <w:rFonts w:ascii="华文中宋" w:hAnsi="华文中宋" w:eastAsia="华文中宋"/>
        </w:rPr>
      </w:pPr>
    </w:p>
    <w:p w14:paraId="6133796A">
      <w:pPr>
        <w:widowControl/>
        <w:jc w:val="left"/>
        <w:rPr>
          <w:rFonts w:ascii="方正小标宋_GBK" w:hAnsi="宋体" w:eastAsia="方正小标宋_GBK"/>
          <w:sz w:val="36"/>
          <w:szCs w:val="36"/>
        </w:rPr>
      </w:pPr>
      <w:r>
        <w:rPr>
          <w:rFonts w:ascii="方正小标宋_GBK" w:hAnsi="宋体" w:eastAsia="方正小标宋_GBK"/>
          <w:sz w:val="36"/>
          <w:szCs w:val="36"/>
        </w:rPr>
        <w:br w:type="page"/>
      </w:r>
    </w:p>
    <w:p w14:paraId="1DCE5807">
      <w:pPr>
        <w:spacing w:line="500" w:lineRule="exact"/>
        <w:jc w:val="center"/>
        <w:rPr>
          <w:rFonts w:ascii="方正小标宋_GBK" w:hAnsi="宋体" w:eastAsia="方正小标宋_GBK"/>
          <w:sz w:val="36"/>
          <w:szCs w:val="36"/>
        </w:rPr>
      </w:pPr>
      <w:r>
        <w:rPr>
          <w:rFonts w:ascii="方正小标宋_GBK" w:hAnsi="宋体" w:eastAsia="方正小标宋_GBK"/>
          <w:sz w:val="36"/>
          <w:szCs w:val="36"/>
        </w:rPr>
        <w:t>质疑函</w:t>
      </w:r>
      <w:r>
        <w:rPr>
          <w:rFonts w:hint="eastAsia" w:ascii="方正小标宋_GBK" w:hAnsi="宋体" w:eastAsia="方正小标宋_GBK"/>
          <w:sz w:val="36"/>
          <w:szCs w:val="36"/>
        </w:rPr>
        <w:t>格式（如有的话）</w:t>
      </w:r>
    </w:p>
    <w:p w14:paraId="30BE835E">
      <w:pPr>
        <w:adjustRightInd w:val="0"/>
        <w:snapToGrid w:val="0"/>
        <w:spacing w:beforeLines="100" w:line="560" w:lineRule="exact"/>
        <w:rPr>
          <w:rFonts w:ascii="华文仿宋" w:hAnsi="华文仿宋" w:eastAsia="华文仿宋" w:cs="仿宋"/>
          <w:bCs/>
          <w:sz w:val="28"/>
          <w:szCs w:val="28"/>
        </w:rPr>
      </w:pPr>
      <w:r>
        <w:rPr>
          <w:rFonts w:hint="eastAsia" w:ascii="华文仿宋" w:hAnsi="华文仿宋" w:eastAsia="华文仿宋" w:cs="仿宋"/>
          <w:bCs/>
          <w:sz w:val="28"/>
          <w:szCs w:val="28"/>
        </w:rPr>
        <w:t>一、质疑供应商基本信息</w:t>
      </w:r>
    </w:p>
    <w:p w14:paraId="4049056B">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质疑供应商：</w:t>
      </w:r>
      <w:r>
        <w:rPr>
          <w:rFonts w:hint="eastAsia" w:ascii="华文仿宋" w:hAnsi="华文仿宋" w:eastAsia="华文仿宋" w:cs="仿宋"/>
          <w:sz w:val="28"/>
          <w:szCs w:val="28"/>
          <w:u w:val="dotted"/>
        </w:rPr>
        <w:t xml:space="preserve">                                        </w:t>
      </w:r>
    </w:p>
    <w:p w14:paraId="4E4F4257">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地址：</w:t>
      </w:r>
      <w:r>
        <w:rPr>
          <w:rFonts w:hint="eastAsia" w:ascii="华文仿宋" w:hAnsi="华文仿宋" w:eastAsia="华文仿宋" w:cs="仿宋"/>
          <w:sz w:val="28"/>
          <w:szCs w:val="28"/>
          <w:u w:val="dotted"/>
        </w:rPr>
        <w:t xml:space="preserve">                          </w:t>
      </w:r>
      <w:r>
        <w:rPr>
          <w:rFonts w:hint="eastAsia" w:ascii="华文仿宋" w:hAnsi="华文仿宋" w:eastAsia="华文仿宋" w:cs="仿宋"/>
          <w:sz w:val="28"/>
          <w:szCs w:val="28"/>
        </w:rPr>
        <w:t>邮编：</w:t>
      </w:r>
      <w:r>
        <w:rPr>
          <w:rFonts w:hint="eastAsia" w:ascii="华文仿宋" w:hAnsi="华文仿宋" w:eastAsia="华文仿宋" w:cs="仿宋"/>
          <w:sz w:val="28"/>
          <w:szCs w:val="28"/>
          <w:u w:val="dotted"/>
        </w:rPr>
        <w:t xml:space="preserve">                                                   </w:t>
      </w:r>
    </w:p>
    <w:p w14:paraId="2E69C9C1">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联系人：</w:t>
      </w:r>
      <w:r>
        <w:rPr>
          <w:rFonts w:hint="eastAsia" w:ascii="华文仿宋" w:hAnsi="华文仿宋" w:eastAsia="华文仿宋" w:cs="仿宋"/>
          <w:sz w:val="28"/>
          <w:szCs w:val="28"/>
          <w:u w:val="dotted"/>
        </w:rPr>
        <w:t xml:space="preserve">                      </w:t>
      </w:r>
      <w:r>
        <w:rPr>
          <w:rFonts w:hint="eastAsia" w:ascii="华文仿宋" w:hAnsi="华文仿宋" w:eastAsia="华文仿宋" w:cs="仿宋"/>
          <w:sz w:val="28"/>
          <w:szCs w:val="28"/>
        </w:rPr>
        <w:t>联系电话：</w:t>
      </w:r>
      <w:r>
        <w:rPr>
          <w:rFonts w:hint="eastAsia" w:ascii="华文仿宋" w:hAnsi="华文仿宋" w:eastAsia="华文仿宋" w:cs="仿宋"/>
          <w:sz w:val="28"/>
          <w:szCs w:val="28"/>
          <w:u w:val="dotted"/>
        </w:rPr>
        <w:t xml:space="preserve">                              </w:t>
      </w:r>
    </w:p>
    <w:p w14:paraId="52B5F926">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授权代表：</w:t>
      </w:r>
      <w:r>
        <w:rPr>
          <w:rFonts w:hint="eastAsia" w:ascii="华文仿宋" w:hAnsi="华文仿宋" w:eastAsia="华文仿宋" w:cs="仿宋"/>
          <w:sz w:val="28"/>
          <w:szCs w:val="28"/>
          <w:u w:val="dotted"/>
        </w:rPr>
        <w:t xml:space="preserve">                                          </w:t>
      </w:r>
    </w:p>
    <w:p w14:paraId="1B0FB14B">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联系电话：</w:t>
      </w:r>
      <w:r>
        <w:rPr>
          <w:rFonts w:hint="eastAsia" w:ascii="华文仿宋" w:hAnsi="华文仿宋" w:eastAsia="华文仿宋" w:cs="仿宋"/>
          <w:sz w:val="28"/>
          <w:szCs w:val="28"/>
          <w:u w:val="dotted"/>
        </w:rPr>
        <w:t xml:space="preserve">                                           </w:t>
      </w:r>
      <w:r>
        <w:rPr>
          <w:rFonts w:ascii="华文仿宋" w:hAnsi="华文仿宋" w:eastAsia="华文仿宋" w:cs="仿宋"/>
          <w:sz w:val="28"/>
          <w:szCs w:val="28"/>
        </w:rPr>
        <w:t xml:space="preserve"> </w:t>
      </w:r>
    </w:p>
    <w:p w14:paraId="04194A57">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地址：</w:t>
      </w:r>
      <w:r>
        <w:rPr>
          <w:rFonts w:ascii="华文仿宋" w:hAnsi="华文仿宋" w:eastAsia="华文仿宋" w:cs="仿宋"/>
          <w:sz w:val="28"/>
          <w:szCs w:val="28"/>
        </w:rPr>
        <w:t xml:space="preserve"> </w:t>
      </w:r>
      <w:r>
        <w:rPr>
          <w:rFonts w:hint="eastAsia" w:ascii="华文仿宋" w:hAnsi="华文仿宋" w:eastAsia="华文仿宋" w:cs="仿宋"/>
          <w:sz w:val="28"/>
          <w:szCs w:val="28"/>
          <w:u w:val="dotted"/>
        </w:rPr>
        <w:t xml:space="preserve">                        </w:t>
      </w:r>
      <w:r>
        <w:rPr>
          <w:rFonts w:hint="eastAsia" w:ascii="华文仿宋" w:hAnsi="华文仿宋" w:eastAsia="华文仿宋" w:cs="仿宋"/>
          <w:sz w:val="28"/>
          <w:szCs w:val="28"/>
        </w:rPr>
        <w:t>邮编：</w:t>
      </w:r>
      <w:r>
        <w:rPr>
          <w:rFonts w:hint="eastAsia" w:ascii="华文仿宋" w:hAnsi="华文仿宋" w:eastAsia="华文仿宋" w:cs="仿宋"/>
          <w:sz w:val="28"/>
          <w:szCs w:val="28"/>
          <w:u w:val="dotted"/>
        </w:rPr>
        <w:t xml:space="preserve">                                                </w:t>
      </w:r>
    </w:p>
    <w:p w14:paraId="78A6177A">
      <w:pPr>
        <w:adjustRightInd w:val="0"/>
        <w:snapToGrid w:val="0"/>
        <w:spacing w:line="560" w:lineRule="exact"/>
        <w:rPr>
          <w:rFonts w:ascii="华文仿宋" w:hAnsi="华文仿宋" w:eastAsia="华文仿宋" w:cs="仿宋"/>
          <w:bCs/>
          <w:sz w:val="28"/>
          <w:szCs w:val="28"/>
        </w:rPr>
      </w:pPr>
      <w:r>
        <w:rPr>
          <w:rFonts w:hint="eastAsia" w:ascii="华文仿宋" w:hAnsi="华文仿宋" w:eastAsia="华文仿宋" w:cs="仿宋"/>
          <w:bCs/>
          <w:sz w:val="28"/>
          <w:szCs w:val="28"/>
        </w:rPr>
        <w:t>二、质疑项目基本情况</w:t>
      </w:r>
    </w:p>
    <w:p w14:paraId="664C4B9F">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质疑项目的名称：</w:t>
      </w:r>
      <w:r>
        <w:rPr>
          <w:rFonts w:hint="eastAsia" w:ascii="华文仿宋" w:hAnsi="华文仿宋" w:eastAsia="华文仿宋" w:cs="仿宋"/>
          <w:sz w:val="28"/>
          <w:szCs w:val="28"/>
          <w:u w:val="dotted"/>
        </w:rPr>
        <w:t xml:space="preserve">                                      </w:t>
      </w:r>
    </w:p>
    <w:p w14:paraId="092C8D01">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质疑项目的编号：</w:t>
      </w:r>
      <w:r>
        <w:rPr>
          <w:rFonts w:hint="eastAsia" w:ascii="华文仿宋" w:hAnsi="华文仿宋" w:eastAsia="华文仿宋" w:cs="仿宋"/>
          <w:sz w:val="28"/>
          <w:szCs w:val="28"/>
          <w:u w:val="dotted"/>
        </w:rPr>
        <w:t xml:space="preserve">               </w:t>
      </w:r>
      <w:r>
        <w:rPr>
          <w:rFonts w:hint="eastAsia" w:ascii="华文仿宋" w:hAnsi="华文仿宋" w:eastAsia="华文仿宋" w:cs="仿宋"/>
          <w:sz w:val="28"/>
          <w:szCs w:val="28"/>
        </w:rPr>
        <w:t>包号：</w:t>
      </w:r>
      <w:r>
        <w:rPr>
          <w:rFonts w:hint="eastAsia" w:ascii="华文仿宋" w:hAnsi="华文仿宋" w:eastAsia="华文仿宋" w:cs="仿宋"/>
          <w:sz w:val="28"/>
          <w:szCs w:val="28"/>
          <w:u w:val="dotted"/>
        </w:rPr>
        <w:t xml:space="preserve">                 </w:t>
      </w:r>
    </w:p>
    <w:p w14:paraId="6C440F66">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采购人名称：</w:t>
      </w:r>
      <w:r>
        <w:rPr>
          <w:rFonts w:hint="eastAsia" w:ascii="华文仿宋" w:hAnsi="华文仿宋" w:eastAsia="华文仿宋" w:cs="仿宋"/>
          <w:sz w:val="28"/>
          <w:szCs w:val="28"/>
          <w:u w:val="dotted"/>
        </w:rPr>
        <w:t xml:space="preserve">                                         </w:t>
      </w:r>
    </w:p>
    <w:p w14:paraId="0E143DAE">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采购文件获取日期：</w:t>
      </w:r>
      <w:r>
        <w:rPr>
          <w:rFonts w:hint="eastAsia" w:ascii="华文仿宋" w:hAnsi="华文仿宋" w:eastAsia="华文仿宋" w:cs="仿宋"/>
          <w:sz w:val="28"/>
          <w:szCs w:val="28"/>
          <w:u w:val="dotted"/>
        </w:rPr>
        <w:t xml:space="preserve">                                           </w:t>
      </w:r>
    </w:p>
    <w:p w14:paraId="13936F6D">
      <w:pPr>
        <w:adjustRightInd w:val="0"/>
        <w:snapToGrid w:val="0"/>
        <w:spacing w:line="560" w:lineRule="exact"/>
        <w:rPr>
          <w:rFonts w:ascii="华文仿宋" w:hAnsi="华文仿宋" w:eastAsia="华文仿宋" w:cs="仿宋"/>
          <w:bCs/>
          <w:sz w:val="28"/>
          <w:szCs w:val="28"/>
        </w:rPr>
      </w:pPr>
      <w:r>
        <w:rPr>
          <w:rFonts w:hint="eastAsia" w:ascii="华文仿宋" w:hAnsi="华文仿宋" w:eastAsia="华文仿宋" w:cs="仿宋"/>
          <w:bCs/>
          <w:sz w:val="28"/>
          <w:szCs w:val="28"/>
        </w:rPr>
        <w:t>三、质疑事项具体内容</w:t>
      </w:r>
    </w:p>
    <w:p w14:paraId="7E1F84C6">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质疑事项1：</w:t>
      </w:r>
      <w:r>
        <w:rPr>
          <w:rFonts w:hint="eastAsia" w:ascii="华文仿宋" w:hAnsi="华文仿宋" w:eastAsia="华文仿宋" w:cs="仿宋"/>
          <w:sz w:val="28"/>
          <w:szCs w:val="28"/>
          <w:u w:val="dotted"/>
        </w:rPr>
        <w:t xml:space="preserve">                                         </w:t>
      </w:r>
    </w:p>
    <w:p w14:paraId="4F8011CE">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事实依据：</w:t>
      </w:r>
      <w:r>
        <w:rPr>
          <w:rFonts w:hint="eastAsia" w:ascii="华文仿宋" w:hAnsi="华文仿宋" w:eastAsia="华文仿宋" w:cs="仿宋"/>
          <w:sz w:val="28"/>
          <w:szCs w:val="28"/>
          <w:u w:val="dotted"/>
        </w:rPr>
        <w:t xml:space="preserve">                                          </w:t>
      </w:r>
    </w:p>
    <w:p w14:paraId="28BE6CF6">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法律依据：</w:t>
      </w:r>
      <w:r>
        <w:rPr>
          <w:rFonts w:hint="eastAsia" w:ascii="华文仿宋" w:hAnsi="华文仿宋" w:eastAsia="华文仿宋" w:cs="仿宋"/>
          <w:sz w:val="28"/>
          <w:szCs w:val="28"/>
          <w:u w:val="dotted"/>
        </w:rPr>
        <w:t xml:space="preserve">                                          </w:t>
      </w:r>
    </w:p>
    <w:p w14:paraId="67D8E919">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质疑事项2</w:t>
      </w:r>
    </w:p>
    <w:p w14:paraId="575585F8">
      <w:pPr>
        <w:adjustRightInd w:val="0"/>
        <w:snapToGrid w:val="0"/>
        <w:spacing w:line="560" w:lineRule="exact"/>
        <w:rPr>
          <w:rFonts w:ascii="华文仿宋" w:hAnsi="华文仿宋" w:eastAsia="华文仿宋" w:cs="仿宋"/>
          <w:sz w:val="28"/>
          <w:szCs w:val="28"/>
        </w:rPr>
      </w:pPr>
      <w:r>
        <w:rPr>
          <w:rFonts w:hint="eastAsia" w:ascii="华文仿宋" w:hAnsi="华文仿宋" w:eastAsia="华文仿宋" w:cs="仿宋"/>
          <w:sz w:val="28"/>
          <w:szCs w:val="28"/>
        </w:rPr>
        <w:t>……</w:t>
      </w:r>
    </w:p>
    <w:p w14:paraId="16E666AC">
      <w:pPr>
        <w:adjustRightInd w:val="0"/>
        <w:snapToGrid w:val="0"/>
        <w:spacing w:line="560" w:lineRule="exact"/>
        <w:rPr>
          <w:rFonts w:ascii="华文仿宋" w:hAnsi="华文仿宋" w:eastAsia="华文仿宋" w:cs="仿宋"/>
          <w:bCs/>
          <w:sz w:val="28"/>
          <w:szCs w:val="28"/>
        </w:rPr>
      </w:pPr>
      <w:r>
        <w:rPr>
          <w:rFonts w:hint="eastAsia" w:ascii="华文仿宋" w:hAnsi="华文仿宋" w:eastAsia="华文仿宋" w:cs="仿宋"/>
          <w:bCs/>
          <w:sz w:val="28"/>
          <w:szCs w:val="28"/>
        </w:rPr>
        <w:t>四、与质疑事项相关的质疑请求</w:t>
      </w:r>
    </w:p>
    <w:p w14:paraId="7F643AB5">
      <w:pPr>
        <w:adjustRightInd w:val="0"/>
        <w:snapToGrid w:val="0"/>
        <w:spacing w:line="560" w:lineRule="exact"/>
        <w:rPr>
          <w:rFonts w:ascii="华文仿宋" w:hAnsi="华文仿宋" w:eastAsia="华文仿宋" w:cs="仿宋"/>
          <w:sz w:val="28"/>
          <w:szCs w:val="28"/>
          <w:u w:val="dotted"/>
        </w:rPr>
      </w:pPr>
      <w:r>
        <w:rPr>
          <w:rFonts w:hint="eastAsia" w:ascii="华文仿宋" w:hAnsi="华文仿宋" w:eastAsia="华文仿宋" w:cs="仿宋"/>
          <w:sz w:val="28"/>
          <w:szCs w:val="28"/>
        </w:rPr>
        <w:t>请求：</w:t>
      </w:r>
      <w:r>
        <w:rPr>
          <w:rFonts w:hint="eastAsia" w:ascii="华文仿宋" w:hAnsi="华文仿宋" w:eastAsia="华文仿宋" w:cs="仿宋"/>
          <w:sz w:val="28"/>
          <w:szCs w:val="28"/>
          <w:u w:val="dotted"/>
        </w:rPr>
        <w:t xml:space="preserve">                                               </w:t>
      </w:r>
    </w:p>
    <w:p w14:paraId="45902142">
      <w:pPr>
        <w:spacing w:line="560" w:lineRule="exact"/>
        <w:rPr>
          <w:rFonts w:ascii="华文仿宋" w:hAnsi="华文仿宋" w:eastAsia="华文仿宋" w:cs="黑体"/>
          <w:sz w:val="28"/>
          <w:szCs w:val="28"/>
        </w:rPr>
      </w:pPr>
      <w:r>
        <w:rPr>
          <w:rFonts w:hint="eastAsia" w:ascii="华文仿宋" w:hAnsi="华文仿宋" w:eastAsia="华文仿宋" w:cs="黑体"/>
          <w:sz w:val="28"/>
          <w:szCs w:val="28"/>
        </w:rPr>
        <w:t xml:space="preserve">签字(签章)：                   公章：                      </w:t>
      </w:r>
    </w:p>
    <w:p w14:paraId="295344FA">
      <w:pPr>
        <w:spacing w:line="560" w:lineRule="exact"/>
        <w:rPr>
          <w:rFonts w:ascii="华文仿宋" w:hAnsi="华文仿宋" w:eastAsia="华文仿宋" w:cs="黑体"/>
          <w:sz w:val="28"/>
          <w:szCs w:val="28"/>
        </w:rPr>
      </w:pPr>
      <w:r>
        <w:rPr>
          <w:rFonts w:hint="eastAsia" w:ascii="华文仿宋" w:hAnsi="华文仿宋" w:eastAsia="华文仿宋" w:cs="黑体"/>
          <w:sz w:val="28"/>
          <w:szCs w:val="28"/>
        </w:rPr>
        <w:t xml:space="preserve">日期：    </w:t>
      </w:r>
    </w:p>
    <w:p w14:paraId="0F780DE3">
      <w:pPr>
        <w:pStyle w:val="66"/>
        <w:snapToGrid w:val="0"/>
        <w:spacing w:line="480" w:lineRule="exact"/>
        <w:textAlignment w:val="auto"/>
        <w:rPr>
          <w:rFonts w:ascii="华文中宋" w:hAnsi="华文中宋" w:eastAsia="华文中宋"/>
        </w:rPr>
      </w:pPr>
    </w:p>
    <w:bookmarkEnd w:id="72"/>
    <w:p w14:paraId="093A5138">
      <w:pPr>
        <w:widowControl/>
        <w:jc w:val="left"/>
        <w:rPr>
          <w:rFonts w:ascii="华文中宋" w:hAnsi="华文中宋" w:eastAsia="华文中宋"/>
          <w:b/>
          <w:spacing w:val="20"/>
          <w:kern w:val="0"/>
          <w:sz w:val="28"/>
          <w:szCs w:val="28"/>
        </w:rPr>
      </w:pPr>
      <w:bookmarkStart w:id="73" w:name="_Toc424378696"/>
      <w:bookmarkStart w:id="74" w:name="_Toc352761948"/>
      <w:bookmarkStart w:id="75" w:name="_Toc28436"/>
      <w:bookmarkStart w:id="76" w:name="_Toc26881702"/>
      <w:r>
        <w:rPr>
          <w:rFonts w:ascii="华文中宋" w:hAnsi="华文中宋" w:eastAsia="华文中宋"/>
          <w:b/>
          <w:spacing w:val="20"/>
          <w:kern w:val="0"/>
          <w:sz w:val="28"/>
          <w:szCs w:val="28"/>
        </w:rPr>
        <w:br w:type="page"/>
      </w:r>
    </w:p>
    <w:p w14:paraId="241CC63E">
      <w:pPr>
        <w:adjustRightInd w:val="0"/>
        <w:snapToGrid w:val="0"/>
        <w:spacing w:line="480" w:lineRule="exact"/>
        <w:ind w:firstLine="2720" w:firstLineChars="850"/>
        <w:textAlignment w:val="baseline"/>
        <w:rPr>
          <w:rFonts w:ascii="华文中宋" w:hAnsi="华文中宋" w:eastAsia="华文中宋"/>
          <w:b/>
          <w:kern w:val="0"/>
          <w:sz w:val="28"/>
          <w:szCs w:val="28"/>
        </w:rPr>
      </w:pPr>
      <w:r>
        <w:rPr>
          <w:rFonts w:hint="eastAsia" w:ascii="华文中宋" w:hAnsi="华文中宋" w:eastAsia="华文中宋"/>
          <w:b/>
          <w:spacing w:val="20"/>
          <w:kern w:val="0"/>
          <w:sz w:val="28"/>
          <w:szCs w:val="28"/>
        </w:rPr>
        <w:t>第四部分   采购需求</w:t>
      </w:r>
    </w:p>
    <w:p w14:paraId="6945B353">
      <w:pPr>
        <w:widowControl/>
        <w:jc w:val="left"/>
        <w:rPr>
          <w:rFonts w:ascii="华文中宋" w:hAnsi="华文中宋" w:eastAsia="华文中宋"/>
          <w:b/>
          <w:szCs w:val="21"/>
        </w:rPr>
      </w:pPr>
    </w:p>
    <w:p w14:paraId="244A8AC5">
      <w:pPr>
        <w:pStyle w:val="48"/>
        <w:widowControl/>
        <w:numPr>
          <w:ilvl w:val="0"/>
          <w:numId w:val="5"/>
        </w:numPr>
        <w:spacing w:line="460" w:lineRule="exact"/>
        <w:ind w:firstLineChars="0"/>
        <w:jc w:val="left"/>
        <w:rPr>
          <w:rFonts w:ascii="宋体" w:hAnsi="宋体"/>
          <w:b/>
          <w:szCs w:val="21"/>
        </w:rPr>
      </w:pPr>
      <w:r>
        <w:rPr>
          <w:rFonts w:hint="eastAsia" w:ascii="宋体" w:hAnsi="宋体"/>
          <w:b/>
          <w:szCs w:val="21"/>
        </w:rPr>
        <w:t>项目概况</w:t>
      </w:r>
    </w:p>
    <w:p w14:paraId="45FB3696">
      <w:pPr>
        <w:widowControl/>
        <w:spacing w:line="460" w:lineRule="exact"/>
        <w:ind w:firstLine="420" w:firstLineChars="200"/>
        <w:jc w:val="left"/>
        <w:rPr>
          <w:rFonts w:hint="eastAsia" w:ascii="宋体" w:hAnsi="宋体"/>
          <w:szCs w:val="21"/>
        </w:rPr>
      </w:pPr>
      <w:r>
        <w:rPr>
          <w:rFonts w:hint="eastAsia" w:ascii="宋体" w:hAnsi="宋体"/>
          <w:szCs w:val="21"/>
          <w:lang w:eastAsia="zh-CN"/>
        </w:rPr>
        <w:t>项目名称：上党区2023年义务教育薄弱环节改善与能力提升设备购置项目</w:t>
      </w:r>
    </w:p>
    <w:p w14:paraId="5400946B">
      <w:pPr>
        <w:widowControl/>
        <w:spacing w:line="460" w:lineRule="exact"/>
        <w:ind w:firstLine="420" w:firstLineChars="200"/>
        <w:jc w:val="left"/>
        <w:rPr>
          <w:rFonts w:hint="eastAsia" w:ascii="宋体" w:hAnsi="宋体"/>
          <w:szCs w:val="21"/>
          <w:lang w:val="en-US" w:eastAsia="zh-CN"/>
        </w:rPr>
      </w:pPr>
      <w:r>
        <w:rPr>
          <w:rFonts w:hint="eastAsia" w:ascii="宋体" w:hAnsi="宋体"/>
          <w:szCs w:val="21"/>
          <w:lang w:eastAsia="zh-CN"/>
        </w:rPr>
        <w:t>采购包</w:t>
      </w:r>
      <w:r>
        <w:rPr>
          <w:rFonts w:hint="eastAsia" w:ascii="宋体" w:hAnsi="宋体"/>
          <w:szCs w:val="21"/>
          <w:lang w:val="en-US" w:eastAsia="zh-CN"/>
        </w:rPr>
        <w:t>1</w:t>
      </w:r>
    </w:p>
    <w:p w14:paraId="6EEF5822">
      <w:pPr>
        <w:widowControl/>
        <w:spacing w:line="460" w:lineRule="exact"/>
        <w:ind w:firstLine="420" w:firstLineChars="200"/>
        <w:jc w:val="left"/>
        <w:rPr>
          <w:rFonts w:hint="default" w:ascii="宋体" w:hAnsi="宋体"/>
          <w:szCs w:val="21"/>
          <w:lang w:val="en-US" w:eastAsia="zh-CN"/>
        </w:rPr>
      </w:pPr>
      <w:r>
        <w:rPr>
          <w:rFonts w:hint="eastAsia" w:ascii="宋体" w:hAnsi="宋体"/>
          <w:szCs w:val="21"/>
          <w:lang w:val="en-US" w:eastAsia="zh-CN"/>
        </w:rPr>
        <w:t>预算金额：4008830元</w:t>
      </w:r>
    </w:p>
    <w:p w14:paraId="4B8105EE">
      <w:pPr>
        <w:widowControl/>
        <w:spacing w:line="460" w:lineRule="exact"/>
        <w:ind w:firstLine="420" w:firstLineChars="200"/>
        <w:jc w:val="left"/>
        <w:rPr>
          <w:rFonts w:ascii="宋体" w:hAnsi="宋体"/>
          <w:szCs w:val="21"/>
        </w:rPr>
      </w:pPr>
      <w:r>
        <w:rPr>
          <w:rFonts w:hint="eastAsia" w:ascii="宋体" w:hAnsi="宋体"/>
          <w:szCs w:val="21"/>
        </w:rPr>
        <w:t>二、</w:t>
      </w:r>
      <w:r>
        <w:rPr>
          <w:rFonts w:hint="eastAsia" w:ascii="宋体" w:hAnsi="宋体"/>
          <w:b/>
          <w:szCs w:val="21"/>
        </w:rPr>
        <w:t>商务要求</w:t>
      </w:r>
    </w:p>
    <w:p w14:paraId="585A8F4E">
      <w:pPr>
        <w:widowControl/>
        <w:spacing w:line="460" w:lineRule="exact"/>
        <w:ind w:firstLine="420" w:firstLineChars="200"/>
        <w:jc w:val="left"/>
        <w:rPr>
          <w:rFonts w:ascii="宋体" w:hAnsi="宋体"/>
          <w:szCs w:val="21"/>
        </w:rPr>
      </w:pPr>
      <w:r>
        <w:rPr>
          <w:rFonts w:hint="eastAsia" w:ascii="宋体" w:hAnsi="宋体"/>
          <w:szCs w:val="21"/>
        </w:rPr>
        <w:t>（一）合同履行期限：合同签订后</w:t>
      </w:r>
      <w:r>
        <w:rPr>
          <w:rFonts w:hint="eastAsia" w:ascii="宋体" w:hAnsi="宋体"/>
          <w:szCs w:val="21"/>
          <w:lang w:val="en-US" w:eastAsia="zh-CN"/>
        </w:rPr>
        <w:t>60</w:t>
      </w:r>
      <w:r>
        <w:rPr>
          <w:rFonts w:hint="eastAsia" w:ascii="宋体" w:hAnsi="宋体"/>
          <w:szCs w:val="21"/>
        </w:rPr>
        <w:t>天内</w:t>
      </w:r>
      <w:r>
        <w:rPr>
          <w:rFonts w:hint="eastAsia" w:ascii="宋体" w:hAnsi="宋体" w:cs="宋体"/>
          <w:bCs/>
          <w:kern w:val="0"/>
          <w:szCs w:val="21"/>
        </w:rPr>
        <w:t>。</w:t>
      </w:r>
    </w:p>
    <w:p w14:paraId="0E72CA39">
      <w:pPr>
        <w:spacing w:line="360" w:lineRule="auto"/>
        <w:ind w:firstLine="420" w:firstLineChars="200"/>
      </w:pPr>
      <w:r>
        <w:rPr>
          <w:rFonts w:hint="eastAsia" w:ascii="宋体" w:hAnsi="宋体"/>
          <w:szCs w:val="21"/>
        </w:rPr>
        <w:t>（二）交货地点：采购人指定地点。</w:t>
      </w:r>
    </w:p>
    <w:p w14:paraId="0FDF754A">
      <w:pPr>
        <w:widowControl/>
        <w:spacing w:line="460" w:lineRule="exact"/>
        <w:ind w:firstLine="420" w:firstLineChars="200"/>
        <w:jc w:val="left"/>
        <w:rPr>
          <w:rFonts w:ascii="宋体" w:hAnsi="宋体"/>
          <w:szCs w:val="21"/>
        </w:rPr>
      </w:pPr>
      <w:r>
        <w:rPr>
          <w:rFonts w:hint="eastAsia" w:ascii="宋体" w:hAnsi="宋体"/>
          <w:szCs w:val="21"/>
        </w:rPr>
        <w:t>（三）</w:t>
      </w:r>
    </w:p>
    <w:tbl>
      <w:tblPr>
        <w:tblStyle w:val="38"/>
        <w:tblW w:w="0" w:type="auto"/>
        <w:tblInd w:w="0" w:type="dxa"/>
        <w:tblLayout w:type="fixed"/>
        <w:tblCellMar>
          <w:top w:w="0" w:type="dxa"/>
          <w:left w:w="108" w:type="dxa"/>
          <w:bottom w:w="0" w:type="dxa"/>
          <w:right w:w="108" w:type="dxa"/>
        </w:tblCellMar>
      </w:tblPr>
      <w:tblGrid>
        <w:gridCol w:w="4608"/>
        <w:gridCol w:w="4320"/>
      </w:tblGrid>
      <w:tr w14:paraId="296D1546">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5BA70F0A">
            <w:pPr>
              <w:autoSpaceDE w:val="0"/>
              <w:autoSpaceDN w:val="0"/>
              <w:adjustRightInd w:val="0"/>
              <w:spacing w:line="360" w:lineRule="auto"/>
              <w:rPr>
                <w:rFonts w:ascii="宋体" w:hAnsi="宋体"/>
                <w:szCs w:val="21"/>
              </w:rPr>
            </w:pPr>
            <w:r>
              <w:rPr>
                <w:rFonts w:hint="eastAsia" w:ascii="宋体" w:hAnsi="宋体"/>
                <w:szCs w:val="21"/>
              </w:rPr>
              <w:t>☑须安装、调试</w:t>
            </w:r>
          </w:p>
        </w:tc>
        <w:tc>
          <w:tcPr>
            <w:tcW w:w="4320" w:type="dxa"/>
            <w:tcBorders>
              <w:top w:val="single" w:color="auto" w:sz="6" w:space="0"/>
              <w:left w:val="single" w:color="auto" w:sz="6" w:space="0"/>
              <w:bottom w:val="single" w:color="auto" w:sz="6" w:space="0"/>
              <w:right w:val="single" w:color="auto" w:sz="6" w:space="0"/>
            </w:tcBorders>
            <w:vAlign w:val="center"/>
          </w:tcPr>
          <w:p w14:paraId="763FD724">
            <w:pPr>
              <w:autoSpaceDE w:val="0"/>
              <w:autoSpaceDN w:val="0"/>
              <w:adjustRightInd w:val="0"/>
              <w:spacing w:line="360" w:lineRule="auto"/>
              <w:rPr>
                <w:rFonts w:ascii="宋体" w:hAnsi="宋体"/>
                <w:szCs w:val="21"/>
              </w:rPr>
            </w:pPr>
            <w:r>
              <w:rPr>
                <w:rFonts w:hint="eastAsia" w:ascii="宋体" w:hAnsi="宋体"/>
                <w:szCs w:val="21"/>
              </w:rPr>
              <w:t>维修响应时间： 0.5小时</w:t>
            </w:r>
          </w:p>
        </w:tc>
      </w:tr>
      <w:tr w14:paraId="0773D471">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3B4EFE78">
            <w:pPr>
              <w:autoSpaceDE w:val="0"/>
              <w:autoSpaceDN w:val="0"/>
              <w:adjustRightInd w:val="0"/>
              <w:spacing w:line="360" w:lineRule="auto"/>
              <w:rPr>
                <w:rFonts w:ascii="宋体" w:hAnsi="宋体"/>
                <w:szCs w:val="21"/>
              </w:rPr>
            </w:pPr>
            <w:r>
              <w:rPr>
                <w:rFonts w:hint="eastAsia" w:ascii="宋体" w:hAnsi="宋体"/>
                <w:szCs w:val="21"/>
              </w:rPr>
              <w:t>☑主要配件、选配件、耗材清单及价格</w:t>
            </w:r>
          </w:p>
        </w:tc>
        <w:tc>
          <w:tcPr>
            <w:tcW w:w="4320" w:type="dxa"/>
            <w:vMerge w:val="restart"/>
            <w:tcBorders>
              <w:top w:val="single" w:color="auto" w:sz="6" w:space="0"/>
              <w:left w:val="single" w:color="auto" w:sz="6" w:space="0"/>
              <w:right w:val="single" w:color="auto" w:sz="6" w:space="0"/>
            </w:tcBorders>
          </w:tcPr>
          <w:p w14:paraId="10A7FCDE">
            <w:pPr>
              <w:autoSpaceDE w:val="0"/>
              <w:autoSpaceDN w:val="0"/>
              <w:adjustRightInd w:val="0"/>
              <w:spacing w:line="240" w:lineRule="exact"/>
              <w:rPr>
                <w:rFonts w:ascii="宋体" w:hAnsi="宋体"/>
                <w:szCs w:val="21"/>
              </w:rPr>
            </w:pPr>
            <w:r>
              <w:rPr>
                <w:rFonts w:hint="eastAsia" w:ascii="宋体" w:hAnsi="宋体"/>
                <w:szCs w:val="21"/>
              </w:rPr>
              <w:t>其他要求（需要有跟踪、驻场服务、技术培训等要求的须明确人员、内容、目标等）。</w:t>
            </w:r>
          </w:p>
        </w:tc>
      </w:tr>
      <w:tr w14:paraId="5620B021">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637CDFFA">
            <w:pPr>
              <w:autoSpaceDE w:val="0"/>
              <w:autoSpaceDN w:val="0"/>
              <w:adjustRightInd w:val="0"/>
              <w:spacing w:line="360" w:lineRule="auto"/>
              <w:rPr>
                <w:rFonts w:ascii="宋体" w:hAnsi="宋体"/>
                <w:szCs w:val="21"/>
              </w:rPr>
            </w:pPr>
            <w:r>
              <w:rPr>
                <w:rFonts w:hint="eastAsia" w:ascii="宋体" w:hAnsi="宋体"/>
                <w:szCs w:val="21"/>
              </w:rPr>
              <w:t>☑须提供制造商服务、技术培训、辅导</w:t>
            </w:r>
          </w:p>
        </w:tc>
        <w:tc>
          <w:tcPr>
            <w:tcW w:w="4320" w:type="dxa"/>
            <w:vMerge w:val="continue"/>
            <w:tcBorders>
              <w:left w:val="single" w:color="auto" w:sz="6" w:space="0"/>
              <w:right w:val="single" w:color="auto" w:sz="6" w:space="0"/>
            </w:tcBorders>
            <w:vAlign w:val="center"/>
          </w:tcPr>
          <w:p w14:paraId="64DE1929">
            <w:pPr>
              <w:autoSpaceDE w:val="0"/>
              <w:autoSpaceDN w:val="0"/>
              <w:adjustRightInd w:val="0"/>
              <w:spacing w:line="360" w:lineRule="auto"/>
              <w:rPr>
                <w:rFonts w:ascii="宋体" w:hAnsi="宋体"/>
                <w:szCs w:val="21"/>
              </w:rPr>
            </w:pPr>
          </w:p>
        </w:tc>
      </w:tr>
      <w:tr w14:paraId="65E3A36E">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205BC35E">
            <w:pPr>
              <w:autoSpaceDE w:val="0"/>
              <w:autoSpaceDN w:val="0"/>
              <w:adjustRightInd w:val="0"/>
              <w:spacing w:line="360" w:lineRule="auto"/>
              <w:rPr>
                <w:rFonts w:ascii="宋体" w:hAnsi="宋体"/>
                <w:szCs w:val="21"/>
              </w:rPr>
            </w:pPr>
            <w:r>
              <w:rPr>
                <w:rFonts w:hint="eastAsia" w:ascii="宋体" w:hAnsi="宋体"/>
                <w:szCs w:val="21"/>
              </w:rPr>
              <w:t>☑须提供售后服务网点、人员、设施情况</w:t>
            </w:r>
          </w:p>
        </w:tc>
        <w:tc>
          <w:tcPr>
            <w:tcW w:w="4320" w:type="dxa"/>
            <w:vMerge w:val="continue"/>
            <w:tcBorders>
              <w:left w:val="single" w:color="auto" w:sz="6" w:space="0"/>
              <w:bottom w:val="single" w:color="auto" w:sz="6" w:space="0"/>
              <w:right w:val="single" w:color="auto" w:sz="6" w:space="0"/>
            </w:tcBorders>
            <w:vAlign w:val="center"/>
          </w:tcPr>
          <w:p w14:paraId="2468DAD2">
            <w:pPr>
              <w:autoSpaceDE w:val="0"/>
              <w:autoSpaceDN w:val="0"/>
              <w:adjustRightInd w:val="0"/>
              <w:spacing w:line="360" w:lineRule="auto"/>
              <w:rPr>
                <w:rFonts w:ascii="宋体" w:hAnsi="宋体"/>
                <w:szCs w:val="21"/>
              </w:rPr>
            </w:pPr>
          </w:p>
        </w:tc>
      </w:tr>
    </w:tbl>
    <w:p w14:paraId="1014025E">
      <w:pPr>
        <w:widowControl/>
        <w:spacing w:line="460" w:lineRule="exact"/>
        <w:jc w:val="left"/>
        <w:rPr>
          <w:rFonts w:ascii="宋体" w:hAnsi="宋体"/>
          <w:szCs w:val="21"/>
        </w:rPr>
      </w:pPr>
    </w:p>
    <w:p w14:paraId="31CBE394">
      <w:pPr>
        <w:widowControl/>
        <w:numPr>
          <w:ilvl w:val="0"/>
          <w:numId w:val="6"/>
        </w:numPr>
        <w:spacing w:line="460" w:lineRule="exact"/>
        <w:ind w:firstLine="420" w:firstLineChars="200"/>
        <w:jc w:val="left"/>
        <w:rPr>
          <w:rFonts w:hint="eastAsia" w:ascii="宋体" w:hAnsi="宋体"/>
          <w:szCs w:val="21"/>
          <w:lang w:eastAsia="zh-CN"/>
        </w:rPr>
      </w:pPr>
      <w:r>
        <w:rPr>
          <w:rFonts w:hint="eastAsia" w:ascii="宋体" w:hAnsi="宋体"/>
          <w:szCs w:val="21"/>
        </w:rPr>
        <w:t>付款条件：</w:t>
      </w:r>
      <w:r>
        <w:rPr>
          <w:rFonts w:hint="eastAsia" w:ascii="宋体" w:hAnsi="宋体"/>
          <w:szCs w:val="21"/>
          <w:lang w:eastAsia="zh-CN"/>
        </w:rPr>
        <w:t>供货到各学校且验收合格后，各学校一次性支付。</w:t>
      </w:r>
    </w:p>
    <w:p w14:paraId="5E31650E">
      <w:pPr>
        <w:widowControl/>
        <w:numPr>
          <w:ilvl w:val="0"/>
          <w:numId w:val="0"/>
        </w:numPr>
        <w:spacing w:line="460" w:lineRule="exact"/>
        <w:ind w:firstLine="420" w:firstLineChars="200"/>
        <w:jc w:val="left"/>
        <w:rPr>
          <w:rFonts w:ascii="宋体" w:hAnsi="宋体"/>
          <w:szCs w:val="21"/>
        </w:rPr>
      </w:pPr>
      <w:r>
        <w:rPr>
          <w:rFonts w:hint="eastAsia" w:ascii="宋体" w:hAnsi="宋体"/>
          <w:szCs w:val="21"/>
        </w:rPr>
        <w:t xml:space="preserve">（五）履约保证金： </w:t>
      </w:r>
    </w:p>
    <w:p w14:paraId="3A8C8ED1">
      <w:pPr>
        <w:widowControl/>
        <w:spacing w:line="460" w:lineRule="exact"/>
        <w:ind w:firstLine="420" w:firstLineChars="200"/>
        <w:jc w:val="left"/>
        <w:rPr>
          <w:rFonts w:ascii="宋体" w:hAnsi="宋体"/>
          <w:szCs w:val="21"/>
        </w:rPr>
      </w:pPr>
      <w:r>
        <w:rPr>
          <w:rFonts w:hint="eastAsia" w:ascii="宋体" w:hAnsi="宋体"/>
          <w:szCs w:val="21"/>
        </w:rPr>
        <w:t>1．本项目不要求中标人提交履约保证金。</w:t>
      </w:r>
    </w:p>
    <w:p w14:paraId="2D4E2D54">
      <w:pPr>
        <w:widowControl/>
        <w:spacing w:line="460" w:lineRule="exact"/>
        <w:ind w:firstLine="420" w:firstLineChars="200"/>
        <w:jc w:val="left"/>
        <w:rPr>
          <w:rFonts w:ascii="宋体" w:hAnsi="宋体"/>
          <w:szCs w:val="21"/>
        </w:rPr>
      </w:pPr>
      <w:r>
        <w:rPr>
          <w:rFonts w:hint="eastAsia" w:ascii="宋体" w:hAnsi="宋体"/>
          <w:szCs w:val="21"/>
        </w:rPr>
        <w:t>2．中标人收到中标通知书后，在签订合同前5日内，向采购人提交合同额（/）%的履约保证金。</w:t>
      </w:r>
    </w:p>
    <w:p w14:paraId="30C8AE2C">
      <w:pPr>
        <w:widowControl/>
        <w:spacing w:line="460" w:lineRule="exact"/>
        <w:ind w:firstLine="420" w:firstLineChars="200"/>
        <w:jc w:val="left"/>
        <w:rPr>
          <w:rFonts w:ascii="宋体" w:hAnsi="宋体"/>
          <w:szCs w:val="21"/>
        </w:rPr>
      </w:pPr>
      <w:r>
        <w:rPr>
          <w:rFonts w:hint="eastAsia" w:ascii="宋体" w:hAnsi="宋体"/>
          <w:szCs w:val="21"/>
        </w:rPr>
        <w:t>3．提交履约保证金按照采购人的要求以支票、汇票、本票或者金融机构、担保机构出具的保函等非现金形式提交。</w:t>
      </w:r>
    </w:p>
    <w:p w14:paraId="3BE466C8">
      <w:pPr>
        <w:widowControl/>
        <w:spacing w:line="460" w:lineRule="exact"/>
        <w:ind w:firstLine="420" w:firstLineChars="200"/>
        <w:jc w:val="left"/>
        <w:rPr>
          <w:rFonts w:ascii="宋体" w:hAnsi="宋体"/>
          <w:szCs w:val="21"/>
        </w:rPr>
      </w:pPr>
      <w:r>
        <w:rPr>
          <w:rFonts w:hint="eastAsia" w:ascii="宋体" w:hAnsi="宋体"/>
          <w:szCs w:val="21"/>
        </w:rPr>
        <w:t>4．中标人合同主要义务履行完毕，中标人缴纳的履约保证金自项目验收合格之日起（/）工作日内采购人无息退还。</w:t>
      </w:r>
    </w:p>
    <w:p w14:paraId="6F51B0EF">
      <w:pPr>
        <w:widowControl/>
        <w:spacing w:line="460" w:lineRule="exact"/>
        <w:ind w:firstLine="420" w:firstLineChars="200"/>
        <w:jc w:val="left"/>
        <w:rPr>
          <w:rFonts w:ascii="宋体" w:hAnsi="宋体"/>
          <w:szCs w:val="21"/>
        </w:rPr>
      </w:pPr>
      <w:r>
        <w:rPr>
          <w:rFonts w:hint="eastAsia" w:ascii="宋体" w:hAnsi="宋体"/>
          <w:szCs w:val="21"/>
        </w:rPr>
        <w:t>（六）运输要求：保证货物及时无误运输至交货地点，货物到达指定地点，采购人确认无误后，运输结束。</w:t>
      </w:r>
    </w:p>
    <w:p w14:paraId="69FD21A9">
      <w:pPr>
        <w:widowControl/>
        <w:spacing w:line="460" w:lineRule="exact"/>
        <w:ind w:firstLine="420" w:firstLineChars="200"/>
        <w:jc w:val="left"/>
        <w:rPr>
          <w:rFonts w:ascii="宋体" w:hAnsi="宋体"/>
          <w:szCs w:val="21"/>
        </w:rPr>
      </w:pPr>
      <w:r>
        <w:rPr>
          <w:rFonts w:hint="eastAsia" w:ascii="宋体" w:hAnsi="宋体"/>
          <w:szCs w:val="21"/>
        </w:rPr>
        <w:t>（七）保险要求：报价中包含所有货物的保险费用，不再另外收费。</w:t>
      </w:r>
    </w:p>
    <w:p w14:paraId="1FEDB186">
      <w:pPr>
        <w:widowControl/>
        <w:spacing w:line="460" w:lineRule="exact"/>
        <w:ind w:firstLine="420" w:firstLineChars="200"/>
        <w:jc w:val="left"/>
        <w:rPr>
          <w:rFonts w:ascii="宋体" w:hAnsi="宋体"/>
          <w:szCs w:val="21"/>
        </w:rPr>
      </w:pPr>
      <w:r>
        <w:rPr>
          <w:rFonts w:hint="eastAsia" w:ascii="宋体" w:hAnsi="宋体"/>
          <w:szCs w:val="21"/>
        </w:rPr>
        <w:t>（八）商品包装和快递包装要求：所供商品包装符合《商品包装政府采购需求标准（试行）》，快递包装符合《快递包装政府采购需求标准（试行）》。</w:t>
      </w:r>
    </w:p>
    <w:p w14:paraId="0491AA65">
      <w:pPr>
        <w:pStyle w:val="47"/>
        <w:ind w:firstLine="420" w:firstLineChars="200"/>
        <w:rPr>
          <w:rFonts w:ascii="宋体" w:hAnsi="宋体" w:eastAsia="宋体"/>
          <w:sz w:val="21"/>
          <w:szCs w:val="21"/>
        </w:rPr>
      </w:pPr>
      <w:r>
        <w:rPr>
          <w:rFonts w:hint="eastAsia" w:ascii="宋体" w:hAnsi="宋体" w:eastAsia="宋体"/>
          <w:sz w:val="21"/>
          <w:szCs w:val="21"/>
        </w:rPr>
        <w:t>（九）质保期：</w:t>
      </w:r>
      <w:r>
        <w:rPr>
          <w:rFonts w:hint="eastAsia" w:ascii="仿宋" w:hAnsi="仿宋" w:eastAsia="仿宋"/>
          <w:b w:val="0"/>
          <w:bCs/>
          <w:sz w:val="24"/>
          <w:lang w:val="en-US" w:eastAsia="zh-CN"/>
        </w:rPr>
        <w:t>≥一年</w:t>
      </w:r>
    </w:p>
    <w:p w14:paraId="6C415073">
      <w:pPr>
        <w:pStyle w:val="47"/>
        <w:ind w:firstLine="210" w:firstLineChars="100"/>
        <w:rPr>
          <w:rFonts w:ascii="宋体" w:hAnsi="宋体" w:eastAsia="宋体"/>
          <w:sz w:val="21"/>
          <w:szCs w:val="21"/>
        </w:rPr>
      </w:pPr>
      <w:r>
        <w:rPr>
          <w:rFonts w:hint="eastAsia" w:ascii="宋体" w:hAnsi="宋体" w:eastAsia="宋体"/>
          <w:sz w:val="21"/>
          <w:szCs w:val="21"/>
        </w:rPr>
        <w:t>（十）其他商务要求：供应商应保证提供的货物和服务不会引起第三方提出侵犯其他人的知识产权，若发生类似纠纷，供应商负责全部责任。</w:t>
      </w:r>
    </w:p>
    <w:p w14:paraId="7C191A84">
      <w:pPr>
        <w:widowControl/>
        <w:spacing w:line="460" w:lineRule="exact"/>
        <w:ind w:firstLine="420" w:firstLineChars="200"/>
        <w:jc w:val="left"/>
        <w:rPr>
          <w:rFonts w:ascii="宋体" w:hAnsi="宋体"/>
          <w:b/>
          <w:szCs w:val="21"/>
        </w:rPr>
      </w:pPr>
      <w:r>
        <w:rPr>
          <w:rFonts w:hint="eastAsia" w:ascii="宋体" w:hAnsi="宋体"/>
          <w:b/>
          <w:szCs w:val="21"/>
        </w:rPr>
        <w:t>三、技术要求</w:t>
      </w:r>
    </w:p>
    <w:p w14:paraId="17BB3E9C">
      <w:pPr>
        <w:widowControl/>
        <w:spacing w:line="460" w:lineRule="exact"/>
        <w:ind w:firstLine="420" w:firstLineChars="200"/>
        <w:jc w:val="left"/>
        <w:rPr>
          <w:rFonts w:ascii="宋体" w:hAnsi="宋体"/>
          <w:szCs w:val="21"/>
        </w:rPr>
      </w:pPr>
      <w:r>
        <w:rPr>
          <w:rFonts w:hint="eastAsia" w:ascii="宋体" w:hAnsi="宋体"/>
          <w:szCs w:val="21"/>
        </w:rPr>
        <w:t>采购需求或性能描述详见本招标文件最后采购明细表及服务方案。</w:t>
      </w:r>
    </w:p>
    <w:p w14:paraId="1700347E">
      <w:pPr>
        <w:widowControl/>
        <w:spacing w:line="460" w:lineRule="exact"/>
        <w:ind w:firstLine="420" w:firstLineChars="200"/>
        <w:jc w:val="left"/>
        <w:rPr>
          <w:rFonts w:ascii="宋体" w:hAnsi="宋体"/>
          <w:szCs w:val="21"/>
        </w:rPr>
      </w:pPr>
      <w:r>
        <w:rPr>
          <w:rFonts w:hint="eastAsia" w:ascii="宋体" w:hAnsi="宋体"/>
          <w:szCs w:val="21"/>
        </w:rPr>
        <w:t>（一）技术要求响应内容编排顺序：投标人应按照技术要求中的序号顺序编制技术要求响应内容。</w:t>
      </w:r>
    </w:p>
    <w:p w14:paraId="57A158C0">
      <w:pPr>
        <w:widowControl/>
        <w:spacing w:line="460" w:lineRule="exact"/>
        <w:ind w:firstLine="420" w:firstLineChars="200"/>
        <w:jc w:val="left"/>
        <w:rPr>
          <w:rFonts w:ascii="宋体" w:hAnsi="宋体"/>
          <w:szCs w:val="21"/>
        </w:rPr>
      </w:pPr>
      <w:r>
        <w:rPr>
          <w:rFonts w:hint="eastAsia" w:ascii="宋体" w:hAnsi="宋体"/>
          <w:szCs w:val="21"/>
        </w:rPr>
        <w:t>（二）技术要求响应内容的作用：投标人所提供的技术要求响应内容是评标委员会及其成员评定投报标的物是否实质性响应招标文件技术要求以及综合比较与评价的依据。</w:t>
      </w:r>
    </w:p>
    <w:p w14:paraId="2033D92E">
      <w:pPr>
        <w:widowControl/>
        <w:spacing w:line="460" w:lineRule="exact"/>
        <w:ind w:firstLine="420" w:firstLineChars="200"/>
        <w:jc w:val="left"/>
        <w:rPr>
          <w:rFonts w:ascii="宋体" w:hAnsi="宋体"/>
          <w:szCs w:val="21"/>
        </w:rPr>
      </w:pPr>
      <w:r>
        <w:rPr>
          <w:rFonts w:hint="eastAsia" w:ascii="宋体" w:hAnsi="宋体"/>
          <w:szCs w:val="21"/>
        </w:rPr>
        <w:t>（三）技术要求响应内容的要求：</w:t>
      </w:r>
    </w:p>
    <w:p w14:paraId="57CECF91">
      <w:pPr>
        <w:widowControl/>
        <w:spacing w:line="460" w:lineRule="exact"/>
        <w:ind w:firstLine="420" w:firstLineChars="200"/>
        <w:jc w:val="left"/>
        <w:rPr>
          <w:rFonts w:ascii="宋体" w:hAnsi="宋体"/>
          <w:szCs w:val="21"/>
        </w:rPr>
      </w:pPr>
      <w:r>
        <w:rPr>
          <w:rFonts w:hint="eastAsia" w:ascii="宋体" w:hAnsi="宋体"/>
          <w:szCs w:val="21"/>
        </w:rPr>
        <w:t>1.技术要求响应内容应同投报标的物品牌型号一致；</w:t>
      </w:r>
    </w:p>
    <w:p w14:paraId="29026E86">
      <w:pPr>
        <w:widowControl/>
        <w:spacing w:line="460" w:lineRule="exact"/>
        <w:ind w:firstLine="420" w:firstLineChars="200"/>
        <w:jc w:val="left"/>
        <w:rPr>
          <w:rFonts w:ascii="宋体" w:hAnsi="宋体"/>
          <w:szCs w:val="21"/>
        </w:rPr>
      </w:pPr>
      <w:r>
        <w:rPr>
          <w:rFonts w:hint="eastAsia" w:ascii="宋体" w:hAnsi="宋体"/>
          <w:szCs w:val="21"/>
        </w:rPr>
        <w:t>2．能够证明投报标的物满足招标文件技术要求的证明材料，证明材料包括但不限于投报标的物公开发行的产品说明书或手册等（主要技术指标必须提供至少一种证明材料，若未提供，视为无效投标）；</w:t>
      </w:r>
    </w:p>
    <w:p w14:paraId="694C3272">
      <w:pPr>
        <w:widowControl/>
        <w:spacing w:line="460" w:lineRule="exact"/>
        <w:ind w:firstLine="420" w:firstLineChars="200"/>
        <w:jc w:val="left"/>
        <w:rPr>
          <w:rFonts w:ascii="宋体" w:hAnsi="宋体"/>
          <w:szCs w:val="21"/>
        </w:rPr>
      </w:pPr>
      <w:r>
        <w:rPr>
          <w:rFonts w:hint="eastAsia" w:ascii="宋体" w:hAnsi="宋体"/>
          <w:szCs w:val="21"/>
        </w:rPr>
        <w:t>3．项目实施过程中所需的主要辅材（若涉及，投标人按品牌、型号、产地、单价、数量。自行列表响应）；</w:t>
      </w:r>
    </w:p>
    <w:p w14:paraId="113B371A">
      <w:pPr>
        <w:widowControl/>
        <w:spacing w:line="460" w:lineRule="exact"/>
        <w:ind w:firstLine="420" w:firstLineChars="200"/>
        <w:jc w:val="left"/>
        <w:rPr>
          <w:rFonts w:ascii="宋体" w:hAnsi="宋体"/>
          <w:szCs w:val="21"/>
        </w:rPr>
      </w:pPr>
      <w:r>
        <w:rPr>
          <w:rFonts w:hint="eastAsia" w:ascii="宋体" w:hAnsi="宋体"/>
          <w:szCs w:val="21"/>
        </w:rPr>
        <w:t>4．投标人认为需要提供的其他技术要求响应内容。</w:t>
      </w:r>
    </w:p>
    <w:p w14:paraId="787E443A">
      <w:pPr>
        <w:widowControl/>
        <w:spacing w:line="460" w:lineRule="exact"/>
        <w:ind w:firstLine="420" w:firstLineChars="200"/>
        <w:jc w:val="left"/>
        <w:rPr>
          <w:rFonts w:ascii="宋体" w:hAnsi="宋体"/>
          <w:b/>
          <w:szCs w:val="21"/>
        </w:rPr>
      </w:pPr>
      <w:r>
        <w:rPr>
          <w:rFonts w:hint="eastAsia" w:ascii="宋体" w:hAnsi="宋体"/>
          <w:b/>
          <w:szCs w:val="21"/>
        </w:rPr>
        <w:t>四、服务要求</w:t>
      </w:r>
    </w:p>
    <w:p w14:paraId="3938A4DD">
      <w:pPr>
        <w:widowControl/>
        <w:spacing w:line="460" w:lineRule="exact"/>
        <w:ind w:firstLine="420" w:firstLineChars="200"/>
        <w:jc w:val="left"/>
        <w:rPr>
          <w:rFonts w:ascii="宋体" w:hAnsi="宋体"/>
          <w:szCs w:val="21"/>
        </w:rPr>
      </w:pPr>
      <w:r>
        <w:rPr>
          <w:rFonts w:hint="eastAsia" w:ascii="宋体" w:hAnsi="宋体"/>
          <w:szCs w:val="21"/>
        </w:rPr>
        <w:t>（一）服务方案响应情况：实施时间进度表、实施交付使用标准、保障措施、培训承诺等。</w:t>
      </w:r>
    </w:p>
    <w:p w14:paraId="1E1D891A">
      <w:pPr>
        <w:widowControl/>
        <w:spacing w:line="460" w:lineRule="exact"/>
        <w:ind w:firstLine="420" w:firstLineChars="200"/>
        <w:jc w:val="left"/>
        <w:rPr>
          <w:rFonts w:ascii="宋体" w:hAnsi="宋体"/>
          <w:szCs w:val="21"/>
        </w:rPr>
      </w:pPr>
      <w:r>
        <w:rPr>
          <w:rFonts w:hint="eastAsia" w:ascii="宋体" w:hAnsi="宋体"/>
          <w:szCs w:val="21"/>
        </w:rPr>
        <w:t>（二）售后服务响应情况：售后服务体系（售后服务网点、人员、设施情况，售后联系方式）、售后服务响应机制、维修承诺等。</w:t>
      </w:r>
    </w:p>
    <w:p w14:paraId="76DC08DE">
      <w:pPr>
        <w:pStyle w:val="47"/>
        <w:rPr>
          <w:rFonts w:ascii="宋体" w:hAnsi="宋体" w:eastAsia="宋体"/>
          <w:sz w:val="21"/>
          <w:szCs w:val="21"/>
        </w:rPr>
      </w:pPr>
      <w:r>
        <w:rPr>
          <w:rFonts w:hint="eastAsia"/>
        </w:rPr>
        <w:t xml:space="preserve"> </w:t>
      </w:r>
      <w:r>
        <w:rPr>
          <w:rFonts w:hint="eastAsia" w:ascii="宋体" w:hAnsi="宋体" w:eastAsia="宋体"/>
          <w:sz w:val="21"/>
          <w:szCs w:val="21"/>
        </w:rPr>
        <w:t xml:space="preserve">  （三）售后服务要求</w:t>
      </w:r>
    </w:p>
    <w:p w14:paraId="1B6B69DE">
      <w:pPr>
        <w:spacing w:line="360" w:lineRule="auto"/>
        <w:jc w:val="left"/>
        <w:rPr>
          <w:rFonts w:ascii="宋体" w:hAnsi="宋体"/>
          <w:szCs w:val="21"/>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在质保期内非采购人的人为原因或不可抗拒的自然灾害出现的产品质量问题，由中标人负责包修或包换，并承担因此产生的一切费用；客户如遇故障而影响正常使用时，供应商负责免费及时维修换新，确保用户正常使用；</w:t>
      </w:r>
    </w:p>
    <w:p w14:paraId="2707E4F6">
      <w:pPr>
        <w:spacing w:line="360" w:lineRule="auto"/>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ascii="宋体" w:hAnsi="宋体"/>
          <w:szCs w:val="21"/>
        </w:rPr>
        <w:t>②</w:t>
      </w:r>
      <w:r>
        <w:rPr>
          <w:rFonts w:hint="eastAsia" w:ascii="宋体" w:hAnsi="宋体"/>
          <w:szCs w:val="21"/>
        </w:rPr>
        <w:fldChar w:fldCharType="end"/>
      </w:r>
      <w:r>
        <w:rPr>
          <w:rFonts w:hint="eastAsia" w:ascii="宋体" w:hAnsi="宋体"/>
          <w:szCs w:val="21"/>
        </w:rPr>
        <w:t>质保期内中标人需指定至少两名技术人员为采购人提供售后保障服务，一般故障，30分钟内专业技术人员响应，1小时内到现场进行维修；复杂故障24小时内解决，不能排除的提供备品，不影响用户使用；</w:t>
      </w:r>
    </w:p>
    <w:p w14:paraId="1A4945A0">
      <w:pPr>
        <w:spacing w:line="360" w:lineRule="auto"/>
        <w:ind w:firstLine="420" w:firstLineChars="200"/>
        <w:jc w:val="left"/>
        <w:rPr>
          <w:rFonts w:ascii="宋体" w:hAnsi="宋体"/>
          <w:szCs w:val="21"/>
        </w:rPr>
      </w:pPr>
      <w:r>
        <w:rPr>
          <w:rFonts w:ascii="宋体" w:hAnsi="宋体"/>
          <w:szCs w:val="21"/>
        </w:rPr>
        <w:t>③</w:t>
      </w:r>
      <w:r>
        <w:rPr>
          <w:rFonts w:hint="eastAsia" w:ascii="宋体" w:hAnsi="宋体"/>
          <w:szCs w:val="21"/>
        </w:rPr>
        <w:t>质保期内中标人需保障至少每季度对所有产品运行状态进行一次巡查巡检，保障设备的运行状态，及时排除设备故障风险，并做好巡检记录，由采购人代表签字确认；</w:t>
      </w:r>
    </w:p>
    <w:p w14:paraId="399233A7">
      <w:pPr>
        <w:spacing w:line="360" w:lineRule="auto"/>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 4 \* GB3 \* MERGEFORMAT </w:instrText>
      </w:r>
      <w:r>
        <w:rPr>
          <w:rFonts w:hint="eastAsia" w:ascii="宋体" w:hAnsi="宋体"/>
          <w:szCs w:val="21"/>
        </w:rPr>
        <w:fldChar w:fldCharType="separate"/>
      </w:r>
      <w:r>
        <w:rPr>
          <w:rFonts w:ascii="宋体" w:hAnsi="宋体"/>
          <w:szCs w:val="21"/>
        </w:rPr>
        <w:t>④</w:t>
      </w:r>
      <w:r>
        <w:rPr>
          <w:rFonts w:hint="eastAsia" w:ascii="宋体" w:hAnsi="宋体"/>
          <w:szCs w:val="21"/>
        </w:rPr>
        <w:fldChar w:fldCharType="end"/>
      </w:r>
      <w:r>
        <w:rPr>
          <w:rFonts w:hint="eastAsia" w:ascii="宋体" w:hAnsi="宋体"/>
          <w:szCs w:val="21"/>
        </w:rPr>
        <w:t>质保期内如遇重大活动，中标人需根据甲方要求及时安排相关人员进行现场保障工作。</w:t>
      </w:r>
    </w:p>
    <w:p w14:paraId="41E35C71">
      <w:pPr>
        <w:pStyle w:val="47"/>
        <w:rPr>
          <w:rFonts w:ascii="宋体" w:hAnsi="宋体" w:eastAsia="宋体"/>
          <w:sz w:val="21"/>
          <w:szCs w:val="21"/>
        </w:rPr>
      </w:pPr>
    </w:p>
    <w:p w14:paraId="39728AC6">
      <w:pPr>
        <w:widowControl/>
        <w:spacing w:line="460" w:lineRule="exact"/>
        <w:ind w:firstLine="420" w:firstLineChars="200"/>
        <w:jc w:val="left"/>
        <w:rPr>
          <w:rFonts w:ascii="宋体" w:hAnsi="宋体"/>
          <w:b/>
          <w:szCs w:val="21"/>
        </w:rPr>
      </w:pPr>
    </w:p>
    <w:p w14:paraId="4C17C375">
      <w:pPr>
        <w:widowControl/>
        <w:spacing w:line="460" w:lineRule="exact"/>
        <w:ind w:firstLine="420" w:firstLineChars="200"/>
        <w:jc w:val="left"/>
        <w:rPr>
          <w:rFonts w:ascii="宋体" w:hAnsi="宋体"/>
          <w:b/>
          <w:szCs w:val="21"/>
        </w:rPr>
      </w:pPr>
      <w:r>
        <w:rPr>
          <w:rFonts w:hint="eastAsia" w:ascii="宋体" w:hAnsi="宋体"/>
          <w:b/>
          <w:szCs w:val="21"/>
        </w:rPr>
        <w:t>五、验收标准</w:t>
      </w:r>
    </w:p>
    <w:p w14:paraId="5547CF53">
      <w:pPr>
        <w:widowControl/>
        <w:spacing w:line="460" w:lineRule="exact"/>
        <w:ind w:firstLine="420" w:firstLineChars="200"/>
        <w:jc w:val="left"/>
        <w:rPr>
          <w:rFonts w:ascii="宋体" w:hAnsi="宋体"/>
          <w:szCs w:val="21"/>
        </w:rPr>
      </w:pPr>
      <w:r>
        <w:rPr>
          <w:rFonts w:hint="eastAsia" w:ascii="宋体" w:hAnsi="宋体"/>
          <w:szCs w:val="21"/>
        </w:rPr>
        <w:t>1.采购人成立验收小组，根据招标文件、投标文件、投标人的承诺、双方签订的合同内容进行验收。验收中涉及相关费用的，须由中标人负责。</w:t>
      </w:r>
    </w:p>
    <w:p w14:paraId="0864D948">
      <w:pPr>
        <w:adjustRightInd w:val="0"/>
        <w:snapToGrid w:val="0"/>
        <w:spacing w:line="480" w:lineRule="exact"/>
        <w:ind w:firstLine="420" w:firstLineChars="200"/>
        <w:rPr>
          <w:rFonts w:ascii="宋体" w:hAnsi="宋体"/>
          <w:szCs w:val="21"/>
        </w:rPr>
      </w:pPr>
      <w:r>
        <w:rPr>
          <w:rFonts w:hint="eastAsia" w:ascii="宋体" w:hAnsi="宋体"/>
          <w:szCs w:val="21"/>
        </w:rPr>
        <w:t>2.中标货物的验收均严格按照《山西省财政厅关于印发﹤加强政府采购需求确定和履约验收管理办法﹥的通知》（晋财购〔2020〕1号）相关要求执行。</w:t>
      </w:r>
    </w:p>
    <w:p w14:paraId="13FEF062">
      <w:pPr>
        <w:adjustRightInd w:val="0"/>
        <w:snapToGrid w:val="0"/>
        <w:spacing w:line="480" w:lineRule="exact"/>
        <w:ind w:firstLine="420" w:firstLineChars="200"/>
        <w:rPr>
          <w:rFonts w:ascii="宋体" w:hAnsi="宋体"/>
          <w:szCs w:val="21"/>
        </w:rPr>
      </w:pPr>
      <w:r>
        <w:rPr>
          <w:rFonts w:hint="eastAsia" w:ascii="宋体" w:hAnsi="宋体"/>
          <w:szCs w:val="21"/>
        </w:rPr>
        <w:t>3.交货时要求中标人就中标产品提供生产厂家完整的随机资料，包括完整的使用和维修手册、产品说明书等。</w:t>
      </w:r>
    </w:p>
    <w:p w14:paraId="066BF76C">
      <w:pPr>
        <w:spacing w:line="560" w:lineRule="exact"/>
        <w:ind w:firstLine="420" w:firstLineChars="200"/>
        <w:jc w:val="left"/>
        <w:rPr>
          <w:rFonts w:ascii="宋体" w:hAnsi="宋体"/>
          <w:szCs w:val="21"/>
        </w:rPr>
      </w:pPr>
      <w:r>
        <w:rPr>
          <w:rFonts w:hint="eastAsia" w:ascii="宋体" w:hAnsi="宋体"/>
          <w:szCs w:val="21"/>
        </w:rPr>
        <w:t xml:space="preserve">   4、</w:t>
      </w:r>
      <w:r>
        <w:rPr>
          <w:rFonts w:hint="eastAsia" w:ascii="宋体" w:hAnsi="宋体"/>
          <w:b/>
          <w:szCs w:val="21"/>
        </w:rPr>
        <w:t>履约验收程序</w:t>
      </w:r>
    </w:p>
    <w:p w14:paraId="51F45B8B">
      <w:pPr>
        <w:spacing w:line="560" w:lineRule="exact"/>
        <w:ind w:firstLine="420" w:firstLineChars="200"/>
        <w:jc w:val="left"/>
        <w:rPr>
          <w:rFonts w:ascii="宋体" w:hAnsi="宋体"/>
          <w:szCs w:val="21"/>
        </w:rPr>
      </w:pPr>
      <w:r>
        <w:rPr>
          <w:rFonts w:hint="eastAsia" w:ascii="宋体" w:hAnsi="宋体"/>
          <w:szCs w:val="21"/>
        </w:rPr>
        <w:t>阶段一：设备、材料进场验收，合同设备和软件到达现场后由项目单位指定收货人会同监理、供应商按照合同要求及相关国家标准对进场的设备（包括配件）、材料、软件等外观、品牌、规格型号、数量进行开箱检验，并检查设备加电测试是否通过，以上检验仅表示项目单位对供应商所供货物的数量、品牌、型号等予以核对，并不免除乙方对货物的瑕疵、担保责任及供应商的其他义务。</w:t>
      </w:r>
    </w:p>
    <w:p w14:paraId="44196FAA">
      <w:pPr>
        <w:spacing w:line="560" w:lineRule="exact"/>
        <w:ind w:firstLine="420" w:firstLineChars="200"/>
        <w:jc w:val="left"/>
        <w:rPr>
          <w:rFonts w:ascii="宋体" w:hAnsi="宋体"/>
          <w:szCs w:val="21"/>
        </w:rPr>
      </w:pPr>
      <w:r>
        <w:rPr>
          <w:rFonts w:hint="eastAsia" w:ascii="宋体" w:hAnsi="宋体"/>
          <w:szCs w:val="21"/>
        </w:rPr>
        <w:t>阶段二：过程验收、隐蔽工程验收，主要设备在完成安装后、隐蔽工程覆盖前等重要过程节点，供应商应及时向监理单位或项目单位提交过程验收申请，由项目单位组织或授权监理单位对相应的隐蔽工程、设备安装等进行验收。</w:t>
      </w:r>
    </w:p>
    <w:p w14:paraId="04AE47F6">
      <w:pPr>
        <w:spacing w:line="560" w:lineRule="exact"/>
        <w:ind w:firstLine="420" w:firstLineChars="200"/>
        <w:jc w:val="left"/>
        <w:rPr>
          <w:rFonts w:ascii="宋体" w:hAnsi="宋体"/>
          <w:szCs w:val="21"/>
        </w:rPr>
      </w:pPr>
      <w:r>
        <w:rPr>
          <w:rFonts w:hint="eastAsia" w:ascii="宋体" w:hAnsi="宋体"/>
          <w:szCs w:val="21"/>
        </w:rPr>
        <w:t>阶段三：项目初验，项目设备安装到位、系统调试及培训完成后，由供应商向监理单位和项目单位提交初验申请</w:t>
      </w:r>
      <w:r>
        <w:rPr>
          <w:rFonts w:ascii="宋体" w:hAnsi="宋体"/>
          <w:szCs w:val="21"/>
        </w:rPr>
        <w:t>和全部</w:t>
      </w:r>
      <w:r>
        <w:rPr>
          <w:rFonts w:hint="eastAsia" w:ascii="宋体" w:hAnsi="宋体"/>
          <w:szCs w:val="21"/>
        </w:rPr>
        <w:t>施工资料（提供所有项目建设要求的文档，包括全部有关产品说明书、原厂家安装手册、资料以及系统实施方案、安装配置手册、使用手册、运行维护手册、图纸、测试文档、验收报告，以及项目管理、质量管理等方面的文档），由项目单位单独或会同监理单位组成初验小组，依据项目合同、施工图纸和招投标资料对项目的设备情况、安装情况、系统功能实现（针对各软、硬件产品的技术参数，对整体信息系统进行联调测试，并进行功能性查验）、施工资料及竣工图纸等内容进行验收。</w:t>
      </w:r>
      <w:r>
        <w:rPr>
          <w:rFonts w:ascii="宋体" w:hAnsi="宋体"/>
          <w:szCs w:val="21"/>
        </w:rPr>
        <w:t>如</w:t>
      </w:r>
      <w:r>
        <w:rPr>
          <w:rFonts w:hint="eastAsia" w:ascii="宋体" w:hAnsi="宋体"/>
          <w:szCs w:val="21"/>
        </w:rPr>
        <w:t>供应商</w:t>
      </w:r>
      <w:r>
        <w:rPr>
          <w:rFonts w:ascii="宋体" w:hAnsi="宋体"/>
          <w:szCs w:val="21"/>
        </w:rPr>
        <w:t>完成的项目未能通过验收，</w:t>
      </w:r>
      <w:r>
        <w:rPr>
          <w:rFonts w:hint="eastAsia" w:ascii="宋体" w:hAnsi="宋体"/>
          <w:szCs w:val="21"/>
        </w:rPr>
        <w:t>供应商</w:t>
      </w:r>
      <w:r>
        <w:rPr>
          <w:rFonts w:ascii="宋体" w:hAnsi="宋体"/>
          <w:szCs w:val="21"/>
        </w:rPr>
        <w:t>需对相关问题进行整改，整改结束后重新提交验收；否则，视为验收不通过。如</w:t>
      </w:r>
      <w:r>
        <w:rPr>
          <w:rFonts w:hint="eastAsia" w:ascii="宋体" w:hAnsi="宋体"/>
          <w:szCs w:val="21"/>
        </w:rPr>
        <w:t>供应商</w:t>
      </w:r>
      <w:r>
        <w:rPr>
          <w:rFonts w:ascii="宋体" w:hAnsi="宋体"/>
          <w:szCs w:val="21"/>
        </w:rPr>
        <w:t>完成的项目</w:t>
      </w:r>
      <w:r>
        <w:rPr>
          <w:rFonts w:hint="eastAsia" w:ascii="宋体" w:hAnsi="宋体"/>
          <w:szCs w:val="21"/>
        </w:rPr>
        <w:t>通过初步验收合格后，则项目进行试运行。</w:t>
      </w:r>
    </w:p>
    <w:p w14:paraId="0DE2BE15">
      <w:pPr>
        <w:spacing w:line="560" w:lineRule="exact"/>
        <w:ind w:firstLine="420" w:firstLineChars="200"/>
        <w:jc w:val="left"/>
        <w:rPr>
          <w:rFonts w:ascii="宋体" w:hAnsi="宋体"/>
          <w:szCs w:val="21"/>
        </w:rPr>
      </w:pPr>
      <w:r>
        <w:rPr>
          <w:rFonts w:hint="eastAsia" w:ascii="宋体" w:hAnsi="宋体"/>
          <w:szCs w:val="21"/>
        </w:rPr>
        <w:t>阶段四：项目终验，经系统试运行一周无不可排除故障后，由供应商和监理向项目单位提交验收申请，项目单位统一组织相关专家、供应商及监理开展验收，并出具验收报告，供应商</w:t>
      </w:r>
      <w:r>
        <w:rPr>
          <w:rFonts w:ascii="宋体" w:hAnsi="宋体"/>
          <w:szCs w:val="21"/>
        </w:rPr>
        <w:t>应负责将</w:t>
      </w:r>
      <w:r>
        <w:rPr>
          <w:rFonts w:hint="eastAsia" w:ascii="宋体" w:hAnsi="宋体"/>
          <w:szCs w:val="21"/>
        </w:rPr>
        <w:t>有关项目</w:t>
      </w:r>
      <w:r>
        <w:rPr>
          <w:rFonts w:ascii="宋体" w:hAnsi="宋体"/>
          <w:szCs w:val="21"/>
        </w:rPr>
        <w:t>的有关技术文件（系统建设方案、安装、操作、使用、测试、控制和维护手册等）及故障恢复、应急处理、试运行、验收报</w:t>
      </w:r>
      <w:r>
        <w:rPr>
          <w:rFonts w:hint="eastAsia" w:ascii="宋体" w:hAnsi="宋体"/>
          <w:szCs w:val="21"/>
        </w:rPr>
        <w:t>告</w:t>
      </w:r>
      <w:r>
        <w:rPr>
          <w:rFonts w:ascii="宋体" w:hAnsi="宋体"/>
          <w:szCs w:val="21"/>
        </w:rPr>
        <w:t>等文档汇集成册交付给</w:t>
      </w:r>
      <w:r>
        <w:rPr>
          <w:rFonts w:hint="eastAsia" w:ascii="宋体" w:hAnsi="宋体"/>
          <w:szCs w:val="21"/>
        </w:rPr>
        <w:t>项目单位。</w:t>
      </w:r>
    </w:p>
    <w:p w14:paraId="53A25278">
      <w:pPr>
        <w:pStyle w:val="47"/>
      </w:pPr>
    </w:p>
    <w:p w14:paraId="0542511B">
      <w:pPr>
        <w:widowControl/>
        <w:spacing w:line="460" w:lineRule="exact"/>
        <w:ind w:firstLine="420" w:firstLineChars="200"/>
        <w:jc w:val="left"/>
        <w:rPr>
          <w:rFonts w:ascii="宋体" w:hAnsi="宋体"/>
          <w:b/>
          <w:szCs w:val="21"/>
        </w:rPr>
      </w:pPr>
      <w:r>
        <w:rPr>
          <w:rFonts w:hint="eastAsia" w:ascii="宋体" w:hAnsi="宋体"/>
          <w:b/>
          <w:szCs w:val="21"/>
        </w:rPr>
        <w:t>六、其他</w:t>
      </w:r>
    </w:p>
    <w:p w14:paraId="7E1284C9">
      <w:pPr>
        <w:widowControl/>
        <w:spacing w:line="460" w:lineRule="exact"/>
        <w:ind w:firstLine="420" w:firstLineChars="200"/>
        <w:jc w:val="left"/>
        <w:rPr>
          <w:b/>
          <w:sz w:val="36"/>
          <w:szCs w:val="36"/>
        </w:rPr>
      </w:pPr>
      <w:r>
        <w:rPr>
          <w:rFonts w:hint="eastAsia" w:ascii="宋体" w:hAnsi="宋体"/>
          <w:szCs w:val="21"/>
        </w:rPr>
        <w:t>投标人须保持登录山西政府采购平台，随时准备对评标委员会在平台上的询问予以解答。</w:t>
      </w:r>
      <w:r>
        <w:rPr>
          <w:b/>
          <w:sz w:val="36"/>
          <w:szCs w:val="36"/>
        </w:rPr>
        <w:tab/>
      </w:r>
    </w:p>
    <w:p w14:paraId="00CE3E34">
      <w:pPr>
        <w:widowControl/>
        <w:spacing w:line="460" w:lineRule="exact"/>
        <w:ind w:firstLine="720" w:firstLineChars="200"/>
        <w:jc w:val="left"/>
        <w:rPr>
          <w:rFonts w:hint="default" w:eastAsia="宋体"/>
          <w:b/>
          <w:sz w:val="36"/>
          <w:szCs w:val="36"/>
          <w:lang w:val="en-US" w:eastAsia="zh-CN"/>
        </w:rPr>
      </w:pPr>
      <w:r>
        <w:rPr>
          <w:rFonts w:hint="eastAsia"/>
          <w:b/>
          <w:sz w:val="36"/>
          <w:szCs w:val="36"/>
          <w:lang w:eastAsia="zh-CN"/>
        </w:rPr>
        <w:t>附：采购包</w:t>
      </w:r>
      <w:r>
        <w:rPr>
          <w:rFonts w:hint="eastAsia"/>
          <w:b/>
          <w:sz w:val="36"/>
          <w:szCs w:val="36"/>
          <w:lang w:val="en-US" w:eastAsia="zh-CN"/>
        </w:rPr>
        <w:t>1明细表</w:t>
      </w:r>
    </w:p>
    <w:tbl>
      <w:tblPr>
        <w:tblStyle w:val="38"/>
        <w:tblW w:w="10527" w:type="dxa"/>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907"/>
        <w:gridCol w:w="5574"/>
        <w:gridCol w:w="550"/>
        <w:gridCol w:w="684"/>
        <w:gridCol w:w="1083"/>
        <w:gridCol w:w="1117"/>
      </w:tblGrid>
      <w:tr w14:paraId="7D91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9E838D3">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4BE27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CF4D5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产品说明 </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BB7FC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6D836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EC80E3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F9251A0">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总价</w:t>
            </w:r>
          </w:p>
        </w:tc>
      </w:tr>
      <w:tr w14:paraId="4C34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319E1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D54772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FD0DEE9">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荫城学校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29049B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11D25A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97A6C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4AFCEB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3159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24DEAA9">
            <w:pPr>
              <w:jc w:val="center"/>
              <w:rPr>
                <w:rFonts w:hint="eastAsia" w:ascii="宋体" w:hAnsi="宋体" w:eastAsia="宋体" w:cs="宋体"/>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1F6FDD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（一）荫城学校地理教室</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BBEC4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7257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5EF4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2DDF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1A3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9449C6A">
            <w:pPr>
              <w:jc w:val="center"/>
              <w:rPr>
                <w:rFonts w:hint="eastAsia" w:ascii="宋体" w:hAnsi="宋体" w:eastAsia="宋体" w:cs="宋体"/>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52E884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一、地理专用设备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F1DBA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42953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EB3F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433F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02C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AF22E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B518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地理VR教学系统（初中版）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0B1B41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该系统每套包含一体机终端1套，3D追踪眼镜1副，3D非追踪眼镜1副，红外追踪触控笔1支，电源线1根，键盘1个，鼠标1个。1.底座随意转动，转换不同方向，方便观看者观察3D影像及场景。2.≥3个红外传感器并排放置，保证视野范围。3.3D姿态调节≤2s，系统可准确判断眼睛所在位置，根据眼镜视角的不同转换不同视角下的显示内容。4.至少提供Unity3D、OpenGL、UE4等常用三维引擎之一的SDK开发包，SDK支持≥1支空间交互笔。5.3D视差调节0-6cm。6.3D跟踪眼镜一副，具备≥5个反光点，主动式红外或蓝牙接收，自动匹配，无需人为设置。7.3D观看眼镜一副，主动式红外或蓝牙接收，自动匹配，无需人为设置。8.≥可支持1支空间交互笔接入，无电池供电，内置震动器，每支交互笔至少有三个逻辑按键；支持1支交互笔同时在一个三维场景使用。9.CPU≥I5、内存≥8G、硬盘≥256SSD、显卡≥DDR5/1050ti。10.≥27寸主动式立体3D显示跟踪系统，3D显示屏内置红外光学跟踪系统，一体化设计。11.≥27寸主动式立体显示系统支持窗口/全屏3D，120Hz或以上刷新率，窗口及全屏3D模式下每帧图像信号至少为1920*1080分辨率，非左右合成分辨率减半画面。12.显示区域：≥595×335mm。13.内置扬声器：≥2个。14.支持以太网连接，支持802.11a/b/g/n高速无线传输、支持蓝牙4.0。15.具有多人协同操作核心功能，支持至少2台设备协同操，作并观看场景3D立体效果。16交互笔支持以下性能。1）功能满足：含一根USB线缆，无电池，不需要充电；具有至少三个逻辑操作按键，一个RGB指示灯及一个力反馈震动马达及一个六自由度惯性测量芯片；具备3个自由度坐标轴移动、3个自由度坐标轴转动。2）旋转精度至少满足：绕X轴旋转精度：≤1°，绕Y轴旋转精度：≤1°3）定位至少满足精度：X轴精度：±2mm，Y轴精度：±2mm，Z轴精度：±2mm。4）解析度至少满足：X轴解析度：≤2mm，Y轴解析度：≤2mm，Z轴解析度：≤2mm。17.跟踪眼镜与观看眼镜接受红外或蓝牙同步信号，红外或蓝牙3D眼镜的透光率大于35%。18.实际显示物理大小不小于27英寸，有效的物理显示面积不小于590mm×330mm，分辨率为1920*1080p，图形刷新率为≥120Hz，可视角度不低于170°。二、课题内容1)六大板块：亚欧板块、非洲板块、美洲板块、太平洋板块、印度洋板块和南极洲板块，火山、地震带。2)等高线：海拔、相对高度，等高线概念，山峰、山脊、山谷、陡崖、鞍部，等高线应用案例3)等高线应用案例：互动及水坝的选址4)经纬网：经线，纬线，南、北半球，低中高纬度，北回归线、南回归线、北极圈、南极圈，本初子午线，东、西半球分界线5)中国地形地势：我国主要山脉，四大高原，四大盆地，三大平原，三大丘陵，三大阶梯6)地上河：黄河概况，黄河特征、凌汛过程，黄河上游、中游、下游特征，地上河形成过程7)喀斯特地貌：中国喀斯特分布，形成的气候原因，地质因素，对农业的影响8)黄土地貌：黄土塬、黄土梁、黄土峁、黄土川，黄土高原水土流失状况，水土流失导致的原因（自然原因、人为原因）9)世界气候类型：气候类型分布，热带雨林气候，热带草原气候，温带季风气候，寒带气候10)现代化的乳产品生产过程：欧洲人饮食结构，欧洲西部的畜牧业，现代化的乳产品生产过程，约翰家的乳畜农场11)水库调节径流：水资源分布不均，水利工程，兴建水库，三峡工程，南水北调工程12)因地制宜发展农业：农业生产要素，因地制宜必要性13)地形剖面图：概念及说明现象14）地球外部圈层：大气圈成分和位置，大气层分对流层、平流层、中间层、热层和散逸层，大气圈作用，水圈组成，地表水、地下水、大气水、生物水之间相互关系，生物圈组成，各圈层联系15）土壤剖面结构：土壤定义，土壤发生层，土壤剖面五个土壤层（有机质层、腐殖质层、淋溶层、淀积层、母质层），自然界中的土壤剖面，土壤形成、发育过程、肥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78981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4DE61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0CE9A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B723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AE6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065D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152ED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虚拟实验教学软件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603C33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桑基鱼塘（桑基鱼塘经济模式）：采用虚拟互动模式，对桑基鱼塘这种充分利用土地而创造的挖深鱼塘，垫高基田，塘基植桑，塘内养鱼的高效人工生态系统进行动态模拟，直观展现了桑基鱼塘循环生产过程中各环节之间的联系。该软件共分为模式简介、实地欣赏、方案对比和知识拓展四个模块。软件主要介绍桑基鱼塘模式的主要特点及生产方式，并以实例加以补充，说明该模式的实际应用。同时，亦可直观对比只种桑树、种桑树加养蚕、种桑树加养蚕加养鱼三种模式的经济效益，展示桑基鱼塘经济模式的优势所在。知识拓展模块简要地介绍了桑基鱼塘模式的兴起、发展、衰败、复兴、消退再到改良。大气循环与水循环（大气和水模型）：利用虚拟空间动态的演示大气循环的运动成因，形成各个气压带风带的原因，以及大气导致洋流的方向的原理，动态模拟水循环的类型和过程，形象直观全面的表现大气和水循环，更直观明了。该软件亦分为大气环流、气压带与风带、风海流和水循环四个模块。结合大气环流的影响因素，对其进行动态模拟，并引出气压带风带的成因，演示气压带风带的季节移动规律。同时，进一步介绍因大气环流形成的风海流，分析洋流的分布规律。水循环模块主要介绍了海陆间水循环、陆地内循环和海上内循环，以及进行动态演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台风（虚拟台风模型）：利用虚拟软件对台风进行全方位的动态模拟，包括台风的生成原因和过程，直观的展现台风运动过程中的路径的变化，并且引发学生进一步思考台风过境以后所带来的天气变化和其他的影响。该软件从原理介绍、等级划分、逃生演习和知识拓展四个模块介绍了台风。软件讲述台风等级划分为六级，以及在遇到台风过境时逃生选择方法，可互动完成在家庭、商场、海边、户外及野外等不同场景时逃生演习。软件同时拓展了我国对台风的预报范围，包括24小时警戒线和48小时警戒线，以及各种警戒的介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城市内部空间结构（城市功能区模型）：将广大的空间范围利用虚拟软件技术概括浓缩集中的建立了立体城市形象，阐述了各个城市功能区区位选择的影响因素，开阔学生思维，锻炼了学生全面考虑问题的能力。该软件共分城市用地、功能分区、理论模式和中心地理论四个模块，结合影响城市功能分区的几大因素，对城市功能分区进行划分，并以上海市为例进行城市功能分区模拟，可进行互动操作匹配对应的功能分区。同时，该软件还拓展对城市功能分区的理论模式介绍及中心地理论介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地震等级与破坏程度虚拟实验：利用虚拟环境对地震进行模拟，包括不同地震等级对相同建筑材料的建筑物的影响，及相同地震等级对不同建筑材料的建筑物的影响，可直接观察地震的破坏程度，引发学生遇到地震灾害时所需要的思考及保护措施。该软件共分为观察体验、动手体验、逃生演习和知识拓展四个模块。观察体验主要是对世界范围内已经发生的比较典型的地震案例进行图片观察，感受地震的破坏程度；动手体验主要是不同材质的建筑物的抗震能力演示；逃生演习虚拟了家庭、教室、商场、户外和野外等场景，亦可进行互动演习，选择正确的逃生方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数字填充图：根据教程内容要求，将填充图通过多媒体的方式进行演示操作，互动学习。软件紧扣教材，通过互动答题的方式，提高学生对课程的学习兴趣。</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D65AB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A0DB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7CC5D2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465CC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686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4398F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3769D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中国立体地形模型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814371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中国立体地形模型1.1、有效地图尺寸：≥2560×1700mm；1.2、水平比例尺：1：240万；1.3、垂直比例尺：1：16.5万；1.4、灯光：采用高亮度带卡式LED灯，灯泡直径为≥3mm。1.5、外框尺寸≥:2720×1870mm；材质：采用≥2mm厚ABS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内容根据国家测绘局关于严格遵守使用中国地图有关规定的通知，要求正规出版社出版，具有国家测绘地理信息局地图审核批准书和国家新闻出版总署配发的国际标准书号，集声、光、电为一体，适合现代教学的高科技产品。2.1控制系统：无线控制。2.2语音系统：工业级别MP3，音质优美动听。2.3内容：（1）中国地理总体概况1）我国地理位置、疆域和政区；2）地形特征和分布：三级阶梯、地形类型及地形对经济发展的影响；3）钓鱼岛、黄岩岛。（2）中国地理详细分述1）河流：长江、黄河、京杭大运河、松花江、珠江、海河、塔里木河2）铁路：京沪线、京广线、京九线、京哈线、宝成—成昆—南昆线、京秦—京包—包兰线、陇海-兰新线、沪杭—浙赣—湘黔—贵昆线、天路-青藏线、滨洲线滨绥线3）四大高原：青藏高原、黄土高原、内蒙古高原、云贵高原4）四大盆地：塔里木盆地、准噶尔盆地、柴达木盆地、四川盆地5）三大平原：东北平原、华北平原、长江中下游平原6）山脉：山脉总述、喜马拉雅山脉、五岳等。3、软件3.1中国立体地形模型多媒体联动演示软件1）在用户操作指令发送给中国立体地形图之后，多媒体联动演示软件播放与中国立体地形图正在进行光电演示项目对应的多媒体内容，实现软硬件的联动演示，软件支持触摸操作。多媒体资源紧贴教材制作，采用多媒体展示方式，对演示项目进行生动详实的介绍。含配套接收信号硬件。2）通过多媒体资源方式详细演示中国地理总体概况、河流、铁路、四大高原、四大盆地、三大平原、山脉。3）多媒体资源支持自主更新替换，软件支持关键字检索功能。3.2中国地图拼图软件1）中国地图细分“省/直辖市地图认知、全国地图拼合、省/直辖市/自治区下辖政区认知”3个模块；2）在“省/直辖市地图认知”环节，体验者通过把各省/直辖市/自治区简称、拖到对应的各省/直辖市/自治区的区域地图上，通过体验加强对各省/直辖市/自治区简称和区域地图的双重认知。3）在“全国地图拼合”环节，体验者把各省/直辖市/自治区的区域图拼合到全国地图里，通过体验加强对各省/直辖市/自治区具体地理位置的认识。4）在“省/直辖市/自治区下辖政区认知”环节，搜集全国各省下辖地级市、省直辖县，各直辖市下辖区/县的名称，体验者要把这些地级市/区/县的名称在各省/直辖市地图里，拖到对应的位置。通过体验加强对全国各省/直辖市下辖政区的认知。5）以上拼图环节均设置有计时，可拼图竞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50D9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3F448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34C4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1463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603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9BEF4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17B29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世界立体地形模型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D8ECD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世界立体地形模型1.1、有效地图尺寸：≥2480×1550mm；1.2、水平比例尺：1：1300万；1.3、垂直比例尺：1：39.3万；1.4、灯光：采用高亮度带卡式LED灯，灯泡直径为≥3mm。1.5、外形尺寸：≥2720×1870mm；材质：采用≥2mm厚ABS材质；2、内容根据国家测绘局关于严格遵守使用中国地图有关规定的通知，要求正规出版社出版，具有国家测绘地理信息局地图审核批准书和国家新闻出版总署配发的国际标准书号，集声、光、电为一体，适合现代教学的高科技产品。2.1控制系统：无线控制。2.2语音系统：工业级别MP3，音质优美动听。2.3内容：（1）世界概况总体介绍1）七大州：介绍七大洲的地理位置、地形特点、气候特征、国家人口分布、经济概况等2）四大洋介绍四大洋的地理位置、地形特点、气候特征、资源分布、航线港口等。（2）世界地理详细分述1）主要国家首府、首都：北京、东京、新德里、开罗、堪培拉、巴西利亚、渥太华、华盛顿、莫斯科、柏林、罗马、巴黎、伦敦。2）世界能源分布：核电站、石油天燃气、煤炭；3）世界十大河流：鄂毕河、勒拿河、湄公河、刚果河、拉普拉塔河、黄河、密西西比河、长江、亚马逊河、尼罗河。4）国际金融中心：纽约、伦敦、新加坡、香港。5）国际航空枢纽：世界十大机场。6）港口：安特卫普、新加坡、香港、鹿特丹。3、软件3.1世界立体地形模型多媒体联动演示软件：1）在用户操作指令发送给世界立体地形图之后，多媒体联动演示软件播放与世界立体地形图正在进行光电演示项目对应的多媒体内容，实现软硬件的联动演示，软件支持触摸操作。多媒体资源紧贴教材制作，采用多媒体展示方式，对演示项目进行生动详实的介绍。含配套接收信号硬件。2）通过多媒体资源方式详细演示世界地理七大洲、四大洋、主要国家首府首都、能源、十大河流、金融中心、航空枢纽、港口。3）多媒体资源支持自主更新替换，软件支持关键字检索功能。3.2世界地图拼图软件1）世界地图细分“六大板块认知、七大洲四大洋认知、世界地图拼合”3个模块；2）在“六大板块认知”环节，把各板块名称拖到世界地图对应的板块位置，就会在地图上显示这个板块的界线，生长和消亡界线做出了区分，并且在地图上交代了一些重要的山系和海沟。加强对板块区域和板块运动的认识。3）在“七大洲四大洋认知”环节，把各大洲和各大洋名称拖到世界地图对应的位置，就会在世界地图里显示对应大洲大洋的区域，包括可以看到各大洲都包括了哪些国家的信息。4）在“世界地图拼合”环节，系统搜集了全世界最主要的60多个国家的信息，每次随机出现4个国家的小地图，体验者把这些国家的地图拖到世界地图对应的位置上。另外，可以点击按钮开启各大洲、各大板块的信息，加强认识各个国家所属大洲和板块的情况。加强对一些国家地理知识融会贯通。5）以上拼图环节均设置有计时，可拼图竞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A5D37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22155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A754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2065A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BE0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AC079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05CE0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移动便携式共用液晶触摸控制终端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6506D7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硬件部分规格：7寸及以上；智能移动控制系统：高分辨率，电容式触摸屏，多点触摸，内置WIFI模块，安卓4.0及以上操作系统，支持802.11a/b/g/n无线协议，采用本地APP+WLAN网络控制大型地理模型的演示；使用UNI-APP框架进行开发,并将资源文件融合包装；同时具有关键字检索功能，便于使用操作。二、软件部分：可对下面模型进行无线控制：1.中国立体地形模型；2.世界立体地模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11AF0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31B1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FBD3F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266D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C5E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B9383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A56D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等高线试验箱试验套装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61F8B8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经模具一体化设计成型的等高线模型、水箱、定制笔套各1个，激光笔1支，透明胶片5张，量杯1个等。试验内容：通过描绘山体模型，使学生直观的了解等高线的绘制过程，通过等高线与山体模型的结合，让学生了解山峰、山脊、山谷、鞍部、陡崖等常见的地形部位，增强学生的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CD86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387AD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43E08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DB5D7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5A2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DF1AD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E44E4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河流污染试验套装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438044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计时器1个，烧杯1个等。试验内容：通过检测对比不同水质的四类水体指数的差异，学生可以了解河流的水质特点，增强学生的环保意识和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501D2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F0DD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6E3D3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7E5B5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DDF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D158E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50439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海陆热力性质差异/季风成因/海陆风/温室气体/温室效应试验套装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D4C63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500ml烧杯2个，细线1卷，酒精温度计2支，细沙500g，发热装置1套，电子计时器1个，铁架台1个等。试验内容：利用沙子和水比热容不同的属性，比较在同一温度下沙子和水升降温速度的快慢来说明海陆热力性质差异导致的海陆温度差异，使学生认知海陆热力性质差异、海陆风和季风风向的原理。在同一下垫面比较二氧化碳对气温的影响，认识二氧化碳是温室气体。模拟大气层对气温的保温作用，认识温室效应的原理。通过模拟实验，加深学生印象，增强学生的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3A3D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9681B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05B8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C674C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1DB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75E6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5353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褶皱/断层/流水分选性试验套装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3AA73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定制模拟褶皱断层2条，量杯1个，定制水槽2个，粘土500g，透明塑料瓶1个等。试验内容：通过模拟褶皱、断层的地理形态，帮助学生了解背斜向斜、背斜成谷的现象以及地堑地垒的知识。模拟河流冲积的自然过程，使学生了解流水沉积具有分选性的原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B1B3D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3193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5ABA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24213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7BC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B3489D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2D175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太阳直射点与昼夜长短试验套装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F7F677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地球运行仪套装1套，点状激光装置1套，同步轮2个，同步带1条等。试验内容：通过模拟太阳直射点的回归运动、二至二分日以及昼夜长短变化，将抽象的知识转化为具体的实验现象，加深学生的认知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3195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94C1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0B71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4A7E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C89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17F850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F4B36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CE6436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铁架台套装1套，带瓶塞及导管烧瓶1套，酒精灯1个，石棉网1块等。试验内容：通过模拟水循环主要环节过程，使学生了解自然界的水的移动，以及水的固液气三态的转化，形成总量平衡的循环运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63DFD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DF288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43A4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898D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A71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BEBD27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4BCE5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模拟地表径流试验套装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5BB6E2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铁架台套装1套，模拟地表水槽1条，坡度模拟器1套，定制量杯套装2个等。试验内容：通过模拟不同降水量、降水强度、地形坡度、地表状况等因素导致的不同地表径流、地下径流、以及含沙量，增强学生的综合思维能力以及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D5A8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8172C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CC5ED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77C0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5D8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42C960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C373E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水循环试验套装配件1</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0DB7F6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手动进水，24小时产冰≥12KG的，，一次出冰≥9颗，单次出冰时间8-10分钟左右，子弹头圆冰，储冰量为0.7kg，最高可达15公斤，机器尺寸：≥242*358*328mm，冰块尺寸：≥26*32mm。备注：水循环试验套装需要用。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3C0C6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C88E6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B6FE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316C8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99A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41E67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EA0C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水循环试验套装配件2</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C3E505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容量：≥1.2L直径：≥150mm高：≥110mm备注：水循环试验套装需要用。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D1E0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6ACEF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CA65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5BC7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186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9E7D1E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6654C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荒漠（风蚀）地貌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6F0AC6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规格：≥600×400mm,均采用pvc材质精制而成、仿真微缩内容完整充实、紧扣教材。风蚀：风蚀城堡，风蚀蘑菇，风蚀洞穴，风蚀洼地，风蚀桂风积：新月形沙丘，戈壁</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B32FB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699F1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938D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46688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D4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46EF9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0F9E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黄土地貌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9ECEBA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规格：≥600×400mm,均采用pvc材质精制而成、仿真微缩内容完整充实、紧扣教材。包括：冲沟、河谷、黄土梁、黄土茆、川、窑洞及人工改造的平原、梯地（在茆上有同心园梯地）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4913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91C5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BE73B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33A8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253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459B00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493AE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丹霞地貌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C153FE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巨红色的几乎呈水平状的砂砾岩层、垂直节理发育形成丹崖、齐峰，有直立状、堡状、宝塔状，形成巨大陡崖、石墙、石窗、石桥、巷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49BD0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82525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4202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80893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91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70D310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B13A0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海岸侵蚀地貌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28FEA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规格：≥600×400mm,均采用pvc材质精制而成、仿真微缩内容完整充实、紧扣教材。包括：海蚀凹形崖、海蚀洞、海蚀柱、海蚀拱石、海蚀平台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135F2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E9118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6805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B1EB6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46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A6390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497EF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五种地形模型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1D1137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规格：≥600×400mm,均采用pvc材质精制而成、仿真微缩内容完整充实、紧扣教材。表现：按合理的水平、垂直比例尺反映高原、山地、平原、丘陵和盆地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C45CA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75287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890E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C0E0D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D9A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BBE3D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9825B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地上河模型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9810E3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反映：郑州以东，荷泽以西段。黄河地上河最主要的特征、平原及地上河、铁路桥、开封铁塔、船只、虹吸管灌溉工程及清淤池、荷泽附近的南水北调穿黄河工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5997C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A3736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EE108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DCD4F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297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D9EE2C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0C82E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等高线模型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82A3D9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规格：≥600×400mm,均采用pvc材质精制而成、仿真微缩内容完整充实、紧扣教材。山头、鞍部、陡坡、缓坡、山谷线、山脊线、谷、陡崖、三圈等高线闭曲线，并有剖面图。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46DF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597DD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52FC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9F55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17B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362C4C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0CBFE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平面地形地球仪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7EB37A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质:硬塑；球体直径≥320mm，比例：1∶40000000；有球体和支架两部分；地轴的倾角为66.5°，并垂直于赤道面；球体表面应作防潮处理，不得有裂纹、皱纹、气泡和脱落等缺陷。在嵌贴时不得有压字、重字、国界线不得压盖、间断和错位。地球仪必须使用地图出版社最新地球仪图片，必须在球上注明参考图出版年月。应符合原教育部标准《地球仪技术条件》ＪＹ58－80的规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211D6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5828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3CA63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115FE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96F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A9B699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AC860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平面政区地球仪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CFA585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质:硬塑；产品由球体、支架和底座组成，比例尺为1:40000000。球体≥Φ32cm正圆形，地轴倾角为66.5°。球体表面应作防潮处理，不得有裂纹、皱纹、气泡和脱落等缺陷。在嵌贴时不得有压字、重字、国界线不得压盖、间断和错位。地球仪必须使用地图出版社最新地球仪图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72785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3600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A0D3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3CD6D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D94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304FD4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93945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地球内部构造</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DA65EA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包括地球内部圈层及地球表面地形地貌，直径≥320mm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1479C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9407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177C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D889A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B63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21962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C39D5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板块构造及地表形态模型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57CB73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规格：≥600×330×170mm，高分子材质。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39D2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B6FF9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EF158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46CB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9B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CBE79B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ADF64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褶皱构造及地貌演变模型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91FFF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规格：≥450×200×140mm，高分子材质。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E097D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BC204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4ED0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5AF72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A53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488C89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E550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褶皱侵蚀与断层演示组合模型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88ECF1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规格：≥360×230×200mm，高分子材质。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7934A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50DBF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BE8E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6FC7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3B1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19DE6A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2FC17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岩石矿物标本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F3271F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42种，一盒装，规格：≥290×180×34mm。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589C4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1C19A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EC35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D2088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31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FF554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18D0DA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土壤标本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B73184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企标盒子规格：≥165×85×34mm；包含：砖红壤、红壤土、紫色土、黑钙土、水稻土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F2B9A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BA09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0A5D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7F75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B2A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273107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3D34A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桌面卡片</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721133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29×42cm材质：半透明环保材料正规地图出版社出版，可看、可描，地图名称如下：1、世界地形2、世界政区3、板块分布图4、世界气候类型5、中国政区6、中国地形图7、中国年降水量图8、中国温度带分布图9、中国水系图10、中国季风区和非季风区分布图11、气压带风带图12、1,7月份中国气温分布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6D193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B80E6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D3FF9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BFCE8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E76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FEBDD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46E9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活动星盘</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9AA9FE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规格：≥175×175mm，出版社出版，具有国际标准书号,可手动调节观看时间、日期、月份。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60C6B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CB14E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D84F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69FA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73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927894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D3DCA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太阳高度与昼夜演示仪（天文历）</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8577BC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规格：≥φ140mm，查昼夜长短、太阳高度等。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B405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48F52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C1E8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88DF7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8BF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D9030A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87389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可拆卸经纬网地球仪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09BFC3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规格：整体直径≥220mm。材质：高分子。教学用途：可拆卸组合，用于学习经纬网。直观呈现不同的纬度和经度，便于学生理解经度和纬度的含义。学生通过动手拼装地球仪，辨识经线和纬线。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8FC29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A7CE4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52A0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72FF7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77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E14B0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2D9A4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太阳直射点移动规律演示模型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C85487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highlight w:val="none"/>
                <w:u w:val="none"/>
                <w:lang w:val="en-US" w:eastAsia="zh-CN" w:bidi="ar"/>
              </w:rPr>
              <w:t>规格：板材高度为≥225mm，宽≥180mm，厚≥3mm。材质：有机板雕刻，塑料底座。学习太阳直射点照射角度。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7B535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D43C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F024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11550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B3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3F30D9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1274E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晨昏圈仿真模拟演示仪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6C07C2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规格：直径≥230mm，用灯光盘演示、自带低压电源，含底座。模拟晨昏圈，演示昼半球和夜半球，演示二分二至日昼夜长短状况。直观呈现极圈内的极昼和极夜现象。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F044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A796A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F215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A4DF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3F7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6B05F3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5ECFB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三球（日地月）运行仪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C2F49E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1.1规格：直径≥1m，采用精密机械传动及PVC材质加工而成；不锈钢边框；高清彩图面板美观大方。地球公转：0.2r/min。地球自转50r/min.月球公转2.5r/min.</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1.2控制系统：无线控制。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1.3语音系统：工业级别MP3，音质优美动听。</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1.4内容：1.日地月概述；2.日食；3.月食；4.两至两分；5.二十四节气</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2、日地月教学演示软件（日地月教学系统）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对地理空间内容进行立体化、形象化的操作，内容包括30个知识点，不但满足了教学上的要求，还进行了更深一步的拓展。可联动演示三球（日地月）运行仪。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30知识点如下：（1）八大行星的半径、公转周期、自转周期、质量、体积半径等；（2）八大行星的运动规律，即开普勒三大定律；（3）重力加速度在每个行星的差别；（4）太阳的简介；（5）太阳的结构；（6）太阳黑子；（7）太阳耀斑；（8）金星凌日；（9）太阳风暴；（10）地球的简介；（11）地球的内部结构；（12）地球内部每个结构的介绍；（13）地球公转中的黄赤交角；（14）两至两分；（15）太阳直射点的变化；（16）太阳高度角的变化规律；（17）地球自转的速度与方向；（18）地球自转形成的昼夜交替；（19）地转偏向力的形成；（20）日界线；（21）时区；（22）恒星日与太阳日；（23）月球的自转和公转规律；（24）恒星月与朔望月；（25）日食；（26）月食；（27）引潮力的形成；（28）大小潮的形成过程；（29）月球介绍；（30）月相的变化规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A71FF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BDAEC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1D7E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ECD7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22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038968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6058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透明天球仪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D5FD3F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天球仪模型：外形圈≥φ1280mm，高≥1400mm，透明球≥φ850mm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机玻璃透明圆球，不锈钢镶边，仪器结构合理，高清图案印刷，可见度大，直观性强。能说明天体的各种现象。仪器的主体是一个大型的透明球体，球面内容丰富，透过天球，可看到其中心是一个地球，表面天球与地球的内在联系。观察者能同时看清天球内表面，消除了“天外观天”的局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F94F2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987D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12C7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B111E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B99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857CB0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8DF01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火山喷发演示仪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B6F1F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规格：≥1070×1070×1500mm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高分子聚合材质，进口单片机高度集成电路。声、光、电一体化演示系统。功能如下：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1.可模拟演示火山爆发时各火山口的喷发示意图及走向。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2.可模拟演示岩浆冲出地球表面时伴随着喷发的巨响、红色岩浆瞬间冲出火山口、火山灰、岩浆笼罩现场等现象。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3.可模拟演示快速流向低谷慢慢堆积岩浆的过程。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FE7C3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8A92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40239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C369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3AA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50DAF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668F31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二、基础设施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612B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DAFE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624D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503CD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DDA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EEA2A3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1A574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智能教学终端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8B3B80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显示模块及整机性能1、交互黑板采用平面结构设计，采用三段式结构方式，交互黑板长度≥4300mm，双侧黑板面无任何按键；2、智能交互黑板液晶显示尺寸≧86英寸，分辨率：≥3840*2160,交互黑板功率≤400W，红外触控技术，在Windows与Android下均支持20点同时触控及书写；3、双侧侧板支持磁性材质教具吸附功能；4、整机标配VGA接口≥1路；5、为方便外接信号源的输入，整机前置1路具备中文标识的标准非转接HDMI接口（非转接），2路USB3.0接口；6、整机前置1路Type-C接口，具备音频、视频、触控、充电等功能；7、为方便用户进行各类设置和操作，设备前置按键不少于8个，可实现音量加减、窗口关闭、触控开关、多任务等功能，且每个按键不少于两种以上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无需打开智能黑板背板，前置接口面板和前置按键面板支持单独前拆；9、采用物理减滤蓝光设计，无需其他操作即可实现防蓝光，且设备具备智能护眼组合功能，通过扫描设备自带的二维码可获取检测机构的认证证书；10、为满足教学场景使用需求，支持不少于3种方式进行屏幕下移，屏幕下移后仍可进行触控、书写等操作；11、交互黑板Android主板具备四核CPU，内存不小于2G，储存最高可至8G，Android系统不低于11.0，主页提供不少于5个应用程序，也可替代其他应用程序；12、通过多指滑动屏幕，可快速实现Windows与教学系统界面的切换；13、为方便教师授课节省操作时间：交互平板具有可设置快捷键功能，具备开关，可单侧或双侧显示，可设置自动隐藏时间，具备自定义、关闭窗口等不少于14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本地安卓白板软件具备面积识别功能，通过接触交互设备的面积大小实现智能擦除、粗细笔迹书写；15、通过五指抓取屏幕任意位置可调出多任务处理窗口，并对正在运行的应用进行浏览、快速切换或结束进程；16、交互黑板处于关机通电状态，外接设备接入交互黑板时，交互黑板可识别到外接设备的输入信号后自动开机；17、交互黑板采用OPS-C标准的80pin针口设计，方便用户后续自主升级维护或对接第三方智慧教室类插拔电脑产品；18、交互黑板可一键进行硬件自检，包括对系统内存、存储、触控系统、光感系统、内置电脑、屏体信息、主板型号、CPU型号、CPU使用率、设备名称等进行状态提示、及故障提示；二、内置电脑1、采用Intel通用80pin接口,易拆卸维修；2、CPU采用类似或同类型≥Intel酷睿I5处理器；内存：≥8G；硬盘：≥256GSSD；3、具备至少6个USB接口（其中至少包含3路USB3.0接口）；具有独立非外扩展的视频输出接口：≥1路HDMI、≥1路D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1）整机前置具有中文标识的天线模块，包含2.4G、5G双频WiFi和蓝牙接发装置，Android与Windows均可无线上网；（2）为后续可轻松解决电脑系统故障：交互平板整机前置应具备带有中文丝印的电脑还原物理按键，为避免繁琐操作不接受U盘还原功能；（3）悬浮菜单在任何信号源可通过两指调用到任意位置，支持笔、清页、切换信号源等功能，其中信号源可固化到菜单中，一键直达常用功能，并且支持自定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ADDA8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5FBE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60B9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F42B1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28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DC6F08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D97B9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教学平台软件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4C2BBF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一、教学平台软件1、老师个人账号无需完成特定任务，即可获取不少于200G云端存储空间，最高可扩展不少于2TB云存储空间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U盘插入时，无需额外操作自动弹出U盘文件夹，方便教师直接选取U盘中内容；3、开机进入教学桌面，教师可按照自己使用习惯，更换常用软件、背景，形成教师的定制化桌面；4、云端资源涵盖幼教、普教、职教等学段，总量不少于1000G。试题库不少于50万道；5、教学软件支持三种登录方式；账号密码直接登录，手机验证码快捷登录、微信扫码登录；还支持免登录打开本地课件；6、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7、支持绘制任意平面图形、任意几何图形、任意3D动态课件等，并可将绘制的函数图像一键导出为图片，插入课件中；8、提供模块化的高质量课件素材和教案，学科涵盖小学语文、初中语文、小学数学、初中数学、高中数学、小学英语、初中英语、小学科学、初中物理、初中化学等学科。课件支持组选：课堂导入，知识讲解，例题与变式，拓展延伸，课外等。课件总课时量不低于1000个课时；9、为满足不同书写需求，同一款软件下提供硬笔、智能笔、激光笔、手势笔等不少于9种书写工具。通过智能笔可识别平面图形；通过手势笔可实现选中对象、翻页等功能；10、提供预置的高质量课件素材，允许老师在网页端、移动端、电脑端进行内容的选择与组合，快速生成课件并浏览。所有制作的课件均实时保存至云端，老师只需登录即可查；11、可将自己的课件发布到校本空间，同校的老师都能在校本空间中查看和保存该课件；支持移动端、电脑端播放和保存校本空间里的课件；校本空间里的课件会随着老师课件的更新实时同步；12、可插入思维导图，包括逻辑图和组织结构图。思维导图可添加同级节点、下级节点、上级节点。可编辑文字格式和思维导图格式；13、为了丰富备授课教学资源，同一款软件下提供多种学科工具：至少提供12门学科工具，包含语文、数学、英语、物理、化学、生物等。学科工具里不止简单的静态图片，部分学科中也具有交互式操作的动画；14、部分学科功能如下：（1）提供化学公式编辑器，提供化学公式上标、下标、反应符号、反应条件、气体沉淀等符号及快捷输入方式。输入后的公式与文本处于同一个文本框内，拖动文本框后公式随文本框变化位置；（2）提供数学公式编辑器，提供近百种数学符号，提供数学公式上标、下标、分式的快捷键输入方式。输入后的公式与文本处于同一个文本框内，拖动文本框后公式随文本框变化位置；（3）提供英语生词卡片，按不同年级提供同一单词的不同释义生词卡片。常用单词自动生成配图、发音、释义；配图可根据老师的需求进行切换；（4）提供语文生字卡片，输入常用字后自动匹配读音及笔顺，提供拼音标注工具。支持一键将纯文本转化为文本+拼音格式或拼音格式；15、多屏互动功能：支持手机、pad移动端与交互平板连接后，可实现常用功能如影像上传、投屏、播放课件、直播。支持对上传的图片内容再次编辑，可同时上传多张照片进行同屏对比，双向批注；一键打开电脑桌面课件并播放，课件支持播列表，可快速选择PPT或白板课件进行播放；16、支持通用小工具，可在课堂授课状态下实现黑屏、时钟、放大镜、聚光灯等插件功能；17、老师可通过移动端、PC端及网页端对学生进行行为评价打分，可显示班级得分前列的学生信息，界面、评价项、学生头像均采用卡通化方式，软件支持随机抽选学生进行评价；18、支持课堂评价以勋章的形式，始终悬浮在页面右下角。支持对全班、单个或多个学生进行评价，评价结果可撤回；二、PPT授课助手：1、可适用于WPS与PPT，打开课件自动启动，无需手动打开；2、为满足教师使用习惯，可支持双侧工具栏位置自定义；3、在不修改WPS与PPT的课件格式情况下，支持原文档随时批注，擦除；4、提供多种教学常用工具，无需切换软件，即可在WPS与PPT的课件中添加时钟，聚光灯等小工具；5、支持在WPS与PPT的课件播放音视频时，无需通过物理按键即可实现黑屏，轻触屏幕即可点亮，同时支持在黑屏状态下不影响音视频的正常播放。三、家校沟通互动系统（一）教师教学移动端1、创建班级：老师可选择学校、年级、创建班级，班级名称支持自定义；2、邀请成员;班主任以告知邀请码、QQ或微信分享链接、班级通知单邀请等多种方式邀请班级成员；3、面容录入：班级内成员可通过移动端进行面容录入，用于课堂AI互动与智能云考勤使用；4、教学拓展：支持向家长发送教学拓展或学习任务，可向一个或多个班级中的全部或个别成员发送，家长单独收到。支持图片、拍照、语音、文件、课件、作业等附件；5、支持老师对已收到的任务进行快速批改，并将批改结果反馈至家长端，预置不少于6种评语，支持以免费短信的形式提醒未查看或未反馈的家长；6、打卡任务：支持老师发起周期性的打卡任务，可设置任务的开始截止时间、频次及周期，预置不少于9个打卡活动的模板，包括每日健康统计、每日朗读等，且老师可以对学生的打卡结果进行点评，家长之间可以互评；7、支持老师创建带主题的讨论组，可设置讨论组默认结束时间，结束后自动全员禁言。讨论组创建者7天内可撤回任意成员的消息，防止班级群舆论发酵；8、支持老师发送成绩单，自动统计班级最高分、平均分等且家长只能看到自己孩子的成绩。支持家长撰写请假条发给老师，老师批复后可与手机终端查看。支持老师创建相册并上传照片、视频从而丰富班级文化建设；（二）家长互动移动端1、支持多个家长账号绑定同一个学生，并支持家长创建多个学生；2、支持填写邀请码、使用QQ及微信分享班级专属的邀请H5页面等多种方式加入班级；3、支持查看学生所在班级信息及班级内所有老师，支持发起与任一老师的一对一沟通；4、支持接收老师的通知、打卡、课件、教学拓展任务、一对一消息及讨论组内消息。通知支持进行回执选择，打卡、教学拓展任务支持以文字、语音、图片、视频的形式提交；5、支持接收和查看学生当日、本周、月度及年度的课堂表现评价统计报表，并可具体查看到每一条评价的原因、评价者和分值。6、支持撰写请假条发给老师，老师批复后可查看到。支持查看老师发送的学生成绩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BB8B0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6937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14EE83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95794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2C0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483C47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F4CB5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视频展台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0CE4CC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采用≥1300万像素摄像头；采用USB五伏电源直接供电，支持壁挂和桌面两种安装方式，无需额外配置电源适配器，环保无辐射；2、A4大小拍摄幅面；3、整机具有安全锁；4、整机外观材质：采用圆弧式设计，无锐角兼顾教学环境，保护师生安全；5、展示托板正上方具备LED补光灯，保证展示区域的亮度及展示效果，补光灯开关采用触摸按键设计，同时可通过交互智能平板中的软件直接控制开关；6、可通过屏幕左下画面缩略图，在展示画面放大的情况下，快速移动到达画面任意位置，实现鸟瞰功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23A3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1BA6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322E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FDBD9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72C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F04F19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19C88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多媒体教师演示台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A81E3E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讲桌采用钢木结合构造，桌体上部分采用圆弧设计。讲台整体设计符合人体力学原理，提供左右木质扶手，供使用者扶用。讲桌关闭尺寸（长×宽×高）：≥1100×780×1000mm。2、桌面由一把机械锁控制，采用环环相扣设计，显示器盖板、键盘和展示台抽屉逐步打开。操作更简易，使用更安全。3、桌面采用木质耐划台面，防火、防尘、防水、耐刮花，整体布局简洁、美观。4、主体材料采用≥1.5mm冷轧钢板，其他辅助部门采用≥1.2mm冷轧钢板。5、上下层分体式设计，桌面部分和桌体部分自成一体，方便进出设计比较窄的教室门。讲桌内置固定螺丝孔位，安装简单，安全防盗；独立包装，运输轻便。6、显示器盖板和键盘部分采用翻转式设计。显示器盖板可装置17-21寸液晶宽屏显示器；键盘下面放置一体中控或者分体中控系统。7、右侧抽屉可放置实物展示台，关闭后,所有设备都隐藏在讲台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7D67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9C9E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D0B0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034F9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2C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D4747D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B6A2A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八边形研讨台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3E9FAD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规格：边到边≥1400×高780mm（八边形）；台面：≥25mm防火板台面，湖蓝色。台身：钢架结构，外型美观，防湿，牢固。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85185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1709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FC9C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47725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79A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5A33EF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E913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081AFD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木结构，牢固稳定、符合国家标准。凳面规格：≥340mm×235mm×25mm采用多层板外贴防火板精密加工；方钢四腿，规格：≥320mm×220mm×420mm；方钢规格≥25mm*25mm，管壁厚度≥1.2mm。四脚配防滑垫，抗磨消音，保护地板砖。</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F1C9C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D7163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11752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4E7E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65B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16BE3B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0CB4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模型展柜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91CD05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用于放置地形地貌模型上柜规格：≥800×495×</w:t>
            </w:r>
            <w:r>
              <w:rPr>
                <w:rFonts w:hint="eastAsia" w:ascii="微软雅黑" w:hAnsi="微软雅黑" w:eastAsia="微软雅黑" w:cs="微软雅黑"/>
                <w:i w:val="0"/>
                <w:iCs w:val="0"/>
                <w:color w:val="auto"/>
                <w:kern w:val="0"/>
                <w:sz w:val="22"/>
                <w:szCs w:val="22"/>
                <w:highlight w:val="none"/>
                <w:u w:val="none"/>
                <w:lang w:val="en-US" w:eastAsia="zh-CN" w:bidi="ar"/>
              </w:rPr>
              <w:t>400mm，采用1/4球面流线型的铝合金框架表面经氧化处理配≥5mm钢化玻璃制作，安全，稳固。下柜规格：≥800×500×550mm,采用16mm双贴面三聚氰胺板，优质PVC封边条，封边机对板材截面</w:t>
            </w:r>
            <w:r>
              <w:rPr>
                <w:rFonts w:hint="eastAsia" w:ascii="微软雅黑" w:hAnsi="微软雅黑" w:eastAsia="微软雅黑" w:cs="微软雅黑"/>
                <w:i w:val="0"/>
                <w:iCs w:val="0"/>
                <w:color w:val="auto"/>
                <w:kern w:val="0"/>
                <w:sz w:val="22"/>
                <w:szCs w:val="22"/>
                <w:highlight w:val="none"/>
                <w:u w:val="none"/>
                <w:shd w:val="clear"/>
                <w:lang w:val="en-US" w:eastAsia="zh-CN" w:bidi="ar"/>
              </w:rPr>
              <w:t>长800mm*宽16mm*厚1mm</w:t>
            </w:r>
            <w:r>
              <w:rPr>
                <w:rFonts w:hint="eastAsia" w:ascii="微软雅黑" w:hAnsi="微软雅黑" w:eastAsia="微软雅黑" w:cs="微软雅黑"/>
                <w:i w:val="0"/>
                <w:iCs w:val="0"/>
                <w:color w:val="auto"/>
                <w:kern w:val="0"/>
                <w:sz w:val="22"/>
                <w:szCs w:val="22"/>
                <w:highlight w:val="none"/>
                <w:u w:val="none"/>
                <w:lang w:val="en-US" w:eastAsia="zh-CN" w:bidi="ar"/>
              </w:rPr>
              <w:t>进行封边，密封性好。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29BD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1CAD3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FBE18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5F2E2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DBE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2C0B32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72BF3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地理知识展画</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AA4A14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规格：UV高清印刷，印刷介绍世界气候、中国气候等地理知识，集教学、观赏为一体。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68EB9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422A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86DC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30F6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C22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8C808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90A33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59F0A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规格：≥600×800mm参数：≥5mm厚透明亚克力板，高清图案印刷，图案色泽艳丽，立体感强。内容：介绍各种地理知识。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D21D3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F08D8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D1E6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ED14F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35C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B93EC8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6A4D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现场安装调试</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18D75B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根据现场进行安装调试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DDBF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A9F09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6D04C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9E5AD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CD7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F6A22D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98BD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星空LED顶部灯箱</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0D47CC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定制星空LED顶部灯箱</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9C772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0DF9F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B544A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8E61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E07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E7419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3470F822">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2131A3">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7850E1">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979B03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D39376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6129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236FA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81A21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2E7B73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（二）荫城学校历史教室</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E99EA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355B9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37C19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88988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F03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A6AE2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2601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14155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一、历史教学设备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BFE8F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1CD74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E84FA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648F9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C11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01BD69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9353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历史VR教学系统（初中版）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79358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该系统每套包含一体机终端1套，3D追踪眼镜1副，3D非追踪眼镜1副，红外追踪触控笔1支，电源线1根，键盘1个，鼠标1个。1.底座随意转动，转换不同方向，方便观看者观察3D影像及场景。2.≥3个红外传感器并排放置，保证视野范围。3.3D姿态调节≤2s，系统可准确判断眼睛所在位置，根据眼镜视角的不同转换不同视角下的显示内容。4.至少提供Unity3D、OpenGL、UE4等常用三维引擎之一的SDK开发包，SDK支持≥1支空间交互笔。5.3D视差调节0-6cm。6.3D跟踪眼镜一副，具备≥5个反光点，主动式红外或蓝牙接收，自动匹配，无需人为设置。7.3D观看眼镜一副，主动式红外或蓝牙接收，自动匹配，无需人为设置。8.≥可支持1支空间交互笔接入，无电池供电，内置震动器，每支交互笔至少有三个逻辑按键；支持1支交互笔同时在一个三维场景使用。9.CPU≥I5、内存≥8G、硬盘≥256SSD、显卡≥DDR5/1050ti。10.≥27寸主动式立体3D显示跟踪系统，3D显示屏内置红外光学跟踪系统，一体化设计。11.≥27寸主动式立体显示系统支持窗口/全屏3D，120Hz或以上刷新率，窗口及全屏3D模式下每帧图像信号至少为1920*1080分辨率，非左右合成分辨率减半画面。12.显示区域：≥595×335mm。13.内置扬声器：≥2个。14.支持以太网连接，支持802.11a/b/g/n高速无线传输、支持蓝牙4.0。15.具有多人协同操作核心功能，支持至少2台设备协同操，作并观看场景3D立体效果。16交互笔支持以下性能。1）功能满足：含一根USB线缆，无电池，不需要充电；具有至少三个逻辑操作按键，一个RGB指示灯及一个力反馈震动马达及一个六自由度惯性测量芯片；具备3个自由度坐标轴移动、3个自由度坐标轴转动。2）旋转精度至少满足：绕X轴旋转精度：≤1°，绕Y轴旋转精度：≤1°3）定位至少满足精度：X轴精度：±2mm，Y轴精度：±2mm，Z轴精度：±2mm。4）解析度至少满足：X轴解析度：≤2mm，Y轴解析度：≤2mm，Z轴解析度：≤2mm。17.跟踪眼镜与观看眼镜接受红外或蓝牙同步信号，红外或蓝牙3D眼镜的透光率大于35%。18.实际显示物理大小不小于27英寸，有效的物理显示面积不小于590mm×330mm，分辨率≥1920*1080p，图形刷新率为≥120Hz，可视角度不低于170°。二、课题内容（1）AR资源内容涉及到3D模型、视频、图片、史料链接，部分资源可实现拆解、旋转、合并、放大、缩小等操作。。（2）可用手指对自己某个感兴的模型特殊位置进行点读，对资源进行深度的介绍。（3）AR资源内容：1)人面鱼纹彩陶盆：出土时间、位置，材质、外观结构特征，制作工艺，仰韶文化，新石器时代，历史意义2)骨耜：材质，外观结构，使用方法，河姆渡文化，历史意义3)四羊方尊：用途，出土时间，外观结构特征，铸造工艺，象征意义，先秦时期对羊的个性归纳4)后母戊鼎：出土时间、位置和所属历史背景，陶质块范铸法（制模-制范-浇铸-修整），外观结构特征（尺寸、重量、铭文、纹理），历史意义5)甲骨文：甲骨文的定义，发现、内容及意义，甲骨文多种造字方法，甲骨文互动游戏6)步辇图：阎立本画作，松赞干布统一西藏，松赞干布求婚，文成公主入藏，唐蕃进一步友好交往，唐蕃和亲历史意义7)五大名窑：中国瓷器的发展史，宋朝的五大名窑，其各自的风格特色，及各自的代表作品8)北京人：北京人遗址，北京人特征与现代人头骨比较，旧石器时代，用火的意义，北京人遗址历史意义9)纸币：北宋纸币铜版拓片10)活字印刷术：印刷术的发展历史（雕版印刷，活字印刷），工艺流程（胶泥刻字-烧制字模-制版-排版-融化松脂，压平字版-印书-泥字拆开，再次排版），木活字，铜活字，重大影响（文化传播），印刷术互动游戏11)司南模型：磁石指南的发现，指南工具的发展历史，航海应用，历史意义12)楔形文字：两河流域，古巴比伦王国，楔形文字13)帕特农神庙：建筑艺术，文化意义，城邦民主制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2DD8D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DC3C9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262A36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A79ED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FCD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456AF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49A1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中学历史推演实验系统</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7F712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中学历史推演实验系统是使用历史图片作为相关事件代表，通过老师、学生的在多媒体设备上推演与互动，对各事件和关键可添加相应的文字表述，最终形成一张完整的，历史事件发展关系图，了解、理解中国-世界政治、经济、文化之间的关系和时间、空间的演变之间联系；老师可对学生作品进行点评，也可由学生分析逻辑过程与结果讲解与演示。组成：系统分为管理员账号管理、教师账号管理、资料库管理、专题库管理、作品库管理等模块。1、管理员账号管理：实现对管理员账号、教师账号、班年级管理1.1支持对年级、班级信息增加、修改、删减操作1.2支持对使用教师信息增加、修改、删减操作1.3支持对教师账号设置密码1.4支持查看、搜索学生信息1.5支持对管理员账号信息修改操作2、教师账号管理：1.1支持对教师登陆账号信息、密码修改操作1.2支持对学生信息增加、修改、删减操作1.3支持对学生分组管理1.4具有查看、搜索学生信息功能3、资源库：1.1含中国、世界不少于300个图片与对应文字介绍资料，中国历史资源按朝代分类，世界历史资源按国家分类；1.2支持新增、编辑和删除中国、世界资源分类；1.3上述分类下，再按政治、经济、文化、军事、其它目录细分；1.4支持在软件界面内进行资源检索；1.5支持自定义新增、编辑和删除资源，编辑资源支持文字描述、多张图片、附件上传。2、专题库：2.1内置多个推演专题案例，可直接使用专题案例进行推演教学，也可编辑另存为自有专题重新进行推演教学；2.2支持对专题进行检索、开始推演、编辑、删除、打开暂存等操作；2.3自定义专题，进入到专题编辑，进行设置专题名称、专题描述、上传附件、添加推演资料等操作，可设置横向、纵向分栏，增、删分栏。2.4开始推演模块：2.4.1推演过程中可直接在软件中使用箭头、手写、文本输入方式标注；箭头、文本均可设置变化（例如放大缩小、粗细、颜色）；推演界面支持滚动条方式伸缩；2.4.2推演过程中支持从资源库中一次性添加一张或多张推演素材；2.4.3推演过程中可隐藏箭头和推演资料显示框；2.4.4推演过程支持暂存，退出后可在专题列表中重新打开暂存进行推演；2.4.5推演支持整体推演画面缩小放大；2.4.6推演过程支持撤回上一步或多步骤操作；2.4.7推演过程中支持查看推演资料详情。3、作品库：3.1以列表的形式呈现教师和学生的专题作品，按专题进行分类展示。3.2支持按名称检索作品、删除作品3.3支持学生端作品上传至教师端作品库4、设置：如配置有学生端，可设置学生端为上课模式或自主学习模式。5、案例：政治、经济、文化等多方面，涉及多个专题的推演，对历史事件、现象进行横向与纵向、时间与空间多层次对比关联，直观呈现专题知的识历史演变过程。举例1.封建王朝的兴替商鞅变法（改革）——秦灭六国——秦朝暴政——陈胜吴广起义——楚汉之争——文景之治——王莽篡汉——光武中兴——外戚宦官交替专权——黄巾起义——三国鼎立——西晋灭吴——八王之乱——王与马共天下——淝水之战——南朝更替——北魏统一北方——隋灭陈——隋炀帝暴政——贞观之治——开元盛世——安史之乱——黄巢起义——五代十国——陈桥兵变——澶渊之盟——经济重心南移——行省制——澎湖巡检司、宣政院——红巾军起义——郑和下西洋——戚继光抗倭——李自成起义——清军入关——郑成功收复台湾——闭关锁国（开放）举例2.近代侵略和探索鸦片战争（落后就要挨打）——南京条约——海国图志——太平天国运动——第二次鸦片战争——火烧圆明园——北京条约——洋务运动——甲午中日战争——马关条约——洋务运动破产——公车上书——戊戌变法——实业救国——八国联军华——辛丑条约——同盟会——三民主义——辛亥革命——中华民国创建——北洋政府统治——新文化运动——五四运动——中国共产党成立——国民党一大——北伐战争——南昌起义——九一八事变——长征——遵义会议——卢沟桥事变—台儿庄战役——百团大战——中共七大——日本投降——重庆谈判——国民党进攻中原——挺进大别山——三大战役——南京国民政府覆灭（资本主义道路不符合中国国情）举例3.中国社会主义道路曲折发展开国大典——土地改革——三大改造——一五计划——社会主义制度确立——中共八大——全面建设社会主义——大跃进、人民公社化（曲折）——文化大革命——十一届三中全会（发展）——经济特区——中共十二大——开放十四个沿海城——中共十三大——社会主义基本路线——南方讲话——中共十四大——社会主义市场经济——中共十五大——邓小平理论——中共十六大——三个代表——中共十七大——科学发展观——中共十九大——习近平新时代中国特色社会主义思想。</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A7E93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6120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18508F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9F85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F06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D95D28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995D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看图猜历史</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3AB57E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依据历史课程标准研发，演示内容不少于150个，演示内容涵盖历史必修课程。采用看图填字的游戏方式，学生可随机选择游戏关卡，每次游戏分数自动记录，提高学生的参与兴趣。每个游戏关卡设有该关卡展示知识点的拓展链接供学生自主学习。包含：历史政治人物、科学家、青铜器、农具、科技发明、货币、历史事件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2D99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07FC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24D8F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34853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2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02EB1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C0848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历史归类游戏</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36B6E2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用找你妹的类似游戏方式，按照界面提示的问题，找出展示图片中对应问题的图片。在规定的时间内，按照找对的图片记录分数。所有问题的设计依据历史课程标准，分为政治经济文化三大类别。包含：历史政治人物、画家、科学家、青铜器、农具、科技发明、货币、历史事件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9715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D21B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FDD29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B0AF6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29D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C721F6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CFF0E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中国历史地图教学卡片</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E57945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290mm×420mm；≥41幅/套材质：采用PVC环保材料印刷资源包：作品为中小学使用的历史地图教具，主要展现中国疆域版图变迁的历史过程和历史都城地图。包括原始社会、夏、商、西周、春秋、战国、秦、西汉、东汉、三国、东晋、西晋、南北朝（宋齐梁陈共4个时期）、隋、唐（上）、唐（下）、五代十国、北宋辽西夏、南宋金西夏、元、明、清（上）、清（下）、中华民国（上）、中华民国（下）、中华人民共和国等，不低于29个历史时期的疆域版图；还有主要历史时期的都城地图，不低于10幅，包括西汉时期长安、东汉时期洛阳、三国时期邺城、南北朝时期建康、隋时期东都洛阳、唐时期长安、北宋时期东京、南宋时期临安、元时期大都、明清时期北京。与“历史地图学习资源包相关辅材”配套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A1DF1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396D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8C0A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33CA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4A3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5D0088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ABE2C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历史地图学习资源包相关辅材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C2B900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将历代疆域版图任意组合叠加、绘图、标注、投影、贴图等来进行比较分析，从历史地图中探寻家乡的历史变迁，考察家乡的历史名称变化、属地范围、行政区划建制归属等，辅助学生加强历史学习过程中的时间和空间概念，提升课堂教学效率和课后学习能力。一、作用：1.通过对中国历代疆域变迁过程的梳理，加强时空观念，从历史发展的角度认识中国疆域的变化，提高对历史地图的辨识能力和运用能力，认识中国疆域在历史进程中的联系、延续、发展。2.对中国重要的边疆地区的观察，加深对这些地区是中国固有领土的认识。3.可说明历代都城的历史地理情况，分析建都的多方面因素。4.可从地图中探寻家乡的历史变迁，了解家乡的历史地理变化。二、特点1.共计100多张辅助卡片2.可重复移动三、配套材料：绘图笔、绘图卡、清洁擦、放大镜、归类夹等。与“历史地图学习资源包”配套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D6E2B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40243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E0BD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6EE4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D3D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E514EA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8CBEE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殷墟甲骨文模型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166A62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盒装，规格：≥260×230×40mm,一甲一骨，高度仿真制作。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D3912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247F8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F5AC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F63E4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9D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CCE255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9602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汉竹木简模型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4F215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锦盒包装，规格≥300×160×40mm,仿真模型。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B3156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9D06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FD65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991B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85E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691E17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6912A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货币模型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C45802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盒装，规格：≥245×215×10mm,材质：秦统一八枚、合金。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BA68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E090E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5BF0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2082F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367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EF272B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73460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四羊方尊模型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1A46C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规格：≥180×170×230，材质：仿铜合金。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68878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77BD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452C2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811A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D93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52D272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084F2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司母戊鼎</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58037C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规格:≥160×115×195mm，材质：合金，高仿。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02391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CB74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99F6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23821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00F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042987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63E6E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筒车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419CCB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规格：≥445×185×370mm，材质：木质。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63BA7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08FE3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4534D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1260B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625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55594E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757E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耧车模型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24D61B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规格：≥480×300×270mm，材质：木质。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FAFED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0185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C4928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5BBF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4F2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F1BC85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3E698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司南模型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8C0FF9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规格：≥220×220×50mm，材质：铜、木框。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12B7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3555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684D7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2FD15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070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F046FE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F2599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曲辕犁</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5983E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规格：≥600×380×95mm,材质：木质。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69DDD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C391E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905D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668D0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7DC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11497E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F45CD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铜车马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D285A4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规格：≥250×145×135mm，材质：合金，高仿</w:t>
            </w:r>
            <w:r>
              <w:rPr>
                <w:rStyle w:val="154"/>
                <w:sz w:val="22"/>
                <w:szCs w:val="22"/>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F105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55C7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3DEE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ADB7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2D8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866858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61EB7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兵马俑</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D054B8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规格：高≥280mm，材质：陶瓷,，一匹马四个兵俑。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ABA82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A8FC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BFF7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6341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60B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A962A6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B577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清明上河图</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403839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规格：≥390×85×85mm，绢质，盒装。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8FAD1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E34F2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CE78E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92E14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98D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911E4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6083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唐三彩载乐俑</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64B61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100×280mm,材质：陶器，一个骆驼上8个人。历史信息：驼背部架一平台，铺方格纹长毯，上有乐舞俑8个，7男乐俑1女舞俑。乐俑环坐平台四周，分别执笛、箜篌、琵琶、笙、箫、拍板、排箫7种乐器，在全神贯注地演奏，女舞俑婷婷玉立于7个乐俑中间，轻拂长袖，边歌边舞。这组乐舞俑是典型的盛唐时期的作品，舞乐者均穿着汉族衣冠，使用的却大都是从西域传入的乐器，表现的是流行于开元、天宝时期的“胡部新声”即胡汉文化融合后的新舞乐。釉色鲜明亮丽，协调自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4B45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C7F90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62D7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C4AF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12B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3FA26A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D8D7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景德镇青花瓷盘</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ECFDF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规格：直径≥245mm，材质：陶瓷。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CA40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D3659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A834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03CC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752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0874C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6C602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景德镇五彩瓷瓶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5AEA96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规格：直径≥200mm，高≥300mm，材质：陶瓷。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82997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99BC3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8B34D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3F2F9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956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D069C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E6E19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尖底陶瓶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AED5D7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规格：宽≥160mm，长≥230mm，材质：高分子材料，高仿。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CA479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4953A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B17C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AE089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6C5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C8C814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0FEAB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猪纹陶钵</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2433F8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规格：≥315×190×115mm，材质：高分子材料，高仿。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6A328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EC593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958B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BD646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C4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641A17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FFA11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黑陶高柄杯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9D18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规格：高≥145mm，材质：高分子材料，高仿。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AFB73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6B7B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7DA3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259C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5A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4324CF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10BB3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铜爵</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0B9D28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规格:≥126×60×175mm，材质：合金。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DB50D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D83E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B99BA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541C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00A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F230D8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ECB2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瑞兽 </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BF148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规格:≥140×50×95mm，材质：合金。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7ACB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4AC99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E1EC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B1A96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EA6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5CE80A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396A3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三轮汽车模型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91C33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规格:≥230×170×150mm，奔驰牌。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D8BB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19BDE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B873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74B5C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782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338DA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4CC8C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蒸汽机模型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D81A9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规格:≥150×85×90mm，材料用铝的，底板是黑色的有机板。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4280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FBE5C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74EC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D4D1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FE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130C27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13DD4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三星堆青铜立人像</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AED11A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规格：≥50×50×280mm，材质：青铜，高仿。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8BFF9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82A5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B38B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2097C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3FF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04F867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E5C79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木活字</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ED3BB9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规格：≥280×160×25mm，材质：木质。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D77B4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13525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2F6B6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46BC9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66B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3FE98B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DF478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楔形文字泥板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280ACC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规格：≥300×300×10mm，材质：pvc。</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1F03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3AD9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EEB27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1F27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430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833225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E4303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早期飞机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AE0FED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规格：≥305×260×130mm，双翼，材质：金属。</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C2788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11A09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23E3E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89473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D0F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67D8B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C0687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指南车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EE4D8B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880×1350mm；实木材质，又称司南车，是中国古代用来指示方向的一种机械装置，它利用差速齿轮传动系统，根据车轮的转动，由车上木人指示方向。不论车子转向何方，木人的手始终指向你设定好的方向。此产品不仅体现了古代科技的进步，同时展现了古人的智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DD115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548C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C6F9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1083E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B8B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0CEB0B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9208A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长城烽火台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E97729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auto"/>
                <w:kern w:val="0"/>
                <w:sz w:val="22"/>
                <w:szCs w:val="22"/>
                <w:highlight w:val="none"/>
                <w:u w:val="none"/>
                <w:lang w:val="en-US" w:eastAsia="zh-CN" w:bidi="ar"/>
              </w:rPr>
              <w:t>规格：≥1200×800×830mm</w:t>
            </w:r>
            <w:r>
              <w:rPr>
                <w:rFonts w:hint="eastAsia" w:ascii="微软雅黑" w:hAnsi="微软雅黑" w:eastAsia="微软雅黑" w:cs="微软雅黑"/>
                <w:i w:val="0"/>
                <w:iCs w:val="0"/>
                <w:color w:val="auto"/>
                <w:kern w:val="0"/>
                <w:sz w:val="22"/>
                <w:szCs w:val="22"/>
                <w:highlight w:val="none"/>
                <w:u w:val="none"/>
                <w:lang w:val="en-US" w:eastAsia="zh-CN" w:bidi="ar"/>
              </w:rPr>
              <w:br w:type="textWrapping"/>
            </w:r>
            <w:r>
              <w:rPr>
                <w:rFonts w:hint="eastAsia" w:ascii="微软雅黑" w:hAnsi="微软雅黑" w:eastAsia="微软雅黑" w:cs="微软雅黑"/>
                <w:i w:val="0"/>
                <w:iCs w:val="0"/>
                <w:color w:val="auto"/>
                <w:kern w:val="0"/>
                <w:sz w:val="22"/>
                <w:szCs w:val="22"/>
                <w:highlight w:val="none"/>
                <w:u w:val="none"/>
                <w:lang w:val="en-US" w:eastAsia="zh-CN" w:bidi="ar"/>
              </w:rPr>
              <w:t>材质：上部分模型为高分子材料，底座采用25mm双贴面三聚氰胺板，优质PVC封边条，封边机对板材截面</w:t>
            </w:r>
            <w:r>
              <w:rPr>
                <w:rFonts w:hint="eastAsia" w:ascii="微软雅黑" w:hAnsi="微软雅黑" w:eastAsia="微软雅黑" w:cs="微软雅黑"/>
                <w:i w:val="0"/>
                <w:iCs w:val="0"/>
                <w:color w:val="auto"/>
                <w:kern w:val="0"/>
                <w:sz w:val="22"/>
                <w:szCs w:val="22"/>
                <w:highlight w:val="none"/>
                <w:u w:val="none"/>
                <w:shd w:val="clear"/>
                <w:lang w:val="en-US" w:eastAsia="zh-CN" w:bidi="ar"/>
              </w:rPr>
              <w:t>长1200mm*宽16mm*厚1mm</w:t>
            </w:r>
            <w:r>
              <w:rPr>
                <w:rFonts w:hint="eastAsia" w:ascii="微软雅黑" w:hAnsi="微软雅黑" w:eastAsia="微软雅黑" w:cs="微软雅黑"/>
                <w:i w:val="0"/>
                <w:iCs w:val="0"/>
                <w:color w:val="auto"/>
                <w:kern w:val="0"/>
                <w:sz w:val="22"/>
                <w:szCs w:val="22"/>
                <w:highlight w:val="none"/>
                <w:u w:val="none"/>
                <w:lang w:val="en-US" w:eastAsia="zh-CN" w:bidi="ar"/>
              </w:rPr>
              <w:t>进行封边，密封性好，外型美观，防湿，牢固，经久耐用。</w:t>
            </w:r>
            <w:r>
              <w:rPr>
                <w:rFonts w:hint="eastAsia" w:ascii="微软雅黑" w:hAnsi="微软雅黑" w:eastAsia="微软雅黑" w:cs="微软雅黑"/>
                <w:i w:val="0"/>
                <w:iCs w:val="0"/>
                <w:color w:val="auto"/>
                <w:kern w:val="0"/>
                <w:sz w:val="22"/>
                <w:szCs w:val="22"/>
                <w:highlight w:val="none"/>
                <w:u w:val="none"/>
                <w:lang w:val="en-US" w:eastAsia="zh-CN" w:bidi="ar"/>
              </w:rPr>
              <w:br w:type="textWrapping"/>
            </w:r>
            <w:r>
              <w:rPr>
                <w:rFonts w:hint="eastAsia" w:ascii="微软雅黑" w:hAnsi="微软雅黑" w:eastAsia="微软雅黑" w:cs="微软雅黑"/>
                <w:i w:val="0"/>
                <w:iCs w:val="0"/>
                <w:color w:val="auto"/>
                <w:kern w:val="0"/>
                <w:sz w:val="22"/>
                <w:szCs w:val="22"/>
                <w:highlight w:val="none"/>
                <w:u w:val="none"/>
                <w:lang w:val="en-US" w:eastAsia="zh-CN" w:bidi="ar"/>
              </w:rPr>
              <w:t>功能：可光电模拟演示长城烽火台在古时候的预警作用。可模拟演示古时烽火台白天和夜间烽烟、烽火报警过程；LED灯演示烽火，雾化装置演示烽烟。烽火和狼烟可以分看演示，逼真再现古时夜晚和白天报警过程，烽火和烟雾必须按照顺序一个烽火台接一个烽火台的演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76D1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EBCEA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7741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B5772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B49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05F9D4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08AE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地动仪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BC3467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根据实物1：1复制（高≥1.65米，底座边到边≥1.8米），进口复合树脂材料浇注成型；电子传动方式动态演示地震方位。产品为复原模型，可演示地动仪整体结构特征和某个近距离方位发生震动时龙珠掉落的效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21B3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C9C82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126C0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AE60B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F56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AD0BE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24E4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A6A1024">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二、基础设施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5161F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8490C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C43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71B7F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B9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144F3A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BC226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智能教学终端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92A0D9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显示模块及整机性能1、交互黑板采用平面结构设计，采用三段式结构方式，交互黑板长度≥4300mm，双侧黑板面无任何按键；2、智能交互黑板液晶显示尺寸≧86英寸，分辨率：≥3840*2160,交互黑板功率≤400W，红外触控技术，在Windows与Android下均支持20点同时触控及书写；3、双侧侧板支持磁性材质教具吸附功能；4、整机标配VGA接口≥1路；5、为方便外接信号源的输入，整机前置1路具备中文标识的标准非转接HDMI接口（非转接），2路USB3.0接口；6、整机前置1路Type-C接口，具备音频、视频、触控、充电等功能；7、为方便用户进行各类设置和操作，设备前置按键不少于8个，可实现音量加减、窗口关闭、触控开关、多任务等功能，且每个按键不少于两种以上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无需打开智能黑板背板，前置接口面板和前置按键面板支持单独前拆；9、采用物理减滤蓝光设计，无需其他操作即可实现防蓝光，且设备具备智能护眼组合功能，通过扫描设备自带的二维码可获取检测机构的认证证书；10、为满足教学场景使用需求，支持不少于3种方式进行屏幕下移，屏幕下移后仍可进行触控、书写等操作；11、交互黑板Android主板具备四核CPU，内存不小于2G，储存最高可至8G，Android系统不低于11.0，主页提供不少于5个应用程序，也可替代其他应用程序；12、通过多指滑动屏幕，可快速实现Windows与教学系统界面的切换；13、为方便教师授课节省操作时间：交互平板具有可设置快捷键功能，具备开关，可单侧或双侧显示，可设置自动隐藏时间，具备自定义、关闭窗口等不少于14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本地安卓白板软件具备面积识别功能，通过接触交互设备的面积大小实现智能擦除、粗细笔迹书写；15、通过五指抓取屏幕任意位置可调出多任务处理窗口，并对正在运行的应用进行浏览、快速切换或结束进程；16、交互黑板处于关机通电状态，外接设备接入交互黑板时，交互黑板可识别到外接设备的输入信号后自动开机；17、交互黑板采用OPS-C标准的80pin针口设计，方便用户后续自主升级维护或对接第三方智慧教室类插拔电脑产品；18、交互黑板可一键进行硬件自检，包括对系统内存、存储、触控系统、光感系统、内置电脑、屏体信息、主板型号、CPU型号、CPU使用率、设备名称等进行状态提示、及故障提示；二、内置电脑1、采用Intel通用80pin接口,易拆卸维修；2、CPU采用类似或同类型≥Intel酷睿I5处理器；内存：≥8G；硬盘：≥256GSSD；3、具备至少6个USB接口（其中至少包含3路USB3.0接口）；具有独立非外扩展的视频输出接口：≥1路HDMI、≥1路D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1）整机前置具有中文标识的天线模块，包含2.4G、5G双频WiFi和蓝牙接发装置，Android与Windows均可无线上网；（2）为后续可轻松解决电脑系统故障：交互平板整机前置应具备带有中文丝印的电脑还原物理按键，为避免繁琐操作不接受U盘还原功能；（3）悬浮菜单在任何信号源可通过两指调用到任意位置，支持笔、清页、切换信号源等功能，其中信号源可固化到菜单中，一键直达常用功能，并且支持自定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67745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855D9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5AE7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7389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911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97794D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9ABD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教学平台软件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97ABDD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一、教学平台软件1、老师个人账号无需完成特定任务，即可获取不少于200G云端存储空间，最高可扩展不少于2TB云存储空间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U盘插入时，无需额外操作自动弹出U盘文件夹，方便教师直接选取U盘中内容；3、开机进入教学桌面，教师可按照自己使用习惯，更换常用软件、背景，形成教师的定制化桌面；4、云端资源涵盖幼教、普教、职教等学段，总量不少于1000G。试题库不少于50万道；5、教学软件支持三种登录方式；账号密码直接登录，手机验证码快捷登录、微信扫码登录；还支持免登录打开本地课件；6、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7、支持绘制任意平面图形、任意几何图形、任意3D动态课件等，并可将绘制的函数图像一键导出为图片，插入课件中；8、提供模块化的高质量课件素材和教案，学科涵盖小学语文、初中语文、小学数学、初中数学、高中数学、小学英语、初中英语、小学科学、初中物理、初中化学等学科。课件支持组选：课堂导入，知识讲解，例题与变式，拓展延伸，课外等。课件总课时量不低于1000个课时；9、为满足不同书写需求，同一款软件下提供硬笔、智能笔、激光笔、手势笔等不少于9种书写工具。通过智能笔可识别平面图形；通过手势笔可实现选中对象、翻页等功能；10、提供预置的高质量课件素材，允许老师在网页端、移动端、电脑端进行内容的选择与组合，快速生成课件并浏览。所有制作的课件均实时保存至云端，老师只需登录即可查；11、可将自己的课件发布到校本空间，同校的老师都能在校本空间中查看和保存该课件；支持移动端、电脑端播放和保存校本空间里的课件；校本空间里的课件会随着老师课件的更新实时同步；12、可插入思维导图，包括逻辑图和组织结构图。思维导图可添加同级节点、下级节点、上级节点。可编辑文字格式和思维导图格式；13、为了丰富备授课教学资源，同一款软件下提供多种学科工具：至少提供12门学科工具，包含语文、数学、英语、物理、化学、生物等。学科工具里不止简单的静态图片，部分学科中也具有交互式操作的动画；14、部分学科功能如下：（1）提供化学公式编辑器，提供化学公式上标、下标、反应符号、反应条件、气体沉淀等符号及快捷输入方式。输入后的公式与文本处于同一个文本框内，拖动文本框后公式随文本框变化位置；（2）提供数学公式编辑器，提供近百种数学符号，提供数学公式上标、下标、分式的快捷键输入方式。输入后的公式与文本处于同一个文本框内，拖动文本框后公式随文本框变化位置；（3）提供英语生词卡片，按不同年级提供同一单词的不同释义生词卡片。常用单词自动生成配图、发音、释义；配图可根据老师的需求进行切换；（4）提供语文生字卡片，输入常用字后自动匹配读音及笔顺，提供拼音标注工具。支持一键将纯文本转化为文本+拼音格式或拼音格式；15、多屏互动功能：支持手机、pad移动端与交互平板连接后，可实现常用功能如影像上传、投屏、播放课件、直播。支持对上传的图片内容再次编辑，可同时上传多张照片进行同屏对比，双向批注；一键打开电脑桌面课件并播放，课件支持播列表，可快速选择PPT或白板课件进行播放；16、支持通用小工具，可在课堂授课状态下实现黑屏、时钟、放大镜、聚光灯等插件功能；17、老师可通过移动端、PC端及网页端对学生进行行为评价打分，可显示班级得分前列的学生信息，界面、评价项、学生头像均采用卡通化方式，软件支持随机抽选学生进行评价；18、支持课堂评价以勋章的形式，始终悬浮在页面右下角。支持对全班、单个或多个学生进行评价，评价结果可撤回；二、PPT授课助手：1、可适用于WPS与PPT，打开课件自动启动，无需手动打开；2、为满足教师使用习惯，可支持双侧工具栏位置自定义；3、在不修改WPS与PPT的课件格式情况下，支持原文档随时批注，擦除；4、提供多种教学常用工具，无需切换软件，即可在WPS与PPT的课件中添加时钟，聚光灯等小工具；5、支持在WPS与PPT的课件播放音视频时，无需通过物理按键即可实现黑屏，轻触屏幕即可点亮，同时支持在黑屏状态下不影响音视频的正常播放。三、家校沟通互动系统（一）教师教学移动端1、创建班级：老师可选择学校、年级、创建班级，班级名称支持自定义；2、邀请成员;班主任以告知邀请码、QQ或微信分享链接、班级通知单邀请等多种方式邀请班级成员；3、面容录入：班级内成员可通过移动端进行面容录入，用于课堂AI互动与智能云考勤使用；4、教学拓展：支持向家长发送教学拓展或学习任务，可向一个或多个班级中的全部或个别成员发送，家长单独收到。支持图片、拍照、语音、文件、课件、作业等附件；5、支持老师对已收到的任务进行快速批改，并将批改结果反馈至家长端，预置不少于6种评语，支持以免费短信的形式提醒未查看或未反馈的家长；6、打卡任务：支持老师发起周期性的打卡任务，可设置任务的开始截止时间、频次及周期，预置不少于9个打卡活动的模板，包括每日健康统计、每日朗读等，且老师可以对学生的打卡结果进行点评，家长之间可以互评；7、支持老师创建带主题的讨论组，可设置讨论组默认结束时间，结束后自动全员禁言。讨论组创建者7天内可撤回任意成员的消息，防止班级群舆论发酵；8、支持老师发送成绩单，自动统计班级最高分、平均分等且家长只能看到自己孩子的成绩。支持家长撰写请假条发给老师，老师批复后可与手机终端查看。支持老师创建相册并上传照片、视频从而丰富班级文化建设；（二）家长互动移动端1、支持多个家长账号绑定同一个学生，并支持家长创建多个学生；2、支持填写邀请码、使用QQ及微信分享班级专属的邀请H5页面等多种方式加入班级；3、支持查看学生所在班级信息及班级内所有老师，支持发起与任一老师的一对一沟通；4、支持接收老师的通知、打卡、课件、教学拓展任务、一对一消息及讨论组内消息。通知支持进行回执选择，打卡、教学拓展任务支持以文字、语音、图片、视频的形式提交；5、支持接收和查看学生当日、本周、月度及年度的课堂表现评价统计报表，并可具体查看到每一条评价的原因、评价者和分值。6、支持撰写请假条发给老师，老师批复后可查看到。支持查看老师发送的学生成绩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540F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D0092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686944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32300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35A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8D4E7E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32357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视频展台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7FB9EF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采用≥1300万像素摄像头；采用USB五伏电源直接供电，支持壁挂和桌面两种安装方式，无需额外配置电源适配器，环保无辐射；2、A4大小拍摄幅面；3、整机具有安全锁；4、整机外观材质：采用圆弧式设计，无锐角兼顾教学环境，保护师生安全；5、展示托板正上方具备LED补光灯，保证展示区域的亮度及展示效果，补光灯开关采用触摸按键设计，同时可通过交互智能平板中的软件直接控制开关；6、可通过屏幕左下画面缩略图，在展示画面放大的情况下，快速移动到达画面任意位置，实现鸟瞰功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49F78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149F6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000CC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EAB9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B63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A91E87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5212F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教师演示台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5E5FF1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规格：≥1600×600×780mm，榆木仿古雕刻制作。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50B0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6CFF9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79CE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B218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745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2634E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89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2C1F0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学生仿古条案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546FC5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1200×400×750mm台面：采用≥25mm密度板芯，外贴面耐磨耐刻划防火板(仿古棕灰色)经后成型包边精加工而成使实验台面顺滑呈半圆形，造型美观，经久耐用。侧板：采用≥25mm防潮三聚氰胺双面贴面板，其截面由PVC封边条利用高温热熔胶封边，粘力强，密封性好，外型美观，经久耐用，2张学生仿古条案为一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83310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0CC5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0358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58693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7F8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1B6743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69C6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学生仿古椅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BB9846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牢固稳定、符合国家标准。规格：≥300mm×300mm×450mm。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859E8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3E79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E6E9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54FA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E0F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05E22E2">
            <w:pPr>
              <w:keepNext w:val="0"/>
              <w:keepLines w:val="0"/>
              <w:widowControl/>
              <w:suppressLineNumbers w:val="0"/>
              <w:jc w:val="center"/>
              <w:textAlignment w:val="center"/>
              <w:rPr>
                <w:rFonts w:hint="default" w:ascii="微软雅黑" w:hAnsi="微软雅黑" w:eastAsia="微软雅黑" w:cs="微软雅黑"/>
                <w:i w:val="0"/>
                <w:iCs w:val="0"/>
                <w:color w:val="auto"/>
                <w:sz w:val="22"/>
                <w:szCs w:val="22"/>
                <w:highlight w:val="none"/>
                <w:u w:val="none"/>
                <w:lang w:val="en-US"/>
              </w:rPr>
            </w:pPr>
            <w:r>
              <w:rPr>
                <w:rFonts w:hint="eastAsia" w:ascii="微软雅黑" w:hAnsi="微软雅黑" w:eastAsia="微软雅黑" w:cs="微软雅黑"/>
                <w:i w:val="0"/>
                <w:iCs w:val="0"/>
                <w:color w:val="auto"/>
                <w:kern w:val="0"/>
                <w:sz w:val="22"/>
                <w:szCs w:val="22"/>
                <w:highlight w:val="none"/>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534AC5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博古架及学生作品展示区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FA9AD1E">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长度不小于5米</w:t>
            </w:r>
            <w:r>
              <w:rPr>
                <w:rFonts w:hint="eastAsia" w:ascii="微软雅黑" w:hAnsi="微软雅黑" w:eastAsia="微软雅黑" w:cs="微软雅黑"/>
                <w:i w:val="0"/>
                <w:iCs w:val="0"/>
                <w:color w:val="auto"/>
                <w:kern w:val="0"/>
                <w:sz w:val="22"/>
                <w:szCs w:val="22"/>
                <w:highlight w:val="none"/>
                <w:u w:val="none"/>
                <w:shd w:val="clear"/>
                <w:lang w:val="en-US" w:eastAsia="zh-CN" w:bidi="ar"/>
              </w:rPr>
              <w:t>，宽不小于0.4米，高不小于2米，</w:t>
            </w:r>
            <w:r>
              <w:rPr>
                <w:rFonts w:hint="eastAsia" w:ascii="微软雅黑" w:hAnsi="微软雅黑" w:eastAsia="微软雅黑" w:cs="微软雅黑"/>
                <w:i w:val="0"/>
                <w:iCs w:val="0"/>
                <w:color w:val="auto"/>
                <w:kern w:val="0"/>
                <w:sz w:val="22"/>
                <w:szCs w:val="22"/>
                <w:highlight w:val="none"/>
                <w:u w:val="none"/>
                <w:lang w:val="en-US" w:eastAsia="zh-CN" w:bidi="ar"/>
              </w:rPr>
              <w:t>木工板材质，下部分为展示柜，左右两侧为博古架造型，营造整个历史教室的氛围。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6C1C0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E2E0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4C2F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001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081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C9A3E9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9928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陈列柜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36CA03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规格：≥1200×680×910mm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材质：柜身采用16mm采用防潮三聚氰胺双贴面板(仿古棕灰色)，上柜为1/4球面流线型的铝合金框架配5mm全透明钢化玻璃。铺绒布美观大方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8FBA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F5233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BBC9C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ED09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4C0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50F135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6508B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历史知识展画</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851F11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定制，UV高清印刷，印刷介绍相关知识，集教学、观赏为一体。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EAB53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B97A5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65A3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F51E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22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857ED8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877C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95F0C9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规格：≥600×800mm（根据学校要求）参数：古典角花框，高密度发泡板，高清UV印刷内容。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84A89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68CD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6342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AEAE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33C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D15AEC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647A2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现场安装调试</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0F2B37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根据现场进行安装调试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84C76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F0F9D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7472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B89B4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4F3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9367A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2B0F295A">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9FBA22F">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57D1D3">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8CDD9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A9640D">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1FC9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7196A5A">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B8EEF6B">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荫城学校总计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140AAAC">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FC89459">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89C3DED">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9895964">
            <w:pPr>
              <w:jc w:val="center"/>
              <w:rPr>
                <w:rFonts w:hint="default" w:ascii="微软雅黑" w:hAnsi="微软雅黑" w:eastAsia="微软雅黑" w:cs="微软雅黑"/>
                <w:b/>
                <w:bCs/>
                <w:i w:val="0"/>
                <w:iCs w:val="0"/>
                <w:color w:val="000000"/>
                <w:kern w:val="0"/>
                <w:sz w:val="22"/>
                <w:szCs w:val="22"/>
                <w:u w:val="none"/>
                <w:lang w:val="en-US" w:eastAsia="zh-CN" w:bidi="ar"/>
              </w:rPr>
            </w:pPr>
          </w:p>
        </w:tc>
      </w:tr>
      <w:tr w14:paraId="0233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D7D43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4BA044E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长治市上党区第三中学校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EAD5D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F9EE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1222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82BEB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AE9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FD418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5EDC69A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（一）长治市上党区第三中学校地理教室</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F847B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C7CEE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B019A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42E9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910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F2D8E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1720BE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一、地理专用设备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D4CBE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13BC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DE97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36CF5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2C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628880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55C62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地理VR教学系统（初中版）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E6990F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该系统每套包含一体机终端1套，3D追踪眼镜1副，3D非追踪眼镜1副，红外追踪触控笔1支，电源线1根，键盘1个，鼠标1个。1.底座随意转动，转换不同方向，方便观看者观察3D影像及场景。2.≥3个红外传感器并排放置，保证视野范围。3.3D姿态调节≤2s，系统可准确判断眼睛所在位置，根据眼镜视角的不同转换不同视角下的显示内容。4.至少提供Unity3D、OpenGL、UE4等常用三维引擎之一的SDK开发包，SDK支持≥1支空间交互笔。5.3D视差调节0-6cm。6.3D跟踪眼镜一副，具备≥5个反光点，主动式红外或蓝牙接收，自动匹配，无需人为设置。7.3D观看眼镜一副，主动式红外或蓝牙接收，自动匹配，无需人为设置。8.≥可支持1支空间交互笔接入，无电池供电，内置震动器，每支交互笔至少有三个逻辑按键；支持1支交互笔同时在一个三维场景使用。9.CPU≥I5、内存≥8G、硬盘≥256SSD、显卡≥DDR5/1050ti。10.≥27寸主动式立体3D显示跟踪系统，3D显示屏内置红外光学跟踪系统，一体化设计。11.≥27寸主动式立体显示系统支持窗口/全屏3D，120Hz或以上刷新率，窗口及全屏3D模式下每帧图像信号至少为1920*1080分辨率，非左右合成分辨率减半画面。12.显示区域：≥595×335mm。13.内置扬声器：≥2个。14.支持以太网连接，支持802.11a/b/g/n高速无线传输、支持蓝牙4.0。15.具有多人协同操作核心功能，支持至少2台设备协同操，作并观看场景3D立体效果。16交互笔支持以下性能。1）功能满足：含一根USB线缆，无电池，不需要充电；具有至少三个逻辑操作按键，一个RGB指示灯及一个力反馈震动马达及一个六自由度惯性测量芯片；具备3个自由度坐标轴移动、3个自由度坐标轴转动。2）旋转精度至少满足：绕X轴旋转精度：≤1°，绕Y轴旋转精度：≤1°3）定位至少满足精度：X轴精度：±2mm，Y轴精度：±2mm，Z轴精度：±2mm。4）解析度至少满足：X轴解析度：≤2mm，Y轴解析度：≤2mm，Z轴解析度：≤2mm。17.跟踪眼镜与观看眼镜接受红外或蓝牙同步信号，红外或蓝牙3D眼镜的透光率大于35%。18.实际显示物理大小不小于27英寸，有效的物理显示面积不小于590mm×330mm，分辨率为1920*1080p，图形刷新率为≥120Hz，可视角度不低于170°。二、课题内容1)六大板块：亚欧板块、非洲板块、美洲板块、太平洋板块、印度洋板块和南极洲板块，火山、地震带。2)等高线：海拔、相对高度，等高线概念，山峰、山脊、山谷、陡崖、鞍部，等高线应用案例3)等高线应用案例：互动及水坝的选址4)经纬网：经线，纬线，南、北半球，低中高纬度，北回归线、南回归线、北极圈、南极圈，本初子午线，东、西半球分界线5)中国地形地势：我国主要山脉，四大高原，四大盆地，三大平原，三大丘陵，三大阶梯6)地上河：黄河概况，黄河特征、凌汛过程，黄河上游、中游、下游特征，地上河形成过程7)喀斯特地貌：中国喀斯特分布，形成的气候原因，地质因素，对农业的影响8)黄土地貌：黄土塬、黄土梁、黄土峁、黄土川，黄土高原水土流失状况，水土流失导致的原因（自然原因、人为原因）9)世界气候类型：气候类型分布，热带雨林气候，热带草原气候，温带季风气候，寒带气候10)现代化的乳产品生产过程：欧洲人饮食结构，欧洲西部的畜牧业，现代化的乳产品生产过程，约翰家的乳畜农场11)水库调节径流：水资源分布不均，水利工程，兴建水库，三峡工程，南水北调工程12)因地制宜发展农业：农业生产要素，因地制宜必要性13)地形剖面图：概念及说明现象14）地球外部圈层：大气圈成分和位置，大气层分对流层、平流层、中间层、热层和散逸层，大气圈作用，水圈组成，地表水、地下水、大气水、生物水之间相互关系，生物圈组成，各圈层联系15）土壤剖面结构：土壤定义，土壤发生层，土壤剖面五个土壤层（有机质层、腐殖质层、淋溶层、淀积层、母质层），自然界中的土壤剖面，土壤形成、发育过程、肥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B3095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8B15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2816F5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60F9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FED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5CBD7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1CFB3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虚拟实验教学软件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139E4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桑基鱼塘（桑基鱼塘经济模式）：采用虚拟互动模式，对桑基鱼塘这种充分利用土地而创造的挖深鱼塘，垫高基田，塘基植桑，塘内养鱼的高效人工生态系统进行动态模拟，直观展现了桑基鱼塘循环生产过程中各环节之间的联系。该软件共分为模式简介、实地欣赏、方案对比和知识拓展四个模块。软件主要介绍桑基鱼塘模式的主要特点及生产方式，并以实例加以补充，说明该模式的实际应用。同时，亦可直观对比只种桑树、种桑树加养蚕、种桑树加养蚕加养鱼三种模式的经济效益，展示桑基鱼塘经济模式的优势所在。知识拓展模块简要地介绍了桑基鱼塘模式的兴起、发展、衰败、复兴、消退再到改良。大气循环与水循环（大气和水模型）：利用虚拟空间动态的演示大气循环的运动成因，形成各个气压带风带的原因，以及大气导致洋流的方向的原理，动态模拟水循环的类型和过程，形象直观全面的表现大气和水循环，更直观明了。该软件亦分为大气环流、气压带与风带、风海流和水循环四个模块。结合大气环流的影响因素，对其进行动态模拟，并引出气压带风带的成因，演示气压带风带的季节移动规律。同时，进一步介绍因大气环流形成的风海流，分析洋流的分布规律。水循环模块主要介绍了海陆间水循环、陆地内循环和海上内循环，以及进行动态演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台风（虚拟台风模型）：利用虚拟软件对台风进行全方位的动态模拟，包括台风的生成原因和过程，直观的展现台风运动过程中的路径的变化，并且引发学生进一步思考台风过境以后所带来的天气变化和其他的影响。该软件从原理介绍、等级划分、逃生演习和知识拓展四个模块介绍了台风。软件讲述台风等级划分为六级，以及在遇到台风过境时逃生选择方法，可互动完成在家庭、商场、海边、户外及野外等不同场景时逃生演习。软件同时拓展了我国对台风的预报范围，包括24小时警戒线和48小时警戒线，以及各种警戒的介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城市内部空间结构（城市功能区模型）：将广大的空间范围利用虚拟软件技术概括浓缩集中的建立了立体城市形象，阐述了各个城市功能区区位选择的影响因素，开阔学生思维，锻炼了学生全面考虑问题的能力。该软件共分城市用地、功能分区、理论模式和中心地理论四个模块，结合影响城市功能分区的几大因素，对城市功能分区进行划分，并以上海市为例进行城市功能分区模拟，可进行互动操作匹配对应的功能分区。同时，该软件还拓展对城市功能分区的理论模式介绍及中心地理论介绍。</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地震等级与破坏程度虚拟实验：利用虚拟环境对地震进行模拟，包括不同地震等级对相同建筑材料的建筑物的影响，及相同地震等级对不同建筑材料的建筑物的影响，可直接观察地震的破坏程度，引发学生遇到地震灾害时所需要的思考及保护措施。该软件共分为观察体验、动手体验、逃生演习和知识拓展四个模块。观察体验主要是对世界范围内已经发生的比较典型的地震案例进行图片观察，感受地震的破坏程度；动手体验主要是不同材质的建筑物的抗震能力演示；逃生演习虚拟了家庭、教室、商场、户外和野外等场景，亦可进行互动演习，选择正确的逃生方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数字填充图：根据教程内容要求，将填充图通过多媒体的方式进行演示操作，互动学习。软件紧扣教材，通过互动答题的方式，提高学生对课程的学习兴趣。</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F319F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77450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6783F2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E80A9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B68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A70F26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ADA3E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中国立体地形模型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E2DF61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中国立体地形模型1.1、有效地图尺寸：≥2560×1700mm；1.2、水平比例尺：1：240万；1.3、垂直比例尺：1：16.5万；1.4、灯光：采用高亮度带卡式LED灯，灯泡直径为≥3mm。1.5、外框尺寸≥:2720×1870mm；材质：采用≥2mm厚ABS材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内容根据国家测绘局关于严格遵守使用中国地图有关规定的通知，要求正规出版社出版，具有国家测绘地理信息局地图审核批准书和国家新闻出版总署配发的国际标准书号，集声、光、电为一体，适合现代教学的高科技产品。2.1控制系统：无线控制。2.2语音系统：工业级别MP3，音质优美动听。2.3内容：（1）中国地理总体概况1）我国地理位置、疆域和政区；2）地形特征和分布：三级阶梯、地形类型及地形对经济发展的影响；3）钓鱼岛、黄岩岛。（2）中国地理详细分述1）河流：长江、黄河、京杭大运河、松花江、珠江、海河、塔里木河2）铁路：京沪线、京广线、京九线、京哈线、宝成—成昆—南昆线、京秦—京包—包兰线、陇海-兰新线、沪杭—浙赣—湘黔—贵昆线、天路-青藏线、滨洲线滨绥线3）四大高原：青藏高原、黄土高原、内蒙古高原、云贵高原4）四大盆地：塔里木盆地、准噶尔盆地、柴达木盆地、四川盆地5）三大平原：东北平原、华北平原、长江中下游平原6）山脉：山脉总述、喜马拉雅山脉、五岳等。3、软件3.1中国立体地形模型多媒体联动演示软件1）在用户操作指令发送给中国立体地形图之后，多媒体联动演示软件播放与中国立体地形图正在进行光电演示项目对应的多媒体内容，实现软硬件的联动演示，软件支持触摸操作。多媒体资源紧贴教材制作，采用多媒体展示方式，对演示项目进行生动详实的介绍。含配套接收信号硬件。2）通过多媒体资源方式详细演示中国地理总体概况、河流、铁路、四大高原、四大盆地、三大平原、山脉。3）多媒体资源支持自主更新替换，软件支持关键字检索功能。3.2中国地图拼图软件1）中国地图细分“省/直辖市地图认知、全国地图拼合、省/直辖市/自治区下辖政区认知”3个模块；2）在“省/直辖市地图认知”环节，体验者通过把各省/直辖市/自治区简称、拖到对应的各省/直辖市/自治区的区域地图上，通过体验加强对各省/直辖市/自治区简称和区域地图的双重认知。3）在“全国地图拼合”环节，体验者把各省/直辖市/自治区的区域图拼合到全国地图里，通过体验加强对各省/直辖市/自治区具体地理位置的认识。4）在“省/直辖市/自治区下辖政区认知”环节，搜集全国各省下辖地级市、省直辖县，各直辖市下辖区/县的名称，体验者要把这些地级市/区/县的名称在各省/直辖市地图里，拖到对应的位置。通过体验加强对全国各省/直辖市下辖政区的认知。5）以上拼图环节均设置有计时，可拼图竞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FAB8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1C0B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7B09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F511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9B3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CB0638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3367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世界立体地形模型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376D4D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世界立体地形模型1.1、有效地图尺寸：≥2480×1550mm；1.2、水平比例尺：1：1300万；1.3、垂直比例尺：1：39.3万；1.4、灯光：采用高亮度带卡式LED灯，灯泡直径为≥3mm。1.5、外形尺寸：≥2720×1870mm；材质：采用≥2mm厚ABS材质；2、内容根据国家测绘局关于严格遵守使用中国地图有关规定的通知，要求正规出版社出版，具有国家测绘地理信息局地图审核批准书和国家新闻出版总署配发的国际标准书号，集声、光、电为一体，适合现代教学的高科技产品。2.1控制系统：无线控制。2.2语音系统：工业级别MP3，音质优美动听。2.3内容：（1）世界概况总体介绍1）七大州：介绍七大洲的地理位置、地形特点、气候特征、国家人口分布、经济概况等2）四大洋介绍四大洋的地理位置、地形特点、气候特征、资源分布、航线港口等。（2）世界地理详细分述1）主要国家首府、首都：北京、东京、新德里、开罗、堪培拉、巴西利亚、渥太华、华盛顿、莫斯科、柏林、罗马、巴黎、伦敦。2）世界能源分布：核电站、石油天燃气、煤炭；3）世界十大河流：鄂毕河、勒拿河、湄公河、刚果河、拉普拉塔河、黄河、密西西比河、长江、亚马逊河、尼罗河。4）国际金融中心：纽约、伦敦、新加坡、香港。5）国际航空枢纽：世界十大机场。6）港口：安特卫普、新加坡、香港、鹿特丹。3、软件3.1世界立体地形模型多媒体联动演示软件：1）在用户操作指令发送给世界立体地形图之后，多媒体联动演示软件播放与世界立体地形图正在进行光电演示项目对应的多媒体内容，实现软硬件的联动演示，软件支持触摸操作。多媒体资源紧贴教材制作，采用多媒体展示方式，对演示项目进行生动详实的介绍。含配套接收信号硬件。2）通过多媒体资源方式详细演示世界地理七大洲、四大洋、主要国家首府首都、能源、十大河流、金融中心、航空枢纽、港口。3）多媒体资源支持自主更新替换，软件支持关键字检索功能。3.2世界地图拼图软件1）世界地图细分“六大板块认知、七大洲四大洋认知、世界地图拼合”3个模块；2）在“六大板块认知”环节，把各板块名称拖到世界地图对应的板块位置，就会在地图上显示这个板块的界线，生长和消亡界线做出了区分，并且在地图上交代了一些重要的山系和海沟。加强对板块区域和板块运动的认识。3）在“七大洲四大洋认知”环节，把各大洲和各大洋名称拖到世界地图对应的位置，就会在世界地图里显示对应大洲大洋的区域，包括可以看到各大洲都包括了哪些国家的信息。4）在“世界地图拼合”环节，系统搜集了全世界最主要的60多个国家的信息，每次随机出现4个国家的小地图，体验者把这些国家的地图拖到世界地图对应的位置上。另外，可以点击按钮开启各大洲、各大板块的信息，加强认识各个国家所属大洲和板块的情况。加强对一些国家地理知识融会贯通。5）以上拼图环节均设置有计时，可拼图竞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C3729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12692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208C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BA8DF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087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BF0966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ECC2D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移动便携式共用液晶触摸控制终端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2000E0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硬件部分规格：7寸及以上；智能移动控制系统：高分辨率，电容式触摸屏，多点触摸，内置WIFI模块，安卓4.0及以上操作系统，支持802.11a/b/g/n无线协议，采用本地APP+WLAN网络控制大型地理模型的演示；使用UNI-APP框架进行开发,并将资源文件融合包装；同时具有关键字检索功能，便于使用操作。二、软件部分：可对下面模型进行无线控制：1.中国立体地形模型；2.世界立体地模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3C49C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E740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A51C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91EF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649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784F6C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470E7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等高线试验箱试验套装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71DCB4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经模具一体化设计成型的等高线模型、水箱、定制笔套各1个，激光笔1支，透明胶片5张，量杯1个等。试验内容：通过描绘山体模型，使学生直观的了解等高线的绘制过程，通过等高线与山体模型的结合，让学生了解山峰、山脊、山谷、鞍部、陡崖等常见的地形部位，增强学生的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C7E33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CE5FD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CA93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F6F64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E3B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355E01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417F7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河流污染试验套装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89741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计时器1个，烧杯1个等。试验内容：通过检测对比不同水质的四类水体指数的差异，学生可以了解河流的水质特点，增强学生的环保意识和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21D51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BA23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56795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EEF35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918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A31778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9E24E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海陆热力性质差异/季风成因/海陆风/温室气体/温室效应试验套装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DD0B4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500ml烧杯2个，细线1卷，酒精温度计2支，细沙500g，发热装置1套，电子计时器1个，铁架台1个等。试验内容：利用沙子和水比热容不同的属性，比较在同一温度下沙子和水升降温速度的快慢来说明海陆热力性质差异导致的海陆温度差异，使学生认知海陆热力性质差异、海陆风和季风风向的原理。在同一下垫面比较二氧化碳对气温的影响，认识二氧化碳是温室气体。模拟大气层对气温的保温作用，认识温室效应的原理。通过模拟实验，加深学生印象，增强学生的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90B5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D39E6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7D96A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3395E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2F7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910D46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D62EE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褶皱/断层/流水分选性试验套装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EDEBA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定制模拟褶皱断层2条，量杯1个，定制水槽2个，粘土500g，透明塑料瓶1个等。试验内容：通过模拟褶皱、断层的地理形态，帮助学生了解背斜向斜、背斜成谷的现象以及地堑地垒的知识。模拟河流冲积的自然过程，使学生了解流水沉积具有分选性的原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EF666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4185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0014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CA51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3D4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E2EAFC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105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58500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太阳直射点与昼夜长短试验套装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B73D0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地球运行仪套装1套，点状激光装置1套，同步轮2个，同步带1条等。试验内容：通过模拟太阳直射点的回归运动、二至二分日以及昼夜长短变化，将抽象的知识转化为具体的实验现象，加深学生的认知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9892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F737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1D50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121D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5CF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9DAE7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4557C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885E35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铁架台套装1套，带瓶塞及导管烧瓶1套，酒精灯1个，石棉网1块等。试验内容：通过模拟水循环主要环节过程，使学生了解自然界的水的移动，以及水的固液气三态的转化，形成总量平衡的循环运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6230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840A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F3B6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E97C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6AB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E4F5A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84242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模拟地表径流试验套装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1C9408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试验器材：铁架台套装1套，模拟地表水槽1条，坡度模拟器1套，定制量杯套装2个等。试验内容：通过模拟不同降水量、降水强度、地形坡度、地表状况等因素导致的不同地表径流、地下径流、以及含沙量，增强学生的综合思维能力以及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73C3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4058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D4C5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8A713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BD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19B2E8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CC77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水循环试验套装配件1</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57406A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手动进水，24小时产冰≥12KG的，，一次出冰≥9颗，单次出冰时间8-10分钟左右，子弹头圆冰，储冰量为0.7kg，最高可达15公斤，机器尺寸：≥242*358*328mm，冰块尺寸：≥26*32mm。备注：水循环试验套装需要用。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6487A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6A10D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BB60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99793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18E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1ED521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109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671F5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水循环试验套装配件2</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CFFC16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容量：≥1.2L直径：≥150mm高：≥110mm备注：水循环试验套装需要用。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AD8F8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DD32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2A530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DB057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2B7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64E5D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67F2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荒漠（风蚀）地貌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D7DEEB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规格：≥600×400mm,均采用pvc材质精制而成、仿真微缩内容完整充实、紧扣教材。风蚀：风蚀城堡，风蚀蘑菇，风蚀洞穴，风蚀洼地，风蚀桂风积：新月形沙丘，戈壁</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0403E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DE793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5BDF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5A9C6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7AA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1584F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3CED3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黄土地貌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29F3C7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规格：≥600×400mm,均采用pvc材质精制而成、仿真微缩内容完整充实、紧扣教材。包括：冲沟、河谷、黄土梁、黄土茆、川、窑洞及人工改造的平原、梯地（在茆上有同心园梯地）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4DAD4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C6BCC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A206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D700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2EA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EFF25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437B3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丹霞地貌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CBCCFA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巨红色的几乎呈水平状的砂砾岩层、垂直节理发育形成丹崖、齐峰，有直立状、堡状、宝塔状，形成巨大陡崖、石墙、石窗、石桥、巷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2A06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FD4C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D6619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1F81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7C1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F484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C0F73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海岸侵蚀地貌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AE4311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规格：≥600×400mm,均采用pvc材质精制而成、仿真微缩内容完整充实、紧扣教材。包括：海蚀凹形崖、海蚀洞、海蚀柱、海蚀拱石、海蚀平台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C299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16B04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3A779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2E0D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85A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5429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A1E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五种地形模型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F2F780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规格：≥600×400mm,均采用pvc材质精制而成、仿真微缩内容完整充实、紧扣教材。表现：按合理的水平、垂直比例尺反映高原、山地、平原、丘陵和盆地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8558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20AC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B8C8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83EB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F41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67DBB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AEF37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地上河模型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FCE59E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反映：郑州以东，荷泽以西段。黄河地上河最主要的特征、平原及地上河、铁路桥、开封铁塔、船只、虹吸管灌溉工程及清淤池、荷泽附近的南水北调穿黄河工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129A7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4C0B3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981B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375C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0C8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D91F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377E4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等高线模型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35E661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规格：≥600×400mm,均采用pvc材质精制而成、仿真微缩内容完整充实、紧扣教材。山头、鞍部、陡坡、缓坡、山谷线、山脊线、谷、陡崖、三圈等高线闭曲线，并有剖面图。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9F5F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F4938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C4EE0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D0E7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2AB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8919E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A4531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平面地形地球仪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F8872A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质:硬塑；球体直径≥320mm，比例：1∶40000000；有球体和支架两部分；地轴的倾角为66.5°，并垂直于赤道面；球体表面应作防潮处理，不得有裂纹、皱纹、气泡和脱落等缺陷。在嵌贴时不得有压字、重字、国界线不得压盖、间断和错位。地球仪必须使用地图出版社最新地球仪图片，必须在球上注明参考图出版年月。应符合原教育部标准《地球仪技术条件》ＪＹ58－80的规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2BC0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01D03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BD6C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EB722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6D0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DB514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80DC0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平面政区地球仪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28CA16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质:硬塑；产品由球体、支架和底座组成，比例尺为1:40000000。球体≥Φ32cm正圆形，地轴倾角为66.5°。球体表面应作防潮处理，不得有裂纹、皱纹、气泡和脱落等缺陷。在嵌贴时不得有压字、重字、国界线不得压盖、间断和错位。地球仪必须使用地图出版社最新地球仪图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29BC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C9D2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09E2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4B40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3F1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E2FEF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CCF85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地球内部构造</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DE525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包括地球内部圈层及地球表面地形地貌，直径≥320mm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A5CEE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92D03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1005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C0BE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E74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DA6EB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4F6B7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板块构造及地表形态模型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AA37A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规格：≥600×330×170mm，高分子材质。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4BF2A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25E0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C0FA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1EDB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A00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2792F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16B5F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褶皱构造及地貌演变模型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2DF40F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规格：≥450×200×140mm，高分子材质。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7A09F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8F428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B95A3A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9702B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48B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6010B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5DC44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褶皱侵蚀与断层演示组合模型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367756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规格：≥360×230×200mm，高分子材质。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69777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9DCED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EA83C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E0C2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D6B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20BE4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3710F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岩石矿物标本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078A0C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42种，一盒装，规格：≥290×180×34mm。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84E7A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E3170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DD2F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33980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FC9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8E489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17E3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土壤标本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1D44D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企标盒子规格：≥165×85×34mm；包含：砖红壤、红壤土、紫色土、黑钙土、水稻土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69C52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0A0E4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A11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D429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F4C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48210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A7CD7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桌面卡片</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DD7478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29×42cm材质：半透明环保材料正规地图出版社出版，可看、可描，地图名称如下：1、世界地形2、世界政区3、板块分布图4、世界气候类型5、中国政区6、中国地形图7、中国年降水量图8、中国温度带分布图9、中国水系图10、中国季风区和非季风区分布图11、气压带风带图12、1,7月份中国气温分布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905E8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8C49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C47FF9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F261E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0A1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856CB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8E83A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活动星盘</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22C02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规格：≥175×175mm，出版社出版，具有国际标准书号,可手动调节观看时间、日期、月份。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2431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A1EB6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4DAD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938A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D2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52D70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96E35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太阳高度与昼夜演示仪（天文历）</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06264B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规格：≥φ140mm，查昼夜长短、太阳高度等。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88CEE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122E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A5880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FF51A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4D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5033A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B48C2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可拆卸经纬网地球仪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6B9444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规格：整体直径≥220mm。材质：高分子。教学用途：可拆卸组合，用于学习经纬网。直观呈现不同的纬度和经度，便于学生理解经度和纬度的含义。学生通过动手拼装地球仪，辨识经线和纬线。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9BEAB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94E5C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B5BD9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AFBDF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46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F9FC6C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129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3BE83C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太阳直射点移动规律演示模型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E035C35">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规格：板材高度为≥225mm，宽≥180mm，</w:t>
            </w:r>
            <w:r>
              <w:rPr>
                <w:rFonts w:hint="eastAsia" w:ascii="微软雅黑" w:hAnsi="微软雅黑" w:eastAsia="微软雅黑" w:cs="微软雅黑"/>
                <w:i w:val="0"/>
                <w:iCs w:val="0"/>
                <w:color w:val="auto"/>
                <w:kern w:val="0"/>
                <w:sz w:val="22"/>
                <w:szCs w:val="22"/>
                <w:highlight w:val="none"/>
                <w:u w:val="none"/>
                <w:shd w:val="clear"/>
                <w:lang w:val="en-US" w:eastAsia="zh-CN" w:bidi="ar"/>
              </w:rPr>
              <w:t>厚≥3mm。</w:t>
            </w:r>
            <w:r>
              <w:rPr>
                <w:rFonts w:hint="eastAsia" w:ascii="微软雅黑" w:hAnsi="微软雅黑" w:eastAsia="微软雅黑" w:cs="微软雅黑"/>
                <w:i w:val="0"/>
                <w:iCs w:val="0"/>
                <w:color w:val="auto"/>
                <w:kern w:val="0"/>
                <w:sz w:val="22"/>
                <w:szCs w:val="22"/>
                <w:highlight w:val="none"/>
                <w:u w:val="none"/>
                <w:lang w:val="en-US" w:eastAsia="zh-CN" w:bidi="ar"/>
              </w:rPr>
              <w:t>材质：有机板雕刻，塑料底座。学习太阳直射点照射角度。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1F34C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6105C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75A6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EC23E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3CF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3824AB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D35B3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晨昏圈仿真模拟演示仪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2D6638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规格：直径≥230mm，用灯光盘演示、自带低压电源，含底座。模拟晨昏圈，演示昼半球和夜半球，演示二分二至日昼夜长短状况。直观呈现极圈内的极昼和极夜现象。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FA68F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308F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B03D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D795F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3D9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ED488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C082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三球（日地月）运行仪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373085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1.1规格：直径≥1m，采用精密机械传动及PVC材质加工而成；不锈钢边框；高清彩图面板美观大方。地球公转：0.2r/min。地球自转50r/min.月球公转2.5r/min.</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1.2控制系统：无线控制。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1.3语音系统：工业级别MP3，音质优美动听。</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1.4内容：1.日地月概述；2.日食；3.月食；4.两至两分；5.二十四节气</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2、日地月教学演示软件（日地月教学系统）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对地理空间内容进行立体化、形象化的操作，内容包括30个知识点，不但满足了教学上的要求，还进行了更深一步的拓展。可联动演示三球（日地月）运行仪。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30知识点如下：（1）八大行星的半径、公转周期、自转周期、质量、体积半径等；（2）八大行星的运动规律，即开普勒三大定律；（3）重力加速度在每个行星的差别；（4）太阳的简介；（5）太阳的结构；（6）太阳黑子；（7）太阳耀斑；（8）金星凌日；（9）太阳风暴；（10）地球的简介；（11）地球的内部结构；（12）地球内部每个结构的介绍；（13）地球公转中的黄赤交角；（14）两至两分；（15）太阳直射点的变化；（16）太阳高度角的变化规律；（17）地球自转的速度与方向；（18）地球自转形成的昼夜交替；（19）地转偏向力的形成；（20）日界线；（21）时区；（22）恒星日与太阳日；（23）月球的自转和公转规律；（24）恒星月与朔望月；（25）日食；（26）月食；（27）引潮力的形成；（28）大小潮的形成过程；（29）月球介绍；（30）月相的变化规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95047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C71CD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FA279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1351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F0D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E0F9DD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43852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透明天球仪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4E5301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天球仪模型：外形圈≥φ1280mm，高≥1400mm，透明球≥φ850mm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机玻璃透明圆球，不锈钢镶边，仪器结构合理，高清图案印刷，可见度大，直观性强。能说明天体的各种现象。仪器的主体是一个大型的透明球体，球面内容丰富，透过天球，可看到其中心是一个地球，表面天球与地球的内在联系。观察者能同时看清天球内表面，消除了“天外观天”的局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24D9A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223D5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89EA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B3A80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531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2914C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0C4A5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火山喷发演示仪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CF114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规格：≥1070×1070×1500mm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高分子聚合材质，进口单片机高度集成电路。声、光、电一体化演示系统。功能如下：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1.可模拟演示火山爆发时各火山口的喷发示意图及走向。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2.可模拟演示岩浆冲出地球表面时伴随着喷发的巨响、红色岩浆瞬间冲出火山口、火山灰、岩浆笼罩现场等现象。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3.可模拟演示快速流向低谷慢慢堆积岩浆的过程。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73893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18AB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5157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0CAF8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48F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11799A8">
            <w:pPr>
              <w:jc w:val="center"/>
              <w:rPr>
                <w:rFonts w:hint="eastAsia" w:ascii="微软雅黑" w:hAnsi="微软雅黑" w:eastAsia="微软雅黑" w:cs="微软雅黑"/>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50FC1D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二、基础设施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2311F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28361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97B3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EF924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C6E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468209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A38C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智能教学终端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67C158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显示模块及整机性能1、交互黑板采用平面结构设计，采用三段式结构方式，交互黑板长度≥4300mm，双侧黑板面无任何按键；2、智能交互黑板液晶显示尺寸≧86英寸，分辨率：≥3840*2160,交互黑板功率≤400W，红外触控技术，在Windows与Android下均支持20点同时触控及书写；3、双侧侧板支持磁性材质教具吸附功能；4、整机标配VGA接口≥1路；5、为方便外接信号源的输入，整机前置1路具备中文标识的标准非转接HDMI接口（非转接），2路USB3.0接口；6、整机前置1路Type-C接口，具备音频、视频、触控、充电等功能；7、为方便用户进行各类设置和操作，设备前置按键不少于8个，可实现音量加减、窗口关闭、触控开关、多任务等功能，且每个按键不少于两种以上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无需打开智能黑板背板，前置接口面板和前置按键面板支持单独前拆；9、采用物理减滤蓝光设计，无需其他操作即可实现防蓝光，且设备具备智能护眼组合功能，通过扫描设备自带的二维码可获取检测机构的认证证书；10、为满足教学场景使用需求，支持不少于3种方式进行屏幕下移，屏幕下移后仍可进行触控、书写等操作；11、交互黑板Android主板具备四核CPU，内存不小于2G，储存最高可至8G，Android系统不低于11.0，主页提供不少于5个应用程序，也可替代其他应用程序；12、通过多指滑动屏幕，可快速实现Windows与教学系统界面的切换；13、为方便教师授课节省操作时间：交互平板具有可设置快捷键功能，具备开关，可单侧或双侧显示，可设置自动隐藏时间，具备自定义、关闭窗口等不少于14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本地安卓白板软件具备面积识别功能，通过接触交互设备的面积大小实现智能擦除、粗细笔迹书写；15、通过五指抓取屏幕任意位置可调出多任务处理窗口，并对正在运行的应用进行浏览、快速切换或结束进程；16、交互黑板处于关机通电状态，外接设备接入交互黑板时，交互黑板可识别到外接设备的输入信号后自动开机；17、交互黑板采用OPS-C标准的80pin针口设计，方便用户后续自主升级维护或对接第三方智慧教室类插拔电脑产品；18、交互黑板可一键进行硬件自检，包括对系统内存、存储、触控系统、光感系统、内置电脑、屏体信息、主板型号、CPU型号、CPU使用率、设备名称等进行状态提示、及故障提示；二、内置电脑1、采用Intel通用80pin接口,易拆卸维修；2、CPU采用类似或同类型≥Intel酷睿I5处理器；内存：≥8G；硬盘：≥256GSSD；3、具备至少6个USB接口（其中至少包含3路USB3.0接口）；具有独立非外扩展的视频输出接口：≥1路HDMI、≥1路D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1）整机前置具有中文标识的天线模块，包含2.4G、5G双频WiFi和蓝牙接发装置，Android与Windows均可无线上网；（2）为后续可轻松解决电脑系统故障：交互平板整机前置应具备带有中文丝印的电脑还原物理按键，为避免繁琐操作不接受U盘还原功能；（3）悬浮菜单在任何信号源可通过两指调用到任意位置，支持笔、清页、切换信号源等功能，其中信号源可固化到菜单中，一键直达常用功能，并且支持自定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017A7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08B6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94A7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1B3A9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409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0C625E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7579A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教学平台软件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BB4145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一、教学平台软件1、老师个人账号无需完成特定任务，即可获取不少于200G云端存储空间，最高可扩展不少于2TB云存储空间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U盘插入时，无需额外操作自动弹出U盘文件夹，方便教师直接选取U盘中内容；3、开机进入教学桌面，教师可按照自己使用习惯，更换常用软件、背景，形成教师的定制化桌面；4、云端资源涵盖幼教、普教、职教等学段，总量不少于1000G。试题库不少于50万道；5、教学软件支持三种登录方式；账号密码直接登录，手机验证码快捷登录、微信扫码登录；还支持免登录打开本地课件；6、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7、支持绘制任意平面图形、任意几何图形、任意3D动态课件等，并可将绘制的函数图像一键导出为图片，插入课件中；8、提供模块化的高质量课件素材和教案，学科涵盖小学语文、初中语文、小学数学、初中数学、高中数学、小学英语、初中英语、小学科学、初中物理、初中化学等学科。课件支持组选：课堂导入，知识讲解，例题与变式，拓展延伸，课外等。课件总课时量不低于1000个课时；9、为满足不同书写需求，同一款软件下提供硬笔、智能笔、激光笔、手势笔等不少于9种书写工具。通过智能笔可识别平面图形；通过手势笔可实现选中对象、翻页等功能；10、提供预置的高质量课件素材，允许老师在网页端、移动端、电脑端进行内容的选择与组合，快速生成课件并浏览。所有制作的课件均实时保存至云端，老师只需登录即可查；11、可将自己的课件发布到校本空间，同校的老师都能在校本空间中查看和保存该课件；支持移动端、电脑端播放和保存校本空间里的课件；校本空间里的课件会随着老师课件的更新实时同步；12、可插入思维导图，包括逻辑图和组织结构图。思维导图可添加同级节点、下级节点、上级节点。可编辑文字格式和思维导图格式；13、为了丰富备授课教学资源，同一款软件下提供多种学科工具：至少提供12门学科工具，包含语文、数学、英语、物理、化学、生物等。学科工具里不止简单的静态图片，部分学科中也具有交互式操作的动画；14、部分学科功能如下：（1）提供化学公式编辑器，提供化学公式上标、下标、反应符号、反应条件、气体沉淀等符号及快捷输入方式。输入后的公式与文本处于同一个文本框内，拖动文本框后公式随文本框变化位置；（2）提供数学公式编辑器，提供近百种数学符号，提供数学公式上标、下标、分式的快捷键输入方式。输入后的公式与文本处于同一个文本框内，拖动文本框后公式随文本框变化位置；（3）提供英语生词卡片，按不同年级提供同一单词的不同释义生词卡片。常用单词自动生成配图、发音、释义；配图可根据老师的需求进行切换；（4）提供语文生字卡片，输入常用字后自动匹配读音及笔顺，提供拼音标注工具。支持一键将纯文本转化为文本+拼音格式或拼音格式；15、多屏互动功能：支持手机、pad移动端与交互平板连接后，可实现常用功能如影像上传、投屏、播放课件、直播。支持对上传的图片内容再次编辑，可同时上传多张照片进行同屏对比，双向批注；一键打开电脑桌面课件并播放，课件支持播列表，可快速选择PPT或白板课件进行播放；16、支持通用小工具，可在课堂授课状态下实现黑屏、时钟、放大镜、聚光灯等插件功能；17、老师可通过移动端、PC端及网页端对学生进行行为评价打分，可显示班级得分前列的学生信息，界面、评价项、学生头像均采用卡通化方式，软件支持随机抽选学生进行评价；18、支持课堂评价以勋章的形式，始终悬浮在页面右下角。支持对全班、单个或多个学生进行评价，评价结果可撤回；二、PPT授课助手：1、可适用于WPS与PPT，打开课件自动启动，无需手动打开；2、为满足教师使用习惯，可支持双侧工具栏位置自定义；3、在不修改WPS与PPT的课件格式情况下，支持原文档随时批注，擦除；4、提供多种教学常用工具，无需切换软件，即可在WPS与PPT的课件中添加时钟，聚光灯等小工具；5、支持在WPS与PPT的课件播放音视频时，无需通过物理按键即可实现黑屏，轻触屏幕即可点亮，同时支持在黑屏状态下不影响音视频的正常播放。三、家校沟通互动系统（一）教师教学移动端1、创建班级：老师可选择学校、年级、创建班级，班级名称支持自定义；2、邀请成员;班主任以告知邀请码、QQ或微信分享链接、班级通知单邀请等多种方式邀请班级成员；3、面容录入：班级内成员可通过移动端进行面容录入，用于课堂AI互动与智能云考勤使用；4、教学拓展：支持向家长发送教学拓展或学习任务，可向一个或多个班级中的全部或个别成员发送，家长单独收到。支持图片、拍照、语音、文件、课件、作业等附件；5、支持老师对已收到的任务进行快速批改，并将批改结果反馈至家长端，预置不少于6种评语，支持以免费短信的形式提醒未查看或未反馈的家长；6、打卡任务：支持老师发起周期性的打卡任务，可设置任务的开始截止时间、频次及周期，预置不少于9个打卡活动的模板，包括每日健康统计、每日朗读等，且老师可以对学生的打卡结果进行点评，家长之间可以互评；7、支持老师创建带主题的讨论组，可设置讨论组默认结束时间，结束后自动全员禁言。讨论组创建者7天内可撤回任意成员的消息，防止班级群舆论发酵；8、支持老师发送成绩单，自动统计班级最高分、平均分等且家长只能看到自己孩子的成绩。支持家长撰写请假条发给老师，老师批复后可与手机终端查看。支持老师创建相册并上传照片、视频从而丰富班级文化建设；（二）家长互动移动端1、支持多个家长账号绑定同一个学生，并支持家长创建多个学生；2、支持填写邀请码、使用QQ及微信分享班级专属的邀请H5页面等多种方式加入班级；3、支持查看学生所在班级信息及班级内所有老师，支持发起与任一老师的一对一沟通；4、支持接收老师的通知、打卡、课件、教学拓展任务、一对一消息及讨论组内消息。通知支持进行回执选择，打卡、教学拓展任务支持以文字、语音、图片、视频的形式提交；5、支持接收和查看学生当日、本周、月度及年度的课堂表现评价统计报表，并可具体查看到每一条评价的原因、评价者和分值。6、支持撰写请假条发给老师，老师批复后可查看到。支持查看老师发送的学生成绩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9769F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FF701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0D385F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6FAA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914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D55551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F0B10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视频展台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D1AE8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采用≥1300万像素摄像头；采用USB五伏电源直接供电，支持壁挂和桌面两种安装方式，无需额外配置电源适配器，环保无辐射；2、A4大小拍摄幅面；3、整机具有安全锁；4、整机外观材质：采用圆弧式设计，无锐角兼顾教学环境，保护师生安全；5、展示托板正上方具备LED补光灯，保证展示区域的亮度及展示效果，补光灯开关采用触摸按键设计，同时可通过交互智能平板中的软件直接控制开关；6、可通过屏幕左下画面缩略图，在展示画面放大的情况下，快速移动到达画面任意位置，实现鸟瞰功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5D77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405F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55233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33895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BDD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3D86B7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F5646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多媒体教师演示台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90CFAD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讲桌采用钢木结合构造，桌体上部分采用圆弧设计。讲台整体设计符合人体力学原理，提供左右木质扶手，供使用者扶用。讲桌关闭尺寸（长×宽×高）：≥1100×780×1000mm。2、桌面由一把机械锁控制，采用环环相扣设计，显示器盖板、键盘和展示台抽屉逐步打开。操作更简易，使用更安全。3、桌面采用木质耐划台面，防火、防尘、防水、耐刮花，整体布局简洁、美观。4、主体材料采用≥1.5mm冷轧钢板，其他辅助部门采用≥1.2mm冷轧钢板。5、上下层分体式设计，桌面部分和桌体部分自成一体，方便进出设计比较窄的教室门。讲桌内置固定螺丝孔位，安装简单，安全防盗；独立包装，运输轻便。6、显示器盖板和键盘部分采用翻转式设计。显示器盖板可装置17-21寸液晶宽屏显示器；键盘下面放置一体中控或者分体中控系统。7、右侧抽屉可放置实物展示台，关闭后,所有设备都隐藏在讲台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D7B1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6B7F4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D50E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A3EF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59D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43DEE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AEE33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八边形研讨台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2EBDDB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规格：边到边≥1400×高780mm（八边形）；台面：≥25mm防火板台面，湖蓝色。台身：钢架结构，外型美观，防湿，牢固。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56587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E097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37CD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7A4B2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8A0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E01DE1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139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82AF3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B74207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木结构，牢固稳定、符合国家标准。凳面规格：≥340mm×235mm×25mm采用多层板外贴防火板精密加工；方钢四腿，规格：≥320mm×220mm×420mm；方钢规格≥25mm*25mm，管壁厚度≥1.2mm。四脚配防滑垫，抗磨消音，保护地板砖。</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7795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2DE3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48DF9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2A762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4E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39BCCA">
            <w:pPr>
              <w:keepNext w:val="0"/>
              <w:keepLines w:val="0"/>
              <w:widowControl/>
              <w:suppressLineNumbers w:val="0"/>
              <w:jc w:val="center"/>
              <w:textAlignment w:val="center"/>
              <w:rPr>
                <w:rFonts w:hint="default" w:ascii="微软雅黑" w:hAnsi="微软雅黑" w:eastAsia="微软雅黑" w:cs="微软雅黑"/>
                <w:i w:val="0"/>
                <w:iCs w:val="0"/>
                <w:color w:val="auto"/>
                <w:sz w:val="22"/>
                <w:szCs w:val="22"/>
                <w:highlight w:val="none"/>
                <w:u w:val="none"/>
                <w:lang w:val="en-US"/>
              </w:rPr>
            </w:pPr>
            <w:r>
              <w:rPr>
                <w:rFonts w:hint="eastAsia" w:ascii="微软雅黑" w:hAnsi="微软雅黑" w:eastAsia="微软雅黑" w:cs="微软雅黑"/>
                <w:i w:val="0"/>
                <w:iCs w:val="0"/>
                <w:color w:val="auto"/>
                <w:kern w:val="0"/>
                <w:sz w:val="22"/>
                <w:szCs w:val="22"/>
                <w:highlight w:val="none"/>
                <w:u w:val="none"/>
                <w:lang w:val="en-US" w:eastAsia="zh-CN" w:bidi="ar"/>
              </w:rPr>
              <w:t>140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10506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模型展柜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32F03E2">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用于放置地形地貌模型上柜规格：≥800×495×400mm，采用1/4球面流线型的铝合金框架表面经氧化处理配≥5mm钢化玻璃制作，安全，稳固。下柜规格：≥800×500×550mm,采用16mm双贴面三聚氰胺板，优质PVC封边条，封边机对板材截面</w:t>
            </w:r>
            <w:r>
              <w:rPr>
                <w:rFonts w:hint="eastAsia" w:ascii="微软雅黑" w:hAnsi="微软雅黑" w:eastAsia="微软雅黑" w:cs="微软雅黑"/>
                <w:i w:val="0"/>
                <w:iCs w:val="0"/>
                <w:color w:val="auto"/>
                <w:kern w:val="0"/>
                <w:sz w:val="22"/>
                <w:szCs w:val="22"/>
                <w:highlight w:val="none"/>
                <w:u w:val="none"/>
                <w:shd w:val="clear"/>
                <w:lang w:val="en-US" w:eastAsia="zh-CN" w:bidi="ar"/>
              </w:rPr>
              <w:t>长800mm*宽16mm*厚1mm</w:t>
            </w:r>
            <w:r>
              <w:rPr>
                <w:rFonts w:hint="eastAsia" w:ascii="微软雅黑" w:hAnsi="微软雅黑" w:eastAsia="微软雅黑" w:cs="微软雅黑"/>
                <w:i w:val="0"/>
                <w:iCs w:val="0"/>
                <w:color w:val="auto"/>
                <w:kern w:val="0"/>
                <w:sz w:val="22"/>
                <w:szCs w:val="22"/>
                <w:highlight w:val="none"/>
                <w:u w:val="none"/>
                <w:lang w:val="en-US" w:eastAsia="zh-CN" w:bidi="ar"/>
              </w:rPr>
              <w:t>进行封边，密封性好。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277C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9CFEE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E328B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4D3B1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192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721EC5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F9EB3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地理知识展画</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6411C4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规格：UV高清印刷，印刷介绍世界气候、中国气候等地理知识，集教学、观赏为一体。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AFDF5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B102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BBBA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1AC80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8D9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8AFA85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51000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D26AA7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规格：≥600×800mm参数：≥5mm厚透明亚克力板，高清图案印刷，图案色泽艳丽，立体感强。内容：介绍各种地理知识。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2C8D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C1AE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19602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F3044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37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9BCF1C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7B06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现场安装调试</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9CB591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根据现场进行安装调试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B8FC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A936C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D9746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AB3B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40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A0250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89E9F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星空LED顶部灯箱</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46482D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定制星空LED顶部灯箱</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BC916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B6E9B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E2B69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D9350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1FC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34D47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7E1E090B">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AD4D0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4EACE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6C673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1568B11">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3B1B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3C0EE94">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D8AF71">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长治市上党区第三中学校共计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07E6A0">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CE13CC">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D391D">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BD1EAA">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3A53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E0E1A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623CE01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上党区北呈初级中学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F4C52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164BA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F29F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25A3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8BB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F883B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309F715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（一）北呈初级中学历史教室</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5F127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AC304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EF24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6BA4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1DD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C19E6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378D59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一、历史教学设备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93723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EE32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1F1D0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785E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CD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0596C0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145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C9B59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历史VR教学系统（初中版）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8DD64D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该系统每套包含一体机终端1套，3D追踪眼镜1副，3D非追踪眼镜1副，红外追踪触控笔1支，电源线1根，键盘1个，鼠标1个。1.底座随意转动，转换不同方向，方便观看者观察3D影像及场景。2.≥3个红外传感器并排放置，保证视野范围。3.3D姿态调节≤2s，系统可准确判断眼睛所在位置，根据眼镜视角的不同转换不同视角下的显示内容。4.至少提供Unity3D、OpenGL、UE4等常用三维引擎之一的SDK开发包，SDK支持≥1支空间交互笔。5.3D视差调节0-6cm。6.3D跟踪眼镜一副，具备≥5个反光点，主动式红外或蓝牙接收，自动匹配，无需人为设置。7.3D观看眼镜一副，主动式红外或蓝牙接收，自动匹配，无需人为设置。8.≥可支持1支空间交互笔接入，无电池供电，内置震动器，每支交互笔至少有三个逻辑按键；支持1支交互笔同时在一个三维场景使用。9.CPU≥I5、内存≥8G、硬盘≥256SSD、显卡≥DDR5/1050ti。10.≥27寸主动式立体3D显示跟踪系统，3D显示屏内置红外光学跟踪系统，一体化设计。11.≥27寸主动式立体显示系统支持窗口/全屏3D，120Hz或以上刷新率，窗口及全屏3D模式下每帧图像信号至少为1920*1080分辨率，非左右合成分辨率减半画面。12.显示区域：≥595×335mm。13.内置扬声器：≥2个。14.支持以太网连接，支持802.11a/b/g/n高速无线传输、支持蓝牙4.0。15.具有多人协同操作核心功能，支持至少2台设备协同操，作并观看场景3D立体效果。16交互笔支持以下性能。1）功能满足：含一根USB线缆，无电池，不需要充电；具有至少三个逻辑操作按键，一个RGB指示灯及一个力反馈震动马达及一个六自由度惯性测量芯片；具备3个自由度坐标轴移动、3个自由度坐标轴转动。2）旋转精度至少满足：绕X轴旋转精度：≤1°，绕Y轴旋转精度：≤1°3）定位至少满足精度：X轴精度：±2mm，Y轴精度：±2mm，Z轴精度：±2mm。4）解析度至少满足：X轴解析度：≤2mm，Y轴解析度：≤2mm，Z轴解析度：≤2mm。17.跟踪眼镜与观看眼镜接受红外或蓝牙同步信号，红外或蓝牙3D眼镜的透光率大于35%。18.实际显示物理大小不小于27英寸，有效的物理显示面积不小于590mm×330mm，分辨率≥1920*1080p，图形刷新率为≥120Hz，可视角度不低于170°。二、课题内容（1）AR资源内容涉及到3D模型、视频、图片、史料链接，部分资源可实现拆解、旋转、合并、放大、缩小等操作。。（2）可用手指对自己某个感兴的模型特殊位置进行点读，对资源进行深度的介绍。（3）AR资源内容：1)人面鱼纹彩陶盆：出土时间、位置，材质、外观结构特征，制作工艺，仰韶文化，新石器时代，历史意义2)骨耜：材质，外观结构，使用方法，河姆渡文化，历史意义3)四羊方尊：用途，出土时间，外观结构特征，铸造工艺，象征意义，先秦时期对羊的个性归纳4)后母戊鼎：出土时间、位置和所属历史背景，陶质块范铸法（制模-制范-浇铸-修整），外观结构特征（尺寸、重量、铭文、纹理），历史意义5)甲骨文：甲骨文的定义，发现、内容及意义，甲骨文多种造字方法，甲骨文互动游戏6)步辇图：阎立本画作，松赞干布统一西藏，松赞干布求婚，文成公主入藏，唐蕃进一步友好交往，唐蕃和亲历史意义7)五大名窑：中国瓷器的发展史，宋朝的五大名窑，其各自的风格特色，及各自的代表作品8)北京人：北京人遗址，北京人特征与现代人头骨比较，旧石器时代，用火的意义，北京人遗址历史意义9)纸币：北宋纸币铜版拓片10)活字印刷术：印刷术的发展历史（雕版印刷，活字印刷），工艺流程（胶泥刻字-烧制字模-制版-排版-融化松脂，压平字版-印书-泥字拆开，再次排版），木活字，铜活字，重大影响（文化传播），印刷术互动游戏11)司南模型：磁石指南的发现，指南工具的发展历史，航海应用，历史意义12)楔形文字：两河流域，古巴比伦王国，楔形文字13)帕特农神庙：建筑艺术，文化意义，城邦民主制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74B76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0F48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00F852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43AFB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5BC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6976F6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6DC37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中学历史推演实验系统</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BB43B1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中学历史推演实验系统是使用历史图片作为相关事件代表，通过老师、学生的在多媒体设备上推演与互动，对各事件和关键可添加相应的文字表述，最终形成一张完整的，历史事件发展关系图，了解、理解中国-世界政治、经济、文化之间的关系和时间、空间的演变之间联系；老师可对学生作品进行点评，也可由学生分析逻辑过程与结果讲解与演示。组成：系统分为管理员账号管理、教师账号管理、资料库管理、专题库管理、作品库管理等模块。1、管理员账号管理：实现对管理员账号、教师账号、班年级管理1.1支持对年级、班级信息增加、修改、删减操作1.2支持对使用教师信息增加、修改、删减操作1.3支持对教师账号设置密码1.4支持查看、搜索学生信息1.5支持对管理员账号信息修改操作2、教师账号管理：1.1支持对教师登陆账号信息、密码修改操作1.2支持对学生信息增加、修改、删减操作1.3支持对学生分组管理1.4具有查看、搜索学生信息功能3、资源库：1.1含中国、世界不少于300个图片与对应文字介绍资料，中国历史资源按朝代分类，世界历史资源按国家分类；1.2支持新增、编辑和删除中国、世界资源分类；1.3上述分类下，再按政治、经济、文化、军事、其它目录细分；1.4支持在软件界面内进行资源检索；1.5支持自定义新增、编辑和删除资源，编辑资源支持文字描述、多张图片、附件上传。2、专题库：2.1内置多个推演专题案例，可直接使用专题案例进行推演教学，也可编辑另存为自有专题重新进行推演教学；2.2支持对专题进行检索、开始推演、编辑、删除、打开暂存等操作；2.3自定义专题，进入到专题编辑，进行设置专题名称、专题描述、上传附件、添加推演资料等操作，可设置横向、纵向分栏，增、删分栏。2.4开始推演模块：2.4.1推演过程中可直接在软件中使用箭头、手写、文本输入方式标注；箭头、文本均可设置变化（例如放大缩小、粗细、颜色）；推演界面支持滚动条方式伸缩；2.4.2推演过程中支持从资源库中一次性添加一张或多张推演素材；2.4.3推演过程中可隐藏箭头和推演资料显示框；2.4.4推演过程支持暂存，退出后可在专题列表中重新打开暂存进行推演；2.4.5推演支持整体推演画面缩小放大；2.4.6推演过程支持撤回上一步或多步骤操作；2.4.7推演过程中支持查看推演资料详情。3、作品库：3.1以列表的形式呈现教师和学生的专题作品，按专题进行分类展示。3.2支持按名称检索作品、删除作品3.3支持学生端作品上传至教师端作品库4、设置：如配置有学生端，可设置学生端为上课模式或自主学习模式。5、案例：政治、经济、文化等多方面，涉及多个专题的推演，对历史事件、现象进行横向与纵向、时间与空间多层次对比关联，直观呈现专题知的识历史演变过程。举例1.封建王朝的兴替商鞅变法（改革）——秦灭六国——秦朝暴政——陈胜吴广起义——楚汉之争——文景之治——王莽篡汉——光武中兴——外戚宦官交替专权——黄巾起义——三国鼎立——西晋灭吴——八王之乱——王与马共天下——淝水之战——南朝更替——北魏统一北方——隋灭陈——隋炀帝暴政——贞观之治——开元盛世——安史之乱——黄巢起义——五代十国——陈桥兵变——澶渊之盟——经济重心南移——行省制——澎湖巡检司、宣政院——红巾军起义——郑和下西洋——戚继光抗倭——李自成起义——清军入关——郑成功收复台湾——闭关锁国（开放）举例2.近代侵略和探索鸦片战争（落后就要挨打）——南京条约——海国图志——太平天国运动——第二次鸦片战争——火烧圆明园——北京条约——洋务运动——甲午中日战争——马关条约——洋务运动破产——公车上书——戊戌变法——实业救国——八国联军华——辛丑条约——同盟会——三民主义——辛亥革命——中华民国创建——北洋政府统治——新文化运动——五四运动——中国共产党成立——国民党一大——北伐战争——南昌起义——九一八事变——长征——遵义会议——卢沟桥事变—台儿庄战役——百团大战——中共七大——日本投降——重庆谈判——国民党进攻中原——挺进大别山——三大战役——南京国民政府覆灭（资本主义道路不符合中国国情）举例3.中国社会主义道路曲折发展开国大典——土地改革——三大改造——一五计划——社会主义制度确立——中共八大——全面建设社会主义——大跃进、人民公社化（曲折）——文化大革命——十一届三中全会（发展）——经济特区——中共十二大——开放十四个沿海城——中共十三大——社会主义基本路线——南方讲话——中共十四大——社会主义市场经济——中共十五大——邓小平理论——中共十六大——三个代表——中共十七大——科学发展观——中共十九大——习近平新时代中国特色社会主义思想。</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D795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8403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A148B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right w:val="single" w:color="000000" w:sz="4" w:space="0"/>
            </w:tcBorders>
            <w:noWrap w:val="0"/>
            <w:vAlign w:val="center"/>
          </w:tcPr>
          <w:p w14:paraId="189ECC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E1D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97847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1ACA0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看图猜历史</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CE113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依据历史课程标准研发，演示内容不少于150个，演示内容涵盖历史必修课程。采用看图填字的游戏方式，学生可随机选择游戏关卡，每次游戏分数自动记录，提高学生的参与兴趣。每个游戏关卡设有该关卡展示知识点的拓展链接供学生自主学习。包含：历史政治人物、科学家、青铜器、农具、科技发明、货币、历史事件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DE452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FFE98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8908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34871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4DE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1FE3FC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56C42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历史归类游戏</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31B774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用找你妹的类似游戏方式，按照界面提示的问题，找出展示图片中对应问题的图片。在规定的时间内，按照找对的图片记录分数。所有问题的设计依据历史课程标准，分为政治经济文化三大类别。包含：历史政治人物、画家、科学家、青铜器、农具、科技发明、货币、历史事件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72E36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513AE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4B89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2BCD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823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0DE4D6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149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F05CD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中国历史地图教学卡片</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C82110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290mm×420mm；≥41幅/套材质：采用PVC环保材料印刷资源包：作品为中小学使用的历史地图教具，主要展现中国疆域版图变迁的历史过程和历史都城地图。包括原始社会、夏、商、西周、春秋、战国、秦、西汉、东汉、三国、东晋、西晋、南北朝（宋齐梁陈共4个时期）、隋、唐（上）、唐（下）、五代十国、北宋辽西夏、南宋金西夏、元、明、清（上）、清（下）、中华民国（上）、中华民国（下）、中华人民共和国等，不低于29个历史时期的疆域版图；还有主要历史时期的都城地图，不低于10幅，包括西汉时期长安、东汉时期洛阳、三国时期邺城、南北朝时期建康、隋时期东都洛阳、唐时期长安、北宋时期东京、南宋时期临安、元时期大都、明清时期北京。与“历史地图学习资源包相关辅材”配套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EBBBE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5303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9D4F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F79C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6D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204B30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18E6B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历史地图学习资源包相关辅材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C9670E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将历代疆域版图任意组合叠加、绘图、标注、投影、贴图等来进行比较分析，从历史地图中探寻家乡的历史变迁，考察家乡的历史名称变化、属地范围、行政区划建制归属等，辅助学生加强历史学习过程中的时间和空间概念，提升课堂教学效率和课后学习能力。一、作用：1.通过对中国历代疆域变迁过程的梳理，加强时空观念，从历史发展的角度认识中国疆域的变化，提高对历史地图的辨识能力和运用能力，认识中国疆域在历史进程中的联系、延续、发展。2.对中国重要的边疆地区的观察，加深对这些地区是中国固有领土的认识。3.可说明历代都城的历史地理情况，分析建都的多方面因素。4.可从地图中探寻家乡的历史变迁，了解家乡的历史地理变化。二、特点1.共计100多张辅助卡片2.可重复移动三、配套材料：绘图笔、绘图卡、清洁擦、放大镜、归类夹等。与“历史地图学习资源包”配套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21C0E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43F1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F635E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860AF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7F8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46AC10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7219D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殷墟甲骨文模型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5A1843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盒装，规格：≥260×230×40mm,一甲一骨，高度仿真制作。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FA14E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013F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17037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55342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904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E7AAFE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FCC1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汉竹木简模型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BE749B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锦盒包装，规格≥300×160×40mm,仿真模型。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D868A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061F8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5CC32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DD49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920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1B64B6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F642E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货币模型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2BD2A9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盒装，规格：≥245×215×10mm,材质：秦统一八枚、合金。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6B91C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49C8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4BE4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F0376A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B88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DD2015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C454C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四羊方尊模型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643650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规格：≥180×170×230，材质：仿铜合金。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E57B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F805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72E4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96F5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5EC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3CBDF8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AE987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司母戊鼎</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7DBC99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规格:≥160×115×195mm，材质：合金，高仿。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46C9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80153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77D9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C904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5E6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24B8AF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C3DD7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筒车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D84AD9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规格：≥445×185×370mm，材质：木质。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9A59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238AE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5375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32171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0FD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6109D3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9A3F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耧车模型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E5DF8E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规格：≥480×300×270mm，材质：木质。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1FDFD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3CF6B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B4376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FFA0E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E8F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3A6257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E4340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司南模型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7121E4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规格：≥220×220×50mm，材质：铜、木框。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AFB8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369C5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3257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4945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6F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361CC2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159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386FB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曲辕犁</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12057D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规格：≥600×380×95mm,材质：木质。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284E8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CFC0A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C7BB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E3B9D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6DC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4BE50E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4A2B2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铜车马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54A24A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规格：≥250×145×135mm，材质：合金，高仿</w:t>
            </w:r>
            <w:r>
              <w:rPr>
                <w:rStyle w:val="154"/>
                <w:sz w:val="22"/>
                <w:szCs w:val="22"/>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A7099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6ADC2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3D0C5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BBAA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B4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462E8F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ED11A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兵马俑</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AA412E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规格：高≥280mm，材质：陶瓷,，一匹马四个兵俑。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6123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E5582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7EF9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2A114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8FF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08B96F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B47D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清明上河图</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084DEC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规格：≥390×85×85mm，绢质，盒装。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66CE2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B00F6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814D7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BC46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102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9D3C7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38A9C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唐三彩载乐俑</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48D4B9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100×280mm,材质：陶器，一个骆驼上8个人。历史信息：驼背部架一平台，铺方格纹长毯，上有乐舞俑8个，7男乐俑1女舞俑。乐俑环坐平台四周，分别执笛、箜篌、琵琶、笙、箫、拍板、排箫7种乐器，在全神贯注地演奏，女舞俑婷婷玉立于7个乐俑中间，轻拂长袖，边歌边舞。这组乐舞俑是典型的盛唐时期的作品，舞乐者均穿着汉族衣冠，使用的却大都是从西域传入的乐器，表现的是流行于开元、天宝时期的“胡部新声”即胡汉文化融合后的新舞乐。釉色鲜明亮丽，协调自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DB847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E8DC2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E3CF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F0AE6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16C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6EAB82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829A1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景德镇青花瓷盘</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ED78B1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规格：直径≥245mm，材质：陶瓷。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7CA2B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241A2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8D8EA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67A69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2C3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D6219B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EA06E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景德镇五彩瓷瓶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A7D08E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规格：直径≥200mm，高≥300mm，材质：陶瓷。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5A72D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B5B7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ECD7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E403D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C75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B727B1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41757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尖底陶瓶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DF489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规格：宽≥160mm，长≥230mm，材质：高分子材料，高仿。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2230E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E5E60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A15D7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D7775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34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71AE0B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5FAE4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猪纹陶钵</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865F91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规格：≥315×190×115mm，材质：高分子材料，高仿。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37FB7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AEB5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E144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08F4D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AD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5F0301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40CB7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黑陶高柄杯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6BB212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规格：高≥145mm，材质：高分子材料，高仿。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64E3D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6079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EA169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D659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E63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FC1320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169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13491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铜爵</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34B03B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规格:≥126×60×175mm，材质：合金。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C4E6B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1AD1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53232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C63D0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6B0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9DA040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E12B1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瑞兽 </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3168A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规格:≥140×50×95mm，材质：合金。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7F4DB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698A8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5048F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08ABE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872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D11164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C1AD7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三轮汽车模型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C015E6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规格:≥230×170×150mm，奔驰牌。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E1BC2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7DCA0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59AFE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04C72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5B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D0AA13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176A5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蒸汽机模型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A9DC1F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规格:≥150×85×90mm，材料用铝的，底板是黑色的有机板。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E6333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CC1C2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8603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8A1F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930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2A267D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4EE06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三星堆青铜立人像</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2E4D9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规格：≥50×50×280mm，材质：青铜，高仿。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B049C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B4ADA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BAF55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DBD7B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6A5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337EF0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7C8A0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木活字</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2953D7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规格：≥280×160×25mm，材质：木质。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8CB0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474A4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DC0D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79A26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D7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187A83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41AC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楔形文字泥板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E32724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规格：≥300×300×10mm，材质：pvc。</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B9A52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B2756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2BBD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C22AB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696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136B8D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15BB7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早期飞机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4C7032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规格：≥305×260×130mm，双翼，材质：金属。</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BC849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F11DD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CDE2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6F667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6B7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487629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063B4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指南车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2B94F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880×1350mm；实木材质，又称司南车，是中国古代用来指示方向的一种机械装置，它利用差速齿轮传动系统，根据车轮的转动，由车上木人指示方向。不论车子转向何方，木人的手始终指向你设定好的方向。此产品不仅体现了古代科技的进步，同时展现了古人的智慧。</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8B8EB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60C2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CE16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27657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23F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83AEC72">
            <w:pPr>
              <w:keepNext w:val="0"/>
              <w:keepLines w:val="0"/>
              <w:widowControl/>
              <w:suppressLineNumbers w:val="0"/>
              <w:jc w:val="center"/>
              <w:textAlignment w:val="center"/>
              <w:rPr>
                <w:rFonts w:hint="default" w:ascii="微软雅黑" w:hAnsi="微软雅黑" w:eastAsia="微软雅黑" w:cs="微软雅黑"/>
                <w:i w:val="0"/>
                <w:iCs w:val="0"/>
                <w:color w:val="auto"/>
                <w:sz w:val="22"/>
                <w:szCs w:val="22"/>
                <w:highlight w:val="none"/>
                <w:u w:val="none"/>
                <w:lang w:val="en-US"/>
              </w:rPr>
            </w:pPr>
            <w:r>
              <w:rPr>
                <w:rFonts w:hint="eastAsia" w:ascii="微软雅黑" w:hAnsi="微软雅黑" w:eastAsia="微软雅黑" w:cs="微软雅黑"/>
                <w:i w:val="0"/>
                <w:iCs w:val="0"/>
                <w:color w:val="auto"/>
                <w:kern w:val="0"/>
                <w:sz w:val="22"/>
                <w:szCs w:val="22"/>
                <w:highlight w:val="none"/>
                <w:u w:val="none"/>
                <w:lang w:val="en-US" w:eastAsia="zh-CN" w:bidi="ar"/>
              </w:rPr>
              <w:t>178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D5F63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长城烽火台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1685E90">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规格：≥1200×800×830mm</w:t>
            </w:r>
            <w:r>
              <w:rPr>
                <w:rFonts w:hint="eastAsia" w:ascii="微软雅黑" w:hAnsi="微软雅黑" w:eastAsia="微软雅黑" w:cs="微软雅黑"/>
                <w:i w:val="0"/>
                <w:iCs w:val="0"/>
                <w:color w:val="auto"/>
                <w:kern w:val="0"/>
                <w:sz w:val="22"/>
                <w:szCs w:val="22"/>
                <w:highlight w:val="none"/>
                <w:u w:val="none"/>
                <w:lang w:val="en-US" w:eastAsia="zh-CN" w:bidi="ar"/>
              </w:rPr>
              <w:br w:type="textWrapping"/>
            </w:r>
            <w:r>
              <w:rPr>
                <w:rFonts w:hint="eastAsia" w:ascii="微软雅黑" w:hAnsi="微软雅黑" w:eastAsia="微软雅黑" w:cs="微软雅黑"/>
                <w:i w:val="0"/>
                <w:iCs w:val="0"/>
                <w:color w:val="auto"/>
                <w:kern w:val="0"/>
                <w:sz w:val="22"/>
                <w:szCs w:val="22"/>
                <w:highlight w:val="none"/>
                <w:u w:val="none"/>
                <w:lang w:val="en-US" w:eastAsia="zh-CN" w:bidi="ar"/>
              </w:rPr>
              <w:t>材质：上部分模型为高分子材料，底座采用25mm双贴面三聚氰胺板，优质PVC封边条，封边机对板材截面</w:t>
            </w:r>
            <w:r>
              <w:rPr>
                <w:rFonts w:hint="eastAsia" w:ascii="微软雅黑" w:hAnsi="微软雅黑" w:eastAsia="微软雅黑" w:cs="微软雅黑"/>
                <w:i w:val="0"/>
                <w:iCs w:val="0"/>
                <w:color w:val="auto"/>
                <w:kern w:val="0"/>
                <w:sz w:val="22"/>
                <w:szCs w:val="22"/>
                <w:highlight w:val="none"/>
                <w:u w:val="none"/>
                <w:shd w:val="clear"/>
                <w:lang w:val="en-US" w:eastAsia="zh-CN" w:bidi="ar"/>
              </w:rPr>
              <w:t>长1200mm*宽16mm*厚1mm</w:t>
            </w:r>
            <w:r>
              <w:rPr>
                <w:rFonts w:hint="eastAsia" w:ascii="微软雅黑" w:hAnsi="微软雅黑" w:eastAsia="微软雅黑" w:cs="微软雅黑"/>
                <w:i w:val="0"/>
                <w:iCs w:val="0"/>
                <w:color w:val="auto"/>
                <w:kern w:val="0"/>
                <w:sz w:val="22"/>
                <w:szCs w:val="22"/>
                <w:highlight w:val="none"/>
                <w:u w:val="none"/>
                <w:lang w:val="en-US" w:eastAsia="zh-CN" w:bidi="ar"/>
              </w:rPr>
              <w:t>进行封边，密封性好，外型美观，防湿，牢固，经久耐用。</w:t>
            </w:r>
            <w:r>
              <w:rPr>
                <w:rFonts w:hint="eastAsia" w:ascii="微软雅黑" w:hAnsi="微软雅黑" w:eastAsia="微软雅黑" w:cs="微软雅黑"/>
                <w:i w:val="0"/>
                <w:iCs w:val="0"/>
                <w:color w:val="auto"/>
                <w:kern w:val="0"/>
                <w:sz w:val="22"/>
                <w:szCs w:val="22"/>
                <w:highlight w:val="none"/>
                <w:u w:val="none"/>
                <w:lang w:val="en-US" w:eastAsia="zh-CN" w:bidi="ar"/>
              </w:rPr>
              <w:br w:type="textWrapping"/>
            </w:r>
            <w:r>
              <w:rPr>
                <w:rFonts w:hint="eastAsia" w:ascii="微软雅黑" w:hAnsi="微软雅黑" w:eastAsia="微软雅黑" w:cs="微软雅黑"/>
                <w:i w:val="0"/>
                <w:iCs w:val="0"/>
                <w:color w:val="auto"/>
                <w:kern w:val="0"/>
                <w:sz w:val="22"/>
                <w:szCs w:val="22"/>
                <w:highlight w:val="none"/>
                <w:u w:val="none"/>
                <w:lang w:val="en-US" w:eastAsia="zh-CN" w:bidi="ar"/>
              </w:rPr>
              <w:t>功能：可光电模拟演示长城烽火台在古时候的预警作用。可模拟演示古时烽火台白天和夜间烽烟、烽火报警过程；LED灯演示烽火，雾化装置演示烽烟。烽火和狼烟可以分看演示，逼真再现古时夜晚和白天报警过程，烽火和烟雾必须按照顺序一个烽火台接一个烽火台的演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DEC1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0DAC1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4405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80BD6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557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CBB54F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179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60F8D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地动仪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871845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根据实物1：1复制（高≥1.65米，底座边到边≥1.8米），进口复合树脂材料浇注成型；电子传动方式动态演示地震方位。产品为复原模型，可演示地动仪整体结构特征和某个近距离方位发生震动时龙珠掉落的效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E90D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1599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5375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6969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CBA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187F6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5A13CB3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二、基础设施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E708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D4BB0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1171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E14D85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FC3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A3CE6C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FA38B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智能教学终端</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7BD3E2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显示模块及整机性能1、交互黑板采用平面结构设计，采用三段式结构方式，交互黑板长度≥4300mm，双侧黑板面无任何按键；2、智能交互黑板液晶显示尺寸≧86英寸，分辨率：≥3840*2160,交互黑板功率≤400W，红外触控技术，在Windows与Android下均支持20点同时触控及书写；3、双侧侧板支持磁性材质教具吸附功能；4、整机标配VGA接口≥1路；5、为方便外接信号源的输入，整机前置1路具备中文标识的标准非转接HDMI接口（非转接），2路USB3.0接口；6、整机前置1路Type-C接口，具备音频、视频、触控、充电等功能；7、为方便用户进行各类设置和操作，设备前置按键不少于8个，可实现音量加减、窗口关闭、触控开关、多任务等功能，且每个按键不少于两种以上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无需打开智能黑板背板，前置接口面板和前置按键面板支持单独前拆；9、采用物理减滤蓝光设计，无需其他操作即可实现防蓝光，且设备具备智能护眼组合功能，通过扫描设备自带的二维码可获取检测机构的认证证书；10、为满足教学场景使用需求，支持不少于3种方式进行屏幕下移，屏幕下移后仍可进行触控、书写等操作；11、交互黑板Android主板具备四核CPU，内存不小于2G，储存最高可至8G，Android系统不低于11.0，主页提供不少于5个应用程序，也可替代其他应用程序；12、通过多指滑动屏幕，可快速实现Windows与教学系统界面的切换；13、为方便教师授课节省操作时间：交互平板具有可设置快捷键功能，具备开关，可单侧或双侧显示，可设置自动隐藏时间，具备自定义、关闭窗口等不少于14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本地安卓白板软件具备面积识别功能，通过接触交互设备的面积大小实现智能擦除、粗细笔迹书写；15、通过五指抓取屏幕任意位置可调出多任务处理窗口，并对正在运行的应用进行浏览、快速切换或结束进程；16、交互黑板处于关机通电状态，外接设备接入交互黑板时，交互黑板可识别到外接设备的输入信号后自动开机；17、交互黑板采用OPS-C标准的80pin针口设计，方便用户后续自主升级维护或对接第三方智慧教室类插拔电脑产品；18、交互黑板可一键进行硬件自检，包括对系统内存、存储、触控系统、光感系统、内置电脑、屏体信息、主板型号、CPU型号、CPU使用率、设备名称等进行状态提示、及故障提示；二、内置电脑1、采用Intel通用80pin接口,易拆卸维修；2、CPU采用类似或同类型≥Intel酷睿I5处理器；内存：≥8G；硬盘：≥256GSSD；3、具备至少6个USB接口（其中至少包含3路USB3.0接口）；具有独立非外扩展的视频输出接口：≥1路HDMI、≥1路D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1）整机前置具有中文标识的天线模块，包含2.4G、5G双频WiFi和蓝牙接发装置，Android与Windows均可无线上网；（2）为后续可轻松解决电脑系统故障：交互平板整机前置应具备带有中文丝印的电脑还原物理按键，为避免繁琐操作不接受U盘还原功能；（3）悬浮菜单在任何信号源可通过两指调用到任意位置，支持笔、清页、切换信号源等功能，其中信号源可固化到菜单中，一键直达常用功能，并且支持自定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4E763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DCCA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E78FF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8770B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8A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F75F22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EC8ED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教学平台软件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E4303D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一、教学平台软件1、老师个人账号无需完成特定任务，即可获取不少于200G云端存储空间，最高可扩展不少于2TB云存储空间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U盘插入时，无需额外操作自动弹出U盘文件夹，方便教师直接选取U盘中内容；3、开机进入教学桌面，教师可按照自己使用习惯，更换常用软件、背景，形成教师的定制化桌面；4、云端资源涵盖幼教、普教、职教等学段，总量不少于1000G。试题库不少于50万道；5、教学软件支持三种登录方式；账号密码直接登录，手机验证码快捷登录、微信扫码登录；还支持免登录打开本地课件；6、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7、支持绘制任意平面图形、任意几何图形、任意3D动态课件等，并可将绘制的函数图像一键导出为图片，插入课件中；8、提供模块化的高质量课件素材和教案，学科涵盖小学语文、初中语文、小学数学、初中数学、高中数学、小学英语、初中英语、小学科学、初中物理、初中化学等学科。课件支持组选：课堂导入，知识讲解，例题与变式，拓展延伸，课外等。课件总课时量不低于1000个课时；9、为满足不同书写需求，同一款软件下提供硬笔、智能笔、激光笔、手势笔等不少于9种书写工具。通过智能笔可识别平面图形；通过手势笔可实现选中对象、翻页等功能；10、提供预置的高质量课件素材，允许老师在网页端、移动端、电脑端进行内容的选择与组合，快速生成课件并浏览。所有制作的课件均实时保存至云端，老师只需登录即可查；11、可将自己的课件发布到校本空间，同校的老师都能在校本空间中查看和保存该课件；支持移动端、电脑端播放和保存校本空间里的课件；校本空间里的课件会随着老师课件的更新实时同步；12、可插入思维导图，包括逻辑图和组织结构图。思维导图可添加同级节点、下级节点、上级节点。可编辑文字格式和思维导图格式；13、为了丰富备授课教学资源，同一款软件下提供多种学科工具：至少提供12门学科工具，包含语文、数学、英语、物理、化学、生物等。学科工具里不止简单的静态图片，部分学科中也具有交互式操作的动画；14、部分学科功能如下：（1）提供化学公式编辑器，提供化学公式上标、下标、反应符号、反应条件、气体沉淀等符号及快捷输入方式。输入后的公式与文本处于同一个文本框内，拖动文本框后公式随文本框变化位置；（2）提供数学公式编辑器，提供近百种数学符号，提供数学公式上标、下标、分式的快捷键输入方式。输入后的公式与文本处于同一个文本框内，拖动文本框后公式随文本框变化位置；（3）提供英语生词卡片，按不同年级提供同一单词的不同释义生词卡片。常用单词自动生成配图、发音、释义；配图可根据老师的需求进行切换；（4）提供语文生字卡片，输入常用字后自动匹配读音及笔顺，提供拼音标注工具。支持一键将纯文本转化为文本+拼音格式或拼音格式；15、多屏互动功能：支持手机、pad移动端与交互平板连接后，可实现常用功能如影像上传、投屏、播放课件、直播。支持对上传的图片内容再次编辑，可同时上传多张照片进行同屏对比，双向批注；一键打开电脑桌面课件并播放，课件支持播列表，可快速选择PPT或白板课件进行播放；16、支持通用小工具，可在课堂授课状态下实现黑屏、时钟、放大镜、聚光灯等插件功能；17、老师可通过移动端、PC端及网页端对学生进行行为评价打分，可显示班级得分前列的学生信息，界面、评价项、学生头像均采用卡通化方式，软件支持随机抽选学生进行评价；18、支持课堂评价以勋章的形式，始终悬浮在页面右下角。支持对全班、单个或多个学生进行评价，评价结果可撤回；二、PPT授课助手：1、可适用于WPS与PPT，打开课件自动启动，无需手动打开；2、为满足教师使用习惯，可支持双侧工具栏位置自定义；3、在不修改WPS与PPT的课件格式情况下，支持原文档随时批注，擦除；4、提供多种教学常用工具，无需切换软件，即可在WPS与PPT的课件中添加时钟，聚光灯等小工具；5、支持在WPS与PPT的课件播放音视频时，无需通过物理按键即可实现黑屏，轻触屏幕即可点亮，同时支持在黑屏状态下不影响音视频的正常播放。三、家校沟通互动系统（一）教师教学移动端1、创建班级：老师可选择学校、年级、创建班级，班级名称支持自定义；2、邀请成员;班主任以告知邀请码、QQ或微信分享链接、班级通知单邀请等多种方式邀请班级成员；3、面容录入：班级内成员可通过移动端进行面容录入，用于课堂AI互动与智能云考勤使用；4、教学拓展：支持向家长发送教学拓展或学习任务，可向一个或多个班级中的全部或个别成员发送，家长单独收到。支持图片、拍照、语音、文件、课件、作业等附件；5、支持老师对已收到的任务进行快速批改，并将批改结果反馈至家长端，预置不少于6种评语，支持以免费短信的形式提醒未查看或未反馈的家长；6、打卡任务：支持老师发起周期性的打卡任务，可设置任务的开始截止时间、频次及周期，预置不少于9个打卡活动的模板，包括每日健康统计、每日朗读等，且老师可以对学生的打卡结果进行点评，家长之间可以互评；7、支持老师创建带主题的讨论组，可设置讨论组默认结束时间，结束后自动全员禁言。讨论组创建者7天内可撤回任意成员的消息，防止班级群舆论发酵；8、支持老师发送成绩单，自动统计班级最高分、平均分等且家长只能看到自己孩子的成绩。支持家长撰写请假条发给老师，老师批复后可与手机终端查看。支持老师创建相册并上传照片、视频从而丰富班级文化建设；（二）家长互动移动端1、支持多个家长账号绑定同一个学生，并支持家长创建多个学生；2、支持填写邀请码、使用QQ及微信分享班级专属的邀请H5页面等多种方式加入班级；3、支持查看学生所在班级信息及班级内所有老师，支持发起与任一老师的一对一沟通；4、支持接收老师的通知、打卡、课件、教学拓展任务、一对一消息及讨论组内消息。通知支持进行回执选择，打卡、教学拓展任务支持以文字、语音、图片、视频的形式提交；5、支持接收和查看学生当日、本周、月度及年度的课堂表现评价统计报表，并可具体查看到每一条评价的原因、评价者和分值。6、支持撰写请假条发给老师，老师批复后可查看到。支持查看老师发送的学生成绩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21444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5237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right w:val="single" w:color="000000" w:sz="4" w:space="0"/>
            </w:tcBorders>
            <w:noWrap w:val="0"/>
            <w:vAlign w:val="center"/>
          </w:tcPr>
          <w:p w14:paraId="2B3603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130EA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EF2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31781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DF8D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视频展台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A8C57E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采用≥1300万像素摄像头；采用USB五伏电源直接供电，支持壁挂和桌面两种安装方式，无需额外配置电源适配器，环保无辐射；2、A4大小拍摄幅面；3、整机具有安全锁；4、整机外观材质：采用圆弧式设计，无锐角兼顾教学环境，保护师生安全；5、展示托板正上方具备LED补光灯，保证展示区域的亮度及展示效果，补光灯开关采用触摸按键设计，同时可通过交互智能平板中的软件直接控制开关；6、可通过屏幕左下画面缩略图，在展示画面放大的情况下，快速移动到达画面任意位置，实现鸟瞰功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A62C8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29889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F03E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1573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FF6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A26113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9A58C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教师演示台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4860D4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规格：≥1600×600×780mm，榆木仿古雕刻制作。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F9630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1067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E9665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BE99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4E9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5FCA1E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DDEF3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学生仿古条案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582767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1200×400×750mm台面：采用≥25mm密度板芯，外贴面耐磨耐刻划防火板(仿古棕灰色)经后成型包边精加工而成使实验台面顺滑呈半圆形，造型美观，经久耐用。侧板：采用≥25mm防潮三聚氰胺双面贴面板，其截面由PVC封边条利用高温热熔胶封边，粘力强，密封性好，外型美观，经久耐用，2张学生仿古条案为一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7945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7D95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51EA2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B7D0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9D5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C32616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160D2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学生仿古椅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F7A4B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牢固稳定、符合国家标准。规格：≥300mm×300mm×450mm。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D57B3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F23C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163BB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47EB0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095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7FAF3E3">
            <w:pPr>
              <w:keepNext w:val="0"/>
              <w:keepLines w:val="0"/>
              <w:widowControl/>
              <w:suppressLineNumbers w:val="0"/>
              <w:jc w:val="center"/>
              <w:textAlignment w:val="center"/>
              <w:rPr>
                <w:rFonts w:hint="default" w:ascii="微软雅黑" w:hAnsi="微软雅黑" w:eastAsia="微软雅黑" w:cs="微软雅黑"/>
                <w:i w:val="0"/>
                <w:iCs w:val="0"/>
                <w:color w:val="auto"/>
                <w:sz w:val="22"/>
                <w:szCs w:val="22"/>
                <w:highlight w:val="none"/>
                <w:u w:val="none"/>
                <w:lang w:val="en-US"/>
              </w:rPr>
            </w:pPr>
            <w:r>
              <w:rPr>
                <w:rFonts w:hint="eastAsia" w:ascii="微软雅黑" w:hAnsi="微软雅黑" w:eastAsia="微软雅黑" w:cs="微软雅黑"/>
                <w:i w:val="0"/>
                <w:iCs w:val="0"/>
                <w:color w:val="auto"/>
                <w:kern w:val="0"/>
                <w:sz w:val="22"/>
                <w:szCs w:val="22"/>
                <w:highlight w:val="none"/>
                <w:u w:val="none"/>
                <w:lang w:val="en-US" w:eastAsia="zh-CN" w:bidi="ar"/>
              </w:rPr>
              <w:t>186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544F46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博古架及学生作品展示区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1788063">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长度不小于5米</w:t>
            </w:r>
            <w:r>
              <w:rPr>
                <w:rFonts w:hint="eastAsia" w:ascii="微软雅黑" w:hAnsi="微软雅黑" w:eastAsia="微软雅黑" w:cs="微软雅黑"/>
                <w:i w:val="0"/>
                <w:iCs w:val="0"/>
                <w:color w:val="auto"/>
                <w:kern w:val="0"/>
                <w:sz w:val="22"/>
                <w:szCs w:val="22"/>
                <w:highlight w:val="none"/>
                <w:u w:val="none"/>
                <w:shd w:val="clear"/>
                <w:lang w:val="en-US" w:eastAsia="zh-CN" w:bidi="ar"/>
              </w:rPr>
              <w:t>，宽不小于0.4米，高不小于2米，</w:t>
            </w:r>
            <w:r>
              <w:rPr>
                <w:rFonts w:hint="eastAsia" w:ascii="微软雅黑" w:hAnsi="微软雅黑" w:eastAsia="微软雅黑" w:cs="微软雅黑"/>
                <w:i w:val="0"/>
                <w:iCs w:val="0"/>
                <w:color w:val="auto"/>
                <w:kern w:val="0"/>
                <w:sz w:val="22"/>
                <w:szCs w:val="22"/>
                <w:highlight w:val="none"/>
                <w:u w:val="none"/>
                <w:lang w:val="en-US" w:eastAsia="zh-CN" w:bidi="ar"/>
              </w:rPr>
              <w:t>木工板材质，下部分为展示柜，左右两侧为博古架造型，营造整个历史教室的氛围。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0993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7C607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7F788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023B0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8F2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C1F565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A4EB7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陈列柜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EF15C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规格：≥1200×680×910mm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材质：柜身采用16mm采用防潮三聚氰胺双贴面板(仿古棕灰色)，上柜为1/4球面流线型的铝合金框架配5mm全透明钢化玻璃。铺绒布美观大方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E9345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02466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33A7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4CEE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FF6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32CCFF7">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05CC4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历史知识展画</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70BD6E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定制，UV高清印刷，印刷介绍相关知识，集教学、观赏为一体。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AAEFC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3934F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3F34D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8C5D3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D72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8F0AB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189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67CBB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07CF0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规格：≥600×800mm（根据学校要求）参数：古典角花框，高密度发泡板，高清UV印刷内容。</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0BA42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幅</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CB063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FF5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257E1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704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BDCE74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190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0D130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现场安装调试</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278AE7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根据现场进行安装调试</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9F052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ADBC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6201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A1438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16B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3FC74A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31FDE298">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1879E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B34CB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F21BCD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6D87696">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0C7B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92E2457">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B325A52">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北呈初级中学总计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ADBE06">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D6149F">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DB3B5F">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DDFFE4">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2F00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8D5A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45663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597BF5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光明小学</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E24BD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09A8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55C17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57813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476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1CE19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F565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4E528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（一）光明小学仪器设备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95802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210A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A4AC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9839A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74D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98692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CB78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三球（日地月）运行仪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36F9C0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1.1规格：直径≥1m，采用精密机械传动及PVC材质加工而成；不锈钢边框；高清彩图面板美观大方。地球公转：0.2r/min。地球自转50r/min.月球公转2.5r/min。</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1.2控制系统：无线控制。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1.3语音系统：工业级别MP3，音质优美动听。</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1.4内容：1.日地月概述；2.日食；3.月食；4.两至两分；5.二十四节气</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2、日地月教学演示软件（日地月教学系统）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对地理空间内容进行立体化、形象化的操作，内容包括30个知识点，不但满足了教学上的要求，还进行了更深一步的拓展。可联动演示三球（日地月）运行仪。</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30知识点如下：（1）八大行星的半径、公转周期、自转周期、质量、体积半径等；（2）八大行星的运动规律，即开普勒三大定律；（3）重力加速度在每个行星的差别；（4）太阳的简介；（5）太阳的结构；（6）太阳黑子；（7）太阳耀斑；（8）金星凌日；（9）太阳风暴；（10）地球的简介；（11）地球的内部结构；（12）地球内部每个结构的介绍；（13）地球公转中的黄赤交角；（14）两至两分；（15）太阳直射点的变化；（16）太阳高度角的变化规律；（17）地球自转的速度与方向；（18）地球自转形成的昼夜交替；（19）地转偏向力的形成；（20）日界线；（21）时区；（22）恒星日与太阳日；（23）月球的自转和公转规律；（24）恒星月与朔望月；（25）日食；（26）月食；（27）引潮力的形成；（28）大小潮的形成过程；（29）月球介绍；（30）月相的变化规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2BE35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2791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CA9C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57D8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370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2E580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0425D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地动仪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E4EAF1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根据实物1：1复制（高≥1.65米，底座边到边≥1.8米），进口复合树脂材料浇注成型；电子传动方式动态演示地震方位。产品为复原模型，可演示地动仪整体结构特征和某个近距离方位发生震动时龙珠掉落的效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700AB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28B82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F7527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644D8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76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0E988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534C4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海啸演示模型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A9DB92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规格：≥1137×1137×1200mm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材质：上部分模型为高分子材料，底座采用≥25mm双贴面三聚氰胺板外贴铝塑板，密封性好，外型美观，防湿，牢固，经久耐用。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功能：根据海啸形成原理进行缩微处理的实体模型，单片机高度集成电路,集声、光、电为一体。演示海啸形成和危害的内容，海啸的预防。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1717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EC298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785B5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3577D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D98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CFFBF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C63C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冰雹模拟演示试验套装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9F6149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试验器材：烧杯1个，试管1根，搅拌棒1根，计时器1个等。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试验内容：使用烧杯、搅拌棒、试管等器材，学习冰雹的形成知识，观察冰雹的形成过程。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4C944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84936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B14A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9F768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200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27193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6B65A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河流污染试验套装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8BA18D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试验箱规格：外径≥420*320*220mm。试验箱材质：采用PP材质经模具一体化设计成型，优质硬质珍珠棉内衬，材料环保无毒无味。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试验器材：计时器1个，烧杯1个等。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试验内容：通过检测对比不同水质的四类水体指数的差异，学生可以了解河流的水质特点，增强学生的环保意识和实践能力。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C989A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5F6D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A449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03E6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09E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5552C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92B83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天文望远镜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35641B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1．口径80mm～150mm；折射或反射式；2．配寻星镜、转角镜、太阳投影屏和投影屏连接杆；3．配8mm～40mm长、短不同焦距的目镜3个～4个；4．带有极轴镜和电动跟踪设备；5．配加强型伸缩式铝合金三脚架。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70FD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1363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8BBB20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0B21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7C7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2268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A1EF5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地震演示器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D7E525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规格：≥160×60×220mm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演示内容：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1.褶皱与断层实验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实验器材：条状分层设色海绵、块状分层设色海绵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实验过程与结果：1，通过挤压或张裂条状分层设色海绵，模拟板块运动的过程，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2.使块状海绵进行位移，模拟断裂构造发生过程，演示正断层、逆断层、平移断层发生的现象及产生的后果。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2.震源分布位置差异实验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实验器材：地震发生器等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实验过程与结果：演示不同位置如海洋地震与内陆地震、浅源地震与深源地震等给震区带来的破坏程度的差异。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3.震区建筑构造差异实验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实验器材：地震发生器、纸质建筑等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实验过程与结果：通过地震发生器演示地震的发生，模拟震区内三种不同的建筑构造的抗震程度，分别是耐震建筑、免震建筑和制震建筑。说明不同的建筑构造对于地震烈度产生不同的影响。</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E66F3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3C733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4CDB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F54C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61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DCD5A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D85FF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透明天球仪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540DA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天球仪模型：外形圈≥φ1280mm，高≥1400mm，透明球≥φ850mm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机玻璃透明圆球，不锈钢镶边，仪器结构合理，高清图案印刷，可见度大，直观性强。能说明天体的各种现象。仪器的主体是一个大型的透明球体，球面内容丰富，透过天球，可看到其中心是一个地球，表面天球与地球的内在联系。观察者能同时看清天球内表面，消除了“天外观天”的局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DC998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A480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80459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0548A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0AF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410A0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345E15EF">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A2AA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A455E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646D97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E06F8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4807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78B9ACB">
            <w:pPr>
              <w:jc w:val="center"/>
              <w:rPr>
                <w:rFonts w:hint="eastAsia" w:ascii="微软雅黑" w:hAnsi="微软雅黑" w:eastAsia="微软雅黑" w:cs="微软雅黑"/>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BE07B59">
            <w:pPr>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光明小学总计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702889F">
            <w:pPr>
              <w:jc w:val="center"/>
              <w:rPr>
                <w:rFonts w:hint="eastAsia" w:ascii="微软雅黑" w:hAnsi="微软雅黑" w:eastAsia="微软雅黑" w:cs="微软雅黑"/>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58E1F7B">
            <w:pPr>
              <w:jc w:val="center"/>
              <w:rPr>
                <w:rFonts w:hint="eastAsia" w:ascii="微软雅黑" w:hAnsi="微软雅黑" w:eastAsia="微软雅黑" w:cs="微软雅黑"/>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E44BD8B">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0A9FBB6">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0688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0493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1FB9F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3941B5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苏店学校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AE9F6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FEDAA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6DC4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6F05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9D5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52F7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41BF4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DA199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（一）苏店中学创客教室</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F08F7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D95C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78C8C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D227B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3CF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237074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（一）基础设施设备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A413C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6A1DDC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2C08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9873A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D9F37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多媒体讲台</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61AA18B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整体设计符合人机工程学2、整体采用分体式结构，规格为长≥1100mm、宽≥780mm、高≥1000mm;3、多媒体讲台整体采用优质冷轧钢板，无接缝，边缘及拐角均采用圆弧设计，确保学生安全，耐冲击性强，防盗性能优越。4、颜色选用哑光灰白色，LOGO板及下体前门采用木纹色，表面经脱脂磷化工艺处理后选用优质塑粉静电喷涂而成，耐腐蚀性强，有效保护学生视力，美观耐用。5、桌面由一把机械锁控制，采用环环相扣设计，显示器盖板翻转，两个抽屉，展示台抽屉逐步打开.6、箱体采用裸板≥0.8mm厚钢板,台面板厚≥12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18B43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4D2B1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067F8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8A34C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732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E4919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EAC4B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学生研讨桌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CF09BB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每张桌子由六张小桌拼接而成，同时可以根据学校教室大小灵活摆放，任意拼接成为不同形状，用以节省空间，适合创客教室使用。2、桌面板：桌面采用E1级颗粒板，符合国家标准，无味无毒环保健康，注塑封边为灰白色软边，多层板带边厚度≥20mm，软边具有抗摔、抗磕碰功能、延长使用寿命。人体坐下靠人身体处呈内狐凹形且塑料封边不能与桌面保持水平，要包裹住面板,并有2条凸出的加强筋条，且与注塑封边精密一次成型。外观光泽润滑无接囗。3、桌角采用≥30*60*1.2厚旦管，采用二氧化碳气体保护焊，在接触人体或收藏品的部位无突出的毛刺或刃口棱角，切边平整，无凹缺和凸起，地脚平稳。钢管表面经过除油、除锈、磷化、静电喷塑等工序高温固化而成，质量坚固耐用，表面静面经过喷漆处理。4、三色随意搭配，呈现多彩教室，视觉美观，色彩丰富。5、桌子底部具有PP脚套，防滑、防水、防酸碱腐蚀、防刮花地面、抗冲击。</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4962A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570E5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EBD89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CC627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4E7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DD00E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C49C1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FA6688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尺寸规格：≥33*24*45（cm）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支架规格：主支撑脚采用≥40*20方钢管，拉挡为≥20*20方钢管，管材表面流水线静电喷塑处理，凳架常规为白色或者黑色。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8C0F9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6AB8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35329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02BB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7C7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BFD88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4C4D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381E1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1、材质：网布+塑胶+镀铬碳钢；2、尺寸：长*宽*高：约≥60*50*128cm；3、承重量（kg）≥100；4、颜色：主色调黑色。5、双钢五轮转椅，可升降旋转，带扶手靠背。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60172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F1E31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49390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F792B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A0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C18F2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A452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red"/>
                <w:u w:val="none"/>
              </w:rPr>
            </w:pPr>
            <w:r>
              <w:rPr>
                <w:rFonts w:hint="eastAsia" w:ascii="微软雅黑" w:hAnsi="微软雅黑" w:eastAsia="微软雅黑" w:cs="微软雅黑"/>
                <w:i w:val="0"/>
                <w:iCs w:val="0"/>
                <w:color w:val="auto"/>
                <w:kern w:val="0"/>
                <w:sz w:val="22"/>
                <w:szCs w:val="22"/>
                <w:highlight w:val="none"/>
                <w:u w:val="none"/>
                <w:lang w:val="en-US" w:eastAsia="zh-CN" w:bidi="ar"/>
              </w:rPr>
              <w:t>操作台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10A03B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highlight w:val="red"/>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尺寸：2000*1000*750mm，材质：桌面为厚度25mm优质E1级三聚氰胺板材，优质免漆板材整洁无异味，正反面平整光滑，颜色统一，耐刮、耐烫、无味。优质pvc封边条封边处理，厚度1.5mm，桌架采用直径50mm方管厚度1.2mm， 整体经酸洗磷化、除油除锈、静电喷涂、高温处理而成。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1E462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8EFE3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0642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80C06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373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01E764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（二）空间文化设计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BBDA5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FAE95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6BFC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6664EF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3B63D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文化展示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61F7A2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根据现场情况定做创客主题文化展示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6342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8BDF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D749B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D135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84D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0D05D4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（三）机器人编程课程及软硬件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6B1F7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F560C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19D1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90988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F2CF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智能家居进阶课程学习套装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091527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套件采用ESP32核心芯片，配合mind+编程轻松加入WIFI，实现物联网功能。采用激光切割结构件，感官上能够体现创客风格，</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1、主控板：新一代WiFi&amp;蓝牙双模双核无线通信芯片。芯片集成蓝牙4.2和WiFiHT40技术为一身，拥有高性能双核处理器，支持超低功耗待机；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2、输入模块：超声波传感器、矩阵键盘、触摸传感器、火焰传感器、烟雾传感器、电位器、人体热释电传感器、光线传感器、温湿度传感器、雨滴传感器、红外接收模块、红外遥控器等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3、输出模块：小灯模块、蜂鸣器、风扇模块、LED屏、四位数码管、SG90舵机等；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4、其他配件：充电器、锂电池、电池盒、3P连接线、4P连接线、Type-C数据线、螺丝、螺母、铜柱、子母扣、十字螺丝刀、椴木板等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5、编程软件：使用纯图形化编程软件进行编程；兼容Arduino软硬件开发平台，兼容ArduinoIDE软件编程，兼容Scratch软件编程；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6、（1）套件支持WIFI、蓝牙功能等物联网功能，（2）套件支持温湿度、环境光、水滴等有关智能家居功能的检测。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EE78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F4E85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9FA63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C9B1A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DA2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374F6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B0D8B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《智能家居进阶课程》学习手册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89E476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简介：智能家居在生活中已不再陌生，它的出现为人们提供了更安全、便利与舒适的空间和方式，把自动控制技术、计算机技术、物联网技术等融合在一起，根据个性化需求，将家电控制、环境监测、信息管理等功能，通过声控、面板、移动设备等多种方式进行本地和远程智能化控制，有效地节省操作及能源。在家居逐渐智能化的背景下，本课程基于该主题场景作深入系统学习，从三个模块”点亮智能之灯、走进智能之家、联通智能之路“依次展开，开篇学习智能硬件的使用和基础编程知识，探索自动化控制的方法，设计制作智能居家的生活小应用，后过渡至物联网知识的学习，通过WIFI实现物物相连，从而能够远程控制家电和信息获取。通过对多种电子模块和编程知识的学习，能够结合人们生活需求解决实际问题，培养人工智能意识与社会责任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C679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7223C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D0E80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EC1FF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38D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D7B3A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F0A5E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E95CC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含智能家居进阶课程资源≥16课时的教学课件、教学设计、学生用书、参考程序、搭建视频1、作品视频（集锦）。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课程资源目录:第一单元：点亮智能之灯：第1节：点亮一盏灯；第2节：明暗可掌控；第3节：触摸灯就亮；第4节：感应小夜灯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第二单元：走进智能之家:第5节：室温可监测；第6节：门铃响叮咚；第7节：遥控小风扇；第8节：帘随光动；第9节：轻松泊车；第10节：晾晒无忧；第11节：密码开门；第12节：天气助手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第三单元：联通智能之路。第13节：出门忘关灯；第14节：温度易调节；第15节：危险早知道；第16节：智能小管家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6FA6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F657C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42123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78EAD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AE6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6769D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5405F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智能家居进阶课程学习拓展包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F39D8E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智能家居进阶课程学习套装的拓展延申，进一步对智能控制和物联网应用进行探索。课程融入语音识别、MP3模块作为语音输入与输出，为家里的设备增加”耳朵“和”嘴巴“，让控制与交互变得更自然和便捷，让身处家中的你不仅感到温馨而且有趣。（2）本项目包含：椴木板结构件、主控板，智能传感器和电子模块等。2、电子部件参数（1）主要模块或传感器要求：主控板：新一代WiFi&amp;蓝牙双模双核无线通信芯片。芯片集成蓝牙4.2和WiFiHT40技术为一身，拥有高性能双核处理器，支持超低功耗待机；语音识别模块：离线版的语音识别功能，支持中文语音识别，可以通过图形化软件自定义语音识别。带兼容乐高的底座。模块自带MCU，可实现自动识别模块接入。（2）通讯接口：为方便学生入门、套件教学和快速搭建，电子模块采用4或4PinXH2.54端子，使用的是3或4pin水晶头的连接线，连接使用方便快捷、电气性能好、寿命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23E0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3FD5D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0CA0F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23C1D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A88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F2973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A3545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《智能家居进阶版拓展课程》学习手册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056ECE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该课程配合拓展包硬件，在《智能家居进阶课程》的基础上进行拓展延申，巩固基础软硬件知识的同时，进一步对智能控制和物联网应用进行探索。课程融入语音识别、MP3模块作为语音输入与输出，为家里的设备增加”耳朵“和”嘴巴“，让控制与交互变得更自然和便捷，让身处家中的你不仅感到温馨而且有趣。本课程基于该主题场景作深入系统学习，从三个模块”畅享多彩时光、乐享家庭”对话“、智享物联生活“依次展开，开篇通过一场家庭音乐派对，展开对硬件知识与编程的进阶学习，体验编程带来的无穷变化与乐趣，中篇引入语音模块，探索更自由和便捷的控制方法，最后结合物联网知识综合设计智能居家场景，实现多场景下的互动功能。通过对电子模块和编程知识的深入学习，能够促使学生观察生活并主动思考科技如何更好地服务于人，树立学生的人工智能意识与科技人文观。</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2065A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EC1E7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63F96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29E3B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407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7507B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C0528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智能家居进阶拓展课程学习资源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F2C67C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少于16课时的教学课件、教学设计、学生用书、参考程序、搭建视频*1、作品视频（集锦）:课程资源目录:第一单元畅享多彩时光:1、灯光我掌控；2、闪烁的颜色；3、会呼吸的灯；4、光影多变幻；5、动听的音乐；6、炫彩音乐派对；第二单元乐享家庭“对话”:智享物联生活:13、便捷收件；14、贴心助手；15、音乐随心听；16、让家更懂你</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224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5F3F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63BAF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96FA4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C46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D3CD7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281C3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智能控制车套装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785DF5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小车套装是专为创客教育设计的产品。本产品金属车身并可兼容乐高任意DIY切换不同形态，以学习编程和扩展搭建为主。其融合了科学、技术、工程、艺术、数学等多学科知识，通过对小车进行编程，学习编程和多学科知识，完成创意设计以及编程思路的训练，用于创客进阶教学。是一款高端智能机器人。可兼容采用麦克纳姆轮底盘，并搭载5DOF，底盘安装RGB发光超声波传感器，灯光颜色可控并且实现自主避障。并配备有视觉模块，可进行视觉跟踪、判断等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控制器：Ｍ３安装孔，孔间距8ｍｍ，基于arduino平台采用atmega328p内核，16MHz主频、32KFlash、2KRAM、1KEEPROM，传感器及执行部件接口均采用标准PIN接口，主控板提供多路数字接口与模拟接口、多路多功能接口，4路电机接口、USB下载口。2、可实现巡线功能：可以随意设计黑白线路图让小车巡着黑线行走。3、自动避障：当行走线路上有障碍物时，会自动避开，实现自动避障功能。4、红外遥控：可以用红外遥控器控制小车行走。5、一体化设计，便于大班教学；同时支持拆装复用，融合其它传感器或结构件进行DIY创作。6、机械零件特点（1）材质与工艺：主要材料使用高强度≥2mm航空铝板冲压成型，结合CNC精密加工，结构坚固，配合紧密；（2）技术参数：耐高温度＞500℃；抗拉强度＞250MPa；耐力＞172MPa；延伸率＜1.7%；硬度＞70HB；（3）平台拓展性：可兼容乐高，进行任意DIY结构搭建，再根据ATM328p主控芯片实现各类产品学习搭建；（4）安全性：阳极氧化上色，安全环保无毒。（5）先进性：小车可采用麦克纳姆轮，可实现360°全方位的移动，适应更多场景使用，完成更加丰富复杂的任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1B5E7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5C358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45FDA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85E8E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00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418FDF2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（四）人工智能活动课程及软硬件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7A6FAF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80FC1D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60BB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2A747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737FB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人工智能活动课程学习套装（中学版）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1A7A9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学习套装（中学版）配合乐高以及图形化编程同步展示Python代码进行教学，采用4P排插线连接功能模块，不需要焊接，配有生动的使用课程,课程由浅入深。1.硬件结合物联网功能，实现物物相连2.辅材：配备4p传感器连线，一包拼接件3.连接方式：杜邦或4p排插线，防反接4.电子元件不少于：红绿双色灯，有源蜂鸣器，轴流式风扇，扬声器，全彩彩灯块，功率白暖灯，按钮指示灯，声音传感器，光敏传感器，超声波传感，热释电传感，避障传感器，土壤湿度块，舵机，雾化器，雨滴传感器，定制主板，小车主体，各种连接数据线等5.主控：K210控制板：体积小巧尺寸≥75*60mm主控芯片采用K210主频可超600M,内存为≥6MB通用内存+≥2MB,Al内存，FLASH为≥16MB,支持常规视觉算法兼容多数openmv算法，常规视觉算法速度2-3倍于openmvV4,支持神经网络算法数百GOPS的神经网络算法速度（千倍于STM32),人脸检测速度(QVGA,RGB图像）Al加速可达60帧以上，≥2.4寸电阻LCD显示屏（外部具有铁框保护），分辨率≥240X(RGB)X320,12S麦克风*1,I0口外接按键*1'音频解码芯片＋双声道音频功放*1,SD卡槽*1'可插拔超声波拓展，Type_C接口;支持Python,Mixly开源程序；K210拓展板6.编程软件：图形化编程同步展示Python代码，为代码学习打基础7.含配套课程资源，包含：教学设计、教学课件、学生用书、源程序、作品演示视频8.（1）套件支持图像、声音等功能的深度学习（2）套件支持WIFI、蓝牙、NFC等物联网功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03B74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EA9EB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3D80B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77CDA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09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56E80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C190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《人工智能通识活动课程》（中学版）学习手册（上下册2本）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64FA8B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通识活动课程》（中学版）简介：上册：包含3个模块：人工智能与我、对话人工智能与人工智能的感知。通过本课程，学生能够初步了解什么是人工智能，人工智能的发展与应用场景，及学习人工智能相关问题的解决思路。理解二进制、编程、算法等概念，及其与人工智能的关系，理解贪心算法、分治算法的基本思路及在生活中的应用。了解数据与大数据的概念，以及数据的收集、分析、处理方法。初步学习物联的基本知识，知道传感器的组成及分类方法，认识常用的测气象的传感器，并能使用设计智能穿戴创意方案。在课程中，通过让学生举例、画像、辩论、讨论等深化其对人工智能的理解，并在课程中融入观察、想象、概括、类比、分析、问题解决等思维方法，加强学生的思维能力的培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下册：包含3个模块：人工智能与我、对话人工智能与人工智能的感知。通过本课程，学生能够加深对人工智能的了解，并思考人工智能发展带来的问题。理解人工智能三次浪潮的时代背景下各自发展出的人工智能的实现途径，包括符号推理、专家系统、机器学习、深度学习等各种实现人工智能途径的主要思想。理解智能机器的要素，认识更多的传感器如红外反射传感器、超声波传感器等。更深层次的了解物联的应用，及常用的无线控制模块，并能根据所学设计简单的物联网应用方案。通过让学生举例、画像、辩论、讨论等深化其对人工智能的理解，并在课程中融入观察、想象、概括、类比、分析、问题解决等思维方法，加强学生的思维能力的培养。</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70EF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3AFEC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D9D0A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277CE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24D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22460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6D5D2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《人工智能实操活动课程》（中学版）学习手册（上下册2本）</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1CF870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中学版）简介：上册：了解编程的基本知识及软硬件基础操作，结合硬件创造简单的作品。在此基础上，初步接触物联网，知道物联网通讯设备的构成，以及远程操控的实现过程，并尝试创作简单的物联网作品；下册：从自身生活密切相关的领域，思考物联网的应用所带来的便捷性与安全性，并从这些点出发，设计相关作品，形成开源造物的思想。结合数据分析，尝试给这些领域的管理提供建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8C9A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06F92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AD57D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CFEA2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42F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03F3A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86D8F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人工智通识活动课程（中学版）课程学习资源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421A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上下两册的教学生用书，讲义，说课视频；课程特色：理念先进、活动丰富、学思融合、融合贯通；上册：第一章：人工智能与我:第1节、人工智能来了；第2节、人工智能的发展历程；第3节、人机交互；第4节、会“看”的人工智能；第5节、人工智能，你有多懂我；第二章：对话人工智能:第6节、0和1的世界；第7节、认识编程；第8节、智能的核心；第9节、贪心算法；第10节、分治算法；第三章：人工智能的感知:第11节、数据与大数据；第12节、数据收集；第13节、数据的整理与分析；第14节、初识物联网；第15节、机器的感知Ⅰ；第16节、懂气象的传感器；下册：第一章：人工智能与我:第1节、人工智能的定义；第2节、会“听”的人工智能；第3节、会“说”的人工智能；第4节、人工智能引发的社会问题；第5节、人工智能的未来畅想；第二章：对话人工智能:第6节、逻辑运算与推理；第7节、知识获取与表示；第8节、机器学习Ⅰ；第9节、机器学习Ⅱ；第10节、深度学习；第三章：人工智能的感知:第11节、智能机器的三要素；第12节、会测距的传感器；第13节、机器的感知Ⅱ；第14节、物联网-无线控制；第15节、物联网应用；第16节、设计智能的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CA82E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A6FB4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5C664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7D5F8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839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E366C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FFA89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人工智能实操活动课程（中学版）课程学习资源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A3235A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包含：上下两册不少于32课时的教学设计、教学课件、源程序、作品演示视频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课程特色：1）主题化课程设计，突出物联网技术在各领域的应用；2）硬件结合物联网功能，实现物物相连；3）图形化编程同步展示Python代码，为代码学习打基础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人工智能实操活动课程目录：课程设置：上册（16课，90min/课）第一章：机器感知——初显身手：1.感应氛围灯；2.自动感应风扇；3.扔垃圾，自动开盖；4.进入楼道，为你开灯第二章：数据通信——农业气象：5.远程控制-补光灯；6.农田安全，我来守护；7.智能湿度管理；8.土壤干了，自动灌溉；9.需要更多阳光，开顶棚；10.创建农业气象站第三章：信息记录——校园管家：11.有消息，我来通知！；12.准备，听力训练开始；13.进入校园，请刷卡；14.你好，签到成功；15.食堂取餐，一卡即付；16.校园科普站-你参与了吗课程设置：下册（16课，90min/课）第一章：链接环境——畅快旅行：1.入园人数知多少；2.停车位，还有吗；3.摆渡车，出发了；4.景点包裹寄存第二章：自动便捷——温馨的家：5.远程控制-无忧收件；6.下雨了，自动收衣；7.一键操作，随心开关；8.我的智能居家生活；9.不用起身，把门开；10.收快递，自动响应第三章：随心自助——无人餐厅：11.欢迎光临，迪乐餐厅；12.自助点餐，一键下单；13.自动送餐员小迪；14.“我”来了，请让道；15.每张餐桌，我来找到你；16.全新升级，迪乐餐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9DEE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72DAC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211A6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4CB72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790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B971C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7944E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人工智能活动课程图形化软件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9AD4B2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（1）使用纯图形化编程软件进行编程；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（2）兼容Arduino软硬件开发平台，兼容ArduinoIDE软件编程，兼容Scratch软件编程；封装相应电子模块的C语言库。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D7F68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9E037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FA6FE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1DFAF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5A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5E1DFD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（五）无人机课程及软硬件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F5D49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40AEA8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5D98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B2D1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88ED5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球形无人机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B33A92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1、功能介绍：安全锁、一键起降、定高模式、无头模式、三档速度可调、360°翻滚、外接LED接口。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2、尺寸：≥125*125*125mm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3、起飞重量：≤36g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4、飞行半径：≤50米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5、续航时间：&gt;5mins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6、外壳材料：高韧性塑料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7、整体机身为网形全包围，整体式安全保护。</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8、功能简介：为青少年无人机飞行提供简单操作，容易上手的一款无人机。全面的机身安全保护，让孩子安心飞行，便捷稳定的操作让孩子快速享受飞行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AC939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3DA6D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EF4115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8673F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B43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83DA5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7CF71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DA203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尺寸：≥200*200*200mm；2、飞机轴距：≥130mm；3、留空时间：7min-15min；4、重量：≤200g（不含电池）；5、通讯模式：2.4GHz；6、机身材质为ABS、pcb安全环保材质；7、机身为上下两层半球机体，使用螺丝连接方式。8、电机：有刷电机。9、1套遥控器，均为6通道。10、电池：锂聚合物。11、两种飞行模式：定高模式、无头模式。12、核心功能：一键起飞降落、气压定高悬停、档速位控制、无头模式；、2.4G无线连接，智能定高悬停：不受空间限制，室内室外都可平稳飞行、具备电子增稳和低电量报警保护功能；其它：机身为网形全包围，整体式保护支架，颜色按组合配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本套件可满足以下功能：（1）主板集成两种模式的程序控制，可以进行气压定高模式，还有不定高（穿越）模式进行飞行。（2）360°安全防护球形设计，可进行竞技对抗模式的玩法，操控者安全有保障、多模式飞行体验感增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A4B2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架</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78964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05E63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82868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C3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FE473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EF017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竞技无人机配件包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F4631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包含对应球形无人机的桨叶，保护罩，螺丝刀、无人机锂电池等配件，用于学生进行训练实操过程中，出现损坏等情况发生，可进行更换对应配件。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2D371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F87D4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DFBFA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1F29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A7B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A9F20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06899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LED感应球门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CA3F5A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功能和参数：具有自动计数功能，感应计分，有数码显示屏，训练学员进球技术。传感器：红外内径：≥30cm外尺寸：≥36*37.5cm重量：≥300g。</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1E5F5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0FEC1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7C2DE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95C5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D35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4DBE2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76A5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无人机充电器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7F811E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专用1拖≥20USB充电器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4B1AF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AB826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A77C5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895F9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3B0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51334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8F14A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飞行训练场地</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2401DAC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停机坪（加厚喷绘旗步+钢圈）一套2、拱门，（加厚喷绘旗布+钢圈+金属底座）一套3、刀旗（加厚喷绘旗布+1个合金钢管支撑杆+1个金属底座）一套4、高低圈（合金钢管撑杆+金属底座）一套5、水平双圆（加厚喷绘旗布+钢圈+合金钢管支撑杆3套+3个金属底座）一套6、悬空隧道（长1m，金属底座，合金钢管支撑杆1个，尼龙网印制）一套7、圆门（加厚喷绘旗布+钢圈+合金钢管支撑双杆+金属底座）一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E2961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E588C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BCDA2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C9BA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53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32BDB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BE175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竞技无人机场地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7EE518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≥6m*3m*3m的安全网架，并全包围安全防护网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8402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A432E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75C7F5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86F30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DDD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8D197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4B342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937850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通过原理讲解让学生初步的对无人机工作原理知识有了解，学习到一些相关的理科知识，实操教学培养学生的专注精神、激发学生的兴趣和学习能力、培养学生的逻辑思维能力。</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配有≥17个电子版课程：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无人机历史发展及概念、无人机机体结构及法律法规、无人机飞行原理及安全飞行、起降训练、定点悬停训练、定点自转训练、水平移动训练</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航向控制训练、定点直线飞行训练、单个障碍圈直线穿越训练、定点水平矩形飞行训练、四点障碍圈穿越训练、定点垂直矩形飞行训练、高低障碍圈飞行训练、水平圆形移动训练、水平“oo”移动训练、障碍场地飞行训练</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D868D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F4FC5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C49B5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207775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A2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0E0F191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（六）3D打印设备部分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3C2CDA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20CD7A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2496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right w:val="single" w:color="000000" w:sz="4" w:space="0"/>
            </w:tcBorders>
            <w:noWrap w:val="0"/>
            <w:vAlign w:val="center"/>
          </w:tcPr>
          <w:p w14:paraId="6B8BF1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226</w:t>
            </w:r>
          </w:p>
        </w:tc>
        <w:tc>
          <w:tcPr>
            <w:tcW w:w="907" w:type="dxa"/>
            <w:tcBorders>
              <w:top w:val="single" w:color="000000" w:sz="4" w:space="0"/>
              <w:left w:val="single" w:color="000000" w:sz="4" w:space="0"/>
              <w:right w:val="single" w:color="000000" w:sz="4" w:space="0"/>
            </w:tcBorders>
            <w:noWrap w:val="0"/>
            <w:vAlign w:val="center"/>
          </w:tcPr>
          <w:p w14:paraId="2ED090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E18E0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1.成型尺寸:≥205*205*205mm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2.成型层厚:0.05-0.30mm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3.喷嘴直径:0.4mm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4.喷嘴结构：单进单出全金属</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5.运动结构：单十字XYZ结构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6.主控板：类似或同类型≥Cortex-M4内核；≥200MHz运行主频率；2MBFlash，512KBSRAM；，性能稳定、代码解析能力高</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7.成型原理:熔融堆积成型；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8.设备重量：≥20kg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9.机器尺寸:LxWxH≤359*359*510（mm）；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10.支持材料:PLA；</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11.定位精度:XY轴≤0.0128mmZ轴≤0.0025mm；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12.喷嘴最高温度:≤250摄氏度；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13.热床最高温度≤120摄氏度；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14.连接方式:U盘脱机打印或USB连接；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15.软件:自主研发切片软件，兼容Cura;</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16.系统:Windows、Linux、Mac;</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17.操作界面：≥3.5寸触摸屏；全彩≥480*320分辨率；≥60Hz刷新率；支持多国语言；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18.中文目录读取、中文文件读取；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19.最快打印速度:≥250mm/s；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20.打印格式:STL、Gcode、dae、amf、bmp、jpg；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21.打印平台：磁性贴板，加热均匀，模型易取；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22.全钢钣金机身设计(三面亚克力前门可开启)；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23.支持断电续打、一键进退丝、一键中途换料、打印速度实时调整等。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30899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80580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7A792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FA64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25D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48B7E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9CBFF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3D切片软件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80F94C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款简单、易用的3DCAD工具，你可以使用一些简单的图形来设计、创建、编辑三维模型，或者在一个已有的模型上进行修改。曲线建模、3D浮雕建模、参数建模、一键平置、自动放平、文字建模、曲面建模、拉伸建模、旋转建模、切片软件集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E1756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4C91F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0150E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3D92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F6F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C786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48395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3D打印耗材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219FE5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3D打印耗材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耗材直径≥1.75mm；规格1卷≥1KG；包装重量≥1.4kg；可选颜色≥11色，红色、天蓝色、象牙白、苹果绿、橙色、金色、肤色、黑色、银色、鲜粉红、黄色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76C2B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0A8E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3617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F984B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38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D2188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229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37913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3D模型资源库</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B322F7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包含教学、创意类模型不少于500种</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A0CC6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60D8D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E425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227D2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240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212455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（七）机器人竞赛及软硬件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77A71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E10686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4D3C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09B896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9A5A8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中小学创客比赛套件（专业版）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5CA37B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简介：中小学创客比赛套件(专业版)是一款专为比赛而生的套件，含有40余种电子模块，可以完成物联网、机器人、智能家居等多种比赛主题项目。编程软件：mixly，mind+（支持英语、蒙古语、汉语等多种语言编程界面），arduinoide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包装按照主控类、通讯模块、传感器等类别进行分类摆放，产品内部收纳清晰；2种不同特色的主控板，稳定性最强的UNO与体积小巧的Beetle控制器；2种通讯模块，双蓝牙模块及物联网模块；21种输入设备，含有心率传感器、6轴运动传感器、颜色识别等模块；14种执行器，含有MP3语音模块、显示屏等；内含资料U盘，有每个模块的样例用法和原理，常用软件包及其他资料；配有产品手册，可以快速查找、认识模块，简单了解模块应用场景；含有面板包及相关电子元件，可以自己焊接制作；含有热熔胶枪、美工刀、螺丝刀等基础工具；适用比赛：1.全国中小学电脑制作大赛创客项目；2.全国中小学信息技术创新与实践活动；3.全国青少年创客奥林匹克；4.全国青少年科技创新大赛；5.全国青少年未来工程师；6.中国头脑奥林匹克；7.中美青年创客大赛；8.各地区中小学创客比赛主控：UNOR3主控板,I/O传感器扩展板，Beetle控制器，beetle扩展板；编程软件：Ardublock，mixly，IDE，scratch，mind+通信模块：蓝牙串口模块，USBtoSerial转串口，物联网模块；输入设备：RTC实时时钟模块，自锁按钮模块，钢球倾角传感器，数字按钮，模拟按键模块，电导开关，红外避障传感器，运动传感器，光线传感器，角度传感器，温度传感器,声音传感器，红外遥控器，红外接收模块，超波传感器，土壤湿度传感器，温湿度传感器，防水温度传感器，心率传感器，磁感应传感器，颜色识别传感器，6轴运动传感器；输出设备：数字继电器，风扇，RGBLED模块，LED模块，金属9g舵机，金属齿轮减速电机,红外发射模块，蜂鸣器喇叭模块，灯带，无源音箱小喇叭，音频录放模块，MP3语音模块，显示屏，机器人专用舵机；电子元器件：直插LED，直插电阻，2.54黑色双排长排针，三极管，无源蜂鸣器9mm，圆形扁平震动电机，面包板；电源配件等：USB数据线，4节5号电池盒，电源转接头-母头，电源转接头-公头，纽扣电池盒3颗装,双导铜箔胶带，铜芯电线，公母头杜邦线，母母头杜邦线，公公头杜邦线；工具：紧固件套装，胶枪带胶棒，美工刀，螺丝刀，电工胶带，尖嘴钳，剪刀，20cm刻度尺套装，双面胶，透明胶带，水彩笔12色一盒，铅笔，扎带，普通A4白纸，防护手套，资料U盘</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1F679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CBC2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1F2B9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5AB8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7F7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501F1F5">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84F82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中小学创客比赛套件(拓展包)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B1CA0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简介：中小学创客比赛套件(拓展包)专为中小学创客比赛套件（专业版）功能升级设计，提供了更多的主控和功能模块选择，使得创客比赛中可以结合人工智能领域技术实现更多创意项目。本拓展包可实现视觉识别、语音识别、NFC通信，指纹识别等功能，涵盖了人工智能计算机视觉、自然语音处理等相关领域，为创客比赛项目提供更加丰富的功能。不少于3种不同特色的主控板，体积小巧的microbit、掌控板控制器以及MaixduinoAI开发板；不少于3种人工智能模块，语音识别，语音合成和视觉识别模块；不少于3种功能模块，NFC近场通讯模块，指纹识别模块和I2C扩展模块；适用比赛：1.全国中小学电脑制作活动2.全国青少年人工智能创新挑战赛3.各地区中小学人工智能比赛主控：micro:bit，掌控板、两用扩展板、MaixduinoAI开发板；编程软件：Ardublock，mixly，IDE，mind+、PythonIDLE；输入设备：人工智能视觉传感器（可学习并区分不同人脸并实时返回坐标，支持二维码识别、apriltag标签识别、KNN物体分类、颜色识别、物体追踪、物识别功能），语音识别模块（无需提前学习可直接识别语音，无需联网），NFC近场通讯模块，指纹识别传感器（IIC接口，可录入不少于80枚指纹）；输出设备：语音合成模块（无需联网）；功能模块：Gravity:I2C级联扩展器（支持更多I2C设备）；配件：Type-CUSB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424E0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FEAF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41C7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420FD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D61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4BD9C6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（八）展示体验活动配套设备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79D9CA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7AA9D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2F04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2B948EE">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A9D2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开源智能机械臂</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67C091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介绍:1、机械臂机身采用串行总线舵机，具有电压、位置、温度反馈2、机械臂搭载颜色传感器、超声波传感器等等多种电子模块，可实现颜色分类，超声波探测夹取等功能3、控制系统是ESP32,提供Python编辑器，支持Python编程4、控制器预留丰富电子模块拓展接口，可以实现更多创意5、支持一对一和一对多同步控制，已经其他4种控制方式6、开放Python源码，提供丰富学习资料及教学视频，降低学习门槛.主要参数：1.本机尺寸：长*宽*高≥277*155*426mm；2.重量：≥1.24KG；3.编辑器；4.机体支架材料：6061铝合金，表面蓝色氧化处理5.控制方式：PC端上位机控制、安卓/苹果手机控制、鼠标控制、手柄控制、同步示教器控制、体感手套控制6.自由度：5个自由度+夹持器7.电源：7.5V6ADC电源适配器，供电稳定8.舵机：总线舵机4个，单轴总线舵机1个，LX-225总线舵机1个9.控制器：ESP32开源控制器，采用模块化设计，内置ESP32核心板。10.动作组编辑方式：手机APP编程、离线手动编程、上位机编程……11.同步示教器；12、发光超声波传感器：一个可以测量距离的传感器模块,测量距离3cm到200cm。可以用来帮助机器人避障13、红外避障传感器：有效探测范围是2~30cm，探测距离可以通过电位器调节、具有干扰小、便于装配、使用方便等特点14、颜色传感器：内置APDS-9960传感器,提供环境光与颜色测量,接近检测和非接触手势检测15、触摸传感器：点动型:初态为低电平，触摸为高电平不触摸为低电平(类似轻触按键功能)它具有低损耗、易安装等特点16.套件清单：ESP32机械臂成品1套；PS2手柄及接收器1套；USB数据线1根7.5V；6A电源适配器1个；十字螺丝刀1把；同步示教器1个发光超声波传感器1个；红外避障传感器1个；颜色传感器1个OLED屏1个；摇杆模块1个触摸传感器1个；旋钮模块1个红/绿/蓝方块1个；4PIN线4根；配件包1个17、课程：提供整套教学资料，包含装配视频、真人调试讲解视频、上位机软件操作视频、二次开发通信协议.核心功能：（1）超声波测距夹取：通过超声波模块检测木块位置，探测距离不同，夹取放置的位置不同（2）颜色识别夹取：通过颜色传感器检测木块颜色，把不同颜色的木块放置在相应颜色的盒子里（3）红外检测夹取：通过红外避障传感器检测前方是否有木块，当检测到木块时，机械臂将木块搬运到盒子中（4）触碰检测夹取：通过触摸传感器检测触摸次数，触摸1次时，机械臂将木块往前搬运，触摸2次是，机械臂将木块往后搬运（5）摇杆控制夹取：通过前后左右拨动摇杆，控制机械臂前后左右搬运动作组（6）旋钮移动机械臂：当旋钮正转到底时，机械臂爪子往竖直方向下降，当旋钮反转时，机械臂爪子往竖直方向上升，完成逆运动学功能展示（7）同步器控制：通过同步器控制机械臂同步运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59966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B428A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right w:val="single" w:color="000000" w:sz="4" w:space="0"/>
            </w:tcBorders>
            <w:noWrap w:val="0"/>
            <w:vAlign w:val="center"/>
          </w:tcPr>
          <w:p w14:paraId="3EAC44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1747A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C7C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78096E8">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F09DC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舞蹈机器人套装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41E220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功能要求：1、可学习了解机器人相关知识。2、支持学生自主设计并完成机器人的外观制作和程序调试，锻炼学生的动手能力和空间想象能力以及学生的编程能力和逻辑思维能力。3、可根据功能设计创意作品。二、智能电子电路部分：控制器：支持图形化、模块化编程，可拓展不少于20个舵机。三、配件部分：连接件数量：不少于62pcs。连接件材质：耐用铝合金。电池：锂电池。自由度：不少于17自由度。四、软件部分：控制软件：支持移动端实时显示或控制。编程软件：可视化模块编程软件。课程：课程内容不少于24个主题。可以通过wifi信号与机器人建立数字通信，并控制机器人做出俯卧撑、前翻、机械舞、太极等多种动作或舞蹈。</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86974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34599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4E7F5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0B0A2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1B0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D44126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29E0D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六足仿生机器人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833592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一、尺寸：躯干外壳展开长≥625mm，宽≥520mm二、重量：机体净重≥2.9kg三、材料：铝合金四、电池：大容量电池五、续航时间：≥60min六、上位机软件：pc端可视化上位机软件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6FFC0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92599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8B0C5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636F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116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715081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（九）服务与平台部分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27790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33C05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3911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F4C63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235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FB2A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教师成长平台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42E3C1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成长平台，围绕人工智能系列课程，以先进的人工智能技术为支撑，以领先的思维型教学为途径，旨在锤炼人工智能教师队伍，让教师成长为有温度的赋能者，让学生在智能时代熠熠生辉。1、系统采用云端的方式进行部署，方便进行维护和更新。2、系统基于B/S架构，用户通过浏览器即可访问，无需下载或安装单独的客户端软件。系统支持IE、GoogleChrome、Firefox等主流浏览器访问；3、系统支持不同类型的课程资源的在线预览，包括doc、xls、ppt、pdf等文档类资源png、jpg等图片类资源，rmv、mp4等视频类资源，并且无需单独安装插件，即可在线访问所有资源；4、平台课程中心包含专业学习模块、课堂教学模块、学生课程模块。5、专业学习模块：提供人工智能、创客教育专业课程体系，从0到1让老师和学生快速了解人工智能。6、课堂教学模块：深度解读人工智能课程构建与教学的原理，直接呈现多种课型的教学过程，互动研讨教学案例，生成教学智慧与机智。7、平台支持教师将自研的课程资源上传至平台，在线课程学习，在线交流互动；8、提供优质丰富持续更新的创新课程；9、提供创客主题社区讨论，为学生提供更多新鲜想法，扩展视野，分享经验，通过交流探讨获激发更多的创造力；10、能实时分享教育最新资讯。</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7FC86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358D2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12B42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C1EBA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D71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382A1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236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EA19F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创客教育云平台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2F4EB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采用云端的方式进行部署，方便进行维护和更新。2、系统基于B/S架构，用户通过浏览器即可访问，无需下载或安装单独的客户端软件。系统支持IE、GoogleChrome、Firefox等主流浏览器访问；3、系统支持不同类型的课程资源的在线预览，包括doc、xls、ppt、pdf等文档类资源png、jpg等图片类资源，rmv、mp4等视频类资源，并且无需单独安装插件，即可在线访问所有资源；4、教师端：1）数据统计当前班级数、学生数、上课数、作品数；2）了解学生基本信息，支持添加班级所有作品视频及评分、查看学生课后知识点测评情况；3）平台支持以班级为维度记录学生每课时作品情况、测评情况、课程表现并汇总；4）平台支持教师管理班级学生，新增/编辑/删除等操作；5）平台支持教师线上批改学生作业，可从编程技术、创意表达、计算思维、艺术审美、创新思维多维度评测；5、学生端：1）平台可全面覆盖查询自己的学习课程，提交自己的作品，回顾学习还支持再编辑；2）平台支持知晓当前课程学习进度，方便学生进入快速学习；3）平台支持课后测评题温习回顾，易错题纠正练习学报报告多维度统计查询；4）平台支持同一页面进行视频，教案，讲义文档学习；5）平台支持随堂测评；6）平台支持学生自己作品创作视频永久保存，随时复习时可查看；6、家长端：1）支持获取学生学情报告，协助家长合理规划学生学习，快速掌握学生学习情况；7、管理端：1）支持管理员上传新课程资源；2）支持管理员设置题库；3）支持管理员查看各班级学情报告8、课程资源模块1）为适应中小学STEAM/创客教育/人工智能教育，使学生操作更加简便方便教师应用，课程资源系统以模块化内容展示，首页即可对所有主题课程进行预览；2）课程资源包含人工智能、编程、机器人、竞赛、3D打印等主题课程，3）课程资源包含教学设计、教学PPT、学生用书、作品视频、搭建图、参考程序等；4）课程资源以思维型教学理论为支撑进行开发，教学设计包含：教学内容分析，核心问题分解体系，教学目标，教学资源与准备和教学流程与提示5个环节。</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3176C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5726D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C28A7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68CAF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954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89E01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2FA38EEE">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234" w:type="dxa"/>
            <w:gridSpan w:val="2"/>
            <w:tcBorders>
              <w:top w:val="single" w:color="000000" w:sz="4" w:space="0"/>
              <w:left w:val="single" w:color="000000" w:sz="4" w:space="0"/>
              <w:bottom w:val="single" w:color="000000" w:sz="4" w:space="0"/>
              <w:right w:val="single" w:color="000000" w:sz="4" w:space="0"/>
            </w:tcBorders>
            <w:noWrap w:val="0"/>
            <w:vAlign w:val="center"/>
          </w:tcPr>
          <w:p w14:paraId="11C32792">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071B43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9E1DB4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6FA0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A3FDC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D5E9E9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2A2F85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（二）苏店小学图书设备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FECC2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E2337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2194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B958C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D06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133FF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237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9A804C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数字图书馆软件平台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5B0ADF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1.图书阅读：下载图书图书内容放大、缩小、图书中插图截取，用户可对喜欢的图书进行推荐、收藏、下载。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2.图书信息检索：模糊检索：系统可以根据书名，作者检索出系统自带的图书资源，同时平台支持高级检索，可输入书名、作者、出版社等信息进行检索查询。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3.选择相应的标签跳转到对应的目录页。查看图书的书评并可以添加书评。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4.平台系统对合法IP范围不限IP、注册用户数、并发数和在线浏览数。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平台图书按照中图法进行二级学科分类，系统平台具有图书列表、个人书房、高级搜索、读书活动、个人收藏、阅读排行榜，按照日、周、月各个排行，图书推荐，图书收藏排行榜、访问人次、资源总量等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6.分类：可以显示中图法22大分类和全部图书分类。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7.个人书房：显示读者登录的用户名及个人信息，可以将自己喜欢的图书添加到个人书房，显示个人浏览图书足迹、个人阅读量、收藏量、下载量等。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读书活动：分为三部分，最新活动、最热活动和经典活动。每部分活动可自定义添加图片、标题，同时显示活动时间、活动类型、主办单位、活动内容等信息，系统可以统计活动书单，提交作品数量以及参与人数，并且活动主题可自动切换，最新作品和优秀作品可在活动主题下方进行相应的体现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9.新书通报：显示最新的上传的图书，可以推荐到首页。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10.统计功能：平台可自动统计图书的阅读量、收藏量和下载量，同时平台可自动统计访问平台人数总量。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11.热门图书：根据读者搜索阅读图书的热门程度，图书会显示到首页。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12.图书推荐排行榜：好书推荐阅读越多，可在首页展示，置顶供大家快速分享查阅。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13.图书阅读排行榜：图书阅读的次数越多，越靠前显示。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14.阅读方式：系统在展示平台界面必须针对电子资源(现代文图书)都有二维码扫码功能，且扫码后，可将资源下载到任意载体，且下载后无地域与时效性限制。阅读过程中，可以随时收藏图书。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15.现代图书采用中图法分类、现代文平台同时支持客户自定义分类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16.后台管理包含系统管理、会员管理、图片管理、资源上传、图书管理、访问管理、活动管理、必读书目、阅读统计等模块功能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17.系统管理包含用户管理、角色管理、菜单管理、推荐类型、图书分类、图书评论、logo设置。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D50CB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77877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58F5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5A206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D7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8A75A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238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5E186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墨水屏阅读器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F5EB5E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1.尺寸：≥232.5*191*7.7；</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2.重量：≥470G±5%；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3.屏幕：纯平；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4.显示屏：≥10.3寸；</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5.分辨率：≥1872*1404；</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6.CPU：类似或同类型≥B300四核1.8GHZ；</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7.内存：≥32G；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8.按键：开关键；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9.麦克风阵列：支持；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10.无线连接方式：WIFI+蓝牙；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11.前光：冷暖双色前光；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12.扬声器：支持；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13.电池：锂聚合物；</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14.操作系统：安卓≥8.1操作系统。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7AF7A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EB93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240465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F44EC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3DE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0FE6A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239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19C7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墨水屏充电车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2A5A0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整机支持≥60台设备同时充电；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1、柜体工位可放置最大设备尺寸≤355*210*25（mm）；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2、主体材质1.0-3.0（mm）SPCC冷轧碳素钢与环保ABS工程塑料相结合;采用全封闭防盗结构、工艺上耐酸碱腐蚀、耐磨、防静电等。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3、整体外型三方整体大圆弧过度，外观颜色采用黑白相间的经典配置，美观大气，安全稳固。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采用分舱设计，前部为老师、学生使用区域，左侧为设备调试维护区域。使用不同防盗锁（其中前门为双重防盗天地锁），注重前仓设备的安全保护。内部分舱，强弱电分离，学生无法接触强电部分。（前舱为平板放置充电区域，学生接触区域，无强电；左侧为电源管理控制区域，由专业管理人员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5、高品质超静音脚轮（四轮万向，两轮带刹车）和人体工学把手。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6、柜体侧面带有隐藏式置物槽，可存放电源线，无线AP等。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7、独创专利智能互循环散热结构，辅以温控感应控制风扇强制散热。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8、环保ABS工程塑料单机隔断。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供电安全方面采用独有的USB接口前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10、LED指示灯对应柜内相应位置的设备，集中显示，实时反映每台平板充电状态。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11、配有一体化电源管理系统，集防漏电，防短路，防过载，多模式显示数码智能开关机功能为一体。可随心设置时间，节约能源，具有优先供电功能。使用（自动）时，系统默认为全天充电。</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2E33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A2732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BC09D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A859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40E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842F0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2877A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四人阅览桌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3A0F8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规格：≥1600*900*750mm1.颜色：木纹色面漆（E0级实木颗粒板）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2.基材：≥25mm厚免漆颗粒板，经国家绿色环保认证E1级标准。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3.桌腿采用≥2mm壁厚烤漆锥形管材，防滑特调节底脚。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4638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AE04F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BDD1B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A202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803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21092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3642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牛角阅览椅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CF51A3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钢制加厚管壁≥1.2mm金属木纹框架，优质皮革坐垫加厚海绵，防水耐污耐磨，透气性好，优质椅脚表面纹理细腻硬度高、稳固稳定性强，增加椅子整体的稳固性及承重性。优质防滑静音脚垫，有效保护地板。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89191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1E0AE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FBE80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EB51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B18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B74F9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5AD8B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系统集成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96DB7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无线网增强，满足教室内所有墨水瓶设备使用。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D8FE5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D52C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2153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F58C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1D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3C5C9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3AE9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81720F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定制，规格：UV高清印刷，印刷介绍书法相关知识，集教学、观赏为一体。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07B8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9E86E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A2370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7678E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90D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74FCF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98068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双人阅读单元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F4A0D8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规格尺寸：≥L600*D600*H600mm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材料：1、面料：采用优质棉麻布饰面，布面柔软舒适，软硬适中。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海绵：优质高密度高弹性聚氨酯海绵，由聚氨酸材料，经发泡剂等多种添加剂混合，压剂入模具加温而成。根据人体工学设计座板与腿弯接触部分弯度处理，座密度≥30kg/m3、背密度≥30kg/m3，回弹性能≥35%，长久保持弹性不变。无苯胶黏剂粘结；优质丝绵做填充，内部衬垫物干燥卫生、环保，表面涂有防止老化变形的保护膜。底部蒙防尘透气布料。填充物清洁、卫生、无异味，不使用废旧和再生材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3、椅子架壁厚≥1.1mm，表面混合型热固性粉末喷塑处理，底脚防摩擦地脚。材质符合国家环保标准要求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（1张茶几，2张沙发）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8158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A430C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90AC0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1976E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677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5F46B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8DFA7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四人阅读单元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74386A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规格尺寸：≥L600*D600*H600mm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材料：1、面料：采用优质棉麻布饰面，布面柔软舒适，软硬适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海绵：优质高密度高弹性聚氨酯海绵，由聚氨酸材料，经发泡剂等多种添加剂混合，压剂入模具加温而成。根据人体工学设计座板与腿弯接触部分弯度处理，座密度≥30kg/m3、背密度≥30kg/m3，回弹性能≥35%，长久保持弹性不变。无苯胶黏剂粘结；优质丝绵做填充，内部衬垫物干燥卫生、环保，表面涂有防止老化变形的保护膜。底部蒙防尘透气布料。填充物清洁、卫生、无异味，不使用废旧和再生材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3、椅子架壁厚≥1.1mm，表面混合型热固性粉末喷塑处理，底脚防摩擦地脚。材质符合国家环保标准要求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（1张茶几，4张沙发）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99C8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F3248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BDA5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C2F5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AC7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4BCBC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88AA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教师吧台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88D27B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1、≥2400*700*750mm基材：光禾高密度环保板，经过耐酸碱、防虫、防腐特殊处理，含水率达到国家标准，抗弯力强，不易变形；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2、油漆：采用央视上榜油漆，经3次以上油漆喷涂、打磨、流平性好，附着力强、透明度高、耐磨性好，色泽柔和，手感良好；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B01D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5638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9B75A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35F7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F9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F24BD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23204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吧台配套椅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AE9FF6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≥550*550*960MM，椅背≥420*550mm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面料：采用优质网孔面料，颜色黑色。内部选用环保45密度的发泡高弹海绵，保证不变型。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气压棒：进口优质气压棒，99%纯度氮气填充，30万次循环寿命。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椅脚：一次成型尼龙椅爪，精抛处理，内含补强、抗重压，配高强度尼龙椅轮。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AAD26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AC1A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9ABD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CCD76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B41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C943E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A6ED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多人个性休闲阅读单元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159AE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实木框架配多层板钉架，坐垫装钉橡筋条/蛇形簧，手工切割高密度海绵填充，喷涂铁脚，面料布艺/西皮；颜色面料可选，尺寸根据教室进行定制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01AE2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3CE6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B745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B3220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E22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71F32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249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8FCB4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多人个性休闲阅读单元配套阅读桌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AC056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w:t>
            </w:r>
          </w:p>
          <w:p w14:paraId="79243F0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AC799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88038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7E721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B6556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081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AF0F3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23F433EA">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4D9A1A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5450CA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C5BAB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266C91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p>
        </w:tc>
      </w:tr>
      <w:tr w14:paraId="343C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DDFC31">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44EC5D1">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苏店学校总计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695977">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0BCE6E">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762DD">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F81DF9">
            <w:pPr>
              <w:jc w:val="center"/>
              <w:rPr>
                <w:rFonts w:hint="eastAsia" w:ascii="微软雅黑" w:hAnsi="微软雅黑" w:eastAsia="微软雅黑" w:cs="微软雅黑"/>
                <w:b/>
                <w:bCs/>
                <w:i w:val="0"/>
                <w:iCs w:val="0"/>
                <w:color w:val="000000"/>
                <w:kern w:val="2"/>
                <w:sz w:val="22"/>
                <w:szCs w:val="22"/>
                <w:u w:val="none"/>
                <w:lang w:val="en-US" w:eastAsia="zh-CN" w:bidi="ar-SA"/>
              </w:rPr>
            </w:pPr>
          </w:p>
        </w:tc>
      </w:tr>
      <w:tr w14:paraId="3CAB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3A758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EB360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31178E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西庄小学</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9603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FB892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EC557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0A9C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2DF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E16C3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CED0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44E41E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（一）西庄小学图书设备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C101C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DA946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F031A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A5E15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ECA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E9FE0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F150C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数字图书馆软件平台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CE96FD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1.图书阅读：下载图书图书内容放大、缩小、图书中插图截取，用户可对喜欢的图书进行推荐、收藏、下载。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2.图书信息检索：模糊检索：系统可以根据书名，作者检索出系统自带的图书资源，同时平台支持高级检索，可输入书名、作者、出版社等信息进行检索查询。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3.选择相应的标签跳转到对应的目录页。查看图书的书评并可以添加书评。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4.平台系统对合法IP范围不限IP、注册用户数、并发数和在线浏览数。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平台图书按照中图法进行二级学科分类，系统平台具有图书列表、个人书房、高级搜索、读书活动、个人收藏、阅读排行榜，按照日、周、月各个排行，图书推荐，图书收藏排行榜、访问人次、资源总量等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6.分类：可以显示中图法22大分类和全部图书分类。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7.个人书房：显示读者登录的用户名及个人信息，可以将自己喜欢的图书添加到个人书房，显示个人浏览图书足迹、个人阅读量、收藏量、下载量等。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读书活动：分为三部分，最新活动、最热活动和经典活动。每部分活动可自定义添加图片、标题，同时显示活动时间、活动类型、主办单位、活动内容等信息，系统可以统计活动书单，提交作品数量以及参与人数，并且活动主题可自动切换，最新作品和优秀作品可在活动主题下方进行相应的体现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9.新书通报：显示最新的上传的图书，可以推荐到首页。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10.统计功能：平台可自动统计图书的阅读量、收藏量和下载量，同时平台可自动统计访问平台人数总量。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11.热门图书：根据读者搜索阅读图书的热门程度，图书会显示到首页。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12.图书推荐排行榜：好书推荐阅读越多，可在首页展示，置顶供大家快速分享查阅。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13.图书阅读排行榜：图书阅读的次数越多，越靠前显示。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14.阅读方式：系统在展示平台界面必须针对电子资源(现代文图书)都有二维码扫码功能，且扫码后，可将资源下载到任意载体，且下载后无地域与时效性限制。阅读过程中，可以随时收藏图书。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15.现代图书采用中图法分类、现代文平台同时支持客户自定义分类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16.后台管理包含系统管理、会员管理、图片管理、资源上传、图书管理、访问管理、活动管理、必读书目、阅读统计等模块功能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17.系统管理包含用户管理、角色管理、菜单管理、推荐类型、图书分类、图书评论、logo设置。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D9CE3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5C192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631D7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6F549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8E8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C86119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1EBBC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墨水屏阅读器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1CEA78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1.尺寸：≥232.5*191*7.7；</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2.重量：≥470G±5%；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3.屏幕：纯平；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4.显示屏：≥10.3寸；</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5.分辨率：≥1872*1404；</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6.CPU：类似或同类型≥B300四核1.8GHZ；</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7.内存：≥32G；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8.按键：开关键；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9.麦克风阵列：支持；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10.无线连接方式：WIFI+蓝牙；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11.前光：冷暖双色前光；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12.扬声器：支持；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13.电池：锂聚合物；</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14.操作系统：安卓≥8.1操作系统。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CDE1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803F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F0487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340F7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D35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2F6AF9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0577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墨水屏充电车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67C45C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整机支持≥60台设备同时充电；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1、柜体工位可放置最大设备尺寸≤355*210*25（mm）；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2、主体材质1.0-3.0（mm）SPCC冷轧碳素钢与环保ABS工程塑料相结合;采用全封闭防盗结构、工艺上耐酸碱腐蚀、耐磨、防静电等。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3、整体外型三方整体大圆弧过度，外观颜色采用黑白相间的经典配置，美观大气，安全稳固。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采用分舱设计，前部为老师、学生使用区域，左侧为设备调试维护区域。使用不同防盗锁（其中前门为双重防盗天地锁），注重前仓设备的安全保护。内部分舱，强弱电分离，学生无法接触强电部分。（前舱为平板放置充电区域，学生接触区域，无强电；左侧为电源管理控制区域，由专业管理人员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5、高品质超静音脚轮（四轮万向，两轮带刹车）和人体工学把手。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6、柜体侧面带有隐藏式置物槽，可存放电源线，无线AP等。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7、独创专利智能互循环散热结构，辅以温控感应控制风扇强制散热。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8、环保ABS工程塑料单机隔断。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供电安全方面采用独有的USB接口前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10、LED指示灯对应柜内相应位置的设备，集中显示，实时反映每台平板充电状态。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11、配有一体化电源管理系统，集防漏电，防短路，防过载，多模式显示数码智能开关机功能为一体。可随心设置时间，节约能源，具有优先供电功能。使用（自动）时，系统默认为全天充电。</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6F6ED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EE218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17A1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F4F6F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54F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B87371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7A83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四人阅览桌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D9D8F9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规格：≥1600*900*750mm1.颜色：木纹色面漆（E0级实木颗粒板）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2.基材：≥25mm厚免漆颗粒板，经国家绿色环保认证E1级标准。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3.桌腿采用≥2mm壁厚烤漆锥形管材，防滑特调节底脚。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D89BC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5CC1E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8D237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C7A5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1A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44F3F5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B12F5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牛角阅览椅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785086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钢制加厚管壁≥1.2mm金属木纹框架，优质皮革坐垫加厚海绵，防水耐污耐磨，透气性好，优质椅脚表面纹理细腻硬度高、稳固稳定性强，增加椅子整体的稳固性及承重性。优质防滑静音脚垫，有效保护地板。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3F08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B85DF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9BE4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84FC1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7C9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7C31F8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68403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系统集成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DB3583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无线网增强，满足教室内所有墨水瓶设备使用。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EA14C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0450F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64911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18E80A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A59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C5CB4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C56AD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EF5456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定制，规格：UV高清印刷，印刷介绍书法相关知识，集教学、观赏为一体。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3DC17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87DA9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CBFBD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48F32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28B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4BF998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BD890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双人阅读单元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B9B4DE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规格尺寸：≥L600*D600*H600mm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w:t>
            </w:r>
          </w:p>
          <w:p w14:paraId="4E19D9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材料：1、面料：采用优质棉麻布饰面，布面柔软舒适，软硬适中。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海绵：优质高密度高弹性聚氨酯海绵，由聚氨酸材料，经发泡剂等多种添加剂混合，压剂入模具加温而成。根据人体工学设计座板与腿弯接触部分弯度处理，座密度≥30kg/m3、背密度≥30kg/m3，回弹性能≥35%，长久保持弹性不变。无苯胶黏剂粘结；优质丝绵做填充，内部衬垫物干燥卫生、环保，表面涂有防止老化变形的保护膜。底部蒙防尘透气布料。填充物清洁、卫生、无异味，不使用废旧和再生材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3、椅子架壁厚≥1.1mm，表面混合型热固性粉末喷塑处理，底脚防摩擦地脚。材质符合国家环保标准要求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（1张茶几，2张沙发）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C3A9A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28E4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F5816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B0A96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F43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F8AEE7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B8E63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四人阅读单元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AE5D88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规格尺寸：≥L600*D600*H600mm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w:t>
            </w:r>
          </w:p>
          <w:p w14:paraId="0A1B2FB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材料：1、面料：采用优质棉麻布饰面，布面柔软舒适，软硬适中。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海绵：优质高密度高弹性聚氨酯海绵，由聚氨酸材料，经发泡剂等多种添加剂混合，压剂入模具加温而成。根据人体工学设计座板与腿弯接触部分弯度处理，座密度≥30kg/m3、背密度≥30kg/m3，回弹性能≥35%，长久保持弹性不变。无苯胶黏剂粘结；优质丝绵做填充，内部衬垫物干燥卫生、环保，表面涂有防止老化变形的保护膜。底部蒙防尘透气布料。填充物清洁、卫生、无异味，不使用废旧和再生材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3、椅子架壁厚≥1.1mm，表面混合型热固性粉末喷塑处理，底脚防摩擦地脚。材质符合国家环保标准要求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（1张茶几，4张沙发）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41E37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CF47A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2761D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D48D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53A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10B8E3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259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0F15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教师吧台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AF9CD6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1、≥2400*700*750mm基材：光禾高密度环保板，经过耐酸碱、防虫、防腐特殊处理，含水率达到国家标准，抗弯力强，不易变形；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2、油漆：采用央视上榜油漆，经3次以上油漆喷涂、打磨、流平性好，附着力强、透明度高、耐磨性好，色泽柔和，手感良好；</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CBF2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9CA2F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EDD64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7F73E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B96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79AF2C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A600E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吧台配套椅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2E5FBE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≥550*550*960MM，椅背≥420*550mm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面料：采用优质网孔面料，颜色黑色。内部选用环保45密度的发泡高弹海绵，保证不变型。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气压棒：进口优质气压棒，99%纯度氮气填充，30万次循环寿命。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椅脚：一次成型尼龙椅爪，精抛处理，内含补强、抗重压，配高强度尼龙椅轮。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7E463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4A877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167C9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D571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13F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3B89CF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B56E2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多人个性休闲阅读单元</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43AFAF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实木框架配多层板钉架，坐垫装钉橡筋条/蛇形簧，手工切割高密度海绵填充，喷涂铁脚，面料布艺/西皮；颜色面料可选，尺寸根据教室进行定制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A1CA5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A78FE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57ECA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0096F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06D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68D61F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1D3D7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多人个性休闲阅读单元配套阅读桌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9C29C2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材质：1、台面用12mm 厚岩板台面制作而成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2、骨架：采用优质脚架，管壁厚1.0mm.静电喷涂处理，选用优质三合一链接，各部位安装结构严密、牢固可靠、平稳，无松动、倾斜、摇晃等现象。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D2D5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C1F74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6937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35AC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0B0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A324A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567B390C">
            <w:pPr>
              <w:keepNext w:val="0"/>
              <w:keepLines w:val="0"/>
              <w:widowControl/>
              <w:suppressLineNumbers w:val="0"/>
              <w:jc w:val="left"/>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234" w:type="dxa"/>
            <w:gridSpan w:val="2"/>
            <w:tcBorders>
              <w:top w:val="single" w:color="000000" w:sz="4" w:space="0"/>
              <w:left w:val="single" w:color="000000" w:sz="4" w:space="0"/>
              <w:bottom w:val="single" w:color="000000" w:sz="4" w:space="0"/>
              <w:right w:val="single" w:color="000000" w:sz="4" w:space="0"/>
            </w:tcBorders>
            <w:noWrap w:val="0"/>
            <w:vAlign w:val="center"/>
          </w:tcPr>
          <w:p w14:paraId="1F10D771">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A57AA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2C39E10">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6DB8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1BF6C93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（二）西庄小学创客教室</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48BC1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0BA7BA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4DF8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7010727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（一）基础设施设备</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44A715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A103E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78E7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F6388D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6C958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多媒体讲台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4B86E7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整体设计符合人机工程学2、整体采用分体式结构，规格为长≥1100mm、宽≥780mm、高≥1000mm;3、多媒体讲台整体采用优质冷轧钢板，无接缝，边缘及拐角均采用圆弧设计，确保学生安全，耐冲击性强，防盗性能优越。4、颜色选用哑光灰白色，LOGO板及下体前门采用木纹色，表面经脱脂磷化工艺处理后选用优质塑粉静电喷涂而成，耐腐蚀性强，有效保护学生视力，美观耐用。5、桌面由一把机械锁控制，采用环环相扣设计，显示器盖板翻转，两个抽屉，展示台抽屉逐步打开.6、箱体采用裸板≥0.8mm厚钢板,台面板厚为≥12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D6A5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91EBF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AD1B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BCC36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2D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B0AAD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76998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学生研讨桌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82A343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每张桌子由六张小桌拼接而成，同时可以根据学校教室大小灵活摆放，任意拼接成为不同形状，用以节省空间，适合创客教室使用。2、桌面板：桌面采用E1级颗粒板，符合国家标准，无味无毒环保健康，注塑封边为灰白色软边，多层板带边厚度≥20mm，软边具有抗摔、抗磕碰功能、延长使用寿命。人体坐下靠人身体处呈内狐凹形且塑料封边不能与桌面保持水平，要包裹住面板,并有2条凸出的加强筋条，且与注塑封边精密一次成型。外观光泽润滑无接囗。3、桌角采用≥30*60*1.2厚旦管，采用二氧化碳气体保护焊，在接触人体或收藏品的部位无突出的毛刺或刃口棱角，切边平整，无凹缺和凸起，地脚平稳。钢管表面经过除油、除锈、磷化、静电喷塑等工序高温固化而成，质量坚固耐用，表面静面经过喷漆处理。4、三色随意搭配，呈现多彩教室，视觉美观，色彩丰富。5、桌子底部具有PP脚套，防滑、防水、防酸碱腐蚀、防刮花地面、抗冲击。</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D94A8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5EF8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3ACD6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40D69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772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D61D00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C9883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学生实训椅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23E440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尺寸规格：33*24*45（cm）支架规格：主支撑脚采用40*20方钢管，拉挡为20*20方钢管，管材表面流水线静电喷塑处理，凳架常规为白色或者黑色。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E5015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D4F00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5F48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74D9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1A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F559E8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A1A1F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教师实训椅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7A9BC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1、材质：网布+塑胶+镀铬碳钢；2、尺寸：长*宽*高：≥60*50*128cm；3、承重量（kg）≥100；4、颜色：主色调黑色。5、双钢五轮转椅，可升降旋转，带扶手靠背。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AE681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969B5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EA259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3F72B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7E6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C59687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284A3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操作台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D08522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尺寸：2000*1000*750mm，材质：桌面为厚度25mm优质E1级三聚氰胺板材，优质免漆板材整洁无异味，正反面平整光滑，颜色统一，耐刮、耐烫、无味。优质pvc封边条封边处理，厚度1.5mm，桌架采用直径50mm方管厚度1.2mm， 整体经酸洗磷化、除油除锈、静电喷涂、高温处理而成。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617F6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0DF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2B402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346CC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86E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55F166A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（二）空间文化设计</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7DC16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003CDF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35F5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809BC7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268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8F02D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文化展示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D3BE50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根据现场情况定做创客主题文化展示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3B097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BD419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62B7F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D96A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54A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24D77E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（三）创意拼搭课程及软硬件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BFB9C6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3FDB09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06A6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FDEF66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269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C134D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创意拼搭基础课程学习套装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354C80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意拼搭基础课程学习套装是一种用于建构各种结构和简单的机械的教学套装，无需编程。1、产品搭建模型以砖、方梁，圆梁为主，组件数量不少于420个，组件种类不少于60种。2、主要构件梁、销、轴类构件单点固定牢固，可承担扭转力矩大于1N.m。辅助结构部件包括有以下8类：板类、砖类、轴类、销类、连接销、齿轮类。各种类型结构部件还以颜色区分，含有红、黄、蓝、浅绿、深绿、灰、黑、橙等颜色，全套产品颜色多于7种。3、产品可以搭建成古代桥梁、屋顶、桁架桥、桥梁承重竞赛、平衡小人、变形家具、伸缩栅栏、书架、冠军锦标赛、卡丁车、旋转木马、陀螺发射器比赛等各种各样的创意模型，所搭建模型还可以模拟演示重力动力系统、风力动力系统、橡皮筋动力系统等。4、产品结构部件分类如下：其中板类有以下种类：1*2板、1*4板、1*6板、2*2板、2*4板、2*6板、2*8板、4*6板、8*16板和8*16板。砖类有以下种类：2*2砖、2*4砖、2*2圆柱砖和重力砖。方梁类有以下种类：1*2方梁、1*4方梁、1*6方梁、1*8方梁、1*16方梁。圆梁有以下种类：1*3圆梁、1*5圆梁、1*7圆梁、1*9圆梁、1*15圆梁、2*4单弯梁、6*4单弯梁和11*5双弯梁。轴类有以下种类：2#限位轴、3#轴、3#突点轴、4#轴、4#截止轴、5#轴、6#轴、8#轴、9#轴、10#轴、12#轴。销类有以下种类：1*2光滑销、1*2摩擦销、1*2轴销（光滑）、摩擦轴销、1*3摩擦销、1*3轴套长销、1*3光滑销、3/4光滑销。连接器类有以下种类：3#连轴器、6#十字轴连接、5#连轴器、1*2双轴连接器、2*连轴器、1*2连销器（开口）、1*3轴销连接、1#连轴器、1*2连轴器、栓与轴连接件，2单位、1*3手摇柄。5、传动件类有以下部件：8齿平齿轮、12齿双面斜齿轮、12单面斜齿轮、20齿双面斜齿轮、20单面斜齿轮、24齿平齿轮、24齿冠齿轮、40齿平齿轮、1*2蜗杆、涡轮箱。6、配有两款轮胎（43.2*22mm和30.4*14mm），胎皮材料采用热塑性弹性体，环保无异味，耐摩性高，防震级别高；轮毂材料采用高强度工程料，防爆，高刚性，弹性模量高，弹性变形后恢复快，配合孔耐摩耐用；7、含24节课程资源，课程资源包含：教案、PPT、学生用书、搭建手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BDBF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4767C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ECDA9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B6A8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D6A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1A2F63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E1FC2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《创意拼搭基础课程》学习手册</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4E82C4D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意拼搭基础课程》（上下册2本）简介：通过使用数学方法进行科学探究，学习力学、能量学、机械的知识与技术，在团队活动中培养沟通和合作能力，发展社交技能与社会情感。课程特色：a.探究式学习、解决问题、创意制作三种不同课型，分别培养探究科学探究、问题解决、创意设计三种综合思维，三种课型穿插进行。b.探究式学习按照兴趣激发-学生探究-引导总结-思维延伸-测试评价五个环节教学。关注联想、想象、空间认知、类比能力、抽奖概括、分析综合的基础思维。c.问题解决课程使用故事引入问题，，不限定解决方式，课程评价不仅有结果维度，还有设计、制作过程中的问题解决、沟通合作的过程评价。d.创意制作课程按照确定问题、头脑风暴、确定方案、进行制作、评估作品、展示作品、上课评价的七步骤进行，培养学生设计思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693DC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3CBBC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ADA9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5DD5C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D6A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329762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E291A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创意拼搭基础课程学习资源</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0A775E9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24节课程资源，课程资源包含：教案、PPT、学生用书、搭建手册创意拼搭基础课程课程资源目录:第一章梦想建造师1、古代桥梁；2、屋顶；3、桁架桥；4、桥梁承重竞赛；5、平衡小人；6、变形家具；7、伸缩栅栏；8、书架；9、抓抓乐比赛；10、制作阅读帮手；11、制作可穿戴设备；12、制作一个游戏第二章生活科学家1、重力动力系统；2、风力动力系统；3、橡皮筋动力系统；4、冠军锦标赛；5、卡丁车；6、旋转木马；7、陀螺发射器比赛；8、精准定位各显其能；9、陪伴宠物-制作；10、陪伴宠物-表演；11、宝贝助手-设计制作；12、宝贝助手-表演时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21516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056A3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44C10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0CC4A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331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9B69DC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F5AE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机器人编程学习套装</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4FE54AC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1、产品包含铝合金材质、不锈钢、PCB等材质的零部件，且需包含有CPU主控板、直流电机、红外传感器、碰撞传感器、红色LED灯、黄色LED灯、绿色LED灯、蓝色LED灯等电子部件</w:t>
            </w:r>
            <w:r>
              <w:rPr>
                <w:rFonts w:hint="eastAsia" w:ascii="微软雅黑" w:hAnsi="微软雅黑" w:eastAsia="微软雅黑" w:cs="微软雅黑"/>
                <w:i w:val="0"/>
                <w:iCs w:val="0"/>
                <w:color w:val="auto"/>
                <w:kern w:val="0"/>
                <w:sz w:val="22"/>
                <w:szCs w:val="22"/>
                <w:highlight w:val="none"/>
                <w:u w:val="none"/>
                <w:lang w:val="en-US" w:eastAsia="zh-CN" w:bidi="ar"/>
              </w:rPr>
              <w:t>。2、教具主要是红色氧化铝合金孔板。</w:t>
            </w:r>
            <w:r>
              <w:rPr>
                <w:rFonts w:hint="eastAsia" w:ascii="微软雅黑" w:hAnsi="微软雅黑" w:eastAsia="微软雅黑" w:cs="微软雅黑"/>
                <w:i w:val="0"/>
                <w:iCs w:val="0"/>
                <w:color w:val="000000"/>
                <w:kern w:val="0"/>
                <w:sz w:val="22"/>
                <w:szCs w:val="22"/>
                <w:u w:val="none"/>
                <w:lang w:val="en-US" w:eastAsia="zh-CN" w:bidi="ar"/>
              </w:rPr>
              <w:t>3、需采用十字螺丝刀、内六角螺丝刀来完成机器人的搭建。4、产品零件至少包含：CPU主控板、红外传感器、碰撞传感器、红黄LED灯、电池盒、直流电机、轮子、铝合金15*23孔板、铝合金3*15孔板、铝合金15孔板、铝合金11孔板、L型2*2连接件、L型2*3连接件、10mm六棱柱、20mm六棱柱、30mm六棱柱、3P延长线、十字一字通用螺丝刀、内六角螺丝刀、螺钉螺母等。5、产品部分配件指标为红色氧化铝合金15*23孔板（长、宽、厚度尺寸：≥120*80*1.6mm）,红色氧化铝合金3*15孔板(长、宽、厚度尺寸：≥78*18*1.6mm),红色氧化铝合金11孔板（长、宽、厚度尺寸：≥58*8*1.6mm），红色氧化铝合金15孔板（长、宽、厚度尺寸：≥78*8*1.6mm）,L型2*2连接件（长、宽、厚度尺寸：≥20*20*1.2mm），L型2*3连接件（长、宽、厚度尺寸：≥30*20*1.2mm），L型2*6连接件（长、宽、厚度尺寸：≥60*20*1.2mm），10mm六棱柱、20mm六棱柱、30mm六棱柱、车轮、CPU主控板、直流电机等。6、所有传感器的连接口需与CPU主控板接口配套，均采用3PIN接口，CPU板技术参数:具有高性能、低功率控制器，速度等级：0.16MHz。提供4个输入端口，4个输出端口，1个超声波专用接口，2个电源接入端口，可加载动力驱动板，6个马达专用接口，内置蜂鸣器，电机驱动，6P网口下载接口、自锁开关、复位开关。7、配套编程软件，支持米思奇图形化编程和C语言代码编程，图形化编程模式下可以查看实际的语言代码（同屏显示）。包含课本配套教材</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38A3B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07EA4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27FD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FDE2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9C4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30AA2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33AC3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机器人基础编程学习资源</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34BE46B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16节的电子版PPT课件及搭建教材。机器人基础编程课程资源目录如下：第1节：认识机器人以及机器人在生活中的应用；第2节：认识组成机器人的零部件以及注意事项；第3节：制作简易小作品（电话、小桌椅小板凳等）；第4节：初识Mixly和主控板；第5节：直升机；第6节：交通信号灯；第7节：昆虫机器人；第8节：光感机器人；第9节：台灯机器人；第10节：风扇机器人；第11节：单旋翼直升机；第12节：青蛙机器人；第13节：避障机器人“碰碰车”；第14节：不倒翁机器人；第15节：蟑螂机器人；第16节：小狗机器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C3E9B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6DABC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F8D5C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CAFD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442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278165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（四）无人机设备及配套场地</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96CEC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620BD1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5911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B52E05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0582D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球形无人机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FAF177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1、功能介绍：安全锁、一键起降、定高模式、无头模式、三档速度可调、360°翻滚、外接LED接口。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2、尺寸：≥125*125*125mm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3、起飞重量：≤36g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4、飞行半径：≤50米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5、续航时间：&gt;5mins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6、通讯模式：2.4GHz；</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7、外壳材料：高韧性塑料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8、整体机身为网形全包围，整体式安全保护。</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9、功能简介：为青少年无人机飞行提供简单操作，容易上手的一款无人机。全面的机身安全保护，让孩子安心飞行，便捷稳定的操作让孩子快速享受飞行。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272CF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87D0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91273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DE43D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1E9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C9B2AC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C61D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E2FDC6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尺寸：≥200*200*200mm；2、飞机轴距：≥130mm；3、留空时间：7min-15min；4、重量：≤200g（不含电池）；5、通讯模式：2.4GHz；6、机身材质为ABS、pcb安全环保材质；7、机身为上下两层半球机体，使用螺丝连接方式。8、电机：有刷电机。9、1套遥控器，均≥6通道。10、电池：锂聚合物。11、两种飞行模式：定高模式、无头模式。12、核心功能：一键起飞降落、气压定高悬停、档速位控制、无头模式；、2.4G无线连接，智能定高悬停：不受空间限制，室内室外都可平稳飞行、具备电子增稳和低电量报警保护功能；其它：机身为网形全包围，整体式保护支架，颜色按组合配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13.本套件可满足以下功能：（1）主板集成两种模式的程序控制，可以进行气压定高模式。（2）360安全防护球形设计，可进行竞技对抗模式的玩法，操控者安全有保障、多模式飞行体验感增强。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F448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51BD5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1AB24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0BA70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B0D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2C1EA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D059D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竞技无人机配件包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34EA39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包含对应球形无人机的桨叶，保护罩，螺丝刀、无人机锂电池等配件，用于学生进行训练实操过程中，出现损坏等情况发生，可进行更换对应配件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B632A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15BC5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11AF0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CA308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93C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985454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7E228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LED感应球门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4733CC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功能和参数：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具有自动计数功能，感应计分，有数码显示屏，训练学员进球技术。</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传感器：红外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内径：≥30cm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外尺寸：≥36*37.5cm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重量：≥300g</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7CD05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902B7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55B09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740EF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6E7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9EA81E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0EEA3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无人机充电器</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7D4C00B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专用1拖≥20USB充电器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5ED8C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5B456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93AA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27730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BA5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F24B5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279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3A963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飞行训练场地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74DDD6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停机坪（加厚喷绘旗步+钢圈）一套2、拱门，（加厚喷绘旗布+钢圈+金属底座）一套3、刀旗（加厚喷绘旗布+1个合金钢管支撑杆+1个金属底座）一套4、高低圈（合金钢管撑杆+金属底座）一套5、水平双圆（加厚喷绘旗布+钢圈+合金钢管支撑杆3套+3个金属底座）一套6、悬空隧道（长1m，金属底座，合金钢管支撑杆1个，尼龙网印制）一套7、圆门（加厚喷绘旗布+钢圈+合金钢管支撑双杆+金属底座）一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D0F03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4C683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3C8A4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2F03B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4F2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E91740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5BFDB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竞技无人机场地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798C4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≥6m*3m*3m的安全网架，并全包围安全防护网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0D5E3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B44F1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27DED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5478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45E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3163AD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14BB5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BCAE1C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通过原理讲解让学生初步的对无人机工作原理知识有了解，学习到一些相关的理科知识，实操教学培养学生的专注精神、激发学生的兴趣和学习能力、培养学生的逻辑思维能力。</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配有17个电子版课程：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无人机历史发展及概念、无人机机体结构及法律法规、无人机飞行原理及安全飞行、起降训练、定点悬停训练、定点自转训练、水平移动训练</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航向控制训练、定点直线飞行训练、单个障碍圈直线穿越训练、定点水平矩形飞行训练、四点障碍圈穿越训练、定点垂直矩形飞行训练、高低障碍圈飞行训练、水平圆形移动训练、水平“oo”移动训练、障碍场地飞行训练</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9A530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0462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7E95B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A8F9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235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6219BC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（五）人工智能活动课程及软硬件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10CDC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744A2B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6691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27B7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B67D7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人工智能活动课程学习套装（小学版）</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3E993F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学习套装（小学版）配合乐高以及图形化编程软件进行教学，采用4P排插线连接功能模块，不需要焊接，配有生动的使用课程,课程由浅入深。1.内置经过安全监测的电路板2.辅材：配备4p传感器连线，一包拼接件3.连接方式：杜邦或4p排插线，防反接4.电子元件包含：红绿双色灯、白色LED灯、全彩灯灯块、按钮指示灯、有源蜂鸣器、无源蜂鸣器、轴流式风扇、温湿度传感器、超声波传感器、四位数码管、声音传感器、小车上、下板、电源、bit主控板（Nano）、USB连接线、10cm连接线、20cm连接线、避障传感器、红外线收发(IR-TX/RX)含遥控器、TT电机、TT马达、电机固定件、轮子、万向轮、电池、电池盒、充电器5.结构件包含：螺丝刀、六角铜柱管、平头螺杆、圆头带垫片螺杆、螺母、1*3杆、1*5杆、1*7杆、1*9杆、1*11杆、1*13杆、1*15杆、3*5弯樑、1*12轴、1*8轴、小轮子、5*7方框梁、7*11方框梁、1*3蓝销、1*2黑销、1单位轴套6.主控：开源AtmelATmega328P8位单片机、与ArduinoUNO控制器模块兼容，采用7.4V或USB供电，具有6个模拟端口、14个数字接口7.编程软件：同时支持Mixly和Scratch图形化编程软件，实现图形编程模块到ArduinoC语言程序的转换，能编译，上传图形编程内容到开源Arduino硬件，能自动识别硬件接入COM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8、（1）套件主板集成双轴摇杆、点阵屏及热释电传感器。（2）套件主板支持声音分贝、光线强度感应功能。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10.套件须满足以下功能，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（1）主板集成自带显示设备与温度传感设备，可以实时显示当前温度数据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（2）主板不通过外接模块即可与电脑互联，将环境光线、声音等数据实时传输给电脑</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（3）主板不通过外接模块即可通过摇杆控制、倾斜主板等方式控制软件编程角色的移动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B73AD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B39B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3A32E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9B1D5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D32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4B7203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0D2C8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《人工智能通识活动课程》（小学版）教材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9378CB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通识活动课程》（小学版3册）教材简介：教材分初级、中级、高级三个部分，共计48节课程通识课主要了解人工智能基本概念、基本原理以及日常生活应用。（1）初级课程初步了解人工智能的基本概念和原理、了解人工智能的简单应用，如手机中的人工智能；学习编程基础知识、基本逻辑（顺序、循环、条件），应用基础知识和思维能力创造一个个小作品。（2）中级课程进一步了解人工智能的概念、原理和应用，如智能刷脸、聊天、语音交流等；在巩固强初级所学内容的基础上，融入更多算法思维。以软硬结合的方式学习设计综合项目。（3）高级课程更深层次了解人工智能“造物”的概念，了解人工智能在预测天气、写诗作画等方面的应用，学会运用问题分解的思路解决日常生活中的问题。</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4CDF7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FA91B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8C7D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8A2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528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2B1D85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8D7CB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《人工智能实操活动课程》（小学版）学习手册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EBE97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小学版3册）教材简介：教材分初级、中级、高级三个部分，共计48节课程（1）初级课程初级课程以普及编程基础、培养学习兴趣为目的，主要学习编程基础知识、基本逻辑（顺序、循环、条件），应用基础知识和思维能力创造一个个小作品。（2）中级课程运用传感器以及操作元件集成在一起的畅玩板，在巩固强化初级所学内容的基础上，融入更多算法思维。以软硬结合的方式学习设计综合项目。（3）高级课程建立产品意识，形成“开源造物”思想。结合自主研发的硬件套装，通过解决实际情境问题，提升问题解决能力，培养计算思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46AA2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5F17A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99487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AD900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386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ED5012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F029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人工智能通识活动课程（小学版）学习资源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4D8A51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人工智能通识活动课程》（小学版）初级，中级，高级≥48课时的教学生用书，讲义，说课视频；人工智能通识活动课程（小学版）学习资源目录：初级部分：第一章人工智能与我第1节：机器变“聪明”；第2节：“智能”在哪里；第3节：会干活的AI；第4节：会认路的AI；第5节：算得更快的机器第二章对话人工智能第6节：0和1的世界；第7节：不同的指令；第8节：认识编程；第9节：算法启蒙；第10节：问题分解Ⅰ第三章人工智能的感知第11节：数据是什么；第12节：身边的数据收集；第13节：数据的可视化；第14节：大数据在哪里；第15节：数据的传输；第16节：人机交互中级部分：第一章人工智能与我第1节：智能的机器；第2节：会“看”的人工智能；第3节：会“听”的人工智能；第4节：会“说”的人工智能；第5节：挑战人工智能第二章对话人工智能第6节：用二进制表示图像；第7节：选择与条件；第8节：循环；第9节：寻找最“好”的路线；第10节：问题分解Ⅱ第三章人工智能的感知第11节：数据中的发现；第12节：大数据告诉我；第13节：机器的感知；第14节：懂运动的传感器；第15节：知明暗的传感器；第16节：游戏中的交互高级部分：第一章人工智能与我第1节：人工智能的判定；第2节：会预测的人工智能；第3节：会创作的人工智能；第4节：人工智能引发的问题；第5节：畅想未来人工智能第二章对话人工智能第6节：用二进制表示数；第7节：决策树；第8节：图说算法；第9节：游戏背后的算法；第10节：问题分解Ⅲ第三章人工智能的感知第11节：知识表示；第12节：机器学习；第13节：测移动的传感器；第14节：懂手势的传感器；第15节：物联网-远程控制；第16节：设计智能的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3726F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5FAA0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F1085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CFB23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26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97FC30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5ACE4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人工智能实操活动课程（小学版）课程资源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7A863E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人工智能实操活动课程（小学版）初级，中级，高级≥48课时的教案、学案、PPT和教学视频等课程资源人工智能实操活动课程（小学版）课程资源目录：初级部分：第1节：变魔术的小迪；第2节：来画画吧；第3节：控制小车转弯；第4节：哪条路更近；第5节：猜猜我是谁；第6节：耶！进球啦；第7节：小猫吃哪样；第8节：发射倒计时；第9节：无线电通讯；第10节：勇闯迷宫；第11节：穿越峡谷；第12节：苹果落下来；第13节：造句游戏；第14节：演奏音乐吧；第15节：猜猜我想的是几；第16节：帮助超市做分类中级部分：第1节：认识畅玩板；第2节：感应自动门；第3节：超炫舞台；第4节：蝙蝠觅食记；第5节：智能楼道灯；第6节：饥饿的鲨鱼；第7节：剪刀石头布；第8节：鸡蛋孵化中；第9节：破壳而出；第10节：弹力小球；第11节：水果射手；第12节：飞机大战；第13节：极速飞车；第14节：森林大冒险；第15节：捕鱼达人；第16节：保卫家园高级部分：第1节：点亮一盏灯；第2节：交通信号灯；第3节：随机游戏盒；第4节：入园计数器；第5节：智能饮水杯；第6节：降噪提示灯；第7节：迪乐小车动起来；第8节：迪乐小车听我话；第9节：迪乐小车巡线啦（一）；第10节：迪乐小车巡线啦（二）；第11节：迪乐小车走迷宫；第12节：智能小风扇；第13节：彩虹空气琴；第14节：幸运大转盘；第15节：倒车提示器；第16节：居家双控灯</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E8117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CE8C0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2F7A4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7DA90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1B5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F7098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1F988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人工智能活动课程图形化软件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57B129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（1）使用纯图形化编程软件进行编程；（2）兼容Arduino软硬件开发平台，兼容ArduinoIDE软件编程，兼容Scratch软件编程；封装相应电子模块的C语言库。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E7A06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11ADE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EFF24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581B7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FC6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10B7A39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（六）人工智能活动课程及软硬件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D22C9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7EFECC3">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6E18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E9E38F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98547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3D打印机（学生用）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226278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成型原理：熔融沉积成型（FDM）；2.成型体积：≥12000cm³（200*200*300mm³）长*宽*高；3.耗材直径：≥1.75mm；4.层分辨率：0.05-0.3mm；5.XY轴定位精度：≤0.0125mm；6.Z轴定位精度：≤0.0025mm；7.建议打印速度：30-100mm/s；8.最快打印速度：300mm/s；9.整机尺寸≥415*415*540mm³；10.整机重量：≥22KG；11.喷嘴直径：0.4mm,(可选配0.2mm，0.8mm)；12.喷头结构：单喷嘴单进料；13.全金属速换喷嘴，支持更高温度打印，提升材料兼容性。14.喷头模块化，卡扣式易拆装设计；15.喷嘴最高温度：280℃；16.工作平台：抽屉式易拆装平台，新型平台系统，均匀加热防翘曲，稳固易用；17.工作平台温度：0-120℃；18.支持材料：PLA/ABS/PHA/PETG等；19.运动结构：工字结构，近程送料，保证动力。20.耗材放置：隐藏式内置料架设计，同时支持外置；21.主控板：采用类似或同类型≥Cortex-M4内核（DSP+FPU)；168MHz运行主频率；512Kb~1MbFlash+192KBSRAM，性能稳定、代码解析能力高；22.人机交互：4.3寸触摸屏，480*272分辨率，最高显示16.7兆色（支持中文简体/繁体、英文、日文切换）；23.连接方式：Wi-Fi/USBPort/UDisk/RJ45网口；24.超低功耗，平均功率100W，峰值功率200W，节能省电，打印完成自动休眠；25.设备升级：U盘升级，无需电脑及数据线，轻松完成升级；26.内置LED照明；27.平台调平：智能调平；28.断电续打，来电后可继续打印，有效提高打印成功率；29.断料报警，缺料后机器发出报警，重新上料后继续打印；30.中途换料，打印过程中如需更换材料，可进入“中途换丝”模式，该模式可保证轻松更换材料；31.加热异常保护，智能监控，若发生加热异常，机器会自动停机，杜绝意外发生；32.Wi-Fi连接，可APP控制；33.监控装置：高清摄像监控；34.全封闭打印，防尘，稳定打印高温材料；35.电源输入（AC）：100V-240V，50-60Hz；36.切片软件：自主研发的软件，同时兼容cura；37.操作系统：MacOS，Windows，Linux；38.文件类型：STL,OBJ,Gcode,JPG,PNG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BE4A2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927FE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E4EA1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D1BD8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455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5CC464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289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46236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3D打印笔</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447A5C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出料方式：热熔挤压堆积成型2.成型方式：三维成型3.打印范围：无限定4.吐丝速度：可调5.温度：80℃-195℃可调6.设备工作电压：5V2A7.喷嘴直径：0.7mm8.耗材直径：1.75mm9.兼容高低温双模式：低温模式笔头壳仅40多度，更加安全不烫手；兼容低温3D打印笔材料与生物材料PLA，无毒无味可降解10.USB可接移动电源：USB电源接口设计，可接移动电源使用，安全便捷11.80°C低温作画：80-195℃可调，范围更广更低。采用独家专利低温耗材，打印温度低至80℃，为儿童提供更安全的保障！12.变废为宝：低温耗材具有90℃以下软化的特性，产生的废弃料可放到热水中浸泡变身神器手工材料。13.八档控速：8档速度可调，出丝更稳定14.智能自动进退材料：双击出料键可自动出丝，避免长时间按出丝按钮15.超快散热：多个散热孔，散热更快更低温16.可悬挂设计：挂钩设计，可直立悬挂更安全简约外观：多色可选，人体工程学设计，握笔更舒适</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FAC32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0C5E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1A413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EE0A8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BE8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FB8861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24D6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三维设计软件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47202F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款简单、易用的3DCAD工具，你可以使用一些简单的图形来设计、创建、编辑三维模型，或者在一个已有的模型上进行修改。打破了常规专业CAD软件从草图生成三维模型的建模方法，提供了一些简单的三维图形，通过对这些简单图形的堆砌和编辑生成复杂形状。这种‘傻瓜式’的建模方式感觉像是在搭积木，即使你不是一个CAD建模工程师，也能随心所欲地在软件里建模。1.曲线建模，支持导入平面图片建模、文字建模、自定义绘制图形建模等多种建模方式。提供平面绘图工具，比如直线、折线、曲线及矩形工具，用于设计复杂线条。提供10种以上的艺术曲线，比如心型线、肾形线等。2.3D浮雕建模，支持导入平面图片、文字以及自定义绘制图形，并能一键式生成可制造的立体透光浮雕模型。生成的立体浮雕模型类型包括:平面型、圆柱面型等，并可选择内向、外向模式。3.参数建模，支持全参数交互式驱动建模方式，用户可修改尺寸、角度等参数，改变模型的大小、位置、姿势，生成新的模型。4.一键平置，在移动模型的过程中，可以一键将模型移动到水平面上，方便切片。5.自动放平，在旋转模型的过程中，可以一键将模型放平，软件自动为模型找到合适的旋转角度进行旋转，方便切片。6.文字建模，支持输入文字，即可生成立体文字模型，支持主流字体，软件内置10种以上字体，生成的3D文字可进行竖直弯曲和水平弯曲，并且可以调整文字的弯曲半径和角度。7.曲面建模，支持挤出、移动长方体盒子的面生成多面体，通过细分曲面的方式生成3D模型。支持五分法分割面，生成新的面。支持移动多面体的边，改变多面体的形状。包含球、圆柱、正方体3种内置基本体。8.拉伸建模，支持从二维封闭曲线垂直拉伸得到3D模型，导入图片作为二维草图的绘制向导，并内置网格线作为绘制参考。9.旋转建模，支持从二维曲线沿轴旋转得到3D模型，导入图片作为二维草图的绘制向导，并内置网格线作为参考线，可人工设置曲线是否封闭。软件可自动对曲线进行补全，从而生成旋转体模型。10.切片软件集成，支持切片功能，设置层厚、壁厚、填充密度、打印速度等参数，从3D模型计算得到打印机的执行文件，并支持单层/多层/全部等模式可视化查看打印路径。支持输出切片gcode文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9963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3546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1434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DA322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B63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901996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9E26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三维设计课程</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ACEBA7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30节课程，每节课程内容包含教案、课件、3D模型文件、STL文件。初级课程：第1课:昆虫总动员；第2课:如意金箍棒；第3课:穿越时空隧道；第4课:神笔；第5课:走进数字世界；第6课:魔法世界；第7课:蓝精灵；第8课:我是歌手；第9课:五彩缤纷的气球；第10课:图形特工队；第11课:企鹅精英队；第12课:来自猩猩的你；第13课:移动的城堡；第14课:疯狂的轮滑；第15课:海上大冒险进阶课程：第1课:我是史蒂芬；第2课:我的小房子；第3课:栅栏的秘密；第4课:小宅门；第5课:我不是怪兽；第6课:可爱的小猪；第7课:避暑凉亭；第8课:多功能桌子；第9课:板凳上的艺术；第10课:我的折叠椅；第11课:MerryChristmas；第12课:僵尸来了；第13课:向日葵；第14课:手有余香；第15课:汽车总动员</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CDAB1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96DC0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632A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6B741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32C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FB8DE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B3D8E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3D打印笔耗材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619FF9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1.安全无毒无异味；2.环保，可生物降解；3.低温防烫，60度熔点；每袋5米装1.75mm，一套共5袋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462FC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8E099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85C81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9BB8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253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4001C6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3DC43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3D打印耗材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ABC2F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耗材直径≥1.75mm规格1卷≥1KG包装重量≥1.4kg可选颜色≥11色，红色、天蓝色、象牙白、苹果绿、橙色、金色、肤色、黑色、银色、鲜粉红、黄色</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57777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卷</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57AA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2F3ED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71B80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614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C7DF61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B0D57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3D模型资源库</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C1F402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包含教学、创意类模型不少于500种</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746D8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4378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9E03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2F731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CB2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3DA8E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585B5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3D打印工具包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60FFB6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小铲刀、斜口钳、3D调平工具、料架固定支架，3D打印机常用易损件、U盘、读卡器、PLA导线管、常用内六角套装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95F41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ED05E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9191F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120FD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4AB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67D9A2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（七）机器人竞赛部分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FAABA6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E1FF3D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4E10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5EDAE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296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3753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人工智能普及赛套装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D09F79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控制器：采用类似或同类型≥32位Cortex-M3处理器，时钟频率72MHz，512KBflash，64KRAM；3MB外部程序存储空间加1M外部文件存储空间，可存储50条以上程序。128*64LCD背光，支持中文、英文显示。4个按键，一个开机及运行程序合用键，一个返回键，两个左右选择键；提供20路各类输入输出接口，其中12路数字/模拟接口（AI、DO）；提供4路闭环电机控制接口，单路最大电流1.5A；4路485伺服电机串行接口，最大电流6A；USB口有两种工作模式，一种为U盘下载模式；另一种为在线调试模式，可采用断点调试方式，方便程序调试；可通过手机APP连接。可在文件界面选择不同的程序并运行；支持中文、英文；电池电压显示，声音播放；可测试单个电机及全部电机正反转，可反馈闭环速度值；可测试12路模拟端口传感器值，或控制12路数字端口状态；可设置EEPROM中的参数；并控制声音开关、背光的开关。系统工作电压6.5~10V。2、结构件：集成式底盘，方便快速组装成车体。支持履带、轮式、六足三种运动方式。结构件设计比例基于标准的10毫米积木，拼插式搭建方式，无螺丝搭建设计。组件数量不少于320个，组件种类不少于37种。主要构件梁、销、轴类构件单点固定牢固，可承担扭转力矩大于1N.m。各种类型结构部件还以颜色区分。3、传动件：6种齿轮9个，包含：8直齿齿轮、16直齿齿轮、24直齿齿轮，12半高锥齿，12锥直齿,蜗杆等。4、传感器：地面灰度传感器（工作电压5V，自发射调制光线，抗环境光干扰）5个；5、执行器：闭环电机3套：工作电压6V-10V，空载转速420±10rpm，旋转扭矩0.05N*M，堵转扭矩0.25N*M。6、能源：专用锂电池：7.4V1500MAH，最大放电电流为6.5A，自带保护电路；适配器：8.4V1A，接在电源口上可以直接给控制器供电。7.软件系统：AIModule软件，支持流程图编程、标准C语言编程、Python编程、Scratch编程、动作编辑器五种编程方式，可一键切换。流程图模块包含所有端口功能，支持子程序功能等可视化编程。含有动作、传感器（侦测）、控制、程序、数据、高级、巡线7大功能模块；基于全新QT平台开发，可适用于Windows、Mac等操作系统，同时可以多线程编程。流程图可自动生成C语言，C语言支持指针、数组、结构体等复杂应用。库函数全开放。Scratch编程，基于Scratch3.0进行开发，继承了Scratch3.0强大的功能和体验，让编程就像搭积木一样简单，只要识字便能开始学习编程，让孩子循序渐进地掌握编程技能。Python是一款被广泛应用于AI、数据分析等前沿领域的编程语言，已取代VB成为信息技术教育和等级考试的新标准。在AIModule软件种，孩子可以直接使用Python语言编写程序，进阶学习专业编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74863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3C5C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1ADFD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89BD4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1E5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BAECF1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297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08E972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普及赛场地套装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437548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该套装包含2024年活动场地任务模型零件（不少于580个），可搭建8个任务模型：烟花表演、代表团入场、文艺表演、闭幕致辞、会旗交接、颁奖仪式、圣火熄灭、8分钟展演。固定场地任务模型专用魔术贴。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包含2024年活动专用场地纸1张（尺寸≥2.16米*1.2米）。</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F5181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ECD1A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A497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341E1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EF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0CDCD9F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（八）人工智能主题课程及软硬件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287C138">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B8E909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1D83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EF2CAC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AEEC4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智慧社区主题课程学习套装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43E78C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简介：以日常的家居，社区为主要情境，让孩子了解“家及家人”的概念，认识到家最最要的是家人的羁绊和关怀，让孩子学会关心家人，承担家庭的相应责任。通对对社区的智能改造探索过程，感受社会的温馨、温暖、温情。套件聚焦人工智能“语音识别、手势识别”相关技术体验与应用，结合人工智能与大数据的相关内容，利用图形化编程软件与硬件平台学习并创作。技术参数：1、micro:bit主控板：32位ARMCortexM0芯片，板载集成：5x5LED点阵屏，A、B案按键，蜂鸣器，麦克风，加速度计，电子罗盘，温度计，蓝牙灯电子模块；2、扩展板：供电电压：5V，多功能扩展板，丰富的扩展卡接口；3、输入模块：环境光传感器、声音传感器、温湿度传感器、旋钮电位器、手势识别传感器、MP3模块、语音识别模块等；4、输出模块：LED-黄、RGB彩灯条、风扇、舵机等；5、配件：USB线，传感器连接线，积木结构件不少于160个；6、可支持编程软件：makecode、Mixly、mind+等图形化编程软件；支持系统：Windows，macOS等平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A992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0E1C5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B467A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3024E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FDA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FFB4FE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299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DFC3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《智慧社区主题课程》学习手册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4230588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简介：课程聚焦人工智能“语音识别、手势识别”相关技术体验与应用，结合人工智能与大数据的相关内容，利用图形化编程软件与硬件平台学习并创作。以日常的家居，社区为主要情境，让孩子了解“家及家人”的概念，认识到家最最要的是家人的羁绊和关怀，让孩子学会关心家人，承担家庭的相应责任。通对对社区的智能改造探索过程，感受社会的温馨、温暖、温情。培养学生对生活的热爱、对人文情怀的关注，成为有温度的人。通过居家生活中的一些问题，解决家人的小烦恼，运用AI技术让我们的家具家电也能慢慢地“关心”家人，关心社区。以社区活动为主线，关爱老人为主。运用AI技术和知识设计智能台灯和风扇，改造社区小礼堂、设计发布灯光秀等，在解决问题中综合考虑特定人群，设计AI产品，提升学生的设计思维和计算思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BF864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14CC5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03A09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15CC1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479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3D06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F1104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智慧社区主题课程学习资源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DB28DE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少于16课时的教学课件、教学设计、学生用书、参考程序、搭建视频等第一单元智慧灯光，温暖社区1、点亮一盏灯；2、亮度我控制；3、手势更贴心；4、声控台灯；5、智慧灯光设计师第二单元智慧家居，温馨社区6、夏日送清凉；7、声控风扇；8、灵活的窗帘；9、“看”的懂的窗帘；10、智能家居更温馨第三单元智慧娱乐，温情社区11、音乐播放器；12、我是音响师；13、休闲时光；14、音乐盲盒；15、智能音乐会；16灯光秀设计师</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A0A99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3F455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6BCAB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113F61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2EB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647291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AB520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智慧服务主题课程学习套装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9E4B2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简介：以城市活动为主线，学生以志愿者的角色，在医院、社区、学校展开了一系列人工智能体验与实践活动，体验AI技术，并将所学知识应用于解决问题的过程中，有效地提高学生问题解决能力和实践创新能力。套件聚焦人工智能“语音识别、图像识别”相关技术体验与应用，结合人工智能与大数据的相关内容，利用图形化编程软件与硬件平台学习并创作。技术参数：1、micro:bit主控板：32位ARMCortexM0芯片，板载集成：5x5LED点阵屏，A、B案按键，蜂鸣器，麦克风，加速度计，电子罗盘，温度计，蓝牙灯电子模块；2、扩展板：供电电压：5V，多功能扩展板，丰富的扩展卡接口；3、输入模块：MP3模块、语音识别模块、人工智能摄像头等；4、输出模块：LED-黄、舵机等；5、配件：USB线，传感器连接线，垃圾桶带盖、尼龙铆钉，和积木结构件不少于260个；6、可支持编程软件：makecode、Mixly、mind+等图形化编程软件；支持系统：Windows，macOS等平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8E586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93FAA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2FC67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320D6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A56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1CC069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A65F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《智慧服务主题课程》学习手册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F47F44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课程简介：课程聚焦人工智能“语音识别、图像识别”相关技术体验与应用，结合人工智能与大数据的相关内容，利用图形化编程软件与硬件平台学习并创作。聚焦人工智能技术体验与应用，结合图形化编程软件与硬件平台，通对人与人，人与自然，人与AI情感交互的探索过程，培养学生对生活的热爱、对人文情怀的关注，成为有温度的人。以城市活动为主线，学生以志愿者的角色，在医院、社区、学校展开了一系列人工智能体验与实践活动，体验AI技术，并将所学知识应用于解决问题的过程中，有效地提高学生问题解决能力和实践创新能力。</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9FEC0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07FD3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3C8A2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44616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6D5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4BFE8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B1D62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智慧服务主题课程学习资源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3D3BA1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少于16课时的教学课件、教学设计、学生用书、参考程序、搭建视频等第一单元智慧家庭-AI助老1、语音呼救；2、AI视觉；3、颜色我知道；4、AI识药第二单元智慧医院-AI医疗5、医院守卫；6、请佩戴口罩；7、医生在哪里；8、你怎么不排队？9、取药黑科技；10、特殊的“陪伴”第三单元智慧城市-垃圾分类11、环境保护人人有责；12、聪明的AI；13、我用妙招来分类；14、垃圾清运；15、环保宣传员（一）；16、环保宣传员（二）；</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9E2BE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42E3B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C8E5E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88D0F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B9E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327" w:type="dxa"/>
            <w:gridSpan w:val="5"/>
            <w:tcBorders>
              <w:top w:val="single" w:color="000000" w:sz="4" w:space="0"/>
              <w:left w:val="single" w:color="000000" w:sz="4" w:space="0"/>
              <w:bottom w:val="single" w:color="000000" w:sz="4" w:space="0"/>
              <w:right w:val="single" w:color="000000" w:sz="4" w:space="0"/>
            </w:tcBorders>
            <w:noWrap w:val="0"/>
            <w:vAlign w:val="center"/>
          </w:tcPr>
          <w:p w14:paraId="02EDA1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（九）服务与平台部分</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C718DA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11005B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3682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BD0233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21C8E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教师成长平台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361166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教师成长平台，围绕人工智能系列课程，以先进的人工智能技术为支撑，以领先的思维型教学为途径，旨在锤炼人工智能教师队伍，让教师成长为有温度的赋能者，让学生在智能时代熠熠生辉。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1、系统采用云端的方式进行部署，方便进行维护和更新。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2、系统基于B/S架构，用户通过浏览器即可访问，无需下载或安装单独的客户端软件。系统支持IE、GoogleChrome、Firefox等主流浏览器访问；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3、系统支持不同类型的课程资源的在线预览，包括doc、xls、ppt、pdf等文档类资源png、jpg等图片类资源，rmv、mp4等视频类资源，并且无需单独安装插件，即可在线访问所有资源；</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1）平台课程中心包含专业学习模块、课堂教学模块、学生课程模块。（2）专业学习模块：提供人工智能、创客教育专业课程体系，从0到1让老师和学生快速了解人工智能。在专业学习模块，免费提供不少于28课时的教师在线课程，包含且不限于以下几大模块：机械设计课程、物联网课程、开源硬件课程、初识人工智能课程、简单机械课程、Python编程课程、人工智能通识课程、人工智能时代的核心思维和图形化编程课程。5、课堂教学模块：深度解读人工智能课程构建与教学的原理，直接呈现多种课型的教学过程，互动研讨教学案例，生成教学智慧与机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6、平台支持教师将自研的课程资源上传至平台，在线课程学习，在线交流互动；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7、提供优质丰富持续更新的创新课程；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8、提供创客主题社区讨论，为学生提供更多新鲜想法，扩展视野，分享经验，通过交流探讨获激发更多的创造力；</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9、能实时分享教育最新资讯。</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D8A20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3E478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1B927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A7E70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50F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9564CF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305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2C391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创客教育云平台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0F33B0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采用云端的方式进行部署，方便进行维护和更新。2、系统基于B/S架构，用户通过浏览器即可访问，无需下载或安装单独的客户端软件。系统支持IE、GoogleChrome、Firefox等主流浏览器访问；3、系统支持不同类型的课程资源的在线预览，包括doc、xls、ppt、pdf等文档类资源png、jpg等图片类资源，rmv、mp4等视频类资源，并且无需单独安装插件，即可在线访问所有资源；4、教师端：1）数据统计当前班级数、学生数、上课数、作品数；2）了解学生基本信息，支持添加班级所有作品视频及评分、查看学生课后知识点测评情况；3）平台支持以班级为维度记录学生每课时作品情况、测评情况、课程表现并汇总；4）平台支持教师管理班级学生，新增/编辑/删除等操作；5）平台支持教师线上批改学生作业，可从编程技术、创意表达、计算思维、艺术审美、创新思维多维度评测；5、学生端：1）平台可全面覆盖查询自己的学习课程，提交自己的作品，回顾学习还支持再编辑；2）平台支持知晓当前课程学习进度，方便学生进入快速学习；3）平台支持课后测评题温习回顾，易错题纠正练习学报报告多维度统计查询；4）平台支持同一页面进行视频，教案，讲义文档学习；5）平台支持随堂测评；6）平台支持学生自己作品创作视频永久保存，随时复习时可查看；6、家长端：1）支持获取学生学情报告，协助家长合理规划学生学习，快速掌握学生学习情况；7、管理端：1）支持管理员上传新课程资源；2）支持管理员设置题库；3）支持管理员查看各班级学情报告8、课程资源模块1）为适应中小学STEAM/创客教育/人工智能教育，使学生操作更加简便方便教师应用，课程资源系统以模块化内容展示，首页即可对所有主题课程进行预览；2）课程资源包含人工智能、编程、机器人、竞赛、3D打印等主题课程，3）课程资源包含教学设计、教学PPT、学生用书、作品视频、搭建图、参考程序等；4）课程资源以思维型教学理论为支撑进行开发，教学设计包含：教学内容分析，核心问题分解体系，教学目标，教学资源与准备和教学流程与提示5个环节；</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A740B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03C5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A801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E7974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4A3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97849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481" w:type="dxa"/>
            <w:gridSpan w:val="2"/>
            <w:tcBorders>
              <w:top w:val="single" w:color="000000" w:sz="4" w:space="0"/>
              <w:left w:val="single" w:color="000000" w:sz="4" w:space="0"/>
              <w:bottom w:val="single" w:color="000000" w:sz="4" w:space="0"/>
              <w:right w:val="single" w:color="000000" w:sz="4" w:space="0"/>
            </w:tcBorders>
            <w:noWrap w:val="0"/>
            <w:vAlign w:val="center"/>
          </w:tcPr>
          <w:p w14:paraId="783A8E84">
            <w:pPr>
              <w:keepNext w:val="0"/>
              <w:keepLines w:val="0"/>
              <w:widowControl/>
              <w:suppressLineNumbers w:val="0"/>
              <w:jc w:val="left"/>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50D1763">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094D83">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0D5FA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7269B2A">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p>
        </w:tc>
      </w:tr>
      <w:tr w14:paraId="511A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A64014A">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2292599">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西庄小学总计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30643F">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398ABB">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87D85C">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02666A">
            <w:pPr>
              <w:jc w:val="center"/>
              <w:rPr>
                <w:rFonts w:hint="default" w:ascii="微软雅黑" w:hAnsi="微软雅黑" w:eastAsia="微软雅黑" w:cs="微软雅黑"/>
                <w:b/>
                <w:bCs/>
                <w:i w:val="0"/>
                <w:iCs w:val="0"/>
                <w:color w:val="000000"/>
                <w:kern w:val="0"/>
                <w:sz w:val="22"/>
                <w:szCs w:val="22"/>
                <w:u w:val="none"/>
                <w:lang w:val="en-US" w:eastAsia="zh-CN" w:bidi="ar"/>
              </w:rPr>
            </w:pPr>
          </w:p>
        </w:tc>
      </w:tr>
      <w:tr w14:paraId="59C4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E31B4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07B44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1D49FA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柳林学校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E5DB93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188F4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89D8E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6D7A5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DD8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16DDF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898D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9189061">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柳林学校图书设备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E57ED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87161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D3D75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0A6D7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221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547DDA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83038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数字图书馆软件平台</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1EF17E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1.图书阅读：下载图书图书内容放大、缩小、图书中插图截取，用户可对喜欢的图书进行推荐、收藏、下载。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2.图书信息检索：模糊检索：系统可以根据书名，作者检索出系统自带的图书资源，同时平台支持高级检索，可输入书名、作者、出版社等信息进行检索查询。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3.选择相应的标签跳转到对应的目录页。查看图书的书评并可以添加书评。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4.平台系统对合法IP范围不限IP、注册用户数、并发数和在线浏览数。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平台图书按照中图法进行二级学科分类，系统平台具有图书列表、个人书房、高级搜索、读书活动、个人收藏、阅读排行榜，按照日、周、月各个排行，图书推荐，图书收藏排行榜、访问人次、资源总量等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6.分类：可以显示中图法22大分类和全部图书分类。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7.个人书房：显示读者登录的用户名及个人信息，可以将自己喜欢的图书添加到个人书房，显示个人浏览图书足迹、个人阅读量、收藏量、下载量等。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读书活动：分为三部分，最新活动、最热活动和经典活动。每部分活动可自定义添加图片、标题，同时显示活动时间、活动类型、主办单位、活动内容等信息，系统可以统计活动书单，提交作品数量以及参与人数，并且活动主题可自动切换，最新作品和优秀作品可在活动主题下方进行相应的体现展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9.新书通报：显示最新的上传的图书，可以推荐到首页。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10.统计功能：平台可自动统计图书的阅读量、收藏量和下载量，同时平台可自动统计访问平台人数总量。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11.热门图书：根据读者搜索阅读图书的热门程度，图书会显示到首页。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12.图书推荐排行榜：好书推荐阅读越多，可在首页展示，置顶供大家快速分享查阅。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13.图书阅读排行榜：图书阅读的次数越多，越靠前显示。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14.阅读方式：系统在展示平台界面必须针对电子资源(现代文图书)都有二维码扫码功能，且扫码后，可将资源下载到任意载体，且下载后无地域与时效性限制。阅读过程中，可以随时收藏图书。</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15.现代图书采用中图法分类、现代文平台同时支持客户自定义分类</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16.后台管理包含系统管理、会员管理、图片管理、资源上传、图书管理、访问管理、活动管理、必读书目、阅读统计等模块功能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17.系统管理包含用户管理、角色管理、菜单管理、推荐类型、图书分类、图书评论、logo设置。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7CEC0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2B8B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47093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F50FE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72C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1DCE06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5C8A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墨水屏阅读器</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CDF179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1.尺寸：≥232.5*191*7.7；</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2.重量：≥470G±5%；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3.屏幕：纯平；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4.显示屏：≥10.3寸；</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5.分辨率：≥1872*1404；</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6.CPU：类似或同类型≥B300四核1.8GHZ；</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7.内存：≥32G；</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8.按键：开关键；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9.麦克风阵列：支持；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10.无线连接方式：WIFI+蓝牙；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11.前光：冷暖双色前光；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12.扬声器：支持；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13.电池：锂聚合物；</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14.操作系统：安卓≥8.1操作系统。</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38B9C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5CAA5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11C6C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653FC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7FC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3F2FFE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92CF2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墨水屏充电车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6ABA9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整机支持≥60台设备同时充电；</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1、柜体工位可放置最大设备尺寸≤355*210*25（mm）；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2、主体材质1.0-3.0（mm）SPCC冷轧碳素钢与环保ABS工程塑料相结合;采用全封闭防盗结构、工艺上耐酸碱腐蚀、耐磨、防静电等。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3、整体外型三方整体大圆弧过度，外观颜色采用黑白相间的经典配置，美观大气，安全稳固。</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采用分舱设计，前部为老师、学生使用区域，左侧为设备调试维护区域。使用不同防盗锁（其中前门为双重防盗天地锁），注重前仓设备的安全保护。内部分舱，强弱电分离，学生无法接触强电部分。（前舱为平板放置充电区域，学生接触区域，无强电；左侧为电源管理控制区域，由专业管理人员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5、高品质超静音脚轮（四轮万向，两轮带刹车）和人体工学把手。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6、柜体侧面带有隐藏式置物槽，可存放电源线，无线AP等。</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7、独创专利智能互循环散热结构，辅以温控感应控制风扇强制散热。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8、环保ABS工程塑料单机隔断。</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供电安全方面采用独有的USB接口前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10、LED指示灯对应柜内相应位置的设备，集中显示，实时反映每台平板充电状态。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11、配有一体化电源管理系统，集防漏电，防短路，防过载，多模式显示数码智能开关机功能为一体。可随心设置时间，节约能源，具有优先供电功能。使用（自动）时，系统默认为全天充电。</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99B77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043C6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A97C4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0FA6B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D38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6C6AB22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309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7B04A5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四人阅览桌</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0FAACE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规格：≥1600*900*750mm1.颜色：木纹色面漆（E0级实木颗粒板）</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2.基材：≥25mm厚免漆颗粒板，经国家绿色环保认证E1级标准。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3.桌腿采用≥2mm壁厚烤漆锥形管材，防滑特调节底脚。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6219B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张</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4F8C3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D83FA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0101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FDD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0787573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E0D4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牛角阅览椅</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712900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钢制加厚管壁≥1.2mm金属木纹框架，优质皮革坐垫加厚海绵，防水耐污耐磨，透气性好，优质椅脚表面纹理细腻硬度高、稳固稳定性强，增加椅子整体的稳固性及承重性。优质防滑静音脚垫，有效保护地板。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F0EAF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把</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14C3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93145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1A6C49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28E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1181104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A237A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系统集成</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313BB5F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无线网增强，满足教室内所有墨水瓶设备使用。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0826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78B8D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E2EB1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626AB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591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22D0A8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6A127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文化展板</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B25785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定制，规格：UV高清印刷，印刷介绍书法相关知识，集教学、观赏为一体。</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40210B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EB2B1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2CBCED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A58A9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EAF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AB567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313</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83904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图书管理系统软件</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E7B0BC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管理平台由流通、期刊、读者、采访、编目、报表、高级检索、工具、系统管理、虚拟书架、课程书目管理等各种模块组成，能满足大、中小型等各类型图书馆业务需求，是集成图书馆的所有业务流程的图书馆2.0智能化系统。支持总分馆、支持图书馆集群管理。</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EE0D2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33455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1958AF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2FD22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5DD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3131002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314</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0D0EB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扫描枪</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01208B8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规格参数：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图像传感器：≥640*480CMOS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可解码制：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一维：Airline2of5、Codaba、CodablockA、Code128、Code11、Code32、Code39、Code93、EAN/UPC、EAN-8、EAN-8转成EAN-13、EAN-13、FullSACIICode39、GS1DataBarExpanded、GS1DataBarLimited、GS1DataBarOmnidirectional、HongKong2of5（Chinapost）、Interleaved2of5、RSS-14、RSS-LIMITED、RSS-EXPANDED、Straight2of5Industrial、Telepen、TriopticCode、UPC-A、UPC-E、UPCE、CodablockF、Pharmacode、MSI、Matrix2of5</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二维：Composite、DataMatrixCode、HANXIN、Maxicode、MicroPDF417、MicroQRcode、PDF417、QRCode、AztecCode、DOT_CODE；</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扫描范围3-33CM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系统兼容性：Linux，Android，WindowsXP、7、8、10，MacOS</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扫描模式：手动按键扫描,自动感应扫描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可扫条码类型：纸类、薄膜类一维二维条码；手机、平板等屏幕一维二维条码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条码输出编辑：支持增加前后缀</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识别角度范围：转角±360°，仰角±60°，偏角±70°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防摔性：可承受2米自由落体跌落5次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防水防尘：符合IP54标准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通讯接口：USB口（免驱）、USB虚拟串口（安装驱动）</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0B57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CF0E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71CD7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73C4B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BE4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5C47476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315</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3BA2A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图书借阅证</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5C3C119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通过加厚PVC封装；</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高质量印刷，加厚耐磨层；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读者证大小、规格须符合相关智能卡国际标准；</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芯片有效使用寿命：≥10年；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封面设计，可根据用户需求定制，出≥2个设计版面供用户选择。</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14443A协议</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3A4E90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80C35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2F5F37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DE96C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B83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6997B7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316</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1ED18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图书专用条码</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D13A0D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专用条码打印机制作,防水条码，条形码制作采用中国图书馆图书专用条码行业标准,12位编码，包括学校名称、地区号、学校号和顺序号，材质为进口胶纸,每枚尺寸：≥50mm*21mm</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E9FFB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枚</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C77AA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16000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2234C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A43E9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6A3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4A5B7E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317</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F3F6A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专用图书书标</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6B1E587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计算机读书标，材质为进口胶纸，能够激光输出，每页32枚，大红书标，每枚尺寸：≥40mm*30mm。</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05F7B7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枚</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CB616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16000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F5DAB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04690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3F5E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1D2768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318</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1D6E9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图书专用书标护膜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6330EF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进口胶纸，加厚强粘，防水防油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每枚尺寸：≥50mm*45mm</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62A1C0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枚</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1E334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16000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FD14D1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85F66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B4B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D30472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319</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D7987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图书整理上架</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080304B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将图书信息录入到图书管理软件内，包含贴条形码、书标、书标保护膜等，对图书进行整理分类上架</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1374E7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册</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4F34C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16000</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584C33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24E45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7244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2A2684D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320</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C86BE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多媒体电子目录柜</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2DE5C1C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含专用查询软件及图书馆OPAC系统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读者可通过电子目录柜检索馆内藏书，查询个人资料，可在线办理续借、预约、修改密码等。</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50C0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156D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01314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41F45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6EB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A7B413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321</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F6CC8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馆员工作站一体机</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1FE1525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馆员工作站一体机是一种新型的智能化设备，配备触摸显示屏或简单操作的人机交流界面、图形界面，通过协议或其他网络及专用接口与图书馆自动化系统数据相连接，馆方工作人员对图书进行标签加工时，使用设备对粘贴在图书上的RFID电子标签进行加工，通过条码扫描器扫描图书上的条形码，同时识别图书上的电子标签，对电子标签和图书条码进行标签初始化操作。图书加工完成后上架，读者可以通过自助借还设备对图书进行自助借还流通操作。</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B8EC7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A03F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FA526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2499B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A2B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noWrap/>
            <w:vAlign w:val="center"/>
          </w:tcPr>
          <w:p w14:paraId="7CC9D44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322</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7B5F9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移动升降还书车</w:t>
            </w:r>
          </w:p>
        </w:tc>
        <w:tc>
          <w:tcPr>
            <w:tcW w:w="5574" w:type="dxa"/>
            <w:tcBorders>
              <w:top w:val="single" w:color="000000" w:sz="4" w:space="0"/>
              <w:left w:val="single" w:color="000000" w:sz="4" w:space="0"/>
              <w:bottom w:val="single" w:color="000000" w:sz="4" w:space="0"/>
              <w:right w:val="single" w:color="000000" w:sz="4" w:space="0"/>
            </w:tcBorders>
            <w:noWrap w:val="0"/>
            <w:vAlign w:val="center"/>
          </w:tcPr>
          <w:p w14:paraId="765BABA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可升降式移动还书箱外观设计简洁,容量达200册图书。产品采用自动升降结构,运行稳定顺畅可靠,尽可能减少工作人员搬运、上架图书的劳动强度。书箱框架采用优质的40型电泳铝型材制作,既可以有效减低书籍升降过程中跟边缘的摩擦，避免书籍的破损,又延长了产品的使用寿命。书箱底部采四个万向超静音耐磨轮,运行时超低噪音,适合图书馆宁静的阅读环境。</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15E7C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B09C7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ADC52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5AAF4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938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F60C">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44805">
            <w:pPr>
              <w:jc w:val="left"/>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17C95">
            <w:pPr>
              <w:jc w:val="center"/>
              <w:rPr>
                <w:rFonts w:hint="default" w:ascii="微软雅黑" w:hAnsi="微软雅黑" w:eastAsia="微软雅黑" w:cs="微软雅黑"/>
                <w:b/>
                <w:bCs/>
                <w:i w:val="0"/>
                <w:iCs w:val="0"/>
                <w:color w:val="000000"/>
                <w:kern w:val="0"/>
                <w:sz w:val="22"/>
                <w:szCs w:val="22"/>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D39E">
            <w:pPr>
              <w:jc w:val="center"/>
              <w:rPr>
                <w:rFonts w:hint="default" w:ascii="微软雅黑" w:hAnsi="微软雅黑" w:eastAsia="微软雅黑" w:cs="微软雅黑"/>
                <w:b/>
                <w:bCs/>
                <w:i w:val="0"/>
                <w:iCs w:val="0"/>
                <w:color w:val="000000"/>
                <w:kern w:val="0"/>
                <w:sz w:val="22"/>
                <w:szCs w:val="22"/>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6AE5">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4B14B">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7AE0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12509B">
            <w:pPr>
              <w:jc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9F65F57">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柳林学校总计</w:t>
            </w:r>
          </w:p>
        </w:tc>
        <w:tc>
          <w:tcPr>
            <w:tcW w:w="550"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CC3AEAC">
            <w:pPr>
              <w:jc w:val="center"/>
              <w:rPr>
                <w:rFonts w:hint="eastAsia" w:ascii="微软雅黑" w:hAnsi="微软雅黑" w:eastAsia="微软雅黑" w:cs="微软雅黑"/>
                <w:b/>
                <w:bCs/>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A834901">
            <w:pPr>
              <w:jc w:val="center"/>
              <w:rPr>
                <w:rFonts w:hint="eastAsia" w:ascii="微软雅黑" w:hAnsi="微软雅黑" w:eastAsia="微软雅黑" w:cs="微软雅黑"/>
                <w:b/>
                <w:bCs/>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41095B5">
            <w:pPr>
              <w:jc w:val="center"/>
              <w:rPr>
                <w:rFonts w:hint="eastAsia" w:ascii="微软雅黑" w:hAnsi="微软雅黑" w:eastAsia="微软雅黑" w:cs="微软雅黑"/>
                <w:b/>
                <w:bCs/>
                <w:i w:val="0"/>
                <w:iCs w:val="0"/>
                <w:color w:val="000000"/>
                <w:kern w:val="0"/>
                <w:sz w:val="22"/>
                <w:szCs w:val="22"/>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5385568">
            <w:pPr>
              <w:jc w:val="center"/>
              <w:rPr>
                <w:rFonts w:hint="eastAsia" w:ascii="微软雅黑" w:hAnsi="微软雅黑" w:eastAsia="微软雅黑" w:cs="微软雅黑"/>
                <w:b/>
                <w:bCs/>
                <w:i w:val="0"/>
                <w:iCs w:val="0"/>
                <w:color w:val="000000"/>
                <w:kern w:val="0"/>
                <w:sz w:val="22"/>
                <w:szCs w:val="22"/>
                <w:u w:val="none"/>
                <w:lang w:val="en-US" w:eastAsia="zh-CN" w:bidi="ar"/>
              </w:rPr>
            </w:pPr>
          </w:p>
        </w:tc>
      </w:tr>
      <w:tr w14:paraId="750A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2"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8D4445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p>
        </w:tc>
        <w:tc>
          <w:tcPr>
            <w:tcW w:w="6481" w:type="dxa"/>
            <w:gridSpan w:val="2"/>
            <w:tcBorders>
              <w:top w:val="single" w:color="000000" w:sz="4" w:space="0"/>
              <w:left w:val="single" w:color="000000" w:sz="4" w:space="0"/>
              <w:bottom w:val="single" w:color="000000" w:sz="4" w:space="0"/>
              <w:right w:val="single" w:color="000000" w:sz="4" w:space="0"/>
            </w:tcBorders>
            <w:shd w:val="clear" w:color="auto" w:fill="00B0F0"/>
            <w:noWrap w:val="0"/>
            <w:vAlign w:val="center"/>
          </w:tcPr>
          <w:p w14:paraId="377595A4">
            <w:pPr>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总计</w:t>
            </w:r>
          </w:p>
        </w:tc>
        <w:tc>
          <w:tcPr>
            <w:tcW w:w="55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905291E">
            <w:pPr>
              <w:jc w:val="center"/>
              <w:rPr>
                <w:rFonts w:hint="default" w:ascii="微软雅黑" w:hAnsi="微软雅黑" w:eastAsia="微软雅黑" w:cs="微软雅黑"/>
                <w:i w:val="0"/>
                <w:iCs w:val="0"/>
                <w:color w:val="000000"/>
                <w:sz w:val="22"/>
                <w:szCs w:val="22"/>
                <w:u w:val="none"/>
                <w:lang w:val="en-US"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65C3BA7">
            <w:pPr>
              <w:jc w:val="center"/>
              <w:rPr>
                <w:rFonts w:hint="default" w:ascii="微软雅黑" w:hAnsi="微软雅黑" w:eastAsia="微软雅黑" w:cs="微软雅黑"/>
                <w:i w:val="0"/>
                <w:iCs w:val="0"/>
                <w:color w:val="000000"/>
                <w:sz w:val="22"/>
                <w:szCs w:val="22"/>
                <w:u w:val="none"/>
                <w:lang w:val="en-US" w:eastAsia="zh-CN"/>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0A0C3DD">
            <w:pPr>
              <w:jc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4501169元</w:t>
            </w:r>
          </w:p>
        </w:tc>
      </w:tr>
    </w:tbl>
    <w:p w14:paraId="0CEF454D">
      <w:pPr>
        <w:widowControl/>
        <w:spacing w:line="360" w:lineRule="auto"/>
        <w:jc w:val="left"/>
        <w:rPr>
          <w:rFonts w:ascii="仿宋" w:hAnsi="仿宋" w:eastAsia="仿宋" w:cs="宋体"/>
          <w:b/>
          <w:kern w:val="0"/>
          <w:sz w:val="24"/>
          <w:szCs w:val="24"/>
          <w:highlight w:val="yellow"/>
        </w:rPr>
      </w:pPr>
      <w:r>
        <w:rPr>
          <w:rFonts w:ascii="仿宋" w:hAnsi="仿宋" w:eastAsia="仿宋" w:cs="宋体"/>
          <w:b/>
          <w:kern w:val="0"/>
          <w:sz w:val="24"/>
          <w:szCs w:val="24"/>
          <w:highlight w:val="yellow"/>
        </w:rPr>
        <w:t>注：</w:t>
      </w:r>
      <w:r>
        <w:rPr>
          <w:rFonts w:ascii="仿宋" w:hAnsi="仿宋" w:eastAsia="仿宋"/>
          <w:b/>
          <w:sz w:val="24"/>
          <w:szCs w:val="24"/>
          <w:highlight w:val="yellow"/>
        </w:rPr>
        <w:t>本项目为统采分签采购，供应商合同分签金额以每个学校使用资源核算，以下为统采分签采购人名单：</w:t>
      </w:r>
    </w:p>
    <w:p w14:paraId="5CCA31A1">
      <w:pPr>
        <w:pStyle w:val="18"/>
        <w:tabs>
          <w:tab w:val="left" w:pos="360"/>
        </w:tabs>
        <w:rPr>
          <w:rFonts w:hint="eastAsia"/>
          <w:b/>
          <w:sz w:val="36"/>
          <w:szCs w:val="36"/>
        </w:rPr>
      </w:pPr>
      <w:r>
        <w:rPr>
          <w:rFonts w:hint="eastAsia"/>
          <w:b/>
          <w:sz w:val="36"/>
          <w:szCs w:val="36"/>
        </w:rPr>
        <w:t>荫城学校</w:t>
      </w:r>
    </w:p>
    <w:p w14:paraId="21F56101">
      <w:pPr>
        <w:pStyle w:val="18"/>
        <w:tabs>
          <w:tab w:val="left" w:pos="360"/>
        </w:tabs>
        <w:rPr>
          <w:rFonts w:hint="eastAsia"/>
          <w:b/>
          <w:sz w:val="36"/>
          <w:szCs w:val="36"/>
        </w:rPr>
      </w:pPr>
      <w:r>
        <w:rPr>
          <w:rFonts w:hint="eastAsia"/>
          <w:b/>
          <w:sz w:val="36"/>
          <w:szCs w:val="36"/>
        </w:rPr>
        <w:t>长治市上党区第三中学校</w:t>
      </w:r>
    </w:p>
    <w:p w14:paraId="0FBD1833">
      <w:pPr>
        <w:pStyle w:val="18"/>
        <w:tabs>
          <w:tab w:val="left" w:pos="360"/>
        </w:tabs>
        <w:rPr>
          <w:rFonts w:hint="eastAsia"/>
          <w:b/>
          <w:sz w:val="36"/>
          <w:szCs w:val="36"/>
        </w:rPr>
      </w:pPr>
      <w:r>
        <w:rPr>
          <w:rFonts w:hint="eastAsia"/>
          <w:b/>
          <w:sz w:val="36"/>
          <w:szCs w:val="36"/>
        </w:rPr>
        <w:t>上党区北呈初级中学</w:t>
      </w:r>
    </w:p>
    <w:p w14:paraId="373A0925">
      <w:pPr>
        <w:pStyle w:val="18"/>
        <w:tabs>
          <w:tab w:val="left" w:pos="360"/>
        </w:tabs>
        <w:rPr>
          <w:rFonts w:hint="eastAsia"/>
          <w:b/>
          <w:sz w:val="36"/>
          <w:szCs w:val="36"/>
        </w:rPr>
      </w:pPr>
      <w:r>
        <w:rPr>
          <w:rFonts w:hint="eastAsia"/>
          <w:b/>
          <w:sz w:val="36"/>
          <w:szCs w:val="36"/>
        </w:rPr>
        <w:t>光明小学</w:t>
      </w:r>
    </w:p>
    <w:p w14:paraId="014485D6">
      <w:pPr>
        <w:pStyle w:val="18"/>
        <w:tabs>
          <w:tab w:val="left" w:pos="360"/>
        </w:tabs>
        <w:rPr>
          <w:rFonts w:hint="eastAsia"/>
          <w:b/>
          <w:sz w:val="36"/>
          <w:szCs w:val="36"/>
        </w:rPr>
      </w:pPr>
      <w:r>
        <w:rPr>
          <w:rFonts w:hint="eastAsia"/>
          <w:b/>
          <w:sz w:val="36"/>
          <w:szCs w:val="36"/>
        </w:rPr>
        <w:t>苏店学校</w:t>
      </w:r>
    </w:p>
    <w:p w14:paraId="6B60B9B1">
      <w:pPr>
        <w:pStyle w:val="18"/>
        <w:tabs>
          <w:tab w:val="left" w:pos="360"/>
        </w:tabs>
        <w:rPr>
          <w:rFonts w:hint="eastAsia"/>
          <w:b/>
          <w:sz w:val="36"/>
          <w:szCs w:val="36"/>
        </w:rPr>
      </w:pPr>
      <w:r>
        <w:rPr>
          <w:rFonts w:hint="eastAsia"/>
          <w:b/>
          <w:sz w:val="36"/>
          <w:szCs w:val="36"/>
        </w:rPr>
        <w:t>西庄小学</w:t>
      </w:r>
    </w:p>
    <w:p w14:paraId="7C8C0777">
      <w:pPr>
        <w:pStyle w:val="18"/>
        <w:tabs>
          <w:tab w:val="left" w:pos="360"/>
        </w:tabs>
        <w:rPr>
          <w:rFonts w:hint="eastAsia"/>
          <w:b/>
          <w:sz w:val="36"/>
          <w:szCs w:val="36"/>
        </w:rPr>
      </w:pPr>
      <w:r>
        <w:rPr>
          <w:rFonts w:hint="eastAsia"/>
          <w:b/>
          <w:sz w:val="36"/>
          <w:szCs w:val="36"/>
        </w:rPr>
        <w:t>柳林学校</w:t>
      </w:r>
    </w:p>
    <w:p w14:paraId="3C1CA67B">
      <w:pPr>
        <w:pStyle w:val="18"/>
        <w:tabs>
          <w:tab w:val="left" w:pos="360"/>
        </w:tabs>
        <w:rPr>
          <w:rFonts w:hint="eastAsia"/>
          <w:b/>
          <w:sz w:val="36"/>
          <w:szCs w:val="36"/>
        </w:rPr>
      </w:pPr>
      <w:r>
        <w:rPr>
          <w:rFonts w:hint="eastAsia"/>
          <w:b/>
          <w:sz w:val="36"/>
          <w:szCs w:val="36"/>
        </w:rPr>
        <w:t>长治市上党区第五中学校</w:t>
      </w:r>
    </w:p>
    <w:p w14:paraId="5B9070FF">
      <w:pPr>
        <w:pStyle w:val="18"/>
        <w:tabs>
          <w:tab w:val="left" w:pos="360"/>
        </w:tabs>
        <w:rPr>
          <w:rFonts w:hint="eastAsia"/>
          <w:b/>
          <w:sz w:val="36"/>
          <w:szCs w:val="36"/>
        </w:rPr>
      </w:pPr>
      <w:r>
        <w:rPr>
          <w:rFonts w:hint="eastAsia"/>
          <w:b/>
          <w:sz w:val="36"/>
          <w:szCs w:val="36"/>
        </w:rPr>
        <w:t>长治市上党区北呈中心小学</w:t>
      </w:r>
    </w:p>
    <w:p w14:paraId="7847BC35">
      <w:pPr>
        <w:pStyle w:val="18"/>
        <w:tabs>
          <w:tab w:val="left" w:pos="360"/>
        </w:tabs>
        <w:rPr>
          <w:rFonts w:hint="eastAsia"/>
          <w:b/>
          <w:sz w:val="36"/>
          <w:szCs w:val="36"/>
        </w:rPr>
      </w:pPr>
      <w:r>
        <w:rPr>
          <w:rFonts w:hint="eastAsia"/>
          <w:b/>
          <w:sz w:val="36"/>
          <w:szCs w:val="36"/>
        </w:rPr>
        <w:t>长治市上党区高河小学</w:t>
      </w:r>
    </w:p>
    <w:p w14:paraId="46D8999A">
      <w:pPr>
        <w:pStyle w:val="18"/>
        <w:tabs>
          <w:tab w:val="left" w:pos="360"/>
        </w:tabs>
        <w:rPr>
          <w:rFonts w:hint="eastAsia"/>
          <w:b/>
          <w:sz w:val="36"/>
          <w:szCs w:val="36"/>
        </w:rPr>
      </w:pPr>
      <w:r>
        <w:rPr>
          <w:rFonts w:hint="eastAsia"/>
          <w:b/>
          <w:sz w:val="36"/>
          <w:szCs w:val="36"/>
        </w:rPr>
        <w:t>长治市上党区振兴学校学校</w:t>
      </w:r>
    </w:p>
    <w:p w14:paraId="0E6D09AB">
      <w:pPr>
        <w:pStyle w:val="18"/>
        <w:tabs>
          <w:tab w:val="left" w:pos="360"/>
        </w:tabs>
        <w:rPr>
          <w:rFonts w:hint="eastAsia"/>
          <w:b/>
          <w:sz w:val="36"/>
          <w:szCs w:val="36"/>
        </w:rPr>
      </w:pPr>
      <w:r>
        <w:rPr>
          <w:rFonts w:hint="eastAsia"/>
          <w:b/>
          <w:sz w:val="36"/>
          <w:szCs w:val="36"/>
        </w:rPr>
        <w:t>长治市上党区八义中心小学</w:t>
      </w:r>
    </w:p>
    <w:p w14:paraId="170B7B76">
      <w:pPr>
        <w:pStyle w:val="18"/>
        <w:tabs>
          <w:tab w:val="left" w:pos="360"/>
        </w:tabs>
        <w:rPr>
          <w:rFonts w:hint="eastAsia"/>
          <w:b/>
          <w:sz w:val="36"/>
          <w:szCs w:val="36"/>
        </w:rPr>
      </w:pPr>
      <w:r>
        <w:rPr>
          <w:rFonts w:hint="eastAsia"/>
          <w:b/>
          <w:sz w:val="36"/>
          <w:szCs w:val="36"/>
        </w:rPr>
        <w:t>长治市上党区南董小学</w:t>
      </w:r>
    </w:p>
    <w:p w14:paraId="3C25293F">
      <w:pPr>
        <w:pStyle w:val="18"/>
        <w:tabs>
          <w:tab w:val="left" w:pos="360"/>
        </w:tabs>
        <w:rPr>
          <w:rFonts w:hint="eastAsia"/>
          <w:b/>
          <w:sz w:val="36"/>
          <w:szCs w:val="36"/>
        </w:rPr>
      </w:pPr>
      <w:r>
        <w:rPr>
          <w:rFonts w:hint="eastAsia"/>
          <w:b/>
          <w:sz w:val="36"/>
          <w:szCs w:val="36"/>
        </w:rPr>
        <w:t>长治市上党区西火中心小学</w:t>
      </w:r>
    </w:p>
    <w:p w14:paraId="210ED1B7">
      <w:pPr>
        <w:pStyle w:val="18"/>
        <w:tabs>
          <w:tab w:val="left" w:pos="360"/>
        </w:tabs>
        <w:rPr>
          <w:rFonts w:hint="eastAsia"/>
          <w:b/>
          <w:sz w:val="36"/>
          <w:szCs w:val="36"/>
        </w:rPr>
      </w:pPr>
      <w:r>
        <w:rPr>
          <w:rFonts w:hint="eastAsia"/>
          <w:b/>
          <w:sz w:val="36"/>
          <w:szCs w:val="36"/>
        </w:rPr>
        <w:t>长治市上党区司马小学</w:t>
      </w:r>
    </w:p>
    <w:p w14:paraId="570B9B08">
      <w:pPr>
        <w:pStyle w:val="18"/>
        <w:tabs>
          <w:tab w:val="left" w:pos="360"/>
        </w:tabs>
        <w:rPr>
          <w:b/>
          <w:sz w:val="36"/>
          <w:szCs w:val="36"/>
        </w:rPr>
      </w:pPr>
      <w:r>
        <w:rPr>
          <w:rFonts w:hint="eastAsia"/>
          <w:b/>
          <w:sz w:val="36"/>
          <w:szCs w:val="36"/>
        </w:rPr>
        <w:t>长治市上党区郝家庄中心小学</w:t>
      </w:r>
    </w:p>
    <w:p w14:paraId="27956205">
      <w:pPr>
        <w:rPr>
          <w:sz w:val="28"/>
          <w:szCs w:val="28"/>
        </w:rPr>
      </w:pPr>
    </w:p>
    <w:p w14:paraId="41701811">
      <w:pPr>
        <w:spacing w:line="560" w:lineRule="exact"/>
        <w:ind w:firstLine="640" w:firstLineChars="200"/>
        <w:jc w:val="left"/>
        <w:rPr>
          <w:rFonts w:ascii="仿宋" w:hAnsi="仿宋" w:eastAsia="仿宋"/>
          <w:sz w:val="32"/>
          <w:szCs w:val="32"/>
        </w:rPr>
        <w:sectPr>
          <w:pgSz w:w="11906" w:h="16838"/>
          <w:pgMar w:top="1134" w:right="1361" w:bottom="1021" w:left="1531" w:header="851" w:footer="992" w:gutter="0"/>
          <w:pgNumType w:fmt="decimal"/>
          <w:cols w:space="425" w:num="1"/>
          <w:docGrid w:type="linesAndChars" w:linePitch="312" w:charSpace="0"/>
        </w:sectPr>
      </w:pPr>
      <w:r>
        <w:rPr>
          <w:rFonts w:hint="eastAsia" w:ascii="仿宋" w:hAnsi="仿宋" w:eastAsia="仿宋"/>
          <w:sz w:val="32"/>
          <w:szCs w:val="32"/>
        </w:rPr>
        <w:t>注：属于政府采购强制节能环保产品目录的须提供节能证书或官网（http://cx.cnca.cn/）查询截图。未提供者由评标委会认定投标文件是否有效。</w:t>
      </w:r>
    </w:p>
    <w:p w14:paraId="365FC923"/>
    <w:p w14:paraId="2FB69146">
      <w:pPr>
        <w:pStyle w:val="48"/>
        <w:widowControl/>
        <w:numPr>
          <w:ilvl w:val="0"/>
          <w:numId w:val="5"/>
        </w:numPr>
        <w:spacing w:line="460" w:lineRule="exact"/>
        <w:ind w:firstLineChars="0"/>
        <w:jc w:val="left"/>
        <w:rPr>
          <w:rFonts w:ascii="宋体" w:hAnsi="宋体"/>
          <w:b/>
          <w:szCs w:val="21"/>
        </w:rPr>
      </w:pPr>
      <w:r>
        <w:rPr>
          <w:rFonts w:hint="eastAsia" w:ascii="宋体" w:hAnsi="宋体"/>
          <w:b/>
          <w:szCs w:val="21"/>
        </w:rPr>
        <w:t>项目概况</w:t>
      </w:r>
    </w:p>
    <w:p w14:paraId="6A8D360C">
      <w:pPr>
        <w:widowControl/>
        <w:spacing w:line="460" w:lineRule="exact"/>
        <w:ind w:firstLine="420" w:firstLineChars="200"/>
        <w:jc w:val="left"/>
        <w:rPr>
          <w:rFonts w:hint="eastAsia" w:ascii="宋体" w:hAnsi="宋体"/>
          <w:szCs w:val="21"/>
          <w:lang w:eastAsia="zh-CN"/>
        </w:rPr>
      </w:pPr>
      <w:r>
        <w:rPr>
          <w:rFonts w:hint="eastAsia" w:ascii="宋体" w:hAnsi="宋体"/>
          <w:szCs w:val="21"/>
          <w:lang w:eastAsia="zh-CN"/>
        </w:rPr>
        <w:t>项目名称：上党区2023年义务教育薄弱环节改善与能力提升设备购置项目</w:t>
      </w:r>
    </w:p>
    <w:p w14:paraId="41F9EAD9">
      <w:pPr>
        <w:widowControl/>
        <w:spacing w:line="460" w:lineRule="exact"/>
        <w:ind w:firstLine="420" w:firstLineChars="200"/>
        <w:jc w:val="left"/>
        <w:rPr>
          <w:rFonts w:hint="eastAsia" w:ascii="宋体" w:hAnsi="宋体"/>
          <w:szCs w:val="21"/>
          <w:lang w:val="en-US" w:eastAsia="zh-CN"/>
        </w:rPr>
      </w:pPr>
      <w:r>
        <w:rPr>
          <w:rFonts w:hint="eastAsia" w:ascii="宋体" w:hAnsi="宋体"/>
          <w:szCs w:val="21"/>
          <w:lang w:eastAsia="zh-CN"/>
        </w:rPr>
        <w:t>采购包</w:t>
      </w:r>
      <w:r>
        <w:rPr>
          <w:rFonts w:hint="eastAsia" w:ascii="宋体" w:hAnsi="宋体"/>
          <w:szCs w:val="21"/>
          <w:lang w:val="en-US" w:eastAsia="zh-CN"/>
        </w:rPr>
        <w:t xml:space="preserve">2 </w:t>
      </w:r>
    </w:p>
    <w:p w14:paraId="0D5CAF8D">
      <w:pPr>
        <w:widowControl/>
        <w:spacing w:line="460" w:lineRule="exact"/>
        <w:ind w:firstLine="420" w:firstLineChars="200"/>
        <w:jc w:val="left"/>
        <w:rPr>
          <w:rFonts w:hint="default" w:ascii="宋体" w:hAnsi="宋体"/>
          <w:szCs w:val="21"/>
          <w:lang w:val="en-US" w:eastAsia="zh-CN"/>
        </w:rPr>
      </w:pPr>
      <w:r>
        <w:rPr>
          <w:rFonts w:hint="eastAsia" w:ascii="宋体" w:hAnsi="宋体"/>
          <w:szCs w:val="21"/>
          <w:lang w:val="en-US" w:eastAsia="zh-CN"/>
        </w:rPr>
        <w:t>预算金额：4501169元</w:t>
      </w:r>
    </w:p>
    <w:p w14:paraId="7361EE3E">
      <w:pPr>
        <w:widowControl/>
        <w:spacing w:line="460" w:lineRule="exact"/>
        <w:ind w:firstLine="420" w:firstLineChars="200"/>
        <w:jc w:val="left"/>
        <w:rPr>
          <w:rFonts w:ascii="宋体" w:hAnsi="宋体"/>
          <w:szCs w:val="21"/>
        </w:rPr>
      </w:pPr>
      <w:r>
        <w:rPr>
          <w:rFonts w:hint="eastAsia" w:ascii="宋体" w:hAnsi="宋体"/>
          <w:szCs w:val="21"/>
        </w:rPr>
        <w:t>二、</w:t>
      </w:r>
      <w:r>
        <w:rPr>
          <w:rFonts w:hint="eastAsia" w:ascii="宋体" w:hAnsi="宋体"/>
          <w:b/>
          <w:szCs w:val="21"/>
        </w:rPr>
        <w:t>商务要求</w:t>
      </w:r>
    </w:p>
    <w:p w14:paraId="6E61CFFE">
      <w:pPr>
        <w:widowControl/>
        <w:spacing w:line="460" w:lineRule="exact"/>
        <w:ind w:firstLine="420" w:firstLineChars="200"/>
        <w:jc w:val="left"/>
        <w:rPr>
          <w:rFonts w:ascii="宋体" w:hAnsi="宋体"/>
          <w:szCs w:val="21"/>
        </w:rPr>
      </w:pPr>
      <w:r>
        <w:rPr>
          <w:rFonts w:hint="eastAsia" w:ascii="宋体" w:hAnsi="宋体"/>
          <w:szCs w:val="21"/>
        </w:rPr>
        <w:t>（一）合同履行期限：合同签订后</w:t>
      </w:r>
      <w:r>
        <w:rPr>
          <w:rFonts w:hint="eastAsia" w:ascii="宋体" w:hAnsi="宋体"/>
          <w:szCs w:val="21"/>
          <w:lang w:val="en-US" w:eastAsia="zh-CN"/>
        </w:rPr>
        <w:t>60</w:t>
      </w:r>
      <w:r>
        <w:rPr>
          <w:rFonts w:hint="eastAsia" w:ascii="宋体" w:hAnsi="宋体"/>
          <w:szCs w:val="21"/>
        </w:rPr>
        <w:t>天内</w:t>
      </w:r>
      <w:r>
        <w:rPr>
          <w:rFonts w:hint="eastAsia" w:ascii="宋体" w:hAnsi="宋体" w:cs="宋体"/>
          <w:bCs/>
          <w:kern w:val="0"/>
          <w:szCs w:val="21"/>
        </w:rPr>
        <w:t>。</w:t>
      </w:r>
    </w:p>
    <w:p w14:paraId="74C8383E">
      <w:pPr>
        <w:spacing w:line="360" w:lineRule="auto"/>
        <w:ind w:firstLine="420" w:firstLineChars="200"/>
      </w:pPr>
      <w:r>
        <w:rPr>
          <w:rFonts w:hint="eastAsia" w:ascii="宋体" w:hAnsi="宋体"/>
          <w:szCs w:val="21"/>
        </w:rPr>
        <w:t>（二）交货地点：采购人指定地点。</w:t>
      </w:r>
    </w:p>
    <w:p w14:paraId="003E6888">
      <w:pPr>
        <w:widowControl/>
        <w:spacing w:line="460" w:lineRule="exact"/>
        <w:ind w:firstLine="420" w:firstLineChars="200"/>
        <w:jc w:val="left"/>
        <w:rPr>
          <w:rFonts w:ascii="宋体" w:hAnsi="宋体"/>
          <w:szCs w:val="21"/>
        </w:rPr>
      </w:pPr>
      <w:r>
        <w:rPr>
          <w:rFonts w:hint="eastAsia" w:ascii="宋体" w:hAnsi="宋体"/>
          <w:szCs w:val="21"/>
        </w:rPr>
        <w:t>（三）</w:t>
      </w:r>
    </w:p>
    <w:tbl>
      <w:tblPr>
        <w:tblStyle w:val="38"/>
        <w:tblW w:w="0" w:type="auto"/>
        <w:tblInd w:w="0" w:type="dxa"/>
        <w:tblLayout w:type="fixed"/>
        <w:tblCellMar>
          <w:top w:w="0" w:type="dxa"/>
          <w:left w:w="108" w:type="dxa"/>
          <w:bottom w:w="0" w:type="dxa"/>
          <w:right w:w="108" w:type="dxa"/>
        </w:tblCellMar>
      </w:tblPr>
      <w:tblGrid>
        <w:gridCol w:w="4608"/>
        <w:gridCol w:w="4320"/>
      </w:tblGrid>
      <w:tr w14:paraId="4DEC33CB">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00220690">
            <w:pPr>
              <w:autoSpaceDE w:val="0"/>
              <w:autoSpaceDN w:val="0"/>
              <w:adjustRightInd w:val="0"/>
              <w:spacing w:line="360" w:lineRule="auto"/>
              <w:rPr>
                <w:rFonts w:ascii="宋体" w:hAnsi="宋体"/>
                <w:szCs w:val="21"/>
              </w:rPr>
            </w:pPr>
            <w:r>
              <w:rPr>
                <w:rFonts w:hint="eastAsia" w:ascii="宋体" w:hAnsi="宋体"/>
                <w:szCs w:val="21"/>
              </w:rPr>
              <w:t>☑须安装、调试</w:t>
            </w:r>
          </w:p>
        </w:tc>
        <w:tc>
          <w:tcPr>
            <w:tcW w:w="4320" w:type="dxa"/>
            <w:tcBorders>
              <w:top w:val="single" w:color="auto" w:sz="6" w:space="0"/>
              <w:left w:val="single" w:color="auto" w:sz="6" w:space="0"/>
              <w:bottom w:val="single" w:color="auto" w:sz="6" w:space="0"/>
              <w:right w:val="single" w:color="auto" w:sz="6" w:space="0"/>
            </w:tcBorders>
            <w:vAlign w:val="center"/>
          </w:tcPr>
          <w:p w14:paraId="514F7EF9">
            <w:pPr>
              <w:autoSpaceDE w:val="0"/>
              <w:autoSpaceDN w:val="0"/>
              <w:adjustRightInd w:val="0"/>
              <w:spacing w:line="360" w:lineRule="auto"/>
              <w:rPr>
                <w:rFonts w:ascii="宋体" w:hAnsi="宋体"/>
                <w:szCs w:val="21"/>
              </w:rPr>
            </w:pPr>
            <w:r>
              <w:rPr>
                <w:rFonts w:hint="eastAsia" w:ascii="宋体" w:hAnsi="宋体"/>
                <w:szCs w:val="21"/>
              </w:rPr>
              <w:t>维修响应时间： 0.5小时</w:t>
            </w:r>
          </w:p>
        </w:tc>
      </w:tr>
      <w:tr w14:paraId="7B60D40A">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6D2CA14A">
            <w:pPr>
              <w:autoSpaceDE w:val="0"/>
              <w:autoSpaceDN w:val="0"/>
              <w:adjustRightInd w:val="0"/>
              <w:spacing w:line="360" w:lineRule="auto"/>
              <w:rPr>
                <w:rFonts w:ascii="宋体" w:hAnsi="宋体"/>
                <w:szCs w:val="21"/>
              </w:rPr>
            </w:pPr>
            <w:r>
              <w:rPr>
                <w:rFonts w:hint="eastAsia" w:ascii="宋体" w:hAnsi="宋体"/>
                <w:szCs w:val="21"/>
              </w:rPr>
              <w:t>☑主要配件、选配件、耗材清单及价格</w:t>
            </w:r>
          </w:p>
        </w:tc>
        <w:tc>
          <w:tcPr>
            <w:tcW w:w="4320" w:type="dxa"/>
            <w:vMerge w:val="restart"/>
            <w:tcBorders>
              <w:top w:val="single" w:color="auto" w:sz="6" w:space="0"/>
              <w:left w:val="single" w:color="auto" w:sz="6" w:space="0"/>
              <w:right w:val="single" w:color="auto" w:sz="6" w:space="0"/>
            </w:tcBorders>
          </w:tcPr>
          <w:p w14:paraId="73C5AF80">
            <w:pPr>
              <w:autoSpaceDE w:val="0"/>
              <w:autoSpaceDN w:val="0"/>
              <w:adjustRightInd w:val="0"/>
              <w:spacing w:line="240" w:lineRule="exact"/>
              <w:rPr>
                <w:rFonts w:ascii="宋体" w:hAnsi="宋体"/>
                <w:szCs w:val="21"/>
              </w:rPr>
            </w:pPr>
            <w:r>
              <w:rPr>
                <w:rFonts w:hint="eastAsia" w:ascii="宋体" w:hAnsi="宋体"/>
                <w:szCs w:val="21"/>
              </w:rPr>
              <w:t>其他要求（需要有跟踪、驻场服务、技术培训等要求的须明确人员、内容、目标等）。</w:t>
            </w:r>
          </w:p>
        </w:tc>
      </w:tr>
      <w:tr w14:paraId="6CF0D4CC">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4AEAE274">
            <w:pPr>
              <w:autoSpaceDE w:val="0"/>
              <w:autoSpaceDN w:val="0"/>
              <w:adjustRightInd w:val="0"/>
              <w:spacing w:line="360" w:lineRule="auto"/>
              <w:rPr>
                <w:rFonts w:ascii="宋体" w:hAnsi="宋体"/>
                <w:szCs w:val="21"/>
              </w:rPr>
            </w:pPr>
            <w:r>
              <w:rPr>
                <w:rFonts w:hint="eastAsia" w:ascii="宋体" w:hAnsi="宋体"/>
                <w:szCs w:val="21"/>
              </w:rPr>
              <w:t>☑须提供制造商服务、技术培训、辅导</w:t>
            </w:r>
          </w:p>
        </w:tc>
        <w:tc>
          <w:tcPr>
            <w:tcW w:w="4320" w:type="dxa"/>
            <w:vMerge w:val="continue"/>
            <w:tcBorders>
              <w:left w:val="single" w:color="auto" w:sz="6" w:space="0"/>
              <w:right w:val="single" w:color="auto" w:sz="6" w:space="0"/>
            </w:tcBorders>
            <w:vAlign w:val="center"/>
          </w:tcPr>
          <w:p w14:paraId="6ACCD1F1">
            <w:pPr>
              <w:autoSpaceDE w:val="0"/>
              <w:autoSpaceDN w:val="0"/>
              <w:adjustRightInd w:val="0"/>
              <w:spacing w:line="360" w:lineRule="auto"/>
              <w:rPr>
                <w:rFonts w:ascii="宋体" w:hAnsi="宋体"/>
                <w:szCs w:val="21"/>
              </w:rPr>
            </w:pPr>
          </w:p>
        </w:tc>
      </w:tr>
      <w:tr w14:paraId="08CCE6E3">
        <w:tblPrEx>
          <w:tblCellMar>
            <w:top w:w="0" w:type="dxa"/>
            <w:left w:w="108" w:type="dxa"/>
            <w:bottom w:w="0" w:type="dxa"/>
            <w:right w:w="108" w:type="dxa"/>
          </w:tblCellMar>
        </w:tblPrEx>
        <w:trPr>
          <w:trHeight w:val="397" w:hRule="exact"/>
        </w:trPr>
        <w:tc>
          <w:tcPr>
            <w:tcW w:w="4608" w:type="dxa"/>
            <w:tcBorders>
              <w:top w:val="single" w:color="auto" w:sz="6" w:space="0"/>
              <w:left w:val="single" w:color="auto" w:sz="6" w:space="0"/>
              <w:bottom w:val="single" w:color="auto" w:sz="6" w:space="0"/>
              <w:right w:val="single" w:color="auto" w:sz="6" w:space="0"/>
            </w:tcBorders>
            <w:vAlign w:val="center"/>
          </w:tcPr>
          <w:p w14:paraId="586C424C">
            <w:pPr>
              <w:autoSpaceDE w:val="0"/>
              <w:autoSpaceDN w:val="0"/>
              <w:adjustRightInd w:val="0"/>
              <w:spacing w:line="360" w:lineRule="auto"/>
              <w:rPr>
                <w:rFonts w:ascii="宋体" w:hAnsi="宋体"/>
                <w:szCs w:val="21"/>
              </w:rPr>
            </w:pPr>
            <w:r>
              <w:rPr>
                <w:rFonts w:hint="eastAsia" w:ascii="宋体" w:hAnsi="宋体"/>
                <w:szCs w:val="21"/>
              </w:rPr>
              <w:t>☑须提供售后服务网点、人员、设施情况</w:t>
            </w:r>
          </w:p>
        </w:tc>
        <w:tc>
          <w:tcPr>
            <w:tcW w:w="4320" w:type="dxa"/>
            <w:vMerge w:val="continue"/>
            <w:tcBorders>
              <w:left w:val="single" w:color="auto" w:sz="6" w:space="0"/>
              <w:bottom w:val="single" w:color="auto" w:sz="6" w:space="0"/>
              <w:right w:val="single" w:color="auto" w:sz="6" w:space="0"/>
            </w:tcBorders>
            <w:vAlign w:val="center"/>
          </w:tcPr>
          <w:p w14:paraId="141CCFAA">
            <w:pPr>
              <w:autoSpaceDE w:val="0"/>
              <w:autoSpaceDN w:val="0"/>
              <w:adjustRightInd w:val="0"/>
              <w:spacing w:line="360" w:lineRule="auto"/>
              <w:rPr>
                <w:rFonts w:ascii="宋体" w:hAnsi="宋体"/>
                <w:szCs w:val="21"/>
              </w:rPr>
            </w:pPr>
          </w:p>
        </w:tc>
      </w:tr>
    </w:tbl>
    <w:p w14:paraId="69F2D113">
      <w:pPr>
        <w:widowControl/>
        <w:spacing w:line="460" w:lineRule="exact"/>
        <w:jc w:val="left"/>
        <w:rPr>
          <w:rFonts w:ascii="宋体" w:hAnsi="宋体"/>
          <w:szCs w:val="21"/>
        </w:rPr>
      </w:pPr>
    </w:p>
    <w:p w14:paraId="75B43025">
      <w:pPr>
        <w:widowControl/>
        <w:numPr>
          <w:ilvl w:val="0"/>
          <w:numId w:val="6"/>
        </w:numPr>
        <w:spacing w:line="460" w:lineRule="exact"/>
        <w:ind w:firstLine="420" w:firstLineChars="200"/>
        <w:jc w:val="left"/>
        <w:rPr>
          <w:rFonts w:hint="eastAsia" w:ascii="宋体" w:hAnsi="宋体"/>
          <w:szCs w:val="21"/>
          <w:lang w:eastAsia="zh-CN"/>
        </w:rPr>
      </w:pPr>
      <w:r>
        <w:rPr>
          <w:rFonts w:hint="eastAsia" w:ascii="宋体" w:hAnsi="宋体"/>
          <w:szCs w:val="21"/>
        </w:rPr>
        <w:t>付款条件：</w:t>
      </w:r>
      <w:r>
        <w:rPr>
          <w:rFonts w:hint="eastAsia" w:ascii="宋体" w:hAnsi="宋体"/>
          <w:szCs w:val="21"/>
          <w:lang w:eastAsia="zh-CN"/>
        </w:rPr>
        <w:t>供货到各学校且验收合格后，各学校一次性支付。</w:t>
      </w:r>
    </w:p>
    <w:p w14:paraId="298D5F6B">
      <w:pPr>
        <w:widowControl/>
        <w:numPr>
          <w:ilvl w:val="0"/>
          <w:numId w:val="0"/>
        </w:numPr>
        <w:spacing w:line="460" w:lineRule="exact"/>
        <w:ind w:firstLine="420" w:firstLineChars="200"/>
        <w:jc w:val="left"/>
        <w:rPr>
          <w:rFonts w:ascii="宋体" w:hAnsi="宋体"/>
          <w:szCs w:val="21"/>
        </w:rPr>
      </w:pPr>
      <w:r>
        <w:rPr>
          <w:rFonts w:hint="eastAsia" w:ascii="宋体" w:hAnsi="宋体"/>
          <w:szCs w:val="21"/>
        </w:rPr>
        <w:t xml:space="preserve">（五）履约保证金： </w:t>
      </w:r>
    </w:p>
    <w:p w14:paraId="318AC280">
      <w:pPr>
        <w:widowControl/>
        <w:spacing w:line="460" w:lineRule="exact"/>
        <w:ind w:firstLine="420" w:firstLineChars="200"/>
        <w:jc w:val="left"/>
        <w:rPr>
          <w:rFonts w:ascii="宋体" w:hAnsi="宋体"/>
          <w:szCs w:val="21"/>
        </w:rPr>
      </w:pPr>
      <w:r>
        <w:rPr>
          <w:rFonts w:hint="eastAsia" w:ascii="宋体" w:hAnsi="宋体"/>
          <w:szCs w:val="21"/>
        </w:rPr>
        <w:t>1．本项目不要求中标人提交履约保证金。</w:t>
      </w:r>
    </w:p>
    <w:p w14:paraId="1ED120BD">
      <w:pPr>
        <w:widowControl/>
        <w:spacing w:line="460" w:lineRule="exact"/>
        <w:ind w:firstLine="420" w:firstLineChars="200"/>
        <w:jc w:val="left"/>
        <w:rPr>
          <w:rFonts w:ascii="宋体" w:hAnsi="宋体"/>
          <w:szCs w:val="21"/>
        </w:rPr>
      </w:pPr>
      <w:r>
        <w:rPr>
          <w:rFonts w:hint="eastAsia" w:ascii="宋体" w:hAnsi="宋体"/>
          <w:szCs w:val="21"/>
        </w:rPr>
        <w:t>2．中标人收到中标通知书后，在签订合同前5日内，向采购人提交合同额（/）%的履约保证金。</w:t>
      </w:r>
    </w:p>
    <w:p w14:paraId="3BCABF75">
      <w:pPr>
        <w:widowControl/>
        <w:spacing w:line="460" w:lineRule="exact"/>
        <w:ind w:firstLine="420" w:firstLineChars="200"/>
        <w:jc w:val="left"/>
        <w:rPr>
          <w:rFonts w:ascii="宋体" w:hAnsi="宋体"/>
          <w:szCs w:val="21"/>
        </w:rPr>
      </w:pPr>
      <w:r>
        <w:rPr>
          <w:rFonts w:hint="eastAsia" w:ascii="宋体" w:hAnsi="宋体"/>
          <w:szCs w:val="21"/>
        </w:rPr>
        <w:t>3．提交履约保证金按照采购人的要求以支票、汇票、本票或者金融机构、担保机构出具的保函等非现金形式提交。</w:t>
      </w:r>
    </w:p>
    <w:p w14:paraId="71AFED87">
      <w:pPr>
        <w:widowControl/>
        <w:spacing w:line="460" w:lineRule="exact"/>
        <w:ind w:firstLine="420" w:firstLineChars="200"/>
        <w:jc w:val="left"/>
        <w:rPr>
          <w:rFonts w:ascii="宋体" w:hAnsi="宋体"/>
          <w:szCs w:val="21"/>
        </w:rPr>
      </w:pPr>
      <w:r>
        <w:rPr>
          <w:rFonts w:hint="eastAsia" w:ascii="宋体" w:hAnsi="宋体"/>
          <w:szCs w:val="21"/>
        </w:rPr>
        <w:t>4．中标人合同主要义务履行完毕，中标人缴纳的履约保证金自项目验收合格之日起（/）工作日内采购人无息退还。</w:t>
      </w:r>
    </w:p>
    <w:p w14:paraId="603782D2">
      <w:pPr>
        <w:widowControl/>
        <w:spacing w:line="460" w:lineRule="exact"/>
        <w:ind w:firstLine="420" w:firstLineChars="200"/>
        <w:jc w:val="left"/>
        <w:rPr>
          <w:rFonts w:ascii="宋体" w:hAnsi="宋体"/>
          <w:szCs w:val="21"/>
        </w:rPr>
      </w:pPr>
      <w:r>
        <w:rPr>
          <w:rFonts w:hint="eastAsia" w:ascii="宋体" w:hAnsi="宋体"/>
          <w:szCs w:val="21"/>
        </w:rPr>
        <w:t>（六）运输要求：保证货物及时无误运输至交货地点，货物到达指定地点，采购人确认无误后，运输结束。</w:t>
      </w:r>
    </w:p>
    <w:p w14:paraId="25D45F81">
      <w:pPr>
        <w:widowControl/>
        <w:spacing w:line="460" w:lineRule="exact"/>
        <w:ind w:firstLine="420" w:firstLineChars="200"/>
        <w:jc w:val="left"/>
        <w:rPr>
          <w:rFonts w:ascii="宋体" w:hAnsi="宋体"/>
          <w:szCs w:val="21"/>
        </w:rPr>
      </w:pPr>
      <w:r>
        <w:rPr>
          <w:rFonts w:hint="eastAsia" w:ascii="宋体" w:hAnsi="宋体"/>
          <w:szCs w:val="21"/>
        </w:rPr>
        <w:t>（七）保险要求：报价中包含所有货物的保险费用，不再另外收费。</w:t>
      </w:r>
    </w:p>
    <w:p w14:paraId="24106F4F">
      <w:pPr>
        <w:widowControl/>
        <w:spacing w:line="460" w:lineRule="exact"/>
        <w:ind w:firstLine="420" w:firstLineChars="200"/>
        <w:jc w:val="left"/>
        <w:rPr>
          <w:rFonts w:ascii="宋体" w:hAnsi="宋体"/>
          <w:szCs w:val="21"/>
        </w:rPr>
      </w:pPr>
      <w:r>
        <w:rPr>
          <w:rFonts w:hint="eastAsia" w:ascii="宋体" w:hAnsi="宋体"/>
          <w:szCs w:val="21"/>
        </w:rPr>
        <w:t>（八）商品包装和快递包装要求：所供商品包装符合《商品包装政府采购需求标准（试行）》，快递包装符合《快递包装政府采购需求标准（试行）》。</w:t>
      </w:r>
    </w:p>
    <w:p w14:paraId="0CFAEEEE">
      <w:pPr>
        <w:pStyle w:val="47"/>
        <w:ind w:firstLine="420" w:firstLineChars="200"/>
        <w:rPr>
          <w:rFonts w:ascii="宋体" w:hAnsi="宋体" w:eastAsia="宋体"/>
          <w:sz w:val="21"/>
          <w:szCs w:val="21"/>
        </w:rPr>
      </w:pPr>
      <w:r>
        <w:rPr>
          <w:rFonts w:hint="eastAsia" w:ascii="宋体" w:hAnsi="宋体" w:eastAsia="宋体"/>
          <w:sz w:val="21"/>
          <w:szCs w:val="21"/>
        </w:rPr>
        <w:t>（九）质保期：</w:t>
      </w:r>
      <w:r>
        <w:rPr>
          <w:rFonts w:hint="eastAsia" w:ascii="仿宋" w:hAnsi="仿宋" w:eastAsia="仿宋"/>
          <w:b w:val="0"/>
          <w:bCs/>
          <w:sz w:val="24"/>
          <w:lang w:val="en-US" w:eastAsia="zh-CN"/>
        </w:rPr>
        <w:t>≥一年</w:t>
      </w:r>
    </w:p>
    <w:p w14:paraId="0AE86C1D">
      <w:pPr>
        <w:pStyle w:val="47"/>
        <w:ind w:firstLine="210" w:firstLineChars="100"/>
        <w:rPr>
          <w:rFonts w:ascii="宋体" w:hAnsi="宋体" w:eastAsia="宋体"/>
          <w:sz w:val="21"/>
          <w:szCs w:val="21"/>
        </w:rPr>
      </w:pPr>
      <w:r>
        <w:rPr>
          <w:rFonts w:hint="eastAsia" w:ascii="宋体" w:hAnsi="宋体" w:eastAsia="宋体"/>
          <w:sz w:val="21"/>
          <w:szCs w:val="21"/>
        </w:rPr>
        <w:t>（十）其他商务要求：供应商应保证提供的货物和服务不会引起第三方提出侵犯其他人的知识产权，若发生类似纠纷，供应商负责全部责任。</w:t>
      </w:r>
    </w:p>
    <w:p w14:paraId="65CD2E67">
      <w:pPr>
        <w:widowControl/>
        <w:spacing w:line="460" w:lineRule="exact"/>
        <w:ind w:firstLine="420" w:firstLineChars="200"/>
        <w:jc w:val="left"/>
        <w:rPr>
          <w:rFonts w:ascii="宋体" w:hAnsi="宋体"/>
          <w:b/>
          <w:szCs w:val="21"/>
        </w:rPr>
      </w:pPr>
      <w:r>
        <w:rPr>
          <w:rFonts w:hint="eastAsia" w:ascii="宋体" w:hAnsi="宋体"/>
          <w:b/>
          <w:szCs w:val="21"/>
        </w:rPr>
        <w:t>三、技术要求</w:t>
      </w:r>
    </w:p>
    <w:p w14:paraId="6511E141">
      <w:pPr>
        <w:widowControl/>
        <w:spacing w:line="460" w:lineRule="exact"/>
        <w:ind w:firstLine="420" w:firstLineChars="200"/>
        <w:jc w:val="left"/>
        <w:rPr>
          <w:rFonts w:ascii="宋体" w:hAnsi="宋体"/>
          <w:szCs w:val="21"/>
        </w:rPr>
      </w:pPr>
      <w:r>
        <w:rPr>
          <w:rFonts w:hint="eastAsia" w:ascii="宋体" w:hAnsi="宋体"/>
          <w:szCs w:val="21"/>
        </w:rPr>
        <w:t>采购需求或性能描述详见本招标文件最后采购明细表及服务方案。</w:t>
      </w:r>
    </w:p>
    <w:p w14:paraId="31D28E99">
      <w:pPr>
        <w:widowControl/>
        <w:spacing w:line="460" w:lineRule="exact"/>
        <w:ind w:firstLine="420" w:firstLineChars="200"/>
        <w:jc w:val="left"/>
        <w:rPr>
          <w:rFonts w:ascii="宋体" w:hAnsi="宋体"/>
          <w:szCs w:val="21"/>
        </w:rPr>
      </w:pPr>
      <w:r>
        <w:rPr>
          <w:rFonts w:hint="eastAsia" w:ascii="宋体" w:hAnsi="宋体"/>
          <w:szCs w:val="21"/>
        </w:rPr>
        <w:t>（一）技术要求响应内容编排顺序：投标人应按照技术要求中的序号顺序编制技术要求响应内容。</w:t>
      </w:r>
    </w:p>
    <w:p w14:paraId="01EC86F9">
      <w:pPr>
        <w:widowControl/>
        <w:spacing w:line="460" w:lineRule="exact"/>
        <w:ind w:firstLine="420" w:firstLineChars="200"/>
        <w:jc w:val="left"/>
        <w:rPr>
          <w:rFonts w:ascii="宋体" w:hAnsi="宋体"/>
          <w:szCs w:val="21"/>
        </w:rPr>
      </w:pPr>
      <w:r>
        <w:rPr>
          <w:rFonts w:hint="eastAsia" w:ascii="宋体" w:hAnsi="宋体"/>
          <w:szCs w:val="21"/>
        </w:rPr>
        <w:t>（二）技术要求响应内容的作用：投标人所提供的技术要求响应内容是评标委员会及其成员评定投报标的物是否实质性响应招标文件技术要求以及综合比较与评价的依据。</w:t>
      </w:r>
    </w:p>
    <w:p w14:paraId="2DEF6BE7">
      <w:pPr>
        <w:widowControl/>
        <w:spacing w:line="460" w:lineRule="exact"/>
        <w:ind w:firstLine="420" w:firstLineChars="200"/>
        <w:jc w:val="left"/>
        <w:rPr>
          <w:rFonts w:ascii="宋体" w:hAnsi="宋体"/>
          <w:szCs w:val="21"/>
        </w:rPr>
      </w:pPr>
      <w:r>
        <w:rPr>
          <w:rFonts w:hint="eastAsia" w:ascii="宋体" w:hAnsi="宋体"/>
          <w:szCs w:val="21"/>
        </w:rPr>
        <w:t>（三）技术要求响应内容的要求：</w:t>
      </w:r>
    </w:p>
    <w:p w14:paraId="72246C7F">
      <w:pPr>
        <w:widowControl/>
        <w:spacing w:line="460" w:lineRule="exact"/>
        <w:ind w:firstLine="420" w:firstLineChars="200"/>
        <w:jc w:val="left"/>
        <w:rPr>
          <w:rFonts w:ascii="宋体" w:hAnsi="宋体"/>
          <w:szCs w:val="21"/>
        </w:rPr>
      </w:pPr>
      <w:r>
        <w:rPr>
          <w:rFonts w:hint="eastAsia" w:ascii="宋体" w:hAnsi="宋体"/>
          <w:szCs w:val="21"/>
        </w:rPr>
        <w:t>1.技术要求响应内容应同投报标的物品牌型号一致；</w:t>
      </w:r>
    </w:p>
    <w:p w14:paraId="751CC0A9">
      <w:pPr>
        <w:widowControl/>
        <w:spacing w:line="460" w:lineRule="exact"/>
        <w:ind w:firstLine="420" w:firstLineChars="200"/>
        <w:jc w:val="left"/>
        <w:rPr>
          <w:rFonts w:ascii="宋体" w:hAnsi="宋体"/>
          <w:szCs w:val="21"/>
        </w:rPr>
      </w:pPr>
      <w:r>
        <w:rPr>
          <w:rFonts w:hint="eastAsia" w:ascii="宋体" w:hAnsi="宋体"/>
          <w:szCs w:val="21"/>
        </w:rPr>
        <w:t>2．能够证明投报标的物满足招标文件技术要求的证明材料，证明材料包括但不限于投报标的物公开发行的产品说明书或手册等（主要技术指标必须提供至少一种证明材料，若未提供，视为无效投标）；</w:t>
      </w:r>
    </w:p>
    <w:p w14:paraId="57D597FB">
      <w:pPr>
        <w:widowControl/>
        <w:spacing w:line="460" w:lineRule="exact"/>
        <w:ind w:firstLine="420" w:firstLineChars="200"/>
        <w:jc w:val="left"/>
        <w:rPr>
          <w:rFonts w:ascii="宋体" w:hAnsi="宋体"/>
          <w:szCs w:val="21"/>
        </w:rPr>
      </w:pPr>
      <w:r>
        <w:rPr>
          <w:rFonts w:hint="eastAsia" w:ascii="宋体" w:hAnsi="宋体"/>
          <w:szCs w:val="21"/>
        </w:rPr>
        <w:t>3．项目实施过程中所需的主要辅材（若涉及，投标人按品牌、型号、产地、单价、数量。自行列表响应）；</w:t>
      </w:r>
    </w:p>
    <w:p w14:paraId="030254E2">
      <w:pPr>
        <w:widowControl/>
        <w:spacing w:line="460" w:lineRule="exact"/>
        <w:ind w:firstLine="420" w:firstLineChars="200"/>
        <w:jc w:val="left"/>
        <w:rPr>
          <w:rFonts w:ascii="宋体" w:hAnsi="宋体"/>
          <w:szCs w:val="21"/>
        </w:rPr>
      </w:pPr>
      <w:r>
        <w:rPr>
          <w:rFonts w:hint="eastAsia" w:ascii="宋体" w:hAnsi="宋体"/>
          <w:szCs w:val="21"/>
        </w:rPr>
        <w:t>4．投标人认为需要提供的其他技术要求响应内容。</w:t>
      </w:r>
    </w:p>
    <w:p w14:paraId="16660B6C">
      <w:pPr>
        <w:widowControl/>
        <w:spacing w:line="460" w:lineRule="exact"/>
        <w:ind w:firstLine="420" w:firstLineChars="200"/>
        <w:jc w:val="left"/>
        <w:rPr>
          <w:rFonts w:ascii="宋体" w:hAnsi="宋体"/>
          <w:b/>
          <w:szCs w:val="21"/>
        </w:rPr>
      </w:pPr>
      <w:r>
        <w:rPr>
          <w:rFonts w:hint="eastAsia" w:ascii="宋体" w:hAnsi="宋体"/>
          <w:b/>
          <w:szCs w:val="21"/>
        </w:rPr>
        <w:t>四、服务要求</w:t>
      </w:r>
    </w:p>
    <w:p w14:paraId="22D37ADA">
      <w:pPr>
        <w:widowControl/>
        <w:spacing w:line="460" w:lineRule="exact"/>
        <w:ind w:firstLine="420" w:firstLineChars="200"/>
        <w:jc w:val="left"/>
        <w:rPr>
          <w:rFonts w:ascii="宋体" w:hAnsi="宋体"/>
          <w:szCs w:val="21"/>
        </w:rPr>
      </w:pPr>
      <w:r>
        <w:rPr>
          <w:rFonts w:hint="eastAsia" w:ascii="宋体" w:hAnsi="宋体"/>
          <w:szCs w:val="21"/>
        </w:rPr>
        <w:t>（一）服务方案响应情况：实施时间进度表、实施交付使用标准、保障措施、培训承诺等。</w:t>
      </w:r>
    </w:p>
    <w:p w14:paraId="2351918E">
      <w:pPr>
        <w:widowControl/>
        <w:spacing w:line="460" w:lineRule="exact"/>
        <w:ind w:firstLine="420" w:firstLineChars="200"/>
        <w:jc w:val="left"/>
        <w:rPr>
          <w:rFonts w:ascii="宋体" w:hAnsi="宋体"/>
          <w:szCs w:val="21"/>
        </w:rPr>
      </w:pPr>
      <w:r>
        <w:rPr>
          <w:rFonts w:hint="eastAsia" w:ascii="宋体" w:hAnsi="宋体"/>
          <w:szCs w:val="21"/>
        </w:rPr>
        <w:t>（二）售后服务响应情况：售后服务体系（售后服务网点、人员、设施情况，售后联系方式）、售后服务响应机制、维修承诺等。</w:t>
      </w:r>
    </w:p>
    <w:p w14:paraId="5C8C6A5F">
      <w:pPr>
        <w:pStyle w:val="47"/>
        <w:rPr>
          <w:rFonts w:ascii="宋体" w:hAnsi="宋体" w:eastAsia="宋体"/>
          <w:sz w:val="21"/>
          <w:szCs w:val="21"/>
        </w:rPr>
      </w:pPr>
      <w:r>
        <w:rPr>
          <w:rFonts w:hint="eastAsia"/>
        </w:rPr>
        <w:t xml:space="preserve"> </w:t>
      </w:r>
      <w:r>
        <w:rPr>
          <w:rFonts w:hint="eastAsia" w:ascii="宋体" w:hAnsi="宋体" w:eastAsia="宋体"/>
          <w:sz w:val="21"/>
          <w:szCs w:val="21"/>
        </w:rPr>
        <w:t xml:space="preserve">  （三）售后服务要求</w:t>
      </w:r>
    </w:p>
    <w:p w14:paraId="118C4368">
      <w:pPr>
        <w:spacing w:line="360" w:lineRule="auto"/>
        <w:jc w:val="left"/>
        <w:rPr>
          <w:rFonts w:ascii="宋体" w:hAnsi="宋体"/>
          <w:szCs w:val="21"/>
        </w:rPr>
      </w:pPr>
      <w:r>
        <w:rPr>
          <w:rFonts w:hint="eastAsia" w:ascii="宋体" w:hAnsi="宋体"/>
          <w:szCs w:val="21"/>
        </w:rPr>
        <w:t xml:space="preserve">   </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在质保期内非采购人的人为原因或不可抗拒的自然灾害出现的产品质量问题，由中标人负责包修或包换，并承担因此产生的一切费用；客户如遇故障而影响正常使用时，供应商负责免费及时维修换新，确保用户正常使用；</w:t>
      </w:r>
    </w:p>
    <w:p w14:paraId="71E6F42E">
      <w:pPr>
        <w:spacing w:line="360" w:lineRule="auto"/>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ascii="宋体" w:hAnsi="宋体"/>
          <w:szCs w:val="21"/>
        </w:rPr>
        <w:t>②</w:t>
      </w:r>
      <w:r>
        <w:rPr>
          <w:rFonts w:hint="eastAsia" w:ascii="宋体" w:hAnsi="宋体"/>
          <w:szCs w:val="21"/>
        </w:rPr>
        <w:fldChar w:fldCharType="end"/>
      </w:r>
      <w:r>
        <w:rPr>
          <w:rFonts w:hint="eastAsia" w:ascii="宋体" w:hAnsi="宋体"/>
          <w:szCs w:val="21"/>
        </w:rPr>
        <w:t>质保期内中标人需指定至少两名技术人员为采购人提供售后保障服务，一般故障，30分钟内专业技术人员响应，1小时内到现场进行维修；复杂故障24小时内解决，不能排除的提供备品，不影响用户使用；</w:t>
      </w:r>
    </w:p>
    <w:p w14:paraId="7E571AA7">
      <w:pPr>
        <w:spacing w:line="360" w:lineRule="auto"/>
        <w:ind w:firstLine="420" w:firstLineChars="200"/>
        <w:jc w:val="left"/>
        <w:rPr>
          <w:rFonts w:ascii="宋体" w:hAnsi="宋体"/>
          <w:szCs w:val="21"/>
        </w:rPr>
      </w:pPr>
      <w:r>
        <w:rPr>
          <w:rFonts w:ascii="宋体" w:hAnsi="宋体"/>
          <w:szCs w:val="21"/>
        </w:rPr>
        <w:t>③</w:t>
      </w:r>
      <w:r>
        <w:rPr>
          <w:rFonts w:hint="eastAsia" w:ascii="宋体" w:hAnsi="宋体"/>
          <w:szCs w:val="21"/>
        </w:rPr>
        <w:t>质保期内中标人需保障至少每季度对所有产品运行状态进行一次巡查巡检，保障设备的运行状态，及时排除设备故障风险，并做好巡检记录，由采购人代表签字确认；</w:t>
      </w:r>
    </w:p>
    <w:p w14:paraId="1FA629C3">
      <w:pPr>
        <w:spacing w:line="360" w:lineRule="auto"/>
        <w:ind w:firstLine="420" w:firstLineChars="200"/>
        <w:jc w:val="left"/>
        <w:rPr>
          <w:rFonts w:ascii="宋体" w:hAnsi="宋体"/>
          <w:szCs w:val="21"/>
        </w:rPr>
      </w:pPr>
      <w:r>
        <w:rPr>
          <w:rFonts w:hint="eastAsia" w:ascii="宋体" w:hAnsi="宋体"/>
          <w:szCs w:val="21"/>
        </w:rPr>
        <w:fldChar w:fldCharType="begin"/>
      </w:r>
      <w:r>
        <w:rPr>
          <w:rFonts w:hint="eastAsia" w:ascii="宋体" w:hAnsi="宋体"/>
          <w:szCs w:val="21"/>
        </w:rPr>
        <w:instrText xml:space="preserve"> = 4 \* GB3 \* MERGEFORMAT </w:instrText>
      </w:r>
      <w:r>
        <w:rPr>
          <w:rFonts w:hint="eastAsia" w:ascii="宋体" w:hAnsi="宋体"/>
          <w:szCs w:val="21"/>
        </w:rPr>
        <w:fldChar w:fldCharType="separate"/>
      </w:r>
      <w:r>
        <w:rPr>
          <w:rFonts w:ascii="宋体" w:hAnsi="宋体"/>
          <w:szCs w:val="21"/>
        </w:rPr>
        <w:t>④</w:t>
      </w:r>
      <w:r>
        <w:rPr>
          <w:rFonts w:hint="eastAsia" w:ascii="宋体" w:hAnsi="宋体"/>
          <w:szCs w:val="21"/>
        </w:rPr>
        <w:fldChar w:fldCharType="end"/>
      </w:r>
      <w:r>
        <w:rPr>
          <w:rFonts w:hint="eastAsia" w:ascii="宋体" w:hAnsi="宋体"/>
          <w:szCs w:val="21"/>
        </w:rPr>
        <w:t>质保期内如遇重大活动，中标人需根据甲方要求及时安排相关人员进行现场保障工作。</w:t>
      </w:r>
    </w:p>
    <w:p w14:paraId="3B8A956D">
      <w:pPr>
        <w:pStyle w:val="47"/>
        <w:rPr>
          <w:rFonts w:ascii="宋体" w:hAnsi="宋体" w:eastAsia="宋体"/>
          <w:sz w:val="21"/>
          <w:szCs w:val="21"/>
        </w:rPr>
      </w:pPr>
    </w:p>
    <w:p w14:paraId="7AD8367E">
      <w:pPr>
        <w:widowControl/>
        <w:spacing w:line="460" w:lineRule="exact"/>
        <w:ind w:firstLine="420" w:firstLineChars="200"/>
        <w:jc w:val="left"/>
        <w:rPr>
          <w:rFonts w:ascii="宋体" w:hAnsi="宋体"/>
          <w:b/>
          <w:szCs w:val="21"/>
        </w:rPr>
      </w:pPr>
    </w:p>
    <w:p w14:paraId="284AC0AC">
      <w:pPr>
        <w:widowControl/>
        <w:spacing w:line="460" w:lineRule="exact"/>
        <w:ind w:firstLine="420" w:firstLineChars="200"/>
        <w:jc w:val="left"/>
        <w:rPr>
          <w:rFonts w:ascii="宋体" w:hAnsi="宋体"/>
          <w:b/>
          <w:szCs w:val="21"/>
        </w:rPr>
      </w:pPr>
      <w:r>
        <w:rPr>
          <w:rFonts w:hint="eastAsia" w:ascii="宋体" w:hAnsi="宋体"/>
          <w:b/>
          <w:szCs w:val="21"/>
        </w:rPr>
        <w:t>五、验收标准</w:t>
      </w:r>
    </w:p>
    <w:p w14:paraId="55AC72E7">
      <w:pPr>
        <w:widowControl/>
        <w:spacing w:line="460" w:lineRule="exact"/>
        <w:ind w:firstLine="420" w:firstLineChars="200"/>
        <w:jc w:val="left"/>
        <w:rPr>
          <w:rFonts w:ascii="宋体" w:hAnsi="宋体"/>
          <w:szCs w:val="21"/>
        </w:rPr>
      </w:pPr>
      <w:r>
        <w:rPr>
          <w:rFonts w:hint="eastAsia" w:ascii="宋体" w:hAnsi="宋体"/>
          <w:szCs w:val="21"/>
        </w:rPr>
        <w:t>1.采购人成立验收小组，根据招标文件、投标文件、投标人的承诺、双方签订的合同内容进行验收。验收中涉及相关费用的，须由中标人负责。</w:t>
      </w:r>
    </w:p>
    <w:p w14:paraId="4361587C">
      <w:pPr>
        <w:adjustRightInd w:val="0"/>
        <w:snapToGrid w:val="0"/>
        <w:spacing w:line="480" w:lineRule="exact"/>
        <w:ind w:firstLine="420" w:firstLineChars="200"/>
        <w:rPr>
          <w:rFonts w:ascii="宋体" w:hAnsi="宋体"/>
          <w:szCs w:val="21"/>
        </w:rPr>
      </w:pPr>
      <w:r>
        <w:rPr>
          <w:rFonts w:hint="eastAsia" w:ascii="宋体" w:hAnsi="宋体"/>
          <w:szCs w:val="21"/>
        </w:rPr>
        <w:t>2.中标货物的验收均严格按照《山西省财政厅关于印发﹤加强政府采购需求确定和履约验收管理办法﹥的通知》（晋财购〔2020〕1号）相关要求执行。</w:t>
      </w:r>
    </w:p>
    <w:p w14:paraId="3A8E0A7F">
      <w:pPr>
        <w:adjustRightInd w:val="0"/>
        <w:snapToGrid w:val="0"/>
        <w:spacing w:line="480" w:lineRule="exact"/>
        <w:ind w:firstLine="420" w:firstLineChars="200"/>
        <w:rPr>
          <w:rFonts w:ascii="宋体" w:hAnsi="宋体"/>
          <w:szCs w:val="21"/>
        </w:rPr>
      </w:pPr>
      <w:r>
        <w:rPr>
          <w:rFonts w:hint="eastAsia" w:ascii="宋体" w:hAnsi="宋体"/>
          <w:szCs w:val="21"/>
        </w:rPr>
        <w:t>3.交货时要求中标人就中标产品提供生产厂家完整的随机资料，包括完整的使用和维修手册、产品说明书等。</w:t>
      </w:r>
    </w:p>
    <w:p w14:paraId="5923EF4B">
      <w:pPr>
        <w:spacing w:line="560" w:lineRule="exact"/>
        <w:ind w:firstLine="420" w:firstLineChars="200"/>
        <w:jc w:val="left"/>
        <w:rPr>
          <w:rFonts w:ascii="宋体" w:hAnsi="宋体"/>
          <w:szCs w:val="21"/>
        </w:rPr>
      </w:pPr>
      <w:r>
        <w:rPr>
          <w:rFonts w:hint="eastAsia" w:ascii="宋体" w:hAnsi="宋体"/>
          <w:szCs w:val="21"/>
        </w:rPr>
        <w:t xml:space="preserve">   4、</w:t>
      </w:r>
      <w:r>
        <w:rPr>
          <w:rFonts w:hint="eastAsia" w:ascii="宋体" w:hAnsi="宋体"/>
          <w:b/>
          <w:szCs w:val="21"/>
        </w:rPr>
        <w:t>履约验收程序</w:t>
      </w:r>
    </w:p>
    <w:p w14:paraId="60D0D437">
      <w:pPr>
        <w:spacing w:line="560" w:lineRule="exact"/>
        <w:ind w:firstLine="420" w:firstLineChars="200"/>
        <w:jc w:val="left"/>
        <w:rPr>
          <w:rFonts w:ascii="宋体" w:hAnsi="宋体"/>
          <w:szCs w:val="21"/>
        </w:rPr>
      </w:pPr>
      <w:r>
        <w:rPr>
          <w:rFonts w:hint="eastAsia" w:ascii="宋体" w:hAnsi="宋体"/>
          <w:szCs w:val="21"/>
        </w:rPr>
        <w:t>阶段一：设备、材料进场验收，合同设备和软件到达现场后由项目单位指定收货人会同监理、供应商按照合同要求及相关国家标准对进场的设备（包括配件）、材料、软件等外观、品牌、规格型号、数量进行开箱检验，并检查设备加电测试是否通过，以上检验仅表示项目单位对供应商所供货物的数量、品牌、型号等予以核对，并不免除乙方对货物的瑕疵、担保责任及供应商的其他义务。</w:t>
      </w:r>
    </w:p>
    <w:p w14:paraId="1423B122">
      <w:pPr>
        <w:spacing w:line="560" w:lineRule="exact"/>
        <w:ind w:firstLine="420" w:firstLineChars="200"/>
        <w:jc w:val="left"/>
        <w:rPr>
          <w:rFonts w:ascii="宋体" w:hAnsi="宋体"/>
          <w:szCs w:val="21"/>
        </w:rPr>
      </w:pPr>
      <w:r>
        <w:rPr>
          <w:rFonts w:hint="eastAsia" w:ascii="宋体" w:hAnsi="宋体"/>
          <w:szCs w:val="21"/>
        </w:rPr>
        <w:t>阶段二：过程验收、隐蔽工程验收，主要设备在完成安装后、隐蔽工程覆盖前等重要过程节点，供应商应及时向监理单位或项目单位提交过程验收申请，由项目单位组织或授权监理单位对相应的隐蔽工程、设备安装等进行验收。</w:t>
      </w:r>
    </w:p>
    <w:p w14:paraId="2FD7098C">
      <w:pPr>
        <w:spacing w:line="560" w:lineRule="exact"/>
        <w:ind w:firstLine="420" w:firstLineChars="200"/>
        <w:jc w:val="left"/>
        <w:rPr>
          <w:rFonts w:ascii="宋体" w:hAnsi="宋体"/>
          <w:szCs w:val="21"/>
        </w:rPr>
      </w:pPr>
      <w:r>
        <w:rPr>
          <w:rFonts w:hint="eastAsia" w:ascii="宋体" w:hAnsi="宋体"/>
          <w:szCs w:val="21"/>
        </w:rPr>
        <w:t>阶段三：项目初验，项目设备安装到位、系统调试及培训完成后，由供应商向监理单位和项目单位提交初验申请</w:t>
      </w:r>
      <w:r>
        <w:rPr>
          <w:rFonts w:ascii="宋体" w:hAnsi="宋体"/>
          <w:szCs w:val="21"/>
        </w:rPr>
        <w:t>和全部</w:t>
      </w:r>
      <w:r>
        <w:rPr>
          <w:rFonts w:hint="eastAsia" w:ascii="宋体" w:hAnsi="宋体"/>
          <w:szCs w:val="21"/>
        </w:rPr>
        <w:t>施工资料（提供所有项目建设要求的文档，包括全部有关产品说明书、原厂家安装手册、资料以及系统实施方案、安装配置手册、使用手册、运行维护手册、图纸、测试文档、验收报告，以及项目管理、质量管理等方面的文档），由项目单位单独或会同监理单位组成初验小组，依据项目合同、施工图纸和招投标资料对项目的设备情况、安装情况、系统功能实现（针对各软、硬件产品的技术参数，对整体信息系统进行联调测试，并进行功能性查验）、施工资料及竣工图纸等内容进行验收。</w:t>
      </w:r>
      <w:r>
        <w:rPr>
          <w:rFonts w:ascii="宋体" w:hAnsi="宋体"/>
          <w:szCs w:val="21"/>
        </w:rPr>
        <w:t>如</w:t>
      </w:r>
      <w:r>
        <w:rPr>
          <w:rFonts w:hint="eastAsia" w:ascii="宋体" w:hAnsi="宋体"/>
          <w:szCs w:val="21"/>
        </w:rPr>
        <w:t>供应商</w:t>
      </w:r>
      <w:r>
        <w:rPr>
          <w:rFonts w:ascii="宋体" w:hAnsi="宋体"/>
          <w:szCs w:val="21"/>
        </w:rPr>
        <w:t>完成的项目未能通过验收，</w:t>
      </w:r>
      <w:r>
        <w:rPr>
          <w:rFonts w:hint="eastAsia" w:ascii="宋体" w:hAnsi="宋体"/>
          <w:szCs w:val="21"/>
        </w:rPr>
        <w:t>供应商</w:t>
      </w:r>
      <w:r>
        <w:rPr>
          <w:rFonts w:ascii="宋体" w:hAnsi="宋体"/>
          <w:szCs w:val="21"/>
        </w:rPr>
        <w:t>需对相关问题进行整改，整改结束后重新提交验收；否则，视为验收不通过。如</w:t>
      </w:r>
      <w:r>
        <w:rPr>
          <w:rFonts w:hint="eastAsia" w:ascii="宋体" w:hAnsi="宋体"/>
          <w:szCs w:val="21"/>
        </w:rPr>
        <w:t>供应商</w:t>
      </w:r>
      <w:r>
        <w:rPr>
          <w:rFonts w:ascii="宋体" w:hAnsi="宋体"/>
          <w:szCs w:val="21"/>
        </w:rPr>
        <w:t>完成的项目</w:t>
      </w:r>
      <w:r>
        <w:rPr>
          <w:rFonts w:hint="eastAsia" w:ascii="宋体" w:hAnsi="宋体"/>
          <w:szCs w:val="21"/>
        </w:rPr>
        <w:t>通过初步验收合格后，则项目进行试运行。</w:t>
      </w:r>
    </w:p>
    <w:p w14:paraId="5A2C8E15">
      <w:pPr>
        <w:spacing w:line="560" w:lineRule="exact"/>
        <w:ind w:firstLine="420" w:firstLineChars="200"/>
        <w:jc w:val="left"/>
        <w:rPr>
          <w:rFonts w:ascii="宋体" w:hAnsi="宋体"/>
          <w:szCs w:val="21"/>
        </w:rPr>
      </w:pPr>
      <w:r>
        <w:rPr>
          <w:rFonts w:hint="eastAsia" w:ascii="宋体" w:hAnsi="宋体"/>
          <w:szCs w:val="21"/>
        </w:rPr>
        <w:t>阶段四：项目终验，经系统试运行一周无不可排除故障后，由供应商和监理向项目单位提交验收申请，项目单位统一组织相关专家、供应商及监理开展验收，并出具验收报告，供应商</w:t>
      </w:r>
      <w:r>
        <w:rPr>
          <w:rFonts w:ascii="宋体" w:hAnsi="宋体"/>
          <w:szCs w:val="21"/>
        </w:rPr>
        <w:t>应负责将</w:t>
      </w:r>
      <w:r>
        <w:rPr>
          <w:rFonts w:hint="eastAsia" w:ascii="宋体" w:hAnsi="宋体"/>
          <w:szCs w:val="21"/>
        </w:rPr>
        <w:t>有关项目</w:t>
      </w:r>
      <w:r>
        <w:rPr>
          <w:rFonts w:ascii="宋体" w:hAnsi="宋体"/>
          <w:szCs w:val="21"/>
        </w:rPr>
        <w:t>的有关技术文件（系统建设方案、安装、操作、使用、测试、控制和维护手册等）及故障恢复、应急处理、试运行、验收报</w:t>
      </w:r>
      <w:r>
        <w:rPr>
          <w:rFonts w:hint="eastAsia" w:ascii="宋体" w:hAnsi="宋体"/>
          <w:szCs w:val="21"/>
        </w:rPr>
        <w:t>告</w:t>
      </w:r>
      <w:r>
        <w:rPr>
          <w:rFonts w:ascii="宋体" w:hAnsi="宋体"/>
          <w:szCs w:val="21"/>
        </w:rPr>
        <w:t>等文档汇集成册交付给</w:t>
      </w:r>
      <w:r>
        <w:rPr>
          <w:rFonts w:hint="eastAsia" w:ascii="宋体" w:hAnsi="宋体"/>
          <w:szCs w:val="21"/>
        </w:rPr>
        <w:t>项目单位。</w:t>
      </w:r>
    </w:p>
    <w:p w14:paraId="27161C07">
      <w:pPr>
        <w:pStyle w:val="47"/>
      </w:pPr>
    </w:p>
    <w:p w14:paraId="3A2DF64E">
      <w:pPr>
        <w:widowControl/>
        <w:spacing w:line="460" w:lineRule="exact"/>
        <w:ind w:firstLine="420" w:firstLineChars="200"/>
        <w:jc w:val="left"/>
        <w:rPr>
          <w:rFonts w:ascii="宋体" w:hAnsi="宋体"/>
          <w:b/>
          <w:szCs w:val="21"/>
        </w:rPr>
      </w:pPr>
      <w:r>
        <w:rPr>
          <w:rFonts w:hint="eastAsia" w:ascii="宋体" w:hAnsi="宋体"/>
          <w:b/>
          <w:szCs w:val="21"/>
        </w:rPr>
        <w:t>六、其他</w:t>
      </w:r>
    </w:p>
    <w:p w14:paraId="4B29FCA8">
      <w:pPr>
        <w:widowControl/>
        <w:spacing w:line="460" w:lineRule="exact"/>
        <w:ind w:firstLine="420" w:firstLineChars="200"/>
        <w:jc w:val="left"/>
        <w:rPr>
          <w:rFonts w:hint="eastAsia" w:ascii="宋体" w:hAnsi="宋体"/>
          <w:szCs w:val="21"/>
        </w:rPr>
      </w:pPr>
      <w:r>
        <w:rPr>
          <w:rFonts w:hint="eastAsia" w:ascii="宋体" w:hAnsi="宋体"/>
          <w:szCs w:val="21"/>
        </w:rPr>
        <w:t>投标人须保持登录山西政府采购平台，随时准备对评标委员会在平台上的询问予以解答。</w:t>
      </w:r>
    </w:p>
    <w:p w14:paraId="29C7AC50">
      <w:pPr>
        <w:widowControl/>
        <w:spacing w:line="460" w:lineRule="exact"/>
        <w:ind w:firstLine="720" w:firstLineChars="200"/>
        <w:jc w:val="left"/>
        <w:rPr>
          <w:rFonts w:hint="default"/>
          <w:b/>
          <w:sz w:val="36"/>
          <w:szCs w:val="36"/>
          <w:lang w:val="en-US" w:eastAsia="zh-CN"/>
        </w:rPr>
      </w:pPr>
      <w:r>
        <w:rPr>
          <w:rFonts w:hint="eastAsia"/>
          <w:b/>
          <w:sz w:val="36"/>
          <w:szCs w:val="36"/>
          <w:lang w:eastAsia="zh-CN"/>
        </w:rPr>
        <w:t>附采购包</w:t>
      </w:r>
      <w:r>
        <w:rPr>
          <w:rFonts w:hint="eastAsia"/>
          <w:b/>
          <w:sz w:val="36"/>
          <w:szCs w:val="36"/>
          <w:lang w:val="en-US" w:eastAsia="zh-CN"/>
        </w:rPr>
        <w:t>2明细表</w:t>
      </w:r>
      <w:r>
        <w:rPr>
          <w:b/>
          <w:sz w:val="36"/>
          <w:szCs w:val="36"/>
        </w:rPr>
        <w:tab/>
      </w:r>
    </w:p>
    <w:p w14:paraId="42EE547B">
      <w:pPr>
        <w:pStyle w:val="18"/>
        <w:tabs>
          <w:tab w:val="left" w:pos="360"/>
        </w:tabs>
        <w:rPr>
          <w:b/>
          <w:sz w:val="36"/>
          <w:szCs w:val="36"/>
        </w:rPr>
      </w:pPr>
      <w:r>
        <w:rPr>
          <w:b/>
          <w:sz w:val="36"/>
          <w:szCs w:val="36"/>
        </w:rPr>
        <w:tab/>
      </w:r>
    </w:p>
    <w:tbl>
      <w:tblPr>
        <w:tblStyle w:val="38"/>
        <w:tblW w:w="60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256"/>
        <w:gridCol w:w="601"/>
        <w:gridCol w:w="7184"/>
        <w:gridCol w:w="531"/>
        <w:gridCol w:w="650"/>
        <w:gridCol w:w="677"/>
        <w:gridCol w:w="714"/>
      </w:tblGrid>
      <w:tr w14:paraId="12FD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FA2D1F">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A1B90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设备名称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4DAE8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产品说明 </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793A7D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3659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5E6CD30">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678021D">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总价</w:t>
            </w:r>
          </w:p>
        </w:tc>
      </w:tr>
      <w:tr w14:paraId="59E3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87008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61E4FB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4B8EB5E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荫城学校</w:t>
            </w:r>
          </w:p>
        </w:tc>
      </w:tr>
      <w:tr w14:paraId="2110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ED59A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E0A512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7C33403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（一）荫城学校书法教室</w:t>
            </w:r>
          </w:p>
        </w:tc>
      </w:tr>
      <w:tr w14:paraId="0048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DAC2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5003C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交互式数字临摹台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905C6D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1.一体化设计，基于iOS或者Android系统，支持远程升级。高清临摹：支持学生用宣纸、毛笔传统的方式进行高清临摹，能临摹长宽均不大于1cm的电子字帖。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2.临摹台支持网络供电功能，只需要在临摹台的网络接口插入一根网线，即可实现临摹台的供电和网络接入的功能。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4.高可视角度：＞80/80/80/80（上下左右）；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5.摹帖屏可承重60kg以上无裂痕；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6.防水：临摹屏支持防水功能；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7.耐磨：临摹区面板可抗击100000次以上自然摩擦无划痕；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8.护眼功能：发光柔和护眼，亮度低于260cd/m2；</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9.支持RJ45接口；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10.支持WiFi连接；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11.摹帖屏显示尺寸：＞45cm×25cm；分辨率：≥1920×1080；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12.临摹台外置分体式接口：耳机插孔、USB接口、电源开关，并将分体式接口嵌入在临摹桌桌面前侧（学生座位一侧）；</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13.支持自主学习模式下的碑帖临摹功能；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14.支持一键自动更新碑帖功能；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15.支持一键系统整体升级功能；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16.上电自动开机，直接进入学生自主学习软件界面，通过学校、班级、账号、密码登录，直接触控操作软件系统；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17.碑帖系统：支持碑帖手指八点触控放大缩小功能，支持临帖电子毛毡功能，电子毛毡能触控放大缩小，位置随意摆放，支持碑帖通过年代、字体、作者搜索选择功能；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18.练习系统：支持字体排版功能，支持书体、作者、字形、笔类、笔画、偏旁、结构排版字体，支持字格数量的设置功能，支持米字格、田字格、九宫格、田回格、大方格多种背景随意变化，支持一键清空功能；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19.名家课堂系统：具备专家视频课程。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20.支持软件方式调节音量和亮度的功能；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21.支持统一授课模式和自主学习模式切换功能，模式切换由老师控制；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22.支持学生通过自己账号登陆书法学习平台，拍照上传自己的书法作品，支持将软笔书写过程进行录制上传，同时支持查看自己的历史作品和书写过程视频记录（该功能需配备教学互动系统）；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23.临摹台的学习书法软件平台有“润笔”和“洗笔”按钮，通过软件触控操作，智能笔洗自动出水。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24.包含颜体1、颜体2、欧、柳、赵5套基本课程，每一课都包含“基础知识”、“初步印象”、“继续观察”、“示范讲解”、“动手体验”、“知识扩展”、“课堂练习”、“课堂检测”、“回帖学习”等教学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25.教学环节---基础知识：根据本节课的内容设计基础知识的内容，书法知识涉及笔墨纸砚基本工具、书写姿势、握笔姿势基本要求以及书家、书写材料、碑帖知识、书论一系列内容。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26、教学环节---继续观察：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27.教学环节---知识扩展：包括本节课典型例字的文字源流，列出甲骨文、篆书、隶书、草书、行书、楷书的图片，同时以文字的方式列出“说文解字”的内容。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28、（1）教学环节---初步印象：根据每节课的核心内容（例如重点笔画、偏旁部首或者结构）。系统给出4个左右的开放性“印象说法”。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教学环节---书体对比：在示范讲解环节中要包括例字的书体对比，支持每个例字自动调取欧体、颜体、柳体、赵体、隶书、篆书、行书、草书字帖进行对比，当该字的某书体有多字时支持选字，选出的字帖要包括书体、书家、碑帖名称，选出的所有字帖以放大的方式呈现在屏幕上。（4）教学环节---动手体验：包含“试一试”、“拼一拼”、“写一写”等环节，在“试一试”环节中，通过单钩、双钩、画轮廓的练习，让学生去感知笔画和结构；在“拼一拼”环节中，将例字分解成几部分推送到学生临摹台，让学生通过拼字游戏进一步对结构进行感知和实践；在“写一写”环节中，让学生进行摹写和临写，并且将笔法图放在最左边。（5）教学环节---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6）教学环节---课堂检测：通过学生互动终端将练习上传交互式数字临摹台（不能通过手机拍照来上传），在交互式数字临摹台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7）教学环节---回帖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34417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AC28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C0B8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2C6996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06B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15CA4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C1F5A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教师中控条案</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6D44B2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规格：≥200cm×80cm×75cm，实木结构；2.古典书桌设计，烤漆处理；3.全部卯榫结构；4.支持将本方案中的中控、教师手绘屏、直播系统集成在中控条案中；5.砚台：≥20cm×13cm×2.5cm，材质：螺纹石；6.毛笔笔架：≥36cm×34cm×10cm，材质:鸡翅木；7.笔洗：≥7.5cm×20cm，材质：优质陶瓷；8.砚台水滴：陶瓷；9.镇尺：加重型黑梓木；10.笔搁：卧式笔架，材质：实木；11.毛毡：≥1×2米，可以水洗反复使用；12.笔筒：≥12.5cm×9.5cm，材质:黑檀；13.毛笔套装：笔头材质为纯狼毫；笔杆材质：天然黑湘妃；14.配套实木方凳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4C733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C851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4F459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D52B2A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3E6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CCBA8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BFE1A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书法临摹桌</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98CB4E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仿古设计，弧形腿，框架结构：松木；2.规格：≤134cm×60cm×75cm；左右两边两个墨盒孔，长宽：≤13.8cm×7.8cm；左右两边两个临摹台开关孔，长宽：≤7.5cm×1.8cm；洗笔器开关孔直径：≤1.6cm；桌面厚度：≥3.5cm；3.交互式数字临摹台能无缝嵌入至书法桌，嵌入后临摹台与书法桌表面水平，为一体化设计；4.书法桌学生一侧具有嵌入式临摹台开关，音频接口，USB接口；5.专业笔搁；6.配套实木方凳2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E9700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3054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F35C9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A866E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44E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23299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7FA6B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智能笔洗系统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FA4912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教师端通过书法教学系统软件控制笔洗，具备一键启用、禁用笔洗系统和教师端一键洗笔功能，当启用笔洗系统时，学生可以通过临摹台控制自己座位上的笔洗，当开启一键洗笔功能时，洗笔系统会自动出水；2.洗笔系统具备临摹台控制模式和教师端系统一键洗笔模式；3.学生触控临摹台软件界面控制笔洗，可以选择润笔功能、洗笔功能选项，学生可以根据需要进行选择；4.教师端系统一键洗笔功能下，教师端系统可以一键开启所有临摹台的笔洗，学生获得30秒的洗笔时间，30秒后笔洗自动关闭；5.笔洗系统启动后，笔洗漏斗内始终保持2cm高水位的存水量；6.笔洗系统的出水口不超过桌面(在笔洗漏斗的上口平面以下）、笔洗系统的漏斗具有防溢出功能。直径10cm防溢出漏斗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D9E4E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8895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2D67B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253E20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BC6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F17F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6A61D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书画教学展示台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D71BB4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1.拍摄架：≥10千克，全金属构架,铝合金底座，摄像机竖立的主支架杆须立于拍摄架底座板的左上角；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2.支持清晰拍摄软硬笔的书写；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3.配置3台摄像机从不同角度拍摄；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4.摄像机3台。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（1）拍摄面积：大于A3幅面（距离镜头≥45cm处）；长宽高：≤120mm×70mm×70mm，直播画面分辨率：≥1920×1080，自动亮度调节；支持自动对焦功能。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（2）总像素：≥500万；帧数：≥30FPS，实时输出画面高速流畅，移动展示物体无明显拖尾、模糊、延迟等现象；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5.支持保存镜头位置，支持≥6个档位设置，需要时可一键调出，自动恢复到相应位置；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1）支持场景式网络课堂教学系统直接调取3台摄像机使用；（2）支持正面摄像机、侧面摄像机拍摄长宽均不大于3毫米的字（可清晰辨识文字内容），拍摄高度不低于65厘米；（3）摄像机机壳为全封闭结构，镜头必须封闭在摄像机机壳内部，防止落尘或者不慎操作损坏镜头；（4）软件界面可调整缩放倍数，并立即展示缩放后的效果。缩放后可全自动对焦清晰显示或通过软件界面手动对焦清晰显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1CF5B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DE63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E4A8A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112FE2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540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0EA9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2202DE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书法教学直播系统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E6D1CE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支持连接书画教学展示台的三台摄像机同时拍摄直播、录像，其中两台摄像机进行同时拍摄录课，另一台摄像机录制授课特写画面；2.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3.支持快镜头播放、暂停功能；4.支持慢镜头播放、暂停功能；5.支持摄像机自动录音功能，软件调节声音大小；6.支持在画面上任意批注功能；7.教师在示范书写的时候，可以在界面同时展现要示范的例字的视频、例字多个字体、例字的多个碑帖，显示在软件摄像机拍摄的界面，字帖可随意放大缩小，可随意放在软件界面的任何位置；8.支持一键抓图、看图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7EAEC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6CA5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9D4B7E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15CD3A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D9E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37979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CB8D0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书法分组教学软件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EDB83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由智慧书法教学系统界面进入；2.点击分组教学，进入分组教学软件界面，点击布局进入班级布局界面，支持新增班级名称、修改班级名称、删除班级功能、新增学生（包括姓名、生日、性别、账号、密码）、修改学生信息、删除学生信息。具备成批录入学生的功能;3.布局的行、列的数量可以自行设置，具备按行顺序排位、按列顺序排位、按行随机排位、按列随机排位的功能。4.新增分组功能要求分组数量、每组人数不受限制，选择改组组员，具有一键全选、一键选取全列、一键选取全行，支持按住鼠标左键任意拖选学生进入分组。点击组名，要求指派任务、重编组员、修改分组组名、解散本组的功能。5.点击任意一个组名进入指派任务界面，要求能指派该组听课、自学、字帖、碑帖、集创、兴趣体验的功能。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7.点击任意一个组名进入指派任务界面，选择碑帖指派界面，要求能推送不低于80套古代名家的碑帖，其中要求王羲之的字帖不低于20套，颜真卿的碑帖不低于12套，欧阳询的碑帖不低于8套，赵孟頫的字帖不低于25套，苏轼的字帖不低于20套，支持碑帖搜索功能。8.点击任意一个组名进入指派任务界面，选择集创指派界面，要求能指派折扇、团扇、条幅、横幅、斗方、对联、中堂不同类型的作品，作品总数不低于150个。9.点击任意一个组名进入指派任务界面，选择兴趣体验指派界面，要求能指派“我会识书体”兴趣体验（必须包括“我会识欧体”、“我会识颜体”、“我会识柳体”、“我会识赵体”）、“我会拼字体”兴趣体验（必须包括“我会拼欧体”、“我会拼颜体”、“我会拼柳体”、“我会拼赵体”）、“碑帖寻美文”、“拓碑”、“辩音识字”兴趣体验教学。10.兴趣体验识书体模块：支持欧体、颜体、柳体、赵体四大书体的字体识别，从屏幕上方随机降落单字字帖，要求学生在临摹台点击降落的字帖，系统自动判断“正确”或者“错误”，并自动进入正确和错误的篮子中，正确书体的字帖降落至屏幕底端前未被点击，将判断为“丢失”，要求能查看正确、错误、丢失的个数，以及错误和丢失的详细情况，告知错误的原因。错误或丢失次数达到五次，体验自动结束。体验过程中支持查看本人得分和班级最高分，体验结束后支持查看排名榜，支持学生点击“重新开始”进入体验。字帖下落的速度越来越快。11.兴趣体验拼字体模块：要求欧体、颜体、柳体、赵体每个体不低于100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1）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2）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识别方式为敲打从地洞举牌跳出来的小动物，举牌上为需要识别的字帖，击打正确得到金币，击打错误会被减分。击打道具不少于5种，小动物的形象类型不少于5种，要求体验过程中有闪电等特效。要求教师端实时查看前三名的金币数量排名，以及体验时长。要求教师可随时终止体验。</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24436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0E21B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right w:val="single" w:color="000000" w:sz="4" w:space="0"/>
            </w:tcBorders>
            <w:noWrap w:val="0"/>
            <w:vAlign w:val="center"/>
          </w:tcPr>
          <w:p w14:paraId="42EF42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D6EC2B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F20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CE1BF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7C734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电子点签系统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A14D8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可按年级、班级进行自动电子排座；2.支持自动按行、列随机或者自动排位；3.支持排位信息自动发布到相对应的交互式数字临摹台，并把学生姓名显示在临摹台上；4.学生按照临摹台上的姓名就坐，并通过手指触控的方式点击自己的姓名，实现签到功能；5.老师自动获取学生签到信息，明确知道学生上课考勤情况；6.支持自动统计学生考勤情况，查看历史详情；7.支持批量导入学生信息；</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5D855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4810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022CAF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42C70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7B7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F8B37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68AF1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书法字帖排版系统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1EF49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1-500个字内，任意字体数量排版功能，随意设置字格大小，调节字格的宽、高，支持鼠标滚轮选择模板。2.支持拼音搜索，可同时输入多字拼音，直接搜索多字；支持多字文本搜索；支持书写字体历史记录。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4.支持在软件界面直接点播现代书法家书写的颜欧柳赵及字体中偏旁、例字的视频。可以实时同步临摹台显示。5.支持字帖文件随意排版及混排。6.支持电子字帖全屏显示，通过调整排版规格可控制每个字的大小和位置。7.内置篆、隶、楷、行、草五种软笔字体字帖文件，不少于2万字的字帖库资源。8.支持米字格、回字格、九宫格、田字格、大方格选项。9.支持进行集字练习；具备一键排版六步教学法。10.支持边看边练，左边是书法家视频教学，右边是学生临摹书法家字帖功能；11.支持字体使用的历史记录；12.支持老师自定义适合自己教学的排版模板；13.支持一字多体排版；14.支持硬笔字体排版，学生临摹。</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47E55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E2034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831C7B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BBC646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8FD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09DDA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01635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书法集创系统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09F1E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折扇、团扇、条幅、横幅、斗方、对联、中堂等模式集字创作功能，从1言到500言随意编辑排版功能，支持字体大小缩放功能；2.支持自定义创作作品类型功能；3.支持字体自适应大小功能，后面排版的字体自动适应第一个排版好的字体大小；4.支持自适应角度调整，字体智能化自动调整摆放角度；5.支持文件新建、修改、保存、放大缩小、临摹功能；6.包含重修三门记、陋室铭、六体千字文、灵隐禅师塔铭、黄庭经、淮云院记、后赤壁赋、归来辞去、道德经、东铭、大学、感兴诗并序、多宝塔碑、颜勤礼碑、颜家庙碑、颜体合成创作、赵体合成创作等多个创作字体模块内容；7.支持一键还原功能；8.支持文字和拼音搜索功能；9.在配置互动模块时，支持老师一键收取学习集创练习作品的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F09C8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06F3F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559281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94579E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337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3A851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F9654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三笔字板书示范书写软件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7F966A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软件支持选用白板、黑板、宣纸和画布四种模式作为背景底纹；2.软件支持米字格、田字格、田回格、九宫格、方格和无格作为写字用底格；3.软件排版支持从一字格到十五字格共十种不同排版方式；4.笔型：支持毛笔、铅笔、钢笔、粉笔、刀笔、水彩笔、艺术笔1、艺术笔2、艺术笔3、艺术笔4、标注、橡皮共12种书写功能。5.软件支持标注和具有橡皮擦功能；6.支持笔锋粗细、浓度、锐利可调控；7.支持色板，颜色可自由设置；8.具有全屏显示功能；9.支持在字体排版软件界面、视频资源库软件界面、视频直播软件界面、碑帖查询软件界面、课程讲义软件界面进行批注、点评功能；10.支持一键清屏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12D5A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5518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6E1ED4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F36AB1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CEE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5262C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2A450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书法教学视频资源平台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3F557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具备对平台资源进行控制、查询、播放及备课调整功能。2.内置三年级、四年级、五年级、六年级、初级、中级（一）、中级（二）、高级的高清毛笔书法示范讲解视频。3.含各年级课时的毛笔示范视频，针对每一个字，每一个笔画都有教学视频。4.每个视频都配有教学音频讲解。5.视频资源均为高清拍摄，可观察运笔方式。6.视频资源按照每一例字的结构、笔画、结体规律进行分类，可以一键式调取任一课时内的视频资料。7.支持老师管理密码功能。8.支持批注功能。9.支持硬笔视频资源。</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F1069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B57B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C31AFB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793E00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6EE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449A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9F12B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书法教学查询系统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56950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碑帖资源查询可实现通过年代、作者、字帖名字进行智能化检索，并可任意放大缩小拖动字帖。2.支持通过原图模式、高光模式、荧光模式、红外模式、3D模式进行碑帖的查看欣赏以及临摹。3.创作碑帖素材查询可通过关键字检索功能来搜索相应的碑帖素材。4.支持输入文字、拼音搜索功能，支持临摹、欣赏选项按钮；支持黑白反向功能，原贴是白底黑字的可以直接转换成黑底白字，原贴是黑底白字的可以直接转换成白底黑字。5.内含中国历代高清碑帖，包含临摹范本全部碑帖，有楷书、隶书、行书；包含欣赏作品全部碑帖，有篆、隶、草、楷、行五种字体。包含其他碑帖，包含篆、隶、草、楷、行五种字体，不少于10000张。6.支持批注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5DC72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3BD2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F9200B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A9BF05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39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A416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14</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31F0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场景式网络课堂教学系统</w:t>
            </w:r>
          </w:p>
        </w:tc>
        <w:tc>
          <w:tcPr>
            <w:tcW w:w="3235" w:type="pct"/>
            <w:vMerge w:val="restart"/>
            <w:tcBorders>
              <w:top w:val="single" w:color="000000" w:sz="4" w:space="0"/>
              <w:left w:val="single" w:color="000000" w:sz="4" w:space="0"/>
              <w:right w:val="single" w:color="000000" w:sz="4" w:space="0"/>
            </w:tcBorders>
            <w:noWrap w:val="0"/>
            <w:vAlign w:val="center"/>
          </w:tcPr>
          <w:p w14:paraId="4BB754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师授课端软件：1.软件必须是从智慧书法教学系统界面直接点击进入。2.支持教师创建自己的直播课程，直播课程中可包含多个章节与课时，每个课时均可独立直播，也可单独设置直播时间。每个直播课程均可进行分类，支持课程定价以及点播时收费，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3.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4.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看最近的直播情况。支持查看针对某个课程的订单数量以及预估收益，具备一年期间的购买趋势分析图，可查看用户评价，并对不同星级评价分类统计百分比，可按各种星级评价查看该星级下的所有观看者的评价。学校可自定义收费课程，支持课程账户管理，支持银行卡管理，自动计算可提现金额，支持提现到指定银行卡，可查询累计收入，可以直方图方式展示最近一年内的购买趋势。可按照课程名称以及订单时间查询订购记录，对所有提现可按照提现时间列出明细，也可以根据提现时间进行查询，支持用户打赏，可查询一段时间内的打赏明细。5.教师现场直播授课时，可切换不同的三维场景，三维场景支持不低于4个不同位置的场景大屏设置，不同的大屏可同时播放不同的内容。可将视频设置到三维场景的场景大屏，并在所有学生端同时进行播放。直播授课时，教师能同时调入6个或以上视频、3个或以上的摄像机、以及3个或以上的ppt在同一个界面上进行播放，并且上述的每个画面都可分别进行大小调整，学生端能同时观看上述的所有画面。教师可针对正在授课的任意一个视频设置任意的播放位置，并立即生效。可将教师的实时授课画面设置到三维场景的场景大屏并同时播放，并同步传输至学生端；教师在直播授课时支持随时插入PPT并进行及时播放；在直播授课时能设置字幕动画，并立即生效、学生进行观看。6.课程同时支持直播与点播。支持下载所有课程的视频，支持视频本地编辑后再次上传更新。支持在线预览。现场直播授课的同时，系统可自动录制直播课堂的所有视频或者授课过程，并形成课程供学生进行回放观看。7.三维场景支持远景、近景、特写，直播授课过程中教师可以任意切换三种方式，切换后学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8.在课时详情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直播系统摄像头拍摄内容，可以直播临摹台学生书写过程，可以共享教师屏幕，支持多显示器一键切换，可以添加全局背景音乐，支持设置背景音乐音量、进度、是否循环播放，更换背景音乐，要求直播讲师端、PC端、移动端这三端互通。二、接收客户端软件：9.客户端软件必须是从智慧书法教学系统界面直接进入。10.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11.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1080P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可以发送表情图形。可支持表情与文本混合发送，可支持200字的文本内容。12.支持查看学习历史记录，并可进行复习。可查看个人的所有订单，以及费用明细，可通过课程名称以及订单时间查询订单详情。支持修改个人信息，包括昵称、手机号码以及头像，头像支持放大、缩小、剪切，还可实时预览效果。13.客户端学习点播课程可以从上次学习位置开始播放：将课程加入学习后，进入某个点播课程时，自动从上次退出时的播放位置开始播放，比如某个课时上次看了5分钟，那么这次播放时会自动从5分钟开始播放。14.可查看所有教师以及教师的详细介绍，还可以查看教师的课程列表并播放相应课程。可按照课程分类，课程名称，教师姓名对课程进行搜索。三、移动客户端软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通过安卓以及IOS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购买付费课时，并在个人中心查看已购课时，以及订单详情。可修改个人资料包括昵称、手机号，支持通过手机验证码验证用户个人身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要求通过微信扫码进入直播间，并与讲师、PC端用户三方进行文字、表情符号交流。支持进入课时讨论组与PC端用户以及教师同时交流。可在线咨询系统客服。移动端学习点播课程可以从上次学习位置开始播放。</w:t>
            </w:r>
          </w:p>
        </w:tc>
        <w:tc>
          <w:tcPr>
            <w:tcW w:w="238" w:type="pct"/>
            <w:tcBorders>
              <w:top w:val="single" w:color="000000" w:sz="4" w:space="0"/>
              <w:left w:val="single" w:color="000000" w:sz="4" w:space="0"/>
              <w:right w:val="single" w:color="000000" w:sz="4" w:space="0"/>
            </w:tcBorders>
            <w:noWrap w:val="0"/>
            <w:vAlign w:val="center"/>
          </w:tcPr>
          <w:p w14:paraId="151FE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right w:val="single" w:color="000000" w:sz="4" w:space="0"/>
            </w:tcBorders>
            <w:noWrap w:val="0"/>
            <w:vAlign w:val="center"/>
          </w:tcPr>
          <w:p w14:paraId="5269CD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right w:val="single" w:color="000000" w:sz="4" w:space="0"/>
            </w:tcBorders>
            <w:noWrap w:val="0"/>
            <w:vAlign w:val="center"/>
          </w:tcPr>
          <w:p w14:paraId="76307BE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vMerge w:val="restart"/>
            <w:tcBorders>
              <w:top w:val="single" w:color="000000" w:sz="4" w:space="0"/>
              <w:left w:val="single" w:color="000000" w:sz="4" w:space="0"/>
              <w:right w:val="single" w:color="000000" w:sz="4" w:space="0"/>
            </w:tcBorders>
            <w:noWrap w:val="0"/>
            <w:vAlign w:val="center"/>
          </w:tcPr>
          <w:p w14:paraId="1A576D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D32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6"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C3356">
            <w:pPr>
              <w:jc w:val="center"/>
              <w:rPr>
                <w:rFonts w:hint="eastAsia" w:ascii="微软雅黑" w:hAnsi="微软雅黑" w:eastAsia="微软雅黑" w:cs="微软雅黑"/>
                <w:i w:val="0"/>
                <w:iCs w:val="0"/>
                <w:color w:val="000000"/>
                <w:sz w:val="24"/>
                <w:szCs w:val="24"/>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C28AF0">
            <w:pPr>
              <w:jc w:val="center"/>
              <w:rPr>
                <w:rFonts w:hint="eastAsia" w:ascii="微软雅黑" w:hAnsi="微软雅黑" w:eastAsia="微软雅黑" w:cs="微软雅黑"/>
                <w:i w:val="0"/>
                <w:iCs w:val="0"/>
                <w:color w:val="000000"/>
                <w:sz w:val="24"/>
                <w:szCs w:val="24"/>
                <w:u w:val="none"/>
              </w:rPr>
            </w:pPr>
          </w:p>
        </w:tc>
        <w:tc>
          <w:tcPr>
            <w:tcW w:w="3235" w:type="pct"/>
            <w:vMerge w:val="continue"/>
            <w:tcBorders>
              <w:left w:val="single" w:color="000000" w:sz="4" w:space="0"/>
              <w:right w:val="single" w:color="000000" w:sz="4" w:space="0"/>
            </w:tcBorders>
            <w:noWrap w:val="0"/>
            <w:vAlign w:val="center"/>
          </w:tcPr>
          <w:p w14:paraId="690511FC">
            <w:pPr>
              <w:jc w:val="left"/>
              <w:rPr>
                <w:rFonts w:hint="eastAsia" w:ascii="微软雅黑" w:hAnsi="微软雅黑" w:eastAsia="微软雅黑" w:cs="微软雅黑"/>
                <w:i w:val="0"/>
                <w:iCs w:val="0"/>
                <w:color w:val="000000"/>
                <w:sz w:val="22"/>
                <w:szCs w:val="22"/>
                <w:u w:val="none"/>
              </w:rPr>
            </w:pPr>
          </w:p>
        </w:tc>
        <w:tc>
          <w:tcPr>
            <w:tcW w:w="238" w:type="pct"/>
            <w:tcBorders>
              <w:top w:val="single" w:color="000000" w:sz="4" w:space="0"/>
              <w:left w:val="single" w:color="000000" w:sz="4" w:space="0"/>
              <w:right w:val="single" w:color="000000" w:sz="4" w:space="0"/>
            </w:tcBorders>
            <w:noWrap w:val="0"/>
            <w:vAlign w:val="center"/>
          </w:tcPr>
          <w:p w14:paraId="7E3D6373">
            <w:pPr>
              <w:jc w:val="center"/>
              <w:rPr>
                <w:rFonts w:hint="eastAsia" w:ascii="微软雅黑" w:hAnsi="微软雅黑" w:eastAsia="微软雅黑" w:cs="微软雅黑"/>
                <w:i w:val="0"/>
                <w:iCs w:val="0"/>
                <w:color w:val="000000"/>
                <w:sz w:val="24"/>
                <w:szCs w:val="24"/>
                <w:u w:val="none"/>
              </w:rPr>
            </w:pPr>
          </w:p>
        </w:tc>
        <w:tc>
          <w:tcPr>
            <w:tcW w:w="292" w:type="pct"/>
            <w:tcBorders>
              <w:top w:val="single" w:color="000000" w:sz="4" w:space="0"/>
              <w:left w:val="single" w:color="000000" w:sz="4" w:space="0"/>
              <w:right w:val="single" w:color="000000" w:sz="4" w:space="0"/>
            </w:tcBorders>
            <w:noWrap w:val="0"/>
            <w:vAlign w:val="center"/>
          </w:tcPr>
          <w:p w14:paraId="4759DEC3">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right w:val="single" w:color="000000" w:sz="4" w:space="0"/>
            </w:tcBorders>
            <w:noWrap w:val="0"/>
            <w:vAlign w:val="center"/>
          </w:tcPr>
          <w:p w14:paraId="02658D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321" w:type="pct"/>
            <w:vMerge w:val="continue"/>
            <w:tcBorders>
              <w:left w:val="single" w:color="000000" w:sz="4" w:space="0"/>
              <w:right w:val="single" w:color="000000" w:sz="4" w:space="0"/>
            </w:tcBorders>
            <w:noWrap w:val="0"/>
            <w:vAlign w:val="center"/>
          </w:tcPr>
          <w:p w14:paraId="0A3C79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35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FD99C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E5AA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书法课程讲义系统</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7AA0C01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1.系统全部课程不少于700课时；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3.包括三年级、四年级、五年级、六年级的课程，均是独立的软件模块，支持查看范字的书写要点讲解，书写示范视频讲解，单钩、双钩、笔法、示意图，核心示范字的文字演变，每课时都有书法知识点讲解；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5.配套讲义中每一课都包含“示范讲解”、“观察规律”、“动手体验”、“知识扩展”、“课堂练习”、“课堂检测”、“回帖学习”环节；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书体对比：在示范讲解环节中要包括例字的书体对比，支持每个例字自动调取欧体、颜体、柳体、赵体、隶书、篆书、行书、草书字帖进行对比，当该字的某书体有多种时支持选字，选出的字帖要包括书体、书家、碑帖名称，选出的所有字帖以放大的方式呈现在屏幕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观察规律：该功能可培养学生观察能力、对比分析总结能力。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动手体验：包含“试一试”、“拼一拼”、“写一写”环节，在“试一试”环节中，通过单钩、双钩、画轮廓的练习，让学生去深度感知笔画和结构；在“拼一拼”环节中，将例字分解成几部分推送到学生临摹台，让学生通过拼字游戏进一步对结构进行感知和实践，并对所有学生进行排名；在“写一写”环节中，让学生进行摹写和临写，并且将笔法图放在最左边，便于学生进行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知识扩展：包括本节课典型例字的文字源流，列出甲骨文、篆书、隶书、草书、行书、楷书的图片，同时以文字的方式列出“说文解字”的内容。同时包含其他的一个书法类的知识，书法知识涉及到文字、书家、书写材料、碑帖知识、书论等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课堂检测：该环节实现收作业并进行智能评测，收取作业通过学生互动终端一次性收取所有学生的作业（不能通过手机拍照来收取作业），收取作业后在教师机界面能看到所有学生的作业图片（在同一界面看到所有图片），并能对任一学生的作业进行智能评测，从笔画、结构、整体自动生成文字型问题描述、配合图片指出问题并给出改进建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回帖学习：该环节回归到本节课对应的原始碑帖进行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2608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E56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44827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F81BA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39D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8"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415798">
            <w:pPr>
              <w:jc w:val="center"/>
              <w:rPr>
                <w:rFonts w:hint="eastAsia" w:ascii="微软雅黑" w:hAnsi="微软雅黑" w:eastAsia="微软雅黑" w:cs="微软雅黑"/>
                <w:i w:val="0"/>
                <w:iCs w:val="0"/>
                <w:color w:val="000000"/>
                <w:sz w:val="24"/>
                <w:szCs w:val="24"/>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569DB">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7B170">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DAB0F7">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3043D">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0399C9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eastAsia="zh-CN"/>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4DCF6F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0C3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2A72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90F2C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碑帖深度学习软件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91635B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从智慧书法教学系统界面进入，支持打开碑帖深度学习软件，要求在碑帖深度学习软件界面上出现《九成宫碑》、《多宝塔碑》、《玄秘塔碑》、《颜勤礼碑》、《三门记》、《曹全碑》、《兰亭序》。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3.点击单字后，该单字的碑帖原图出现在界面左侧；再点击左侧的碑帖原图，可查看笔顺图，要求笔顺图中的每一笔为硬笔手写体；4.可查看该字的行笔路线动画，要求行笔路线动画的每一笔为硬笔手写体；5.可查看该字的笔势视图，视图中的每一个笔画的起笔、行笔、转折处要求用手写箭头标识出来；6.可查看该字的单钩视图、双钩视图，单钩视图要求为硬笔手写体；7.可查看碑帖原图和碑帖修复图，要求碑帖修复图为对破损的碑帖进行原意修复，修复后的字帖要求笔画完整、不允许变形、背景干净无污；8.可查看碑帖修复提取图，要求碑帖修复图经过处理后变成背景透明字体，并放在米字格中；9.可查看该字的其他书体，要求该字对应的颜体、欧体、柳体、赵体、隶书、篆书、草书同时自动出现在界面上，并且点击任何一种书体可出现该书体对应的多个字帖，继续点击字帖可以放大的方式自动排列在界面上进行书体对比；10.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的模式进行练习。</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67A1A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63CA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9F43CE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837BF6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51A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DA60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2B51F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软笔书法Ai智能评价软件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F73A63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通过学生互动终端收取学生的书法练习作业。老师可在教师端收集学生的作业。支持查看作业历史记录，并查看某次作业中所有学生的电子版练习作业，也可单独查看某位学生的作业。2.在书法教学云平台的课程讲义软件中，支持对所配套的全部毛笔楷书课程中涉及的所有讲解例字进行自动智能评价。3.支持查看每位学生的书法成长记录。4.点击选择某位学生的书法练习作业，可对作业上的单字或多字同时进行自动智能评测分析，可选取其中任意一个字查看评测结果。5.支持根据学生书写的单字与原帖的符合程度自动进行整体评测打分。6.可对字的结构进行自动智能评测，评测时根据每个字的复杂程度从多个评价维度进行分析（一般五到七个评价维度），不同的字，其评价维度的名称、数量不能完全相同。7.对结构智能评测时，每个字的评价维度均配有教学视频。8.对结构智能评测时，按照每个字的评价维度，自动描述该字的结构方面出现的每一个问题，并自动给出文字性的指导建议，针对书写出现的每个问题都自动给出指导图片和书写指导视频。9.可对作业中单字的所有笔画进行自动智能评价，对有问题的笔画自动突出标识。10.笔画智能评价时，可自动将作业中的每个笔画与原帖的笔画进行图片对比。11.笔画智能评价时，对书写出现问题的每一个笔画都自动描述书写问题，并自动给出指导意见，问题描述与指导意见应具有一定专业性。12.支持对智能评价结果自动生成整体评测报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BCF01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925EE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0DDB1D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F4C4BD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3DA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1533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E180B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作品虚拟展馆展示系统软件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FC297C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虚拟展馆入口支持学校真实场景融入。2.支持展示特定场所的3D实景，支持展示虚拟3D展馆。虚拟展馆设有路径点用于3D漫游。3.虚拟展馆可展示书法作品、美术作品、碑帖图等，也可展示视频，视频支持自动播放和手动播放两种方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4.支持在虚拟场景中通过键盘控制进行平滑移动，也可通过预设的位置点进行快速移动，还可调出快速导航功能，进行房间切换或场景切换。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可设置学校简介，学校简介包含文字描述以及封面图片。6.可进行作品管理，作品可单独上传，也支持使用智慧书法教室的互动教学系统批量采集。可进行视频素材管理。7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8.作品具备装裱功能，可使用中堂、斗方等装裱形式。视频可加多种边框装饰效果。9.可设置展馆的背景音乐，进入展馆后自动播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1）参观者可查看作品介绍、作者介绍，可对作品或视频进行点赞或留言。点击作品时，可对作品进行全幅画面欣赏，也可自由缩放展示。（2）支持参观者使用3D形象，不同参观者进入虚拟展馆后可以看到其他参观者的实时位置以及走动过程，点击其他参观者，可进行互动交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（3）支持在虚拟场景中进行专注方式观赏。专注方式下，可打开或关闭房间灯光，可打开探照灯聚焦显示关键区域，也可打开灯光跟随效果，随时照明用户周围区域的作品。</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97777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90B5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C89278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0CDAF6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576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37A5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39C52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高清网络多通道同步传输系统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ECF64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1.网络类型：RJ45、无线WiFi；2.通过网络将教师端软件系统同步传输到交互式数字临摹台；3.传输内容：教师端视频、教师端音频、教师端图片、教师端文本；4.支持通过网络与所有终端进行通信。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8C9AD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EC2F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3F9DDF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89AFA3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002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E4A5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960BB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学生镇尺</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C9DD3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专业镇尺。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D5D5B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9BBD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59045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5C30EA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596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34F76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4BE08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学生毛笔</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A6BB44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学生练习专用毛笔。 兼毫中锋。</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C49AA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B20F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A175C2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9BBF42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044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5BBB1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966088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多功能墨盒</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F9093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墨盒嵌入在桌面；材质：ABS；2.外观尺寸：≤140×80×33mm；墨盒盖尺寸：≤140.mm×80.mm×6.5mm；墨盒右边水池：≤46×67mm，墨盒左上墨水池：≤33×56mm，左下舔笔台：≤33×56mm，左上角引流槽一个。3.墨盒采用微倒扣防挥发设计，所盛墨汁可保持百日以上不干涸。墨盒集刮笔、舔笔、润笔功能于一体。</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344A5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9550C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AC1D76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83D372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611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3AF0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D0BD2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毛毡</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ACD04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规格：不小于30×50cm；支持铺在交互式临摹台上，再铺上宣纸临摹，还能清晰的看见1cm大小的电子字帖。</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BFA7F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02BB9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E1E254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711628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6F3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EAE29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CB733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临摹专用纸</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1688D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书法专用临摹纸，100张/包。吸墨性好，且不透墨。</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7E8E5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D6F3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A8E9C9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9C565C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C3A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60383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60F0E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中控系统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2D190B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开机界面即是智慧书法教学系统平台界面，通过主机系统直接控制书法直播系统、大屏、软件等软硬件；2.支持统一授课模式，把教师端软件直接同步到学生端交互式数字临摹台；3.教师在控制系统软件平台上直接可以切换到自主学习模式，学生独立使用临摹台上的学生端软件；4.支持所有学生端临摹台智能洗笔的统一控制；5.系统平台有独立的音乐背景模块软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6D8A4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F114A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D8193B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D86886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8E9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3FD5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8E049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书法知识展画</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8B0D2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定制，规格：UV高清印刷，印刷介绍书法相关知识，集教学、观赏为一体。</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D2123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5569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AF4D89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758B0F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2E4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06DD14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11C60C3D">
            <w:pPr>
              <w:jc w:val="left"/>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1CE175E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BD5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3AB1B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B0407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38C935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（二）荫城学校课桌椅</w:t>
            </w:r>
          </w:p>
        </w:tc>
      </w:tr>
      <w:tr w14:paraId="28C4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50BED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27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D8C8D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C88940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2777CF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6BE1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1620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008827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81295D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182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EF50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lang w:val="en-US" w:eastAsia="zh-CN"/>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27146699">
            <w:pPr>
              <w:jc w:val="left"/>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ign w:val="center"/>
          </w:tcPr>
          <w:p w14:paraId="0C010685">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7FBB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ACB4067">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A0C8FDD">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荫城学校总计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17B2DC0">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AA5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698BE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778" w:type="pct"/>
            <w:gridSpan w:val="7"/>
            <w:tcBorders>
              <w:top w:val="single" w:color="000000" w:sz="4" w:space="0"/>
              <w:left w:val="single" w:color="000000" w:sz="4" w:space="0"/>
              <w:bottom w:val="single" w:color="000000" w:sz="4" w:space="0"/>
              <w:right w:val="single" w:color="000000" w:sz="4" w:space="0"/>
            </w:tcBorders>
            <w:noWrap w:val="0"/>
            <w:vAlign w:val="center"/>
          </w:tcPr>
          <w:p w14:paraId="0B7E62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长治市上党区第三中学校</w:t>
            </w:r>
          </w:p>
        </w:tc>
      </w:tr>
      <w:tr w14:paraId="5124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96EB5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6248B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7D5D0A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（一）长治市上党区第三中学校课桌椅</w:t>
            </w:r>
          </w:p>
        </w:tc>
      </w:tr>
      <w:tr w14:paraId="03D7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7385A1">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28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4B00A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808024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2A38C45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259552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206</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6E2FE4C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26823D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39E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7131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77E660DE">
            <w:pPr>
              <w:jc w:val="left"/>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ign w:val="center"/>
          </w:tcPr>
          <w:p w14:paraId="59812D9B">
            <w:pPr>
              <w:jc w:val="left"/>
              <w:rPr>
                <w:rFonts w:hint="eastAsia" w:ascii="微软雅黑" w:hAnsi="微软雅黑" w:eastAsia="微软雅黑" w:cs="微软雅黑"/>
                <w:b/>
                <w:bCs/>
                <w:i w:val="0"/>
                <w:iCs w:val="0"/>
                <w:color w:val="000000"/>
                <w:kern w:val="0"/>
                <w:sz w:val="24"/>
                <w:szCs w:val="24"/>
                <w:u w:val="none"/>
                <w:lang w:val="en-US" w:eastAsia="zh-CN" w:bidi="ar"/>
              </w:rPr>
            </w:pPr>
          </w:p>
        </w:tc>
      </w:tr>
      <w:tr w14:paraId="1E6F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7BBD5D0">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auto" w:sz="4" w:space="0"/>
            </w:tcBorders>
            <w:shd w:val="clear" w:color="auto" w:fill="FFFF00"/>
            <w:noWrap w:val="0"/>
            <w:vAlign w:val="center"/>
          </w:tcPr>
          <w:p w14:paraId="76B0A396">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长治市上党区第三中学校共计</w:t>
            </w:r>
          </w:p>
        </w:tc>
        <w:tc>
          <w:tcPr>
            <w:tcW w:w="1157" w:type="pct"/>
            <w:gridSpan w:val="4"/>
            <w:tcBorders>
              <w:top w:val="single" w:color="000000" w:sz="4" w:space="0"/>
              <w:left w:val="single" w:color="auto" w:sz="4" w:space="0"/>
              <w:bottom w:val="single" w:color="000000" w:sz="4" w:space="0"/>
              <w:right w:val="single" w:color="000000" w:sz="4" w:space="0"/>
            </w:tcBorders>
            <w:shd w:val="clear" w:color="auto" w:fill="FFFF00"/>
            <w:noWrap/>
            <w:vAlign w:val="center"/>
          </w:tcPr>
          <w:p w14:paraId="462C798C">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2C7A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8B64A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778" w:type="pct"/>
            <w:gridSpan w:val="7"/>
            <w:tcBorders>
              <w:top w:val="single" w:color="000000" w:sz="4" w:space="0"/>
              <w:left w:val="single" w:color="000000" w:sz="4" w:space="0"/>
              <w:bottom w:val="single" w:color="000000" w:sz="4" w:space="0"/>
              <w:right w:val="single" w:color="000000" w:sz="4" w:space="0"/>
            </w:tcBorders>
            <w:noWrap w:val="0"/>
            <w:vAlign w:val="center"/>
          </w:tcPr>
          <w:p w14:paraId="29DDABE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上党区北呈初级中学</w:t>
            </w:r>
          </w:p>
        </w:tc>
      </w:tr>
      <w:tr w14:paraId="732D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10E8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68988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04BF53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（一）北呈初级中学课桌椅</w:t>
            </w:r>
          </w:p>
        </w:tc>
      </w:tr>
      <w:tr w14:paraId="0F0F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9EB9DE">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29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6CF9B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5B2B4C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B261D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C69F5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275</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AF4E97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D9CBE0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619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31AC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7D056877">
            <w:pPr>
              <w:jc w:val="left"/>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4DE87BD3">
            <w:pPr>
              <w:jc w:val="left"/>
              <w:rPr>
                <w:rFonts w:hint="eastAsia" w:ascii="微软雅黑" w:hAnsi="微软雅黑" w:eastAsia="微软雅黑" w:cs="微软雅黑"/>
                <w:b/>
                <w:bCs/>
                <w:i w:val="0"/>
                <w:iCs w:val="0"/>
                <w:color w:val="000000"/>
                <w:kern w:val="0"/>
                <w:sz w:val="24"/>
                <w:szCs w:val="24"/>
                <w:u w:val="none"/>
                <w:lang w:val="en-US" w:eastAsia="zh-CN" w:bidi="ar"/>
              </w:rPr>
            </w:pPr>
          </w:p>
        </w:tc>
      </w:tr>
      <w:tr w14:paraId="1CE9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BA64641">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363DE25">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北呈初级中学总计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2FCDBD">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EA5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317A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2F27C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5A0F47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光明小学</w:t>
            </w:r>
          </w:p>
        </w:tc>
      </w:tr>
      <w:tr w14:paraId="4740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F1B8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6B9CD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21977E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（一）光明小学书法教室</w:t>
            </w:r>
          </w:p>
        </w:tc>
      </w:tr>
      <w:tr w14:paraId="060E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68225F">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40B50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交互式数字临摹台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B381F4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1.一体化设计，基于iOS或者Android系统，支持远程升级。高清临摹：支持学生用宣纸、毛笔传统的方式进行高清临摹，能临摹长宽均不大于1cm的电子字帖。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2.临摹台支持网络供电功能，只需要在临摹台的网络接口插入一根网线，即可实现临摹台的供电和网络接入的功能。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4.高可视角度：＞80/80/80/80（上下左右）；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5.摹帖屏可承重60kg以上无裂痕；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6.防水：临摹屏支持防水功能；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7.耐磨：临摹区面板可抗击100000次以上自然摩擦无划痕；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8.护眼功能：发光柔和护眼，亮度低于260cd/m2；</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9.支持RJ45接口；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10.支持WiFi连接；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11.摹帖屏显示尺寸：＞45cm×25cm；分辨率：≥1920×1080；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12.临摹台外置分体式接口：耳机插孔、USB接口、电源开关，并将分体式接口嵌入在临摹桌桌面前侧（学生座位一侧）；</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13.支持自主学习模式下的碑帖临摹功能；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14.支持一键自动更新碑帖功能；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15.支持一键系统整体升级功能；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16.上电自动开机，直接进入学生自主学习软件界面，通过学校、班级、账号、密码登录，直接触控操作软件系统；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17.碑帖系统：支持碑帖手指八点触控放大缩小功能，支持临帖电子毛毡功能，电子毛毡能触控放大缩小，位置随意摆放，支持碑帖通过年代、字体、作者搜索选择功能；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18.练习系统：支持字体排版功能，支持书体、作者、字形、笔类、笔画、偏旁、结构排版字体，支持字格数量的设置功能，支持米字格、田字格、九宫格、田回格、大方格多种背景随意变化，支持一键清空功能；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19.名家课堂系统：具备专家视频课程。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20.支持软件方式调节音量和亮度的功能；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21.支持统一授课模式和自主学习模式切换功能，模式切换由老师控制；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22.支持学生通过自己账号登陆书法学习平台，拍照上传自己的书法作品，支持将软笔书写过程进行录制上传，同时支持查看自己的历史作品和书写过程视频记录（该功能需配备教学互动系统）；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23.临摹台的学习书法软件平台有“润笔”和“洗笔”按钮，通过软件触控操作，智能笔洗自动出水。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24.包含颜体1、颜体2、欧、柳、赵5套基本课程，每一课都包含“基础知识”、“初步印象”、“继续观察”、“示范讲解”、“动手体验”、“知识扩展”、“课堂练习”、“课堂检测”、“回帖学习”等教学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25.教学环节---基础知识：根据本节课的内容设计基础知识的内容，书法知识涉及笔墨纸砚基本工具、书写姿势、握笔姿势基本要求以及书家、书写材料、碑帖知识、书论一系列内容。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26、教学环节---继续观察：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27.教学环节---知识扩展：包括本节课典型例字的文字源流，列出甲骨文、篆书、隶书、草书、行书、楷书的图片，同时以文字的方式列出“说文解字”的内容。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28、（1）教学环节---初步印象：根据每节课的核心内容（例如重点笔画、偏旁部首或者结构）。系统给出4个左右的开放性“印象说法”。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教学环节---书体对比：在示范讲解环节中要包括例字的书体对比，支持每个例字自动调取欧体、颜体、柳体、赵体、隶书、篆书、行书、草书字帖进行对比，当该字的某书体有多字时支持选字，选出的字帖要包括书体、书家、碑帖名称，选出的所有字帖以放大的方式呈现在屏幕上。（4）教学环节---动手体验：包含“试一试”、“拼一拼”、“写一写”等环节，在“试一试”环节中，通过单钩、双钩、画轮廓的练习，让学生去感知笔画和结构；在“拼一拼”环节中，将例字分解成几部分推送到学生临摹台，让学生通过拼字游戏进一步对结构进行感知和实践；在“写一写”环节中，让学生进行摹写和临写，并且将笔法图放在最左边。（5）教学环节---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6）教学环节---课堂检测：通过学生互动终端将练习上传交互式数字临摹台（不能通过手机拍照来上传），在交互式数字临摹台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7）教学环节---回帖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399BE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FF1AC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right w:val="single" w:color="000000" w:sz="4" w:space="0"/>
            </w:tcBorders>
            <w:noWrap w:val="0"/>
            <w:vAlign w:val="center"/>
          </w:tcPr>
          <w:p w14:paraId="1EBFFA0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EA26E9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EE2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53227A6">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5C5E2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教师中控条案</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4C3767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规格：≥200cm×80cm×75cm，实木结构；2.古典书桌设计，烤漆处理；3.全部卯榫结构；4.支持将本方案中的中控、教师手绘屏、直播系统集成在中控条案中；5.砚台：≥20cm×13cm×2.5cm，材质：螺纹石；6.毛笔笔架：≥36cm×34cm×10cm，材质:鸡翅木；7.笔洗：≥7.5cm×20cm，材质：优质陶瓷；8.砚台水滴：陶瓷；9.镇尺：加重型黑梓木；10.笔搁：卧式笔架，材质：实木；11.毛毡：≥1×2米，可以水洗反复使用；12.笔筒：≥12.5cm×9.5cm，材质:黑檀；13.毛笔套装：笔头材质为纯狼毫；笔杆材质：天然黑湘妃；14.配套实木方凳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853E4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686D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643C2C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554ED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794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469F1F">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53B0A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书法临摹桌</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4794B9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仿古设计，弧形腿，框架结构：松木；2.规格：≤134cm×60cm×75cm；左右两边两个墨盒孔，长宽：≤13.8cm×7.8cm；左右两边两个临摹台开关孔，长宽：≤7.5cm×1.8cm；洗笔器开关孔直径：≤1.6cm；桌面厚度：≥3.5cm；3.交互式数字临摹台能无缝嵌入至书法桌，嵌入后临摹台与书法桌表面水平，为一体化设计；4.书法桌学生一侧具有嵌入式临摹台开关，音频接口，USB接口；5.专业笔搁；6.配套实木方凳2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C02A4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56735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6CA7A6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239BE8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D89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7531581">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2DBAB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智能笔洗系统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41FBC6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教师端通过书法教学系统软件控制笔洗，具备一键启用、禁用笔洗系统和教师端一键洗笔功能，当启用笔洗系统时，学生可以通过临摹台控制自己座位上的笔洗，当开启一键洗笔功能时，洗笔系统会自动出水；2.洗笔系统具备临摹台控制模式和教师端系统一键洗笔模式；3.学生触控临摹台软件界面控制笔洗，可以选择润笔功能、洗笔功能选项，学生可以根据需要进行选择；4.教师端系统一键洗笔功能下，教师端系统可以一键开启所有临摹台的笔洗，学生获得30秒的洗笔时间，30秒后笔洗自动关闭；5.笔洗系统启动后，笔洗漏斗内始终保持2cm高水位的存水量；6.笔洗系统的出水口不超过桌面(在笔洗漏斗的上口平面以下）、笔洗系统的漏斗具有防溢出功能。直径10cm防溢出漏斗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C4440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471A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42B0DD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3E725B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762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B9E127">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81CB7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书画教学展示台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F9B7B1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1.拍摄架：≥10千克，全金属构架,铝合金底座，摄像机竖立的主支架杆须立于拍摄架底座板的左上角；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2.支持清晰拍摄软硬笔的书写；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3.配置3台摄像机从不同角度拍摄；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4.摄像机3台。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（1）拍摄面积：大于A3幅面（距离镜头≥45cm处）；长宽高：≤120mm×70mm×70mm，直播画面分辨率：≥1920×1080，自动亮度调节；支持自动对焦功能。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（2）总像素：≥500万；帧数：≥30FPS，实时输出画面高速流畅，移动展示物体无明显拖尾、模糊、延迟等现象；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5.支持保存镜头位置，支持≥6个档位设置，需要时可一键调出，自动恢复到相应位置；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1）支持场景式网络课堂教学系统直接调取3台摄像机使用；（2）支持正面摄像机、侧面摄像机拍摄长宽均不大于3毫米的字（可清晰辨识文字内容），拍摄高度不低于65厘米；（3）摄像机机壳为全封闭结构，镜头必须封闭在摄像机机壳内部，防止落尘或者不慎操作损坏镜头；（4）软件界面可调整缩放倍数，并立即展示缩放后的效果。缩放后可全自动对焦清晰显示或通过软件界面手动对焦清晰显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7E715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9312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5F17DC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4137E1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EC2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B39F28F">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67D27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书法教学直播系统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28655C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支持连接书画教学展示台的三台摄像机同时拍摄直播、录像，其中两台摄像机进行同时拍摄录课，另一台摄像机录制授课特写画面；2.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3.支持快镜头播放、暂停功能；4.支持慢镜头播放、暂停功能；5.支持摄像机自动录音功能，软件调节声音大小；6.支持在画面上任意批注功能；7.教师在示范书写的时候，可以在界面同时展现要示范的例字的视频、例字多个字体、例字的多个碑帖，显示在软件摄像机拍摄的界面，字帖可随意放大缩小，可随意放在软件界面的任何位置；8.支持一键抓图、看图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09C36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8F5A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32D48C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DBCA38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4CE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F02A82A">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36</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CA5D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书法分组教学软件</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3B2386B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由智慧书法教学系统界面进入；2.点击分组教学，进入分组教学软件界面，点击布局进入班级布局界面，支持新增班级名称、修改班级名称、删除班级功能、新增学生（包括姓名、生日、性别、账号、密码）、修改学生信息、删除学生信息。具备成批录入学生的功能;3.布局的行、列的数量可以自行设置，具备按行顺序排位、按列顺序排位、按行随机排位、按列随机排位的功能。4.新增分组功能要求分组数量、每组人数不受限制，选择改组组员，具有一键全选、一键选取全列、一键选取全行，支持按住鼠标左键任意拖选学生进入分组。点击组名，要求指派任务、重编组员、修改分组组名、解散本组的功能。5.点击任意一个组名进入指派任务界面，要求能指派该组听课、自学、字帖、碑帖、集创、兴趣体验的功能。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7.点击任意一个组名进入指派任务界面，选择碑帖指派界面，要求能推送不低于80套古代名家的碑帖，其中要求王羲之的字帖不低于20套，颜真卿的碑帖不低于12套，欧阳询的碑帖不低于8套，赵孟頫的字帖不低于25套，苏轼的字帖不低于20套，支持碑帖搜索功能。8.点击任意一个组名进入指派任务界面，选择集创指派界面，要求能指派折扇、团扇、条幅、横幅、斗方、对联、中堂不同类型的作品，作品总数不低于150个。9.点击任意一个组名进入指派任务界面，选择兴趣体验指派界面，要求能指派“我会识书体”兴趣体验（必须包括“我会识欧体”、“我会识颜体”、“我会识柳体”、“我会识赵体”）、“我会拼字体”兴趣体验（必须包括“我会拼欧体”、“我会拼颜体”、“我会拼柳体”、“我会拼赵体”）、“碑帖寻美文”、“拓碑”、“辩音识字”兴趣体验教学。10.兴趣体验识书体模块：支持欧体、颜体、柳体、赵体四大书体的字体识别，从屏幕上方随机降落单字字帖，要求学生在临摹台点击降落的字帖，系统自动判断“正确”或者“错误”，并自动进入正确和错误的篮子中，正确书体的字帖降落至屏幕底端前未被点击，将判断为“丢失”，要求能查看正确、错误、丢失的个数，以及错误和丢失的详细情况，告知错误的原因。错误或丢失次数达到五次，体验自动结束。体验过程中支持查看本人得分和班级最高分，体验结束后支持查看排名榜，支持学生点击“重新开始”进入体验。字帖下落的速度越来越快。11.兴趣体验拼字体模块：要求欧体、颜体、柳体、赵体每个体不低于100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1）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2）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识别方式为敲打从地洞举牌跳出来的小动物，举牌上为需要识别的字帖，击打正确得到金币，击打错误会被减分。击打道具不少于5种，小动物的形象类型不少于5种，要求体验过程中有闪电等特效。要求教师端实时查看前三名的金币数量排名，以及体验时长。要求教师可随时终止体验。</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B4D2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FEF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423CB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A2C8A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DAA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6"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BFAD2C">
            <w:pPr>
              <w:jc w:val="center"/>
              <w:rPr>
                <w:rFonts w:hint="eastAsia" w:ascii="微软雅黑" w:hAnsi="微软雅黑" w:eastAsia="微软雅黑" w:cs="微软雅黑"/>
                <w:i w:val="0"/>
                <w:iCs w:val="0"/>
                <w:color w:val="000000"/>
                <w:sz w:val="24"/>
                <w:szCs w:val="24"/>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030AE4">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DE9FBB">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79AE8">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9BCAC">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C7D845C">
            <w:pPr>
              <w:jc w:val="center"/>
              <w:rPr>
                <w:rFonts w:hint="default" w:ascii="微软雅黑" w:hAnsi="微软雅黑" w:eastAsia="微软雅黑" w:cs="微软雅黑"/>
                <w:i w:val="0"/>
                <w:iCs w:val="0"/>
                <w:color w:val="000000"/>
                <w:sz w:val="24"/>
                <w:szCs w:val="24"/>
                <w:u w:val="none"/>
                <w:lang w:val="en-US" w:eastAsia="zh-CN"/>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90DCC07">
            <w:pPr>
              <w:jc w:val="center"/>
              <w:rPr>
                <w:rFonts w:hint="default" w:ascii="微软雅黑" w:hAnsi="微软雅黑" w:eastAsia="微软雅黑" w:cs="微软雅黑"/>
                <w:i w:val="0"/>
                <w:iCs w:val="0"/>
                <w:color w:val="000000"/>
                <w:sz w:val="24"/>
                <w:szCs w:val="24"/>
                <w:u w:val="none"/>
                <w:lang w:val="en-US" w:eastAsia="zh-CN"/>
              </w:rPr>
            </w:pPr>
          </w:p>
        </w:tc>
      </w:tr>
      <w:tr w14:paraId="177F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C4A8DAA">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4F4C2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电子点签系统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FF431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可按年级、班级进行自动电子排座；2.支持自动按行、列随机或者自动排位；3.支持排位信息自动发布到相对应的交互式数字临摹台，并把学生姓名显示在临摹台上；4.学生按照临摹台上的姓名就坐，并通过手指触控的方式点击自己的姓名，实现签到功能；5.老师自动获取学生签到信息，明确知道学生上课考勤情况；6.支持自动统计学生考勤情况，查看历史详情；7.支持批量导入学生信息；</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30B83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518F9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B78827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544E22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D86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346D2B">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F0EAE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书法字帖排版系统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3DB4F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1-500个字内，任意字体数量排版功能，随意设置字格大小，调节字格的宽、高，支持鼠标滚轮选择模板。2.支持拼音搜索，可同时输入多字拼音，直接搜索多字；支持多字文本搜索；支持书写字体历史记录。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4.支持在软件界面直接点播现代书法家书写的颜欧柳赵及字体中偏旁、例字的视频。可以实时同步临摹台显示。5.支持字帖文件随意排版及混排。6.支持电子字帖全屏显示，通过调整排版规格可控制每个字的大小和位置。7.内置篆、隶、楷、行、草五种软笔字体字帖文件，不少于2万字的字帖库资源。8.支持米字格、回字格、九宫格、田字格、大方格选项。9.支持进行集字练习；具备一键排版六步教学法。10.支持边看边练，左边是书法家视频教学，右边是学生临摹书法家字帖功能；11.支持字体使用的历史记录；12.支持老师自定义适合自己教学的排版模板；13.支持一字多体排版；14.支持硬笔字体排版，学生临摹。</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37C57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B769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DECA8D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F67CE7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D78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9"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2A957CB">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39DC2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书法集创系统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59C26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折扇、团扇、条幅、横幅、斗方、对联、中堂等模式集字创作功能，从1言到500言随意编辑排版功能，支持字体大小缩放功能；2.支持自定义创作作品类型功能；3.支持字体自适应大小功能，后面排版的字体自动适应第一个排版好的字体大小；4.支持自适应角度调整，字体智能化自动调整摆放角度；5.支持文件新建、修改、保存、放大缩小、临摹功能；6.包含重修三门记、陋室铭、六体千字文、灵隐禅师塔铭、黄庭经、淮云院记、后赤壁赋、归来辞去、道德经、东铭、大学、感兴诗并序、多宝塔碑、颜勤礼碑、颜家庙碑、颜体合成创作、赵体合成创作等多个创作字体模块内容；7.支持一键还原功能；8.支持文字和拼音搜索功能；9.在配置互动模块时，支持老师一键收取学习集创练习作品的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B883F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C489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F0A8DD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D17E8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DC4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1EDE372">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69F90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三笔字板书示范书写软件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6BA69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软件支持选用白板、黑板、宣纸和画布四种模式作为背景底纹；2.软件支持米字格、田字格、田回格、九宫格、方格和无格作为写字用底格；3.软件排版支持从一字格到十五字格共十种不同排版方式；4.笔型：支持毛笔、铅笔、钢笔、粉笔、刀笔、水彩笔、艺术笔1、艺术笔2、艺术笔3、艺术笔4、标注、橡皮共12种书写功能。5.软件支持标注和具有橡皮擦功能；6.支持笔锋粗细、浓度、锐利可调控；7.支持色板，颜色可自由设置；8.具有全屏显示功能；9.支持在字体排版软件界面、视频资源库软件界面、视频直播软件界面、碑帖查询软件界面、课程讲义软件界面进行批注、点评功能；10.支持一键清屏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865A9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6B2E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D1E000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220BF3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9F4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852341A">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20354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书法教学视频资源平台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089A47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具备对平台资源进行控制、查询、播放及备课调整功能。2.内置三年级、四年级、五年级、六年级、初级、中级（一）、中级（二）、高级的高清毛笔书法示范讲解视频。3.含各年级课时的毛笔示范视频，针对每一个字，每一个笔画都有教学视频。4.每个视频都配有教学音频讲解。5.视频资源均为高清拍摄，可观察运笔方式。6.视频资源按照每一例字的结构、笔画、结体规律进行分类，可以一键式调取任一课时内的视频资料。7.支持老师管理密码功能。8.支持批注功能。9.支持硬笔视频资源。</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15CAF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595B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E7722D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5D7B77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55D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4DCF93">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B9E03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书法教学查询系统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2E397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碑帖资源查询可实现通过年代、作者、字帖名字进行智能化检索，并可任意放大缩小拖动字帖。2.支持通过原图模式、高光模式、荧光模式、红外模式、3D模式进行碑帖的查看欣赏以及临摹。3.创作碑帖素材查询可通过关键字检索功能来搜索相应的碑帖素材。4.支持输入文字、拼音搜索功能，支持临摹、欣赏选项按钮；支持黑白反向功能，原贴是白底黑字的可以直接转换成黑底白字，原贴是黑底白字的可以直接转换成白底黑字。5.内含中国历代高清碑帖，包含临摹范本全部碑帖，有楷书、隶书、行书；包含欣赏作品全部碑帖，有篆、隶、草、楷、行五种字体。包含其他碑帖，包含篆、隶、草、楷、行五种字体，不少于10000张。6.支持批注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DAFF5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E66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46F34E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345D86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DCF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4A0E04">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43</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B6AB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场景式网络课堂教学系统</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7C982BDE">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师授课端软件：1.软件必须是从智慧书法教学系统界面直接点击进入。2.支持教师创建自己的直播课程，直播课程中可包含多个章节与课时，每个课时均可独立直播，也可单独设置直播时间。每个直播课程均可进行分类，支持课程定价以及点播时收费，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3.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4.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看最近的直播情况。支持查看针对某个课程的订单数量以及预估收益，具备一年期间的购买趋势分析图，可查看用户评价，并对不同星级评价分类统计百分比，可按各种星级评价查看该星级下的所有观看者的评价。学校可自定义收费课程，支持课程账户管理，支持银行卡管理，自动计算可提现金额，支持提现到指定银行卡，可查询累计收入，可以直方图方式展示最近一年内的购买趋势。可按照课程名称以及订单时间查询订购记录，对所有提现可按照提现时间列出明细，也可以根据提现时间进行查询，支持用户打赏，可查询一段时间内的打赏明细。5.教师现场直播授课时，可切换不同的三维场景，三维场景支持不低于4个不同位置的场景大屏设置，不同的大屏可同时播放不同的内容。可将视频设置到三维场景的场景大屏，并在所有学生端同时进行播放。直播授课时，教师能同时调入6个或以上视频、3个或以上的摄像机、以及3个或以上的ppt在同一个界面上进行播放，并且上述的每个画面都可分别进行大小调整，学生端能同时观看上述的所有画面。教师可针对正在授课的任意一个视频设置任意的播放位置，并立即生效。可将教师的实时授课画面设置到三维场景的场景大屏并同时播放，并同步传输至学生端；教师在直播授课时支持随时插入PPT并进行及时播放；在直播授课时能设置字幕动画，并立即生效、学生进行观看。6.课程同时支持直播与点播。支持下载所有课程的视频，支持视频本地编辑后再次上传更新。支持在线预览。现场直播授课的同时，系统可自动录制直播课堂的所有视频或者授课过程，并形成课程供学生进行回放观看。7.三维场景支持远景、近景、特写，直播授课过程中教师可以任意切换三种方式，切换后学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8.在课时详情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直播系统摄像头拍摄内容，可以直播临摹台学生书写过程，可以共享教师屏幕，支持多显示器一键切换，可以添加全局背景音乐，支持设置背景音乐音量、进度、是否循环播放，更换背景音乐，要求直播讲师端、PC端、移动端这三端互通。二、接收客户端软件：9.客户端软件必须是从智慧书法教学系统界面直接进入。10.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11.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1080P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可以发送表情图形。可支持表情与文本混合发送，可支持200字的文本内容。12.支持查看学习历史记录，并可进行复习。可查看个人的所有订单，以及费用明细，可通过课程名称以及订单时间查询订单详情。支持修改个人信息，包括昵称、手机号码以及头像，头像支持放大、缩小、剪切，还可实时预览效果。13.客户端学习点播课程可以从上次学习位置开始播放：将课程加入学习后，进入某个点播课程时，自动从上次退出时的播放位置开始播放，比如某个课时上次看了5分钟，那么这次播放时会自动从5分钟开始播放。14.可查看所有教师以及教师的详细介绍，还可以查看教师的课程列表并播放相应课程。可按照课程分类，课程名称，教师姓名对课程进行搜索。三、移动客户端软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通过安卓以及IOS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购买付费课时，并在个人中心查看已购课时，以及订单详情。可修改个人资料包括昵称、手机号，支持通过手机验证码验证用户个人身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要求通过微信扫码进入直播间，并与讲师、PC端用户三方进行文字、表情符号交流。支持进入课时讨论组与PC端用户以及教师同时交流。可在线咨询系统客服。移动端学习点播课程可以从上次学习位置开始播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FD74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7A4372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right w:val="single" w:color="000000" w:sz="4" w:space="0"/>
            </w:tcBorders>
            <w:noWrap w:val="0"/>
            <w:vAlign w:val="center"/>
          </w:tcPr>
          <w:p w14:paraId="61605E7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F92142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C90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9"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FAD098">
            <w:pPr>
              <w:jc w:val="center"/>
              <w:rPr>
                <w:rFonts w:hint="eastAsia" w:ascii="微软雅黑" w:hAnsi="微软雅黑" w:eastAsia="微软雅黑" w:cs="微软雅黑"/>
                <w:i w:val="0"/>
                <w:iCs w:val="0"/>
                <w:color w:val="000000"/>
                <w:sz w:val="24"/>
                <w:szCs w:val="24"/>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A6CB1E">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30EF5">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6762FB">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1C454">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781181E">
            <w:pPr>
              <w:jc w:val="center"/>
              <w:rPr>
                <w:rFonts w:hint="eastAsia" w:ascii="微软雅黑" w:hAnsi="微软雅黑" w:eastAsia="微软雅黑" w:cs="微软雅黑"/>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B4F10ED">
            <w:pPr>
              <w:jc w:val="center"/>
              <w:rPr>
                <w:rFonts w:hint="eastAsia" w:ascii="微软雅黑" w:hAnsi="微软雅黑" w:eastAsia="微软雅黑" w:cs="微软雅黑"/>
                <w:i w:val="0"/>
                <w:iCs w:val="0"/>
                <w:color w:val="000000"/>
                <w:sz w:val="24"/>
                <w:szCs w:val="24"/>
                <w:u w:val="none"/>
              </w:rPr>
            </w:pPr>
          </w:p>
        </w:tc>
      </w:tr>
      <w:tr w14:paraId="6A96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1D7CE28">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44</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6C70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书法课程讲义系统</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4EDF07D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1.系统全部课程不少于700课时；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3.包括三年级、四年级、五年级、六年级的课程，均是独立的软件模块，支持查看范字的书写要点讲解，书写示范视频讲解，单钩、双钩、笔法、示意图，核心示范字的文字演变，每课时都有书法知识点讲解；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5.配套讲义中每一课都包含“示范讲解”、“观察规律”、“动手体验”、“知识扩展”、“课堂练习”、“课堂检测”、“回帖学习”环节；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书体对比：在示范讲解环节中要包括例字的书体对比，支持每个例字自动调取欧体、颜体、柳体、赵体、隶书、篆书、行书、草书字帖进行对比，当该字的某书体有多种时支持选字，选出的字帖要包括书体、书家、碑帖名称，选出的所有字帖以放大的方式呈现在屏幕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观察规律：该功能可培养学生观察能力、对比分析总结能力。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动手体验：包含“试一试”、“拼一拼”、“写一写”环节，在“试一试”环节中，通过单钩、双钩、画轮廓的练习，让学生去深度感知笔画和结构；在“拼一拼”环节中，将例字分解成几部分推送到学生临摹台，让学生通过拼字游戏进一步对结构进行感知和实践，并对所有学生进行排名；在“写一写”环节中，让学生进行摹写和临写，并且将笔法图放在最左边，便于学生进行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知识扩展：包括本节课典型例字的文字源流，列出甲骨文、篆书、隶书、草书、行书、楷书的图片，同时以文字的方式列出“说文解字”的内容。同时包含其他的一个书法类的知识，书法知识涉及到文字、书家、书写材料、碑帖知识、书论等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课堂检测：该环节实现收作业并进行智能评测，收取作业通过学生互动终端一次性收取所有学生的作业（不能通过手机拍照来收取作业），收取作业后在教师机界面能看到所有学生的作业图片（在同一界面看到所有图片），并能对任一学生的作业进行智能评测，从笔画、结构、整体自动生成文字型问题描述、配合图片指出问题并给出改进建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回帖学习：该环节回归到本节课对应的原始碑帖进行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E3AE7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55AAB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300E7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3B3BFC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FD7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6"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F8F21">
            <w:pPr>
              <w:jc w:val="center"/>
              <w:rPr>
                <w:rFonts w:hint="eastAsia" w:ascii="微软雅黑" w:hAnsi="微软雅黑" w:eastAsia="微软雅黑" w:cs="微软雅黑"/>
                <w:i w:val="0"/>
                <w:iCs w:val="0"/>
                <w:color w:val="000000"/>
                <w:sz w:val="24"/>
                <w:szCs w:val="24"/>
                <w:u w:val="none"/>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A5CC9E">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7EAA10">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27E5F">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B947B0">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75B904D">
            <w:pPr>
              <w:jc w:val="center"/>
              <w:rPr>
                <w:rFonts w:hint="eastAsia" w:ascii="微软雅黑" w:hAnsi="微软雅黑" w:eastAsia="微软雅黑" w:cs="微软雅黑"/>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C36F819">
            <w:pPr>
              <w:jc w:val="center"/>
              <w:rPr>
                <w:rFonts w:hint="eastAsia" w:ascii="微软雅黑" w:hAnsi="微软雅黑" w:eastAsia="微软雅黑" w:cs="微软雅黑"/>
                <w:i w:val="0"/>
                <w:iCs w:val="0"/>
                <w:color w:val="000000"/>
                <w:sz w:val="24"/>
                <w:szCs w:val="24"/>
                <w:u w:val="none"/>
              </w:rPr>
            </w:pPr>
          </w:p>
        </w:tc>
      </w:tr>
      <w:tr w14:paraId="792B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62C58A">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5FB78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碑帖深度学习软件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DDEC0E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从智慧书法教学系统界面进入，支持打开碑帖深度学习软件，要求在碑帖深度学习软件界面上出现《九成宫碑》、《多宝塔碑》、《玄秘塔碑》、《颜勤礼碑》、《三门记》、《曹全碑》、《兰亭序》。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3.点击单字后，该单字的碑帖原图出现在界面左侧；再点击左侧的碑帖原图，可查看笔顺图，要求笔顺图中的每一笔为硬笔手写体；4.可查看该字的行笔路线动画，要求行笔路线动画的每一笔为硬笔手写体；5.可查看该字的笔势视图，视图中的每一个笔画的起笔、行笔、转折处要求用手写箭头标识出来；6.可查看该字的单钩视图、双钩视图，单钩视图要求为硬笔手写体；7.可查看碑帖原图和碑帖修复图，要求碑帖修复图为对破损的碑帖进行原意修复，修复后的字帖要求笔画完整、不允许变形、背景干净无污；8.可查看碑帖修复提取图，要求碑帖修复图经过处理后变成背景透明字体，并放在米字格中；9.可查看该字的其他书体，要求该字对应的颜体、欧体、柳体、赵体、隶书、篆书、草书同时自动出现在界面上，并且点击任何一种书体可出现该书体对应的多个字帖，继续点击字帖可以放大的方式自动排列在界面上进行书体对比；10.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的模式进行练习。</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5B6DF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56D4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47CF95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435057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A5F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1AEC368">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71127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软笔书法Ai智能评价软件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6F3B7D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通过学生互动终端收取学生的书法练习作业。老师可在教师端收集学生的作业。支持查看作业历史记录，并查看某次作业中所有学生的电子版练习作业，也可单独查看某位学生的作业。2.在书法教学云平台的课程讲义软件中，支持对所配套的全部毛笔楷书课程中涉及的所有讲解例字进行自动智能评价。3.支持查看每位学生的书法成长记录。4.点击选择某位学生的书法练习作业，可对作业上的单字或多字同时进行自动智能评测分析，可选取其中任意一个字查看评测结果。5.支持根据学生书写的单字与原帖的符合程度自动进行整体评测打分。6.可对字的结构进行自动智能评测，评测时根据每个字的复杂程度从多个评价维度进行分析（一般五到七个评价维度），不同的字，其评价维度的名称、数量不能完全相同。7.对结构智能评测时，每个字的评价维度均配有教学视频。8.对结构智能评测时，按照每个字的评价维度，自动描述该字的结构方面出现的每一个问题，并自动给出文字性的指导建议，针对书写出现的每个问题都自动给出指导图片和书写指导视频。9.可对作业中单字的所有笔画进行自动智能评价，对有问题的笔画自动突出标识。10.笔画智能评价时，可自动将作业中的每个笔画与原帖的笔画进行图片对比。11.笔画智能评价时，对书写出现问题的每一个笔画都自动描述书写问题，并自动给出指导意见，问题描述与指导意见应具有一定专业性。12.支持对智能评价结果自动生成整体评测报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48C00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B801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EA0146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AEBA12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F79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81AE44">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1DF5A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作品虚拟展馆展示系统软件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3879DB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虚拟展馆入口支持学校真实场景融入。2.支持展示特定场所的3D实景，支持展示虚拟3D展馆。虚拟展馆设有路径点用于3D漫游。3.虚拟展馆可展示书法作品、美术作品、碑帖图等，也可展示视频，视频支持自动播放和手动播放两种方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4.支持在虚拟场景中通过键盘控制进行平滑移动，也可通过预设的位置点进行快速移动，还可调出快速导航功能，进行房间切换或场景切换。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可设置学校简介，学校简介包含文字描述以及封面图片。6.可进行作品管理，作品可单独上传，也支持使用智慧书法教室的互动教学系统批量采集。可进行视频素材管理。7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8.作品具备装裱功能，可使用中堂、斗方等装裱形式。视频可加多种边框装饰效果。9.可设置展馆的背景音乐，进入展馆后自动播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1）参观者可查看作品介绍、作者介绍，可对作品或视频进行点赞或留言。点击作品时，可对作品进行全幅画面欣赏，也可自由缩放展示。（2）支持参观者使用3D形象，不同参观者进入虚拟展馆后可以看到其他参观者的实时位置以及走动过程，点击其他参观者，可进行互动交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（3）支持在虚拟场景中进行专注方式观赏。专注方式下，可打开或关闭房间灯光，可打开探照灯聚焦显示关键区域，也可打开灯光跟随效果，随时照明用户周围区域的作品。</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07A95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34E7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27F26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B3D2A1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582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862006">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668D1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高清网络多通道同步传输系统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C511C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1.网络类型：RJ45、无线WiFi；2.通过网络将教师端软件系统同步传输到交互式数字临摹台；3.传输内容：教师端视频、教师端音频、教师端图片、教师端文本；4.支持通过网络与所有终端进行通信。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E8553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4F49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3276F0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740D82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FD4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60AF3C0">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A0007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学生镇尺</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6EE41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专业镇尺。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9EA47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D7476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7B8D25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BDD2C9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102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6153457">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CB74E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学生毛笔</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94241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学生练习专用毛笔。 兼毫中锋。</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0C588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1679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E89F92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F19397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827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D87FAF">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5D091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多功能墨盒</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5F517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墨盒嵌入在桌面；材质：ABS；2.外观尺寸：≤140×80×33mm；墨盒盖尺寸：≤140.mm×80.mm×6.5mm；墨盒右边水池：≤46×67mm，墨盒左上墨水池：≤33×56mm，左下舔笔台：≤33×56mm，左上角引流槽一个。3.墨盒采用微倒扣防挥发设计，所盛墨汁可保持百日以上不干涸。墨盒集刮笔、舔笔、润笔功能于一体。</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1E14D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0550E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B32660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FF1245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7CD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1AADC98">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27F30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毛毡</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89C1C3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规格：不小于30×50cm；支持铺在交互式临摹台上，再铺上宣纸临摹，还能清晰的看见1cm大小的电子字帖。</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3D74A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93CD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360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E67C92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E8461C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1BC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B76550">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6467A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临摹专用纸</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77CA2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书法专用临摹纸，100张/包。吸墨性好，且不透墨。</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45D16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FFBC1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CD8094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901723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E3B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C0DA9D7">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04149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中控系统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C7E1B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开机界面即是智慧书法教学系统平台界面，通过主机系统直接控制书法直播系统、大屏、软件等软硬件；2.支持统一授课模式，把教师端软件直接同步到学生端交互式数字临摹台；3.教师在控制系统软件平台上直接可以切换到自主学习模式，学生独立使用临摹台上的学生端软件；4.支持所有学生端临摹台智能洗笔的统一控制；5.系统平台有独立的音乐背景模块软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DD337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DC9C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041A42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C6F7BE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17B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B561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0743E8FC">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45B860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4F4B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4309B60">
            <w:pPr>
              <w:jc w:val="center"/>
              <w:rPr>
                <w:rFonts w:hint="eastAsia" w:ascii="微软雅黑" w:hAnsi="微软雅黑" w:eastAsia="微软雅黑" w:cs="微软雅黑"/>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DC3B63C">
            <w:pPr>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光明小学总计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637506C">
            <w:pPr>
              <w:jc w:val="center"/>
              <w:rPr>
                <w:rFonts w:hint="default" w:ascii="微软雅黑" w:hAnsi="微软雅黑" w:eastAsia="微软雅黑" w:cs="微软雅黑"/>
                <w:b/>
                <w:bCs/>
                <w:i w:val="0"/>
                <w:iCs w:val="0"/>
                <w:color w:val="000000"/>
                <w:kern w:val="0"/>
                <w:sz w:val="24"/>
                <w:szCs w:val="24"/>
                <w:u w:val="none"/>
                <w:lang w:val="en-US" w:eastAsia="zh-CN" w:bidi="ar"/>
              </w:rPr>
            </w:pPr>
          </w:p>
        </w:tc>
      </w:tr>
      <w:tr w14:paraId="5D22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322C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0610E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6D3BE4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苏店学校</w:t>
            </w:r>
          </w:p>
        </w:tc>
      </w:tr>
      <w:tr w14:paraId="30AA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4A04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DC4A7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59B2DB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（一）苏店学校中学书法教室</w:t>
            </w:r>
          </w:p>
        </w:tc>
      </w:tr>
      <w:tr w14:paraId="62E8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7C6E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55</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CB53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交互式数字临摹台</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88B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  1.一体化设计，基于iOS或者Android系统，支持远程升级。高清临摹：支持学生用宣纸、毛笔传统的方式进行高清临摹，能临摹长宽均不大于1cm的电子字帖。</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2.临摹台支持网络供电功能，只需要在临摹台的网络接口插入一根网线，即可实现临摹台的供电和网络接入的功能。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4.高可视角度：＞80/80/80/80（上下左右）；</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5.摹帖屏可承重60kg以上无裂痕；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6.防水：临摹屏支持防水功能；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7.耐磨：临摹区面板可抗击100000次以上自然摩擦无划痕；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8.护眼功能：发光柔和护眼，亮度低于260cd/m2；</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9.支持RJ45接口；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10.支持WiFi连接；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11.摹帖屏显示尺寸：＞45cm×25cm；分辨率：≥1920×1080；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12.临摹台外置分体式接口：耳机插孔、USB接口、电源开关，并将分体式接口嵌入在临摹桌桌面前侧（学生座位一侧）；</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13.支持自主学习模式下的碑帖临摹功能；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14.支持一键自动更新碑帖功能；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15.支持一键系统整体升级功能；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16.上电自动开机，直接进入学生自主学习软件界面，通过学校、班级、账号、密码登录，直接触控操作软件系统；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17.碑帖系统：支持碑帖手指八点触控放大缩小功能，支持临帖电子毛毡功能，电子毛毡能触控放大缩小，位置随意摆放，支持碑帖通过年代、字体、作者搜索选择功能；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18.练习系统：支持字体排版功能，支持书体、作者、字形、笔类、笔画、偏旁、结构排版字体，支持字格数量的设置功能，支持米字格、田字格、九宫格、田回格、大方格多种背景随意变化，支持一键清空功能；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19.名家课堂系统：具备专家视频课程。</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20.支持软件方式调节音量和亮度的功能；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21.支持统一授课模式和自主学习模式切换功能，模式切换由老师控制；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22.支持学生通过自己账号登陆书法学习平台，拍照上传自己的书法作品，支持将软笔书写过程进行录制上传，同时支持查看自己的历史作品和书写过程视频记录（该功能需配备教学互动系统）；</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23.临摹台的学习书法软件平台有“润笔”和“洗笔”按钮，通过软件触控操作，智能笔洗自动出水。</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24.包含颜体1、颜体2、欧、柳、赵5套基本课程，每一课都包含“基础知识”、“初步印象”、“继续观察”、“示范讲解”、“动手体验”、“知识扩展”、“课堂练习”、“课堂检测”、“回帖学习”等教学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25.教学环节---基础知识：根据本节课的内容设计基础知识的内容，书法知识涉及笔墨纸砚基本工具、书写姿势、握笔姿势基本要求以及书家、书写材料、碑帖知识、书论一系列内容。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26、教学环节---继续观察：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27.教学环节---知识扩展：包括本节课典型例字的文字源流，列出甲骨文、篆书、隶书、草书、行书、楷书的图片，同时以文字的方式列出“说文解字”的内容。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28、（1）教学环节---初步印象：根据每节课的核心内容（例如重点笔画、偏旁部首或者结构）。系统给出4个左右的开放性“印象说法”。</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教学环节---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教学环节---书体对比：在示范讲解环节中要包括例字的书体对比，支持每个例字自动调取欧体、颜体、柳体、赵体、隶书、篆书、行书、草书字帖进行对比，当该字的某书体有多字时支持选字，选出的字帖要包括书体、书家、碑帖名称，选出的所有字帖以放大的方式呈现在屏幕上。（4）教学环节---动手体验：包含“试一试”、“拼一拼”、“写一写”等环节，在“试一试”环节中，通过单钩、双钩、画轮廓的练习，让学生去感知笔画和结构；在“拼一拼”环节中，将例字分解成几部分推送到学生临摹台，让学生通过拼字游戏进一步对结构进行感知和实践；在“写一写”环节中，让学生进行摹写和临写，并且将笔法图放在最左边。（5）教学环节---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6）教学环节---课堂检测：通过学生互动终端将练习上传交互式数字临摹台（不能通过手机拍照来上传），在交互式数字临摹台能对学生的练习进行智能评测，从笔画、结构、整体自动生成文字型问题描述、配合图片指出问题并给出改进建议；可对练习中单字的每个笔画进行自动智能评价，对有问题的笔画自动突出标识，并可自动将作业中的每个笔画与原帖的笔画进行图片对比，对书写出现问题的每一个笔画都自动描述书写问题，并自动给出指导意见；对结构智能评测时，按照每个字的评价维度，自动描述该字的结构方面出现的每一个问题，并自动给出文字性的指导建议，针对书写出现的每个问题都自动给出指导图片和书写指导视频。（7）教学环节---回帖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7358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2EE78D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right w:val="single" w:color="000000" w:sz="4" w:space="0"/>
            </w:tcBorders>
            <w:noWrap w:val="0"/>
            <w:vAlign w:val="center"/>
          </w:tcPr>
          <w:p w14:paraId="4258EB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7C8EF9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5B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8"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A71E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9335C2">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E18E9C">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22DD5F">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72B9BD">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4DB175E">
            <w:pPr>
              <w:jc w:val="center"/>
              <w:rPr>
                <w:rFonts w:hint="eastAsia" w:ascii="微软雅黑" w:hAnsi="微软雅黑" w:eastAsia="微软雅黑" w:cs="微软雅黑"/>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A441788">
            <w:pPr>
              <w:jc w:val="center"/>
              <w:rPr>
                <w:rFonts w:hint="eastAsia" w:ascii="微软雅黑" w:hAnsi="微软雅黑" w:eastAsia="微软雅黑" w:cs="微软雅黑"/>
                <w:i w:val="0"/>
                <w:iCs w:val="0"/>
                <w:color w:val="000000"/>
                <w:sz w:val="24"/>
                <w:szCs w:val="24"/>
                <w:u w:val="none"/>
              </w:rPr>
            </w:pPr>
          </w:p>
        </w:tc>
      </w:tr>
      <w:tr w14:paraId="37F6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A384D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1DD36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教师中控条案</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2A0B64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规格：≥200cm×80cm×75cm，实木结构；2.古典书桌设计，烤漆处理；3.全部卯榫结构；4.支持将本方案中的中控、教师手绘屏、直播系统集成在中控条案中；5.砚台：≥20cm×13cm×2.5cm，材质：螺纹石；6.毛笔笔架：≥36cm×34cm×10cm，材质:鸡翅木；7.笔洗：≥7.5cm×20cm，材质：优质陶瓷；8.砚台水滴：陶瓷；9.镇尺：加重型黑梓木；10.笔搁：卧式笔架，材质：实木；11.毛毡：≥1×2米，可以水洗反复使用；12.笔筒：≥12.5cm×9.5cm，材质:黑檀；13.毛笔套装：笔头材质为纯狼毫；笔杆材质：天然黑湘妃；14.配套实木方凳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741B6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FF77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80FD14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8F2CF0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0A5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2D43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1BD6B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书法临摹桌</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371F0E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仿古设计，弧形腿，框架结构：松木；2.规格：≤134cm×60cm×75cm；左右两边两个墨盒孔，长宽：≤13.8cm×7.8cm；左右两边两个临摹台开关孔，长宽：≤7.5cm×1.8cm；洗笔器开关孔直径：≤1.6cm；桌面厚度：≥3.5cm；3.交互式数字临摹台能无缝嵌入至书法桌，嵌入后临摹台与书法桌表面水平，为一体化设计；4.书法桌学生一侧具有嵌入式临摹台开关，音频接口，USB接口；5.专业笔搁；6.配套实木方凳2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AA8F07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4925E8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D5EF8B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8E3AE2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840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F0F0B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58</w:t>
            </w:r>
          </w:p>
        </w:tc>
        <w:tc>
          <w:tcPr>
            <w:tcW w:w="115" w:type="pct"/>
            <w:tcBorders>
              <w:top w:val="single" w:color="000000" w:sz="4" w:space="0"/>
              <w:left w:val="single" w:color="000000" w:sz="4" w:space="0"/>
              <w:bottom w:val="single" w:color="000000" w:sz="4" w:space="0"/>
              <w:right w:val="single" w:color="000000" w:sz="4" w:space="0"/>
            </w:tcBorders>
            <w:noWrap w:val="0"/>
            <w:vAlign w:val="center"/>
          </w:tcPr>
          <w:p w14:paraId="56A453CF">
            <w:pPr>
              <w:keepNext w:val="0"/>
              <w:keepLines w:val="0"/>
              <w:widowControl/>
              <w:suppressLineNumbers w:val="0"/>
              <w:jc w:val="right"/>
              <w:textAlignment w:val="cente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7A33F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智能笔洗系统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AF2AB7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教师端通过书法教学系统软件控制笔洗，具备一键启用、禁用笔洗系统和教师端一键洗笔功能，当启用笔洗系统时，学生可以通过临摹台控制自己座位上的笔洗，当开启一键洗笔功能时，洗笔系统会自动出水；2.洗笔系统具备临摹台控制模式和教师端系统一键洗笔模式；3.学生触控临摹台软件界面控制笔洗，可以选择润笔功能、洗笔功能选项，学生可以根据需要进行选择；4.教师端系统一键洗笔功能下，教师端系统可以一键开启所有临摹台的笔洗，学生获得30秒的洗笔时间，30秒后笔洗自动关闭；5.笔洗系统启动后，笔洗漏斗内始终保持2cm高水位的存水量；6.笔洗系统的出水口不超过桌面(在笔洗漏斗的上口平面以下）、笔洗系统的漏斗具有防溢出功能。直径10cm防溢出漏斗1个。</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0286D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A74D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26</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D38FDB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82C523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6642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4E441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3C83B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书画教学展示台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BDCC66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1.拍摄架：≥10千克，全金属构架,铝合金底座，摄像机竖立的主支架杆须立于拍摄架底座板的左上角；</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2.支持清晰拍摄软硬笔的书写；</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3.配置3台摄像机从不同角度拍摄；</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4.摄像机3台。</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（1）拍摄面积：大于A3幅面（距离镜头≥45cm处）；长宽高：≤120mm×70mm×70mm，直播画面分辨率：≥1920×1080，自动亮度调节；支持自动对焦功能。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（2）总像素：≥500万；帧数：≥30FPS，实时输出画面高速流畅，移动展示物体无明显拖尾、模糊、延迟等现象；</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5.支持保存镜头位置，支持≥6个档位设置，需要时可一键调出，自动恢复到相应位置；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1）支持场景式网络课堂教学系统直接调取3台摄像机使用；（2）支持正面摄像机、侧面摄像机拍摄长宽均不大于3毫米的字（可清晰辨识文字内容），拍摄高度不低于65厘米；（3）摄像机机壳为全封闭结构，镜头必须封闭在摄像机机壳内部，防止落尘或者不慎操作损坏镜头；（4）软件界面可调整缩放倍数，并立即展示缩放后的效果。缩放后可全自动对焦清晰显示或通过软件界面手动对焦清晰显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710C5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EB7C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D37287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92BCE3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49B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D8F24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EED72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书法教学直播系统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8782FD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支持连接书画教学展示台的三台摄像机同时拍摄直播、录像，其中两台摄像机进行同时拍摄录课，另一台摄像机录制授课特写画面；2.软件界面同时显示正面、侧面、特写三个画面，并在画面上进行标识，画面上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3.支持快镜头播放、暂停功能；4.支持慢镜头播放、暂停功能；5.支持摄像机自动录音功能，软件调节声音大小；6.支持在画面上任意批注功能；7.教师在示范书写的时候，可以在界面同时展现要示范的例字的视频、例字多个字体、例字的多个碑帖，显示在软件摄像机拍摄的界面，字帖可随意放大缩小，可随意放在软件界面的任何位置；8.支持一键抓图、看图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3E391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B352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0D2168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FD179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003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1960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CB8A3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书法分组教学软件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703BF2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由智慧书法教学系统界面进入；2.点击分组教学，进入分组教学软件界面，点击布局进入班级布局界面，支持新增班级名称、修改班级名称、删除班级功能、新增学生（包括姓名、生日、性别、账号、密码）、修改学生信息、删除学生信息。具备成批录入学生的功能;3.布局的行、列的数量可以自行设置，具备按行顺序排位、按列顺序排位、按行随机排位、按列随机排位的功能。4.新增分组功能要求分组数量、每组人数不受限制，选择改组组员，具有一键全选、一键选取全列、一键选取全行，支持按住鼠标左键任意拖选学生进入分组。点击组名，要求指派任务、重编组员、修改分组组名、解散本组的功能。5.点击任意一个组名进入指派任务界面，要求能指派该组听课、自学、字帖、碑帖、集创、兴趣体验的功能。6.点击任意一个组名进入指派任务界面，选择字帖指派界面，能指派软笔、硬笔字帖，字帖选择范围不少于3种笔类、5种字体、20个作者、30个作品的字帖，支持字帖搜索功能，支持一键重置功能。搜索界面要求界面右边出现搜索字的所有字帖，并标明作者和字帖名称。7.点击任意一个组名进入指派任务界面，选择碑帖指派界面，要求能推送不低于80套古代名家的碑帖，其中要求王羲之的字帖不低于20套，颜真卿的碑帖不低于12套，欧阳询的碑帖不低于8套，赵孟頫的字帖不低于25套，苏轼的字帖不低于20套，支持碑帖搜索功能。8.点击任意一个组名进入指派任务界面，选择集创指派界面，要求能指派折扇、团扇、条幅、横幅、斗方、对联、中堂不同类型的作品，作品总数不低于150个。9.点击任意一个组名进入指派任务界面，选择兴趣体验指派界面，要求能指派“我会识书体”兴趣体验（必须包括“我会识欧体”、“我会识颜体”、“我会识柳体”、“我会识赵体”）、“我会拼字体”兴趣体验（必须包括“我会拼欧体”、“我会拼颜体”、“我会拼柳体”、“我会拼赵体”）、“碑帖寻美文”、“拓碑”、“辩音识字”兴趣体验教学。10.兴趣体验识书体模块：支持欧体、颜体、柳体、赵体四大书体的字体识别，从屏幕上方随机降落单字字帖，要求学生在临摹台点击降落的字帖，系统自动判断“正确”或者“错误”，并自动进入正确和错误的篮子中，正确书体的字帖降落至屏幕底端前未被点击，将判断为“丢失”，要求能查看正确、错误、丢失的个数，以及错误和丢失的详细情况，告知错误的原因。错误或丢失次数达到五次，体验自动结束。体验过程中支持查看本人得分和班级最高分，体验结束后支持查看排名榜，支持学生点击“重新开始”进入体验。字帖下落的速度越来越快。11.兴趣体验拼字体模块：要求欧体、颜体、柳体、赵体每个体不低于100个字供学生进行拼字体验。学生在临摹台上通过触控拖字的方式进行拼字体验，系统将打散的笔画推送到学生临摹台，学生拖动零部件到米字格中，所有部件摆放到米字格内适当位置后点击“完成拼字”，系统自动进行重叠对照和原帖对照，系统自动对比原帖并给出评分，并支持在教师端和学生临摹台实时查看得分榜。</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兴趣体验拓碑模块：支持学生端临摹台观看拓碑过程视频和拓碑过程体验。第一步，清洁碑面，触动碑面，会出现清洁刷；第二步，涂胶，触动碑面出现涂胶滚动工具；第三步，上纸，动画展示上纸过程；第四步，椎拓，触控碑面用鬃刷体验；第五步，上墨，通过手指滑动给碑面全部抹上墨；第六步，取下拓片，展示在临摹台之间，完成体验。</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1）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2）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识别方式为敲打从地洞举牌跳出来的小动物，举牌上为需要识别的字帖，击打正确得到金币，击打错误会被减分。击打道具不少于5种，小动物的形象类型不少于5种，要求体验过程中有闪电等特效。要求教师端实时查看前三名的金币数量排名，以及体验时长。要求教师可随时终止体验。</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595FD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034F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right w:val="single" w:color="000000" w:sz="4" w:space="0"/>
            </w:tcBorders>
            <w:noWrap w:val="0"/>
            <w:vAlign w:val="center"/>
          </w:tcPr>
          <w:p w14:paraId="7ADDDA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4D961D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EDB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9239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3DEDD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电子点签系统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478BB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可按年级、班级进行自动电子排座；2.支持自动按行、列随机或者自动排位；3.支持排位信息自动发布到相对应的交互式数字临摹台，并把学生姓名显示在临摹台上；4.学生按照临摹台上的姓名就坐，并通过手指触控的方式点击自己的姓名，实现签到功能；5.老师自动获取学生签到信息，明确知道学生上课考勤情况；6.支持自动统计学生考勤情况，查看历史详情；7.支持批量导入学生信息；</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4A06B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58A6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425027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A35B6A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3F96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AFAE6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2F346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书法字帖排版系统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7B63F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1-500个字内，任意字体数量排版功能，随意设置字格大小，调节字格的宽、高，支持鼠标滚轮选择模板。2.支持拼音搜索，可同时输入多字拼音，直接搜索多字；支持多字文本搜索；支持书写字体历史记录。3.演示汉字笔顺功能：具备一笔一划功能，每一笔划自动按照顺序排列组成单字。动态笔划功能，每一笔以动画起笔收笔的方式，按照笔划顺序展现。具备笔划分拆功能，每一笔都占一格，书写过的笔划用彩色标识出来，整体直观展现单字笔划过程。每个字的偏旁和非偏旁部分，都是通过两种颜色区分出来。4.支持在软件界面直接点播现代书法家书写的颜欧柳赵及字体中偏旁、例字的视频。可以实时同步临摹台显示。5.支持字帖文件随意排版及混排。6.支持电子字帖全屏显示，通过调整排版规格可控制每个字的大小和位置。7.内置篆、隶、楷、行、草五种软笔字体字帖文件，不少于2万字的字帖库资源。8.支持米字格、回字格、九宫格、田字格、大方格选项。9.支持进行集字练习；具备一键排版六步教学法。10.支持边看边练，左边是书法家视频教学，右边是学生临摹书法家字帖功能；11.支持字体使用的历史记录；12.支持老师自定义适合自己教学的排版模板；13.支持一字多体排版；14.支持硬笔字体排版，学生临摹。</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59938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3238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0851A6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961D1D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098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09056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2CB85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书法集创系统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BCF06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支持折扇、团扇、条幅、横幅、斗方、对联、中堂等模式集字创作功能，从1言到500言随意编辑排版功能，支持字体大小缩放功能；2.支持自定义创作作品类型功能；3.支持字体自适应大小功能，后面排版的字体自动适应第一个排版好的字体大小；4.支持自适应角度调整，字体智能化自动调整摆放角度；5.支持文件新建、修改、保存、放大缩小、临摹功能；6.包含重修三门记、陋室铭、六体千字文、灵隐禅师塔铭、黄庭经、淮云院记、后赤壁赋、归来辞去、道德经、东铭、大学、感兴诗并序、多宝塔碑、颜勤礼碑、颜家庙碑、颜体合成创作、赵体合成创作等多个创作字体模块内容；7.支持一键还原功能；8.支持文字和拼音搜索功能；9.在配置互动模块时，支持老师一键收取学习集创练习作品的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4CC2C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B611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C5FD36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EFCEFF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8C3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F552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C327F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三笔字板书示范书写软件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390F50A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软件支持选用白板、黑板、宣纸和画布四种模式作为背景底纹；2.软件支持米字格、田字格、田回格、九宫格、方格和无格作为写字用底格；3.软件排版支持从一字格到十五字格共十种不同排版方式；4.笔型：支持毛笔、铅笔、钢笔、粉笔、刀笔、水彩笔、艺术笔1、艺术笔2、艺术笔3、艺术笔4、标注、橡皮共12种书写功能。5.软件支持标注和具有橡皮擦功能；6.支持笔锋粗细、浓度、锐利可调控；7.支持色板，颜色可自由设置；8.具有全屏显示功能；9.支持在字体排版软件界面、视频资源库软件界面、视频直播软件界面、碑帖查询软件界面、课程讲义软件界面进行批注、点评功能；10.支持一键清屏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F5EFF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54A9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8B7F4E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1423AB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74A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F25A7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CE0D4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书法教学视频资源平台</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33C45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具备对平台资源进行控制、查询、播放及备课调整功能。2.内置三年级、四年级、五年级、六年级、初级、中级（一）、中级（二）、高级的高清毛笔书法示范讲解视频。3.含各年级课时的毛笔示范视频，针对每一个字，每一个笔画都有教学视频。4.每个视频都配有教学音频讲解。5.视频资源均为高清拍摄，可观察运笔方式。6.视频资源按照每一例字的结构、笔画、结体规律进行分类，可以一键式调取任一课时内的视频资料。7.支持老师管理密码功能。8.支持批注功能。9.支持硬笔视频资源。</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CE81A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C873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33BAB0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C60174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354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2A7B2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AECDA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书法教学查询系统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5D2D4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碑帖资源查询可实现通过年代、作者、字帖名字进行智能化检索，并可任意放大缩小拖动字帖。2.支持通过原图模式、高光模式、荧光模式、红外模式、3D模式进行碑帖的查看欣赏以及临摹。3.创作碑帖素材查询可通过关键字检索功能来搜索相应的碑帖素材。4.支持输入文字、拼音搜索功能，支持临摹、欣赏选项按钮；支持黑白反向功能，原贴是白底黑字的可以直接转换成黑底白字，原贴是黑底白字的可以直接转换成白底黑字。5.内含中国历代高清碑帖，包含临摹范本全部碑帖，有楷书、隶书、行书；包含欣赏作品全部碑帖，有篆、隶、草、楷、行五种字体。包含其他碑帖，包含篆、隶、草、楷、行五种字体，不少于10000张。6.支持批注功能。</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21E0F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AD19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5FA232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A96099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DD3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5851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68</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5765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场景式网络课堂教学系统</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52303A0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教师授课端软件：1.软件必须是从智慧书法教学系统界面直接点击进入。2.支持教师创建自己的直播课程，直播课程中可包含多个章节与课时，每个课时均可独立直播，也可单独设置直播时间。每个直播课程均可进行分类，支持课程定价以及点播时收费，课程可以设置课程名称，可上传图片封面。图片封面支持放大、缩小、剪切，还可实时预览效果，可设置简介，还可增加详细图文介绍。图文介绍包含以下功能：文字加粗，文字倾斜，文字下划线，文字删除线，段落靠左，段落居中，段落靠后，段落居中自动调整，支持设置段落编号或设置段落图形，支持设置左右缩进，支持设置文字颜色，文字背景色，支持插入链接，支持插入图形，也可插入网络视频，支持清除格式。创建课程时，支持加入多个章节，每个章节均可独立定义名称。创建章节后，每个章节均可增加多个独立课时。均可自定义本课时名称。课时分为直播、点播两种，点播课时可上传视频文件供点播使用，上传视频文件后可自动计算并展现本课时时长。直播课时可定义直播开始的日期以及时间，支持一键查看当前时间。编辑课时时，支持通过图标区分点播和直播课程。支持课时跨章节直接拖拽调整结构。3.教师申请功能，支持通过输入教师姓名、手机号、短信验证、密码设置、个人介绍、头像等信息，提交注册，可查询审核状态，查询时需要手机验证码审核教师身份。支持待审核课程查询，支持通过课程名称查询，支持通过注册时间查询，支持通过审核状态查询。可一键取消课程审核申请。可一键查看审核状态。4.可分类查看拥有的所有课程列表，可通过名称或名称简写对课程进行模糊查询。可修改课程。修改内容包括，课程分类，课程名称，课程价格，课程封面，简介与详情，可重新编辑章节，还可重新编辑所有课时，编辑后自动进入审核状态。可删除课程。可查看最近的直播情况。支持查看针对某个课程的订单数量以及预估收益，具备一年期间的购买趋势分析图，可查看用户评价，并对不同星级评价分类统计百分比，可按各种星级评价查看该星级下的所有观看者的评价。学校可自定义收费课程，支持课程账户管理，支持银行卡管理，自动计算可提现金额，支持提现到指定银行卡，可查询累计收入，可以直方图方式展示最近一年内的购买趋势。可按照课程名称以及订单时间查询订购记录，对所有提现可按照提现时间列出明细，也可以根据提现时间进行查询，支持用户打赏，可查询一段时间内的打赏明细。5.教师现场直播授课时，可切换不同的三维场景，三维场景支持不低于4个不同位置的场景大屏设置，不同的大屏可同时播放不同的内容。可将视频设置到三维场景的场景大屏，并在所有学生端同时进行播放。直播授课时，教师能同时调入6个或以上视频、3个或以上的摄像机、以及3个或以上的ppt在同一个界面上进行播放，并且上述的每个画面都可分别进行大小调整，学生端能同时观看上述的所有画面。教师可针对正在授课的任意一个视频设置任意的播放位置，并立即生效。可将教师的实时授课画面设置到三维场景的场景大屏并同时播放，并同步传输至学生端；教师在直播授课时支持随时插入PPT并进行及时播放；在直播授课时能设置字幕动画，并立即生效、学生进行观看。6.课程同时支持直播与点播。支持下载所有课程的视频，支持视频本地编辑后再次上传更新。支持在线预览。现场直播授课的同时，系统可自动录制直播课堂的所有视频或者授课过程，并形成课程供学生进行回放观看。7.三维场景支持远景、近景、特写，直播授课过程中教师可以任意切换三种方式，切换后学生端立即生效、进行观看。三维场景支持摇臂、进、退的动画模式，直播授课过程中教师可以任意切换三种动画模式，切换后学生端立即生效、进行观看。支持传输控制、减少噪点和减少阴影的设置。支持视频的亮度、对比度、伽马值、色调的设置。支持设置帧率、颜色空间和输出大小。教师授课直播时可切换为画中画方式。直播授课时可设置让图像翻转；支持单独对音频进行音量大小、播放位置的设置。支持字幕编辑功能，并可选择字体、大小、颜色。支持文字和图片的滚动设置，支持设置滚动方向和速度。文字样式可设置加粗、下划线、删除线、倾斜。8.在课时详情中一键进入直播。支持一键初始化直播配置。支持修改密码，修改密码时，支持通过手机号进行二次验证。支持设备测试功能，可测试多个摄像头和多个麦克风等设备，展现测试结果，支持重新检测。支持预览所有带摄像头的客户端的实时视频，支持与其中某个观众进行视频连线交流，交流期间，其他用户均可观看交互过程。以画中画形式展示双方视频，可切换放大本方或客户端视频。直播期间，可通过微信扫码将视频推送到微信群或微信好友。支持限制转发功能。支持老师禁言或请出的功能。教师现场直播授课时，直播场景内容自动加载上次退出时的配置，可以直播教师端直播系统摄像头拍摄内容，可以直播临摹台学生书写过程，可以共享教师屏幕，支持多显示器一键切换，可以添加全局背景音乐，支持设置背景音乐音量、进度、是否循环播放，更换背景音乐，要求直播讲师端、PC端、移动端这三端互通。二、接收客户端软件：9.客户端软件必须是从智慧书法教学系统界面直接进入。10.支持查看当前以及即将开播的直播课程，可查看当前的热门课程，还可查看全部可用课程。可查询当前以及随后一周内的正在直播的课程，以及待直播的课程。直播课程课程开始前，系统自动为订阅用户发送提醒收看的短信。可查询最新课程和热门课程。可查看课程列表以及课程的详细信息，可查看教师介绍以及课程介绍。教师介绍包括教师的个人详情，还包括教师的所有已开放的在线课程，包括直播与点播课程。课程详情中包含，课程的介绍，以及课程的章节与所有具体课时，每个课时均可显示课程时长，观看完毕后系统可自动记录并调取本课程最后一次所学的课时，支持从此课时后继续学习。可查看本课程的热门程度以及订购费用。11.支持通过课时列表点击后直接进入直播或点播观看界面，在此界面中可以查看课程详细信息，包括课程名称，教师，以及所有章节中的课时。查看课程详情时，支持一键进入点播或直播。播放中可随时调整视频质量，包括标清、高清、超清。支持1080P视频播放。观看直播时，可查看直播开始时间、参与人数、教师信息，可切换视频质量，包括标清、高清以及超清，可全屏，可预览本地摄像头，支持举手发言功能。支持视频互动，互动时，可允许主播通过视频方式与本地进行交流。可查看当前在线人数以及用户明细，可以与当前所有在线用户以及教师进行文字聊天，可以发送表情图形。可支持表情与文本混合发送，可支持200字的文本内容。12.支持查看学习历史记录，并可进行复习。可查看个人的所有订单，以及费用明细，可通过课程名称以及订单时间查询订单详情。支持修改个人信息，包括昵称、手机号码以及头像，头像支持放大、缩小、剪切，还可实时预览效果。13.客户端学习点播课程可以从上次学习位置开始播放：将课程加入学习后，进入某个点播课程时，自动从上次退出时的播放位置开始播放，比如某个课时上次看了5分钟，那么这次播放时会自动从5分钟开始播放。14.可查看所有教师以及教师的详细介绍，还可以查看教师的课程列表并播放相应课程。可按照课程分类，课程名称，教师姓名对课程进行搜索。三、移动客户端软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15.支持通过安卓以及IOS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购买付费课时，并在个人中心查看已购课时，以及订单详情。可修改个人资料包括昵称、手机号，支持通过手机验证码验证用户个人身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16.要求通过微信扫码进入直播间，并与讲师、PC端用户三方进行文字、表情符号交流。支持进入课时讨论组与PC端用户以及教师同时交流。可在线咨询系统客服。移动端学习点播课程可以从上次学习位置开始播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7014549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0038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right w:val="single" w:color="000000" w:sz="4" w:space="0"/>
            </w:tcBorders>
            <w:noWrap w:val="0"/>
            <w:vAlign w:val="center"/>
          </w:tcPr>
          <w:p w14:paraId="4DA8704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ADFF6B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094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3"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004F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A03E06">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ADF5E1">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2A754">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6D5EE">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D4A0468">
            <w:pPr>
              <w:jc w:val="center"/>
              <w:rPr>
                <w:rFonts w:hint="eastAsia" w:ascii="微软雅黑" w:hAnsi="微软雅黑" w:eastAsia="微软雅黑" w:cs="微软雅黑"/>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4B4E23C4">
            <w:pPr>
              <w:jc w:val="center"/>
              <w:rPr>
                <w:rFonts w:hint="eastAsia" w:ascii="微软雅黑" w:hAnsi="微软雅黑" w:eastAsia="微软雅黑" w:cs="微软雅黑"/>
                <w:i w:val="0"/>
                <w:iCs w:val="0"/>
                <w:color w:val="000000"/>
                <w:sz w:val="24"/>
                <w:szCs w:val="24"/>
                <w:u w:val="none"/>
              </w:rPr>
            </w:pPr>
          </w:p>
        </w:tc>
      </w:tr>
      <w:tr w14:paraId="4274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CEFC6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69</w:t>
            </w:r>
          </w:p>
        </w:tc>
        <w:tc>
          <w:tcPr>
            <w:tcW w:w="38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272B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书法课程讲义系统</w:t>
            </w:r>
          </w:p>
        </w:tc>
        <w:tc>
          <w:tcPr>
            <w:tcW w:w="3235"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5712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1.系统全部课程不少于700课时；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3.包括三年级、四年级、五年级、六年级的课程，均是独立的软件模块，支持查看范字的书写要点讲解，书写示范视频讲解，单钩、双钩、笔法、示意图，核心示范字的文字演变，每课时都有书法知识点讲解；</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5.配套讲义中每一课都包含“示范讲解”、“观察规律”、“动手体验”、“知识扩展”、“课堂练习”、“课堂检测”、“回帖学习”环节；</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6.示范讲解：包含偏旁、例字的讲解和示范书写。偏旁讲解部分包括书写要点和专家示范视频。例字讲解包括专家示范视频、书写要点，具有拼音、释义、笔画的文字描述、偏旁、结构、书体、作者、作品出处的基本信息，有行笔路线动画（要求手写体），笔顺视图（要求手写体，按照笔顺每幅图增加一个笔画），笔势视图（要求手写体，用箭头、粗细、路线体现出笔画的起笔、行笔、收笔方法），单钩视图（要求手写体），双钩视图，碑帖原图，碑帖修复图（要求按照原帖风格和书体特征进行修复），碑帖修复提取图（修复之后提取，并放在米字格中）。该模块还集成了书体对比、练习等功能。练习功能支持修改例字的底格、换字、自动生成六步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7.书体对比：在示范讲解环节中要包括例字的书体对比，支持每个例字自动调取欧体、颜体、柳体、赵体、隶书、篆书、行书、草书字帖进行对比，当该字的某书体有多种时支持选字，选出的字帖要包括书体、书家、碑帖名称，选出的所有字帖以放大的方式呈现在屏幕上。</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8.观察规律：该功能可培养学生观察能力、对比分析总结能力。同一个字具有不同的书体，通过观察某一笔画（如撇画）或者某一部件（如女部）在该字的不同书体中的形态，总结出该笔画（如撇画）或者该部件（如女部）的一般规律。同时系统给出参考性答案。</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9.动手体验：包含“试一试”、“拼一拼”、“写一写”环节，在“试一试”环节中，通过单钩、双钩、画轮廓的练习，让学生去深度感知笔画和结构；在“拼一拼”环节中，将例字分解成几部分推送到学生临摹台，让学生通过拼字游戏进一步对结构进行感知和实践，并对所有学生进行排名；在“写一写”环节中，让学生进行摹写和临写，并且将笔法图放在最左边，便于学生进行临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知识扩展：包括本节课典型例字的文字源流，列出甲骨文、篆书、隶书、草书、行书、楷书的图片，同时以文字的方式列出“说文解字”的内容。同时包含其他的一个书法类的知识，书法知识涉及到文字、书家、书写材料、碑帖知识、书论等内容。</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11.课堂练习：自动生成本节课的主要例字或者偏旁的字帖供学生练习，字帖按照六步临摹法生成（六步临摹法：摹-摹-摹-临-摹-临），在该软件界面中支持一键换书体、一键换底格（米字格、田字格、九宫格、田回格、大方格）、一键换字体颜色、选择其他例字、修改字格数量、收取作业的功能；</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12.课堂检测：该环节实现收作业并进行智能评测，收取作业通过学生互动终端一次性收取所有学生的作业（不能通过手机拍照来收取作业），收取作业后在教师机界面能看到所有学生的作业图片（在同一界面看到所有图片），并能对任一学生的作业进行智能评测，从笔画、结构、整体自动生成文字型问题描述、配合图片指出问题并给出改进建议。</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13.回帖学习：该环节回归到本节课对应的原始碑帖进行学习，首先在对应的碑帖上用红圈标识出该字，点击该字可出现这个字的基本信息、笔顺视图、行笔路线、笔势视图、单钩视图、双钩视图、碑帖修复图、修复提取图；同时该碑帖上所有的字都能出现对应的简体，所有字都能呈现基本信息、笔顺视图、行笔路线、笔势视图、单钩视图、双钩视图、碑帖修复图、修复提取图。</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FA2B6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F371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1FC079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3005F7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7B8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6" w:hRule="atLeast"/>
          <w:jc w:val="center"/>
        </w:trPr>
        <w:tc>
          <w:tcPr>
            <w:tcW w:w="2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076E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E3DEC4">
            <w:pPr>
              <w:jc w:val="center"/>
              <w:rPr>
                <w:rFonts w:hint="eastAsia" w:ascii="微软雅黑" w:hAnsi="微软雅黑" w:eastAsia="微软雅黑" w:cs="微软雅黑"/>
                <w:i w:val="0"/>
                <w:iCs w:val="0"/>
                <w:color w:val="000000"/>
                <w:sz w:val="24"/>
                <w:szCs w:val="24"/>
                <w:u w:val="none"/>
              </w:rPr>
            </w:pPr>
          </w:p>
        </w:tc>
        <w:tc>
          <w:tcPr>
            <w:tcW w:w="32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83DBF">
            <w:pPr>
              <w:jc w:val="left"/>
              <w:rPr>
                <w:rFonts w:hint="eastAsia" w:ascii="微软雅黑" w:hAnsi="微软雅黑" w:eastAsia="微软雅黑" w:cs="微软雅黑"/>
                <w:i w:val="0"/>
                <w:iCs w:val="0"/>
                <w:color w:val="000000"/>
                <w:sz w:val="22"/>
                <w:szCs w:val="22"/>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A43D66">
            <w:pPr>
              <w:jc w:val="center"/>
              <w:rPr>
                <w:rFonts w:hint="eastAsia" w:ascii="微软雅黑" w:hAnsi="微软雅黑" w:eastAsia="微软雅黑" w:cs="微软雅黑"/>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BADA8">
            <w:pPr>
              <w:jc w:val="center"/>
              <w:rPr>
                <w:rFonts w:hint="eastAsia" w:ascii="微软雅黑" w:hAnsi="微软雅黑" w:eastAsia="微软雅黑" w:cs="微软雅黑"/>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09DCA6C">
            <w:pPr>
              <w:jc w:val="center"/>
              <w:rPr>
                <w:rFonts w:hint="eastAsia" w:ascii="微软雅黑" w:hAnsi="微软雅黑" w:eastAsia="微软雅黑" w:cs="微软雅黑"/>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62159CA">
            <w:pPr>
              <w:jc w:val="center"/>
              <w:rPr>
                <w:rFonts w:hint="eastAsia" w:ascii="微软雅黑" w:hAnsi="微软雅黑" w:eastAsia="微软雅黑" w:cs="微软雅黑"/>
                <w:i w:val="0"/>
                <w:iCs w:val="0"/>
                <w:color w:val="000000"/>
                <w:sz w:val="24"/>
                <w:szCs w:val="24"/>
                <w:u w:val="none"/>
              </w:rPr>
            </w:pPr>
          </w:p>
        </w:tc>
      </w:tr>
      <w:tr w14:paraId="2555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1BA7A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DBBE1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碑帖深度学习软件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5BC3C5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该软件从智慧书法教学系统界面进入，支持打开碑帖深度学习软件，要求在碑帖深度学习软件界面上出现《九成宫碑》、《多宝塔碑》、《玄秘塔碑》、《颜勤礼碑》、《三门记》、《曹全碑》、《兰亭序》。2.点击碑帖名称，出现碑帖的相应图片，要求相应的碑帖图片可进行拖动条、滚轮、数字加减三种方式进行缩放。可通过翻页按钮选择该碑帖的任意一张图片，要求该图片可缩放和拖动，选择图片后鼠标点击碑帖上的任意一个字，要求碑帖上该字的右下角自动出现对应的简体字；3.点击单字后，该单字的碑帖原图出现在界面左侧；再点击左侧的碑帖原图，可查看笔顺图，要求笔顺图中的每一笔为硬笔手写体；4.可查看该字的行笔路线动画，要求行笔路线动画的每一笔为硬笔手写体；5.可查看该字的笔势视图，视图中的每一个笔画的起笔、行笔、转折处要求用手写箭头标识出来；6.可查看该字的单钩视图、双钩视图，单钩视图要求为硬笔手写体；7.可查看碑帖原图和碑帖修复图，要求碑帖修复图为对破损的碑帖进行原意修复，修复后的字帖要求笔画完整、不允许变形、背景干净无污；8.可查看碑帖修复提取图，要求碑帖修复图经过处理后变成背景透明字体，并放在米字格中；9.可查看该字的其他书体，要求该字对应的颜体、欧体、柳体、赵体、隶书、篆书、草书同时自动出现在界面上，并且点击任何一种书体可出现该书体对应的多个字帖，继续点击字帖可以放大的方式自动排列在界面上进行书体对比；10.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的模式进行练习。</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1C384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9E00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665E48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DD1E25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448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03F8D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2E9F4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软笔书法Ai智能评价软件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D3ADD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通过学生互动终端收取学生的书法练习作业。老师可在教师端收集学生的作业。支持查看作业历史记录，并查看某次作业中所有学生的电子版练习作业，也可单独查看某位学生的作业。2.在书法教学云平台的课程讲义软件中，支持对所配套的全部毛笔楷书课程中涉及的所有讲解例字进行自动智能评价。3.支持查看每位学生的书法成长记录。4.点击选择某位学生的书法练习作业，可对作业上的单字或多字同时进行自动智能评测分析，可选取其中任意一个字查看评测结果。5.支持根据学生书写的单字与原帖的符合程度自动进行整体评测打分。6.可对字的结构进行自动智能评测，评测时根据每个字的复杂程度从多个评价维度进行分析（一般五到七个评价维度），不同的字，其评价维度的名称、数量不能完全相同。7.对结构智能评测时，每个字的评价维度均配有教学视频。8.对结构智能评测时，按照每个字的评价维度，自动描述该字的结构方面出现的每一个问题，并自动给出文字性的指导建议，针对书写出现的每个问题都自动给出指导图片和书写指导视频。9.可对作业中单字的所有笔画进行自动智能评价，对有问题的笔画自动突出标识。10.笔画智能评价时，可自动将作业中的每个笔画与原帖的笔画进行图片对比。11.笔画智能评价时，对书写出现问题的每一个笔画都自动描述书写问题，并自动给出指导意见，问题描述与指导意见应具有一定专业性。12.支持对智能评价结果自动生成整体评测报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7526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7117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6BAFCD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EDF9ED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45E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19077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786381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作品虚拟展馆展示系统软件</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1F04D5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虚拟展馆入口支持学校真实场景融入。2.支持展示特定场所的3D实景，支持展示虚拟3D展馆。虚拟展馆设有路径点用于3D漫游。3.虚拟展馆可展示书法作品、美术作品、碑帖图等，也可展示视频，视频支持自动播放和手动播放两种方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4.支持在虚拟场景中通过键盘控制进行平滑移动，也可通过预设的位置点进行快速移动，还可调出快速导航功能，进行房间切换或场景切换。</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5.可设置学校简介，学校简介包含文字描述以及封面图片。6.可进行作品管理，作品可单独上传，也支持使用智慧书法教室的互动教学系统批量采集。可进行视频素材管理。7支持创建基于真实场景、虚拟场景或真实虚拟场景混合的展馆。系统内置多套不同风格的虚拟场景建筑设计方案，用户可使用不同方案进行自由组合，方案内的各种建筑还可自主设计布局。虚拟展馆搭建后，可将作品、视频布置到真实场景或虚拟场景中。8.作品具备装裱功能，可使用中堂、斗方等装裱形式。视频可加多种边框装饰效果。9.可设置展馆的背景音乐，进入展馆后自动播放。</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10（1）参观者可查看作品介绍、作者介绍，可对作品或视频进行点赞或留言。点击作品时，可对作品进行全幅画面欣赏，也可自由缩放展示。（2）支持参观者使用3D形象，不同参观者进入虚拟展馆后可以看到其他参观者的实时位置以及走动过程，点击其他参观者，可进行互动交流。</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（3）支持在虚拟场景中进行专注方式观赏。专注方式下，可打开或关闭房间灯光，可打开探照灯聚焦显示关键区域，也可打开灯光跟随效果，随时照明用户周围区域的作品。</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40C8B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7847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C0EAFA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43ACE9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3C6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DB1A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8B152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高清网络多通道同步传输系统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65C212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1.网络类型：RJ45、无线WiFi；2.通过网络将教师端软件系统同步传输到交互式数字临摹台；3.传输内容：教师端视频、教师端音频、教师端图片、教师端文本；4.支持通过网络与所有终端进行通信。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822B3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D626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69064D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BAB4BD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26C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5F439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60D9E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学生镇尺</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8CA67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专业镇尺。</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8B045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对</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0DE7A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0D1F59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C1C1F7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DFD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A865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B2E0B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学生毛笔</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4E7762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学生练习专用毛笔。 兼毫中锋。</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44590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2938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7C09873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A87870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1DD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0C87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944C5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多功能墨盒</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24AF07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墨盒嵌入在桌面；材质：ABS；2.外观尺寸：≤140×80×33mm；墨盒盖尺寸：≤140.mm×80.mm×6.5mm；墨盒右边水池：≤46×67mm，墨盒左上墨水池：≤33×56mm，左下舔笔台：≤33×56mm，左上角引流槽一个。3.墨盒采用微倒扣防挥发设计，所盛墨汁可保持百日以上不干涸。墨盒集刮笔、舔笔、润笔功能于一体。</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EDE72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C04F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501138E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94C528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EDF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E65E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54429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毛毡</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328485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规格：不小于30×50cm；支持铺在交互式临摹台上，再铺上宣纸临摹，还能清晰的看见1cm大小的电子字帖。</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EFA05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7300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400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C3E775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343792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4E0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E5E9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CECFE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临摹专用纸</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F2029B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书法专用临摹纸，100张/包。吸墨性好，且不透墨。</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E55B7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45C58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6329E4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2CBA8A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24C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EF72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79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9E5A2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中控系统</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194B55B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开机界面即是智慧书法教学系统平台界面，通过主机系统直接控制书法直播系统、大屏、软件等软硬件；2.支持统一授课模式，把教师端软件直接同步到学生端交互式数字临摹台；3.教师在控制系统软件平台上直接可以切换到自主学习模式，学生独立使用临摹台上的学生端软件；4.支持所有学生端临摹台智能洗笔的统一控制；5.系统平台有独立的音乐背景模块软件；</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21584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DF03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4481E6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050B7F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274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50D1A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4017801F">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0B8342C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002F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DBB0D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E62C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0B449A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4A94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4A9A2A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93EECF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7E2EF0A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3B76DB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B290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1103</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6F3BE4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41D422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956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59F5C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585EC878">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0FB78E35">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8"/>
                <w:szCs w:val="28"/>
                <w:u w:val="none"/>
                <w:lang w:val="en-US" w:eastAsia="zh-CN" w:bidi="ar"/>
              </w:rPr>
            </w:pPr>
          </w:p>
        </w:tc>
      </w:tr>
      <w:tr w14:paraId="0130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DD3E71A">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B2A9711">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苏店学校总计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8BB71F">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64FA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1762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440B2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29B63A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sz w:val="22"/>
                <w:szCs w:val="22"/>
                <w:highlight w:val="none"/>
                <w:u w:val="none"/>
              </w:rPr>
              <w:t>西庄小学</w:t>
            </w:r>
          </w:p>
        </w:tc>
      </w:tr>
      <w:tr w14:paraId="61B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A6DD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F35C8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3B75D8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sz w:val="22"/>
                <w:szCs w:val="22"/>
                <w:u w:val="none"/>
              </w:rPr>
              <w:t>西庄小学课桌椅</w:t>
            </w:r>
          </w:p>
        </w:tc>
      </w:tr>
      <w:tr w14:paraId="707C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9E65B1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81</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E867C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AF40B7D">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086EC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557C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1724</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DDECB0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61E53D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0022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D8AB8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lang w:val="en-US" w:eastAsia="zh-CN"/>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23620803">
            <w:pPr>
              <w:keepNext w:val="0"/>
              <w:keepLines w:val="0"/>
              <w:widowControl/>
              <w:suppressLineNumbers w:val="0"/>
              <w:jc w:val="left"/>
              <w:textAlignment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2DB4D18B">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lang w:val="en-US" w:eastAsia="zh-CN"/>
              </w:rPr>
            </w:pPr>
          </w:p>
        </w:tc>
      </w:tr>
      <w:tr w14:paraId="0C04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88EE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lang w:val="en-US" w:eastAsia="zh-CN"/>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48D48A8">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rPr>
              <w:t>西庄小学</w:t>
            </w:r>
            <w:r>
              <w:rPr>
                <w:rFonts w:hint="eastAsia" w:ascii="微软雅黑" w:hAnsi="微软雅黑" w:eastAsia="微软雅黑" w:cs="微软雅黑"/>
                <w:b/>
                <w:bCs/>
                <w:i w:val="0"/>
                <w:iCs w:val="0"/>
                <w:color w:val="000000"/>
                <w:sz w:val="22"/>
                <w:szCs w:val="22"/>
                <w:u w:val="none"/>
                <w:lang w:val="en-US" w:eastAsia="zh-CN"/>
              </w:rPr>
              <w:t>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2337083">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lang w:val="en-US" w:eastAsia="zh-CN"/>
              </w:rPr>
            </w:pPr>
          </w:p>
        </w:tc>
      </w:tr>
      <w:tr w14:paraId="7EB2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D2C6F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78B28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4D7B10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b/>
                <w:bCs/>
                <w:i w:val="0"/>
                <w:iCs w:val="0"/>
                <w:color w:val="000000"/>
                <w:sz w:val="22"/>
                <w:szCs w:val="22"/>
                <w:u w:val="none"/>
              </w:rPr>
              <w:t>长治市上党区第五中学校</w:t>
            </w:r>
          </w:p>
        </w:tc>
      </w:tr>
      <w:tr w14:paraId="1286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2EB0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2ED84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43A120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长治市上党区第五中学校课桌椅</w:t>
            </w:r>
          </w:p>
        </w:tc>
      </w:tr>
      <w:tr w14:paraId="1895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4FEED2A">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82</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A63AC3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49FEE78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桌面:ABS工程塑料450*600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600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E2ADC7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5CA29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1000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16601E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8F08D5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F28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5DD69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734A75B6">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4B2C74F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3EA8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E05294">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EA45C57">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上党区第五中学校总计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328BE35">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57F1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CF2A0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619C4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24EAE4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长治市上党区北呈中心小学</w:t>
            </w:r>
          </w:p>
        </w:tc>
      </w:tr>
      <w:tr w14:paraId="56CC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510C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479CC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3E3F6F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长治市上党区北呈中心小学课桌椅</w:t>
            </w:r>
          </w:p>
        </w:tc>
      </w:tr>
      <w:tr w14:paraId="0ACD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5A421F">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83</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0AD30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5FF66E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桌面:ABS工程塑料450*600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600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F22ED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8AE1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653587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107C42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1448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C1B4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4D18523A">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7A3285A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04C9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BA9FA1">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56FF3AA">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长治市上党区北呈中心小学总计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DFF912B">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429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8C7AE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81289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2B499A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长治市上党区高河小学</w:t>
            </w:r>
          </w:p>
        </w:tc>
      </w:tr>
      <w:tr w14:paraId="1999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E351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88F95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01A8D9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长治市上党区高河小学</w:t>
            </w:r>
            <w:r>
              <w:rPr>
                <w:rFonts w:hint="eastAsia" w:ascii="微软雅黑" w:hAnsi="微软雅黑" w:eastAsia="微软雅黑" w:cs="微软雅黑"/>
                <w:b/>
                <w:bCs/>
                <w:i w:val="0"/>
                <w:iCs w:val="0"/>
                <w:color w:val="000000"/>
                <w:kern w:val="0"/>
                <w:sz w:val="22"/>
                <w:szCs w:val="22"/>
                <w:u w:val="none"/>
                <w:lang w:val="en-US" w:eastAsia="zh-CN" w:bidi="ar"/>
              </w:rPr>
              <w:t>课桌椅</w:t>
            </w:r>
          </w:p>
        </w:tc>
      </w:tr>
      <w:tr w14:paraId="2963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29CEA3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84</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FABEA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4398D9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桌面:ABS工程塑料450*600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600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1EC0F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02BB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E6654A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D1BF15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A22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A85416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0B9FA8E3">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6BD6879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0FE3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3BAAEA">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399E193">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长治市上党区高河小学总计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8870088">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5351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8674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E3AE0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67EF755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长治市上党区振兴学校学校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0AEA0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8416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8BC365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58D65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CF2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459BF7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9BDA5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46B0853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长治市上党区振兴学校学校课桌椅</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96EE4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B49E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4B0582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04976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93F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275D8C">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85</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72E06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51E0A3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8C594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C7C5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517</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218DF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1F39322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ABD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3A67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6AB43CB1">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19D8312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0B1B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8C7C75">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5008419">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长治市上党区振兴学校学校总计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52D8568">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47D2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F9DCB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2D6CE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713034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长治市上党区八义中心小学</w:t>
            </w:r>
          </w:p>
        </w:tc>
      </w:tr>
      <w:tr w14:paraId="6E7C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C2F5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3598C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43F1D9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长治市上党区八义中心小学课桌椅</w:t>
            </w:r>
          </w:p>
        </w:tc>
      </w:tr>
      <w:tr w14:paraId="7932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E69FE5">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86</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E8EA5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690472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桌面:ABS工程塑料450*600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600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23100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0E57C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310</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2868F5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98E039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298D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9AD96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491244F2">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383F326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7D9D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C36A9A">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C6E324E">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长治市上党区八义中心小学总计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1457548">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520B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7A0E0A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6A6B49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27996D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长治市上党区南董小学</w:t>
            </w:r>
          </w:p>
        </w:tc>
      </w:tr>
      <w:tr w14:paraId="35CE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3474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A5208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ign w:val="center"/>
          </w:tcPr>
          <w:p w14:paraId="2D7A88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长治市上党区南董小学课桌椅</w:t>
            </w:r>
          </w:p>
        </w:tc>
      </w:tr>
      <w:tr w14:paraId="5BA8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0638B66">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87</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4CEE80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ign w:val="center"/>
          </w:tcPr>
          <w:p w14:paraId="67C182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1B0BE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DF0A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344</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7CA8BC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AD02BB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A5C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8891C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6F30C8BD">
            <w:pPr>
              <w:keepNext w:val="0"/>
              <w:keepLines w:val="0"/>
              <w:widowControl/>
              <w:suppressLineNumbers w:val="0"/>
              <w:jc w:val="both"/>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5ADC3A9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3611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E7ADA2">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FC15CBA">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长治市上党区南董小学总计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9A1A6AA">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2A5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8886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C5DDC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1F4536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长治市上党区西火中心小学</w:t>
            </w:r>
          </w:p>
        </w:tc>
      </w:tr>
      <w:tr w14:paraId="19AA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2FEE20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7B4D213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171F1F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长治市上党区西火中心小学课桌椅</w:t>
            </w:r>
          </w:p>
        </w:tc>
      </w:tr>
      <w:tr w14:paraId="5E3A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1D42638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88</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38921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6DA329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F4B4E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4ACD2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206</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4ECD80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C8CC3F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4C98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58327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4CCA5830">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0F3CF0D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2FAA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4DC36D">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13709CC">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长治市上党区西火中心小学总计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B795A19">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2196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1048D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062465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7C3B38A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长治市上党区司马小学</w:t>
            </w:r>
          </w:p>
        </w:tc>
      </w:tr>
      <w:tr w14:paraId="1288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CE0E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6B60E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7A6886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长治市上党区司马小学课桌椅</w:t>
            </w:r>
          </w:p>
        </w:tc>
      </w:tr>
      <w:tr w14:paraId="6A06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49B32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89</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13FA06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0C7D0C1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650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650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9687E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A11C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241</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39CF54C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55D57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7C94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F4BCB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3E3CF68C">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75D027E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077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603230">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C49A3EA">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长治市上党区司马小学总计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3678AB6">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5E7E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9207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346A84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75912F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长治市上党区郝家庄中心小学</w:t>
            </w:r>
          </w:p>
        </w:tc>
      </w:tr>
      <w:tr w14:paraId="6C95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8FF7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5A8A2D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4392" w:type="pct"/>
            <w:gridSpan w:val="5"/>
            <w:tcBorders>
              <w:top w:val="single" w:color="000000" w:sz="4" w:space="0"/>
              <w:left w:val="single" w:color="000000" w:sz="4" w:space="0"/>
              <w:bottom w:val="single" w:color="000000" w:sz="4" w:space="0"/>
              <w:right w:val="single" w:color="000000" w:sz="4" w:space="0"/>
            </w:tcBorders>
            <w:noWrap w:val="0"/>
            <w:vAlign w:val="center"/>
          </w:tcPr>
          <w:p w14:paraId="53940B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长治市上党区郝家庄中心小学课桌椅</w:t>
            </w:r>
          </w:p>
        </w:tc>
      </w:tr>
      <w:tr w14:paraId="1822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0E4B14">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color w:val="000000"/>
                <w:kern w:val="0"/>
                <w:sz w:val="24"/>
                <w:szCs w:val="24"/>
                <w:u w:val="none"/>
                <w:lang w:val="en-US" w:eastAsia="zh-CN" w:bidi="ar"/>
              </w:rPr>
              <w:t>90</w:t>
            </w:r>
          </w:p>
        </w:tc>
        <w:tc>
          <w:tcPr>
            <w:tcW w:w="385" w:type="pct"/>
            <w:gridSpan w:val="2"/>
            <w:tcBorders>
              <w:top w:val="single" w:color="000000" w:sz="4" w:space="0"/>
              <w:left w:val="single" w:color="000000" w:sz="4" w:space="0"/>
              <w:bottom w:val="single" w:color="000000" w:sz="4" w:space="0"/>
              <w:right w:val="single" w:color="000000" w:sz="4" w:space="0"/>
            </w:tcBorders>
            <w:noWrap w:val="0"/>
            <w:vAlign w:val="center"/>
          </w:tcPr>
          <w:p w14:paraId="27901D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课桌椅</w:t>
            </w:r>
          </w:p>
        </w:tc>
        <w:tc>
          <w:tcPr>
            <w:tcW w:w="3235" w:type="pct"/>
            <w:tcBorders>
              <w:top w:val="single" w:color="000000" w:sz="4" w:space="0"/>
              <w:left w:val="single" w:color="000000" w:sz="4" w:space="0"/>
              <w:bottom w:val="single" w:color="000000" w:sz="4" w:space="0"/>
              <w:right w:val="single" w:color="000000" w:sz="4" w:space="0"/>
            </w:tcBorders>
            <w:noWrap w:val="0"/>
            <w:vAlign w:val="center"/>
          </w:tcPr>
          <w:p w14:paraId="5747332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桌面:ABS工程塑料450*600mm，桌面设有笔槽，靠人体面弧形设计。2、椅面:PP工程塑料，坐板采用人性化设计，弧形包围式。规格为410*375mm.3、椅背:405*285mm。4、塑料颜色:绿色。5、书包斗:pp工程塑料，550*380*170mm，有30条长圆型透气孔，桌斗靠近人体面设有弧形凹槽，适合放文具。6、桌椅脚:30*60mm椭圆管，厚1.2mm。7、课桌椅立管:管30*60*1.2mm椭圆管。8、托斗管:20*40*1.2mm椭圆管。9、靠背:20*40*1.2mm椭圆管。10、脚套:pp塑料。11、桌子规格:600*450*760mm。12、椅子规格:410*375*440mm。</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19C57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F346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172</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09E4D47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D9FF81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p>
        </w:tc>
      </w:tr>
      <w:tr w14:paraId="51F5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07B6D3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3620" w:type="pct"/>
            <w:gridSpan w:val="3"/>
            <w:tcBorders>
              <w:top w:val="single" w:color="000000" w:sz="4" w:space="0"/>
              <w:left w:val="single" w:color="000000" w:sz="4" w:space="0"/>
              <w:bottom w:val="single" w:color="000000" w:sz="4" w:space="0"/>
              <w:right w:val="single" w:color="000000" w:sz="4" w:space="0"/>
            </w:tcBorders>
            <w:noWrap w:val="0"/>
            <w:vAlign w:val="center"/>
          </w:tcPr>
          <w:p w14:paraId="5226D962">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小计</w:t>
            </w:r>
          </w:p>
        </w:tc>
        <w:tc>
          <w:tcPr>
            <w:tcW w:w="1157" w:type="pct"/>
            <w:gridSpan w:val="4"/>
            <w:tcBorders>
              <w:top w:val="single" w:color="000000" w:sz="4" w:space="0"/>
              <w:left w:val="single" w:color="000000" w:sz="4" w:space="0"/>
              <w:bottom w:val="single" w:color="000000" w:sz="4" w:space="0"/>
              <w:right w:val="single" w:color="000000" w:sz="4" w:space="0"/>
            </w:tcBorders>
            <w:noWrap w:val="0"/>
            <w:vAlign w:val="center"/>
          </w:tcPr>
          <w:p w14:paraId="03432C5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10D6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D9DDFF">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D6965FE">
            <w:pPr>
              <w:jc w:val="left"/>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长治市上党区郝家庄中心小学总计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DFE48E">
            <w:pPr>
              <w:jc w:val="center"/>
              <w:rPr>
                <w:rFonts w:hint="eastAsia" w:ascii="微软雅黑" w:hAnsi="微软雅黑" w:eastAsia="微软雅黑" w:cs="微软雅黑"/>
                <w:b/>
                <w:bCs/>
                <w:i w:val="0"/>
                <w:iCs w:val="0"/>
                <w:color w:val="000000"/>
                <w:kern w:val="0"/>
                <w:sz w:val="24"/>
                <w:szCs w:val="24"/>
                <w:u w:val="none"/>
                <w:lang w:val="en-US" w:eastAsia="zh-CN" w:bidi="ar"/>
              </w:rPr>
            </w:pPr>
          </w:p>
        </w:tc>
      </w:tr>
      <w:tr w14:paraId="006A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0185B4">
            <w:pPr>
              <w:jc w:val="center"/>
              <w:rPr>
                <w:rFonts w:hint="eastAsia" w:ascii="微软雅黑" w:hAnsi="微软雅黑" w:eastAsia="微软雅黑" w:cs="微软雅黑"/>
                <w:b/>
                <w:bCs/>
                <w:i w:val="0"/>
                <w:iCs w:val="0"/>
                <w:color w:val="000000"/>
                <w:sz w:val="24"/>
                <w:szCs w:val="24"/>
                <w:u w:val="none"/>
              </w:rPr>
            </w:pPr>
          </w:p>
        </w:tc>
        <w:tc>
          <w:tcPr>
            <w:tcW w:w="3620" w:type="pct"/>
            <w:gridSpan w:val="3"/>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0EC81EA">
            <w:pPr>
              <w:jc w:val="left"/>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总计</w:t>
            </w:r>
          </w:p>
        </w:tc>
        <w:tc>
          <w:tcPr>
            <w:tcW w:w="1157" w:type="pct"/>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7BCA6D">
            <w:pPr>
              <w:jc w:val="center"/>
              <w:rPr>
                <w:rFonts w:hint="default"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4008830元</w:t>
            </w:r>
          </w:p>
        </w:tc>
      </w:tr>
    </w:tbl>
    <w:p w14:paraId="111BCF10">
      <w:pPr>
        <w:widowControl/>
        <w:spacing w:line="360" w:lineRule="auto"/>
        <w:jc w:val="left"/>
        <w:rPr>
          <w:rFonts w:ascii="仿宋" w:hAnsi="仿宋" w:eastAsia="仿宋" w:cs="宋体"/>
          <w:b/>
          <w:kern w:val="0"/>
          <w:sz w:val="24"/>
          <w:szCs w:val="24"/>
          <w:highlight w:val="yellow"/>
        </w:rPr>
      </w:pPr>
      <w:r>
        <w:rPr>
          <w:rFonts w:ascii="仿宋" w:hAnsi="仿宋" w:eastAsia="仿宋" w:cs="宋体"/>
          <w:b/>
          <w:kern w:val="0"/>
          <w:sz w:val="24"/>
          <w:szCs w:val="24"/>
          <w:highlight w:val="yellow"/>
        </w:rPr>
        <w:t>注：</w:t>
      </w:r>
      <w:r>
        <w:rPr>
          <w:rFonts w:ascii="仿宋" w:hAnsi="仿宋" w:eastAsia="仿宋"/>
          <w:b/>
          <w:sz w:val="24"/>
          <w:szCs w:val="24"/>
          <w:highlight w:val="yellow"/>
        </w:rPr>
        <w:t>本项目为统采分签采购，供应商合同分签金额以每个学校使用资源核算，以下为统采分签采购人名单：</w:t>
      </w:r>
      <w:bookmarkStart w:id="95" w:name="_GoBack"/>
      <w:bookmarkEnd w:id="95"/>
    </w:p>
    <w:p w14:paraId="7E972D41">
      <w:pPr>
        <w:pStyle w:val="18"/>
        <w:tabs>
          <w:tab w:val="left" w:pos="360"/>
        </w:tabs>
        <w:rPr>
          <w:rFonts w:hint="eastAsia"/>
          <w:b/>
          <w:sz w:val="36"/>
          <w:szCs w:val="36"/>
        </w:rPr>
      </w:pPr>
      <w:r>
        <w:rPr>
          <w:rFonts w:hint="eastAsia"/>
          <w:b/>
          <w:sz w:val="36"/>
          <w:szCs w:val="36"/>
        </w:rPr>
        <w:t>荫城学校</w:t>
      </w:r>
    </w:p>
    <w:p w14:paraId="6F241718">
      <w:pPr>
        <w:pStyle w:val="18"/>
        <w:tabs>
          <w:tab w:val="left" w:pos="360"/>
        </w:tabs>
        <w:rPr>
          <w:rFonts w:hint="eastAsia"/>
          <w:b/>
          <w:sz w:val="36"/>
          <w:szCs w:val="36"/>
        </w:rPr>
      </w:pPr>
      <w:r>
        <w:rPr>
          <w:rFonts w:hint="eastAsia"/>
          <w:b/>
          <w:sz w:val="36"/>
          <w:szCs w:val="36"/>
        </w:rPr>
        <w:t>长治市上党区第三中学校</w:t>
      </w:r>
    </w:p>
    <w:p w14:paraId="798C6518">
      <w:pPr>
        <w:pStyle w:val="18"/>
        <w:tabs>
          <w:tab w:val="left" w:pos="360"/>
        </w:tabs>
        <w:rPr>
          <w:rFonts w:hint="eastAsia"/>
          <w:b/>
          <w:sz w:val="36"/>
          <w:szCs w:val="36"/>
        </w:rPr>
      </w:pPr>
      <w:r>
        <w:rPr>
          <w:rFonts w:hint="eastAsia"/>
          <w:b/>
          <w:sz w:val="36"/>
          <w:szCs w:val="36"/>
        </w:rPr>
        <w:t>上党区北呈初级中学</w:t>
      </w:r>
    </w:p>
    <w:p w14:paraId="59B93501">
      <w:pPr>
        <w:pStyle w:val="18"/>
        <w:tabs>
          <w:tab w:val="left" w:pos="360"/>
        </w:tabs>
        <w:rPr>
          <w:rFonts w:hint="eastAsia"/>
          <w:b/>
          <w:sz w:val="36"/>
          <w:szCs w:val="36"/>
        </w:rPr>
      </w:pPr>
      <w:r>
        <w:rPr>
          <w:rFonts w:hint="eastAsia"/>
          <w:b/>
          <w:sz w:val="36"/>
          <w:szCs w:val="36"/>
        </w:rPr>
        <w:t>光明小学</w:t>
      </w:r>
    </w:p>
    <w:p w14:paraId="425064B8">
      <w:pPr>
        <w:pStyle w:val="18"/>
        <w:tabs>
          <w:tab w:val="left" w:pos="360"/>
        </w:tabs>
        <w:rPr>
          <w:rFonts w:hint="eastAsia"/>
          <w:b/>
          <w:sz w:val="36"/>
          <w:szCs w:val="36"/>
        </w:rPr>
      </w:pPr>
      <w:r>
        <w:rPr>
          <w:rFonts w:hint="eastAsia"/>
          <w:b/>
          <w:sz w:val="36"/>
          <w:szCs w:val="36"/>
        </w:rPr>
        <w:t>苏店学校</w:t>
      </w:r>
    </w:p>
    <w:p w14:paraId="041D1AFE">
      <w:pPr>
        <w:pStyle w:val="18"/>
        <w:tabs>
          <w:tab w:val="left" w:pos="360"/>
        </w:tabs>
        <w:rPr>
          <w:rFonts w:hint="eastAsia"/>
          <w:b/>
          <w:sz w:val="36"/>
          <w:szCs w:val="36"/>
        </w:rPr>
      </w:pPr>
      <w:r>
        <w:rPr>
          <w:rFonts w:hint="eastAsia"/>
          <w:b/>
          <w:sz w:val="36"/>
          <w:szCs w:val="36"/>
        </w:rPr>
        <w:t>西庄小学</w:t>
      </w:r>
    </w:p>
    <w:p w14:paraId="76463101">
      <w:pPr>
        <w:pStyle w:val="18"/>
        <w:tabs>
          <w:tab w:val="left" w:pos="360"/>
        </w:tabs>
        <w:rPr>
          <w:rFonts w:hint="eastAsia"/>
          <w:b/>
          <w:sz w:val="36"/>
          <w:szCs w:val="36"/>
        </w:rPr>
      </w:pPr>
      <w:r>
        <w:rPr>
          <w:rFonts w:hint="eastAsia"/>
          <w:b/>
          <w:sz w:val="36"/>
          <w:szCs w:val="36"/>
        </w:rPr>
        <w:t>柳林学校</w:t>
      </w:r>
    </w:p>
    <w:p w14:paraId="61151738">
      <w:pPr>
        <w:pStyle w:val="18"/>
        <w:tabs>
          <w:tab w:val="left" w:pos="360"/>
        </w:tabs>
        <w:rPr>
          <w:rFonts w:hint="eastAsia"/>
          <w:b/>
          <w:sz w:val="36"/>
          <w:szCs w:val="36"/>
        </w:rPr>
      </w:pPr>
      <w:r>
        <w:rPr>
          <w:rFonts w:hint="eastAsia"/>
          <w:b/>
          <w:sz w:val="36"/>
          <w:szCs w:val="36"/>
        </w:rPr>
        <w:t>长治市上党区第五中学校</w:t>
      </w:r>
    </w:p>
    <w:p w14:paraId="5F1E0327">
      <w:pPr>
        <w:pStyle w:val="18"/>
        <w:tabs>
          <w:tab w:val="left" w:pos="360"/>
        </w:tabs>
        <w:rPr>
          <w:rFonts w:hint="eastAsia"/>
          <w:b/>
          <w:sz w:val="36"/>
          <w:szCs w:val="36"/>
        </w:rPr>
      </w:pPr>
      <w:r>
        <w:rPr>
          <w:rFonts w:hint="eastAsia"/>
          <w:b/>
          <w:sz w:val="36"/>
          <w:szCs w:val="36"/>
        </w:rPr>
        <w:t>长治市上党区北呈中心小学</w:t>
      </w:r>
    </w:p>
    <w:p w14:paraId="41300F07">
      <w:pPr>
        <w:pStyle w:val="18"/>
        <w:tabs>
          <w:tab w:val="left" w:pos="360"/>
        </w:tabs>
        <w:rPr>
          <w:rFonts w:hint="eastAsia"/>
          <w:b/>
          <w:sz w:val="36"/>
          <w:szCs w:val="36"/>
        </w:rPr>
      </w:pPr>
      <w:r>
        <w:rPr>
          <w:rFonts w:hint="eastAsia"/>
          <w:b/>
          <w:sz w:val="36"/>
          <w:szCs w:val="36"/>
        </w:rPr>
        <w:t>长治市上党区高河小学</w:t>
      </w:r>
    </w:p>
    <w:p w14:paraId="76F891DE">
      <w:pPr>
        <w:pStyle w:val="18"/>
        <w:tabs>
          <w:tab w:val="left" w:pos="360"/>
        </w:tabs>
        <w:rPr>
          <w:rFonts w:hint="eastAsia"/>
          <w:b/>
          <w:sz w:val="36"/>
          <w:szCs w:val="36"/>
        </w:rPr>
      </w:pPr>
      <w:r>
        <w:rPr>
          <w:rFonts w:hint="eastAsia"/>
          <w:b/>
          <w:sz w:val="36"/>
          <w:szCs w:val="36"/>
        </w:rPr>
        <w:t>长治市上党区振兴学校学校</w:t>
      </w:r>
    </w:p>
    <w:p w14:paraId="7CDF6AA2">
      <w:pPr>
        <w:pStyle w:val="18"/>
        <w:tabs>
          <w:tab w:val="left" w:pos="360"/>
        </w:tabs>
        <w:rPr>
          <w:rFonts w:hint="eastAsia"/>
          <w:b/>
          <w:sz w:val="36"/>
          <w:szCs w:val="36"/>
        </w:rPr>
      </w:pPr>
      <w:r>
        <w:rPr>
          <w:rFonts w:hint="eastAsia"/>
          <w:b/>
          <w:sz w:val="36"/>
          <w:szCs w:val="36"/>
        </w:rPr>
        <w:t>长治市上党区八义中心小学</w:t>
      </w:r>
    </w:p>
    <w:p w14:paraId="185AACAE">
      <w:pPr>
        <w:pStyle w:val="18"/>
        <w:tabs>
          <w:tab w:val="left" w:pos="360"/>
        </w:tabs>
        <w:rPr>
          <w:rFonts w:hint="eastAsia"/>
          <w:b/>
          <w:sz w:val="36"/>
          <w:szCs w:val="36"/>
        </w:rPr>
      </w:pPr>
      <w:r>
        <w:rPr>
          <w:rFonts w:hint="eastAsia"/>
          <w:b/>
          <w:sz w:val="36"/>
          <w:szCs w:val="36"/>
        </w:rPr>
        <w:t>长治市上党区南董小学</w:t>
      </w:r>
    </w:p>
    <w:p w14:paraId="27BDC3F5">
      <w:pPr>
        <w:pStyle w:val="18"/>
        <w:tabs>
          <w:tab w:val="left" w:pos="360"/>
        </w:tabs>
        <w:rPr>
          <w:rFonts w:hint="eastAsia"/>
          <w:b/>
          <w:sz w:val="36"/>
          <w:szCs w:val="36"/>
        </w:rPr>
      </w:pPr>
      <w:r>
        <w:rPr>
          <w:rFonts w:hint="eastAsia"/>
          <w:b/>
          <w:sz w:val="36"/>
          <w:szCs w:val="36"/>
        </w:rPr>
        <w:t>长治市上党区西火中心小学</w:t>
      </w:r>
    </w:p>
    <w:p w14:paraId="1C250EA3">
      <w:pPr>
        <w:pStyle w:val="18"/>
        <w:tabs>
          <w:tab w:val="left" w:pos="360"/>
        </w:tabs>
        <w:rPr>
          <w:rFonts w:hint="eastAsia"/>
          <w:b/>
          <w:sz w:val="36"/>
          <w:szCs w:val="36"/>
        </w:rPr>
      </w:pPr>
      <w:r>
        <w:rPr>
          <w:rFonts w:hint="eastAsia"/>
          <w:b/>
          <w:sz w:val="36"/>
          <w:szCs w:val="36"/>
        </w:rPr>
        <w:t>长治市上党区司马小学</w:t>
      </w:r>
    </w:p>
    <w:p w14:paraId="6F419302">
      <w:pPr>
        <w:pStyle w:val="18"/>
        <w:tabs>
          <w:tab w:val="left" w:pos="360"/>
        </w:tabs>
        <w:rPr>
          <w:b/>
          <w:sz w:val="36"/>
          <w:szCs w:val="36"/>
        </w:rPr>
      </w:pPr>
      <w:r>
        <w:rPr>
          <w:rFonts w:hint="eastAsia"/>
          <w:b/>
          <w:sz w:val="36"/>
          <w:szCs w:val="36"/>
        </w:rPr>
        <w:t>长治市上党区郝家庄中心小学</w:t>
      </w:r>
    </w:p>
    <w:p w14:paraId="40DFB5B4">
      <w:pPr>
        <w:rPr>
          <w:sz w:val="28"/>
          <w:szCs w:val="28"/>
        </w:rPr>
      </w:pPr>
    </w:p>
    <w:p w14:paraId="5597000B">
      <w:pPr>
        <w:spacing w:line="560" w:lineRule="exact"/>
        <w:ind w:firstLine="640" w:firstLineChars="200"/>
        <w:jc w:val="left"/>
        <w:rPr>
          <w:rFonts w:ascii="仿宋" w:hAnsi="仿宋" w:eastAsia="仿宋"/>
          <w:sz w:val="32"/>
          <w:szCs w:val="32"/>
        </w:rPr>
        <w:sectPr>
          <w:pgSz w:w="11906" w:h="16838"/>
          <w:pgMar w:top="1134" w:right="1361" w:bottom="1021" w:left="1531" w:header="851" w:footer="992" w:gutter="0"/>
          <w:pgNumType w:fmt="decimal"/>
          <w:cols w:space="425" w:num="1"/>
          <w:docGrid w:type="linesAndChars" w:linePitch="312" w:charSpace="0"/>
        </w:sectPr>
      </w:pPr>
      <w:r>
        <w:rPr>
          <w:rFonts w:hint="eastAsia" w:ascii="仿宋" w:hAnsi="仿宋" w:eastAsia="仿宋"/>
          <w:sz w:val="32"/>
          <w:szCs w:val="32"/>
        </w:rPr>
        <w:t>注：属于政府采购强制节能环保产品目录的须提供节能证书或官网（http://cx.cnca.cn/）查询截图。未提供者由评标委会认定投标文件是否有效。</w:t>
      </w:r>
    </w:p>
    <w:p w14:paraId="73CDE33A"/>
    <w:p w14:paraId="29E32F03">
      <w:pPr>
        <w:widowControl/>
        <w:spacing w:line="460" w:lineRule="exact"/>
        <w:ind w:firstLine="420" w:firstLineChars="200"/>
        <w:jc w:val="left"/>
        <w:rPr>
          <w:rFonts w:hint="eastAsia" w:ascii="宋体" w:hAnsi="宋体"/>
          <w:szCs w:val="21"/>
        </w:rPr>
      </w:pPr>
    </w:p>
    <w:p w14:paraId="7660C4F7">
      <w:pPr>
        <w:pStyle w:val="62"/>
        <w:pageBreakBefore/>
        <w:numPr>
          <w:ilvl w:val="0"/>
          <w:numId w:val="0"/>
        </w:numPr>
        <w:snapToGrid w:val="0"/>
        <w:spacing w:before="0" w:after="0"/>
        <w:rPr>
          <w:rFonts w:ascii="华文中宋" w:hAnsi="华文中宋" w:eastAsia="华文中宋"/>
          <w:spacing w:val="20"/>
          <w:szCs w:val="28"/>
        </w:rPr>
      </w:pPr>
      <w:r>
        <w:rPr>
          <w:rFonts w:hint="eastAsia" w:ascii="华文中宋" w:hAnsi="华文中宋" w:eastAsia="华文中宋"/>
          <w:spacing w:val="20"/>
          <w:szCs w:val="28"/>
        </w:rPr>
        <w:t xml:space="preserve">第五部分 </w:t>
      </w:r>
      <w:bookmarkEnd w:id="73"/>
      <w:bookmarkEnd w:id="74"/>
      <w:r>
        <w:rPr>
          <w:rFonts w:hint="eastAsia" w:ascii="华文中宋" w:hAnsi="华文中宋" w:eastAsia="华文中宋"/>
          <w:spacing w:val="20"/>
          <w:szCs w:val="28"/>
        </w:rPr>
        <w:t>资格审查内容及标准</w:t>
      </w:r>
      <w:bookmarkEnd w:id="75"/>
      <w:bookmarkEnd w:id="76"/>
      <w:bookmarkStart w:id="77" w:name="_Toc400718590"/>
    </w:p>
    <w:p w14:paraId="3BABBB4E">
      <w:pPr>
        <w:pStyle w:val="66"/>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3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961"/>
        <w:gridCol w:w="3373"/>
      </w:tblGrid>
      <w:tr w14:paraId="5948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CE4E8F">
            <w:pPr>
              <w:overflowPunct w:val="0"/>
              <w:topLinePunct/>
              <w:autoSpaceDN w:val="0"/>
              <w:adjustRightInd w:val="0"/>
              <w:snapToGrid w:val="0"/>
              <w:spacing w:line="360" w:lineRule="auto"/>
              <w:jc w:val="center"/>
              <w:rPr>
                <w:rFonts w:cs="华文中宋" w:asciiTheme="minorEastAsia" w:hAnsiTheme="minorEastAsia" w:eastAsiaTheme="minorEastAsia"/>
                <w:snapToGrid w:val="0"/>
                <w:kern w:val="0"/>
                <w:szCs w:val="21"/>
              </w:rPr>
            </w:pPr>
            <w:r>
              <w:rPr>
                <w:rFonts w:hint="eastAsia" w:cs="华文中宋" w:asciiTheme="minorEastAsia" w:hAnsiTheme="minorEastAsia" w:eastAsiaTheme="minorEastAsia"/>
                <w:snapToGrid w:val="0"/>
                <w:kern w:val="0"/>
                <w:szCs w:val="21"/>
              </w:rPr>
              <w:t>序号</w:t>
            </w:r>
          </w:p>
        </w:tc>
        <w:tc>
          <w:tcPr>
            <w:tcW w:w="4961" w:type="dxa"/>
            <w:vAlign w:val="center"/>
          </w:tcPr>
          <w:p w14:paraId="0DC61B83">
            <w:pPr>
              <w:overflowPunct w:val="0"/>
              <w:topLinePunct/>
              <w:autoSpaceDN w:val="0"/>
              <w:adjustRightInd w:val="0"/>
              <w:snapToGrid w:val="0"/>
              <w:spacing w:line="360" w:lineRule="auto"/>
              <w:jc w:val="center"/>
              <w:rPr>
                <w:rFonts w:cs="华文中宋" w:asciiTheme="minorEastAsia" w:hAnsiTheme="minorEastAsia" w:eastAsiaTheme="minorEastAsia"/>
                <w:snapToGrid w:val="0"/>
                <w:kern w:val="0"/>
                <w:szCs w:val="21"/>
              </w:rPr>
            </w:pPr>
            <w:r>
              <w:rPr>
                <w:rFonts w:hint="eastAsia" w:cs="华文中宋" w:asciiTheme="minorEastAsia" w:hAnsiTheme="minorEastAsia" w:eastAsiaTheme="minorEastAsia"/>
                <w:snapToGrid w:val="0"/>
                <w:kern w:val="0"/>
                <w:szCs w:val="21"/>
              </w:rPr>
              <w:t>要求</w:t>
            </w:r>
          </w:p>
        </w:tc>
        <w:tc>
          <w:tcPr>
            <w:tcW w:w="3373" w:type="dxa"/>
            <w:vAlign w:val="center"/>
          </w:tcPr>
          <w:p w14:paraId="3B81BEA2">
            <w:pPr>
              <w:overflowPunct w:val="0"/>
              <w:topLinePunct/>
              <w:autoSpaceDN w:val="0"/>
              <w:adjustRightInd w:val="0"/>
              <w:snapToGrid w:val="0"/>
              <w:spacing w:line="360" w:lineRule="auto"/>
              <w:jc w:val="center"/>
              <w:rPr>
                <w:rFonts w:cs="华文中宋" w:asciiTheme="minorEastAsia" w:hAnsiTheme="minorEastAsia" w:eastAsiaTheme="minorEastAsia"/>
                <w:snapToGrid w:val="0"/>
                <w:kern w:val="0"/>
                <w:szCs w:val="21"/>
              </w:rPr>
            </w:pPr>
            <w:r>
              <w:rPr>
                <w:rFonts w:hint="eastAsia" w:cs="华文中宋" w:asciiTheme="minorEastAsia" w:hAnsiTheme="minorEastAsia" w:eastAsiaTheme="minorEastAsia"/>
                <w:snapToGrid w:val="0"/>
                <w:kern w:val="0"/>
                <w:szCs w:val="21"/>
              </w:rPr>
              <w:t>要求说明</w:t>
            </w:r>
          </w:p>
        </w:tc>
      </w:tr>
      <w:tr w14:paraId="2B51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5D740A">
            <w:pPr>
              <w:spacing w:line="280" w:lineRule="exact"/>
              <w:jc w:val="center"/>
              <w:rPr>
                <w:rFonts w:ascii="宋体" w:hAnsi="宋体"/>
                <w:szCs w:val="21"/>
              </w:rPr>
            </w:pPr>
            <w:r>
              <w:rPr>
                <w:rFonts w:hint="eastAsia" w:ascii="宋体" w:hAnsi="宋体"/>
                <w:szCs w:val="21"/>
              </w:rPr>
              <w:t>1</w:t>
            </w:r>
          </w:p>
        </w:tc>
        <w:tc>
          <w:tcPr>
            <w:tcW w:w="4961" w:type="dxa"/>
            <w:vAlign w:val="center"/>
          </w:tcPr>
          <w:p w14:paraId="5A8DE763">
            <w:pPr>
              <w:spacing w:line="280" w:lineRule="exact"/>
              <w:rPr>
                <w:rFonts w:ascii="宋体" w:hAnsi="宋体"/>
                <w:szCs w:val="21"/>
              </w:rPr>
            </w:pPr>
            <w:r>
              <w:rPr>
                <w:rFonts w:hint="eastAsia" w:ascii="宋体" w:hAnsi="宋体"/>
                <w:szCs w:val="21"/>
              </w:rPr>
              <w:t>《长治市政府采购供应商信用承诺函》</w:t>
            </w:r>
          </w:p>
          <w:p w14:paraId="221BD520">
            <w:pPr>
              <w:spacing w:line="280" w:lineRule="exact"/>
              <w:rPr>
                <w:rFonts w:ascii="宋体" w:hAnsi="宋体"/>
                <w:szCs w:val="21"/>
              </w:rPr>
            </w:pPr>
            <w:r>
              <w:rPr>
                <w:rFonts w:hint="eastAsia" w:ascii="宋体" w:hAnsi="宋体"/>
                <w:szCs w:val="21"/>
              </w:rPr>
              <w:t>内容完整，电子签章符合要求。</w:t>
            </w:r>
          </w:p>
        </w:tc>
        <w:tc>
          <w:tcPr>
            <w:tcW w:w="3373" w:type="dxa"/>
            <w:vAlign w:val="center"/>
          </w:tcPr>
          <w:p w14:paraId="713C7F7A">
            <w:pPr>
              <w:pStyle w:val="47"/>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（1）具有独立承担民事责任的能力；</w:t>
            </w:r>
          </w:p>
          <w:p w14:paraId="61A1FC9A">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（2）具有良好的商业信誉和健全的财务会计制度；</w:t>
            </w:r>
          </w:p>
          <w:p w14:paraId="5A0297AB">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（3）具有履行合同所必需的设备和专业技术能力；</w:t>
            </w:r>
          </w:p>
          <w:p w14:paraId="221423CB">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（4）有依法缴纳税收和社会保障资金的良好记录；</w:t>
            </w:r>
          </w:p>
          <w:p w14:paraId="1B363E2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（5）参加政府采购活动前三年内，在经营活动中没有重大违法记录；</w:t>
            </w:r>
          </w:p>
          <w:p w14:paraId="37367FCB">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（6）法律、行政法规规定的其他条件。</w:t>
            </w:r>
          </w:p>
          <w:p w14:paraId="4AEE364D">
            <w:pPr>
              <w:spacing w:line="280" w:lineRule="exact"/>
              <w:ind w:firstLine="420" w:firstLineChars="200"/>
              <w:rPr>
                <w:rFonts w:ascii="宋体" w:hAnsi="宋体"/>
                <w:szCs w:val="21"/>
              </w:rPr>
            </w:pPr>
          </w:p>
        </w:tc>
      </w:tr>
      <w:tr w14:paraId="45E2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F23648">
            <w:pPr>
              <w:spacing w:line="280" w:lineRule="exact"/>
              <w:jc w:val="center"/>
              <w:rPr>
                <w:rFonts w:ascii="宋体" w:hAnsi="宋体"/>
                <w:szCs w:val="21"/>
              </w:rPr>
            </w:pPr>
            <w:r>
              <w:rPr>
                <w:rFonts w:hint="eastAsia" w:ascii="宋体" w:hAnsi="宋体"/>
                <w:szCs w:val="21"/>
              </w:rPr>
              <w:t>2</w:t>
            </w:r>
          </w:p>
        </w:tc>
        <w:tc>
          <w:tcPr>
            <w:tcW w:w="4961" w:type="dxa"/>
            <w:vAlign w:val="center"/>
          </w:tcPr>
          <w:p w14:paraId="0B0B51CB">
            <w:pPr>
              <w:spacing w:line="280" w:lineRule="exact"/>
              <w:rPr>
                <w:rFonts w:ascii="宋体" w:hAnsi="宋体"/>
                <w:szCs w:val="21"/>
              </w:rPr>
            </w:pPr>
            <w:r>
              <w:rPr>
                <w:rFonts w:hint="eastAsia" w:ascii="宋体" w:hAnsi="宋体"/>
                <w:szCs w:val="21"/>
              </w:rPr>
              <w:t>本项目的特定资格要求（若涉及）</w:t>
            </w:r>
          </w:p>
        </w:tc>
        <w:tc>
          <w:tcPr>
            <w:tcW w:w="3373" w:type="dxa"/>
            <w:vAlign w:val="center"/>
          </w:tcPr>
          <w:p w14:paraId="2C53C8E5">
            <w:pPr>
              <w:spacing w:line="280" w:lineRule="exact"/>
              <w:rPr>
                <w:rFonts w:ascii="宋体" w:hAnsi="宋体"/>
                <w:szCs w:val="21"/>
              </w:rPr>
            </w:pPr>
            <w:r>
              <w:rPr>
                <w:rFonts w:hint="eastAsia" w:ascii="宋体" w:hAnsi="宋体"/>
                <w:szCs w:val="21"/>
              </w:rPr>
              <w:t>内容完整，须加盖电子公章。</w:t>
            </w:r>
          </w:p>
        </w:tc>
      </w:tr>
      <w:tr w14:paraId="3B69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542413">
            <w:pPr>
              <w:spacing w:line="280" w:lineRule="exact"/>
              <w:jc w:val="center"/>
              <w:rPr>
                <w:rFonts w:ascii="宋体" w:hAnsi="宋体"/>
                <w:szCs w:val="21"/>
              </w:rPr>
            </w:pPr>
            <w:r>
              <w:rPr>
                <w:rFonts w:hint="eastAsia" w:ascii="宋体" w:hAnsi="宋体"/>
                <w:szCs w:val="21"/>
              </w:rPr>
              <w:t>3</w:t>
            </w:r>
          </w:p>
        </w:tc>
        <w:tc>
          <w:tcPr>
            <w:tcW w:w="4961" w:type="dxa"/>
            <w:vAlign w:val="center"/>
          </w:tcPr>
          <w:p w14:paraId="37CA0C36">
            <w:pPr>
              <w:spacing w:line="280" w:lineRule="exact"/>
              <w:rPr>
                <w:rFonts w:ascii="宋体" w:hAnsi="宋体"/>
                <w:szCs w:val="21"/>
              </w:rPr>
            </w:pPr>
            <w:r>
              <w:rPr>
                <w:rFonts w:hint="eastAsia" w:ascii="宋体" w:hAnsi="宋体"/>
                <w:szCs w:val="21"/>
              </w:rPr>
              <w:t>若本项目收取投标保证金，须提供投标人基本存款账户开户许可证（已取消企业银行账户许可的提供银行证明或提供取消企业银行账户许可的相关公告）扫描件及投标保证金交纳回单（或回执）。</w:t>
            </w:r>
          </w:p>
          <w:p w14:paraId="77ABE1A5">
            <w:pPr>
              <w:spacing w:line="280" w:lineRule="exact"/>
              <w:rPr>
                <w:rFonts w:ascii="宋体" w:hAnsi="宋体"/>
                <w:szCs w:val="21"/>
              </w:rPr>
            </w:pPr>
            <w:r>
              <w:rPr>
                <w:rFonts w:hint="eastAsia" w:ascii="宋体" w:hAnsi="宋体"/>
                <w:szCs w:val="21"/>
              </w:rPr>
              <w:t>保证金要求足额交纳，且从投标人的基本存款账户转出。</w:t>
            </w:r>
          </w:p>
          <w:p w14:paraId="14CEB663">
            <w:pPr>
              <w:spacing w:line="280" w:lineRule="exact"/>
              <w:rPr>
                <w:rFonts w:ascii="宋体" w:hAnsi="宋体"/>
                <w:szCs w:val="21"/>
              </w:rPr>
            </w:pPr>
            <w:r>
              <w:rPr>
                <w:rFonts w:hint="eastAsia" w:ascii="宋体" w:hAnsi="宋体"/>
                <w:szCs w:val="21"/>
              </w:rPr>
              <w:t>任意一项证明文件扫描件清晰，须加盖电子公章。</w:t>
            </w:r>
          </w:p>
        </w:tc>
        <w:tc>
          <w:tcPr>
            <w:tcW w:w="3373" w:type="dxa"/>
            <w:vAlign w:val="center"/>
          </w:tcPr>
          <w:p w14:paraId="62FCA0C1">
            <w:pPr>
              <w:spacing w:line="280" w:lineRule="exact"/>
              <w:rPr>
                <w:rFonts w:ascii="宋体" w:hAnsi="宋体"/>
                <w:szCs w:val="21"/>
              </w:rPr>
            </w:pPr>
            <w:r>
              <w:rPr>
                <w:rFonts w:hint="eastAsia" w:ascii="宋体" w:hAnsi="宋体"/>
                <w:szCs w:val="21"/>
              </w:rPr>
              <w:t>投标保证金的交纳及开户许可证（若涉及）</w:t>
            </w:r>
          </w:p>
        </w:tc>
      </w:tr>
      <w:tr w14:paraId="6B9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F88EDC6">
            <w:pPr>
              <w:spacing w:line="280" w:lineRule="exact"/>
              <w:jc w:val="center"/>
              <w:rPr>
                <w:rFonts w:ascii="宋体" w:hAnsi="宋体"/>
                <w:szCs w:val="21"/>
              </w:rPr>
            </w:pPr>
            <w:r>
              <w:rPr>
                <w:rFonts w:hint="eastAsia" w:ascii="宋体" w:hAnsi="宋体"/>
                <w:szCs w:val="21"/>
              </w:rPr>
              <w:t>4</w:t>
            </w:r>
          </w:p>
        </w:tc>
        <w:tc>
          <w:tcPr>
            <w:tcW w:w="4961" w:type="dxa"/>
            <w:vAlign w:val="center"/>
          </w:tcPr>
          <w:p w14:paraId="1839B3F1">
            <w:pPr>
              <w:spacing w:line="280" w:lineRule="exact"/>
              <w:rPr>
                <w:rFonts w:ascii="宋体" w:hAnsi="宋体"/>
                <w:szCs w:val="21"/>
              </w:rPr>
            </w:pPr>
            <w:r>
              <w:rPr>
                <w:rFonts w:hint="eastAsia" w:ascii="宋体" w:hAnsi="宋体"/>
                <w:szCs w:val="21"/>
              </w:rPr>
              <w:t>若本项目允许联合体参加投标，须对联合体各方签订的《联合投标协议书》进行审查。</w:t>
            </w:r>
          </w:p>
          <w:p w14:paraId="04AAEFDA">
            <w:pPr>
              <w:spacing w:line="280" w:lineRule="exact"/>
              <w:jc w:val="center"/>
              <w:rPr>
                <w:rFonts w:ascii="宋体" w:hAnsi="宋体"/>
                <w:szCs w:val="21"/>
              </w:rPr>
            </w:pPr>
            <w:r>
              <w:rPr>
                <w:rFonts w:hint="eastAsia" w:ascii="宋体" w:hAnsi="宋体"/>
                <w:szCs w:val="21"/>
              </w:rPr>
              <w:t>内容完整，电子签章符合要求。</w:t>
            </w:r>
          </w:p>
        </w:tc>
        <w:tc>
          <w:tcPr>
            <w:tcW w:w="3373" w:type="dxa"/>
            <w:vAlign w:val="center"/>
          </w:tcPr>
          <w:p w14:paraId="5EABFE66">
            <w:pPr>
              <w:spacing w:line="280" w:lineRule="exact"/>
              <w:rPr>
                <w:rFonts w:ascii="宋体" w:hAnsi="宋体"/>
                <w:szCs w:val="21"/>
              </w:rPr>
            </w:pPr>
            <w:r>
              <w:rPr>
                <w:rFonts w:hint="eastAsia" w:ascii="宋体" w:hAnsi="宋体"/>
                <w:szCs w:val="21"/>
              </w:rPr>
              <w:t>联合体投标（若涉及）</w:t>
            </w:r>
          </w:p>
        </w:tc>
      </w:tr>
      <w:tr w14:paraId="31D2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E1FFB9">
            <w:pPr>
              <w:spacing w:line="280" w:lineRule="exact"/>
              <w:jc w:val="center"/>
              <w:rPr>
                <w:rFonts w:ascii="宋体" w:hAnsi="宋体"/>
                <w:szCs w:val="21"/>
              </w:rPr>
            </w:pPr>
            <w:r>
              <w:rPr>
                <w:rFonts w:hint="eastAsia" w:ascii="宋体" w:hAnsi="宋体"/>
                <w:szCs w:val="21"/>
              </w:rPr>
              <w:t>5</w:t>
            </w:r>
          </w:p>
        </w:tc>
        <w:tc>
          <w:tcPr>
            <w:tcW w:w="4961" w:type="dxa"/>
            <w:vAlign w:val="center"/>
          </w:tcPr>
          <w:p w14:paraId="6B3C3E38">
            <w:pPr>
              <w:spacing w:line="280" w:lineRule="exact"/>
              <w:rPr>
                <w:rFonts w:ascii="宋体" w:hAnsi="宋体"/>
                <w:szCs w:val="21"/>
              </w:rPr>
            </w:pPr>
            <w:r>
              <w:rPr>
                <w:rFonts w:hint="eastAsia" w:ascii="宋体" w:hAnsi="宋体"/>
                <w:szCs w:val="21"/>
              </w:rPr>
              <w:t>本项目采购货物为进口产品（若涉及）</w:t>
            </w:r>
          </w:p>
        </w:tc>
        <w:tc>
          <w:tcPr>
            <w:tcW w:w="3373" w:type="dxa"/>
            <w:vAlign w:val="center"/>
          </w:tcPr>
          <w:p w14:paraId="414D24AF">
            <w:pPr>
              <w:spacing w:line="280" w:lineRule="exact"/>
              <w:rPr>
                <w:rFonts w:ascii="宋体" w:hAnsi="宋体"/>
                <w:szCs w:val="21"/>
              </w:rPr>
            </w:pPr>
            <w:r>
              <w:rPr>
                <w:rFonts w:hint="eastAsia" w:ascii="宋体" w:hAnsi="宋体"/>
                <w:szCs w:val="21"/>
              </w:rPr>
              <w:t>投标人须提供所投产品制造商唯一授权书</w:t>
            </w:r>
          </w:p>
        </w:tc>
      </w:tr>
    </w:tbl>
    <w:p w14:paraId="5F9E5B4B">
      <w:pPr>
        <w:spacing w:line="360" w:lineRule="exact"/>
        <w:rPr>
          <w:rFonts w:ascii="华文中宋" w:hAnsi="华文中宋" w:eastAsia="华文中宋"/>
          <w:szCs w:val="21"/>
        </w:rPr>
      </w:pPr>
      <w:r>
        <w:rPr>
          <w:rFonts w:hint="eastAsia" w:ascii="华文中宋" w:hAnsi="华文中宋" w:eastAsia="华文中宋"/>
          <w:szCs w:val="21"/>
        </w:rPr>
        <w:t>注：1.资格检查的内容若有一项未提供或达不到检查标准，将导致其不具备投标资格，且不允许在开标后补正。</w:t>
      </w:r>
    </w:p>
    <w:p w14:paraId="03779979">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2.以上任意一项证明文件清晰有效、符合要求。</w:t>
      </w:r>
    </w:p>
    <w:p w14:paraId="3FCE205D">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3.</w:t>
      </w:r>
      <w:r>
        <w:rPr>
          <w:rFonts w:hint="eastAsia"/>
        </w:rPr>
        <w:t xml:space="preserve"> </w:t>
      </w:r>
      <w:r>
        <w:rPr>
          <w:rFonts w:hint="eastAsia" w:ascii="华文中宋" w:hAnsi="华文中宋" w:eastAsia="华文中宋"/>
          <w:szCs w:val="21"/>
        </w:rPr>
        <w:t>资格审查中通过信用中国网站、中国政府采购网查询的内容有失信记录且在执行期间的，资格审查不予通过，投标文件无效。</w:t>
      </w:r>
    </w:p>
    <w:p w14:paraId="24744C92">
      <w:pPr>
        <w:spacing w:line="360" w:lineRule="exact"/>
        <w:ind w:firstLine="420" w:firstLineChars="200"/>
        <w:rPr>
          <w:rFonts w:ascii="华文中宋" w:hAnsi="华文中宋" w:eastAsia="华文中宋"/>
        </w:rPr>
      </w:pPr>
      <w:r>
        <w:rPr>
          <w:rFonts w:hint="eastAsia" w:ascii="华文中宋" w:hAnsi="华文中宋" w:eastAsia="华文中宋"/>
        </w:rPr>
        <w:t>4.投标人提供的其他材料，不作为资格检查的内容。</w:t>
      </w:r>
      <w:bookmarkStart w:id="78" w:name="_Toc28161"/>
    </w:p>
    <w:p w14:paraId="6C3C2812">
      <w:pPr>
        <w:spacing w:line="360" w:lineRule="exact"/>
        <w:rPr>
          <w:rFonts w:ascii="华文中宋" w:hAnsi="华文中宋" w:eastAsia="华文中宋"/>
        </w:rPr>
      </w:pPr>
      <w:r>
        <w:rPr>
          <w:rFonts w:hint="eastAsia" w:ascii="华文中宋" w:hAnsi="华文中宋" w:eastAsia="华文中宋"/>
        </w:rPr>
        <w:t>说明：1.供应商在投标时，按照规定提供长治市政府采购供应商信用承诺函（详见附件），无需再提交以下6项证明材料：符合国家相关规定的财务状况报告；依法缴纳税收的证明材料；依法缴纳社会保障资金的证明材料；具备履行政府采购合同所必需的设备和专业技术能力的证明材料；参加政府采购活动前三年内在经营活动中没有重大违法记录的证明材料；未被列入失信被执行人、重大税收违法案件当事人名单政府采购严重违法失信行为记录名单的证明材料。</w:t>
      </w:r>
    </w:p>
    <w:p w14:paraId="23895EF3">
      <w:pPr>
        <w:spacing w:line="360" w:lineRule="exact"/>
        <w:ind w:firstLine="420" w:firstLineChars="200"/>
        <w:rPr>
          <w:rFonts w:ascii="华文中宋" w:hAnsi="华文中宋" w:eastAsia="华文中宋"/>
        </w:rPr>
      </w:pPr>
      <w:r>
        <w:rPr>
          <w:rFonts w:hint="eastAsia" w:ascii="华文中宋" w:hAnsi="华文中宋" w:eastAsia="华文中宋"/>
        </w:rPr>
        <w:t>2.</w:t>
      </w:r>
      <w:r>
        <w:rPr>
          <w:rFonts w:hint="eastAsia"/>
        </w:rPr>
        <w:t xml:space="preserve"> </w:t>
      </w:r>
      <w:r>
        <w:rPr>
          <w:rFonts w:hint="eastAsia" w:ascii="华文中宋" w:hAnsi="华文中宋" w:eastAsia="华文中宋"/>
        </w:rPr>
        <w:t>采购人有权在签订合同前要求中标供应商提供相关证明材料以核实中标供应商承诺事项的真实性。</w:t>
      </w:r>
    </w:p>
    <w:p w14:paraId="5CDE85F7">
      <w:pPr>
        <w:pStyle w:val="62"/>
        <w:pageBreakBefore/>
        <w:numPr>
          <w:ilvl w:val="0"/>
          <w:numId w:val="0"/>
        </w:numPr>
        <w:snapToGrid w:val="0"/>
        <w:spacing w:before="0" w:after="0"/>
      </w:pPr>
      <w:bookmarkStart w:id="79" w:name="_Toc26881703"/>
      <w:r>
        <w:rPr>
          <w:rFonts w:hint="eastAsia" w:ascii="华文中宋" w:hAnsi="华文中宋" w:eastAsia="华文中宋"/>
          <w:spacing w:val="20"/>
          <w:szCs w:val="28"/>
        </w:rPr>
        <w:t xml:space="preserve">第六部分 </w:t>
      </w:r>
      <w:bookmarkEnd w:id="78"/>
      <w:bookmarkEnd w:id="79"/>
      <w:r>
        <w:rPr>
          <w:rFonts w:hint="eastAsia" w:ascii="华文中宋" w:hAnsi="华文中宋" w:eastAsia="华文中宋"/>
          <w:spacing w:val="20"/>
          <w:szCs w:val="28"/>
        </w:rPr>
        <w:t>符合性审查内容</w:t>
      </w:r>
    </w:p>
    <w:p w14:paraId="47D4A005">
      <w:pPr>
        <w:pStyle w:val="66"/>
        <w:snapToGrid w:val="0"/>
        <w:spacing w:line="480" w:lineRule="exact"/>
        <w:ind w:firstLine="315" w:firstLineChars="150"/>
        <w:rPr>
          <w:rFonts w:ascii="华文中宋" w:hAnsi="华文中宋" w:eastAsia="华文中宋"/>
          <w:b/>
        </w:rPr>
      </w:pPr>
      <w:r>
        <w:rPr>
          <w:rFonts w:hint="eastAsia" w:ascii="华文中宋" w:hAnsi="华文中宋" w:eastAsia="华文中宋"/>
          <w:b/>
        </w:rPr>
        <w:t>一、符合性审查的内容及标准</w:t>
      </w:r>
    </w:p>
    <w:tbl>
      <w:tblPr>
        <w:tblStyle w:val="38"/>
        <w:tblW w:w="95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0"/>
        <w:gridCol w:w="3000"/>
        <w:gridCol w:w="5500"/>
      </w:tblGrid>
      <w:tr w14:paraId="10523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7994E771">
            <w:pPr>
              <w:jc w:val="center"/>
              <w:rPr>
                <w:rFonts w:asciiTheme="minorEastAsia" w:hAnsiTheme="minorEastAsia" w:eastAsiaTheme="minorEastAsia"/>
              </w:rPr>
            </w:pPr>
            <w:r>
              <w:rPr>
                <w:rFonts w:asciiTheme="minorEastAsia" w:hAnsiTheme="minorEastAsia" w:eastAsiaTheme="minorEastAsia"/>
              </w:rPr>
              <w:t>序号</w:t>
            </w:r>
          </w:p>
        </w:tc>
        <w:tc>
          <w:tcPr>
            <w:tcW w:w="3000" w:type="dxa"/>
          </w:tcPr>
          <w:p w14:paraId="2E66EB30">
            <w:pPr>
              <w:jc w:val="center"/>
              <w:rPr>
                <w:rFonts w:asciiTheme="minorEastAsia" w:hAnsiTheme="minorEastAsia" w:eastAsiaTheme="minorEastAsia"/>
              </w:rPr>
            </w:pPr>
            <w:r>
              <w:rPr>
                <w:rFonts w:hint="eastAsia" w:asciiTheme="minorEastAsia" w:hAnsiTheme="minorEastAsia" w:eastAsiaTheme="minorEastAsia"/>
              </w:rPr>
              <w:t>要求</w:t>
            </w:r>
          </w:p>
        </w:tc>
        <w:tc>
          <w:tcPr>
            <w:tcW w:w="5500" w:type="dxa"/>
          </w:tcPr>
          <w:p w14:paraId="727EA6C4">
            <w:pPr>
              <w:jc w:val="center"/>
              <w:rPr>
                <w:rFonts w:asciiTheme="minorEastAsia" w:hAnsiTheme="minorEastAsia" w:eastAsiaTheme="minorEastAsia"/>
              </w:rPr>
            </w:pPr>
            <w:r>
              <w:rPr>
                <w:rFonts w:hint="eastAsia" w:asciiTheme="minorEastAsia" w:hAnsiTheme="minorEastAsia" w:eastAsiaTheme="minorEastAsia"/>
              </w:rPr>
              <w:t>要求说明</w:t>
            </w:r>
          </w:p>
        </w:tc>
      </w:tr>
      <w:tr w14:paraId="38BCC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714EE654">
            <w:pPr>
              <w:jc w:val="center"/>
              <w:rPr>
                <w:rFonts w:asciiTheme="minorEastAsia" w:hAnsiTheme="minorEastAsia" w:eastAsiaTheme="minorEastAsia"/>
                <w:b/>
              </w:rPr>
            </w:pPr>
            <w:r>
              <w:rPr>
                <w:rFonts w:hint="eastAsia" w:asciiTheme="minorEastAsia" w:hAnsiTheme="minorEastAsia" w:eastAsiaTheme="minorEastAsia"/>
                <w:b/>
              </w:rPr>
              <w:t>商务资信</w:t>
            </w:r>
          </w:p>
        </w:tc>
      </w:tr>
      <w:tr w14:paraId="6511A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79C162E0">
            <w:pPr>
              <w:jc w:val="center"/>
              <w:rPr>
                <w:rFonts w:asciiTheme="minorEastAsia" w:hAnsiTheme="minorEastAsia" w:eastAsiaTheme="minorEastAsia"/>
              </w:rPr>
            </w:pPr>
            <w:r>
              <w:rPr>
                <w:rFonts w:hint="eastAsia" w:asciiTheme="minorEastAsia" w:hAnsiTheme="minorEastAsia" w:eastAsiaTheme="minorEastAsia"/>
              </w:rPr>
              <w:t>1</w:t>
            </w:r>
          </w:p>
        </w:tc>
        <w:tc>
          <w:tcPr>
            <w:tcW w:w="3000" w:type="dxa"/>
            <w:vAlign w:val="center"/>
          </w:tcPr>
          <w:p w14:paraId="4FC84672">
            <w:pPr>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投标人</w:t>
            </w:r>
            <w:r>
              <w:rPr>
                <w:rFonts w:cs="华文中宋" w:asciiTheme="minorEastAsia" w:hAnsiTheme="minorEastAsia" w:eastAsiaTheme="minorEastAsia"/>
                <w:szCs w:val="21"/>
              </w:rPr>
              <w:t>代表的证明</w:t>
            </w:r>
          </w:p>
        </w:tc>
        <w:tc>
          <w:tcPr>
            <w:tcW w:w="5500" w:type="dxa"/>
          </w:tcPr>
          <w:p w14:paraId="1DF708A0">
            <w:pPr>
              <w:rPr>
                <w:rFonts w:asciiTheme="minorEastAsia" w:hAnsiTheme="minorEastAsia" w:eastAsiaTheme="minorEastAsia"/>
              </w:rPr>
            </w:pPr>
            <w:r>
              <w:rPr>
                <w:rFonts w:asciiTheme="minorEastAsia" w:hAnsiTheme="minorEastAsia" w:eastAsiaTheme="minorEastAsia"/>
              </w:rPr>
              <w:t>（1）法定代表人参加投标的，提供“法定代表人</w:t>
            </w:r>
            <w:r>
              <w:rPr>
                <w:rFonts w:hint="eastAsia" w:asciiTheme="minorEastAsia" w:hAnsiTheme="minorEastAsia" w:eastAsiaTheme="minorEastAsia"/>
              </w:rPr>
              <w:t>身份</w:t>
            </w:r>
            <w:r>
              <w:rPr>
                <w:rFonts w:asciiTheme="minorEastAsia" w:hAnsiTheme="minorEastAsia" w:eastAsiaTheme="minorEastAsia"/>
              </w:rPr>
              <w:t>证明书”</w:t>
            </w:r>
            <w:r>
              <w:rPr>
                <w:rFonts w:hint="eastAsia" w:asciiTheme="minorEastAsia" w:hAnsiTheme="minorEastAsia" w:eastAsiaTheme="minorEastAsia"/>
              </w:rPr>
              <w:t>；</w:t>
            </w:r>
          </w:p>
          <w:p w14:paraId="7A0B5727">
            <w:pPr>
              <w:rPr>
                <w:rFonts w:asciiTheme="minorEastAsia" w:hAnsiTheme="minorEastAsia" w:eastAsiaTheme="minorEastAsia"/>
              </w:rPr>
            </w:pPr>
            <w:r>
              <w:rPr>
                <w:rFonts w:asciiTheme="minorEastAsia" w:hAnsiTheme="minorEastAsia" w:eastAsiaTheme="minorEastAsia"/>
              </w:rPr>
              <w:t>（2）委托代理人参加投标的，提供“法定代表人授权委托书”</w:t>
            </w:r>
            <w:r>
              <w:rPr>
                <w:rFonts w:hint="eastAsia" w:asciiTheme="minorEastAsia" w:hAnsiTheme="minorEastAsia" w:eastAsiaTheme="minorEastAsia"/>
              </w:rPr>
              <w:t>；</w:t>
            </w:r>
          </w:p>
          <w:p w14:paraId="6B79F71F">
            <w:pPr>
              <w:rPr>
                <w:rFonts w:asciiTheme="minorEastAsia" w:hAnsiTheme="minorEastAsia" w:eastAsiaTheme="minorEastAsia"/>
              </w:rPr>
            </w:pPr>
            <w:r>
              <w:rPr>
                <w:rFonts w:asciiTheme="minorEastAsia" w:hAnsiTheme="minorEastAsia" w:eastAsiaTheme="minorEastAsia"/>
              </w:rPr>
              <w:t>（3）自然人参加投标的，提供个人身份证明扫描件；</w:t>
            </w:r>
          </w:p>
          <w:p w14:paraId="77220378">
            <w:pPr>
              <w:rPr>
                <w:rFonts w:asciiTheme="minorEastAsia" w:hAnsiTheme="minorEastAsia" w:eastAsiaTheme="minorEastAsia"/>
              </w:rPr>
            </w:pPr>
            <w:r>
              <w:rPr>
                <w:rFonts w:asciiTheme="minorEastAsia" w:hAnsiTheme="minorEastAsia" w:eastAsiaTheme="minorEastAsia"/>
              </w:rPr>
              <w:t>内容完整，</w:t>
            </w:r>
            <w:r>
              <w:rPr>
                <w:rFonts w:hint="eastAsia" w:asciiTheme="minorEastAsia" w:hAnsiTheme="minorEastAsia" w:eastAsiaTheme="minorEastAsia"/>
              </w:rPr>
              <w:t>投标人</w:t>
            </w:r>
            <w:r>
              <w:rPr>
                <w:rFonts w:asciiTheme="minorEastAsia" w:hAnsiTheme="minorEastAsia" w:eastAsiaTheme="minorEastAsia"/>
              </w:rPr>
              <w:t>电子签章符合要求。</w:t>
            </w:r>
          </w:p>
        </w:tc>
      </w:tr>
      <w:tr w14:paraId="06C06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2934A99C">
            <w:pPr>
              <w:jc w:val="center"/>
              <w:rPr>
                <w:rFonts w:asciiTheme="minorEastAsia" w:hAnsiTheme="minorEastAsia" w:eastAsiaTheme="minorEastAsia"/>
              </w:rPr>
            </w:pPr>
            <w:r>
              <w:rPr>
                <w:rFonts w:hint="eastAsia" w:asciiTheme="minorEastAsia" w:hAnsiTheme="minorEastAsia" w:eastAsiaTheme="minorEastAsia"/>
              </w:rPr>
              <w:t>2</w:t>
            </w:r>
          </w:p>
        </w:tc>
        <w:tc>
          <w:tcPr>
            <w:tcW w:w="3000" w:type="dxa"/>
            <w:vAlign w:val="center"/>
          </w:tcPr>
          <w:p w14:paraId="267E2A23">
            <w:pPr>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投标</w:t>
            </w:r>
            <w:r>
              <w:rPr>
                <w:rFonts w:cs="华文中宋" w:asciiTheme="minorEastAsia" w:hAnsiTheme="minorEastAsia" w:eastAsiaTheme="minorEastAsia"/>
                <w:szCs w:val="21"/>
              </w:rPr>
              <w:t>函</w:t>
            </w:r>
          </w:p>
        </w:tc>
        <w:tc>
          <w:tcPr>
            <w:tcW w:w="5500" w:type="dxa"/>
          </w:tcPr>
          <w:p w14:paraId="39A28073">
            <w:pPr>
              <w:rPr>
                <w:rFonts w:asciiTheme="minorEastAsia" w:hAnsiTheme="minorEastAsia" w:eastAsiaTheme="minorEastAsia"/>
              </w:rPr>
            </w:pPr>
            <w:r>
              <w:rPr>
                <w:rFonts w:asciiTheme="minorEastAsia" w:hAnsiTheme="minorEastAsia" w:eastAsiaTheme="minorEastAsia"/>
              </w:rPr>
              <w:t>内容完整，</w:t>
            </w:r>
            <w:r>
              <w:rPr>
                <w:rFonts w:hint="eastAsia" w:asciiTheme="minorEastAsia" w:hAnsiTheme="minorEastAsia" w:eastAsiaTheme="minorEastAsia"/>
              </w:rPr>
              <w:t>满足招标文件规定的报价有效期，须加盖电子公章</w:t>
            </w:r>
            <w:r>
              <w:rPr>
                <w:rFonts w:asciiTheme="minorEastAsia" w:hAnsiTheme="minorEastAsia" w:eastAsiaTheme="minorEastAsia"/>
              </w:rPr>
              <w:t>。</w:t>
            </w:r>
          </w:p>
        </w:tc>
      </w:tr>
      <w:tr w14:paraId="48E33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12204C78">
            <w:pPr>
              <w:jc w:val="center"/>
              <w:rPr>
                <w:rFonts w:asciiTheme="minorEastAsia" w:hAnsiTheme="minorEastAsia" w:eastAsiaTheme="minorEastAsia"/>
              </w:rPr>
            </w:pPr>
            <w:r>
              <w:rPr>
                <w:rFonts w:hint="eastAsia" w:asciiTheme="minorEastAsia" w:hAnsiTheme="minorEastAsia" w:eastAsiaTheme="minorEastAsia"/>
              </w:rPr>
              <w:t>3</w:t>
            </w:r>
          </w:p>
        </w:tc>
        <w:tc>
          <w:tcPr>
            <w:tcW w:w="3000" w:type="dxa"/>
            <w:vAlign w:val="center"/>
          </w:tcPr>
          <w:p w14:paraId="748162DF">
            <w:pPr>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对商务要求的响应内容</w:t>
            </w:r>
          </w:p>
        </w:tc>
        <w:tc>
          <w:tcPr>
            <w:tcW w:w="5500" w:type="dxa"/>
            <w:vAlign w:val="center"/>
          </w:tcPr>
          <w:p w14:paraId="38A64BBA">
            <w:pPr>
              <w:rPr>
                <w:rFonts w:asciiTheme="minorEastAsia" w:hAnsiTheme="minorEastAsia" w:eastAsiaTheme="minorEastAsia"/>
              </w:rPr>
            </w:pPr>
            <w:r>
              <w:rPr>
                <w:rFonts w:hint="eastAsia" w:asciiTheme="minorEastAsia" w:hAnsiTheme="minorEastAsia" w:eastAsiaTheme="minorEastAsia"/>
              </w:rPr>
              <w:t>是否按照投标文件规定要求电子签章。</w:t>
            </w:r>
          </w:p>
          <w:p w14:paraId="2E51F261">
            <w:pPr>
              <w:rPr>
                <w:rFonts w:asciiTheme="minorEastAsia" w:hAnsiTheme="minorEastAsia" w:eastAsiaTheme="minorEastAsia"/>
              </w:rPr>
            </w:pPr>
            <w:r>
              <w:rPr>
                <w:rFonts w:hint="eastAsia" w:asciiTheme="minorEastAsia" w:hAnsiTheme="minorEastAsia" w:eastAsiaTheme="minorEastAsia"/>
              </w:rPr>
              <w:t>是否满足投标文件第四部分商务要求的其他实质性要求（例如：交货时间、质保期、数量等）。</w:t>
            </w:r>
          </w:p>
          <w:p w14:paraId="7320B835">
            <w:pPr>
              <w:rPr>
                <w:rFonts w:asciiTheme="minorEastAsia" w:hAnsiTheme="minorEastAsia" w:eastAsiaTheme="minorEastAsia"/>
              </w:rPr>
            </w:pPr>
            <w:r>
              <w:rPr>
                <w:rFonts w:hint="eastAsia" w:asciiTheme="minorEastAsia" w:hAnsiTheme="minorEastAsia" w:eastAsiaTheme="minorEastAsia"/>
              </w:rPr>
              <w:t>加盖投标人电子公章。</w:t>
            </w:r>
          </w:p>
        </w:tc>
      </w:tr>
      <w:tr w14:paraId="53B71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48FBA24B">
            <w:pPr>
              <w:jc w:val="center"/>
              <w:rPr>
                <w:rFonts w:asciiTheme="minorEastAsia" w:hAnsiTheme="minorEastAsia" w:eastAsiaTheme="minorEastAsia"/>
                <w:b/>
              </w:rPr>
            </w:pPr>
            <w:r>
              <w:rPr>
                <w:rFonts w:hint="eastAsia" w:asciiTheme="minorEastAsia" w:hAnsiTheme="minorEastAsia" w:eastAsiaTheme="minorEastAsia"/>
                <w:b/>
              </w:rPr>
              <w:t>技术</w:t>
            </w:r>
          </w:p>
        </w:tc>
      </w:tr>
      <w:tr w14:paraId="52383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4781C130">
            <w:pPr>
              <w:jc w:val="center"/>
              <w:rPr>
                <w:rFonts w:asciiTheme="minorEastAsia" w:hAnsiTheme="minorEastAsia" w:eastAsiaTheme="minorEastAsia"/>
              </w:rPr>
            </w:pPr>
            <w:r>
              <w:rPr>
                <w:rFonts w:hint="eastAsia" w:asciiTheme="minorEastAsia" w:hAnsiTheme="minorEastAsia" w:eastAsiaTheme="minorEastAsia"/>
              </w:rPr>
              <w:t>4</w:t>
            </w:r>
          </w:p>
        </w:tc>
        <w:tc>
          <w:tcPr>
            <w:tcW w:w="3000" w:type="dxa"/>
            <w:vAlign w:val="center"/>
          </w:tcPr>
          <w:p w14:paraId="2E3DEE1C">
            <w:pPr>
              <w:jc w:val="center"/>
              <w:rPr>
                <w:rFonts w:asciiTheme="minorEastAsia" w:hAnsiTheme="minorEastAsia" w:eastAsiaTheme="minorEastAsia"/>
              </w:rPr>
            </w:pPr>
            <w:r>
              <w:rPr>
                <w:rFonts w:hint="eastAsia" w:asciiTheme="minorEastAsia" w:hAnsiTheme="minorEastAsia" w:eastAsiaTheme="minorEastAsia"/>
              </w:rPr>
              <w:t>对服务要求的响应内容</w:t>
            </w:r>
          </w:p>
        </w:tc>
        <w:tc>
          <w:tcPr>
            <w:tcW w:w="5500" w:type="dxa"/>
            <w:vAlign w:val="center"/>
          </w:tcPr>
          <w:p w14:paraId="5D3C7177">
            <w:pPr>
              <w:rPr>
                <w:rFonts w:asciiTheme="minorEastAsia" w:hAnsiTheme="minorEastAsia" w:eastAsiaTheme="minorEastAsia"/>
              </w:rPr>
            </w:pPr>
            <w:r>
              <w:rPr>
                <w:rFonts w:hint="eastAsia" w:asciiTheme="minorEastAsia" w:hAnsiTheme="minorEastAsia" w:eastAsiaTheme="minorEastAsia"/>
              </w:rPr>
              <w:t>（1）服务方案响应情况：实施时间进度表、实施交付使用标准、保障措施、培训承诺等。</w:t>
            </w:r>
          </w:p>
          <w:p w14:paraId="5E13320D">
            <w:pPr>
              <w:rPr>
                <w:rFonts w:asciiTheme="minorEastAsia" w:hAnsiTheme="minorEastAsia" w:eastAsiaTheme="minorEastAsia"/>
              </w:rPr>
            </w:pPr>
            <w:r>
              <w:rPr>
                <w:rFonts w:hint="eastAsia" w:asciiTheme="minorEastAsia" w:hAnsiTheme="minorEastAsia" w:eastAsiaTheme="minorEastAsia"/>
              </w:rPr>
              <w:t>（2）售后服务响应情况：售后服务体系（售后服务网点、人员、设施情况，售后联系方式）、售后服务响应机制、维修承诺等。</w:t>
            </w:r>
          </w:p>
          <w:p w14:paraId="37B5846A">
            <w:pPr>
              <w:ind w:firstLine="210" w:firstLineChars="100"/>
              <w:rPr>
                <w:rFonts w:asciiTheme="minorEastAsia" w:hAnsiTheme="minorEastAsia" w:eastAsiaTheme="minorEastAsia"/>
              </w:rPr>
            </w:pPr>
            <w:r>
              <w:rPr>
                <w:rFonts w:hint="eastAsia" w:asciiTheme="minorEastAsia" w:hAnsiTheme="minorEastAsia" w:eastAsiaTheme="minorEastAsia"/>
              </w:rPr>
              <w:t>加盖投标人电子公章。</w:t>
            </w:r>
          </w:p>
        </w:tc>
      </w:tr>
      <w:tr w14:paraId="61D49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4C5FED62">
            <w:pPr>
              <w:jc w:val="center"/>
              <w:rPr>
                <w:rFonts w:asciiTheme="minorEastAsia" w:hAnsiTheme="minorEastAsia" w:eastAsiaTheme="minorEastAsia"/>
              </w:rPr>
            </w:pPr>
            <w:r>
              <w:rPr>
                <w:rFonts w:hint="eastAsia" w:asciiTheme="minorEastAsia" w:hAnsiTheme="minorEastAsia" w:eastAsiaTheme="minorEastAsia"/>
              </w:rPr>
              <w:t>5</w:t>
            </w:r>
          </w:p>
        </w:tc>
        <w:tc>
          <w:tcPr>
            <w:tcW w:w="3000" w:type="dxa"/>
            <w:vAlign w:val="center"/>
          </w:tcPr>
          <w:p w14:paraId="40C6B7EF">
            <w:pPr>
              <w:ind w:firstLine="210" w:firstLineChars="100"/>
              <w:rPr>
                <w:rFonts w:asciiTheme="minorEastAsia" w:hAnsiTheme="minorEastAsia" w:eastAsiaTheme="minorEastAsia"/>
              </w:rPr>
            </w:pPr>
            <w:r>
              <w:rPr>
                <w:rFonts w:hint="eastAsia" w:asciiTheme="minorEastAsia" w:hAnsiTheme="minorEastAsia" w:eastAsiaTheme="minorEastAsia"/>
              </w:rPr>
              <w:t>对技术要求的响应内容</w:t>
            </w:r>
          </w:p>
        </w:tc>
        <w:tc>
          <w:tcPr>
            <w:tcW w:w="5500" w:type="dxa"/>
            <w:vAlign w:val="center"/>
          </w:tcPr>
          <w:p w14:paraId="7E420FCB">
            <w:pPr>
              <w:rPr>
                <w:rFonts w:ascii="华文中宋" w:hAnsi="华文中宋" w:eastAsia="华文中宋" w:cs="华文中宋"/>
                <w:szCs w:val="21"/>
              </w:rPr>
            </w:pPr>
            <w:r>
              <w:rPr>
                <w:rFonts w:hint="eastAsia" w:ascii="华文中宋" w:hAnsi="华文中宋" w:eastAsia="华文中宋" w:cs="华文中宋"/>
                <w:szCs w:val="21"/>
              </w:rPr>
              <w:t>（1）投报货物技术偏离表。</w:t>
            </w:r>
          </w:p>
          <w:p w14:paraId="7F8E85B2">
            <w:pPr>
              <w:rPr>
                <w:rFonts w:ascii="华文中宋" w:hAnsi="华文中宋" w:eastAsia="华文中宋" w:cs="华文中宋"/>
                <w:szCs w:val="21"/>
              </w:rPr>
            </w:pPr>
            <w:r>
              <w:rPr>
                <w:rFonts w:hint="eastAsia" w:ascii="华文中宋" w:hAnsi="华文中宋" w:eastAsia="华文中宋" w:cs="华文中宋"/>
                <w:szCs w:val="21"/>
              </w:rPr>
              <w:t>（2）技术参数和运行性能的详细描述及相关证明资料</w:t>
            </w:r>
          </w:p>
          <w:p w14:paraId="2533DCB3">
            <w:pPr>
              <w:rPr>
                <w:rFonts w:ascii="华文中宋" w:hAnsi="华文中宋" w:eastAsia="华文中宋" w:cs="华文中宋"/>
                <w:szCs w:val="21"/>
              </w:rPr>
            </w:pPr>
            <w:r>
              <w:rPr>
                <w:rFonts w:hint="eastAsia" w:ascii="华文中宋" w:hAnsi="华文中宋" w:eastAsia="华文中宋" w:cs="华文中宋"/>
                <w:szCs w:val="21"/>
              </w:rPr>
              <w:t>①技术参数和运行性能的详细描述文件；</w:t>
            </w:r>
          </w:p>
          <w:p w14:paraId="4F5D3629">
            <w:pPr>
              <w:rPr>
                <w:rFonts w:ascii="华文中宋" w:hAnsi="华文中宋" w:eastAsia="华文中宋" w:cs="华文中宋"/>
                <w:szCs w:val="21"/>
              </w:rPr>
            </w:pPr>
            <w:r>
              <w:rPr>
                <w:rFonts w:hint="eastAsia" w:ascii="华文中宋" w:hAnsi="华文中宋" w:eastAsia="华文中宋" w:cs="华文中宋"/>
                <w:szCs w:val="21"/>
              </w:rPr>
              <w:t>②须提供同投报货物一致但不限于以下任意证明资料：公开发行的产品说明书或手册；经评标委员会共同认定为有效的证明资料。</w:t>
            </w:r>
          </w:p>
          <w:p w14:paraId="6158FEDA">
            <w:pPr>
              <w:rPr>
                <w:rFonts w:asciiTheme="minorEastAsia" w:hAnsiTheme="minorEastAsia" w:eastAsiaTheme="minorEastAsia"/>
              </w:rPr>
            </w:pPr>
            <w:r>
              <w:rPr>
                <w:rFonts w:hint="eastAsia" w:ascii="华文中宋" w:hAnsi="华文中宋" w:eastAsia="华文中宋" w:cs="华文中宋"/>
                <w:szCs w:val="21"/>
              </w:rPr>
              <w:t>内容完整，须加盖电子公章。</w:t>
            </w:r>
          </w:p>
        </w:tc>
      </w:tr>
      <w:tr w14:paraId="23D87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1C2C8CA8">
            <w:pPr>
              <w:jc w:val="center"/>
              <w:rPr>
                <w:rFonts w:asciiTheme="minorEastAsia" w:hAnsiTheme="minorEastAsia" w:eastAsiaTheme="minorEastAsia"/>
              </w:rPr>
            </w:pPr>
            <w:r>
              <w:rPr>
                <w:rFonts w:hint="eastAsia" w:asciiTheme="minorEastAsia" w:hAnsiTheme="minorEastAsia" w:eastAsiaTheme="minorEastAsia"/>
              </w:rPr>
              <w:t>6</w:t>
            </w:r>
          </w:p>
        </w:tc>
        <w:tc>
          <w:tcPr>
            <w:tcW w:w="3000" w:type="dxa"/>
            <w:vAlign w:val="center"/>
          </w:tcPr>
          <w:p w14:paraId="21C71DC8">
            <w:pPr>
              <w:jc w:val="center"/>
              <w:rPr>
                <w:rFonts w:asciiTheme="minorEastAsia" w:hAnsiTheme="minorEastAsia" w:eastAsiaTheme="minorEastAsia"/>
              </w:rPr>
            </w:pPr>
            <w:r>
              <w:rPr>
                <w:rFonts w:hint="eastAsia" w:asciiTheme="minorEastAsia" w:hAnsiTheme="minorEastAsia" w:eastAsiaTheme="minorEastAsia"/>
              </w:rPr>
              <w:t>涉及政府采购政策要求内容</w:t>
            </w:r>
          </w:p>
        </w:tc>
        <w:tc>
          <w:tcPr>
            <w:tcW w:w="5500" w:type="dxa"/>
            <w:vAlign w:val="center"/>
          </w:tcPr>
          <w:p w14:paraId="10DE7A7E">
            <w:pPr>
              <w:numPr>
                <w:ilvl w:val="0"/>
                <w:numId w:val="7"/>
              </w:numPr>
            </w:pPr>
            <w:r>
              <w:rPr>
                <w:rFonts w:hint="eastAsia" w:asciiTheme="minorEastAsia" w:hAnsiTheme="minorEastAsia" w:eastAsiaTheme="minorEastAsia"/>
              </w:rPr>
              <w:t>中小企业声明函（</w:t>
            </w:r>
            <w:r>
              <w:rPr>
                <w:rFonts w:hint="eastAsia" w:asciiTheme="minorEastAsia" w:hAnsiTheme="minorEastAsia" w:eastAsiaTheme="minorEastAsia"/>
                <w:lang w:eastAsia="zh-CN"/>
              </w:rPr>
              <w:t>若涉及</w:t>
            </w:r>
            <w:r>
              <w:rPr>
                <w:rFonts w:hint="eastAsia" w:asciiTheme="minorEastAsia" w:hAnsiTheme="minorEastAsia" w:eastAsiaTheme="minorEastAsia"/>
              </w:rPr>
              <w:t>）</w:t>
            </w:r>
          </w:p>
          <w:p w14:paraId="3CA127EB">
            <w:pPr>
              <w:rPr>
                <w:rFonts w:asciiTheme="minorEastAsia" w:hAnsiTheme="minorEastAsia" w:eastAsiaTheme="minorEastAsia"/>
              </w:rPr>
            </w:pPr>
            <w:r>
              <w:rPr>
                <w:rFonts w:hint="eastAsia" w:asciiTheme="minorEastAsia" w:hAnsiTheme="minorEastAsia" w:eastAsiaTheme="minorEastAsia"/>
              </w:rPr>
              <w:t>（2）残疾人福利性单位声明函（若涉及）</w:t>
            </w:r>
          </w:p>
          <w:p w14:paraId="0F630DE2">
            <w:pPr>
              <w:rPr>
                <w:rFonts w:asciiTheme="minorEastAsia" w:hAnsiTheme="minorEastAsia" w:eastAsiaTheme="minorEastAsia"/>
              </w:rPr>
            </w:pPr>
            <w:r>
              <w:rPr>
                <w:rFonts w:hint="eastAsia" w:asciiTheme="minorEastAsia" w:hAnsiTheme="minorEastAsia" w:eastAsiaTheme="minorEastAsia"/>
              </w:rPr>
              <w:t>（3）监狱企业证明函（若涉及）</w:t>
            </w:r>
          </w:p>
          <w:p w14:paraId="6F0362B8">
            <w:pPr>
              <w:rPr>
                <w:rFonts w:asciiTheme="minorEastAsia" w:hAnsiTheme="minorEastAsia" w:eastAsiaTheme="minorEastAsia"/>
              </w:rPr>
            </w:pPr>
            <w:r>
              <w:rPr>
                <w:rFonts w:hint="eastAsia" w:asciiTheme="minorEastAsia" w:hAnsiTheme="minorEastAsia" w:eastAsiaTheme="minorEastAsia"/>
              </w:rPr>
              <w:t>（4）政府强制采购（节能）产品明细表（须提供）</w:t>
            </w:r>
          </w:p>
          <w:p w14:paraId="64D6347C">
            <w:pPr>
              <w:pStyle w:val="47"/>
              <w:rPr>
                <w:rFonts w:asciiTheme="minorEastAsia" w:hAnsiTheme="minorEastAsia" w:eastAsiaTheme="minorEastAsia"/>
                <w:sz w:val="21"/>
              </w:rPr>
            </w:pPr>
            <w:r>
              <w:rPr>
                <w:rFonts w:hint="eastAsia" w:asciiTheme="minorEastAsia" w:hAnsiTheme="minorEastAsia" w:eastAsiaTheme="minorEastAsia"/>
                <w:sz w:val="21"/>
              </w:rPr>
              <w:t>（如台式计算机、平板电脑、电视机、触控屏、会议一体机、空调、LED显示屏、办公家具等属于政府采购强制节能产品）</w:t>
            </w:r>
          </w:p>
          <w:p w14:paraId="504E4CC8">
            <w:pPr>
              <w:rPr>
                <w:rFonts w:asciiTheme="minorEastAsia" w:hAnsiTheme="minorEastAsia" w:eastAsiaTheme="minorEastAsia"/>
              </w:rPr>
            </w:pPr>
            <w:r>
              <w:rPr>
                <w:rFonts w:hint="eastAsia" w:asciiTheme="minorEastAsia" w:hAnsiTheme="minorEastAsia" w:eastAsiaTheme="minorEastAsia"/>
              </w:rPr>
              <w:t>（5）正版软件承诺（须提供）</w:t>
            </w:r>
          </w:p>
          <w:p w14:paraId="4AC891DD">
            <w:pPr>
              <w:rPr>
                <w:rFonts w:asciiTheme="minorEastAsia" w:hAnsiTheme="minorEastAsia" w:eastAsiaTheme="minorEastAsia"/>
              </w:rPr>
            </w:pPr>
            <w:r>
              <w:rPr>
                <w:rFonts w:hint="eastAsia" w:asciiTheme="minorEastAsia" w:hAnsiTheme="minorEastAsia" w:eastAsiaTheme="minorEastAsia"/>
              </w:rPr>
              <w:t>（6）信息安全产品说明（若涉及）</w:t>
            </w:r>
          </w:p>
          <w:p w14:paraId="51DDF8C0">
            <w:pPr>
              <w:rPr>
                <w:rFonts w:asciiTheme="minorEastAsia" w:hAnsiTheme="minorEastAsia" w:eastAsiaTheme="minorEastAsia"/>
              </w:rPr>
            </w:pPr>
            <w:r>
              <w:rPr>
                <w:rFonts w:hint="eastAsia" w:asciiTheme="minorEastAsia" w:hAnsiTheme="minorEastAsia" w:eastAsiaTheme="minorEastAsia"/>
              </w:rPr>
              <w:t>（7）商品包装和快递包装承诺（须提供）</w:t>
            </w:r>
          </w:p>
          <w:p w14:paraId="750E17FA">
            <w:pPr>
              <w:rPr>
                <w:rFonts w:asciiTheme="minorEastAsia" w:hAnsiTheme="minorEastAsia" w:eastAsiaTheme="minorEastAsia"/>
              </w:rPr>
            </w:pPr>
            <w:r>
              <w:rPr>
                <w:rFonts w:hint="eastAsia" w:asciiTheme="minorEastAsia" w:hAnsiTheme="minorEastAsia" w:eastAsiaTheme="minorEastAsia"/>
              </w:rPr>
              <w:t>内容完整，加盖投标人电子公章。</w:t>
            </w:r>
          </w:p>
        </w:tc>
      </w:tr>
      <w:tr w14:paraId="6ED5A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500" w:type="dxa"/>
            <w:gridSpan w:val="3"/>
            <w:vAlign w:val="center"/>
          </w:tcPr>
          <w:p w14:paraId="1D73211F">
            <w:pPr>
              <w:jc w:val="center"/>
              <w:rPr>
                <w:rFonts w:asciiTheme="minorEastAsia" w:hAnsiTheme="minorEastAsia" w:eastAsiaTheme="minorEastAsia"/>
                <w:b/>
              </w:rPr>
            </w:pPr>
            <w:r>
              <w:rPr>
                <w:rFonts w:hint="eastAsia" w:asciiTheme="minorEastAsia" w:hAnsiTheme="minorEastAsia" w:eastAsiaTheme="minorEastAsia"/>
                <w:b/>
              </w:rPr>
              <w:t>报价</w:t>
            </w:r>
          </w:p>
        </w:tc>
      </w:tr>
      <w:tr w14:paraId="20878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00" w:type="dxa"/>
            <w:vAlign w:val="center"/>
          </w:tcPr>
          <w:p w14:paraId="1C6C64EE">
            <w:pPr>
              <w:jc w:val="center"/>
              <w:rPr>
                <w:rFonts w:asciiTheme="minorEastAsia" w:hAnsiTheme="minorEastAsia" w:eastAsiaTheme="minorEastAsia"/>
              </w:rPr>
            </w:pPr>
            <w:r>
              <w:rPr>
                <w:rFonts w:hint="eastAsia" w:asciiTheme="minorEastAsia" w:hAnsiTheme="minorEastAsia" w:eastAsiaTheme="minorEastAsia"/>
              </w:rPr>
              <w:t>7</w:t>
            </w:r>
          </w:p>
        </w:tc>
        <w:tc>
          <w:tcPr>
            <w:tcW w:w="3000" w:type="dxa"/>
            <w:vAlign w:val="center"/>
          </w:tcPr>
          <w:p w14:paraId="2C761FFB">
            <w:pPr>
              <w:jc w:val="center"/>
              <w:rPr>
                <w:rFonts w:asciiTheme="minorEastAsia" w:hAnsiTheme="minorEastAsia" w:eastAsiaTheme="minorEastAsia"/>
              </w:rPr>
            </w:pPr>
            <w:r>
              <w:rPr>
                <w:rFonts w:hint="eastAsia" w:cs="华文中宋" w:asciiTheme="minorEastAsia" w:hAnsiTheme="minorEastAsia" w:eastAsiaTheme="minorEastAsia"/>
                <w:szCs w:val="21"/>
              </w:rPr>
              <w:t>开标一览表报价明细表</w:t>
            </w:r>
          </w:p>
        </w:tc>
        <w:tc>
          <w:tcPr>
            <w:tcW w:w="5500" w:type="dxa"/>
          </w:tcPr>
          <w:p w14:paraId="29BFA7D4">
            <w:pPr>
              <w:rPr>
                <w:rFonts w:asciiTheme="minorEastAsia" w:hAnsiTheme="minorEastAsia" w:eastAsiaTheme="minorEastAsia"/>
              </w:rPr>
            </w:pPr>
            <w:r>
              <w:rPr>
                <w:rFonts w:asciiTheme="minorEastAsia" w:hAnsiTheme="minorEastAsia" w:eastAsiaTheme="minorEastAsia"/>
              </w:rPr>
              <w:t>1、所有投标报价均以人民币/元为计算单位</w:t>
            </w:r>
            <w:r>
              <w:rPr>
                <w:rFonts w:hint="eastAsia" w:asciiTheme="minorEastAsia" w:hAnsiTheme="minorEastAsia" w:eastAsiaTheme="minorEastAsia"/>
              </w:rPr>
              <w:t>；</w:t>
            </w:r>
          </w:p>
          <w:p w14:paraId="66721CC1">
            <w:pPr>
              <w:rPr>
                <w:rFonts w:asciiTheme="minorEastAsia" w:hAnsiTheme="minorEastAsia" w:eastAsiaTheme="minorEastAsia"/>
              </w:rPr>
            </w:pPr>
            <w:r>
              <w:rPr>
                <w:rFonts w:asciiTheme="minorEastAsia" w:hAnsiTheme="minorEastAsia" w:eastAsiaTheme="minorEastAsia"/>
              </w:rPr>
              <w:t>2、投标人投报多包的，应对每包分别报价并分别填报报价一览表</w:t>
            </w:r>
            <w:r>
              <w:rPr>
                <w:rFonts w:hint="eastAsia" w:asciiTheme="minorEastAsia" w:hAnsiTheme="minorEastAsia" w:eastAsiaTheme="minorEastAsia"/>
              </w:rPr>
              <w:t>（若涉及）；</w:t>
            </w:r>
          </w:p>
          <w:p w14:paraId="6B9F2D5F">
            <w:pPr>
              <w:tabs>
                <w:tab w:val="left" w:pos="3900"/>
              </w:tabs>
              <w:rPr>
                <w:rFonts w:asciiTheme="minorEastAsia" w:hAnsiTheme="minorEastAsia" w:eastAsiaTheme="minorEastAsia"/>
              </w:rPr>
            </w:pPr>
            <w:r>
              <w:rPr>
                <w:rFonts w:asciiTheme="minorEastAsia" w:hAnsiTheme="minorEastAsia" w:eastAsiaTheme="minorEastAsia"/>
              </w:rPr>
              <w:t>3、不接受可选择或可调整的报价</w:t>
            </w:r>
            <w:r>
              <w:rPr>
                <w:rFonts w:hint="eastAsia" w:asciiTheme="minorEastAsia" w:hAnsiTheme="minorEastAsia" w:eastAsiaTheme="minorEastAsia"/>
              </w:rPr>
              <w:t>；</w:t>
            </w:r>
          </w:p>
          <w:p w14:paraId="3AAB775D">
            <w:pPr>
              <w:rPr>
                <w:rFonts w:asciiTheme="minorEastAsia" w:hAnsiTheme="minorEastAsia" w:eastAsiaTheme="minorEastAsia"/>
              </w:rPr>
            </w:pPr>
            <w:r>
              <w:rPr>
                <w:rFonts w:asciiTheme="minorEastAsia" w:hAnsiTheme="minorEastAsia" w:eastAsiaTheme="minorEastAsia"/>
              </w:rPr>
              <w:t>4、不接受超出本项目</w:t>
            </w:r>
            <w:r>
              <w:rPr>
                <w:rFonts w:hint="eastAsia" w:asciiTheme="minorEastAsia" w:hAnsiTheme="minorEastAsia" w:eastAsiaTheme="minorEastAsia"/>
              </w:rPr>
              <w:t>预算金额（</w:t>
            </w:r>
            <w:r>
              <w:rPr>
                <w:rFonts w:asciiTheme="minorEastAsia" w:hAnsiTheme="minorEastAsia" w:eastAsiaTheme="minorEastAsia"/>
              </w:rPr>
              <w:t>最高限价</w:t>
            </w:r>
            <w:r>
              <w:rPr>
                <w:rFonts w:hint="eastAsia" w:asciiTheme="minorEastAsia" w:hAnsiTheme="minorEastAsia" w:eastAsiaTheme="minorEastAsia"/>
              </w:rPr>
              <w:t>）</w:t>
            </w:r>
            <w:r>
              <w:rPr>
                <w:rFonts w:asciiTheme="minorEastAsia" w:hAnsiTheme="minorEastAsia" w:eastAsiaTheme="minorEastAsia"/>
              </w:rPr>
              <w:t>的报价</w:t>
            </w:r>
            <w:r>
              <w:rPr>
                <w:rFonts w:hint="eastAsia" w:asciiTheme="minorEastAsia" w:hAnsiTheme="minorEastAsia" w:eastAsiaTheme="minorEastAsia"/>
              </w:rPr>
              <w:t>；</w:t>
            </w:r>
          </w:p>
          <w:p w14:paraId="1012B798">
            <w:pPr>
              <w:rPr>
                <w:rFonts w:asciiTheme="minorEastAsia" w:hAnsiTheme="minorEastAsia" w:eastAsiaTheme="minorEastAsia"/>
              </w:rPr>
            </w:pPr>
            <w:r>
              <w:rPr>
                <w:rFonts w:hint="eastAsia" w:asciiTheme="minorEastAsia" w:hAnsiTheme="minorEastAsia" w:eastAsiaTheme="minorEastAsia"/>
              </w:rPr>
              <w:t>内容完整，电子签章符合要求。</w:t>
            </w:r>
          </w:p>
        </w:tc>
      </w:tr>
    </w:tbl>
    <w:p w14:paraId="2B38586D">
      <w:pPr>
        <w:pStyle w:val="66"/>
        <w:snapToGrid w:val="0"/>
        <w:spacing w:line="480" w:lineRule="exact"/>
        <w:ind w:left="945" w:hanging="945" w:hangingChars="450"/>
        <w:rPr>
          <w:rFonts w:ascii="华文中宋" w:hAnsi="华文中宋" w:eastAsia="华文中宋"/>
        </w:rPr>
      </w:pPr>
      <w:r>
        <w:rPr>
          <w:rFonts w:hint="eastAsia" w:ascii="华文中宋" w:hAnsi="华文中宋" w:eastAsia="华文中宋"/>
        </w:rPr>
        <w:t>注：1.符合性检查的内容，经评标委员会认定没有做出实质性响应的，将导致投标无效。</w:t>
      </w:r>
    </w:p>
    <w:p w14:paraId="51844DD0">
      <w:pPr>
        <w:pStyle w:val="66"/>
        <w:snapToGrid w:val="0"/>
        <w:spacing w:line="480" w:lineRule="exact"/>
        <w:ind w:left="945" w:leftChars="300" w:hanging="315" w:hangingChars="150"/>
        <w:rPr>
          <w:rFonts w:ascii="华文中宋" w:hAnsi="华文中宋" w:eastAsia="华文中宋"/>
        </w:rPr>
      </w:pPr>
      <w:r>
        <w:rPr>
          <w:rFonts w:hint="eastAsia" w:ascii="华文中宋" w:hAnsi="华文中宋" w:eastAsia="华文中宋"/>
        </w:rPr>
        <w:t>2.审查时，对特殊情况的处理评标委员会要遵循招标文件第三部分投标人须知第21条规定的原则。</w:t>
      </w:r>
    </w:p>
    <w:p w14:paraId="47C6B8F0">
      <w:pPr>
        <w:ind w:firstLine="420" w:firstLineChars="200"/>
        <w:rPr>
          <w:rFonts w:ascii="华文中宋" w:hAnsi="华文中宋" w:eastAsia="华文中宋"/>
          <w:b/>
          <w:kern w:val="0"/>
          <w:szCs w:val="21"/>
        </w:rPr>
      </w:pPr>
      <w:r>
        <w:rPr>
          <w:rFonts w:hint="eastAsia" w:ascii="华文中宋" w:hAnsi="华文中宋" w:eastAsia="华文中宋"/>
          <w:b/>
          <w:kern w:val="0"/>
          <w:szCs w:val="21"/>
        </w:rPr>
        <w:t>二、落实政府采购政策性要求的评审内容及标准</w:t>
      </w:r>
    </w:p>
    <w:p w14:paraId="155A1651">
      <w:pPr>
        <w:ind w:firstLine="420" w:firstLineChars="200"/>
        <w:rPr>
          <w:rFonts w:ascii="华文中宋" w:hAnsi="华文中宋" w:eastAsia="华文中宋"/>
          <w:kern w:val="0"/>
          <w:szCs w:val="21"/>
        </w:rPr>
      </w:pPr>
      <w:r>
        <w:rPr>
          <w:rFonts w:hint="eastAsia" w:ascii="华文中宋" w:hAnsi="华文中宋" w:eastAsia="华文中宋"/>
          <w:kern w:val="0"/>
          <w:szCs w:val="21"/>
        </w:rPr>
        <w:t>1、中小企业参加本项目的要求：</w:t>
      </w:r>
    </w:p>
    <w:p w14:paraId="0B0C4E3E">
      <w:pPr>
        <w:ind w:firstLine="420" w:firstLineChars="200"/>
        <w:rPr>
          <w:rFonts w:ascii="华文中宋" w:hAnsi="华文中宋" w:eastAsia="华文中宋"/>
          <w:kern w:val="0"/>
          <w:szCs w:val="21"/>
        </w:rPr>
      </w:pPr>
      <w:r>
        <w:rPr>
          <w:rFonts w:hint="eastAsia" w:ascii="华文中宋" w:hAnsi="华文中宋" w:eastAsia="华文中宋"/>
          <w:kern w:val="0"/>
          <w:szCs w:val="21"/>
        </w:rPr>
        <w:t>（1）中小企业参加政府采购活动，应当出具《政府采购促进中小企业发展管理办法》（财库〔2020〕46号）规定的《中小企业声明函》（格式见第八部分），否则不得享受相关中小企业扶持政策。</w:t>
      </w:r>
    </w:p>
    <w:p w14:paraId="76AE2F82">
      <w:pPr>
        <w:ind w:firstLine="420" w:firstLineChars="200"/>
        <w:rPr>
          <w:rFonts w:ascii="华文中宋" w:hAnsi="华文中宋" w:eastAsia="华文中宋"/>
          <w:kern w:val="0"/>
          <w:szCs w:val="21"/>
        </w:rPr>
      </w:pPr>
      <w:r>
        <w:rPr>
          <w:rFonts w:hint="eastAsia" w:ascii="华文中宋" w:hAnsi="华文中宋" w:eastAsia="华文中宋"/>
          <w:kern w:val="0"/>
          <w:szCs w:val="21"/>
        </w:rPr>
        <w:t>（2）在货物采购项目中，货物由中小企业制造，即货物由中小企业生产且使用该中小企业商号或者注册商标。在服务采购项目中，服务由中小企业承接，即提供服务的人员为中小企业依照《中华人民共和国劳动合同法》订立劳动合同的从业人员。在工程采购项目中，工程由中小企业承建，即工程施工单位为中小企业。对符合本办法规定的小微企业报价给予 15%（工程项目为3%）的扣除，用扣除后的价格参加评审。</w:t>
      </w:r>
    </w:p>
    <w:p w14:paraId="21886524">
      <w:pPr>
        <w:ind w:firstLine="420" w:firstLineChars="200"/>
        <w:rPr>
          <w:rFonts w:ascii="华文中宋" w:hAnsi="华文中宋" w:eastAsia="华文中宋"/>
          <w:kern w:val="0"/>
          <w:szCs w:val="21"/>
        </w:rPr>
      </w:pPr>
      <w:r>
        <w:rPr>
          <w:rFonts w:hint="eastAsia" w:ascii="华文中宋" w:hAnsi="华文中宋" w:eastAsia="华文中宋"/>
          <w:kern w:val="0"/>
          <w:szCs w:val="21"/>
        </w:rPr>
        <w:t>（3）在货物采购项目中，供应商提供的货物既有中小企业制造货物，也有大型企业制造货物的，不享受《政府采购促进中小企业发展管理办法》规定的中小企业扶持政策。</w:t>
      </w:r>
    </w:p>
    <w:p w14:paraId="1BE62F98">
      <w:pPr>
        <w:ind w:firstLine="420" w:firstLineChars="200"/>
        <w:rPr>
          <w:rFonts w:ascii="华文中宋" w:hAnsi="华文中宋" w:eastAsia="华文中宋"/>
          <w:kern w:val="0"/>
          <w:szCs w:val="21"/>
        </w:rPr>
      </w:pPr>
      <w:r>
        <w:rPr>
          <w:rFonts w:hint="eastAsia" w:ascii="华文中宋" w:hAnsi="华文中宋" w:eastAsia="华文中宋"/>
          <w:kern w:val="0"/>
          <w:szCs w:val="21"/>
        </w:rPr>
        <w:t>（4）联合体价格折扣：本项目若允许联合体参加，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30%以上的，采购人、采购代理机构应当对联合体或者大中型企业的报价给予5%（工程项目为1%）的扣除，用扣除后的价格参加评审。</w:t>
      </w:r>
    </w:p>
    <w:p w14:paraId="7A852559">
      <w:pPr>
        <w:ind w:firstLine="420" w:firstLineChars="200"/>
        <w:rPr>
          <w:rFonts w:ascii="华文中宋" w:hAnsi="华文中宋" w:eastAsia="华文中宋"/>
          <w:kern w:val="0"/>
          <w:szCs w:val="21"/>
        </w:rPr>
      </w:pPr>
      <w:r>
        <w:rPr>
          <w:rFonts w:hint="eastAsia" w:ascii="华文中宋" w:hAnsi="华文中宋" w:eastAsia="华文中宋"/>
          <w:kern w:val="0"/>
          <w:szCs w:val="21"/>
        </w:rPr>
        <w:t>2、残疾人福利性单位参加本项目的要求：</w:t>
      </w:r>
    </w:p>
    <w:p w14:paraId="103D1A40">
      <w:pPr>
        <w:ind w:firstLine="420" w:firstLineChars="200"/>
        <w:rPr>
          <w:rFonts w:ascii="华文中宋" w:hAnsi="华文中宋" w:eastAsia="华文中宋"/>
          <w:kern w:val="0"/>
          <w:szCs w:val="21"/>
        </w:rPr>
      </w:pPr>
      <w:r>
        <w:rPr>
          <w:rFonts w:hint="eastAsia" w:ascii="华文中宋" w:hAnsi="华文中宋" w:eastAsia="华文中宋"/>
          <w:kern w:val="0"/>
          <w:szCs w:val="21"/>
        </w:rPr>
        <w:t>（1）须根据财库〔2017〕141号《关于促进残疾人就业政府采购政策的通知》的要求，如实填写残疾人福利性单位声明函（格式见第八部分），残疾人福利性单位参加本项目投标时，享受15%的价格折扣，用扣除后的价格参与评审。</w:t>
      </w:r>
    </w:p>
    <w:p w14:paraId="4819EC4A">
      <w:pPr>
        <w:ind w:firstLine="420" w:firstLineChars="200"/>
        <w:rPr>
          <w:rFonts w:ascii="华文中宋" w:hAnsi="华文中宋" w:eastAsia="华文中宋"/>
          <w:kern w:val="0"/>
          <w:szCs w:val="21"/>
        </w:rPr>
      </w:pPr>
      <w:r>
        <w:rPr>
          <w:rFonts w:hint="eastAsia" w:ascii="华文中宋" w:hAnsi="华文中宋" w:eastAsia="华文中宋"/>
          <w:kern w:val="0"/>
          <w:szCs w:val="21"/>
        </w:rPr>
        <w:t>（2）享受政府采购支持政策的残疾人福利性单位应当同时满足以下条件：</w:t>
      </w:r>
    </w:p>
    <w:p w14:paraId="315898DC">
      <w:pPr>
        <w:ind w:firstLine="420" w:firstLineChars="200"/>
        <w:rPr>
          <w:rFonts w:ascii="华文中宋" w:hAnsi="华文中宋" w:eastAsia="华文中宋"/>
          <w:kern w:val="0"/>
          <w:szCs w:val="21"/>
        </w:rPr>
      </w:pPr>
      <w:r>
        <w:rPr>
          <w:rFonts w:hint="eastAsia" w:ascii="华文中宋" w:hAnsi="华文中宋" w:eastAsia="华文中宋"/>
          <w:kern w:val="0"/>
          <w:szCs w:val="21"/>
        </w:rPr>
        <w:t>　A.安置的残疾人占本单位在职职工人数的比例不低于25%（含25%），并且安置的残疾人人数不少于10人（含10人）；</w:t>
      </w:r>
    </w:p>
    <w:p w14:paraId="40734735">
      <w:pPr>
        <w:ind w:firstLine="420" w:firstLineChars="200"/>
        <w:rPr>
          <w:rFonts w:ascii="华文中宋" w:hAnsi="华文中宋" w:eastAsia="华文中宋"/>
          <w:kern w:val="0"/>
          <w:szCs w:val="21"/>
        </w:rPr>
      </w:pPr>
      <w:r>
        <w:rPr>
          <w:rFonts w:hint="eastAsia" w:ascii="华文中宋" w:hAnsi="华文中宋" w:eastAsia="华文中宋"/>
          <w:kern w:val="0"/>
          <w:szCs w:val="21"/>
        </w:rPr>
        <w:t>　B.依法与安置的每位残疾人签订了一年以上（含一年）的劳动合同或服务协议；</w:t>
      </w:r>
    </w:p>
    <w:p w14:paraId="36BD90BE">
      <w:pPr>
        <w:ind w:firstLine="420" w:firstLineChars="200"/>
        <w:rPr>
          <w:rFonts w:ascii="华文中宋" w:hAnsi="华文中宋" w:eastAsia="华文中宋"/>
          <w:kern w:val="0"/>
          <w:szCs w:val="21"/>
        </w:rPr>
      </w:pPr>
      <w:r>
        <w:rPr>
          <w:rFonts w:hint="eastAsia" w:ascii="华文中宋" w:hAnsi="华文中宋" w:eastAsia="华文中宋"/>
          <w:kern w:val="0"/>
          <w:szCs w:val="21"/>
        </w:rPr>
        <w:t>C.为安置的每位残疾人按月足额缴纳了基本养老保险、基本医疗保险、失业保险、工伤保险和生育保险等社会保险费；</w:t>
      </w:r>
    </w:p>
    <w:p w14:paraId="75017DDA">
      <w:pPr>
        <w:ind w:firstLine="420" w:firstLineChars="200"/>
        <w:rPr>
          <w:rFonts w:ascii="华文中宋" w:hAnsi="华文中宋" w:eastAsia="华文中宋"/>
          <w:kern w:val="0"/>
          <w:szCs w:val="21"/>
        </w:rPr>
      </w:pPr>
      <w:r>
        <w:rPr>
          <w:rFonts w:hint="eastAsia" w:ascii="华文中宋" w:hAnsi="华文中宋" w:eastAsia="华文中宋"/>
          <w:kern w:val="0"/>
          <w:szCs w:val="21"/>
        </w:rPr>
        <w:t>　D.通过银行等金融机构向安置的每位残疾人，按月支付了不低于单位所在区县适用的经省级人民政府批准的月最低工资标准的工资；</w:t>
      </w:r>
    </w:p>
    <w:p w14:paraId="578E7173">
      <w:pPr>
        <w:ind w:firstLine="420" w:firstLineChars="200"/>
        <w:rPr>
          <w:rFonts w:ascii="华文中宋" w:hAnsi="华文中宋" w:eastAsia="华文中宋"/>
          <w:kern w:val="0"/>
          <w:szCs w:val="21"/>
        </w:rPr>
      </w:pPr>
      <w:r>
        <w:rPr>
          <w:rFonts w:hint="eastAsia" w:ascii="华文中宋" w:hAnsi="华文中宋" w:eastAsia="华文中宋"/>
          <w:kern w:val="0"/>
          <w:szCs w:val="21"/>
        </w:rPr>
        <w:t>　E．提供本单位制造的货物、承担的工程或者服务（以下简称产品），或者提供其他残疾人福利性单位制造的货物（不包括使用非残疾人福利性单位注册商标的货物）。</w:t>
      </w:r>
    </w:p>
    <w:p w14:paraId="22C86234">
      <w:pPr>
        <w:ind w:firstLine="420" w:firstLineChars="200"/>
        <w:rPr>
          <w:rFonts w:ascii="华文中宋" w:hAnsi="华文中宋" w:eastAsia="华文中宋"/>
          <w:kern w:val="0"/>
          <w:szCs w:val="21"/>
        </w:rPr>
      </w:pPr>
      <w:r>
        <w:rPr>
          <w:rFonts w:hint="eastAsia" w:ascii="华文中宋" w:hAnsi="华文中宋" w:eastAsia="华文中宋"/>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86E90A">
      <w:pPr>
        <w:ind w:firstLine="420" w:firstLineChars="200"/>
        <w:rPr>
          <w:rFonts w:ascii="华文中宋" w:hAnsi="华文中宋" w:eastAsia="华文中宋"/>
          <w:kern w:val="0"/>
          <w:szCs w:val="21"/>
        </w:rPr>
      </w:pPr>
      <w:r>
        <w:rPr>
          <w:rFonts w:hint="eastAsia" w:ascii="华文中宋" w:hAnsi="华文中宋" w:eastAsia="华文中宋"/>
          <w:kern w:val="0"/>
          <w:szCs w:val="21"/>
        </w:rPr>
        <w:t>（3）供应商提供的《残疾人福利性单位声明函》与事实不符的，依照《政府采购法》第七十七条第一款的规定追究法律责任。</w:t>
      </w:r>
    </w:p>
    <w:p w14:paraId="1B09EECD">
      <w:pPr>
        <w:ind w:firstLine="420" w:firstLineChars="200"/>
        <w:rPr>
          <w:rFonts w:ascii="华文中宋" w:hAnsi="华文中宋" w:eastAsia="华文中宋"/>
          <w:kern w:val="0"/>
          <w:szCs w:val="21"/>
        </w:rPr>
      </w:pPr>
      <w:r>
        <w:rPr>
          <w:rFonts w:hint="eastAsia" w:ascii="华文中宋" w:hAnsi="华文中宋" w:eastAsia="华文中宋"/>
          <w:kern w:val="0"/>
          <w:szCs w:val="21"/>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7F421A6">
      <w:pPr>
        <w:ind w:firstLine="420" w:firstLineChars="200"/>
        <w:rPr>
          <w:rFonts w:ascii="华文中宋" w:hAnsi="华文中宋" w:eastAsia="华文中宋"/>
          <w:kern w:val="0"/>
          <w:szCs w:val="21"/>
        </w:rPr>
      </w:pPr>
      <w:r>
        <w:rPr>
          <w:rFonts w:hint="eastAsia" w:ascii="华文中宋" w:hAnsi="华文中宋" w:eastAsia="华文中宋"/>
          <w:kern w:val="0"/>
          <w:szCs w:val="21"/>
        </w:rPr>
        <w:t>3、监狱企业参加本项目的要求：</w:t>
      </w:r>
    </w:p>
    <w:p w14:paraId="7F15C4C0">
      <w:pPr>
        <w:ind w:firstLine="420" w:firstLineChars="200"/>
        <w:rPr>
          <w:rFonts w:ascii="华文中宋" w:hAnsi="华文中宋" w:eastAsia="华文中宋"/>
          <w:kern w:val="0"/>
          <w:szCs w:val="21"/>
        </w:rPr>
      </w:pPr>
      <w:r>
        <w:rPr>
          <w:rFonts w:hint="eastAsia" w:ascii="华文中宋" w:hAnsi="华文中宋" w:eastAsia="华文中宋"/>
          <w:kern w:val="0"/>
          <w:szCs w:val="21"/>
        </w:rPr>
        <w:t>（1）监狱企业参加投标视同小微企业，需提供由省级以上监狱管理局或戒毒管理局出具的属于监狱企业的证明文件。</w:t>
      </w:r>
    </w:p>
    <w:p w14:paraId="28E1250D">
      <w:pPr>
        <w:ind w:firstLine="420" w:firstLineChars="200"/>
        <w:rPr>
          <w:rFonts w:ascii="华文中宋" w:hAnsi="华文中宋" w:eastAsia="华文中宋"/>
          <w:kern w:val="0"/>
          <w:szCs w:val="21"/>
        </w:rPr>
      </w:pPr>
      <w:r>
        <w:rPr>
          <w:rFonts w:hint="eastAsia" w:ascii="华文中宋" w:hAnsi="华文中宋" w:eastAsia="华文中宋"/>
          <w:kern w:val="0"/>
          <w:szCs w:val="21"/>
        </w:rPr>
        <w:t>（2）监狱企业只有提供本企业制造的货物或服务，或者提供其他小、微企业制造的货物，享受投报货物的价格折扣。</w:t>
      </w:r>
    </w:p>
    <w:p w14:paraId="022CBCB6">
      <w:pPr>
        <w:ind w:firstLine="420" w:firstLineChars="200"/>
        <w:rPr>
          <w:rFonts w:ascii="华文中宋" w:hAnsi="华文中宋" w:eastAsia="华文中宋"/>
          <w:kern w:val="0"/>
          <w:szCs w:val="21"/>
        </w:rPr>
      </w:pPr>
      <w:r>
        <w:rPr>
          <w:rFonts w:hint="eastAsia" w:ascii="华文中宋" w:hAnsi="华文中宋" w:eastAsia="华文中宋"/>
          <w:kern w:val="0"/>
          <w:szCs w:val="21"/>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73B9E0F5">
      <w:pPr>
        <w:ind w:firstLine="420" w:firstLineChars="200"/>
        <w:rPr>
          <w:rFonts w:ascii="华文中宋" w:hAnsi="华文中宋" w:eastAsia="华文中宋"/>
          <w:kern w:val="0"/>
          <w:szCs w:val="21"/>
        </w:rPr>
      </w:pPr>
      <w:r>
        <w:rPr>
          <w:rFonts w:hint="eastAsia" w:ascii="华文中宋" w:hAnsi="华文中宋" w:eastAsia="华文中宋"/>
          <w:kern w:val="0"/>
          <w:szCs w:val="21"/>
        </w:rPr>
        <w:t>4、本项目涉及政府强制采购产品的要求：</w:t>
      </w:r>
    </w:p>
    <w:p w14:paraId="18ECB48A">
      <w:pPr>
        <w:ind w:firstLine="420" w:firstLineChars="200"/>
        <w:rPr>
          <w:rFonts w:ascii="华文中宋" w:hAnsi="华文中宋" w:eastAsia="华文中宋"/>
          <w:kern w:val="0"/>
          <w:szCs w:val="21"/>
        </w:rPr>
      </w:pPr>
      <w:r>
        <w:rPr>
          <w:rFonts w:hint="eastAsia" w:ascii="华文中宋" w:hAnsi="华文中宋" w:eastAsia="华文中宋"/>
          <w:kern w:val="0"/>
          <w:szCs w:val="21"/>
        </w:rPr>
        <w:t>（1）本文件列出政府强制采购产品的，投标人必须投报“节能产品政府采购品目清单”范围内的产品，需将政府强制采购产品如实填写到《政府强制采购产品明细表》（格式见第八部分），并提供处于有效期之内的节能产品认证证书扫描件。</w:t>
      </w:r>
    </w:p>
    <w:p w14:paraId="6B4DE35C">
      <w:pPr>
        <w:ind w:firstLine="420" w:firstLineChars="200"/>
        <w:rPr>
          <w:rFonts w:ascii="华文中宋" w:hAnsi="华文中宋" w:eastAsia="华文中宋"/>
          <w:kern w:val="0"/>
          <w:szCs w:val="21"/>
        </w:rPr>
      </w:pPr>
      <w:r>
        <w:rPr>
          <w:rFonts w:hint="eastAsia" w:ascii="华文中宋" w:hAnsi="华文中宋" w:eastAsia="华文中宋"/>
          <w:kern w:val="0"/>
          <w:szCs w:val="21"/>
        </w:rPr>
        <w:t>（2）本文件未列出政府强制采购产品的，投标人可投报“节能产品政府采购品目清单、环境标志产品政府采购品目清单”中非政府强制采购产品或其范围以外的产品。</w:t>
      </w:r>
    </w:p>
    <w:p w14:paraId="6A166723">
      <w:pPr>
        <w:ind w:firstLine="420" w:firstLineChars="200"/>
        <w:rPr>
          <w:rFonts w:ascii="华文中宋" w:hAnsi="华文中宋" w:eastAsia="华文中宋"/>
          <w:kern w:val="0"/>
          <w:szCs w:val="21"/>
        </w:rPr>
      </w:pPr>
      <w:r>
        <w:rPr>
          <w:rFonts w:hint="eastAsia" w:ascii="华文中宋" w:hAnsi="华文中宋" w:eastAsia="华文中宋"/>
          <w:kern w:val="0"/>
          <w:szCs w:val="21"/>
        </w:rPr>
        <w:t>（3）投标人投报“节能产品政府采购品目清单、环境标志产品政府采购品目清单”中非政府强制采购产品的，投标人需将非政府强制采购产品如实填写到《非政府强制采购产品明细表》（格式见第八部分），并提供处于有效期之内的节能产品、环境标志产品认证证书扫描件。</w:t>
      </w:r>
    </w:p>
    <w:p w14:paraId="4F82480E">
      <w:pPr>
        <w:ind w:firstLine="420" w:firstLineChars="200"/>
        <w:rPr>
          <w:rFonts w:ascii="华文中宋" w:hAnsi="华文中宋" w:eastAsia="华文中宋"/>
          <w:kern w:val="0"/>
          <w:szCs w:val="21"/>
        </w:rPr>
      </w:pPr>
      <w:r>
        <w:rPr>
          <w:rFonts w:hint="eastAsia" w:ascii="华文中宋" w:hAnsi="华文中宋" w:eastAsia="华文中宋"/>
          <w:kern w:val="0"/>
          <w:szCs w:val="21"/>
        </w:rPr>
        <w:t>5、本项目涉及正版软件的要求：</w:t>
      </w:r>
    </w:p>
    <w:p w14:paraId="65F58717">
      <w:pPr>
        <w:ind w:firstLine="420" w:firstLineChars="200"/>
        <w:rPr>
          <w:rFonts w:ascii="华文中宋" w:hAnsi="华文中宋" w:eastAsia="华文中宋"/>
          <w:kern w:val="0"/>
          <w:szCs w:val="21"/>
        </w:rPr>
      </w:pPr>
      <w:r>
        <w:rPr>
          <w:rFonts w:hint="eastAsia" w:ascii="华文中宋" w:hAnsi="华文中宋" w:eastAsia="华文中宋"/>
          <w:kern w:val="0"/>
          <w:szCs w:val="21"/>
        </w:rPr>
        <w:t>投标人需承诺所投报的计算机预装正版操作系统软件，硬件产品内的预装软件为正版软件。</w:t>
      </w:r>
    </w:p>
    <w:p w14:paraId="5AC42F53">
      <w:pPr>
        <w:ind w:firstLine="420" w:firstLineChars="200"/>
        <w:rPr>
          <w:rFonts w:ascii="华文中宋" w:hAnsi="华文中宋" w:eastAsia="华文中宋"/>
          <w:kern w:val="0"/>
          <w:szCs w:val="21"/>
        </w:rPr>
      </w:pPr>
      <w:r>
        <w:rPr>
          <w:rFonts w:hint="eastAsia" w:ascii="华文中宋" w:hAnsi="华文中宋" w:eastAsia="华文中宋"/>
          <w:kern w:val="0"/>
          <w:szCs w:val="21"/>
        </w:rPr>
        <w:t>6、本项目涉及信息安全产品的要求：</w:t>
      </w:r>
    </w:p>
    <w:p w14:paraId="485C7DFC">
      <w:pPr>
        <w:ind w:firstLine="420" w:firstLineChars="200"/>
        <w:rPr>
          <w:rFonts w:ascii="华文中宋" w:hAnsi="华文中宋" w:eastAsia="华文中宋"/>
          <w:kern w:val="0"/>
          <w:szCs w:val="21"/>
        </w:rPr>
      </w:pPr>
      <w:r>
        <w:rPr>
          <w:rFonts w:hint="eastAsia" w:ascii="华文中宋" w:hAnsi="华文中宋" w:eastAsia="华文中宋"/>
          <w:kern w:val="0"/>
          <w:szCs w:val="21"/>
        </w:rPr>
        <w:t>投标标的物如属于财政部会同有关部门制定下发的《信息安全产品强制性认证目录》内的产品，需提供有效认证证书扫描件。否则将导致投标无效。</w:t>
      </w:r>
    </w:p>
    <w:p w14:paraId="7E942DD3">
      <w:pPr>
        <w:ind w:firstLine="420" w:firstLineChars="200"/>
        <w:rPr>
          <w:rFonts w:ascii="华文中宋" w:hAnsi="华文中宋" w:eastAsia="华文中宋"/>
          <w:kern w:val="0"/>
          <w:szCs w:val="21"/>
        </w:rPr>
      </w:pPr>
      <w:r>
        <w:rPr>
          <w:rFonts w:hint="eastAsia" w:ascii="华文中宋" w:hAnsi="华文中宋" w:eastAsia="华文中宋"/>
          <w:kern w:val="0"/>
          <w:szCs w:val="21"/>
        </w:rPr>
        <w:t>7、本项目涉及创新产品、创新服务的要求：</w:t>
      </w:r>
    </w:p>
    <w:p w14:paraId="14744D88">
      <w:pPr>
        <w:ind w:firstLine="420" w:firstLineChars="200"/>
        <w:rPr>
          <w:rFonts w:ascii="华文中宋" w:hAnsi="华文中宋" w:eastAsia="华文中宋"/>
          <w:kern w:val="0"/>
          <w:szCs w:val="21"/>
        </w:rPr>
      </w:pPr>
      <w:r>
        <w:rPr>
          <w:rFonts w:hint="eastAsia" w:ascii="华文中宋" w:hAnsi="华文中宋" w:eastAsia="华文中宋"/>
          <w:kern w:val="0"/>
          <w:szCs w:val="21"/>
        </w:rPr>
        <w:t>（1）投标人投报产品或服务属于《山西省创新产品和服务推荐清单》中创新产品或创新服务的，在评审时，享受投报产品6%的价格折扣，以折扣后的价格参与评审。</w:t>
      </w:r>
    </w:p>
    <w:p w14:paraId="3EF36782">
      <w:pPr>
        <w:ind w:firstLine="420" w:firstLineChars="200"/>
        <w:rPr>
          <w:rFonts w:ascii="华文中宋" w:hAnsi="华文中宋" w:eastAsia="华文中宋"/>
          <w:kern w:val="0"/>
          <w:szCs w:val="21"/>
        </w:rPr>
      </w:pPr>
      <w:r>
        <w:rPr>
          <w:rFonts w:hint="eastAsia" w:ascii="华文中宋" w:hAnsi="华文中宋" w:eastAsia="华文中宋"/>
          <w:kern w:val="0"/>
          <w:szCs w:val="21"/>
        </w:rPr>
        <w:t>（2）投标人投标创新产品或创新服务的，应在投标文件中填写《创新产品或创新服务明细表》（格式见第八部分），并提供《山西省创新产品和服务推荐清单》。</w:t>
      </w:r>
    </w:p>
    <w:p w14:paraId="41CA0429">
      <w:pPr>
        <w:ind w:firstLine="420" w:firstLineChars="200"/>
        <w:rPr>
          <w:rFonts w:ascii="华文中宋" w:hAnsi="华文中宋" w:eastAsia="华文中宋"/>
          <w:kern w:val="0"/>
          <w:szCs w:val="21"/>
        </w:rPr>
      </w:pPr>
      <w:r>
        <w:rPr>
          <w:rFonts w:hint="eastAsia" w:ascii="华文中宋" w:hAnsi="华文中宋" w:eastAsia="华文中宋"/>
          <w:kern w:val="0"/>
          <w:szCs w:val="21"/>
        </w:rPr>
        <w:t>（3）创新产品或创新服务的价格折扣政策可与其他政府采购政策叠加。</w:t>
      </w:r>
    </w:p>
    <w:p w14:paraId="4B775C24">
      <w:pPr>
        <w:ind w:firstLine="420" w:firstLineChars="200"/>
        <w:rPr>
          <w:rFonts w:ascii="华文中宋" w:hAnsi="华文中宋" w:eastAsia="华文中宋"/>
          <w:kern w:val="0"/>
          <w:szCs w:val="21"/>
        </w:rPr>
      </w:pPr>
      <w:r>
        <w:rPr>
          <w:rFonts w:hint="eastAsia" w:ascii="华文中宋" w:hAnsi="华文中宋" w:eastAsia="华文中宋"/>
          <w:kern w:val="0"/>
          <w:szCs w:val="21"/>
        </w:rPr>
        <w:t>8、本项目涉及进口产品的要求：</w:t>
      </w:r>
    </w:p>
    <w:p w14:paraId="2D5514C6">
      <w:pPr>
        <w:ind w:firstLine="420" w:firstLineChars="200"/>
        <w:rPr>
          <w:rFonts w:ascii="华文中宋" w:hAnsi="华文中宋" w:eastAsia="华文中宋"/>
          <w:kern w:val="0"/>
          <w:szCs w:val="21"/>
        </w:rPr>
      </w:pPr>
      <w:r>
        <w:rPr>
          <w:rFonts w:hint="eastAsia" w:ascii="华文中宋" w:hAnsi="华文中宋" w:eastAsia="华文中宋"/>
          <w:kern w:val="0"/>
          <w:szCs w:val="21"/>
        </w:rPr>
        <w:t>（1）本项目采购标的物未特别注明“进口产品”（通过中国海关报关验放进入中国境内且产自关境外的产品）字样的，均必须采购国产产品，否则投标无效；</w:t>
      </w:r>
    </w:p>
    <w:p w14:paraId="5F8CD3EB">
      <w:pPr>
        <w:ind w:firstLine="420" w:firstLineChars="200"/>
        <w:rPr>
          <w:rFonts w:ascii="华文中宋" w:hAnsi="华文中宋" w:eastAsia="华文中宋"/>
          <w:kern w:val="0"/>
          <w:szCs w:val="21"/>
        </w:rPr>
      </w:pPr>
      <w:r>
        <w:rPr>
          <w:rFonts w:hint="eastAsia" w:ascii="华文中宋" w:hAnsi="华文中宋" w:eastAsia="华文中宋"/>
          <w:kern w:val="0"/>
          <w:szCs w:val="21"/>
        </w:rPr>
        <w:t>（2）本项目采购标的物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7E79B186">
      <w:pPr>
        <w:pStyle w:val="66"/>
        <w:snapToGrid w:val="0"/>
        <w:spacing w:line="480" w:lineRule="exact"/>
        <w:ind w:left="945" w:leftChars="300" w:hanging="315" w:hangingChars="150"/>
        <w:rPr>
          <w:rFonts w:ascii="华文中宋" w:hAnsi="华文中宋" w:eastAsia="华文中宋"/>
          <w:b/>
        </w:rPr>
      </w:pPr>
      <w:r>
        <w:rPr>
          <w:rFonts w:hint="eastAsia" w:ascii="华文中宋" w:hAnsi="华文中宋" w:eastAsia="华文中宋"/>
          <w:b/>
        </w:rPr>
        <w:t>三、无效投标的情形</w:t>
      </w:r>
    </w:p>
    <w:p w14:paraId="5A24E4F6">
      <w:pPr>
        <w:pStyle w:val="66"/>
        <w:snapToGrid w:val="0"/>
        <w:spacing w:line="480" w:lineRule="exact"/>
        <w:ind w:left="420" w:leftChars="200" w:firstLine="210" w:firstLineChars="100"/>
        <w:rPr>
          <w:rFonts w:ascii="华文中宋" w:hAnsi="华文中宋" w:eastAsia="华文中宋"/>
        </w:rPr>
      </w:pPr>
      <w:r>
        <w:rPr>
          <w:rFonts w:hint="eastAsia" w:ascii="华文中宋" w:hAnsi="华文中宋" w:eastAsia="华文中宋"/>
        </w:rPr>
        <w:t>未通过资格审查、符合性审查的投标文件为无效投标。</w:t>
      </w:r>
    </w:p>
    <w:p w14:paraId="5C861D2B">
      <w:pPr>
        <w:snapToGrid w:val="0"/>
        <w:spacing w:line="480" w:lineRule="exact"/>
        <w:ind w:firstLine="631" w:firstLineChars="300"/>
        <w:rPr>
          <w:rFonts w:ascii="华文中宋" w:hAnsi="华文中宋" w:eastAsia="仿宋"/>
          <w:b/>
          <w:szCs w:val="21"/>
        </w:rPr>
      </w:pPr>
      <w:r>
        <w:rPr>
          <w:rFonts w:hint="eastAsia" w:ascii="华文中宋" w:hAnsi="华文中宋" w:eastAsia="华文中宋"/>
          <w:b/>
          <w:szCs w:val="21"/>
        </w:rPr>
        <w:t>四、评标方法及中标条件:</w:t>
      </w:r>
      <w:r>
        <w:rPr>
          <w:rFonts w:ascii="华文中宋" w:hAnsi="华文中宋" w:eastAsia="仿宋"/>
          <w:b/>
          <w:szCs w:val="21"/>
        </w:rPr>
        <w:t xml:space="preserve"> </w:t>
      </w:r>
    </w:p>
    <w:p w14:paraId="66A98AC8">
      <w:pPr>
        <w:spacing w:line="460" w:lineRule="exact"/>
        <w:ind w:firstLine="420" w:firstLineChars="200"/>
        <w:rPr>
          <w:rFonts w:ascii="华文中宋" w:hAnsi="华文中宋" w:eastAsia="华文中宋"/>
          <w:kern w:val="0"/>
          <w:szCs w:val="21"/>
        </w:rPr>
      </w:pPr>
      <w:r>
        <w:rPr>
          <w:rFonts w:hint="eastAsia" w:ascii="华文中宋" w:hAnsi="华文中宋" w:eastAsia="华文中宋"/>
          <w:kern w:val="0"/>
          <w:szCs w:val="21"/>
        </w:rPr>
        <w:t>本项目采用综合评分法。</w:t>
      </w:r>
    </w:p>
    <w:p w14:paraId="4A7BCF37">
      <w:pPr>
        <w:spacing w:line="460" w:lineRule="exact"/>
        <w:ind w:firstLine="420" w:firstLineChars="200"/>
        <w:rPr>
          <w:rFonts w:ascii="华文中宋" w:hAnsi="华文中宋" w:eastAsia="华文中宋"/>
          <w:kern w:val="0"/>
          <w:szCs w:val="21"/>
        </w:rPr>
      </w:pPr>
      <w:r>
        <w:rPr>
          <w:rFonts w:hint="eastAsia" w:ascii="华文中宋" w:hAnsi="华文中宋" w:eastAsia="华文中宋"/>
          <w:kern w:val="0"/>
          <w:szCs w:val="21"/>
        </w:rPr>
        <w:t>综合评分法，投标文件满足招标文件全部实质性要求，且按照评审因素（包括投标报价、技术或者服务水平、履约能力、售后服务等。）的量化指标进行评审（具体评分见综合评分法评分细则），得分最高的投标人为中标人。</w:t>
      </w:r>
    </w:p>
    <w:p w14:paraId="0BAA0B24"/>
    <w:p w14:paraId="78E88900">
      <w:pPr>
        <w:pStyle w:val="47"/>
        <w:rPr>
          <w:rFonts w:hint="eastAsia"/>
          <w:lang w:val="en-US" w:eastAsia="zh-CN"/>
        </w:rPr>
      </w:pPr>
      <w:r>
        <w:rPr>
          <w:rFonts w:hint="eastAsia"/>
          <w:lang w:eastAsia="zh-CN"/>
        </w:rPr>
        <w:t>采购包</w:t>
      </w:r>
      <w:r>
        <w:rPr>
          <w:rFonts w:hint="eastAsia"/>
          <w:lang w:val="en-US" w:eastAsia="zh-CN"/>
        </w:rPr>
        <w:t>1</w:t>
      </w:r>
    </w:p>
    <w:tbl>
      <w:tblPr>
        <w:tblStyle w:val="38"/>
        <w:tblpPr w:leftFromText="180" w:rightFromText="180" w:vertAnchor="text" w:horzAnchor="page" w:tblpXSpec="center" w:tblpY="331"/>
        <w:tblOverlap w:val="never"/>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3"/>
      </w:tblGrid>
      <w:tr w14:paraId="379B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363" w:type="dxa"/>
            <w:noWrap w:val="0"/>
            <w:vAlign w:val="center"/>
          </w:tcPr>
          <w:p w14:paraId="7BB654E3">
            <w:pPr>
              <w:spacing w:line="520" w:lineRule="exact"/>
              <w:jc w:val="center"/>
              <w:rPr>
                <w:rFonts w:hint="eastAsia" w:ascii="仿宋_GB2312" w:eastAsia="仿宋_GB2312" w:cs="宋体"/>
                <w:color w:val="000000"/>
                <w:szCs w:val="21"/>
                <w:lang w:val="zh-CN"/>
              </w:rPr>
            </w:pPr>
            <w:r>
              <w:rPr>
                <w:rFonts w:hint="eastAsia" w:ascii="黑体" w:hAnsi="黑体" w:eastAsia="黑体" w:cs="黑体"/>
                <w:b/>
                <w:bCs/>
                <w:color w:val="000000"/>
                <w:sz w:val="28"/>
                <w:szCs w:val="28"/>
                <w:lang w:val="zh-CN"/>
              </w:rPr>
              <w:t>评分标准</w:t>
            </w:r>
          </w:p>
        </w:tc>
      </w:tr>
      <w:tr w14:paraId="32DC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63" w:type="dxa"/>
            <w:noWrap w:val="0"/>
            <w:vAlign w:val="center"/>
          </w:tcPr>
          <w:p w14:paraId="7CD25B9C">
            <w:pPr>
              <w:spacing w:line="440" w:lineRule="exact"/>
              <w:rPr>
                <w:rFonts w:hint="eastAsia" w:ascii="仿宋_GB2312" w:eastAsia="仿宋_GB2312" w:cs="宋体"/>
                <w:color w:val="000000"/>
                <w:szCs w:val="21"/>
                <w:lang w:val="zh-CN"/>
              </w:rPr>
            </w:pPr>
            <w:r>
              <w:rPr>
                <w:rFonts w:hint="eastAsia" w:ascii="仿宋" w:hAnsi="仿宋" w:eastAsia="仿宋"/>
                <w:b/>
                <w:bCs/>
                <w:kern w:val="0"/>
                <w:sz w:val="28"/>
                <w:szCs w:val="28"/>
              </w:rPr>
              <w:t>一、商务部分：1</w:t>
            </w:r>
            <w:r>
              <w:rPr>
                <w:rFonts w:hint="eastAsia" w:ascii="仿宋" w:hAnsi="仿宋" w:eastAsia="仿宋"/>
                <w:b/>
                <w:bCs/>
                <w:kern w:val="0"/>
                <w:sz w:val="28"/>
                <w:szCs w:val="28"/>
                <w:lang w:val="en-US" w:eastAsia="zh-CN"/>
              </w:rPr>
              <w:t>8</w:t>
            </w:r>
            <w:r>
              <w:rPr>
                <w:rFonts w:hint="eastAsia" w:ascii="仿宋" w:hAnsi="仿宋" w:eastAsia="仿宋"/>
                <w:b/>
                <w:bCs/>
                <w:kern w:val="0"/>
                <w:sz w:val="28"/>
                <w:szCs w:val="28"/>
              </w:rPr>
              <w:t>分</w:t>
            </w:r>
          </w:p>
        </w:tc>
      </w:tr>
      <w:tr w14:paraId="536E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63" w:type="dxa"/>
            <w:noWrap w:val="0"/>
            <w:vAlign w:val="top"/>
          </w:tcPr>
          <w:p w14:paraId="36AFD0D5">
            <w:pPr>
              <w:spacing w:line="520" w:lineRule="exact"/>
              <w:ind w:firstLine="420" w:firstLineChars="200"/>
              <w:rPr>
                <w:rFonts w:hint="eastAsia" w:ascii="宋体" w:hAnsi="宋体" w:cs="宋体"/>
                <w:szCs w:val="21"/>
              </w:rPr>
            </w:pPr>
            <w:r>
              <w:rPr>
                <w:rFonts w:hint="eastAsia" w:ascii="宋体" w:hAnsi="宋体" w:cs="宋体"/>
                <w:szCs w:val="21"/>
              </w:rPr>
              <w:t>1、案例业绩：（0-</w:t>
            </w:r>
            <w:r>
              <w:rPr>
                <w:rFonts w:hint="eastAsia" w:ascii="宋体" w:hAnsi="宋体" w:cs="宋体"/>
                <w:szCs w:val="21"/>
                <w:lang w:val="en-US" w:eastAsia="zh-CN"/>
              </w:rPr>
              <w:t>15</w:t>
            </w:r>
            <w:r>
              <w:rPr>
                <w:rFonts w:hint="eastAsia" w:ascii="宋体" w:hAnsi="宋体" w:cs="宋体"/>
                <w:szCs w:val="21"/>
              </w:rPr>
              <w:t>分）</w:t>
            </w:r>
          </w:p>
          <w:p w14:paraId="6C642B27">
            <w:pPr>
              <w:spacing w:line="520" w:lineRule="exact"/>
              <w:ind w:firstLine="420" w:firstLineChars="200"/>
              <w:rPr>
                <w:rFonts w:hint="eastAsia" w:ascii="宋体" w:hAnsi="宋体" w:cs="宋体"/>
                <w:szCs w:val="21"/>
              </w:rPr>
            </w:pPr>
            <w:r>
              <w:rPr>
                <w:rFonts w:hint="eastAsia" w:ascii="宋体" w:hAnsi="宋体" w:cs="宋体"/>
                <w:szCs w:val="21"/>
                <w:lang w:val="en-US" w:eastAsia="zh-CN"/>
              </w:rPr>
              <w:t>合</w:t>
            </w:r>
            <w:r>
              <w:rPr>
                <w:rFonts w:hint="eastAsia" w:ascii="宋体" w:hAnsi="宋体" w:cs="宋体"/>
                <w:szCs w:val="21"/>
              </w:rPr>
              <w:t>同案例</w:t>
            </w:r>
            <w:r>
              <w:rPr>
                <w:rFonts w:hint="eastAsia" w:ascii="宋体" w:hAnsi="宋体" w:cs="宋体"/>
                <w:szCs w:val="21"/>
                <w:lang w:val="en-US" w:eastAsia="zh-CN"/>
              </w:rPr>
              <w:t>以投标生产厂家或供应商业绩为准，</w:t>
            </w:r>
            <w:r>
              <w:rPr>
                <w:rFonts w:ascii="宋体" w:hAnsi="宋体" w:cs="宋体"/>
                <w:szCs w:val="21"/>
              </w:rPr>
              <w:t>投标人投标截止时间前三年（2021年</w:t>
            </w:r>
            <w:r>
              <w:rPr>
                <w:rFonts w:hint="eastAsia" w:ascii="宋体" w:hAnsi="宋体" w:cs="宋体"/>
                <w:szCs w:val="21"/>
              </w:rPr>
              <w:t>8</w:t>
            </w:r>
            <w:r>
              <w:rPr>
                <w:rFonts w:ascii="宋体" w:hAnsi="宋体" w:cs="宋体"/>
                <w:szCs w:val="21"/>
              </w:rPr>
              <w:t>月至投标截止时间）以来的同类型业绩</w:t>
            </w:r>
            <w:r>
              <w:rPr>
                <w:rFonts w:hint="eastAsia" w:ascii="宋体" w:hAnsi="宋体" w:cs="宋体"/>
                <w:szCs w:val="21"/>
              </w:rPr>
              <w:t>，须提供签订合同首页、合同金额所在页、签字盖章页、验收报告或进账单作为证明材料，每提供一个在提交投标文件截止日期三个年度内签署的类似项目合同案例得3分，否则不得分，最高</w:t>
            </w:r>
            <w:r>
              <w:rPr>
                <w:rFonts w:hint="eastAsia" w:ascii="宋体" w:hAnsi="宋体" w:cs="宋体"/>
                <w:szCs w:val="21"/>
                <w:lang w:val="en-US" w:eastAsia="zh-CN"/>
              </w:rPr>
              <w:t>15</w:t>
            </w:r>
            <w:r>
              <w:rPr>
                <w:rFonts w:hint="eastAsia" w:ascii="宋体" w:hAnsi="宋体" w:cs="宋体"/>
                <w:szCs w:val="21"/>
              </w:rPr>
              <w:t>分。</w:t>
            </w:r>
          </w:p>
          <w:p w14:paraId="748F7081">
            <w:pPr>
              <w:spacing w:line="520" w:lineRule="exact"/>
              <w:ind w:firstLine="420" w:firstLineChars="200"/>
              <w:rPr>
                <w:rFonts w:hint="eastAsia" w:ascii="宋体" w:hAnsi="宋体" w:cs="宋体"/>
                <w:szCs w:val="21"/>
              </w:rPr>
            </w:pPr>
            <w:r>
              <w:rPr>
                <w:rFonts w:hint="eastAsia" w:ascii="宋体" w:hAnsi="宋体" w:cs="宋体"/>
                <w:szCs w:val="21"/>
              </w:rPr>
              <w:t>2、企业资信（</w:t>
            </w:r>
            <w:r>
              <w:rPr>
                <w:rFonts w:hint="eastAsia" w:ascii="宋体" w:hAnsi="宋体" w:cs="宋体"/>
                <w:szCs w:val="21"/>
                <w:lang w:val="en-US" w:eastAsia="zh-CN"/>
              </w:rPr>
              <w:t>3</w:t>
            </w:r>
            <w:r>
              <w:rPr>
                <w:rFonts w:hint="eastAsia" w:ascii="宋体" w:hAnsi="宋体" w:cs="宋体"/>
                <w:szCs w:val="21"/>
              </w:rPr>
              <w:t>分）</w:t>
            </w:r>
          </w:p>
          <w:p w14:paraId="3D9FC583">
            <w:pPr>
              <w:spacing w:line="520" w:lineRule="exact"/>
              <w:ind w:firstLine="420" w:firstLineChars="200"/>
              <w:rPr>
                <w:rFonts w:ascii="宋体" w:hAnsi="宋体" w:cs="宋体"/>
                <w:szCs w:val="21"/>
              </w:rPr>
            </w:pPr>
            <w:r>
              <w:rPr>
                <w:rFonts w:hint="eastAsia" w:ascii="宋体" w:hAnsi="宋体" w:cs="宋体"/>
                <w:szCs w:val="21"/>
              </w:rPr>
              <w:t>（1）.供应商具有有效的</w:t>
            </w:r>
            <w:r>
              <w:rPr>
                <w:rFonts w:hint="eastAsia" w:ascii="宋体" w:hAnsi="宋体" w:eastAsia="宋体" w:cs="宋体"/>
                <w:szCs w:val="21"/>
              </w:rPr>
              <w:t>GB/T19001-2016/ISO9001:2015 和 GB/T50430-2017 标准</w:t>
            </w:r>
            <w:r>
              <w:rPr>
                <w:rFonts w:hint="eastAsia" w:ascii="宋体" w:hAnsi="宋体" w:cs="宋体"/>
                <w:szCs w:val="21"/>
              </w:rPr>
              <w:t>质量管理体系认证证书（1分）</w:t>
            </w:r>
          </w:p>
          <w:p w14:paraId="7F9E1636">
            <w:pPr>
              <w:spacing w:line="520" w:lineRule="exact"/>
              <w:ind w:firstLine="420" w:firstLineChars="200"/>
              <w:rPr>
                <w:rFonts w:hint="eastAsia" w:ascii="宋体" w:hAnsi="宋体" w:cs="宋体"/>
                <w:szCs w:val="21"/>
              </w:rPr>
            </w:pPr>
            <w:r>
              <w:rPr>
                <w:rFonts w:hint="eastAsia" w:ascii="宋体" w:hAnsi="宋体" w:cs="宋体"/>
                <w:szCs w:val="21"/>
              </w:rPr>
              <w:t>（2）.供应商具有有效的</w:t>
            </w:r>
            <w:r>
              <w:rPr>
                <w:rFonts w:hint="eastAsia" w:ascii="宋体" w:hAnsi="宋体" w:eastAsia="宋体" w:cs="宋体"/>
                <w:szCs w:val="21"/>
              </w:rPr>
              <w:t>GB/T24001-2016/ISO14001:2015</w:t>
            </w:r>
            <w:r>
              <w:rPr>
                <w:rFonts w:hint="eastAsia" w:ascii="宋体" w:hAnsi="宋体" w:cs="宋体"/>
                <w:szCs w:val="21"/>
              </w:rPr>
              <w:t>环境管理体系认证证书（1分）</w:t>
            </w:r>
          </w:p>
          <w:p w14:paraId="57396EBD">
            <w:pPr>
              <w:spacing w:line="520" w:lineRule="exact"/>
              <w:ind w:firstLine="420" w:firstLineChars="200"/>
              <w:rPr>
                <w:rFonts w:ascii="宋体" w:hAnsi="宋体" w:cs="宋体"/>
                <w:szCs w:val="21"/>
              </w:rPr>
            </w:pPr>
            <w:r>
              <w:rPr>
                <w:rFonts w:hint="eastAsia" w:ascii="宋体" w:hAnsi="宋体" w:cs="宋体"/>
                <w:szCs w:val="21"/>
              </w:rPr>
              <w:t>（3）.供应商具有有效的</w:t>
            </w:r>
            <w:r>
              <w:rPr>
                <w:rFonts w:hint="eastAsia" w:ascii="宋体" w:hAnsi="宋体" w:eastAsia="宋体" w:cs="宋体"/>
                <w:szCs w:val="21"/>
              </w:rPr>
              <w:t>GB/T45001-2020/ISO45001:2018</w:t>
            </w:r>
            <w:r>
              <w:rPr>
                <w:rFonts w:hint="eastAsia" w:ascii="宋体" w:hAnsi="宋体" w:cs="宋体"/>
                <w:szCs w:val="21"/>
              </w:rPr>
              <w:t>职业健康安全管理体系认证证书（1分）</w:t>
            </w:r>
          </w:p>
        </w:tc>
      </w:tr>
      <w:tr w14:paraId="26F3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63" w:type="dxa"/>
            <w:noWrap w:val="0"/>
            <w:vAlign w:val="center"/>
          </w:tcPr>
          <w:p w14:paraId="15EF3B98">
            <w:pPr>
              <w:spacing w:line="440" w:lineRule="exact"/>
              <w:rPr>
                <w:rFonts w:hint="eastAsia" w:ascii="仿宋_GB2312" w:eastAsia="仿宋_GB2312" w:cs="宋体"/>
                <w:color w:val="000000"/>
                <w:szCs w:val="21"/>
                <w:lang w:val="zh-CN"/>
              </w:rPr>
            </w:pPr>
            <w:r>
              <w:rPr>
                <w:rFonts w:hint="eastAsia" w:ascii="仿宋" w:hAnsi="仿宋" w:eastAsia="仿宋"/>
                <w:b/>
                <w:bCs/>
                <w:color w:val="000000"/>
                <w:sz w:val="28"/>
                <w:szCs w:val="28"/>
              </w:rPr>
              <w:t>二</w:t>
            </w:r>
            <w:r>
              <w:rPr>
                <w:rFonts w:ascii="仿宋" w:hAnsi="仿宋" w:eastAsia="仿宋"/>
                <w:b/>
                <w:bCs/>
                <w:color w:val="000000"/>
                <w:sz w:val="28"/>
                <w:szCs w:val="28"/>
              </w:rPr>
              <w:t>、</w:t>
            </w:r>
            <w:r>
              <w:rPr>
                <w:rFonts w:hint="eastAsia" w:ascii="仿宋" w:hAnsi="仿宋" w:eastAsia="仿宋"/>
                <w:b/>
                <w:bCs/>
                <w:color w:val="000000"/>
                <w:sz w:val="28"/>
                <w:szCs w:val="28"/>
              </w:rPr>
              <w:t>技术部分：25分</w:t>
            </w:r>
          </w:p>
        </w:tc>
      </w:tr>
      <w:tr w14:paraId="07F8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9363" w:type="dxa"/>
            <w:noWrap w:val="0"/>
            <w:vAlign w:val="center"/>
          </w:tcPr>
          <w:p w14:paraId="58EC355F">
            <w:pPr>
              <w:numPr>
                <w:ilvl w:val="0"/>
                <w:numId w:val="0"/>
              </w:numPr>
              <w:spacing w:line="610" w:lineRule="exact"/>
              <w:ind w:firstLine="440" w:firstLineChars="200"/>
              <w:rPr>
                <w:rFonts w:hint="eastAsia" w:ascii="宋体" w:hAnsi="宋体" w:cs="宋体"/>
                <w:color w:val="000000"/>
                <w:szCs w:val="21"/>
              </w:rPr>
            </w:pPr>
            <w:r>
              <w:rPr>
                <w:rFonts w:hint="eastAsia" w:ascii="宋体" w:hAnsi="宋体" w:cs="宋体"/>
                <w:color w:val="000000"/>
                <w:kern w:val="2"/>
                <w:sz w:val="22"/>
                <w:szCs w:val="22"/>
                <w:lang w:val="en-US" w:eastAsia="zh-CN" w:bidi="ar-SA"/>
              </w:rPr>
              <w:t>1.</w:t>
            </w:r>
            <w:r>
              <w:rPr>
                <w:rFonts w:hint="eastAsia" w:ascii="宋体" w:hAnsi="宋体" w:cs="宋体"/>
                <w:color w:val="000000"/>
                <w:szCs w:val="21"/>
              </w:rPr>
              <w:t>满足招标文件要求</w:t>
            </w:r>
            <w:r>
              <w:rPr>
                <w:rFonts w:hint="eastAsia" w:ascii="宋体" w:hAnsi="宋体" w:cs="宋体"/>
                <w:color w:val="000000"/>
                <w:szCs w:val="21"/>
                <w:lang w:val="en-US" w:eastAsia="zh-CN"/>
              </w:rPr>
              <w:t>,</w:t>
            </w:r>
            <w:r>
              <w:rPr>
                <w:rFonts w:hint="eastAsia" w:ascii="宋体" w:hAnsi="宋体" w:cs="宋体"/>
                <w:color w:val="000000"/>
                <w:szCs w:val="21"/>
              </w:rPr>
              <w:t>全部</w:t>
            </w:r>
            <w:r>
              <w:rPr>
                <w:rFonts w:hint="eastAsia" w:ascii="宋体" w:hAnsi="宋体" w:cs="宋体"/>
                <w:color w:val="000000"/>
                <w:szCs w:val="21"/>
                <w:lang w:eastAsia="zh-CN"/>
              </w:rPr>
              <w:t>符合</w:t>
            </w:r>
            <w:r>
              <w:rPr>
                <w:rFonts w:hint="eastAsia" w:ascii="宋体" w:hAnsi="宋体" w:cs="宋体"/>
                <w:color w:val="000000"/>
                <w:szCs w:val="21"/>
              </w:rPr>
              <w:t>技术指标得</w:t>
            </w:r>
            <w:r>
              <w:rPr>
                <w:rFonts w:hint="eastAsia" w:ascii="宋体" w:hAnsi="宋体" w:cs="宋体"/>
                <w:color w:val="000000"/>
                <w:szCs w:val="21"/>
                <w:lang w:val="en-US" w:eastAsia="zh-CN"/>
              </w:rPr>
              <w:t>15</w:t>
            </w:r>
            <w:r>
              <w:rPr>
                <w:rFonts w:hint="eastAsia" w:ascii="宋体" w:hAnsi="宋体" w:cs="宋体"/>
                <w:color w:val="000000"/>
                <w:szCs w:val="21"/>
              </w:rPr>
              <w:t>分</w:t>
            </w:r>
            <w:r>
              <w:rPr>
                <w:rFonts w:hint="eastAsia" w:ascii="宋体" w:hAnsi="宋体" w:cs="宋体"/>
                <w:color w:val="000000"/>
                <w:szCs w:val="21"/>
                <w:lang w:val="en-US" w:eastAsia="zh-CN"/>
              </w:rPr>
              <w:t>;</w:t>
            </w:r>
            <w:r>
              <w:rPr>
                <w:rFonts w:hint="eastAsia" w:ascii="宋体" w:hAnsi="宋体" w:cs="宋体"/>
                <w:color w:val="000000"/>
                <w:szCs w:val="21"/>
              </w:rPr>
              <w:t>如所投标产品响应招标文件要求的前提下</w:t>
            </w:r>
            <w:r>
              <w:rPr>
                <w:rFonts w:hint="eastAsia" w:ascii="宋体" w:hAnsi="宋体" w:cs="宋体"/>
                <w:color w:val="000000"/>
                <w:szCs w:val="21"/>
                <w:lang w:eastAsia="zh-CN"/>
              </w:rPr>
              <w:t>，</w:t>
            </w:r>
            <w:r>
              <w:rPr>
                <w:rFonts w:hint="eastAsia" w:ascii="宋体" w:hAnsi="宋体" w:cs="宋体"/>
                <w:color w:val="000000"/>
                <w:szCs w:val="21"/>
                <w:lang w:val="en-US" w:eastAsia="zh-CN"/>
              </w:rPr>
              <w:t>每一项实质性正偏离得1分，最高2分；视频演示部分，每完整演示一项得4分，共计8分，</w:t>
            </w:r>
            <w:r>
              <w:rPr>
                <w:rFonts w:hint="eastAsia" w:ascii="宋体" w:hAnsi="宋体" w:cs="宋体"/>
                <w:color w:val="000000"/>
                <w:szCs w:val="21"/>
              </w:rPr>
              <w:t>演示部分不完整</w:t>
            </w:r>
            <w:r>
              <w:rPr>
                <w:rFonts w:hint="eastAsia" w:ascii="宋体" w:hAnsi="宋体" w:cs="宋体"/>
                <w:color w:val="000000"/>
                <w:szCs w:val="21"/>
                <w:lang w:val="en-US" w:eastAsia="zh-CN"/>
              </w:rPr>
              <w:t>不得分</w:t>
            </w:r>
            <w:r>
              <w:rPr>
                <w:rFonts w:hint="eastAsia" w:ascii="宋体" w:hAnsi="宋体" w:cs="宋体"/>
                <w:color w:val="000000"/>
                <w:szCs w:val="21"/>
              </w:rPr>
              <w:t>。视频演示不超</w:t>
            </w:r>
            <w:r>
              <w:rPr>
                <w:rFonts w:hint="eastAsia" w:ascii="宋体" w:hAnsi="宋体" w:cs="宋体"/>
                <w:color w:val="000000"/>
                <w:szCs w:val="21"/>
                <w:lang w:val="en-US" w:eastAsia="zh-CN"/>
              </w:rPr>
              <w:t>20</w:t>
            </w:r>
            <w:r>
              <w:rPr>
                <w:rFonts w:hint="eastAsia" w:ascii="宋体" w:hAnsi="宋体" w:cs="宋体"/>
                <w:color w:val="000000"/>
                <w:szCs w:val="21"/>
              </w:rPr>
              <w:t>分钟，演示环境由投标人自行搭建，以视频形式演示。</w:t>
            </w:r>
          </w:p>
          <w:p w14:paraId="7444D5F1">
            <w:pPr>
              <w:numPr>
                <w:ilvl w:val="0"/>
                <w:numId w:val="0"/>
              </w:numPr>
              <w:spacing w:line="61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视频演示部分如下：</w:t>
            </w:r>
          </w:p>
          <w:p w14:paraId="6582DF80">
            <w:pPr>
              <w:numPr>
                <w:ilvl w:val="0"/>
                <w:numId w:val="0"/>
              </w:numPr>
              <w:spacing w:line="610" w:lineRule="exact"/>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1.历史教室-中学历史推演实验系统：（1）资源库：1.1 含中国、世界不少于300个图片与对应文字介绍资料，中国历史资源按朝代分类，世界历史资源按国家分类；1.2 支持新增、编辑和删除中国、世界资源分类；1.3 上述分类下，再按政治、经济、文化、军事、其它目录细分；1.4 支持在软件界面内进行资源检索；1.5 支持自定义新增、编辑和删除资源，编辑资源支持文字描述、多张图片、附件上传。（2）专题库：2.3 自定义专题，进入到专题编辑，进行设置专题名称、专题描述、上传附件、添加推演资料等操作，可设置横向、纵向分栏，增、删分栏。（3）推演过程中可直接在软件中使用箭头、手写、文本输入方式标注；箭头、文本均可设置变化（例如放大缩小、粗细、颜色）；推演界面支持滚动条方式伸缩；</w:t>
            </w:r>
          </w:p>
          <w:p w14:paraId="3275B9A6">
            <w:pPr>
              <w:numPr>
                <w:ilvl w:val="0"/>
                <w:numId w:val="0"/>
              </w:numPr>
              <w:spacing w:line="610" w:lineRule="exact"/>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创客教室-人工智能活动课程学习套装（小学版）：套件须满足以下功能，（1）主板集成自带显示设备与温度传感设备，可以实时显示当前温度数据（2）主板不通过外接模块即可与电脑互联，将环境光线、声音等数据实时传输给电脑（3）主板不通过外接模块即可通过摇杆控制、倾斜主板等方式控制软件编程角色的移动</w:t>
            </w:r>
          </w:p>
          <w:p w14:paraId="51025E6E">
            <w:pPr>
              <w:spacing w:line="610" w:lineRule="exact"/>
              <w:rPr>
                <w:rFonts w:hint="eastAsia" w:ascii="宋体" w:hAnsi="宋体" w:cs="宋体"/>
                <w:color w:val="000000"/>
                <w:szCs w:val="21"/>
              </w:rPr>
            </w:pPr>
            <w:r>
              <w:rPr>
                <w:rFonts w:hint="eastAsia" w:ascii="宋体" w:hAnsi="宋体" w:cs="宋体"/>
                <w:color w:val="000000"/>
                <w:szCs w:val="21"/>
              </w:rPr>
              <w:t>注：如发现提供虚假参数者技术分直接记为0分。中标产品交付标准必须以招标文件中技术参数为准，如有虚假应标招标人将追究其法律责任，并有权终止合同。</w:t>
            </w:r>
          </w:p>
        </w:tc>
      </w:tr>
      <w:tr w14:paraId="30AE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363" w:type="dxa"/>
            <w:noWrap w:val="0"/>
            <w:vAlign w:val="center"/>
          </w:tcPr>
          <w:p w14:paraId="59CE64A3">
            <w:pPr>
              <w:spacing w:line="610" w:lineRule="exact"/>
              <w:rPr>
                <w:rFonts w:ascii="宋体" w:hAnsi="宋体" w:cs="宋体"/>
                <w:color w:val="000000"/>
                <w:szCs w:val="21"/>
              </w:rPr>
            </w:pPr>
            <w:r>
              <w:rPr>
                <w:rFonts w:hint="eastAsia" w:ascii="仿宋" w:hAnsi="仿宋" w:eastAsia="仿宋"/>
                <w:b/>
                <w:bCs/>
                <w:color w:val="000000"/>
                <w:sz w:val="28"/>
                <w:szCs w:val="28"/>
              </w:rPr>
              <w:t>三、服务部分（</w:t>
            </w:r>
            <w:r>
              <w:rPr>
                <w:rFonts w:hint="eastAsia" w:ascii="仿宋" w:hAnsi="仿宋" w:eastAsia="仿宋"/>
                <w:b/>
                <w:bCs/>
                <w:color w:val="000000"/>
                <w:sz w:val="28"/>
                <w:szCs w:val="28"/>
                <w:lang w:val="en-US" w:eastAsia="zh-CN"/>
              </w:rPr>
              <w:t>27</w:t>
            </w:r>
            <w:r>
              <w:rPr>
                <w:rFonts w:hint="eastAsia" w:ascii="仿宋" w:hAnsi="仿宋" w:eastAsia="仿宋"/>
                <w:b/>
                <w:bCs/>
                <w:color w:val="000000"/>
                <w:sz w:val="28"/>
                <w:szCs w:val="28"/>
              </w:rPr>
              <w:t>分）</w:t>
            </w:r>
          </w:p>
        </w:tc>
      </w:tr>
      <w:tr w14:paraId="27A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3" w:type="dxa"/>
            <w:noWrap w:val="0"/>
            <w:vAlign w:val="center"/>
          </w:tcPr>
          <w:p w14:paraId="38BA8A9B">
            <w:pPr>
              <w:widowControl/>
              <w:numPr>
                <w:ilvl w:val="0"/>
                <w:numId w:val="8"/>
              </w:numPr>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根据投标制定的项目实施方案，包含但不限于安装调试；技术人员配备；项目团队管理措施；安装质量保障；实施进度安排及供货时间；供货承诺等。整体方案全面、细致、合理、措施具体且针对性强，部署科学得6-9分;整体方案较全面、合理措施具体、部署合理得3-6分:方案基本合理，有应对措施、有部署得2-3分;提供方案、措施、部署但存在不足得0-1分;不提供的不得分。</w:t>
            </w:r>
          </w:p>
          <w:p w14:paraId="6E201CE1">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2.根据投标人制定的售后服务，包含但不限于技术支持；质保期、售后服务承诺；应急反应能力等；方案全面、细致、合理、具体且针对性强，部署科学得6-9分;方案较全面、合理措施具体、部署合理得3-6分:方案较合理、措施较具体、针对性一般，部署一般得2-3分;提供方案、措施、部署但存在不足得0-1分;不提供的不得分。</w:t>
            </w:r>
          </w:p>
          <w:p w14:paraId="4B8F81B4">
            <w:pPr>
              <w:widowControl/>
              <w:autoSpaceDE w:val="0"/>
              <w:spacing w:line="610" w:lineRule="exact"/>
              <w:ind w:firstLine="420" w:firstLineChars="200"/>
              <w:rPr>
                <w:rFonts w:hint="eastAsia" w:ascii="宋体" w:hAnsi="宋体" w:cs="宋体"/>
                <w:color w:val="000000"/>
                <w:szCs w:val="21"/>
                <w:lang w:eastAsia="zh-CN"/>
              </w:rPr>
            </w:pPr>
            <w:r>
              <w:rPr>
                <w:rFonts w:hint="eastAsia" w:ascii="宋体" w:hAnsi="宋体" w:cs="宋体"/>
                <w:color w:val="000000"/>
                <w:szCs w:val="21"/>
              </w:rPr>
              <w:t>3.根据投标人制定的培训方案，培训方案包括但不限于详细的培训时间；培训计划；培训目标；培训次数；培训人员等</w:t>
            </w:r>
            <w:r>
              <w:rPr>
                <w:rFonts w:hint="eastAsia" w:ascii="宋体" w:hAnsi="宋体" w:cs="宋体"/>
                <w:color w:val="000000"/>
                <w:szCs w:val="21"/>
                <w:lang w:eastAsia="zh-CN"/>
              </w:rPr>
              <w:t>。</w:t>
            </w:r>
          </w:p>
          <w:p w14:paraId="3520E4FE">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方案详细合理</w:t>
            </w:r>
            <w:r>
              <w:rPr>
                <w:rFonts w:hint="eastAsia" w:ascii="宋体" w:hAnsi="宋体" w:cs="宋体"/>
                <w:color w:val="000000"/>
                <w:szCs w:val="21"/>
                <w:lang w:val="en-US" w:eastAsia="zh-CN"/>
              </w:rPr>
              <w:t>，</w:t>
            </w:r>
            <w:r>
              <w:rPr>
                <w:rFonts w:hint="eastAsia" w:ascii="宋体" w:hAnsi="宋体" w:cs="仿宋"/>
                <w:color w:val="000000"/>
                <w:kern w:val="0"/>
                <w:szCs w:val="21"/>
                <w:lang w:val="zh-CN" w:bidi="ar"/>
              </w:rPr>
              <w:t>人员有保障，分工明确，</w:t>
            </w:r>
            <w:r>
              <w:rPr>
                <w:rFonts w:hint="eastAsia" w:ascii="宋体" w:hAnsi="宋体" w:cs="仿宋"/>
                <w:color w:val="000000"/>
                <w:kern w:val="0"/>
                <w:szCs w:val="21"/>
                <w:lang w:val="en-US" w:eastAsia="zh-CN" w:bidi="ar"/>
              </w:rPr>
              <w:t>计划</w:t>
            </w:r>
            <w:r>
              <w:rPr>
                <w:rFonts w:hint="eastAsia" w:ascii="宋体" w:hAnsi="宋体" w:cs="仿宋"/>
                <w:color w:val="000000"/>
                <w:kern w:val="0"/>
                <w:szCs w:val="21"/>
                <w:lang w:bidi="ar"/>
              </w:rPr>
              <w:t>安排合理</w:t>
            </w:r>
            <w:r>
              <w:rPr>
                <w:rFonts w:hint="eastAsia" w:ascii="宋体" w:hAnsi="宋体" w:cs="仿宋"/>
                <w:color w:val="000000"/>
                <w:kern w:val="0"/>
                <w:szCs w:val="21"/>
                <w:lang w:eastAsia="zh-CN" w:bidi="ar"/>
              </w:rPr>
              <w:t>，</w:t>
            </w:r>
            <w:r>
              <w:rPr>
                <w:rFonts w:hint="eastAsia" w:ascii="宋体" w:hAnsi="宋体" w:cs="宋体"/>
                <w:color w:val="000000"/>
                <w:szCs w:val="21"/>
              </w:rPr>
              <w:t>能够全面满足项目要求得</w:t>
            </w:r>
            <w:r>
              <w:rPr>
                <w:rFonts w:hint="eastAsia" w:ascii="宋体" w:hAnsi="宋体" w:cs="宋体"/>
                <w:color w:val="000000"/>
                <w:szCs w:val="21"/>
                <w:lang w:val="en-US" w:eastAsia="zh-CN"/>
              </w:rPr>
              <w:t>4-</w:t>
            </w:r>
            <w:r>
              <w:rPr>
                <w:rFonts w:hint="eastAsia" w:ascii="宋体" w:hAnsi="宋体" w:cs="宋体"/>
                <w:color w:val="000000"/>
                <w:szCs w:val="21"/>
              </w:rPr>
              <w:t>7分；</w:t>
            </w:r>
          </w:p>
          <w:p w14:paraId="10405FCA">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方案基本满足项目要求，且无重大缺失的得</w:t>
            </w:r>
            <w:r>
              <w:rPr>
                <w:rFonts w:hint="eastAsia" w:ascii="宋体" w:hAnsi="宋体" w:cs="宋体"/>
                <w:color w:val="000000"/>
                <w:szCs w:val="21"/>
                <w:lang w:val="en-US" w:eastAsia="zh-CN"/>
              </w:rPr>
              <w:t>2-</w:t>
            </w:r>
            <w:r>
              <w:rPr>
                <w:rFonts w:hint="eastAsia" w:ascii="宋体" w:hAnsi="宋体" w:cs="宋体"/>
                <w:color w:val="000000"/>
                <w:szCs w:val="21"/>
              </w:rPr>
              <w:t>4分；</w:t>
            </w:r>
          </w:p>
          <w:p w14:paraId="090ED695">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方案不能完全满足项目需求，存在不足得</w:t>
            </w:r>
            <w:r>
              <w:rPr>
                <w:rFonts w:hint="eastAsia" w:ascii="宋体" w:hAnsi="宋体" w:cs="宋体"/>
                <w:color w:val="000000"/>
                <w:szCs w:val="21"/>
                <w:lang w:val="en-US" w:eastAsia="zh-CN"/>
              </w:rPr>
              <w:t>0-</w:t>
            </w:r>
            <w:r>
              <w:rPr>
                <w:rFonts w:hint="eastAsia" w:ascii="宋体" w:hAnsi="宋体" w:cs="宋体"/>
                <w:color w:val="000000"/>
                <w:szCs w:val="21"/>
              </w:rPr>
              <w:t>2分。</w:t>
            </w:r>
          </w:p>
          <w:p w14:paraId="16F16D8D">
            <w:pPr>
              <w:widowControl/>
              <w:autoSpaceDE w:val="0"/>
              <w:spacing w:line="610" w:lineRule="exact"/>
              <w:ind w:firstLine="420" w:firstLineChars="200"/>
              <w:rPr>
                <w:rFonts w:ascii="宋体" w:hAnsi="宋体" w:cs="宋体"/>
                <w:color w:val="000000"/>
                <w:szCs w:val="21"/>
              </w:rPr>
            </w:pPr>
            <w:r>
              <w:rPr>
                <w:rFonts w:hint="eastAsia" w:ascii="宋体" w:hAnsi="宋体" w:cs="宋体"/>
                <w:color w:val="000000"/>
                <w:szCs w:val="21"/>
              </w:rPr>
              <w:t>4.承诺响应时间为需方提出问题30分钟内由专业人员电话响应，如有需要，1小时内赶赴现场的得2分，1小时以上的得1分，不承诺或与实际情况不符的不得分</w:t>
            </w:r>
            <w:r>
              <w:rPr>
                <w:rFonts w:hint="eastAsia" w:ascii="宋体" w:hAnsi="宋体" w:cs="宋体"/>
                <w:color w:val="000000"/>
                <w:szCs w:val="21"/>
                <w:lang w:eastAsia="zh-CN"/>
              </w:rPr>
              <w:t>（</w:t>
            </w:r>
            <w:r>
              <w:rPr>
                <w:rFonts w:hint="eastAsia" w:ascii="宋体" w:hAnsi="宋体" w:cs="宋体"/>
                <w:color w:val="000000"/>
                <w:szCs w:val="21"/>
                <w:lang w:val="en-US" w:eastAsia="zh-CN"/>
              </w:rPr>
              <w:t>中标后承诺</w:t>
            </w:r>
            <w:r>
              <w:rPr>
                <w:rFonts w:hint="eastAsia" w:ascii="宋体" w:hAnsi="宋体" w:cs="宋体"/>
                <w:color w:val="000000"/>
                <w:szCs w:val="21"/>
                <w:lang w:eastAsia="zh-CN"/>
              </w:rPr>
              <w:t>）</w:t>
            </w:r>
            <w:r>
              <w:rPr>
                <w:rFonts w:hint="eastAsia" w:ascii="宋体" w:hAnsi="宋体" w:cs="宋体"/>
                <w:color w:val="000000"/>
                <w:szCs w:val="21"/>
              </w:rPr>
              <w:t>。</w:t>
            </w:r>
          </w:p>
        </w:tc>
      </w:tr>
      <w:tr w14:paraId="6CDA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63" w:type="dxa"/>
            <w:noWrap w:val="0"/>
            <w:vAlign w:val="center"/>
          </w:tcPr>
          <w:p w14:paraId="3BB38810">
            <w:pPr>
              <w:spacing w:line="440" w:lineRule="exact"/>
              <w:rPr>
                <w:rFonts w:hint="eastAsia" w:ascii="宋体" w:hAnsi="宋体" w:cs="宋体"/>
                <w:szCs w:val="21"/>
              </w:rPr>
            </w:pPr>
            <w:r>
              <w:rPr>
                <w:rFonts w:hint="eastAsia" w:ascii="仿宋" w:hAnsi="仿宋" w:eastAsia="仿宋"/>
                <w:b/>
                <w:bCs/>
                <w:color w:val="000000"/>
                <w:sz w:val="28"/>
                <w:szCs w:val="28"/>
              </w:rPr>
              <w:t>四、价格部分：30分</w:t>
            </w:r>
          </w:p>
        </w:tc>
      </w:tr>
      <w:tr w14:paraId="1E61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9363" w:type="dxa"/>
            <w:noWrap w:val="0"/>
            <w:vAlign w:val="center"/>
          </w:tcPr>
          <w:p w14:paraId="76474FE9">
            <w:pPr>
              <w:spacing w:line="600" w:lineRule="exact"/>
              <w:ind w:firstLine="460" w:firstLineChars="200"/>
              <w:rPr>
                <w:rFonts w:hint="eastAsia" w:ascii="宋体" w:hAnsi="宋体" w:cs="宋体"/>
                <w:spacing w:val="10"/>
                <w:kern w:val="0"/>
                <w:szCs w:val="21"/>
              </w:rPr>
            </w:pPr>
            <w:r>
              <w:rPr>
                <w:rFonts w:hint="eastAsia" w:ascii="宋体" w:hAnsi="宋体" w:cs="宋体"/>
                <w:spacing w:val="10"/>
                <w:kern w:val="0"/>
                <w:szCs w:val="21"/>
              </w:rPr>
              <w:t>满足招标文件要求且投标价格最低的投标报价为评标基准价，其价格分为满分。其他投标人的价格分统一按照下列公式计算：</w:t>
            </w:r>
          </w:p>
          <w:p w14:paraId="22A1A128">
            <w:pPr>
              <w:spacing w:line="600" w:lineRule="exact"/>
              <w:ind w:firstLine="460" w:firstLineChars="200"/>
              <w:rPr>
                <w:rFonts w:hint="eastAsia" w:ascii="宋体" w:hAnsi="宋体" w:cs="宋体"/>
                <w:spacing w:val="10"/>
                <w:kern w:val="0"/>
                <w:szCs w:val="21"/>
              </w:rPr>
            </w:pPr>
            <w:r>
              <w:rPr>
                <w:rFonts w:hint="eastAsia" w:ascii="宋体" w:hAnsi="宋体" w:cs="宋体"/>
                <w:spacing w:val="10"/>
                <w:kern w:val="0"/>
                <w:szCs w:val="21"/>
              </w:rPr>
              <w:t>投标报价得分=（评标基准价／投标报价）×30</w:t>
            </w:r>
          </w:p>
          <w:p w14:paraId="7095000A">
            <w:pPr>
              <w:spacing w:line="600" w:lineRule="exact"/>
              <w:ind w:firstLine="460" w:firstLineChars="200"/>
              <w:rPr>
                <w:rFonts w:hint="eastAsia" w:ascii="宋体" w:hAnsi="宋体" w:cs="宋体"/>
                <w:szCs w:val="21"/>
              </w:rPr>
            </w:pPr>
            <w:r>
              <w:rPr>
                <w:rFonts w:hint="eastAsia" w:ascii="宋体" w:hAnsi="宋体" w:cs="宋体"/>
                <w:spacing w:val="10"/>
                <w:kern w:val="0"/>
                <w:szCs w:val="21"/>
              </w:rPr>
              <w:t>报价得分保留两位小数。</w:t>
            </w:r>
          </w:p>
        </w:tc>
      </w:tr>
    </w:tbl>
    <w:p w14:paraId="080D37B6">
      <w:pPr>
        <w:pStyle w:val="47"/>
        <w:rPr>
          <w:rFonts w:hint="default"/>
          <w:lang w:val="en-US" w:eastAsia="zh-CN"/>
        </w:rPr>
      </w:pPr>
    </w:p>
    <w:p w14:paraId="3D40AB40">
      <w:pPr>
        <w:pStyle w:val="47"/>
        <w:rPr>
          <w:rFonts w:hint="eastAsia"/>
          <w:lang w:val="en-US" w:eastAsia="zh-CN"/>
        </w:rPr>
      </w:pPr>
      <w:r>
        <w:rPr>
          <w:rFonts w:hint="eastAsia"/>
          <w:lang w:val="en-US" w:eastAsia="zh-CN"/>
        </w:rPr>
        <w:t>采购包2</w:t>
      </w:r>
    </w:p>
    <w:tbl>
      <w:tblPr>
        <w:tblStyle w:val="38"/>
        <w:tblpPr w:leftFromText="180" w:rightFromText="180" w:vertAnchor="text" w:horzAnchor="page" w:tblpXSpec="center" w:tblpY="331"/>
        <w:tblOverlap w:val="never"/>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3"/>
      </w:tblGrid>
      <w:tr w14:paraId="5E92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363" w:type="dxa"/>
            <w:noWrap w:val="0"/>
            <w:vAlign w:val="center"/>
          </w:tcPr>
          <w:p w14:paraId="4D8B1509">
            <w:pPr>
              <w:spacing w:line="520" w:lineRule="exact"/>
              <w:jc w:val="center"/>
              <w:rPr>
                <w:rFonts w:hint="eastAsia" w:ascii="仿宋_GB2312" w:eastAsia="仿宋_GB2312" w:cs="宋体"/>
                <w:color w:val="000000"/>
                <w:szCs w:val="21"/>
                <w:lang w:val="zh-CN"/>
              </w:rPr>
            </w:pPr>
            <w:r>
              <w:rPr>
                <w:rFonts w:hint="eastAsia" w:ascii="黑体" w:hAnsi="黑体" w:eastAsia="黑体" w:cs="黑体"/>
                <w:b/>
                <w:bCs/>
                <w:color w:val="000000"/>
                <w:sz w:val="28"/>
                <w:szCs w:val="28"/>
                <w:lang w:val="zh-CN"/>
              </w:rPr>
              <w:t>评分标准</w:t>
            </w:r>
          </w:p>
        </w:tc>
      </w:tr>
      <w:tr w14:paraId="3C3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63" w:type="dxa"/>
            <w:noWrap w:val="0"/>
            <w:vAlign w:val="center"/>
          </w:tcPr>
          <w:p w14:paraId="0B240AE5">
            <w:pPr>
              <w:spacing w:line="440" w:lineRule="exact"/>
              <w:rPr>
                <w:rFonts w:hint="eastAsia" w:ascii="仿宋_GB2312" w:eastAsia="仿宋_GB2312" w:cs="宋体"/>
                <w:color w:val="000000"/>
                <w:szCs w:val="21"/>
                <w:lang w:val="zh-CN"/>
              </w:rPr>
            </w:pPr>
            <w:r>
              <w:rPr>
                <w:rFonts w:hint="eastAsia" w:ascii="仿宋" w:hAnsi="仿宋" w:eastAsia="仿宋"/>
                <w:b/>
                <w:bCs/>
                <w:kern w:val="0"/>
                <w:sz w:val="28"/>
                <w:szCs w:val="28"/>
              </w:rPr>
              <w:t>一、商务部分：1</w:t>
            </w:r>
            <w:r>
              <w:rPr>
                <w:rFonts w:hint="eastAsia" w:ascii="仿宋" w:hAnsi="仿宋" w:eastAsia="仿宋"/>
                <w:b/>
                <w:bCs/>
                <w:kern w:val="0"/>
                <w:sz w:val="28"/>
                <w:szCs w:val="28"/>
                <w:lang w:val="en-US" w:eastAsia="zh-CN"/>
              </w:rPr>
              <w:t>8</w:t>
            </w:r>
            <w:r>
              <w:rPr>
                <w:rFonts w:hint="eastAsia" w:ascii="仿宋" w:hAnsi="仿宋" w:eastAsia="仿宋"/>
                <w:b/>
                <w:bCs/>
                <w:kern w:val="0"/>
                <w:sz w:val="28"/>
                <w:szCs w:val="28"/>
              </w:rPr>
              <w:t>分</w:t>
            </w:r>
          </w:p>
        </w:tc>
      </w:tr>
      <w:tr w14:paraId="4765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63" w:type="dxa"/>
            <w:noWrap w:val="0"/>
            <w:vAlign w:val="top"/>
          </w:tcPr>
          <w:p w14:paraId="2F4B760D">
            <w:pPr>
              <w:spacing w:line="520" w:lineRule="exact"/>
              <w:ind w:firstLine="420" w:firstLineChars="200"/>
              <w:rPr>
                <w:rFonts w:hint="eastAsia" w:ascii="宋体" w:hAnsi="宋体" w:cs="宋体"/>
                <w:szCs w:val="21"/>
              </w:rPr>
            </w:pPr>
            <w:r>
              <w:rPr>
                <w:rFonts w:hint="eastAsia" w:ascii="宋体" w:hAnsi="宋体" w:cs="宋体"/>
                <w:szCs w:val="21"/>
              </w:rPr>
              <w:t>1、案例业绩：（0-</w:t>
            </w:r>
            <w:r>
              <w:rPr>
                <w:rFonts w:hint="eastAsia" w:ascii="宋体" w:hAnsi="宋体" w:cs="宋体"/>
                <w:szCs w:val="21"/>
                <w:lang w:val="en-US" w:eastAsia="zh-CN"/>
              </w:rPr>
              <w:t>15</w:t>
            </w:r>
            <w:r>
              <w:rPr>
                <w:rFonts w:hint="eastAsia" w:ascii="宋体" w:hAnsi="宋体" w:cs="宋体"/>
                <w:szCs w:val="21"/>
              </w:rPr>
              <w:t>分）</w:t>
            </w:r>
          </w:p>
          <w:p w14:paraId="6AE93DB9">
            <w:pPr>
              <w:spacing w:line="520" w:lineRule="exact"/>
              <w:ind w:firstLine="420" w:firstLineChars="200"/>
              <w:rPr>
                <w:rFonts w:hint="eastAsia" w:ascii="宋体" w:hAnsi="宋体" w:cs="宋体"/>
                <w:szCs w:val="21"/>
              </w:rPr>
            </w:pPr>
            <w:r>
              <w:rPr>
                <w:rFonts w:hint="eastAsia" w:ascii="宋体" w:hAnsi="宋体" w:cs="宋体"/>
                <w:szCs w:val="21"/>
                <w:lang w:val="en-US" w:eastAsia="zh-CN"/>
              </w:rPr>
              <w:t>合</w:t>
            </w:r>
            <w:r>
              <w:rPr>
                <w:rFonts w:hint="eastAsia" w:ascii="宋体" w:hAnsi="宋体" w:cs="宋体"/>
                <w:szCs w:val="21"/>
              </w:rPr>
              <w:t>同案例</w:t>
            </w:r>
            <w:r>
              <w:rPr>
                <w:rFonts w:hint="eastAsia" w:ascii="宋体" w:hAnsi="宋体" w:cs="宋体"/>
                <w:szCs w:val="21"/>
                <w:lang w:val="en-US" w:eastAsia="zh-CN"/>
              </w:rPr>
              <w:t>以投标生产厂家或供应商业绩为准，</w:t>
            </w:r>
            <w:r>
              <w:rPr>
                <w:rFonts w:ascii="宋体" w:hAnsi="宋体" w:cs="宋体"/>
                <w:szCs w:val="21"/>
              </w:rPr>
              <w:t>投标人投标截止时间前三年（2021年</w:t>
            </w:r>
            <w:r>
              <w:rPr>
                <w:rFonts w:hint="eastAsia" w:ascii="宋体" w:hAnsi="宋体" w:cs="宋体"/>
                <w:szCs w:val="21"/>
              </w:rPr>
              <w:t>8</w:t>
            </w:r>
            <w:r>
              <w:rPr>
                <w:rFonts w:ascii="宋体" w:hAnsi="宋体" w:cs="宋体"/>
                <w:szCs w:val="21"/>
              </w:rPr>
              <w:t>月至投标截止时间）以来的同类型业绩</w:t>
            </w:r>
            <w:r>
              <w:rPr>
                <w:rFonts w:hint="eastAsia" w:ascii="宋体" w:hAnsi="宋体" w:cs="宋体"/>
                <w:szCs w:val="21"/>
              </w:rPr>
              <w:t>，须提供签订合同首页、合同金额所在页、签字盖章页、验收报告或进账单作为证明材料，每提供一个在提交投标文件截止日期三个年度内签署的类似项目合同案例得3分，否则不得分，最高</w:t>
            </w:r>
            <w:r>
              <w:rPr>
                <w:rFonts w:hint="eastAsia" w:ascii="宋体" w:hAnsi="宋体" w:cs="宋体"/>
                <w:szCs w:val="21"/>
                <w:lang w:val="en-US" w:eastAsia="zh-CN"/>
              </w:rPr>
              <w:t>15</w:t>
            </w:r>
            <w:r>
              <w:rPr>
                <w:rFonts w:hint="eastAsia" w:ascii="宋体" w:hAnsi="宋体" w:cs="宋体"/>
                <w:szCs w:val="21"/>
              </w:rPr>
              <w:t>分。</w:t>
            </w:r>
          </w:p>
          <w:p w14:paraId="5B96F1DB">
            <w:pPr>
              <w:spacing w:line="520" w:lineRule="exact"/>
              <w:ind w:firstLine="420" w:firstLineChars="200"/>
              <w:rPr>
                <w:rFonts w:hint="eastAsia" w:ascii="宋体" w:hAnsi="宋体" w:cs="宋体"/>
                <w:szCs w:val="21"/>
              </w:rPr>
            </w:pPr>
            <w:r>
              <w:rPr>
                <w:rFonts w:hint="eastAsia" w:ascii="宋体" w:hAnsi="宋体" w:cs="宋体"/>
                <w:szCs w:val="21"/>
              </w:rPr>
              <w:t>2、企业资信（</w:t>
            </w:r>
            <w:r>
              <w:rPr>
                <w:rFonts w:hint="eastAsia" w:ascii="宋体" w:hAnsi="宋体" w:cs="宋体"/>
                <w:szCs w:val="21"/>
                <w:lang w:val="en-US" w:eastAsia="zh-CN"/>
              </w:rPr>
              <w:t>3</w:t>
            </w:r>
            <w:r>
              <w:rPr>
                <w:rFonts w:hint="eastAsia" w:ascii="宋体" w:hAnsi="宋体" w:cs="宋体"/>
                <w:szCs w:val="21"/>
              </w:rPr>
              <w:t>分）</w:t>
            </w:r>
          </w:p>
          <w:p w14:paraId="47561B5E">
            <w:pPr>
              <w:spacing w:line="520" w:lineRule="exact"/>
              <w:ind w:firstLine="420" w:firstLineChars="200"/>
              <w:rPr>
                <w:rFonts w:ascii="宋体" w:hAnsi="宋体" w:cs="宋体"/>
                <w:szCs w:val="21"/>
              </w:rPr>
            </w:pPr>
            <w:r>
              <w:rPr>
                <w:rFonts w:hint="eastAsia" w:ascii="宋体" w:hAnsi="宋体" w:cs="宋体"/>
                <w:szCs w:val="21"/>
              </w:rPr>
              <w:t>（1）.供应商具有有效的</w:t>
            </w:r>
            <w:r>
              <w:rPr>
                <w:rFonts w:hint="eastAsia" w:ascii="宋体" w:hAnsi="宋体" w:eastAsia="宋体" w:cs="宋体"/>
                <w:szCs w:val="21"/>
              </w:rPr>
              <w:t>GB/T19001-2016/ISO9001:2015 和 GB/T50430-2017 标准</w:t>
            </w:r>
            <w:r>
              <w:rPr>
                <w:rFonts w:hint="eastAsia" w:ascii="宋体" w:hAnsi="宋体" w:cs="宋体"/>
                <w:szCs w:val="21"/>
              </w:rPr>
              <w:t>质量管理体系认证证书（1分）</w:t>
            </w:r>
          </w:p>
          <w:p w14:paraId="3A464D2B">
            <w:pPr>
              <w:spacing w:line="520" w:lineRule="exact"/>
              <w:ind w:firstLine="420" w:firstLineChars="200"/>
              <w:rPr>
                <w:rFonts w:hint="eastAsia" w:ascii="宋体" w:hAnsi="宋体" w:cs="宋体"/>
                <w:szCs w:val="21"/>
              </w:rPr>
            </w:pPr>
            <w:r>
              <w:rPr>
                <w:rFonts w:hint="eastAsia" w:ascii="宋体" w:hAnsi="宋体" w:cs="宋体"/>
                <w:szCs w:val="21"/>
              </w:rPr>
              <w:t>（2）.供应商具有有效的</w:t>
            </w:r>
            <w:r>
              <w:rPr>
                <w:rFonts w:hint="eastAsia" w:ascii="宋体" w:hAnsi="宋体" w:eastAsia="宋体" w:cs="宋体"/>
                <w:szCs w:val="21"/>
              </w:rPr>
              <w:t>GB/T24001-2016/ISO14001:2015</w:t>
            </w:r>
            <w:r>
              <w:rPr>
                <w:rFonts w:hint="eastAsia" w:ascii="宋体" w:hAnsi="宋体" w:cs="宋体"/>
                <w:szCs w:val="21"/>
              </w:rPr>
              <w:t>环境管理体系认证证书（1分）</w:t>
            </w:r>
          </w:p>
          <w:p w14:paraId="56A03923">
            <w:pPr>
              <w:spacing w:line="520" w:lineRule="exact"/>
              <w:ind w:firstLine="420" w:firstLineChars="200"/>
              <w:rPr>
                <w:rFonts w:ascii="宋体" w:hAnsi="宋体" w:cs="宋体"/>
                <w:szCs w:val="21"/>
              </w:rPr>
            </w:pPr>
            <w:r>
              <w:rPr>
                <w:rFonts w:hint="eastAsia" w:ascii="宋体" w:hAnsi="宋体" w:cs="宋体"/>
                <w:szCs w:val="21"/>
              </w:rPr>
              <w:t>（3）.供应商具有有效的</w:t>
            </w:r>
            <w:r>
              <w:rPr>
                <w:rFonts w:hint="eastAsia" w:ascii="宋体" w:hAnsi="宋体" w:eastAsia="宋体" w:cs="宋体"/>
                <w:szCs w:val="21"/>
              </w:rPr>
              <w:t>GB/T45001-2020/ISO45001:2018</w:t>
            </w:r>
            <w:r>
              <w:rPr>
                <w:rFonts w:hint="eastAsia" w:ascii="宋体" w:hAnsi="宋体" w:cs="宋体"/>
                <w:szCs w:val="21"/>
              </w:rPr>
              <w:t>职业健康安全管理体系认证证书（1分）</w:t>
            </w:r>
          </w:p>
        </w:tc>
      </w:tr>
      <w:tr w14:paraId="3C83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63" w:type="dxa"/>
            <w:noWrap w:val="0"/>
            <w:vAlign w:val="center"/>
          </w:tcPr>
          <w:p w14:paraId="45780D54">
            <w:pPr>
              <w:spacing w:line="440" w:lineRule="exact"/>
              <w:rPr>
                <w:rFonts w:hint="eastAsia" w:ascii="仿宋_GB2312" w:eastAsia="仿宋_GB2312" w:cs="宋体"/>
                <w:color w:val="000000"/>
                <w:szCs w:val="21"/>
                <w:lang w:val="zh-CN"/>
              </w:rPr>
            </w:pPr>
            <w:r>
              <w:rPr>
                <w:rFonts w:hint="eastAsia" w:ascii="仿宋" w:hAnsi="仿宋" w:eastAsia="仿宋"/>
                <w:b/>
                <w:bCs/>
                <w:color w:val="000000"/>
                <w:sz w:val="28"/>
                <w:szCs w:val="28"/>
              </w:rPr>
              <w:t>二</w:t>
            </w:r>
            <w:r>
              <w:rPr>
                <w:rFonts w:ascii="仿宋" w:hAnsi="仿宋" w:eastAsia="仿宋"/>
                <w:b/>
                <w:bCs/>
                <w:color w:val="000000"/>
                <w:sz w:val="28"/>
                <w:szCs w:val="28"/>
              </w:rPr>
              <w:t>、</w:t>
            </w:r>
            <w:r>
              <w:rPr>
                <w:rFonts w:hint="eastAsia" w:ascii="仿宋" w:hAnsi="仿宋" w:eastAsia="仿宋"/>
                <w:b/>
                <w:bCs/>
                <w:color w:val="000000"/>
                <w:sz w:val="28"/>
                <w:szCs w:val="28"/>
              </w:rPr>
              <w:t>技术部分：25分</w:t>
            </w:r>
          </w:p>
        </w:tc>
      </w:tr>
      <w:tr w14:paraId="3174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3" w:type="dxa"/>
            <w:noWrap w:val="0"/>
            <w:vAlign w:val="center"/>
          </w:tcPr>
          <w:p w14:paraId="687B8D52">
            <w:pPr>
              <w:numPr>
                <w:ilvl w:val="0"/>
                <w:numId w:val="0"/>
              </w:numPr>
              <w:spacing w:line="610" w:lineRule="exact"/>
              <w:ind w:firstLine="440" w:firstLineChars="200"/>
              <w:rPr>
                <w:rFonts w:hint="eastAsia" w:ascii="宋体" w:hAnsi="宋体" w:cs="宋体"/>
                <w:color w:val="000000"/>
                <w:szCs w:val="21"/>
              </w:rPr>
            </w:pPr>
            <w:r>
              <w:rPr>
                <w:rFonts w:hint="eastAsia" w:ascii="宋体" w:hAnsi="宋体" w:cs="宋体"/>
                <w:color w:val="000000"/>
                <w:kern w:val="2"/>
                <w:sz w:val="22"/>
                <w:szCs w:val="22"/>
                <w:lang w:val="en-US" w:eastAsia="zh-CN" w:bidi="ar-SA"/>
              </w:rPr>
              <w:t>1.</w:t>
            </w:r>
            <w:r>
              <w:rPr>
                <w:rFonts w:hint="eastAsia" w:ascii="宋体" w:hAnsi="宋体" w:cs="宋体"/>
                <w:color w:val="000000"/>
                <w:szCs w:val="21"/>
              </w:rPr>
              <w:t>满足招标文件要求</w:t>
            </w:r>
            <w:r>
              <w:rPr>
                <w:rFonts w:hint="eastAsia" w:ascii="宋体" w:hAnsi="宋体" w:cs="宋体"/>
                <w:color w:val="000000"/>
                <w:szCs w:val="21"/>
                <w:lang w:val="en-US" w:eastAsia="zh-CN"/>
              </w:rPr>
              <w:t>,</w:t>
            </w:r>
            <w:r>
              <w:rPr>
                <w:rFonts w:hint="eastAsia" w:ascii="宋体" w:hAnsi="宋体" w:cs="宋体"/>
                <w:color w:val="000000"/>
                <w:szCs w:val="21"/>
              </w:rPr>
              <w:t>全部</w:t>
            </w:r>
            <w:r>
              <w:rPr>
                <w:rFonts w:hint="eastAsia" w:ascii="宋体" w:hAnsi="宋体" w:cs="宋体"/>
                <w:color w:val="000000"/>
                <w:szCs w:val="21"/>
                <w:lang w:eastAsia="zh-CN"/>
              </w:rPr>
              <w:t>符合</w:t>
            </w:r>
            <w:r>
              <w:rPr>
                <w:rFonts w:hint="eastAsia" w:ascii="宋体" w:hAnsi="宋体" w:cs="宋体"/>
                <w:color w:val="000000"/>
                <w:szCs w:val="21"/>
              </w:rPr>
              <w:t>技术指标得</w:t>
            </w:r>
            <w:r>
              <w:rPr>
                <w:rFonts w:hint="eastAsia" w:ascii="宋体" w:hAnsi="宋体" w:cs="宋体"/>
                <w:color w:val="000000"/>
                <w:szCs w:val="21"/>
                <w:lang w:val="en-US" w:eastAsia="zh-CN"/>
              </w:rPr>
              <w:t>15</w:t>
            </w:r>
            <w:r>
              <w:rPr>
                <w:rFonts w:hint="eastAsia" w:ascii="宋体" w:hAnsi="宋体" w:cs="宋体"/>
                <w:color w:val="000000"/>
                <w:szCs w:val="21"/>
              </w:rPr>
              <w:t>分</w:t>
            </w:r>
            <w:r>
              <w:rPr>
                <w:rFonts w:hint="eastAsia" w:ascii="宋体" w:hAnsi="宋体" w:cs="宋体"/>
                <w:color w:val="000000"/>
                <w:szCs w:val="21"/>
                <w:lang w:val="en-US" w:eastAsia="zh-CN"/>
              </w:rPr>
              <w:t>;</w:t>
            </w:r>
            <w:r>
              <w:rPr>
                <w:rFonts w:hint="eastAsia" w:ascii="宋体" w:hAnsi="宋体" w:cs="宋体"/>
                <w:color w:val="000000"/>
                <w:szCs w:val="21"/>
              </w:rPr>
              <w:t>如所投标产品响应招标文件要求的前提下</w:t>
            </w:r>
            <w:r>
              <w:rPr>
                <w:rFonts w:hint="eastAsia" w:ascii="宋体" w:hAnsi="宋体" w:cs="宋体"/>
                <w:color w:val="000000"/>
                <w:szCs w:val="21"/>
                <w:lang w:eastAsia="zh-CN"/>
              </w:rPr>
              <w:t>，</w:t>
            </w:r>
            <w:r>
              <w:rPr>
                <w:rFonts w:hint="eastAsia" w:ascii="宋体" w:hAnsi="宋体" w:cs="宋体"/>
                <w:color w:val="000000"/>
                <w:szCs w:val="21"/>
                <w:lang w:val="en-US" w:eastAsia="zh-CN"/>
              </w:rPr>
              <w:t>每一项实质性正偏离得1分，最高2分；视频演示部分，每完整演示一项得4分，共计8分，</w:t>
            </w:r>
            <w:r>
              <w:rPr>
                <w:rFonts w:hint="eastAsia" w:ascii="宋体" w:hAnsi="宋体" w:cs="宋体"/>
                <w:color w:val="000000"/>
                <w:szCs w:val="21"/>
              </w:rPr>
              <w:t>演示部分不完整</w:t>
            </w:r>
            <w:r>
              <w:rPr>
                <w:rFonts w:hint="eastAsia" w:ascii="宋体" w:hAnsi="宋体" w:cs="宋体"/>
                <w:color w:val="000000"/>
                <w:szCs w:val="21"/>
                <w:lang w:val="en-US" w:eastAsia="zh-CN"/>
              </w:rPr>
              <w:t>不得分</w:t>
            </w:r>
            <w:r>
              <w:rPr>
                <w:rFonts w:hint="eastAsia" w:ascii="宋体" w:hAnsi="宋体" w:cs="宋体"/>
                <w:color w:val="000000"/>
                <w:szCs w:val="21"/>
              </w:rPr>
              <w:t>。视频演示不超</w:t>
            </w:r>
            <w:r>
              <w:rPr>
                <w:rFonts w:hint="eastAsia" w:ascii="宋体" w:hAnsi="宋体" w:cs="宋体"/>
                <w:color w:val="000000"/>
                <w:szCs w:val="21"/>
                <w:lang w:val="en-US" w:eastAsia="zh-CN"/>
              </w:rPr>
              <w:t>20</w:t>
            </w:r>
            <w:r>
              <w:rPr>
                <w:rFonts w:hint="eastAsia" w:ascii="宋体" w:hAnsi="宋体" w:cs="宋体"/>
                <w:color w:val="000000"/>
                <w:szCs w:val="21"/>
              </w:rPr>
              <w:t>分钟，演示环境由投标人自行搭建，以视频形式演示。</w:t>
            </w:r>
          </w:p>
          <w:p w14:paraId="27924582">
            <w:pPr>
              <w:numPr>
                <w:ilvl w:val="0"/>
                <w:numId w:val="0"/>
              </w:numPr>
              <w:spacing w:line="610" w:lineRule="exact"/>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视频演示部分如下：</w:t>
            </w:r>
          </w:p>
          <w:p w14:paraId="15AE5D83">
            <w:pPr>
              <w:numPr>
                <w:ilvl w:val="0"/>
                <w:numId w:val="0"/>
              </w:numPr>
              <w:spacing w:line="61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书法教室-书法分组教学软件：（1）兴趣体验碑帖寻美文模块：支持教师端选择颜体楷书、欧体楷书、柳体楷书、赵体楷书碑帖、隶书碑帖、行书碑帖、篆书碑帖、草书碑帖推送到学生端的临摹台，教师每次支持选择1张或者2张碑帖。学生端临摹台要求能选择折扇、团扇、横幅、条幅、斗方、中堂六类不同模板，每种模板包含不低于五种背景图案。学生手动触控碑帖单字时单字右下角展现本单字的简化字，拖动碑帖上的任意单字放置在模板中组成一幅作品。支持放大缩小单字进行排版。排版完成后支持上传作品，上传作品后，老师在教师端软件内，能实时查看上传的作品，并查看作品对应的学生姓名。（2）兴趣体验辩音识字模块：系统推送该模块到学生临摹台后，学生可在临摹台上各自体验“辩音识字”，要求教师可选择任意“开始关卡”对学生进行推送。系统要求不低于50关，识字包括识别繁体字帖和简体字帖，临摹台自动播放字帖声音，学生根据语音识别字帖。识别方式为敲打从地洞举牌跳出来的小动物，举牌上为需要识别的字帖，击打正确得到金币，击打错误会被减分。击打道具不少于5种，小动物的形象类型不少于5种，要求体验过程中有闪电等特效。要求教师端实时查看前三名的金币数量排名，以及体验时长。要求教师可随时终止体验。</w:t>
            </w:r>
          </w:p>
          <w:p w14:paraId="683D6A15">
            <w:pPr>
              <w:numPr>
                <w:ilvl w:val="0"/>
                <w:numId w:val="0"/>
              </w:numPr>
              <w:spacing w:line="610" w:lineRule="exact"/>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书法教室-场景式网络课堂教学系统：支持通过安卓以及IOS的微信小程序参与直播或点播。支持轮播图，轮播图中可进入课程详情，课时详情。可显示最近的系统消息，可查看最近一年或更长时间的系统消息。可查看当天进行的直播。可查看近期的热门课程。可按照课程的分类查询以及查看课程详情。可查看课程的封面，介绍，观众星级评价，评价人数，热门程度，可一键将课程或课时分享到微信群或微信好友，可查看课程的章节，以及每个章节下的详细课时。学生可对课程进行星级评价，查看当前的综合评分。查看各种评价的百分比。按照日期查看评价详情。支持通过课程名称，教师姓名对课程进行模糊搜索。保留最近的搜索历史记录，可用于快速搜索,支持对最近所有用户的搜索内容进行统计并将最热门的搜索内容提炼为热词，供用户进行快捷搜索。提供对教师的详细介绍，可查看教师的姓名，个人简介，以及此教师的课程列表，在课程列表中，可直接进入直播或点播。可自动记录学习历史并进入复习功能，可显示对课程的学习进度，可统计当日学习时长，以及连续学习天数和累计学习天数。可收藏课时，并在个人中心查看所收藏课时。可将课时加入学习列表。可购买付费课时，并在个人中心查看已购课时，以及订单详情。可修改个人资料包括昵称、手机号，支持通过手机验证码验证用户个人身份。</w:t>
            </w:r>
          </w:p>
          <w:p w14:paraId="608CA768">
            <w:pPr>
              <w:spacing w:line="610" w:lineRule="exact"/>
              <w:rPr>
                <w:rFonts w:hint="eastAsia" w:ascii="宋体" w:hAnsi="宋体" w:cs="宋体"/>
                <w:color w:val="000000"/>
                <w:szCs w:val="21"/>
              </w:rPr>
            </w:pPr>
            <w:r>
              <w:rPr>
                <w:rFonts w:hint="eastAsia" w:ascii="宋体" w:hAnsi="宋体" w:cs="宋体"/>
                <w:color w:val="000000"/>
                <w:szCs w:val="21"/>
              </w:rPr>
              <w:t>注：如发现提供虚假参数者技术分直接记为0分。中标产品交付标准必须以招标文件中技术参数为准，如有虚假应标招标人将追究其法律责任，并有权终止合同。</w:t>
            </w:r>
          </w:p>
        </w:tc>
      </w:tr>
      <w:tr w14:paraId="21C0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63" w:type="dxa"/>
            <w:noWrap w:val="0"/>
            <w:vAlign w:val="center"/>
          </w:tcPr>
          <w:p w14:paraId="55B0307D">
            <w:pPr>
              <w:spacing w:line="610" w:lineRule="exact"/>
              <w:rPr>
                <w:rFonts w:ascii="宋体" w:hAnsi="宋体" w:cs="宋体"/>
                <w:color w:val="000000"/>
                <w:szCs w:val="21"/>
              </w:rPr>
            </w:pPr>
            <w:r>
              <w:rPr>
                <w:rFonts w:hint="eastAsia" w:ascii="仿宋" w:hAnsi="仿宋" w:eastAsia="仿宋"/>
                <w:b/>
                <w:bCs/>
                <w:color w:val="000000"/>
                <w:sz w:val="28"/>
                <w:szCs w:val="28"/>
              </w:rPr>
              <w:t>三、服务部分（</w:t>
            </w:r>
            <w:r>
              <w:rPr>
                <w:rFonts w:hint="eastAsia" w:ascii="仿宋" w:hAnsi="仿宋" w:eastAsia="仿宋"/>
                <w:b/>
                <w:bCs/>
                <w:color w:val="000000"/>
                <w:sz w:val="28"/>
                <w:szCs w:val="28"/>
                <w:lang w:val="en-US" w:eastAsia="zh-CN"/>
              </w:rPr>
              <w:t>27</w:t>
            </w:r>
            <w:r>
              <w:rPr>
                <w:rFonts w:hint="eastAsia" w:ascii="仿宋" w:hAnsi="仿宋" w:eastAsia="仿宋"/>
                <w:b/>
                <w:bCs/>
                <w:color w:val="000000"/>
                <w:sz w:val="28"/>
                <w:szCs w:val="28"/>
              </w:rPr>
              <w:t>分）</w:t>
            </w:r>
          </w:p>
        </w:tc>
      </w:tr>
      <w:tr w14:paraId="72F2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3" w:type="dxa"/>
            <w:noWrap w:val="0"/>
            <w:vAlign w:val="center"/>
          </w:tcPr>
          <w:p w14:paraId="24C51C9E">
            <w:pPr>
              <w:widowControl/>
              <w:numPr>
                <w:ilvl w:val="0"/>
                <w:numId w:val="8"/>
              </w:numPr>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根据投标制定的项目实施方案，包含但不限于安装调试；技术人员配备；项目团队管理措施；安装质量保障；实施进度安排及供货时间；供货承诺等。整体方案全面、细致、合理、措施具体且针对性强，部署科学得6-9分;整体方案较全面、合理措施具体、部署合理得3-6分:方案基本合理，有应对措施、有部署得2-3分;提供方案、措施、部署但存在不足得0-1分;不提供的不得分。</w:t>
            </w:r>
          </w:p>
          <w:p w14:paraId="0F8F34BB">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2.根据投标人制定的售后服务，包含但不限于技术支持；质保期、售后服务承诺；应急反应能力等；方案全面、细致、合理、具体且针对性强，部署科学得6-9分;方案较全面、合理措施具体、部署合理得3-6分:方案较合理、措施较具体、针对性一般，部署一般得2-3分;提供方案、措施、部署但存在不足得0-1分;不提供的不得分。</w:t>
            </w:r>
          </w:p>
          <w:p w14:paraId="67830E1B">
            <w:pPr>
              <w:widowControl/>
              <w:autoSpaceDE w:val="0"/>
              <w:spacing w:line="610" w:lineRule="exact"/>
              <w:ind w:firstLine="420" w:firstLineChars="200"/>
              <w:rPr>
                <w:rFonts w:hint="eastAsia" w:ascii="宋体" w:hAnsi="宋体" w:cs="宋体"/>
                <w:color w:val="000000"/>
                <w:szCs w:val="21"/>
                <w:lang w:eastAsia="zh-CN"/>
              </w:rPr>
            </w:pPr>
            <w:r>
              <w:rPr>
                <w:rFonts w:hint="eastAsia" w:ascii="宋体" w:hAnsi="宋体" w:cs="宋体"/>
                <w:color w:val="000000"/>
                <w:szCs w:val="21"/>
              </w:rPr>
              <w:t>3.根据投标人制定的培训方案，培训方案包括但不限于详细的培训时间；培训计划；培训目标；培训次数；培训人员等</w:t>
            </w:r>
            <w:r>
              <w:rPr>
                <w:rFonts w:hint="eastAsia" w:ascii="宋体" w:hAnsi="宋体" w:cs="宋体"/>
                <w:color w:val="000000"/>
                <w:szCs w:val="21"/>
                <w:lang w:eastAsia="zh-CN"/>
              </w:rPr>
              <w:t>。</w:t>
            </w:r>
          </w:p>
          <w:p w14:paraId="4CBE16CE">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方案详细合理</w:t>
            </w:r>
            <w:r>
              <w:rPr>
                <w:rFonts w:hint="eastAsia" w:ascii="宋体" w:hAnsi="宋体" w:cs="宋体"/>
                <w:color w:val="000000"/>
                <w:szCs w:val="21"/>
                <w:lang w:val="en-US" w:eastAsia="zh-CN"/>
              </w:rPr>
              <w:t>，</w:t>
            </w:r>
            <w:r>
              <w:rPr>
                <w:rFonts w:hint="eastAsia" w:ascii="宋体" w:hAnsi="宋体" w:cs="仿宋"/>
                <w:color w:val="000000"/>
                <w:kern w:val="0"/>
                <w:szCs w:val="21"/>
                <w:lang w:val="zh-CN" w:bidi="ar"/>
              </w:rPr>
              <w:t>人员有保障，分工明确，</w:t>
            </w:r>
            <w:r>
              <w:rPr>
                <w:rFonts w:hint="eastAsia" w:ascii="宋体" w:hAnsi="宋体" w:cs="仿宋"/>
                <w:color w:val="000000"/>
                <w:kern w:val="0"/>
                <w:szCs w:val="21"/>
                <w:lang w:val="en-US" w:eastAsia="zh-CN" w:bidi="ar"/>
              </w:rPr>
              <w:t>计划</w:t>
            </w:r>
            <w:r>
              <w:rPr>
                <w:rFonts w:hint="eastAsia" w:ascii="宋体" w:hAnsi="宋体" w:cs="仿宋"/>
                <w:color w:val="000000"/>
                <w:kern w:val="0"/>
                <w:szCs w:val="21"/>
                <w:lang w:bidi="ar"/>
              </w:rPr>
              <w:t>安排合理</w:t>
            </w:r>
            <w:r>
              <w:rPr>
                <w:rFonts w:hint="eastAsia" w:ascii="宋体" w:hAnsi="宋体" w:cs="仿宋"/>
                <w:color w:val="000000"/>
                <w:kern w:val="0"/>
                <w:szCs w:val="21"/>
                <w:lang w:eastAsia="zh-CN" w:bidi="ar"/>
              </w:rPr>
              <w:t>，</w:t>
            </w:r>
            <w:r>
              <w:rPr>
                <w:rFonts w:hint="eastAsia" w:ascii="宋体" w:hAnsi="宋体" w:cs="宋体"/>
                <w:color w:val="000000"/>
                <w:szCs w:val="21"/>
              </w:rPr>
              <w:t>能够全面满足项目要求得</w:t>
            </w:r>
            <w:r>
              <w:rPr>
                <w:rFonts w:hint="eastAsia" w:ascii="宋体" w:hAnsi="宋体" w:cs="宋体"/>
                <w:color w:val="000000"/>
                <w:szCs w:val="21"/>
                <w:lang w:val="en-US" w:eastAsia="zh-CN"/>
              </w:rPr>
              <w:t>4-</w:t>
            </w:r>
            <w:r>
              <w:rPr>
                <w:rFonts w:hint="eastAsia" w:ascii="宋体" w:hAnsi="宋体" w:cs="宋体"/>
                <w:color w:val="000000"/>
                <w:szCs w:val="21"/>
              </w:rPr>
              <w:t>7分；</w:t>
            </w:r>
          </w:p>
          <w:p w14:paraId="32BB351B">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方案基本满足项目要求，且无重大缺失的得</w:t>
            </w:r>
            <w:r>
              <w:rPr>
                <w:rFonts w:hint="eastAsia" w:ascii="宋体" w:hAnsi="宋体" w:cs="宋体"/>
                <w:color w:val="000000"/>
                <w:szCs w:val="21"/>
                <w:lang w:val="en-US" w:eastAsia="zh-CN"/>
              </w:rPr>
              <w:t>2-</w:t>
            </w:r>
            <w:r>
              <w:rPr>
                <w:rFonts w:hint="eastAsia" w:ascii="宋体" w:hAnsi="宋体" w:cs="宋体"/>
                <w:color w:val="000000"/>
                <w:szCs w:val="21"/>
              </w:rPr>
              <w:t>4分；</w:t>
            </w:r>
          </w:p>
          <w:p w14:paraId="53DDDAE3">
            <w:pPr>
              <w:widowControl/>
              <w:autoSpaceDE w:val="0"/>
              <w:spacing w:line="610" w:lineRule="exact"/>
              <w:ind w:firstLine="420" w:firstLineChars="200"/>
              <w:rPr>
                <w:rFonts w:hint="eastAsia" w:ascii="宋体" w:hAnsi="宋体" w:cs="宋体"/>
                <w:color w:val="000000"/>
                <w:szCs w:val="21"/>
              </w:rPr>
            </w:pPr>
            <w:r>
              <w:rPr>
                <w:rFonts w:hint="eastAsia" w:ascii="宋体" w:hAnsi="宋体" w:cs="宋体"/>
                <w:color w:val="000000"/>
                <w:szCs w:val="21"/>
              </w:rPr>
              <w:t>方案不能完全满足项目需求，存在不足得</w:t>
            </w:r>
            <w:r>
              <w:rPr>
                <w:rFonts w:hint="eastAsia" w:ascii="宋体" w:hAnsi="宋体" w:cs="宋体"/>
                <w:color w:val="000000"/>
                <w:szCs w:val="21"/>
                <w:lang w:val="en-US" w:eastAsia="zh-CN"/>
              </w:rPr>
              <w:t>0-</w:t>
            </w:r>
            <w:r>
              <w:rPr>
                <w:rFonts w:hint="eastAsia" w:ascii="宋体" w:hAnsi="宋体" w:cs="宋体"/>
                <w:color w:val="000000"/>
                <w:szCs w:val="21"/>
              </w:rPr>
              <w:t>2分。</w:t>
            </w:r>
          </w:p>
          <w:p w14:paraId="1130D997">
            <w:pPr>
              <w:widowControl/>
              <w:autoSpaceDE w:val="0"/>
              <w:spacing w:line="610" w:lineRule="exact"/>
              <w:ind w:firstLine="420" w:firstLineChars="200"/>
              <w:rPr>
                <w:rFonts w:ascii="宋体" w:hAnsi="宋体" w:cs="宋体"/>
                <w:color w:val="000000"/>
                <w:szCs w:val="21"/>
              </w:rPr>
            </w:pPr>
            <w:r>
              <w:rPr>
                <w:rFonts w:hint="eastAsia" w:ascii="宋体" w:hAnsi="宋体" w:cs="宋体"/>
                <w:color w:val="000000"/>
                <w:szCs w:val="21"/>
              </w:rPr>
              <w:t>4.承诺响应时间为需方提出问题30分钟内由专业人员电话响应，如有需要，1小时内赶赴现场的得2分，1小时以上的得1分，不承诺或与实际情况不符的不得分</w:t>
            </w:r>
            <w:r>
              <w:rPr>
                <w:rFonts w:hint="eastAsia" w:ascii="宋体" w:hAnsi="宋体" w:cs="宋体"/>
                <w:color w:val="000000"/>
                <w:szCs w:val="21"/>
                <w:lang w:eastAsia="zh-CN"/>
              </w:rPr>
              <w:t>（</w:t>
            </w:r>
            <w:r>
              <w:rPr>
                <w:rFonts w:hint="eastAsia" w:ascii="宋体" w:hAnsi="宋体" w:cs="宋体"/>
                <w:color w:val="000000"/>
                <w:szCs w:val="21"/>
                <w:lang w:val="en-US" w:eastAsia="zh-CN"/>
              </w:rPr>
              <w:t>中标后承诺</w:t>
            </w:r>
            <w:r>
              <w:rPr>
                <w:rFonts w:hint="eastAsia" w:ascii="宋体" w:hAnsi="宋体" w:cs="宋体"/>
                <w:color w:val="000000"/>
                <w:szCs w:val="21"/>
                <w:lang w:eastAsia="zh-CN"/>
              </w:rPr>
              <w:t>）</w:t>
            </w:r>
            <w:r>
              <w:rPr>
                <w:rFonts w:hint="eastAsia" w:ascii="宋体" w:hAnsi="宋体" w:cs="宋体"/>
                <w:color w:val="000000"/>
                <w:szCs w:val="21"/>
              </w:rPr>
              <w:t>。</w:t>
            </w:r>
          </w:p>
        </w:tc>
      </w:tr>
      <w:tr w14:paraId="1CE2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63" w:type="dxa"/>
            <w:noWrap w:val="0"/>
            <w:vAlign w:val="center"/>
          </w:tcPr>
          <w:p w14:paraId="66032B0C">
            <w:pPr>
              <w:spacing w:line="440" w:lineRule="exact"/>
              <w:rPr>
                <w:rFonts w:hint="eastAsia" w:ascii="宋体" w:hAnsi="宋体" w:cs="宋体"/>
                <w:szCs w:val="21"/>
              </w:rPr>
            </w:pPr>
            <w:r>
              <w:rPr>
                <w:rFonts w:hint="eastAsia" w:ascii="仿宋" w:hAnsi="仿宋" w:eastAsia="仿宋"/>
                <w:b/>
                <w:bCs/>
                <w:color w:val="000000"/>
                <w:sz w:val="28"/>
                <w:szCs w:val="28"/>
              </w:rPr>
              <w:t>四、价格部分：30分</w:t>
            </w:r>
          </w:p>
        </w:tc>
      </w:tr>
      <w:tr w14:paraId="388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9363" w:type="dxa"/>
            <w:noWrap w:val="0"/>
            <w:vAlign w:val="center"/>
          </w:tcPr>
          <w:p w14:paraId="168508EE">
            <w:pPr>
              <w:spacing w:line="600" w:lineRule="exact"/>
              <w:ind w:firstLine="460" w:firstLineChars="200"/>
              <w:rPr>
                <w:rFonts w:hint="eastAsia" w:ascii="宋体" w:hAnsi="宋体" w:cs="宋体"/>
                <w:spacing w:val="10"/>
                <w:kern w:val="0"/>
                <w:szCs w:val="21"/>
              </w:rPr>
            </w:pPr>
            <w:r>
              <w:rPr>
                <w:rFonts w:hint="eastAsia" w:ascii="宋体" w:hAnsi="宋体" w:cs="宋体"/>
                <w:spacing w:val="10"/>
                <w:kern w:val="0"/>
                <w:szCs w:val="21"/>
              </w:rPr>
              <w:t>满足招标文件要求且投标价格最低的投标报价为评标基准价，其价格分为满分。其他投标人的价格分统一按照下列公式计算：</w:t>
            </w:r>
          </w:p>
          <w:p w14:paraId="75AD2713">
            <w:pPr>
              <w:spacing w:line="600" w:lineRule="exact"/>
              <w:ind w:firstLine="460" w:firstLineChars="200"/>
              <w:rPr>
                <w:rFonts w:hint="eastAsia" w:ascii="宋体" w:hAnsi="宋体" w:cs="宋体"/>
                <w:spacing w:val="10"/>
                <w:kern w:val="0"/>
                <w:szCs w:val="21"/>
              </w:rPr>
            </w:pPr>
            <w:r>
              <w:rPr>
                <w:rFonts w:hint="eastAsia" w:ascii="宋体" w:hAnsi="宋体" w:cs="宋体"/>
                <w:spacing w:val="10"/>
                <w:kern w:val="0"/>
                <w:szCs w:val="21"/>
              </w:rPr>
              <w:t>投标报价得分=（评标基准价／投标报价）×30</w:t>
            </w:r>
          </w:p>
          <w:p w14:paraId="52EA0BAB">
            <w:pPr>
              <w:spacing w:line="600" w:lineRule="exact"/>
              <w:ind w:firstLine="460" w:firstLineChars="200"/>
              <w:rPr>
                <w:rFonts w:hint="eastAsia" w:ascii="宋体" w:hAnsi="宋体" w:cs="宋体"/>
                <w:szCs w:val="21"/>
              </w:rPr>
            </w:pPr>
            <w:r>
              <w:rPr>
                <w:rFonts w:hint="eastAsia" w:ascii="宋体" w:hAnsi="宋体" w:cs="宋体"/>
                <w:spacing w:val="10"/>
                <w:kern w:val="0"/>
                <w:szCs w:val="21"/>
              </w:rPr>
              <w:t>报价得分保留两位小数。</w:t>
            </w:r>
          </w:p>
        </w:tc>
      </w:tr>
    </w:tbl>
    <w:p w14:paraId="4245F68B">
      <w:pPr>
        <w:pStyle w:val="47"/>
        <w:rPr>
          <w:rFonts w:hint="default"/>
          <w:lang w:val="en-US" w:eastAsia="zh-CN"/>
        </w:rPr>
      </w:pPr>
    </w:p>
    <w:p w14:paraId="3EEDEBD8">
      <w:pPr>
        <w:pStyle w:val="47"/>
        <w:rPr>
          <w:rFonts w:ascii="仿宋" w:hAnsi="仿宋"/>
          <w:szCs w:val="28"/>
        </w:rPr>
      </w:pPr>
    </w:p>
    <w:p w14:paraId="2E2CF9AD">
      <w:pPr>
        <w:pStyle w:val="47"/>
        <w:rPr>
          <w:rFonts w:ascii="仿宋" w:hAnsi="仿宋"/>
          <w:szCs w:val="28"/>
        </w:rPr>
      </w:pPr>
    </w:p>
    <w:bookmarkEnd w:id="77"/>
    <w:p w14:paraId="781EE116">
      <w:pPr>
        <w:widowControl/>
        <w:jc w:val="left"/>
        <w:rPr>
          <w:rFonts w:ascii="华文中宋" w:hAnsi="华文中宋" w:eastAsia="华文中宋" w:cs="华文中宋"/>
          <w:b/>
          <w:spacing w:val="20"/>
          <w:kern w:val="44"/>
          <w:sz w:val="28"/>
          <w:szCs w:val="28"/>
        </w:rPr>
      </w:pPr>
      <w:bookmarkStart w:id="80" w:name="_Toc5560"/>
      <w:bookmarkStart w:id="81" w:name="_Toc424378697"/>
      <w:bookmarkStart w:id="82" w:name="_Toc352761952"/>
      <w:bookmarkStart w:id="83" w:name="_Toc26881704"/>
      <w:r>
        <w:rPr>
          <w:rFonts w:ascii="华文中宋" w:hAnsi="华文中宋" w:eastAsia="华文中宋" w:cs="华文中宋"/>
          <w:b/>
          <w:spacing w:val="20"/>
          <w:kern w:val="44"/>
          <w:sz w:val="28"/>
          <w:szCs w:val="28"/>
        </w:rPr>
        <w:br w:type="page"/>
      </w:r>
    </w:p>
    <w:p w14:paraId="2251CC67">
      <w:pPr>
        <w:pStyle w:val="33"/>
        <w:keepNext/>
        <w:keepLines/>
        <w:widowControl w:val="0"/>
        <w:adjustRightInd w:val="0"/>
        <w:snapToGrid w:val="0"/>
        <w:spacing w:before="0" w:beforeAutospacing="0" w:after="0" w:afterAutospacing="0"/>
        <w:ind w:firstLine="3203" w:firstLineChars="1000"/>
        <w:outlineLvl w:val="0"/>
        <w:rPr>
          <w:rFonts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第七部分  合同文本</w:t>
      </w:r>
    </w:p>
    <w:p w14:paraId="0360787A">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0D0866D6">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758046DD">
      <w:pPr>
        <w:spacing w:line="360" w:lineRule="auto"/>
        <w:rPr>
          <w:rFonts w:ascii="华文中宋" w:hAnsi="华文中宋" w:eastAsia="华文中宋" w:cs="宋体"/>
          <w:szCs w:val="21"/>
        </w:rPr>
      </w:pPr>
    </w:p>
    <w:p w14:paraId="1FA23E4C">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w:t>
      </w:r>
      <w:r>
        <w:rPr>
          <w:rFonts w:ascii="华文中宋" w:hAnsi="华文中宋" w:eastAsia="华文中宋" w:cs="宋体"/>
          <w:szCs w:val="21"/>
        </w:rPr>
        <w:t>长治市</w:t>
      </w:r>
      <w:r>
        <w:rPr>
          <w:rFonts w:hint="eastAsia" w:ascii="华文中宋" w:hAnsi="华文中宋" w:eastAsia="华文中宋" w:cs="宋体"/>
          <w:szCs w:val="21"/>
          <w:lang w:eastAsia="zh-CN"/>
        </w:rPr>
        <w:t>上党区</w:t>
      </w:r>
      <w:r>
        <w:rPr>
          <w:rFonts w:ascii="华文中宋" w:hAnsi="华文中宋" w:eastAsia="华文中宋" w:cs="宋体"/>
          <w:szCs w:val="21"/>
        </w:rPr>
        <w:t>政府采购中心</w:t>
      </w:r>
      <w:r>
        <w:rPr>
          <w:rFonts w:hint="eastAsia" w:ascii="华文中宋" w:hAnsi="华文中宋" w:eastAsia="华文中宋" w:cs="宋体"/>
          <w:szCs w:val="21"/>
        </w:rPr>
        <w:t>组织的</w:t>
      </w:r>
      <w:r>
        <w:rPr>
          <w:rFonts w:hint="eastAsia" w:ascii="华文中宋" w:hAnsi="华文中宋" w:eastAsia="华文中宋"/>
          <w:szCs w:val="21"/>
        </w:rPr>
        <w:t>****</w:t>
      </w:r>
      <w:r>
        <w:rPr>
          <w:rFonts w:hint="eastAsia" w:ascii="华文中宋" w:hAnsi="华文中宋" w:eastAsia="华文中宋" w:cs="宋体"/>
          <w:szCs w:val="21"/>
        </w:rPr>
        <w:t>项目公开招标采购中中标，经双方协商一致，签订本合同。</w:t>
      </w:r>
    </w:p>
    <w:p w14:paraId="1252413E">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2AEF77E9">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供方向需方提供以下货物（服务）</w:t>
      </w:r>
    </w:p>
    <w:p w14:paraId="7028E1FD">
      <w:pPr>
        <w:spacing w:line="360" w:lineRule="auto"/>
        <w:ind w:firstLine="315" w:firstLineChars="150"/>
        <w:rPr>
          <w:rFonts w:ascii="华文中宋" w:hAnsi="华文中宋" w:eastAsia="华文中宋"/>
          <w:szCs w:val="21"/>
        </w:rPr>
      </w:pPr>
      <w:r>
        <w:rPr>
          <w:rFonts w:hint="eastAsia" w:ascii="华文中宋" w:hAnsi="华文中宋" w:eastAsia="华文中宋" w:cs="宋体"/>
          <w:szCs w:val="21"/>
        </w:rPr>
        <w:t>（具体服务项、品牌、数量、技术参数及质保期等清单后附）</w:t>
      </w:r>
    </w:p>
    <w:p w14:paraId="390B6381">
      <w:pPr>
        <w:spacing w:line="360" w:lineRule="auto"/>
        <w:rPr>
          <w:rFonts w:ascii="华文中宋" w:hAnsi="华文中宋" w:eastAsia="华文中宋"/>
          <w:b/>
          <w:szCs w:val="21"/>
        </w:rPr>
      </w:pPr>
      <w:bookmarkStart w:id="84" w:name="bookmark0"/>
      <w:r>
        <w:rPr>
          <w:rFonts w:hint="eastAsia" w:ascii="华文中宋" w:hAnsi="华文中宋" w:eastAsia="华文中宋" w:cs="宋体"/>
          <w:b/>
          <w:szCs w:val="21"/>
        </w:rPr>
        <w:t>二</w:t>
      </w:r>
      <w:bookmarkEnd w:id="84"/>
      <w:r>
        <w:rPr>
          <w:rFonts w:hint="eastAsia" w:ascii="华文中宋" w:hAnsi="华文中宋" w:eastAsia="华文中宋" w:cs="宋体"/>
          <w:b/>
          <w:szCs w:val="21"/>
        </w:rPr>
        <w:t>、合同总金额</w:t>
      </w:r>
    </w:p>
    <w:p w14:paraId="45E4378D">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w:t>
      </w:r>
    </w:p>
    <w:p w14:paraId="381CE740">
      <w:pPr>
        <w:spacing w:line="360" w:lineRule="auto"/>
        <w:ind w:firstLine="1050" w:firstLineChars="500"/>
        <w:rPr>
          <w:rFonts w:ascii="华文中宋" w:hAnsi="华文中宋" w:eastAsia="华文中宋"/>
          <w:szCs w:val="21"/>
        </w:rPr>
      </w:pPr>
      <w:r>
        <w:rPr>
          <w:rFonts w:hint="eastAsia" w:ascii="华文中宋" w:hAnsi="华文中宋" w:eastAsia="华文中宋" w:cs="宋体"/>
          <w:szCs w:val="21"/>
        </w:rPr>
        <w:t>（小写）：</w:t>
      </w:r>
      <w:r>
        <w:rPr>
          <w:rFonts w:ascii="华文中宋" w:hAnsi="华文中宋" w:eastAsia="华文中宋"/>
          <w:szCs w:val="21"/>
        </w:rPr>
        <w:t>Y</w:t>
      </w:r>
    </w:p>
    <w:p w14:paraId="69E6515D">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02FDC22">
      <w:pPr>
        <w:spacing w:line="360" w:lineRule="auto"/>
        <w:rPr>
          <w:rFonts w:ascii="华文中宋" w:hAnsi="华文中宋" w:eastAsia="华文中宋"/>
          <w:b/>
          <w:szCs w:val="21"/>
        </w:rPr>
      </w:pPr>
      <w:bookmarkStart w:id="85" w:name="bookmark1"/>
      <w:r>
        <w:rPr>
          <w:rFonts w:hint="eastAsia" w:ascii="华文中宋" w:hAnsi="华文中宋" w:eastAsia="华文中宋" w:cs="宋体"/>
          <w:b/>
          <w:szCs w:val="21"/>
        </w:rPr>
        <w:t>三</w:t>
      </w:r>
      <w:bookmarkEnd w:id="85"/>
      <w:r>
        <w:rPr>
          <w:rFonts w:hint="eastAsia" w:ascii="华文中宋" w:hAnsi="华文中宋" w:eastAsia="华文中宋" w:cs="宋体"/>
          <w:b/>
          <w:szCs w:val="21"/>
        </w:rPr>
        <w:t>、合同资金支付</w:t>
      </w:r>
    </w:p>
    <w:p w14:paraId="44949D49">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161CDAB6">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hint="eastAsia" w:ascii="华文中宋" w:hAnsi="华文中宋" w:eastAsia="华文中宋" w:cs="宋体"/>
          <w:szCs w:val="21"/>
        </w:rPr>
        <w:t>0日内，按合同约定将款项支付到约定的供应商账户。</w:t>
      </w:r>
    </w:p>
    <w:p w14:paraId="2A5CE5E3">
      <w:pPr>
        <w:spacing w:line="360" w:lineRule="auto"/>
        <w:rPr>
          <w:rFonts w:ascii="华文中宋" w:hAnsi="华文中宋" w:eastAsia="华文中宋"/>
          <w:b/>
          <w:szCs w:val="21"/>
        </w:rPr>
      </w:pPr>
      <w:r>
        <w:rPr>
          <w:rFonts w:hint="eastAsia" w:ascii="华文中宋" w:hAnsi="华文中宋" w:eastAsia="华文中宋" w:cs="宋体"/>
          <w:b/>
          <w:szCs w:val="21"/>
        </w:rPr>
        <w:t>四、售后服务及承诺</w:t>
      </w:r>
    </w:p>
    <w:p w14:paraId="6346533B">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569934FB">
      <w:pPr>
        <w:spacing w:line="360" w:lineRule="auto"/>
        <w:rPr>
          <w:rFonts w:ascii="华文中宋" w:hAnsi="华文中宋" w:eastAsia="华文中宋"/>
          <w:b/>
          <w:szCs w:val="21"/>
        </w:rPr>
      </w:pPr>
      <w:r>
        <w:rPr>
          <w:rFonts w:hint="eastAsia" w:ascii="华文中宋" w:hAnsi="华文中宋" w:eastAsia="华文中宋" w:cs="宋体"/>
          <w:b/>
          <w:szCs w:val="21"/>
        </w:rPr>
        <w:t>五、交货</w:t>
      </w:r>
    </w:p>
    <w:p w14:paraId="09F81FF2">
      <w:pPr>
        <w:spacing w:line="360" w:lineRule="auto"/>
        <w:ind w:firstLine="420" w:firstLineChars="200"/>
        <w:rPr>
          <w:rFonts w:ascii="华文中宋" w:hAnsi="华文中宋" w:eastAsia="华文中宋"/>
          <w:szCs w:val="21"/>
        </w:rPr>
      </w:pPr>
      <w:bookmarkStart w:id="86" w:name="bookmark5"/>
      <w:r>
        <w:rPr>
          <w:rFonts w:ascii="华文中宋" w:hAnsi="华文中宋" w:eastAsia="华文中宋"/>
          <w:szCs w:val="21"/>
        </w:rPr>
        <w:t>1</w:t>
      </w:r>
      <w:bookmarkEnd w:id="86"/>
      <w:r>
        <w:rPr>
          <w:rFonts w:hint="eastAsia" w:ascii="华文中宋" w:hAnsi="华文中宋" w:eastAsia="华文中宋" w:cs="宋体"/>
          <w:szCs w:val="21"/>
        </w:rPr>
        <w:t>、交货期限：</w:t>
      </w:r>
    </w:p>
    <w:p w14:paraId="3D0DCF28">
      <w:pPr>
        <w:spacing w:line="360" w:lineRule="auto"/>
        <w:ind w:firstLine="420" w:firstLineChars="200"/>
        <w:rPr>
          <w:rFonts w:ascii="华文中宋" w:hAnsi="华文中宋" w:eastAsia="华文中宋"/>
          <w:szCs w:val="21"/>
        </w:rPr>
      </w:pPr>
      <w:bookmarkStart w:id="87" w:name="bookmark6"/>
      <w:r>
        <w:rPr>
          <w:rFonts w:ascii="华文中宋" w:hAnsi="华文中宋" w:eastAsia="华文中宋"/>
          <w:szCs w:val="21"/>
        </w:rPr>
        <w:t>2</w:t>
      </w:r>
      <w:bookmarkEnd w:id="87"/>
      <w:r>
        <w:rPr>
          <w:rFonts w:hint="eastAsia" w:ascii="华文中宋" w:hAnsi="华文中宋" w:eastAsia="华文中宋" w:cs="宋体"/>
          <w:szCs w:val="21"/>
        </w:rPr>
        <w:t>、交货地点：</w:t>
      </w:r>
    </w:p>
    <w:p w14:paraId="279933DC">
      <w:pPr>
        <w:spacing w:line="360" w:lineRule="auto"/>
        <w:rPr>
          <w:rFonts w:ascii="华文中宋" w:hAnsi="华文中宋" w:eastAsia="华文中宋"/>
          <w:b/>
          <w:szCs w:val="21"/>
        </w:rPr>
      </w:pPr>
      <w:r>
        <w:rPr>
          <w:rFonts w:hint="eastAsia" w:ascii="华文中宋" w:hAnsi="华文中宋" w:eastAsia="华文中宋" w:cs="宋体"/>
          <w:b/>
          <w:szCs w:val="21"/>
        </w:rPr>
        <w:t>六、交验</w:t>
      </w:r>
    </w:p>
    <w:p w14:paraId="7EBFF88D">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hint="eastAsia" w:ascii="华文中宋" w:hAnsi="华文中宋" w:eastAsia="华文中宋" w:cs="宋体"/>
          <w:szCs w:val="21"/>
        </w:rPr>
        <w:t>、验收由需方组织进行，必要时可邀请国家认可的质量检测机构参加验收工作，需方验收供方所交的货物（服务）后要制作填写</w:t>
      </w:r>
      <w:r>
        <w:rPr>
          <w:rFonts w:ascii="华文中宋" w:hAnsi="华文中宋" w:eastAsia="华文中宋"/>
          <w:szCs w:val="21"/>
        </w:rPr>
        <w:t>“</w:t>
      </w:r>
      <w:r>
        <w:rPr>
          <w:rFonts w:hint="eastAsia" w:ascii="华文中宋" w:hAnsi="华文中宋" w:eastAsia="华文中宋" w:cs="宋体"/>
          <w:szCs w:val="21"/>
        </w:rPr>
        <w:t>合同履约情况验收报告</w:t>
      </w:r>
      <w:r>
        <w:rPr>
          <w:rFonts w:ascii="华文中宋" w:hAnsi="华文中宋" w:eastAsia="华文中宋"/>
          <w:szCs w:val="21"/>
        </w:rPr>
        <w:t>”</w:t>
      </w:r>
      <w:r>
        <w:rPr>
          <w:rFonts w:hint="eastAsia" w:ascii="华文中宋" w:hAnsi="华文中宋" w:eastAsia="华文中宋" w:cs="宋体"/>
          <w:szCs w:val="21"/>
        </w:rPr>
        <w:t>。验收结果须供需双方共同确认。</w:t>
      </w:r>
    </w:p>
    <w:p w14:paraId="719BEACC">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1C51F142">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、供方交付产品中的软件应无知识产权纠纷，若出现知识产权纠纷等法律问题，由供方自行承担。</w:t>
      </w:r>
    </w:p>
    <w:p w14:paraId="54361B1A">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szCs w:val="21"/>
        </w:rPr>
        <w:t>、</w:t>
      </w:r>
      <w:r>
        <w:rPr>
          <w:rFonts w:hint="eastAsia" w:ascii="华文中宋" w:hAnsi="华文中宋" w:eastAsia="华文中宋" w:cs="宋体"/>
          <w:szCs w:val="21"/>
        </w:rPr>
        <w:t>需方要按照招标文件中的验收标准来进行验收，按照与履约验收挂钩的资金支付条件及时间执行。</w:t>
      </w:r>
    </w:p>
    <w:p w14:paraId="4643C03B">
      <w:pPr>
        <w:spacing w:line="360" w:lineRule="auto"/>
        <w:rPr>
          <w:rFonts w:ascii="华文中宋" w:hAnsi="华文中宋" w:eastAsia="华文中宋"/>
          <w:b/>
          <w:szCs w:val="21"/>
        </w:rPr>
      </w:pPr>
      <w:r>
        <w:rPr>
          <w:rFonts w:hint="eastAsia" w:ascii="华文中宋" w:hAnsi="华文中宋" w:eastAsia="华文中宋" w:cs="宋体"/>
          <w:b/>
          <w:szCs w:val="21"/>
        </w:rPr>
        <w:t>七、需方责任</w:t>
      </w:r>
    </w:p>
    <w:p w14:paraId="2757DAF1">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17795577">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1C175F80">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、对合同条款及价格负有保密义务。</w:t>
      </w:r>
    </w:p>
    <w:p w14:paraId="783F999E">
      <w:pPr>
        <w:spacing w:line="360" w:lineRule="auto"/>
        <w:rPr>
          <w:rFonts w:ascii="华文中宋" w:hAnsi="华文中宋" w:eastAsia="华文中宋"/>
          <w:b/>
          <w:szCs w:val="21"/>
        </w:rPr>
      </w:pPr>
      <w:r>
        <w:rPr>
          <w:rFonts w:hint="eastAsia" w:ascii="华文中宋" w:hAnsi="华文中宋" w:eastAsia="华文中宋" w:cs="宋体"/>
          <w:b/>
          <w:szCs w:val="21"/>
        </w:rPr>
        <w:t>八、供方责任</w:t>
      </w:r>
    </w:p>
    <w:p w14:paraId="5F92E198">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、保证所供货物（服务）均为标书承诺的，符合相关质量检测标准，具有该产品的出厂标准或国家鉴定证书。</w:t>
      </w:r>
    </w:p>
    <w:p w14:paraId="1230A0D8">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4C47CBA4">
      <w:pPr>
        <w:spacing w:line="360" w:lineRule="auto"/>
        <w:rPr>
          <w:rFonts w:ascii="华文中宋" w:hAnsi="华文中宋" w:eastAsia="华文中宋"/>
          <w:b/>
          <w:szCs w:val="21"/>
        </w:rPr>
      </w:pPr>
      <w:r>
        <w:rPr>
          <w:rFonts w:hint="eastAsia" w:ascii="华文中宋" w:hAnsi="华文中宋" w:eastAsia="华文中宋" w:cs="宋体"/>
          <w:b/>
          <w:szCs w:val="21"/>
        </w:rPr>
        <w:t>九、违约责任</w:t>
      </w:r>
    </w:p>
    <w:p w14:paraId="52E012D2">
      <w:pPr>
        <w:spacing w:line="360" w:lineRule="auto"/>
        <w:rPr>
          <w:rFonts w:ascii="华文中宋" w:hAnsi="华文中宋" w:eastAsia="华文中宋"/>
          <w:szCs w:val="21"/>
        </w:rPr>
      </w:pPr>
      <w:r>
        <w:rPr>
          <w:rFonts w:hint="eastAsia" w:ascii="华文中宋" w:hAnsi="华文中宋" w:eastAsia="华文中宋"/>
          <w:szCs w:val="21"/>
        </w:rPr>
        <w:t>1、需方无正当理由逾期支付货款的，每逾期一日向供方偿付合同款总额</w:t>
      </w:r>
      <w:r>
        <w:rPr>
          <w:rFonts w:hint="eastAsia" w:ascii="华文中宋" w:hAnsi="华文中宋" w:eastAsia="华文中宋"/>
          <w:szCs w:val="21"/>
          <w:u w:val="single"/>
        </w:rPr>
        <w:t xml:space="preserve">      </w:t>
      </w:r>
      <w:r>
        <w:rPr>
          <w:rFonts w:hint="eastAsia" w:ascii="华文中宋" w:hAnsi="华文中宋" w:eastAsia="华文中宋"/>
          <w:szCs w:val="21"/>
        </w:rPr>
        <w:t>%的违约金，逾期付款超过</w:t>
      </w:r>
      <w:r>
        <w:rPr>
          <w:rFonts w:hint="eastAsia" w:ascii="华文中宋" w:hAnsi="华文中宋" w:eastAsia="华文中宋"/>
          <w:szCs w:val="21"/>
          <w:u w:val="single"/>
        </w:rPr>
        <w:t xml:space="preserve">     </w:t>
      </w:r>
      <w:r>
        <w:rPr>
          <w:rFonts w:hint="eastAsia" w:ascii="华文中宋" w:hAnsi="华文中宋" w:eastAsia="华文中宋"/>
          <w:szCs w:val="21"/>
        </w:rPr>
        <w:t>日，供方有权解除合同，届时需方向供方退还已收到的货物，并赔偿由此给供方造成的全部经济损失。</w:t>
      </w:r>
    </w:p>
    <w:p w14:paraId="654C635F">
      <w:pPr>
        <w:spacing w:line="360" w:lineRule="auto"/>
        <w:rPr>
          <w:rFonts w:ascii="华文中宋" w:hAnsi="华文中宋" w:eastAsia="华文中宋"/>
          <w:szCs w:val="21"/>
        </w:rPr>
      </w:pPr>
      <w:r>
        <w:rPr>
          <w:rFonts w:hint="eastAsia" w:ascii="华文中宋" w:hAnsi="华文中宋" w:eastAsia="华文中宋"/>
          <w:szCs w:val="21"/>
        </w:rPr>
        <w:t>2、供方所交的货物（服务）品种、型号、规格、质量不符合合同规定标准，需方有权拒收。同时，供方向需方支付合同款总额</w:t>
      </w:r>
      <w:r>
        <w:rPr>
          <w:rFonts w:hint="eastAsia" w:ascii="华文中宋" w:hAnsi="华文中宋" w:eastAsia="华文中宋"/>
          <w:szCs w:val="21"/>
          <w:u w:val="single"/>
        </w:rPr>
        <w:t xml:space="preserve">        </w:t>
      </w:r>
      <w:r>
        <w:rPr>
          <w:rFonts w:hint="eastAsia" w:ascii="华文中宋" w:hAnsi="华文中宋" w:eastAsia="华文中宋"/>
          <w:szCs w:val="21"/>
        </w:rPr>
        <w:t>%的违约金。</w:t>
      </w:r>
    </w:p>
    <w:p w14:paraId="6FBAFA94">
      <w:pPr>
        <w:spacing w:line="360" w:lineRule="auto"/>
        <w:rPr>
          <w:rFonts w:ascii="华文中宋" w:hAnsi="华文中宋" w:eastAsia="华文中宋"/>
          <w:szCs w:val="21"/>
        </w:rPr>
      </w:pPr>
      <w:r>
        <w:rPr>
          <w:rFonts w:hint="eastAsia" w:ascii="华文中宋" w:hAnsi="华文中宋" w:eastAsia="华文中宋"/>
          <w:szCs w:val="21"/>
        </w:rPr>
        <w:t>3、供方不能交付货物或提供服务时，供方向需方偿付合同款总额</w:t>
      </w:r>
      <w:r>
        <w:rPr>
          <w:rFonts w:hint="eastAsia" w:ascii="华文中宋" w:hAnsi="华文中宋" w:eastAsia="华文中宋"/>
          <w:szCs w:val="21"/>
          <w:u w:val="single"/>
        </w:rPr>
        <w:t xml:space="preserve">        </w:t>
      </w:r>
      <w:r>
        <w:rPr>
          <w:rFonts w:hint="eastAsia" w:ascii="华文中宋" w:hAnsi="华文中宋" w:eastAsia="华文中宋"/>
          <w:szCs w:val="21"/>
        </w:rPr>
        <w:t>的违约金。</w:t>
      </w:r>
    </w:p>
    <w:p w14:paraId="104D2EA8">
      <w:pPr>
        <w:spacing w:line="360" w:lineRule="auto"/>
        <w:rPr>
          <w:rFonts w:ascii="华文中宋" w:hAnsi="华文中宋" w:eastAsia="华文中宋"/>
          <w:szCs w:val="21"/>
        </w:rPr>
      </w:pPr>
      <w:r>
        <w:rPr>
          <w:rFonts w:hint="eastAsia" w:ascii="华文中宋" w:hAnsi="华文中宋" w:eastAsia="华文中宋"/>
          <w:szCs w:val="21"/>
        </w:rPr>
        <w:t>4、供方逾期交付货物（服务）时，每逾1日供方向需方偿付合同款总额</w:t>
      </w:r>
      <w:r>
        <w:rPr>
          <w:rFonts w:hint="eastAsia" w:ascii="华文中宋" w:hAnsi="华文中宋" w:eastAsia="华文中宋"/>
          <w:szCs w:val="21"/>
          <w:u w:val="single"/>
        </w:rPr>
        <w:t xml:space="preserve">        </w:t>
      </w:r>
      <w:r>
        <w:rPr>
          <w:rFonts w:hint="eastAsia" w:ascii="华文中宋" w:hAnsi="华文中宋" w:eastAsia="华文中宋"/>
          <w:szCs w:val="21"/>
        </w:rPr>
        <w:t>的滞纳金。逾期交货超过 30天后，需方有权决定是否继续履行合同。</w:t>
      </w:r>
    </w:p>
    <w:p w14:paraId="1E69A521">
      <w:pPr>
        <w:spacing w:line="360" w:lineRule="auto"/>
        <w:rPr>
          <w:rFonts w:ascii="华文中宋" w:hAnsi="华文中宋" w:eastAsia="华文中宋"/>
          <w:szCs w:val="21"/>
        </w:rPr>
      </w:pPr>
      <w:r>
        <w:rPr>
          <w:rFonts w:hint="eastAsia" w:ascii="华文中宋" w:hAnsi="华文中宋" w:eastAsia="华文中宋"/>
          <w:szCs w:val="21"/>
        </w:rPr>
        <w:t>5、因需方错告或变更到货地点而给供方造成的损失，由需方负担。</w:t>
      </w:r>
    </w:p>
    <w:p w14:paraId="004FEA62">
      <w:pPr>
        <w:spacing w:line="360" w:lineRule="auto"/>
        <w:rPr>
          <w:rFonts w:ascii="华文中宋" w:hAnsi="华文中宋" w:eastAsia="华文中宋"/>
          <w:szCs w:val="21"/>
        </w:rPr>
      </w:pPr>
      <w:r>
        <w:rPr>
          <w:rFonts w:hint="eastAsia" w:ascii="华文中宋" w:hAnsi="华文中宋" w:eastAsia="华文中宋"/>
          <w:szCs w:val="21"/>
        </w:rPr>
        <w:t>6、因需方原因导致合同变更、中止或者终止政府釆购合同的，需方应当对供方受到的损失予以赔偿或者补供，贴偿或者补偿金额：</w:t>
      </w:r>
      <w:r>
        <w:rPr>
          <w:rFonts w:hint="eastAsia" w:ascii="华文中宋" w:hAnsi="华文中宋" w:eastAsia="华文中宋"/>
          <w:szCs w:val="21"/>
          <w:u w:val="single"/>
        </w:rPr>
        <w:t xml:space="preserve">          </w:t>
      </w:r>
      <w:r>
        <w:rPr>
          <w:rFonts w:hint="eastAsia" w:ascii="华文中宋" w:hAnsi="华文中宋" w:eastAsia="华文中宋"/>
          <w:szCs w:val="21"/>
        </w:rPr>
        <w:t>。</w:t>
      </w:r>
    </w:p>
    <w:p w14:paraId="1EF43A55">
      <w:pPr>
        <w:spacing w:line="360" w:lineRule="auto"/>
        <w:rPr>
          <w:rFonts w:ascii="华文中宋" w:hAnsi="华文中宋" w:eastAsia="华文中宋"/>
          <w:b/>
          <w:szCs w:val="21"/>
        </w:rPr>
      </w:pPr>
      <w:r>
        <w:rPr>
          <w:rFonts w:hint="eastAsia" w:ascii="华文中宋" w:hAnsi="华文中宋" w:eastAsia="华文中宋" w:cs="宋体"/>
          <w:b/>
          <w:szCs w:val="21"/>
        </w:rPr>
        <w:t>十、不可抗力</w:t>
      </w:r>
    </w:p>
    <w:p w14:paraId="56FCEFF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582BCEBD">
      <w:pPr>
        <w:spacing w:line="360" w:lineRule="auto"/>
        <w:rPr>
          <w:rFonts w:ascii="华文中宋" w:hAnsi="华文中宋" w:eastAsia="华文中宋"/>
          <w:b/>
          <w:szCs w:val="21"/>
        </w:rPr>
      </w:pPr>
      <w:r>
        <w:rPr>
          <w:rFonts w:hint="eastAsia" w:ascii="华文中宋" w:hAnsi="华文中宋" w:eastAsia="华文中宋" w:cs="宋体"/>
          <w:b/>
          <w:szCs w:val="21"/>
        </w:rPr>
        <w:t>十一、争议解决</w:t>
      </w:r>
    </w:p>
    <w:p w14:paraId="3A5B93BD">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48E39D2D">
      <w:pPr>
        <w:spacing w:line="360" w:lineRule="auto"/>
        <w:rPr>
          <w:rFonts w:ascii="华文中宋" w:hAnsi="华文中宋" w:eastAsia="华文中宋"/>
          <w:b/>
          <w:szCs w:val="21"/>
        </w:rPr>
      </w:pPr>
      <w:r>
        <w:rPr>
          <w:rFonts w:hint="eastAsia" w:ascii="华文中宋" w:hAnsi="华文中宋" w:eastAsia="华文中宋" w:cs="宋体"/>
          <w:b/>
          <w:szCs w:val="21"/>
        </w:rPr>
        <w:t>十二、合同生效及其他</w:t>
      </w:r>
    </w:p>
    <w:p w14:paraId="1F6640E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1、合同由供、需双方法定代表人或授权代表签字并加盖公章或合同专用章之日起生效</w:t>
      </w:r>
      <w:r>
        <w:rPr>
          <w:rFonts w:hint="eastAsia" w:ascii="华文中宋" w:hAnsi="华文中宋" w:eastAsia="华文中宋"/>
          <w:szCs w:val="21"/>
        </w:rPr>
        <w:t>。</w:t>
      </w:r>
    </w:p>
    <w:p w14:paraId="0B5B6B25">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、本合同一式</w:t>
      </w:r>
      <w:r>
        <w:rPr>
          <w:rFonts w:hint="eastAsia" w:ascii="华文中宋" w:hAnsi="华文中宋" w:eastAsia="华文中宋" w:cs="宋体"/>
          <w:szCs w:val="21"/>
          <w:u w:val="single"/>
        </w:rPr>
        <w:t xml:space="preserve">  </w:t>
      </w:r>
      <w:r>
        <w:rPr>
          <w:rFonts w:hint="eastAsia" w:ascii="华文中宋" w:hAnsi="华文中宋" w:eastAsia="华文中宋" w:cs="宋体"/>
          <w:szCs w:val="21"/>
        </w:rPr>
        <w:t>份，双方各执</w:t>
      </w:r>
      <w:r>
        <w:rPr>
          <w:rFonts w:hint="eastAsia" w:ascii="华文中宋" w:hAnsi="华文中宋" w:eastAsia="华文中宋" w:cs="宋体"/>
          <w:szCs w:val="21"/>
          <w:u w:val="single"/>
        </w:rPr>
        <w:t xml:space="preserve">  </w:t>
      </w:r>
      <w:r>
        <w:rPr>
          <w:rFonts w:hint="eastAsia" w:ascii="华文中宋" w:hAnsi="华文中宋" w:eastAsia="华文中宋" w:cs="宋体"/>
          <w:szCs w:val="21"/>
        </w:rPr>
        <w:t>份。</w:t>
      </w:r>
    </w:p>
    <w:p w14:paraId="07CC2163">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4D9E80A6">
      <w:pPr>
        <w:spacing w:line="360" w:lineRule="auto"/>
        <w:rPr>
          <w:rFonts w:ascii="华文中宋" w:hAnsi="华文中宋" w:eastAsia="华文中宋"/>
          <w:b/>
          <w:szCs w:val="21"/>
        </w:rPr>
      </w:pPr>
      <w:r>
        <w:rPr>
          <w:rFonts w:hint="eastAsia" w:ascii="华文中宋" w:hAnsi="华文中宋" w:eastAsia="华文中宋" w:cs="宋体"/>
          <w:b/>
          <w:szCs w:val="21"/>
        </w:rPr>
        <w:t>十三、下列文件为本合同不可分割部分</w:t>
      </w:r>
    </w:p>
    <w:p w14:paraId="62E8D06A">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cs="宋体"/>
          <w:szCs w:val="21"/>
        </w:rPr>
        <w:t>、招标文件（含澄清或修改文件）</w:t>
      </w:r>
    </w:p>
    <w:p w14:paraId="6910D1D0">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cs="宋体"/>
          <w:szCs w:val="21"/>
        </w:rPr>
        <w:t>、投标文件（含澄清或说明文件）</w:t>
      </w:r>
    </w:p>
    <w:p w14:paraId="0385353B">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cs="宋体"/>
          <w:szCs w:val="21"/>
        </w:rPr>
        <w:t>、投标人所做的其他承诺</w:t>
      </w:r>
    </w:p>
    <w:p w14:paraId="4C369160">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cs="宋体"/>
          <w:szCs w:val="21"/>
        </w:rPr>
        <w:t>、项目验收标准、程序</w:t>
      </w:r>
    </w:p>
    <w:bookmarkEnd w:id="80"/>
    <w:bookmarkEnd w:id="81"/>
    <w:bookmarkEnd w:id="82"/>
    <w:bookmarkEnd w:id="83"/>
    <w:p w14:paraId="0AB892F1">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2F1262D6">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3606EDE1">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w:t>
      </w:r>
      <w:r>
        <w:rPr>
          <w:rFonts w:hint="eastAsia"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5FA7FB97">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2568BF69">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72E3B863">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w:t>
      </w:r>
      <w:r>
        <w:rPr>
          <w:rFonts w:hint="eastAsia"/>
        </w:rPr>
        <w:t xml:space="preserve">                                      </w:t>
      </w:r>
      <w:r>
        <w:rPr>
          <w:rFonts w:hint="eastAsia" w:ascii="华文中宋" w:hAnsi="华文中宋" w:eastAsia="华文中宋"/>
          <w:szCs w:val="21"/>
        </w:rPr>
        <w:t>开户银行:</w:t>
      </w:r>
    </w:p>
    <w:p w14:paraId="18411236">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59C0CA47">
      <w:pPr>
        <w:spacing w:line="360" w:lineRule="auto"/>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246EC46F">
      <w:pPr>
        <w:spacing w:line="360" w:lineRule="auto"/>
        <w:rPr>
          <w:rFonts w:ascii="华文中宋" w:hAnsi="华文中宋" w:eastAsia="华文中宋" w:cs="宋体"/>
          <w:szCs w:val="21"/>
        </w:rPr>
      </w:pPr>
      <w:r>
        <w:rPr>
          <w:rFonts w:hint="eastAsia" w:ascii="华文中宋" w:hAnsi="华文中宋" w:eastAsia="华文中宋" w:cs="宋体"/>
          <w:szCs w:val="21"/>
        </w:rPr>
        <w:t>日期：    年  月    日</w:t>
      </w:r>
    </w:p>
    <w:p w14:paraId="4078918B">
      <w:pPr>
        <w:pStyle w:val="18"/>
      </w:pPr>
    </w:p>
    <w:p w14:paraId="2FC666DF">
      <w:pPr>
        <w:pStyle w:val="18"/>
        <w:rPr>
          <w:rFonts w:ascii="华文中宋" w:hAnsi="华文中宋" w:eastAsia="华文中宋" w:cs="宋体"/>
          <w:szCs w:val="21"/>
        </w:rPr>
      </w:pPr>
      <w:r>
        <w:rPr>
          <w:rFonts w:hint="eastAsia" w:ascii="华文中宋" w:hAnsi="华文中宋" w:eastAsia="华文中宋" w:cs="宋体"/>
          <w:szCs w:val="21"/>
        </w:rPr>
        <w:t>附：“政采智贷”告知事项</w:t>
      </w:r>
    </w:p>
    <w:p w14:paraId="43F4EF0B">
      <w:pPr>
        <w:pStyle w:val="18"/>
        <w:rPr>
          <w:rFonts w:ascii="华文中宋" w:hAnsi="华文中宋" w:eastAsia="华文中宋" w:cs="宋体"/>
          <w:szCs w:val="21"/>
        </w:rPr>
      </w:pPr>
      <w:r>
        <w:rPr>
          <w:rFonts w:hint="eastAsia" w:ascii="华文中宋" w:hAnsi="华文中宋" w:eastAsia="华文中宋" w:cs="宋体"/>
          <w:szCs w:val="21"/>
        </w:rPr>
        <w:t xml:space="preserve">       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p w14:paraId="39225805"/>
    <w:p w14:paraId="712F92CB"/>
    <w:p w14:paraId="16427FE6">
      <w:pPr>
        <w:pStyle w:val="47"/>
      </w:pPr>
    </w:p>
    <w:p w14:paraId="3E763394">
      <w:pPr>
        <w:pStyle w:val="47"/>
      </w:pPr>
    </w:p>
    <w:p w14:paraId="3C67B0B6">
      <w:pPr>
        <w:pStyle w:val="47"/>
      </w:pPr>
    </w:p>
    <w:p w14:paraId="4CBFD87E">
      <w:pPr>
        <w:pStyle w:val="33"/>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88" w:name="_Toc26881705"/>
      <w:bookmarkStart w:id="89" w:name="_Toc4492"/>
      <w:r>
        <w:rPr>
          <w:rFonts w:hint="eastAsia" w:ascii="华文中宋" w:hAnsi="华文中宋" w:eastAsia="华文中宋" w:cs="华文中宋"/>
          <w:b/>
          <w:spacing w:val="20"/>
          <w:kern w:val="44"/>
          <w:sz w:val="28"/>
          <w:szCs w:val="28"/>
        </w:rPr>
        <w:t>第八部分 投标文件内容要求及格式</w:t>
      </w:r>
      <w:bookmarkEnd w:id="88"/>
      <w:bookmarkEnd w:id="89"/>
    </w:p>
    <w:p w14:paraId="6586F455">
      <w:pPr>
        <w:spacing w:line="480" w:lineRule="exact"/>
        <w:ind w:firstLine="434"/>
        <w:rPr>
          <w:rFonts w:ascii="华文中宋" w:hAnsi="华文中宋" w:eastAsia="华文中宋" w:cs="华文中宋"/>
          <w:b/>
          <w:szCs w:val="21"/>
        </w:rPr>
      </w:pPr>
      <w:bookmarkStart w:id="90" w:name="_Toc326248014"/>
      <w:bookmarkStart w:id="91" w:name="_Toc175644062"/>
      <w:bookmarkStart w:id="92" w:name="_Toc86202633"/>
    </w:p>
    <w:p w14:paraId="0C49DDBF">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投标人提交文件须知</w:t>
      </w:r>
      <w:bookmarkEnd w:id="90"/>
      <w:bookmarkEnd w:id="91"/>
      <w:bookmarkEnd w:id="92"/>
    </w:p>
    <w:p w14:paraId="304C4C11">
      <w:pPr>
        <w:spacing w:line="480" w:lineRule="exact"/>
        <w:ind w:firstLine="434"/>
        <w:rPr>
          <w:rFonts w:ascii="华文中宋" w:hAnsi="华文中宋" w:eastAsia="华文中宋" w:cs="华文中宋"/>
          <w:szCs w:val="21"/>
        </w:rPr>
      </w:pPr>
      <w:r>
        <w:rPr>
          <w:rFonts w:hint="eastAsia" w:ascii="华文中宋" w:hAnsi="华文中宋" w:eastAsia="华文中宋" w:cs="华文中宋"/>
          <w:szCs w:val="21"/>
        </w:rPr>
        <w:t>1、投标人按照本部分</w:t>
      </w:r>
      <w:r>
        <w:rPr>
          <w:rFonts w:hint="eastAsia" w:ascii="华文中宋" w:hAnsi="华文中宋" w:eastAsia="华文中宋"/>
          <w:szCs w:val="21"/>
        </w:rPr>
        <w:t>的</w:t>
      </w:r>
      <w:r>
        <w:rPr>
          <w:rFonts w:hint="eastAsia" w:ascii="华文中宋" w:hAnsi="华文中宋" w:eastAsia="华文中宋" w:cs="华文中宋"/>
          <w:szCs w:val="21"/>
        </w:rPr>
        <w:t>顺序编排投标文件（资格证明文件）、投标文件（商务技术文件），编排中涉及</w:t>
      </w:r>
      <w:r>
        <w:rPr>
          <w:rFonts w:hint="eastAsia" w:ascii="华文中宋" w:hAnsi="华文中宋" w:eastAsia="华文中宋"/>
          <w:szCs w:val="21"/>
        </w:rPr>
        <w:t>格式资料</w:t>
      </w:r>
      <w:r>
        <w:rPr>
          <w:rFonts w:hint="eastAsia" w:ascii="华文中宋" w:hAnsi="华文中宋" w:eastAsia="华文中宋" w:cs="华文中宋"/>
          <w:szCs w:val="21"/>
        </w:rPr>
        <w:t>的，应按照本部分提供的内容和格式（所有表格的格式可扩展）填写提交。</w:t>
      </w:r>
    </w:p>
    <w:p w14:paraId="5E60BE1E">
      <w:pPr>
        <w:spacing w:line="480" w:lineRule="exact"/>
        <w:ind w:firstLine="434"/>
        <w:rPr>
          <w:rFonts w:ascii="华文中宋" w:hAnsi="华文中宋" w:eastAsia="华文中宋" w:cs="华文中宋"/>
          <w:szCs w:val="21"/>
        </w:rPr>
      </w:pPr>
      <w:r>
        <w:rPr>
          <w:rFonts w:hint="eastAsia" w:ascii="华文中宋" w:hAnsi="华文中宋" w:eastAsia="华文中宋" w:cs="华文中宋"/>
          <w:szCs w:val="21"/>
        </w:rPr>
        <w:t>2、全部声明和问题的回答及所附材料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26A3C740">
      <w:pPr>
        <w:pStyle w:val="3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3、按招标文件要求“格式”提供的材料，如有调整，内容及签署必须完整、有效，且没有本文件不可接受的条件。</w:t>
      </w:r>
    </w:p>
    <w:p w14:paraId="1AD1FA01">
      <w:pPr>
        <w:rPr>
          <w:rFonts w:ascii="华文中宋" w:hAnsi="华文中宋" w:eastAsia="华文中宋" w:cs="华文中宋"/>
          <w:b/>
          <w:spacing w:val="20"/>
        </w:rPr>
      </w:pPr>
      <w:r>
        <w:rPr>
          <w:rFonts w:hint="eastAsia" w:ascii="华文中宋" w:hAnsi="华文中宋" w:eastAsia="华文中宋"/>
          <w:b/>
          <w:spacing w:val="20"/>
        </w:rPr>
        <w:br w:type="page"/>
      </w:r>
    </w:p>
    <w:p w14:paraId="3CABE136">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5919939E">
      <w:pPr>
        <w:rPr>
          <w:rFonts w:ascii="华文中宋" w:hAnsi="华文中宋" w:eastAsia="华文中宋" w:cs="华文中宋"/>
          <w:b/>
          <w:spacing w:val="20"/>
          <w:szCs w:val="21"/>
        </w:rPr>
      </w:pPr>
    </w:p>
    <w:p w14:paraId="642D26FD">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73806D0E">
      <w:pPr>
        <w:jc w:val="center"/>
        <w:rPr>
          <w:rFonts w:ascii="华文中宋" w:hAnsi="华文中宋" w:eastAsia="华文中宋" w:cs="华文中宋"/>
          <w:szCs w:val="21"/>
        </w:rPr>
      </w:pPr>
    </w:p>
    <w:p w14:paraId="559E9CA1">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6547D30A">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07990934">
      <w:pPr>
        <w:ind w:firstLine="540" w:firstLineChars="150"/>
        <w:rPr>
          <w:rFonts w:ascii="华文中宋" w:hAnsi="华文中宋" w:eastAsia="华文中宋" w:cs="华文中宋"/>
          <w:b/>
          <w:spacing w:val="20"/>
          <w:sz w:val="32"/>
          <w:szCs w:val="32"/>
        </w:rPr>
      </w:pPr>
    </w:p>
    <w:p w14:paraId="398D56F4">
      <w:pPr>
        <w:ind w:firstLine="540" w:firstLineChars="150"/>
        <w:rPr>
          <w:rFonts w:ascii="华文中宋" w:hAnsi="华文中宋" w:eastAsia="华文中宋" w:cs="华文中宋"/>
          <w:b/>
          <w:spacing w:val="20"/>
          <w:sz w:val="32"/>
          <w:szCs w:val="32"/>
        </w:rPr>
      </w:pPr>
    </w:p>
    <w:p w14:paraId="1E43F8FB">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p>
    <w:p w14:paraId="5210B529">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AA8F019">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69224384">
      <w:pPr>
        <w:ind w:firstLine="540" w:firstLineChars="150"/>
        <w:rPr>
          <w:rFonts w:ascii="华文中宋" w:hAnsi="华文中宋" w:eastAsia="华文中宋" w:cs="华文中宋"/>
          <w:b/>
          <w:spacing w:val="20"/>
          <w:sz w:val="32"/>
          <w:szCs w:val="32"/>
        </w:rPr>
      </w:pPr>
    </w:p>
    <w:p w14:paraId="60E66AAB">
      <w:pPr>
        <w:jc w:val="center"/>
        <w:rPr>
          <w:rFonts w:ascii="华文中宋" w:hAnsi="华文中宋" w:eastAsia="华文中宋" w:cs="华文中宋"/>
          <w:b/>
          <w:sz w:val="32"/>
          <w:szCs w:val="32"/>
        </w:rPr>
      </w:pPr>
    </w:p>
    <w:p w14:paraId="5ED7648E">
      <w:pPr>
        <w:jc w:val="center"/>
        <w:rPr>
          <w:rFonts w:ascii="华文中宋" w:hAnsi="华文中宋" w:eastAsia="华文中宋" w:cs="华文中宋"/>
          <w:b/>
          <w:sz w:val="32"/>
          <w:szCs w:val="32"/>
        </w:rPr>
      </w:pPr>
    </w:p>
    <w:p w14:paraId="7B620782">
      <w:pPr>
        <w:jc w:val="center"/>
        <w:rPr>
          <w:rFonts w:ascii="华文中宋" w:hAnsi="华文中宋" w:eastAsia="华文中宋" w:cs="华文中宋"/>
          <w:b/>
          <w:sz w:val="32"/>
          <w:szCs w:val="32"/>
        </w:rPr>
      </w:pPr>
    </w:p>
    <w:p w14:paraId="40E18198">
      <w:pPr>
        <w:jc w:val="center"/>
        <w:rPr>
          <w:rFonts w:ascii="华文中宋" w:hAnsi="华文中宋" w:eastAsia="华文中宋" w:cs="华文中宋"/>
          <w:b/>
          <w:spacing w:val="20"/>
          <w:sz w:val="32"/>
          <w:szCs w:val="32"/>
        </w:rPr>
      </w:pPr>
    </w:p>
    <w:p w14:paraId="3FA887C9">
      <w:pPr>
        <w:jc w:val="center"/>
        <w:rPr>
          <w:rFonts w:ascii="华文中宋" w:hAnsi="华文中宋" w:eastAsia="华文中宋" w:cs="华文中宋"/>
          <w:b/>
          <w:spacing w:val="20"/>
          <w:sz w:val="32"/>
          <w:szCs w:val="32"/>
        </w:rPr>
      </w:pPr>
    </w:p>
    <w:p w14:paraId="5C9297FD">
      <w:pPr>
        <w:jc w:val="center"/>
        <w:rPr>
          <w:rFonts w:ascii="华文中宋" w:hAnsi="华文中宋" w:eastAsia="华文中宋" w:cs="华文中宋"/>
          <w:b/>
          <w:spacing w:val="20"/>
          <w:sz w:val="32"/>
          <w:szCs w:val="32"/>
        </w:rPr>
      </w:pPr>
    </w:p>
    <w:p w14:paraId="18C509BE">
      <w:pPr>
        <w:spacing w:line="360" w:lineRule="auto"/>
        <w:ind w:firstLine="2702" w:firstLineChars="75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p>
    <w:p w14:paraId="725D54EE">
      <w:pPr>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（加盖</w:t>
      </w:r>
      <w:r>
        <w:rPr>
          <w:rFonts w:hint="eastAsia" w:ascii="华文中宋" w:hAnsi="华文中宋" w:eastAsia="华文中宋"/>
          <w:b/>
          <w:spacing w:val="20"/>
          <w:sz w:val="32"/>
          <w:szCs w:val="32"/>
        </w:rPr>
        <w:t>电子公章</w:t>
      </w:r>
      <w:r>
        <w:rPr>
          <w:rFonts w:hint="eastAsia" w:ascii="华文中宋" w:hAnsi="华文中宋" w:eastAsia="华文中宋" w:cs="华文中宋"/>
          <w:b/>
          <w:spacing w:val="20"/>
          <w:sz w:val="32"/>
          <w:szCs w:val="32"/>
        </w:rPr>
        <w:t>）</w:t>
      </w:r>
    </w:p>
    <w:p w14:paraId="3FA11DD0">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0EB1CF05">
      <w:pPr>
        <w:rPr>
          <w:rFonts w:ascii="华文中宋" w:hAnsi="华文中宋" w:eastAsia="华文中宋" w:cs="华文中宋"/>
          <w:b/>
          <w:spacing w:val="20"/>
          <w:sz w:val="32"/>
          <w:szCs w:val="32"/>
        </w:rPr>
      </w:pPr>
      <w:r>
        <w:rPr>
          <w:rFonts w:hint="eastAsia" w:ascii="华文中宋" w:hAnsi="华文中宋" w:eastAsia="华文中宋"/>
          <w:b/>
          <w:spacing w:val="20"/>
          <w:sz w:val="32"/>
          <w:szCs w:val="32"/>
        </w:rPr>
        <w:br w:type="page"/>
      </w:r>
    </w:p>
    <w:p w14:paraId="5BE4A5D6">
      <w:pPr>
        <w:rPr>
          <w:rFonts w:ascii="华文中宋" w:hAnsi="华文中宋" w:eastAsia="华文中宋" w:cs="华文中宋"/>
          <w:b/>
        </w:rPr>
      </w:pPr>
    </w:p>
    <w:p w14:paraId="48554323">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591F85D9">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6F2AE428">
      <w:pPr>
        <w:pStyle w:val="33"/>
        <w:widowControl w:val="0"/>
        <w:snapToGrid w:val="0"/>
        <w:spacing w:before="0" w:beforeAutospacing="0" w:after="0" w:afterAutospacing="0" w:line="560" w:lineRule="exact"/>
        <w:jc w:val="both"/>
        <w:rPr>
          <w:rFonts w:ascii="华文中宋" w:hAnsi="华文中宋" w:eastAsia="华文中宋" w:cs="华文中宋"/>
        </w:rPr>
      </w:pPr>
      <w:r>
        <w:rPr>
          <w:rFonts w:hint="eastAsia" w:ascii="华文中宋" w:hAnsi="华文中宋" w:eastAsia="华文中宋" w:cs="华文中宋"/>
          <w:sz w:val="21"/>
          <w:szCs w:val="21"/>
        </w:rPr>
        <w:t>一、具有独立承担民事责任的能力…………………………………………………</w:t>
      </w:r>
    </w:p>
    <w:p w14:paraId="4C20C2F0">
      <w:pPr>
        <w:pStyle w:val="33"/>
        <w:widowControl w:val="0"/>
        <w:snapToGrid w:val="0"/>
        <w:spacing w:before="0" w:beforeAutospacing="0" w:after="0" w:afterAutospacing="0" w:line="560" w:lineRule="exact"/>
        <w:jc w:val="both"/>
        <w:rPr>
          <w:rFonts w:ascii="华文中宋" w:hAnsi="华文中宋" w:eastAsia="华文中宋" w:cs="华文中宋"/>
        </w:rPr>
      </w:pPr>
      <w:r>
        <w:rPr>
          <w:rFonts w:hint="eastAsia" w:ascii="华文中宋" w:hAnsi="华文中宋" w:eastAsia="华文中宋" w:cs="华文中宋"/>
          <w:sz w:val="21"/>
          <w:szCs w:val="21"/>
        </w:rPr>
        <w:t>二、长治市政府采购供应商信用承诺函……………………………………………</w:t>
      </w:r>
    </w:p>
    <w:p w14:paraId="0223B698">
      <w:pPr>
        <w:spacing w:line="560" w:lineRule="exact"/>
        <w:rPr>
          <w:rFonts w:ascii="华文中宋" w:hAnsi="华文中宋" w:eastAsia="华文中宋" w:cs="华文中宋"/>
          <w:kern w:val="0"/>
        </w:rPr>
      </w:pPr>
      <w:r>
        <w:rPr>
          <w:rFonts w:hint="eastAsia" w:ascii="华文中宋" w:hAnsi="华文中宋" w:eastAsia="华文中宋" w:cs="华文中宋"/>
          <w:kern w:val="0"/>
        </w:rPr>
        <w:t>三、本项目其他</w:t>
      </w:r>
      <w:r>
        <w:rPr>
          <w:rFonts w:hint="eastAsia" w:ascii="华文中宋" w:hAnsi="华文中宋" w:eastAsia="华文中宋" w:cs="华文中宋"/>
        </w:rPr>
        <w:t>特定资格条件（若涉及）</w:t>
      </w:r>
      <w:r>
        <w:rPr>
          <w:rFonts w:hint="eastAsia" w:ascii="华文中宋" w:hAnsi="华文中宋" w:eastAsia="华文中宋" w:cs="华文中宋"/>
          <w:kern w:val="0"/>
        </w:rPr>
        <w:t>…………………………………………</w:t>
      </w:r>
    </w:p>
    <w:p w14:paraId="1C990915">
      <w:pPr>
        <w:spacing w:line="560" w:lineRule="exact"/>
        <w:rPr>
          <w:rFonts w:ascii="华文中宋" w:hAnsi="华文中宋" w:eastAsia="华文中宋"/>
          <w:szCs w:val="21"/>
        </w:rPr>
      </w:pPr>
      <w:r>
        <w:rPr>
          <w:rFonts w:hint="eastAsia" w:ascii="华文中宋" w:hAnsi="华文中宋" w:eastAsia="华文中宋" w:cs="华文中宋"/>
        </w:rPr>
        <w:t>四、投标保证金的交纳情况及开户许可证（若涉及）</w:t>
      </w:r>
      <w:r>
        <w:rPr>
          <w:rFonts w:hint="eastAsia" w:ascii="华文中宋" w:hAnsi="华文中宋" w:eastAsia="华文中宋" w:cs="华文中宋"/>
          <w:kern w:val="0"/>
        </w:rPr>
        <w:t>……………………………</w:t>
      </w:r>
    </w:p>
    <w:p w14:paraId="036F5BF6">
      <w:pPr>
        <w:spacing w:line="560" w:lineRule="exact"/>
        <w:rPr>
          <w:rFonts w:ascii="华文中宋" w:hAnsi="华文中宋" w:eastAsia="华文中宋" w:cs="华文中宋"/>
          <w:kern w:val="0"/>
        </w:rPr>
      </w:pPr>
      <w:r>
        <w:rPr>
          <w:rFonts w:hint="eastAsia" w:ascii="华文中宋" w:hAnsi="华文中宋" w:eastAsia="华文中宋" w:cs="华文中宋"/>
          <w:kern w:val="0"/>
        </w:rPr>
        <w:t>五、联合体投标注意事项及《联合投标协议书》（若涉及）……………………</w:t>
      </w:r>
    </w:p>
    <w:p w14:paraId="05ADAE1D">
      <w:pPr>
        <w:pStyle w:val="33"/>
        <w:widowControl w:val="0"/>
        <w:snapToGrid w:val="0"/>
        <w:spacing w:before="0" w:beforeAutospacing="0" w:after="0" w:afterAutospacing="0" w:line="560" w:lineRule="exact"/>
        <w:jc w:val="both"/>
        <w:rPr>
          <w:rFonts w:ascii="华文中宋" w:hAnsi="华文中宋" w:eastAsia="华文中宋" w:cs="华文中宋"/>
        </w:rPr>
      </w:pPr>
      <w:r>
        <w:rPr>
          <w:rFonts w:hint="eastAsia" w:ascii="华文中宋" w:hAnsi="华文中宋" w:eastAsia="华文中宋" w:cs="华文中宋"/>
          <w:sz w:val="21"/>
          <w:szCs w:val="21"/>
        </w:rPr>
        <w:t>说明：目录内容和排序按投标人须知前附表中投标人应提交的资格证明文件内容及顺序排列。</w:t>
      </w:r>
    </w:p>
    <w:p w14:paraId="42E3C55F">
      <w:pPr>
        <w:rPr>
          <w:rFonts w:ascii="华文中宋" w:hAnsi="华文中宋" w:eastAsia="华文中宋" w:cs="华文中宋"/>
          <w:b/>
          <w:szCs w:val="21"/>
        </w:rPr>
      </w:pPr>
    </w:p>
    <w:p w14:paraId="2EE0B592">
      <w:pPr>
        <w:snapToGrid w:val="0"/>
        <w:spacing w:line="460" w:lineRule="exact"/>
        <w:rPr>
          <w:rFonts w:ascii="华文中宋" w:hAnsi="华文中宋" w:eastAsia="华文中宋"/>
          <w:szCs w:val="21"/>
        </w:rPr>
      </w:pPr>
      <w:r>
        <w:rPr>
          <w:rFonts w:hint="eastAsia" w:ascii="华文仿宋" w:hAnsi="华文仿宋" w:eastAsia="华文仿宋"/>
          <w:b/>
          <w:sz w:val="30"/>
        </w:rPr>
        <w:br w:type="page"/>
      </w:r>
      <w:r>
        <w:rPr>
          <w:rFonts w:hint="eastAsia" w:ascii="华文中宋" w:hAnsi="华文中宋" w:eastAsia="华文中宋" w:cs="华文中宋"/>
          <w:b/>
          <w:kern w:val="0"/>
          <w:sz w:val="24"/>
        </w:rPr>
        <w:t>一、具有独立承担民事责任的能力</w:t>
      </w:r>
    </w:p>
    <w:p w14:paraId="3DDDCA2F">
      <w:pPr>
        <w:spacing w:line="46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提供投标人有效的营业执照，或事业单位法人证书，或自然人身份证明，或其他非企业组织证明独立承担民事责任能力的文件。</w:t>
      </w:r>
    </w:p>
    <w:p w14:paraId="7C77F0DC">
      <w:pPr>
        <w:spacing w:line="4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任意一项证明文件扫描件清晰，须加盖电子公章。</w:t>
      </w:r>
    </w:p>
    <w:p w14:paraId="13BC3198">
      <w:pPr>
        <w:spacing w:line="4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自然人或其他非企业组织参加投标的，提供电子签章。</w:t>
      </w:r>
    </w:p>
    <w:p w14:paraId="40BCF81C">
      <w:pPr>
        <w:jc w:val="left"/>
        <w:rPr>
          <w:rFonts w:ascii="华文中宋" w:hAnsi="华文中宋" w:eastAsia="华文中宋" w:cs="华文中宋"/>
          <w:b/>
          <w:kern w:val="0"/>
          <w:sz w:val="24"/>
        </w:rPr>
      </w:pPr>
      <w:r>
        <w:rPr>
          <w:rFonts w:hint="eastAsia" w:ascii="华文中宋" w:hAnsi="华文中宋" w:eastAsia="华文中宋" w:cs="华文中宋"/>
          <w:b/>
          <w:kern w:val="0"/>
          <w:sz w:val="24"/>
        </w:rPr>
        <w:t>二、长治市政府采购供应商信用承诺函（格式）</w:t>
      </w:r>
    </w:p>
    <w:p w14:paraId="28039C4B">
      <w:pPr>
        <w:jc w:val="center"/>
        <w:rPr>
          <w:rFonts w:ascii="黑体" w:hAnsi="黑体" w:eastAsia="黑体" w:cstheme="minorBidi"/>
          <w:sz w:val="36"/>
          <w:szCs w:val="36"/>
        </w:rPr>
      </w:pPr>
      <w:r>
        <w:rPr>
          <w:rFonts w:ascii="黑体" w:hAnsi="黑体" w:eastAsia="黑体" w:cstheme="minorBidi"/>
          <w:sz w:val="36"/>
          <w:szCs w:val="36"/>
        </w:rPr>
        <w:t>长治市政府采购供应商信用承诺函</w:t>
      </w:r>
    </w:p>
    <w:p w14:paraId="02F16DA0">
      <w:pPr>
        <w:jc w:val="center"/>
        <w:rPr>
          <w:rFonts w:asciiTheme="minorEastAsia" w:hAnsiTheme="minorEastAsia" w:eastAsiaTheme="minorEastAsia" w:cstheme="minorBidi"/>
          <w:sz w:val="24"/>
        </w:rPr>
      </w:pPr>
    </w:p>
    <w:p w14:paraId="2DCDEEF1">
      <w:pPr>
        <w:rPr>
          <w:rFonts w:asciiTheme="minorEastAsia" w:hAnsiTheme="minorEastAsia" w:eastAsiaTheme="minorEastAsia" w:cstheme="minorBidi"/>
          <w:sz w:val="24"/>
        </w:rPr>
      </w:pPr>
      <w:r>
        <w:rPr>
          <w:rFonts w:asciiTheme="minorEastAsia" w:hAnsiTheme="minorEastAsia" w:eastAsiaTheme="minorEastAsia" w:cstheme="minorBidi"/>
          <w:sz w:val="24"/>
        </w:rPr>
        <w:t>致</w:t>
      </w:r>
      <w:r>
        <w:rPr>
          <w:rFonts w:hint="eastAsia" w:asciiTheme="minorEastAsia" w:hAnsiTheme="minorEastAsia" w:eastAsiaTheme="minorEastAsia" w:cstheme="minorBidi"/>
          <w:sz w:val="24"/>
          <w:lang w:eastAsia="zh-CN"/>
        </w:rPr>
        <w:t>长治市上党区政府采购中心</w:t>
      </w:r>
      <w:r>
        <w:rPr>
          <w:rFonts w:asciiTheme="minorEastAsia" w:hAnsiTheme="minorEastAsia" w:eastAsiaTheme="minorEastAsia" w:cstheme="minorBidi"/>
          <w:sz w:val="24"/>
        </w:rPr>
        <w:t>：</w:t>
      </w:r>
    </w:p>
    <w:p w14:paraId="2ABFE2CC">
      <w:pPr>
        <w:ind w:firstLine="480" w:firstLineChars="200"/>
        <w:rPr>
          <w:rFonts w:asciiTheme="minorEastAsia" w:hAnsiTheme="minorEastAsia" w:eastAsiaTheme="minorEastAsia" w:cstheme="minorBidi"/>
          <w:sz w:val="24"/>
          <w:u w:val="single"/>
        </w:rPr>
      </w:pPr>
      <w:r>
        <w:rPr>
          <w:rFonts w:asciiTheme="minorEastAsia" w:hAnsiTheme="minorEastAsia" w:eastAsiaTheme="minorEastAsia" w:cstheme="minorBidi"/>
          <w:sz w:val="24"/>
        </w:rPr>
        <w:t>供应商名称（自然人姓名）：</w:t>
      </w:r>
      <w:r>
        <w:rPr>
          <w:rFonts w:hint="eastAsia" w:asciiTheme="minorEastAsia" w:hAnsiTheme="minorEastAsia" w:eastAsiaTheme="minorEastAsia" w:cstheme="minorBidi"/>
          <w:sz w:val="24"/>
          <w:u w:val="single"/>
        </w:rPr>
        <w:t xml:space="preserve">                                        </w:t>
      </w:r>
    </w:p>
    <w:p w14:paraId="75FB7B10">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统一社会信用代码（身份证号码）：</w:t>
      </w:r>
      <w:r>
        <w:rPr>
          <w:rFonts w:hint="eastAsia" w:asciiTheme="minorEastAsia" w:hAnsiTheme="minorEastAsia" w:eastAsiaTheme="minorEastAsia" w:cstheme="minorBidi"/>
          <w:sz w:val="24"/>
          <w:u w:val="single"/>
        </w:rPr>
        <w:t xml:space="preserve">                                  </w:t>
      </w:r>
    </w:p>
    <w:p w14:paraId="3A767CBD">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联系地址和电话：</w:t>
      </w:r>
      <w:r>
        <w:rPr>
          <w:rFonts w:hint="eastAsia" w:asciiTheme="minorEastAsia" w:hAnsiTheme="minorEastAsia" w:eastAsiaTheme="minorEastAsia" w:cstheme="minorBidi"/>
          <w:sz w:val="24"/>
          <w:u w:val="single"/>
        </w:rPr>
        <w:t xml:space="preserve">                                                 </w:t>
      </w:r>
    </w:p>
    <w:p w14:paraId="78391419">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为维护公平、公正、公开的政府采购市场秩序，树立诚实守信的政府采购供应商形象，本单位（本人）自愿作出以下承诺：</w:t>
      </w:r>
    </w:p>
    <w:p w14:paraId="02F19B18">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一、我单位（本人）自愿参加本次政府采购活动（项目名称：</w:t>
      </w:r>
      <w:r>
        <w:rPr>
          <w:rFonts w:hint="eastAsia" w:asciiTheme="minorEastAsia" w:hAnsiTheme="minorEastAsia" w:eastAsiaTheme="minorEastAsia" w:cstheme="minorBidi"/>
          <w:sz w:val="24"/>
          <w:u w:val="single"/>
        </w:rPr>
        <w:t xml:space="preserve">                                                        </w:t>
      </w:r>
      <w:r>
        <w:rPr>
          <w:rFonts w:asciiTheme="minorEastAsia" w:hAnsiTheme="minorEastAsia" w:eastAsiaTheme="minorEastAsia" w:cstheme="minorBidi"/>
          <w:sz w:val="24"/>
        </w:rPr>
        <w:t>，项目编号：</w:t>
      </w:r>
      <w:r>
        <w:rPr>
          <w:rFonts w:hint="eastAsia" w:asciiTheme="minorEastAsia" w:hAnsiTheme="minorEastAsia" w:eastAsiaTheme="minorEastAsia" w:cstheme="minorBidi"/>
          <w:sz w:val="24"/>
          <w:u w:val="single"/>
        </w:rPr>
        <w:t xml:space="preserve">                                   </w:t>
      </w:r>
      <w:r>
        <w:rPr>
          <w:rFonts w:asciiTheme="minorEastAsia" w:hAnsiTheme="minorEastAsia" w:eastAsiaTheme="minorEastAsia" w:cstheme="minorBidi"/>
          <w:sz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5B03B69A">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（一）具有独立承担民事责任的能力；</w:t>
      </w:r>
    </w:p>
    <w:p w14:paraId="5AD59273">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（二）具有良好的商业</w:t>
      </w:r>
      <w:r>
        <w:rPr>
          <w:rFonts w:hint="eastAsia" w:asciiTheme="minorEastAsia" w:hAnsiTheme="minorEastAsia" w:eastAsiaTheme="minorEastAsia" w:cstheme="minorBidi"/>
          <w:sz w:val="24"/>
        </w:rPr>
        <w:t>信誉</w:t>
      </w:r>
      <w:r>
        <w:rPr>
          <w:rFonts w:asciiTheme="minorEastAsia" w:hAnsiTheme="minorEastAsia" w:eastAsiaTheme="minorEastAsia" w:cstheme="minorBidi"/>
          <w:sz w:val="24"/>
        </w:rPr>
        <w:t>和健全的财务会计制度；</w:t>
      </w:r>
    </w:p>
    <w:p w14:paraId="18DBE1D2">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（三）具有履行合同所必需的设备和专业技术能力；</w:t>
      </w:r>
    </w:p>
    <w:p w14:paraId="267B8BF6">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（四）有依法缴纳税收和社会保障资金的良好记录；</w:t>
      </w:r>
    </w:p>
    <w:p w14:paraId="77A79455">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（五）参加政府采购活动前三年内，在经营活动中没有重大违法记录；</w:t>
      </w:r>
    </w:p>
    <w:p w14:paraId="2526D996">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（六）未被列入经营异常名录或者严重违法失信名单、失信被执行人、重大税收违法案件当事人名单、政府采购严重违法失信行为记录名单，信用中国网站不存在失信惩戒、重点关注和风险提示信息；</w:t>
      </w:r>
    </w:p>
    <w:p w14:paraId="477DAB0D">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（七）未被相关监管部门作出行政处罚且尚在处罚有效期内；</w:t>
      </w:r>
    </w:p>
    <w:p w14:paraId="31233D99">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（八）未曾作出虚假政府采购承诺；</w:t>
      </w:r>
    </w:p>
    <w:p w14:paraId="32465AD7">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（九）符合法律、行政法规规定的其他条件。</w:t>
      </w:r>
    </w:p>
    <w:p w14:paraId="3FACDFF5">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二、我单位（本人）保证上述承诺事项的真实性。如有弄虚作假或其他违法违规行为，自愿承担一切法律责任，接受政府采购监管部门和其他机关的审查和处罚。</w:t>
      </w:r>
    </w:p>
    <w:p w14:paraId="3999BB09">
      <w:pPr>
        <w:ind w:firstLine="480" w:firstLineChars="200"/>
        <w:rPr>
          <w:rFonts w:asciiTheme="minorEastAsia" w:hAnsiTheme="minorEastAsia" w:eastAsiaTheme="minorEastAsia" w:cstheme="minorBidi"/>
          <w:sz w:val="24"/>
        </w:rPr>
      </w:pPr>
    </w:p>
    <w:p w14:paraId="0681AF64">
      <w:pPr>
        <w:ind w:firstLine="480" w:firstLineChars="200"/>
        <w:rPr>
          <w:rFonts w:asciiTheme="minorEastAsia" w:hAnsiTheme="minorEastAsia" w:eastAsiaTheme="minorEastAsia" w:cstheme="minorBidi"/>
          <w:sz w:val="24"/>
        </w:rPr>
      </w:pPr>
    </w:p>
    <w:p w14:paraId="2EED554F">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供应商（电子</w:t>
      </w:r>
      <w:r>
        <w:rPr>
          <w:rFonts w:hint="eastAsia" w:asciiTheme="minorEastAsia" w:hAnsiTheme="minorEastAsia" w:eastAsiaTheme="minorEastAsia" w:cstheme="minorBidi"/>
          <w:sz w:val="24"/>
        </w:rPr>
        <w:t>公</w:t>
      </w:r>
      <w:r>
        <w:rPr>
          <w:rFonts w:asciiTheme="minorEastAsia" w:hAnsiTheme="minorEastAsia" w:eastAsiaTheme="minorEastAsia" w:cstheme="minorBidi"/>
          <w:sz w:val="24"/>
        </w:rPr>
        <w:t>章）：</w:t>
      </w:r>
    </w:p>
    <w:p w14:paraId="0A293739">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法定代表人</w:t>
      </w:r>
      <w:r>
        <w:rPr>
          <w:rFonts w:hint="eastAsia" w:asciiTheme="minorEastAsia" w:hAnsiTheme="minorEastAsia" w:eastAsiaTheme="minorEastAsia" w:cstheme="minorBidi"/>
          <w:sz w:val="24"/>
        </w:rPr>
        <w:t>（负责人）</w:t>
      </w:r>
      <w:r>
        <w:rPr>
          <w:rFonts w:asciiTheme="minorEastAsia" w:hAnsiTheme="minorEastAsia" w:eastAsiaTheme="minorEastAsia" w:cstheme="minorBidi"/>
          <w:sz w:val="24"/>
        </w:rPr>
        <w:t>或授权代表（签字或电子印章）：</w:t>
      </w:r>
    </w:p>
    <w:p w14:paraId="606BAFD3">
      <w:pPr>
        <w:ind w:firstLine="480" w:firstLineChars="200"/>
        <w:rPr>
          <w:rFonts w:asciiTheme="minorEastAsia" w:hAnsiTheme="minorEastAsia" w:eastAsiaTheme="minorEastAsia" w:cstheme="minorBidi"/>
          <w:sz w:val="24"/>
        </w:rPr>
      </w:pPr>
      <w:r>
        <w:rPr>
          <w:rFonts w:asciiTheme="minorEastAsia" w:hAnsiTheme="minorEastAsia" w:eastAsiaTheme="minorEastAsia" w:cstheme="minorBidi"/>
          <w:sz w:val="24"/>
        </w:rPr>
        <w:t>日期：</w:t>
      </w:r>
      <w:r>
        <w:rPr>
          <w:rFonts w:hint="eastAsia" w:asciiTheme="minorEastAsia" w:hAnsiTheme="minorEastAsia" w:eastAsiaTheme="minorEastAsia" w:cstheme="minorBidi"/>
          <w:sz w:val="24"/>
        </w:rPr>
        <w:t xml:space="preserve">    </w:t>
      </w:r>
      <w:r>
        <w:rPr>
          <w:rFonts w:asciiTheme="minorEastAsia" w:hAnsiTheme="minorEastAsia" w:eastAsiaTheme="minorEastAsia" w:cstheme="minorBidi"/>
          <w:sz w:val="24"/>
        </w:rPr>
        <w:t>年</w:t>
      </w:r>
      <w:r>
        <w:rPr>
          <w:rFonts w:hint="eastAsia" w:asciiTheme="minorEastAsia" w:hAnsiTheme="minorEastAsia" w:eastAsiaTheme="minorEastAsia" w:cstheme="minorBidi"/>
          <w:sz w:val="24"/>
        </w:rPr>
        <w:t xml:space="preserve">  </w:t>
      </w:r>
      <w:r>
        <w:rPr>
          <w:rFonts w:asciiTheme="minorEastAsia" w:hAnsiTheme="minorEastAsia" w:eastAsiaTheme="minorEastAsia" w:cstheme="minorBidi"/>
          <w:sz w:val="24"/>
        </w:rPr>
        <w:t>月</w:t>
      </w:r>
      <w:r>
        <w:rPr>
          <w:rFonts w:hint="eastAsia" w:asciiTheme="minorEastAsia" w:hAnsiTheme="minorEastAsia" w:eastAsiaTheme="minorEastAsia" w:cstheme="minorBidi"/>
          <w:sz w:val="24"/>
        </w:rPr>
        <w:t xml:space="preserve">  </w:t>
      </w:r>
      <w:r>
        <w:rPr>
          <w:rFonts w:asciiTheme="minorEastAsia" w:hAnsiTheme="minorEastAsia" w:eastAsiaTheme="minorEastAsia" w:cstheme="minorBidi"/>
          <w:sz w:val="24"/>
        </w:rPr>
        <w:t>日</w:t>
      </w:r>
    </w:p>
    <w:p w14:paraId="23EFAF5C">
      <w:pPr>
        <w:ind w:firstLine="480" w:firstLineChars="200"/>
        <w:rPr>
          <w:rFonts w:asciiTheme="minorEastAsia" w:hAnsiTheme="minorEastAsia" w:eastAsiaTheme="minorEastAsia" w:cstheme="minorBidi"/>
          <w:sz w:val="24"/>
        </w:rPr>
      </w:pPr>
    </w:p>
    <w:p w14:paraId="7CD8F1A4">
      <w:pPr>
        <w:rPr>
          <w:rFonts w:asciiTheme="minorEastAsia" w:hAnsiTheme="minorEastAsia" w:eastAsiaTheme="minorEastAsia" w:cstheme="minorBidi"/>
          <w:szCs w:val="21"/>
        </w:rPr>
      </w:pPr>
      <w:r>
        <w:rPr>
          <w:rFonts w:asciiTheme="minorEastAsia" w:hAnsiTheme="minorEastAsia" w:eastAsiaTheme="minorEastAsia" w:cstheme="minorBidi"/>
          <w:szCs w:val="21"/>
        </w:rPr>
        <w:t>注：1.供应商须在投标文件中按此模板提供承诺函，未提供视为未实质性响应采购文件要求，按无效投标处理。</w:t>
      </w:r>
    </w:p>
    <w:p w14:paraId="25918320">
      <w:pPr>
        <w:ind w:firstLine="420" w:firstLineChars="200"/>
        <w:rPr>
          <w:rFonts w:asciiTheme="minorEastAsia" w:hAnsiTheme="minorEastAsia" w:eastAsiaTheme="minorEastAsia" w:cstheme="minorBidi"/>
          <w:szCs w:val="21"/>
        </w:rPr>
      </w:pPr>
      <w:r>
        <w:rPr>
          <w:rFonts w:asciiTheme="minorEastAsia" w:hAnsiTheme="minorEastAsia" w:eastAsiaTheme="minorEastAsia" w:cstheme="minorBidi"/>
          <w:szCs w:val="21"/>
        </w:rPr>
        <w:t>2.供应商的法定代表人或者授权代表的签字或盖章应真实、有效，如由授权代表签字或盖章的，应提供“法定代表人授权书”。</w:t>
      </w:r>
    </w:p>
    <w:p w14:paraId="6500C487">
      <w:pPr>
        <w:spacing w:line="460" w:lineRule="exact"/>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三、本项目要求的其他特定资格条件</w:t>
      </w:r>
    </w:p>
    <w:p w14:paraId="6D4C6236">
      <w:pPr>
        <w:spacing w:line="460" w:lineRule="exact"/>
        <w:ind w:left="315" w:leftChars="150"/>
        <w:rPr>
          <w:rFonts w:ascii="华文中宋" w:hAnsi="华文中宋" w:eastAsia="华文中宋" w:cs="华文中宋"/>
          <w:szCs w:val="21"/>
        </w:rPr>
      </w:pPr>
      <w:r>
        <w:rPr>
          <w:rFonts w:hint="eastAsia" w:ascii="华文中宋" w:hAnsi="华文中宋" w:eastAsia="华文中宋" w:cs="华文中宋"/>
          <w:szCs w:val="21"/>
        </w:rPr>
        <w:t>按照投标文件第二部分投标人须知前附表序号1 “</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r>
        <w:rPr>
          <w:rFonts w:hint="eastAsia" w:ascii="华文中宋" w:hAnsi="华文中宋" w:eastAsia="华文中宋" w:cs="华文中宋"/>
          <w:szCs w:val="21"/>
        </w:rPr>
        <w:t>；</w:t>
      </w:r>
    </w:p>
    <w:p w14:paraId="254B7037">
      <w:pPr>
        <w:spacing w:line="460" w:lineRule="exact"/>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四、投标保证金的交纳及开户许可证</w:t>
      </w:r>
    </w:p>
    <w:p w14:paraId="38E12A96">
      <w:pPr>
        <w:spacing w:line="460" w:lineRule="exact"/>
        <w:ind w:left="315" w:leftChars="150"/>
        <w:rPr>
          <w:rFonts w:ascii="华文中宋" w:hAnsi="华文中宋" w:eastAsia="华文中宋"/>
          <w:szCs w:val="21"/>
        </w:rPr>
      </w:pPr>
      <w:r>
        <w:rPr>
          <w:rFonts w:hint="eastAsia" w:ascii="华文中宋" w:hAnsi="华文中宋" w:eastAsia="华文中宋"/>
          <w:szCs w:val="21"/>
        </w:rPr>
        <w:t>若本项目收取投标保证金，须提供投标人基本存款账户开户许可证（已取消企业银行账户许可的提供银行证明或提供取消企业银行账户许可的相关公告）扫描件及投标保证金交纳回单（或回执）。</w:t>
      </w:r>
    </w:p>
    <w:p w14:paraId="1290FEA6">
      <w:pPr>
        <w:spacing w:line="460" w:lineRule="exact"/>
        <w:ind w:left="315" w:leftChars="150"/>
        <w:rPr>
          <w:rFonts w:ascii="华文中宋" w:hAnsi="华文中宋" w:eastAsia="华文中宋"/>
          <w:szCs w:val="21"/>
        </w:rPr>
      </w:pPr>
      <w:r>
        <w:rPr>
          <w:rFonts w:hint="eastAsia" w:ascii="华文中宋" w:hAnsi="华文中宋" w:eastAsia="华文中宋"/>
          <w:szCs w:val="21"/>
        </w:rPr>
        <w:t>保证金要求足额交纳，且从投标人的基本存款账户转出。</w:t>
      </w:r>
    </w:p>
    <w:p w14:paraId="6C30DBEE">
      <w:pPr>
        <w:spacing w:line="460" w:lineRule="exact"/>
        <w:ind w:left="315" w:leftChars="150"/>
        <w:rPr>
          <w:rFonts w:ascii="华文中宋" w:hAnsi="华文中宋" w:eastAsia="华文中宋"/>
          <w:szCs w:val="21"/>
        </w:rPr>
      </w:pPr>
      <w:r>
        <w:rPr>
          <w:rFonts w:hint="eastAsia" w:ascii="华文中宋" w:hAnsi="华文中宋" w:eastAsia="华文中宋"/>
          <w:szCs w:val="21"/>
        </w:rPr>
        <w:t>任意一项证明文件扫描件清晰，须加盖电子公章。</w:t>
      </w:r>
    </w:p>
    <w:p w14:paraId="2A985D6F">
      <w:pPr>
        <w:spacing w:line="460" w:lineRule="exact"/>
        <w:jc w:val="left"/>
        <w:rPr>
          <w:rFonts w:ascii="华文中宋" w:hAnsi="华文中宋" w:eastAsia="华文中宋" w:cs="华文中宋"/>
          <w:b/>
          <w:sz w:val="24"/>
        </w:rPr>
      </w:pPr>
      <w:r>
        <w:rPr>
          <w:rFonts w:hint="eastAsia" w:ascii="华文中宋" w:hAnsi="华文中宋" w:eastAsia="华文中宋" w:cs="华文中宋"/>
          <w:b/>
          <w:sz w:val="24"/>
        </w:rPr>
        <w:t>五、联合体投标注意事项</w:t>
      </w:r>
    </w:p>
    <w:p w14:paraId="4B22E77B">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1、联合体各方均应当符合《政府采购法》第二十二条规定的条件，联合体各方均应按照采购文件要求提供相关材料。</w:t>
      </w:r>
    </w:p>
    <w:p w14:paraId="7964C17C">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2、本项目有特定资格条件要求的，联合体各方的同类资质按照资质等级较低的确定联合体资质等级。联合体各方不得再单独参加或者与其他供应商另外组成联合体参加本项目同一包的采购活动。</w:t>
      </w:r>
    </w:p>
    <w:p w14:paraId="4216EF9A">
      <w:pPr>
        <w:spacing w:line="460" w:lineRule="exact"/>
        <w:ind w:firstLine="420" w:firstLineChars="200"/>
        <w:jc w:val="left"/>
        <w:rPr>
          <w:rFonts w:ascii="华文中宋" w:hAnsi="华文中宋" w:eastAsia="华文中宋" w:cs="华文中宋"/>
        </w:rPr>
      </w:pPr>
      <w:r>
        <w:rPr>
          <w:rFonts w:hint="eastAsia" w:ascii="华文中宋" w:hAnsi="华文中宋" w:eastAsia="华文中宋" w:cs="华文中宋"/>
        </w:rPr>
        <w:t>3、联合体各方之间应当签订联合投标协议，明确约定联合体各方承担的工作和相应的责任，并将联合投标协议连同投标文件一并提交。</w:t>
      </w:r>
    </w:p>
    <w:p w14:paraId="2F44740E">
      <w:pPr>
        <w:spacing w:line="460" w:lineRule="exact"/>
        <w:jc w:val="left"/>
        <w:rPr>
          <w:rFonts w:ascii="华文中宋" w:hAnsi="华文中宋" w:eastAsia="华文中宋" w:cs="华文中宋"/>
          <w:b/>
          <w:szCs w:val="21"/>
        </w:rPr>
      </w:pPr>
      <w:r>
        <w:rPr>
          <w:rFonts w:hint="eastAsia" w:ascii="华文中宋" w:hAnsi="华文中宋" w:eastAsia="华文中宋" w:cs="华文中宋"/>
          <w:b/>
          <w:sz w:val="24"/>
        </w:rPr>
        <w:t>联合投标协议书格式</w:t>
      </w:r>
    </w:p>
    <w:p w14:paraId="0C3F8C27">
      <w:pPr>
        <w:spacing w:line="46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3F56CAE7">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1E11B9EB">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7E9884E4">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46E8CB90">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36D33141">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37D8CF0A">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5F1D9A6D">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02AF1CF9">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3F5B9DD0">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w:t>
      </w:r>
      <w:r>
        <w:rPr>
          <w:rFonts w:hint="eastAsia" w:ascii="华文中宋" w:hAnsi="华文中宋" w:eastAsia="华文中宋" w:cs="华文中宋"/>
          <w:sz w:val="21"/>
          <w:szCs w:val="21"/>
          <w:lang w:eastAsia="zh-CN"/>
        </w:rPr>
        <w:t>长治市上党区政府采购中心</w:t>
      </w:r>
      <w:r>
        <w:rPr>
          <w:rFonts w:hint="eastAsia" w:ascii="华文中宋" w:hAnsi="华文中宋" w:eastAsia="华文中宋" w:cs="华文中宋"/>
          <w:sz w:val="21"/>
          <w:szCs w:val="21"/>
        </w:rPr>
        <w:t>组织实施的项目（项目名称、招标编号）的招标活动，各方经协商，就联合进行投标之事宜，达成如下协议：</w:t>
      </w:r>
    </w:p>
    <w:p w14:paraId="0C351573">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hint="eastAsia"/>
          <w:snapToGrid w:val="0"/>
          <w:u w:val="single"/>
        </w:rPr>
        <w:t xml:space="preserve">          </w:t>
      </w:r>
      <w:r>
        <w:rPr>
          <w:rFonts w:hint="eastAsia" w:ascii="华文中宋" w:hAnsi="华文中宋" w:eastAsia="华文中宋" w:cs="华文中宋"/>
          <w:sz w:val="21"/>
          <w:szCs w:val="21"/>
        </w:rPr>
        <w:t>为主办人进行投标，并按照招标文件的规定分别提交资格文件。</w:t>
      </w:r>
    </w:p>
    <w:p w14:paraId="45004068">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42FAE5A4">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三、联合投标其余各方保证对主办人为响应本次招标而提供的货物（服务）和相关服务提供全部质量保证及售后服务支持。</w:t>
      </w:r>
    </w:p>
    <w:p w14:paraId="607AC025">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p>
    <w:p w14:paraId="49D1C339">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463E3EA4">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4867601D">
      <w:pPr>
        <w:pStyle w:val="33"/>
        <w:widowControl w:val="0"/>
        <w:adjustRightInd w:val="0"/>
        <w:snapToGrid w:val="0"/>
        <w:spacing w:before="0" w:beforeAutospacing="0" w:after="0" w:afterAutospacing="0" w:line="46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27DC1A38">
      <w:pPr>
        <w:spacing w:line="460" w:lineRule="exact"/>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电子公章</w:t>
      </w:r>
      <w:r>
        <w:rPr>
          <w:rFonts w:hint="eastAsia"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电子公章</w:t>
      </w:r>
      <w:r>
        <w:rPr>
          <w:rFonts w:hint="eastAsia" w:ascii="华文中宋" w:hAnsi="华文中宋" w:eastAsia="华文中宋" w:cs="华文中宋"/>
          <w:szCs w:val="21"/>
        </w:rPr>
        <w:t>）：</w:t>
      </w:r>
    </w:p>
    <w:p w14:paraId="5CE5E1B3">
      <w:pPr>
        <w:spacing w:line="460" w:lineRule="exact"/>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cs="华文中宋"/>
          <w:szCs w:val="21"/>
        </w:rPr>
        <w:t>）：</w:t>
      </w:r>
    </w:p>
    <w:p w14:paraId="071549E1">
      <w:pPr>
        <w:spacing w:line="460" w:lineRule="exact"/>
        <w:rPr>
          <w:rFonts w:ascii="华文中宋" w:hAnsi="华文中宋" w:eastAsia="华文中宋" w:cs="华文中宋"/>
          <w:szCs w:val="21"/>
        </w:rPr>
      </w:pPr>
      <w:r>
        <w:rPr>
          <w:rFonts w:hint="eastAsia" w:ascii="华文中宋" w:hAnsi="华文中宋" w:eastAsia="华文中宋" w:cs="华文中宋"/>
          <w:szCs w:val="21"/>
        </w:rPr>
        <w:t>20  年  月  日                             20  年  月  日</w:t>
      </w:r>
    </w:p>
    <w:p w14:paraId="6636037F">
      <w:pPr>
        <w:rPr>
          <w:rFonts w:ascii="华文中宋" w:hAnsi="华文中宋" w:eastAsia="华文中宋" w:cs="华文中宋"/>
          <w:b/>
          <w:spacing w:val="20"/>
          <w:sz w:val="28"/>
          <w:szCs w:val="28"/>
        </w:rPr>
      </w:pPr>
    </w:p>
    <w:p w14:paraId="587A2702">
      <w:pPr>
        <w:rPr>
          <w:rFonts w:ascii="华文中宋" w:hAnsi="华文中宋" w:eastAsia="华文中宋" w:cs="华文中宋"/>
          <w:b/>
          <w:spacing w:val="20"/>
          <w:sz w:val="28"/>
          <w:szCs w:val="28"/>
        </w:rPr>
      </w:pPr>
    </w:p>
    <w:p w14:paraId="5E15C0DA">
      <w:pPr>
        <w:rPr>
          <w:rFonts w:ascii="华文中宋" w:hAnsi="华文中宋" w:eastAsia="华文中宋" w:cs="华文中宋"/>
          <w:b/>
          <w:spacing w:val="20"/>
          <w:sz w:val="28"/>
          <w:szCs w:val="28"/>
        </w:rPr>
      </w:pPr>
    </w:p>
    <w:p w14:paraId="360E8175">
      <w:pPr>
        <w:rPr>
          <w:rFonts w:ascii="华文中宋" w:hAnsi="华文中宋" w:eastAsia="华文中宋" w:cs="华文中宋"/>
          <w:b/>
          <w:spacing w:val="20"/>
          <w:sz w:val="28"/>
          <w:szCs w:val="28"/>
        </w:rPr>
      </w:pPr>
    </w:p>
    <w:p w14:paraId="25012CBF">
      <w:pPr>
        <w:rPr>
          <w:rFonts w:ascii="华文中宋" w:hAnsi="华文中宋" w:eastAsia="华文中宋" w:cs="华文中宋"/>
          <w:b/>
          <w:spacing w:val="20"/>
          <w:sz w:val="28"/>
          <w:szCs w:val="28"/>
        </w:rPr>
      </w:pPr>
    </w:p>
    <w:p w14:paraId="76829134">
      <w:pPr>
        <w:rPr>
          <w:rFonts w:ascii="华文中宋" w:hAnsi="华文中宋" w:eastAsia="华文中宋" w:cs="华文中宋"/>
          <w:b/>
          <w:spacing w:val="20"/>
          <w:sz w:val="28"/>
          <w:szCs w:val="28"/>
        </w:rPr>
      </w:pPr>
    </w:p>
    <w:p w14:paraId="6669FD3A">
      <w:pPr>
        <w:rPr>
          <w:rFonts w:ascii="华文中宋" w:hAnsi="华文中宋" w:eastAsia="华文中宋" w:cs="华文中宋"/>
          <w:b/>
          <w:spacing w:val="20"/>
          <w:sz w:val="28"/>
          <w:szCs w:val="28"/>
        </w:rPr>
      </w:pPr>
    </w:p>
    <w:p w14:paraId="7829A136">
      <w:pPr>
        <w:rPr>
          <w:rFonts w:ascii="华文中宋" w:hAnsi="华文中宋" w:eastAsia="华文中宋" w:cs="华文中宋"/>
          <w:b/>
          <w:spacing w:val="20"/>
          <w:sz w:val="28"/>
          <w:szCs w:val="28"/>
        </w:rPr>
      </w:pPr>
    </w:p>
    <w:p w14:paraId="4F96B3D0">
      <w:pPr>
        <w:rPr>
          <w:rFonts w:ascii="华文中宋" w:hAnsi="华文中宋" w:eastAsia="华文中宋" w:cs="华文中宋"/>
          <w:b/>
          <w:spacing w:val="20"/>
          <w:sz w:val="28"/>
          <w:szCs w:val="28"/>
        </w:rPr>
      </w:pPr>
    </w:p>
    <w:p w14:paraId="617B2252">
      <w:pPr>
        <w:rPr>
          <w:rFonts w:ascii="华文中宋" w:hAnsi="华文中宋" w:eastAsia="华文中宋" w:cs="华文中宋"/>
          <w:b/>
          <w:spacing w:val="20"/>
          <w:sz w:val="28"/>
          <w:szCs w:val="28"/>
        </w:rPr>
      </w:pPr>
    </w:p>
    <w:p w14:paraId="4B859D55">
      <w:pPr>
        <w:rPr>
          <w:rFonts w:ascii="华文中宋" w:hAnsi="华文中宋" w:eastAsia="华文中宋" w:cs="华文中宋"/>
          <w:b/>
          <w:spacing w:val="20"/>
          <w:sz w:val="28"/>
          <w:szCs w:val="28"/>
        </w:rPr>
      </w:pPr>
    </w:p>
    <w:p w14:paraId="2C1AE7EA">
      <w:pPr>
        <w:rPr>
          <w:rFonts w:ascii="华文中宋" w:hAnsi="华文中宋" w:eastAsia="华文中宋" w:cs="华文中宋"/>
          <w:b/>
          <w:spacing w:val="20"/>
          <w:sz w:val="28"/>
          <w:szCs w:val="28"/>
        </w:rPr>
      </w:pPr>
    </w:p>
    <w:p w14:paraId="7BB335E1">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商务技术文件格式</w:t>
      </w:r>
    </w:p>
    <w:p w14:paraId="4B4D5172">
      <w:pPr>
        <w:rPr>
          <w:rFonts w:ascii="华文中宋" w:hAnsi="华文中宋" w:eastAsia="华文中宋" w:cs="华文中宋"/>
          <w:b/>
          <w:spacing w:val="20"/>
          <w:szCs w:val="21"/>
        </w:rPr>
      </w:pPr>
    </w:p>
    <w:p w14:paraId="45B93C3D">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10F21CE5">
      <w:pPr>
        <w:jc w:val="right"/>
        <w:rPr>
          <w:rFonts w:ascii="华文中宋" w:hAnsi="华文中宋" w:eastAsia="华文中宋" w:cs="华文中宋"/>
          <w:szCs w:val="21"/>
        </w:rPr>
      </w:pPr>
    </w:p>
    <w:p w14:paraId="588E0EB0">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472AF3B5">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35CB92FC">
      <w:pPr>
        <w:rPr>
          <w:rFonts w:ascii="华文中宋" w:hAnsi="华文中宋" w:eastAsia="华文中宋" w:cs="华文中宋"/>
          <w:b/>
          <w:sz w:val="44"/>
          <w:szCs w:val="44"/>
        </w:rPr>
      </w:pPr>
    </w:p>
    <w:p w14:paraId="2A75A6F7">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238DCE0A">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5414A95D">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476E766C">
      <w:pPr>
        <w:jc w:val="center"/>
        <w:rPr>
          <w:rFonts w:ascii="华文中宋" w:hAnsi="华文中宋" w:eastAsia="华文中宋" w:cs="华文中宋"/>
          <w:b/>
          <w:sz w:val="32"/>
          <w:szCs w:val="32"/>
        </w:rPr>
      </w:pPr>
    </w:p>
    <w:p w14:paraId="081BAD65">
      <w:pPr>
        <w:jc w:val="center"/>
        <w:rPr>
          <w:rFonts w:ascii="华文中宋" w:hAnsi="华文中宋" w:eastAsia="华文中宋" w:cs="华文中宋"/>
          <w:b/>
          <w:sz w:val="32"/>
          <w:szCs w:val="32"/>
        </w:rPr>
      </w:pPr>
    </w:p>
    <w:p w14:paraId="0A8B2AD6">
      <w:pPr>
        <w:jc w:val="center"/>
        <w:rPr>
          <w:rFonts w:ascii="华文中宋" w:hAnsi="华文中宋" w:eastAsia="华文中宋" w:cs="华文中宋"/>
          <w:b/>
          <w:sz w:val="32"/>
          <w:szCs w:val="32"/>
        </w:rPr>
      </w:pPr>
    </w:p>
    <w:p w14:paraId="37647141">
      <w:pPr>
        <w:jc w:val="center"/>
        <w:rPr>
          <w:rFonts w:ascii="华文中宋" w:hAnsi="华文中宋" w:eastAsia="华文中宋" w:cs="华文中宋"/>
          <w:b/>
          <w:sz w:val="32"/>
          <w:szCs w:val="32"/>
        </w:rPr>
      </w:pPr>
    </w:p>
    <w:p w14:paraId="3308A074">
      <w:pPr>
        <w:jc w:val="center"/>
        <w:rPr>
          <w:rFonts w:ascii="华文中宋" w:hAnsi="华文中宋" w:eastAsia="华文中宋" w:cs="华文中宋"/>
          <w:b/>
          <w:spacing w:val="20"/>
          <w:sz w:val="32"/>
          <w:szCs w:val="32"/>
        </w:rPr>
      </w:pPr>
    </w:p>
    <w:p w14:paraId="69F9ED7F">
      <w:pPr>
        <w:jc w:val="center"/>
        <w:rPr>
          <w:rFonts w:ascii="华文中宋" w:hAnsi="华文中宋" w:eastAsia="华文中宋" w:cs="华文中宋"/>
          <w:b/>
          <w:spacing w:val="20"/>
          <w:sz w:val="32"/>
          <w:szCs w:val="32"/>
        </w:rPr>
      </w:pPr>
    </w:p>
    <w:p w14:paraId="076B9579">
      <w:pPr>
        <w:jc w:val="center"/>
        <w:rPr>
          <w:rFonts w:ascii="华文中宋" w:hAnsi="华文中宋" w:eastAsia="华文中宋" w:cs="华文中宋"/>
          <w:b/>
          <w:spacing w:val="20"/>
          <w:sz w:val="32"/>
          <w:szCs w:val="32"/>
        </w:rPr>
      </w:pPr>
    </w:p>
    <w:p w14:paraId="1F25B859">
      <w:pPr>
        <w:spacing w:line="360" w:lineRule="auto"/>
        <w:ind w:firstLine="1441"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p>
    <w:p w14:paraId="70BAD5A7">
      <w:pPr>
        <w:jc w:val="center"/>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（加盖</w:t>
      </w:r>
      <w:r>
        <w:rPr>
          <w:rFonts w:hint="eastAsia" w:ascii="华文中宋" w:hAnsi="华文中宋" w:eastAsia="华文中宋"/>
          <w:b/>
          <w:spacing w:val="20"/>
          <w:sz w:val="32"/>
          <w:szCs w:val="32"/>
        </w:rPr>
        <w:t>电子公章</w:t>
      </w:r>
      <w:r>
        <w:rPr>
          <w:rFonts w:hint="eastAsia" w:ascii="华文中宋" w:hAnsi="华文中宋" w:eastAsia="华文中宋" w:cs="华文中宋"/>
          <w:b/>
          <w:spacing w:val="20"/>
          <w:sz w:val="32"/>
          <w:szCs w:val="32"/>
        </w:rPr>
        <w:t>）</w:t>
      </w:r>
    </w:p>
    <w:p w14:paraId="496F55BB">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33EE807D">
      <w:pPr>
        <w:rPr>
          <w:rFonts w:ascii="华文中宋" w:hAnsi="华文中宋" w:eastAsia="华文中宋" w:cs="华文中宋"/>
          <w:b/>
          <w:spacing w:val="20"/>
          <w:sz w:val="32"/>
          <w:szCs w:val="32"/>
        </w:rPr>
      </w:pPr>
      <w:r>
        <w:rPr>
          <w:rFonts w:hint="eastAsia" w:ascii="华文中宋" w:hAnsi="华文中宋" w:eastAsia="华文中宋"/>
          <w:b/>
          <w:spacing w:val="20"/>
          <w:sz w:val="32"/>
          <w:szCs w:val="32"/>
        </w:rPr>
        <w:br w:type="page"/>
      </w:r>
    </w:p>
    <w:p w14:paraId="61158AD8">
      <w:pPr>
        <w:spacing w:line="400" w:lineRule="exact"/>
        <w:ind w:firstLine="3135" w:firstLineChars="1305"/>
        <w:rPr>
          <w:rFonts w:ascii="华文中宋" w:hAnsi="华文中宋" w:eastAsia="华文中宋" w:cs="华文中宋"/>
          <w:b/>
          <w:sz w:val="24"/>
        </w:rPr>
      </w:pPr>
      <w:r>
        <w:rPr>
          <w:rFonts w:hint="eastAsia" w:ascii="华文中宋" w:hAnsi="华文中宋" w:eastAsia="华文中宋" w:cs="华文中宋"/>
          <w:b/>
          <w:sz w:val="24"/>
        </w:rPr>
        <w:t>商  务  技  术  文  件</w:t>
      </w:r>
    </w:p>
    <w:p w14:paraId="232120B4">
      <w:pPr>
        <w:spacing w:line="400" w:lineRule="exact"/>
        <w:ind w:firstLine="4115" w:firstLineChars="1713"/>
        <w:rPr>
          <w:rFonts w:ascii="华文中宋" w:hAnsi="华文中宋" w:eastAsia="华文中宋" w:cs="华文中宋"/>
          <w:b/>
          <w:sz w:val="24"/>
        </w:rPr>
      </w:pPr>
    </w:p>
    <w:p w14:paraId="7FC51420">
      <w:pPr>
        <w:spacing w:line="400" w:lineRule="exact"/>
        <w:ind w:firstLine="3995" w:firstLineChars="1663"/>
        <w:rPr>
          <w:rFonts w:ascii="华文中宋" w:hAnsi="华文中宋" w:eastAsia="华文中宋" w:cs="华文中宋"/>
          <w:b/>
          <w:sz w:val="24"/>
        </w:rPr>
      </w:pPr>
      <w:r>
        <w:rPr>
          <w:rFonts w:hint="eastAsia" w:ascii="华文中宋" w:hAnsi="华文中宋" w:eastAsia="华文中宋" w:cs="华文中宋"/>
          <w:b/>
          <w:sz w:val="24"/>
        </w:rPr>
        <w:t>目    录</w:t>
      </w:r>
    </w:p>
    <w:p w14:paraId="06F19371">
      <w:pPr>
        <w:pStyle w:val="23"/>
        <w:snapToGrid w:val="0"/>
        <w:spacing w:line="360" w:lineRule="auto"/>
        <w:rPr>
          <w:rFonts w:ascii="华文中宋" w:hAnsi="华文中宋" w:eastAsia="华文中宋"/>
          <w:kern w:val="0"/>
        </w:rPr>
      </w:pPr>
      <w:r>
        <w:rPr>
          <w:rFonts w:hint="eastAsia" w:ascii="华文中宋" w:hAnsi="华文中宋" w:eastAsia="华文中宋"/>
          <w:kern w:val="0"/>
        </w:rPr>
        <w:t>一、投标人代表的证明……………………………………………………………………页码</w:t>
      </w:r>
    </w:p>
    <w:p w14:paraId="716D295D">
      <w:pPr>
        <w:pStyle w:val="23"/>
        <w:snapToGrid w:val="0"/>
        <w:spacing w:line="360" w:lineRule="auto"/>
        <w:ind w:firstLine="420" w:firstLineChars="200"/>
        <w:rPr>
          <w:rFonts w:ascii="华文中宋" w:hAnsi="华文中宋" w:eastAsia="华文中宋"/>
          <w:kern w:val="0"/>
        </w:rPr>
      </w:pPr>
      <w:r>
        <w:rPr>
          <w:rFonts w:hint="eastAsia" w:ascii="华文中宋" w:hAnsi="华文中宋" w:eastAsia="华文中宋"/>
          <w:kern w:val="0"/>
        </w:rPr>
        <w:t>法定代表人（负责人）身份证明书格式……………………………………………………………</w:t>
      </w:r>
    </w:p>
    <w:p w14:paraId="6BA8B0B1">
      <w:pPr>
        <w:pStyle w:val="23"/>
        <w:snapToGrid w:val="0"/>
        <w:spacing w:line="360" w:lineRule="auto"/>
        <w:ind w:firstLine="420" w:firstLineChars="200"/>
        <w:rPr>
          <w:rFonts w:ascii="华文中宋" w:hAnsi="华文中宋" w:eastAsia="华文中宋"/>
          <w:kern w:val="0"/>
        </w:rPr>
      </w:pPr>
      <w:r>
        <w:rPr>
          <w:rFonts w:hint="eastAsia" w:ascii="华文中宋" w:hAnsi="华文中宋" w:eastAsia="华文中宋"/>
          <w:kern w:val="0"/>
        </w:rPr>
        <w:t>法定代表人（负责人）授权委托书格式……………………………………………………………</w:t>
      </w:r>
    </w:p>
    <w:p w14:paraId="281B815A">
      <w:pPr>
        <w:pStyle w:val="23"/>
        <w:snapToGrid w:val="0"/>
        <w:spacing w:line="360" w:lineRule="auto"/>
        <w:rPr>
          <w:rFonts w:ascii="华文中宋" w:hAnsi="华文中宋" w:eastAsia="华文中宋"/>
          <w:kern w:val="0"/>
        </w:rPr>
      </w:pPr>
      <w:r>
        <w:rPr>
          <w:rFonts w:hint="eastAsia" w:ascii="华文中宋" w:hAnsi="华文中宋" w:eastAsia="华文中宋"/>
          <w:kern w:val="0"/>
        </w:rPr>
        <w:t>二、投标函……………………………………………………………………………………</w:t>
      </w:r>
    </w:p>
    <w:p w14:paraId="05A27A4B">
      <w:pPr>
        <w:pStyle w:val="23"/>
        <w:snapToGrid w:val="0"/>
        <w:spacing w:line="360" w:lineRule="auto"/>
        <w:rPr>
          <w:rFonts w:ascii="华文中宋" w:hAnsi="华文中宋" w:eastAsia="华文中宋"/>
          <w:kern w:val="0"/>
        </w:rPr>
      </w:pPr>
      <w:r>
        <w:rPr>
          <w:rFonts w:hint="eastAsia" w:ascii="华文中宋" w:hAnsi="华文中宋" w:eastAsia="华文中宋"/>
          <w:kern w:val="0"/>
        </w:rPr>
        <w:t>三、对商务要求的响应内容…………………………………………………………………</w:t>
      </w:r>
    </w:p>
    <w:p w14:paraId="2BB80711">
      <w:pPr>
        <w:pStyle w:val="23"/>
        <w:snapToGrid w:val="0"/>
        <w:spacing w:line="360" w:lineRule="auto"/>
        <w:rPr>
          <w:rFonts w:ascii="华文中宋" w:hAnsi="华文中宋" w:eastAsia="华文中宋"/>
          <w:kern w:val="0"/>
        </w:rPr>
      </w:pPr>
      <w:r>
        <w:rPr>
          <w:rFonts w:hint="eastAsia" w:ascii="华文中宋" w:hAnsi="华文中宋" w:eastAsia="华文中宋"/>
          <w:kern w:val="0"/>
        </w:rPr>
        <w:t>四、对服务要求的响应内容…………………………………………………………………</w:t>
      </w:r>
    </w:p>
    <w:p w14:paraId="1AB7891D">
      <w:pPr>
        <w:pStyle w:val="23"/>
        <w:snapToGrid w:val="0"/>
        <w:spacing w:line="360" w:lineRule="auto"/>
        <w:rPr>
          <w:rFonts w:ascii="华文中宋" w:hAnsi="华文中宋" w:eastAsia="华文中宋"/>
          <w:kern w:val="0"/>
        </w:rPr>
      </w:pPr>
      <w:r>
        <w:rPr>
          <w:rFonts w:hint="eastAsia" w:ascii="华文中宋" w:hAnsi="华文中宋" w:eastAsia="华文中宋"/>
          <w:kern w:val="0"/>
        </w:rPr>
        <w:t>五、对技术要求的响应内容…………………………………………………………………</w:t>
      </w:r>
    </w:p>
    <w:p w14:paraId="23698A61">
      <w:pPr>
        <w:pStyle w:val="23"/>
        <w:snapToGrid w:val="0"/>
        <w:spacing w:line="360" w:lineRule="auto"/>
        <w:ind w:firstLine="315" w:firstLineChars="150"/>
        <w:rPr>
          <w:rFonts w:ascii="华文中宋" w:hAnsi="华文中宋" w:eastAsia="华文中宋"/>
          <w:kern w:val="0"/>
        </w:rPr>
      </w:pPr>
      <w:r>
        <w:rPr>
          <w:rFonts w:hint="eastAsia" w:ascii="华文中宋" w:hAnsi="华文中宋" w:eastAsia="华文中宋"/>
          <w:kern w:val="0"/>
        </w:rPr>
        <w:t>《投报货物/服务（主要技术指标）技术偏离表》格式………………………………………………</w:t>
      </w:r>
    </w:p>
    <w:p w14:paraId="3D1BBD3E">
      <w:pPr>
        <w:pStyle w:val="23"/>
        <w:snapToGrid w:val="0"/>
        <w:spacing w:line="360" w:lineRule="auto"/>
        <w:ind w:firstLine="315" w:firstLineChars="150"/>
        <w:rPr>
          <w:rFonts w:ascii="华文中宋" w:hAnsi="华文中宋" w:eastAsia="华文中宋"/>
          <w:kern w:val="0"/>
        </w:rPr>
      </w:pPr>
      <w:r>
        <w:rPr>
          <w:rFonts w:hint="eastAsia" w:ascii="华文中宋" w:hAnsi="华文中宋" w:eastAsia="华文中宋"/>
          <w:kern w:val="0"/>
        </w:rPr>
        <w:t>《投报货物/服务（一般技术指标）技术偏离表》格式………………………………………………</w:t>
      </w:r>
    </w:p>
    <w:p w14:paraId="740DA9B2">
      <w:pPr>
        <w:pStyle w:val="23"/>
        <w:snapToGrid w:val="0"/>
        <w:spacing w:line="360" w:lineRule="auto"/>
        <w:rPr>
          <w:rFonts w:ascii="华文中宋" w:hAnsi="华文中宋" w:eastAsia="华文中宋"/>
          <w:kern w:val="0"/>
        </w:rPr>
      </w:pPr>
      <w:r>
        <w:rPr>
          <w:rFonts w:hint="eastAsia" w:ascii="华文中宋" w:hAnsi="华文中宋" w:eastAsia="华文中宋"/>
          <w:kern w:val="0"/>
        </w:rPr>
        <w:t>六、涉及政府采购政策要求内容（若涉及）………………………………………………………</w:t>
      </w:r>
    </w:p>
    <w:p w14:paraId="0D35AFED">
      <w:pPr>
        <w:pStyle w:val="23"/>
        <w:snapToGrid w:val="0"/>
        <w:spacing w:line="360" w:lineRule="auto"/>
        <w:ind w:firstLine="420" w:firstLineChars="200"/>
        <w:rPr>
          <w:rFonts w:ascii="华文中宋" w:hAnsi="华文中宋" w:eastAsia="华文中宋"/>
          <w:kern w:val="0"/>
        </w:rPr>
      </w:pPr>
      <w:r>
        <w:rPr>
          <w:rFonts w:hint="eastAsia" w:ascii="华文中宋" w:hAnsi="华文中宋" w:eastAsia="华文中宋"/>
          <w:kern w:val="0"/>
        </w:rPr>
        <w:t>（一）中小企业声明函（若涉及）…………………………………………………………………</w:t>
      </w:r>
    </w:p>
    <w:p w14:paraId="39D3F1C5">
      <w:pPr>
        <w:pStyle w:val="23"/>
        <w:snapToGrid w:val="0"/>
        <w:spacing w:line="360" w:lineRule="auto"/>
        <w:ind w:firstLine="420" w:firstLineChars="200"/>
        <w:rPr>
          <w:rFonts w:ascii="华文中宋" w:hAnsi="华文中宋" w:eastAsia="华文中宋"/>
          <w:kern w:val="0"/>
        </w:rPr>
      </w:pPr>
      <w:r>
        <w:rPr>
          <w:rFonts w:hint="eastAsia" w:ascii="华文中宋" w:hAnsi="华文中宋" w:eastAsia="华文中宋"/>
          <w:kern w:val="0"/>
        </w:rPr>
        <w:t>（二）残疾人福利性单位声明函（若涉及）…………………………………………………………</w:t>
      </w:r>
    </w:p>
    <w:p w14:paraId="68A7936C">
      <w:pPr>
        <w:pStyle w:val="23"/>
        <w:snapToGrid w:val="0"/>
        <w:spacing w:line="360" w:lineRule="auto"/>
        <w:ind w:firstLine="420" w:firstLineChars="200"/>
        <w:rPr>
          <w:rFonts w:ascii="华文中宋" w:hAnsi="华文中宋" w:eastAsia="华文中宋"/>
          <w:kern w:val="0"/>
        </w:rPr>
      </w:pPr>
      <w:r>
        <w:rPr>
          <w:rFonts w:hint="eastAsia" w:ascii="华文中宋" w:hAnsi="华文中宋" w:eastAsia="华文中宋"/>
          <w:kern w:val="0"/>
        </w:rPr>
        <w:t>（三）监狱企业证明函（若涉及）………………………………………………………………</w:t>
      </w:r>
    </w:p>
    <w:p w14:paraId="2D51CDFC">
      <w:pPr>
        <w:pStyle w:val="23"/>
        <w:snapToGrid w:val="0"/>
        <w:spacing w:line="360" w:lineRule="auto"/>
        <w:ind w:left="840" w:leftChars="200" w:hanging="420" w:hangingChars="200"/>
        <w:rPr>
          <w:rFonts w:ascii="华文中宋" w:hAnsi="华文中宋" w:eastAsia="华文中宋"/>
          <w:kern w:val="0"/>
        </w:rPr>
      </w:pPr>
      <w:r>
        <w:rPr>
          <w:rFonts w:hint="eastAsia" w:ascii="华文中宋" w:hAnsi="华文中宋" w:eastAsia="华文中宋"/>
          <w:kern w:val="0"/>
        </w:rPr>
        <w:t>（四）政府强制采购产品明细表（若涉及）…………………………………………………………</w:t>
      </w:r>
    </w:p>
    <w:p w14:paraId="67F6E3D5">
      <w:pPr>
        <w:pStyle w:val="23"/>
        <w:snapToGrid w:val="0"/>
        <w:spacing w:line="360" w:lineRule="auto"/>
        <w:ind w:firstLine="420" w:firstLineChars="200"/>
        <w:rPr>
          <w:rFonts w:ascii="华文中宋" w:hAnsi="华文中宋" w:eastAsia="华文中宋"/>
          <w:b/>
          <w:kern w:val="0"/>
        </w:rPr>
      </w:pPr>
      <w:r>
        <w:rPr>
          <w:rFonts w:hint="eastAsia" w:ascii="华文中宋" w:hAnsi="华文中宋" w:eastAsia="华文中宋"/>
          <w:kern w:val="0"/>
        </w:rPr>
        <w:t>（五）非政府强制采购产品明细表（若涉及）………………………………………………………</w:t>
      </w:r>
    </w:p>
    <w:p w14:paraId="175ADFE1">
      <w:pPr>
        <w:pStyle w:val="23"/>
        <w:snapToGrid w:val="0"/>
        <w:spacing w:line="360" w:lineRule="auto"/>
        <w:ind w:firstLine="420" w:firstLineChars="200"/>
        <w:rPr>
          <w:rFonts w:ascii="华文中宋" w:hAnsi="华文中宋" w:eastAsia="华文中宋"/>
          <w:b/>
          <w:kern w:val="0"/>
        </w:rPr>
      </w:pPr>
      <w:r>
        <w:rPr>
          <w:rFonts w:hint="eastAsia" w:ascii="华文中宋" w:hAnsi="华文中宋" w:eastAsia="华文中宋"/>
          <w:b/>
          <w:kern w:val="0"/>
        </w:rPr>
        <w:t>（六）正版软件承诺（若涉及）…………………………………………………</w:t>
      </w:r>
    </w:p>
    <w:p w14:paraId="56550B9F">
      <w:pPr>
        <w:pStyle w:val="23"/>
        <w:snapToGrid w:val="0"/>
        <w:spacing w:line="360" w:lineRule="auto"/>
        <w:ind w:firstLine="420" w:firstLineChars="200"/>
        <w:rPr>
          <w:rFonts w:ascii="华文中宋" w:hAnsi="华文中宋" w:eastAsia="华文中宋"/>
          <w:b/>
          <w:kern w:val="0"/>
        </w:rPr>
      </w:pPr>
      <w:r>
        <w:rPr>
          <w:rFonts w:hint="eastAsia" w:ascii="华文中宋" w:hAnsi="华文中宋" w:eastAsia="华文中宋"/>
          <w:b/>
          <w:kern w:val="0"/>
        </w:rPr>
        <w:t>（七）信息安全产品说明（若涉及）…………………………………………………………………</w:t>
      </w:r>
    </w:p>
    <w:p w14:paraId="6348FE04">
      <w:pPr>
        <w:pStyle w:val="23"/>
        <w:snapToGrid w:val="0"/>
        <w:spacing w:line="360" w:lineRule="auto"/>
        <w:ind w:firstLine="420" w:firstLineChars="200"/>
        <w:rPr>
          <w:rFonts w:ascii="华文中宋" w:hAnsi="华文中宋" w:eastAsia="华文中宋"/>
          <w:b/>
          <w:kern w:val="0"/>
        </w:rPr>
      </w:pPr>
      <w:r>
        <w:rPr>
          <w:rFonts w:hint="eastAsia" w:ascii="华文中宋" w:hAnsi="华文中宋" w:eastAsia="华文中宋"/>
          <w:b/>
          <w:kern w:val="0"/>
        </w:rPr>
        <w:t>（八）创新产品或创新服务明细表（若涉及）………………………………………………………</w:t>
      </w:r>
    </w:p>
    <w:p w14:paraId="5C0174C5">
      <w:pPr>
        <w:pStyle w:val="23"/>
        <w:snapToGrid w:val="0"/>
        <w:spacing w:line="360" w:lineRule="auto"/>
        <w:ind w:firstLine="420" w:firstLineChars="200"/>
        <w:rPr>
          <w:rFonts w:ascii="华文中宋" w:hAnsi="华文中宋" w:eastAsia="华文中宋"/>
          <w:b/>
          <w:kern w:val="0"/>
        </w:rPr>
      </w:pPr>
      <w:r>
        <w:rPr>
          <w:rFonts w:hint="eastAsia" w:ascii="华文中宋" w:hAnsi="华文中宋" w:eastAsia="华文中宋"/>
          <w:b/>
          <w:kern w:val="0"/>
        </w:rPr>
        <w:t>（九）</w:t>
      </w:r>
      <w:r>
        <w:rPr>
          <w:rFonts w:hint="eastAsia" w:ascii="华文中宋" w:hAnsi="华文中宋" w:eastAsia="华文中宋" w:cs="华文中宋"/>
          <w:b/>
          <w:sz w:val="24"/>
        </w:rPr>
        <w:t>商品包装和快递包装承诺</w:t>
      </w:r>
      <w:r>
        <w:rPr>
          <w:rFonts w:hint="eastAsia" w:ascii="华文中宋" w:hAnsi="华文中宋" w:eastAsia="华文中宋"/>
          <w:b/>
          <w:kern w:val="0"/>
        </w:rPr>
        <w:t>……………………………………………………</w:t>
      </w:r>
    </w:p>
    <w:p w14:paraId="40EC83CC">
      <w:pPr>
        <w:pStyle w:val="23"/>
        <w:snapToGrid w:val="0"/>
        <w:spacing w:line="360" w:lineRule="auto"/>
        <w:rPr>
          <w:rFonts w:ascii="华文中宋" w:hAnsi="华文中宋" w:eastAsia="华文中宋"/>
          <w:b/>
          <w:kern w:val="0"/>
        </w:rPr>
      </w:pPr>
      <w:r>
        <w:rPr>
          <w:rFonts w:hint="eastAsia" w:ascii="华文中宋" w:hAnsi="华文中宋" w:eastAsia="华文中宋"/>
          <w:b/>
          <w:kern w:val="0"/>
        </w:rPr>
        <w:t>七、</w:t>
      </w:r>
      <w:r>
        <w:rPr>
          <w:rFonts w:hint="eastAsia" w:ascii="华文中宋" w:hAnsi="华文中宋" w:eastAsia="华文中宋"/>
          <w:b/>
        </w:rPr>
        <w:t>招标文件要求或投标人认为需要提供的其他商务技术材料/文件</w:t>
      </w:r>
      <w:r>
        <w:rPr>
          <w:rFonts w:hint="eastAsia" w:ascii="华文中宋" w:hAnsi="华文中宋" w:eastAsia="华文中宋"/>
          <w:b/>
          <w:kern w:val="0"/>
        </w:rPr>
        <w:t>…………………</w:t>
      </w:r>
    </w:p>
    <w:p w14:paraId="259EFDE1">
      <w:pPr>
        <w:pStyle w:val="23"/>
        <w:snapToGrid w:val="0"/>
        <w:spacing w:line="360" w:lineRule="auto"/>
        <w:rPr>
          <w:rFonts w:ascii="华文中宋" w:hAnsi="华文中宋" w:eastAsia="华文中宋"/>
          <w:b/>
          <w:kern w:val="0"/>
        </w:rPr>
      </w:pPr>
      <w:r>
        <w:rPr>
          <w:rFonts w:hint="eastAsia" w:ascii="华文中宋" w:hAnsi="华文中宋" w:eastAsia="华文中宋"/>
          <w:b/>
          <w:kern w:val="0"/>
        </w:rPr>
        <w:t>八、开标一览表报价明细表…………………………………………………………………</w:t>
      </w:r>
    </w:p>
    <w:p w14:paraId="6FCD8888">
      <w:pPr>
        <w:spacing w:line="360" w:lineRule="auto"/>
        <w:ind w:left="315" w:leftChars="150" w:firstLine="105" w:firstLineChars="50"/>
        <w:rPr>
          <w:rFonts w:ascii="华文中宋" w:hAnsi="华文中宋" w:eastAsia="华文中宋" w:cs="华文中宋"/>
          <w:szCs w:val="21"/>
        </w:rPr>
      </w:pPr>
    </w:p>
    <w:p w14:paraId="63D18854">
      <w:pPr>
        <w:pStyle w:val="23"/>
        <w:snapToGrid w:val="0"/>
        <w:spacing w:line="360" w:lineRule="auto"/>
        <w:rPr>
          <w:rFonts w:ascii="华文中宋" w:hAnsi="华文中宋" w:eastAsia="华文中宋"/>
          <w:kern w:val="0"/>
        </w:rPr>
      </w:pPr>
    </w:p>
    <w:p w14:paraId="30FCB23A">
      <w:pPr>
        <w:pStyle w:val="33"/>
        <w:widowControl w:val="0"/>
        <w:snapToGrid w:val="0"/>
        <w:spacing w:before="0" w:beforeAutospacing="0" w:after="0" w:afterAutospacing="0" w:line="400" w:lineRule="exact"/>
        <w:jc w:val="both"/>
        <w:rPr>
          <w:rFonts w:ascii="华文中宋" w:hAnsi="华文中宋" w:eastAsia="华文中宋" w:cs="华文中宋"/>
        </w:rPr>
      </w:pPr>
      <w:r>
        <w:rPr>
          <w:rFonts w:hint="eastAsia" w:ascii="华文中宋" w:hAnsi="华文中宋" w:eastAsia="华文中宋"/>
        </w:rPr>
        <w:t>说明：目录内容和排序须按投标人须知前附表中投标人应提交的商务技术文件内容及顺序排列。</w:t>
      </w:r>
    </w:p>
    <w:p w14:paraId="13C5F5CF">
      <w:pPr>
        <w:snapToGrid w:val="0"/>
        <w:ind w:left="420" w:hanging="420" w:hangingChars="200"/>
        <w:rPr>
          <w:rFonts w:ascii="华文中宋" w:hAnsi="华文中宋" w:eastAsia="华文中宋" w:cs="华文中宋"/>
          <w:b/>
        </w:rPr>
      </w:pPr>
    </w:p>
    <w:p w14:paraId="5149DE96">
      <w:pPr>
        <w:snapToGrid w:val="0"/>
        <w:ind w:left="420" w:hanging="420" w:hangingChars="200"/>
        <w:rPr>
          <w:rFonts w:ascii="华文中宋" w:hAnsi="华文中宋" w:eastAsia="华文中宋" w:cs="华文中宋"/>
          <w:b/>
        </w:rPr>
      </w:pPr>
    </w:p>
    <w:p w14:paraId="6B252A1F">
      <w:pPr>
        <w:spacing w:line="480" w:lineRule="exact"/>
        <w:rPr>
          <w:rFonts w:ascii="华文中宋" w:hAnsi="华文中宋" w:eastAsia="华文中宋" w:cs="华文中宋"/>
          <w:b/>
        </w:rPr>
      </w:pPr>
    </w:p>
    <w:p w14:paraId="441E8657">
      <w:pPr>
        <w:spacing w:line="480" w:lineRule="exact"/>
        <w:rPr>
          <w:rFonts w:ascii="华文中宋" w:hAnsi="华文中宋" w:eastAsia="华文中宋" w:cs="华文中宋"/>
          <w:b/>
        </w:rPr>
      </w:pPr>
    </w:p>
    <w:p w14:paraId="0418F9EE">
      <w:pPr>
        <w:pStyle w:val="47"/>
        <w:rPr>
          <w:rFonts w:ascii="华文中宋" w:hAnsi="华文中宋" w:eastAsia="华文中宋" w:cs="华文中宋"/>
          <w:b/>
        </w:rPr>
      </w:pPr>
    </w:p>
    <w:p w14:paraId="459F9471">
      <w:pPr>
        <w:pStyle w:val="47"/>
        <w:rPr>
          <w:rFonts w:ascii="华文中宋" w:hAnsi="华文中宋" w:eastAsia="华文中宋" w:cs="华文中宋"/>
          <w:b/>
        </w:rPr>
      </w:pPr>
    </w:p>
    <w:p w14:paraId="00A8B083">
      <w:pPr>
        <w:snapToGrid w:val="0"/>
        <w:spacing w:line="276" w:lineRule="auto"/>
        <w:rPr>
          <w:rFonts w:ascii="华文中宋" w:hAnsi="华文中宋" w:eastAsia="华文中宋" w:cs="华文中宋"/>
          <w:b/>
        </w:rPr>
      </w:pP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0097E493">
      <w:pPr>
        <w:snapToGrid w:val="0"/>
        <w:spacing w:line="360" w:lineRule="auto"/>
        <w:ind w:left="500" w:hanging="500" w:hangingChars="200"/>
        <w:jc w:val="left"/>
        <w:rPr>
          <w:rFonts w:ascii="华文中宋" w:hAnsi="华文中宋" w:eastAsia="华文中宋"/>
          <w:bCs/>
          <w:spacing w:val="6"/>
          <w:szCs w:val="21"/>
        </w:rPr>
      </w:pPr>
      <w:r>
        <w:rPr>
          <w:rFonts w:hint="eastAsia" w:ascii="华文中宋" w:hAnsi="华文中宋" w:eastAsia="华文中宋"/>
          <w:b/>
          <w:bCs/>
          <w:spacing w:val="20"/>
          <w:szCs w:val="21"/>
        </w:rPr>
        <w:t>法定代表人（负责人）身份证明书格式</w:t>
      </w:r>
    </w:p>
    <w:p w14:paraId="0BE39ED0">
      <w:pPr>
        <w:snapToGrid w:val="0"/>
        <w:spacing w:line="360" w:lineRule="auto"/>
        <w:ind w:left="500" w:hanging="500" w:hangingChars="200"/>
        <w:jc w:val="center"/>
        <w:rPr>
          <w:rFonts w:ascii="华文中宋" w:hAnsi="华文中宋" w:eastAsia="华文中宋"/>
          <w:b/>
          <w:bCs/>
          <w:spacing w:val="20"/>
          <w:szCs w:val="21"/>
        </w:rPr>
      </w:pPr>
    </w:p>
    <w:p w14:paraId="2C4976EB">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573BB6BA">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48CCDD49">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23961895">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2FB7307B">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0C7AB361">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7A222A7A">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093472F5">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52E987E7">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2A721BA4">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特此证明。   </w:t>
      </w:r>
    </w:p>
    <w:p w14:paraId="6EFCCEA6">
      <w:pPr>
        <w:tabs>
          <w:tab w:val="left" w:pos="4000"/>
        </w:tabs>
        <w:snapToGrid w:val="0"/>
        <w:spacing w:line="360" w:lineRule="auto"/>
        <w:rPr>
          <w:rFonts w:ascii="华文中宋" w:hAnsi="华文中宋" w:eastAsia="华文中宋" w:cs="华文中宋"/>
          <w:spacing w:val="20"/>
          <w:szCs w:val="21"/>
        </w:rPr>
      </w:pPr>
      <w:r>
        <w:rPr>
          <w:rFonts w:hint="eastAsia" w:ascii="华文中宋" w:hAnsi="华文中宋" w:eastAsia="华文中宋" w:cs="华文中宋"/>
          <w:spacing w:val="20"/>
          <w:szCs w:val="21"/>
        </w:rPr>
        <w:tab/>
      </w:r>
      <w:r>
        <w:rPr>
          <w:rFonts w:hint="eastAsia" w:ascii="华文中宋" w:hAnsi="华文中宋" w:eastAsia="华文中宋" w:cs="华文中宋"/>
          <w:spacing w:val="20"/>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pacing w:val="20"/>
          <w:szCs w:val="21"/>
        </w:rPr>
        <w:t xml:space="preserve"> (</w:t>
      </w:r>
      <w:r>
        <w:rPr>
          <w:rFonts w:hint="eastAsia" w:ascii="华文中宋" w:hAnsi="华文中宋" w:eastAsia="华文中宋"/>
          <w:spacing w:val="20"/>
          <w:szCs w:val="21"/>
        </w:rPr>
        <w:t>电子公章</w:t>
      </w:r>
      <w:r>
        <w:rPr>
          <w:rFonts w:hint="eastAsia" w:ascii="华文中宋" w:hAnsi="华文中宋" w:eastAsia="华文中宋" w:cs="华文中宋"/>
          <w:spacing w:val="20"/>
          <w:szCs w:val="21"/>
        </w:rPr>
        <w:t>)</w:t>
      </w:r>
    </w:p>
    <w:p w14:paraId="002F334A">
      <w:pPr>
        <w:tabs>
          <w:tab w:val="left" w:pos="4490"/>
        </w:tabs>
        <w:snapToGrid w:val="0"/>
        <w:spacing w:line="360" w:lineRule="auto"/>
        <w:rPr>
          <w:rFonts w:ascii="华文中宋" w:hAnsi="华文中宋" w:eastAsia="华文中宋" w:cs="华文中宋"/>
          <w:szCs w:val="21"/>
        </w:rPr>
      </w:pPr>
      <w:r>
        <w:rPr>
          <w:rFonts w:hint="eastAsia" w:ascii="华文中宋" w:hAnsi="华文中宋" w:eastAsia="华文中宋" w:cs="华文中宋"/>
          <w:spacing w:val="20"/>
          <w:szCs w:val="21"/>
        </w:rPr>
        <w:tab/>
      </w:r>
      <w:r>
        <w:rPr>
          <w:rFonts w:hint="eastAsia" w:ascii="华文中宋" w:hAnsi="华文中宋" w:eastAsia="华文中宋" w:cs="华文中宋"/>
          <w:spacing w:val="20"/>
          <w:szCs w:val="21"/>
        </w:rPr>
        <w:t>年   月   日</w:t>
      </w:r>
    </w:p>
    <w:p w14:paraId="76778A23">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附法定代表人有效的身份证原件正反两面</w:t>
      </w:r>
      <w:r>
        <w:rPr>
          <w:rFonts w:hint="eastAsia" w:ascii="华文中宋" w:hAnsi="华文中宋" w:eastAsia="华文中宋"/>
          <w:b/>
          <w:szCs w:val="21"/>
        </w:rPr>
        <w:t>扫描件</w:t>
      </w:r>
    </w:p>
    <w:tbl>
      <w:tblPr>
        <w:tblStyle w:val="3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F67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6B62AD7D">
            <w:pPr>
              <w:spacing w:line="276" w:lineRule="auto"/>
              <w:rPr>
                <w:rFonts w:ascii="华文中宋" w:hAnsi="华文中宋" w:eastAsia="华文中宋" w:cs="华文中宋"/>
                <w:b/>
                <w:szCs w:val="21"/>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32F31D22">
            <w:pPr>
              <w:spacing w:line="276" w:lineRule="auto"/>
              <w:rPr>
                <w:rFonts w:ascii="华文中宋" w:hAnsi="华文中宋" w:eastAsia="华文中宋" w:cs="华文中宋"/>
                <w:b/>
                <w:szCs w:val="21"/>
              </w:rPr>
            </w:pPr>
          </w:p>
        </w:tc>
      </w:tr>
    </w:tbl>
    <w:p w14:paraId="3BC04CE5">
      <w:pPr>
        <w:snapToGrid w:val="0"/>
        <w:spacing w:before="100" w:beforeAutospacing="1" w:after="100" w:afterAutospacing="1" w:line="360" w:lineRule="auto"/>
        <w:rPr>
          <w:rFonts w:ascii="华文中宋" w:hAnsi="华文中宋" w:eastAsia="华文中宋"/>
          <w:b/>
          <w:bCs/>
          <w:sz w:val="24"/>
        </w:rPr>
      </w:pPr>
    </w:p>
    <w:p w14:paraId="6CCDF008">
      <w:pPr>
        <w:snapToGrid w:val="0"/>
        <w:spacing w:before="100" w:beforeAutospacing="1" w:after="100" w:afterAutospacing="1" w:line="360" w:lineRule="auto"/>
        <w:rPr>
          <w:rFonts w:ascii="华文中宋" w:hAnsi="华文中宋" w:eastAsia="华文中宋"/>
          <w:b/>
          <w:bCs/>
          <w:sz w:val="24"/>
        </w:rPr>
      </w:pPr>
    </w:p>
    <w:p w14:paraId="0B0B2411">
      <w:pPr>
        <w:snapToGrid w:val="0"/>
        <w:spacing w:before="100" w:beforeAutospacing="1" w:after="100" w:afterAutospacing="1" w:line="360" w:lineRule="auto"/>
        <w:rPr>
          <w:rFonts w:ascii="华文中宋" w:hAnsi="华文中宋" w:eastAsia="华文中宋"/>
          <w:b/>
          <w:bCs/>
          <w:sz w:val="24"/>
        </w:rPr>
      </w:pPr>
    </w:p>
    <w:p w14:paraId="2952F812">
      <w:pPr>
        <w:snapToGrid w:val="0"/>
        <w:spacing w:before="100" w:beforeAutospacing="1" w:after="100" w:afterAutospacing="1" w:line="360" w:lineRule="auto"/>
        <w:rPr>
          <w:rFonts w:ascii="华文中宋" w:hAnsi="华文中宋" w:eastAsia="华文中宋"/>
          <w:b/>
          <w:bCs/>
          <w:sz w:val="24"/>
        </w:rPr>
      </w:pPr>
    </w:p>
    <w:p w14:paraId="3832355A">
      <w:pPr>
        <w:pStyle w:val="47"/>
      </w:pPr>
    </w:p>
    <w:p w14:paraId="77F750E7">
      <w:pPr>
        <w:snapToGrid w:val="0"/>
        <w:spacing w:beforeAutospacing="1" w:afterAutospacing="1" w:line="276" w:lineRule="auto"/>
        <w:rPr>
          <w:rFonts w:ascii="华文中宋" w:hAnsi="华文中宋" w:eastAsia="华文中宋" w:cs="华文中宋"/>
          <w:b/>
          <w:sz w:val="24"/>
        </w:rPr>
      </w:pPr>
    </w:p>
    <w:p w14:paraId="2E9114A7">
      <w:pPr>
        <w:snapToGrid w:val="0"/>
        <w:spacing w:line="360" w:lineRule="auto"/>
        <w:rPr>
          <w:rFonts w:ascii="华文中宋" w:hAnsi="华文中宋" w:eastAsia="华文中宋" w:cs="华文中宋"/>
          <w:b/>
          <w:bCs/>
          <w:sz w:val="24"/>
        </w:rPr>
      </w:pPr>
      <w:r>
        <w:rPr>
          <w:rFonts w:hint="eastAsia" w:ascii="华文中宋" w:hAnsi="华文中宋" w:eastAsia="华文中宋" w:cs="华文中宋"/>
          <w:b/>
          <w:sz w:val="24"/>
        </w:rPr>
        <w:t>法定代表人（负责人）授权委托书格式</w:t>
      </w:r>
    </w:p>
    <w:p w14:paraId="629A7E60">
      <w:pPr>
        <w:snapToGrid w:val="0"/>
        <w:spacing w:line="360" w:lineRule="auto"/>
        <w:ind w:left="480" w:hanging="480" w:hangingChars="200"/>
        <w:jc w:val="center"/>
        <w:rPr>
          <w:rFonts w:ascii="华文中宋" w:hAnsi="华文中宋" w:eastAsia="华文中宋" w:cs="华文中宋"/>
          <w:b/>
          <w:sz w:val="24"/>
        </w:rPr>
      </w:pPr>
      <w:r>
        <w:rPr>
          <w:rFonts w:hint="eastAsia" w:ascii="华文中宋" w:hAnsi="华文中宋" w:eastAsia="华文中宋" w:cs="华文中宋"/>
          <w:b/>
          <w:sz w:val="24"/>
        </w:rPr>
        <w:t xml:space="preserve"> 法定代表人（负责人）授权委托书   </w:t>
      </w:r>
    </w:p>
    <w:p w14:paraId="6455B099">
      <w:pPr>
        <w:snapToGrid w:val="0"/>
        <w:spacing w:line="360" w:lineRule="auto"/>
        <w:rPr>
          <w:rFonts w:ascii="华文中宋" w:hAnsi="华文中宋" w:eastAsia="华文中宋" w:cs="华文中宋"/>
          <w:b/>
          <w:szCs w:val="21"/>
        </w:rPr>
      </w:pPr>
      <w:r>
        <w:rPr>
          <w:rFonts w:hint="eastAsia" w:ascii="华文中宋" w:hAnsi="华文中宋" w:eastAsia="华文中宋"/>
          <w:szCs w:val="21"/>
          <w:lang w:eastAsia="zh-CN"/>
        </w:rPr>
        <w:t>长治市上党区政府采购中心</w:t>
      </w:r>
      <w:r>
        <w:rPr>
          <w:rFonts w:hint="eastAsia" w:ascii="华文中宋" w:hAnsi="华文中宋" w:eastAsia="华文中宋" w:cs="华文中宋"/>
          <w:b/>
          <w:szCs w:val="21"/>
        </w:rPr>
        <w:t>：</w:t>
      </w:r>
    </w:p>
    <w:p w14:paraId="303D218C">
      <w:pPr>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 xml:space="preserve">    本授权委托书声明：注册于（投标人住址）的（投标人名称）法定代表人（法定代表人姓名、职务、身份证号）代表本公司授权（投标人代表姓名、职务、身份证号）为本公司的合法代理人，就贵方组织项目，项目编号：，以本公司名义处理一切与之有关的事务。</w:t>
      </w:r>
    </w:p>
    <w:p w14:paraId="4D58E1FD">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本授权书于    年  月  日生效，特此声明。                                  </w:t>
      </w:r>
    </w:p>
    <w:p w14:paraId="2272EFBB">
      <w:pPr>
        <w:snapToGrid w:val="0"/>
        <w:spacing w:line="360" w:lineRule="auto"/>
        <w:jc w:val="right"/>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spacing w:val="20"/>
          <w:szCs w:val="21"/>
        </w:rPr>
        <w:t>电子公章</w:t>
      </w:r>
      <w:r>
        <w:rPr>
          <w:rFonts w:hint="eastAsia" w:ascii="华文中宋" w:hAnsi="华文中宋" w:eastAsia="华文中宋" w:cs="华文中宋"/>
          <w:szCs w:val="21"/>
        </w:rPr>
        <w:t>）</w:t>
      </w:r>
    </w:p>
    <w:p w14:paraId="1222EE79">
      <w:pPr>
        <w:snapToGrid w:val="0"/>
        <w:spacing w:line="360" w:lineRule="auto"/>
        <w:ind w:left="5250" w:leftChars="200" w:hanging="4830" w:hangingChars="2300"/>
        <w:jc w:val="right"/>
        <w:rPr>
          <w:rFonts w:ascii="华文中宋" w:hAnsi="华文中宋" w:eastAsia="华文中宋" w:cs="华文中宋"/>
          <w:szCs w:val="21"/>
        </w:rPr>
      </w:pPr>
      <w:r>
        <w:rPr>
          <w:rFonts w:hint="eastAsia" w:ascii="华文中宋" w:hAnsi="华文中宋" w:eastAsia="华文中宋" w:cs="华文中宋"/>
          <w:szCs w:val="21"/>
        </w:rPr>
        <w:t>法定代表人（负责人）：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szCs w:val="21"/>
        </w:rPr>
        <w:t>法定代表人电子签</w:t>
      </w:r>
      <w:r>
        <w:rPr>
          <w:rFonts w:hint="eastAsia" w:ascii="华文中宋" w:hAnsi="华文中宋" w:eastAsia="华文中宋" w:cs="华文中宋"/>
          <w:szCs w:val="21"/>
        </w:rPr>
        <w:t>章</w:t>
      </w:r>
      <w:r>
        <w:rPr>
          <w:rFonts w:hint="eastAsia" w:ascii="华文中宋" w:hAnsi="华文中宋" w:eastAsia="华文中宋"/>
          <w:szCs w:val="21"/>
        </w:rPr>
        <w:t xml:space="preserve">）                                                                               </w:t>
      </w:r>
      <w:r>
        <w:rPr>
          <w:rFonts w:hint="eastAsia" w:ascii="华文中宋" w:hAnsi="华文中宋" w:eastAsia="华文中宋" w:cs="华文中宋"/>
          <w:szCs w:val="21"/>
        </w:rPr>
        <w:t>年  月  日</w:t>
      </w:r>
    </w:p>
    <w:p w14:paraId="5957A354">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附投标人代表有效的身份证原件正反两面</w:t>
      </w:r>
      <w:r>
        <w:rPr>
          <w:rFonts w:hint="eastAsia" w:ascii="华文中宋" w:hAnsi="华文中宋" w:eastAsia="华文中宋"/>
          <w:b/>
          <w:szCs w:val="21"/>
        </w:rPr>
        <w:t>扫描件</w:t>
      </w:r>
    </w:p>
    <w:tbl>
      <w:tblPr>
        <w:tblStyle w:val="3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BA6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51707609">
            <w:pPr>
              <w:spacing w:line="276" w:lineRule="auto"/>
              <w:rPr>
                <w:rFonts w:ascii="华文中宋" w:hAnsi="华文中宋" w:eastAsia="华文中宋" w:cs="华文中宋"/>
                <w:b/>
                <w:szCs w:val="21"/>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2EA23F73">
            <w:pPr>
              <w:spacing w:line="276" w:lineRule="auto"/>
              <w:rPr>
                <w:rFonts w:ascii="华文中宋" w:hAnsi="华文中宋" w:eastAsia="华文中宋" w:cs="华文中宋"/>
                <w:b/>
                <w:szCs w:val="21"/>
              </w:rPr>
            </w:pPr>
          </w:p>
        </w:tc>
      </w:tr>
    </w:tbl>
    <w:p w14:paraId="19AB164B">
      <w:pPr>
        <w:spacing w:line="276" w:lineRule="auto"/>
        <w:rPr>
          <w:rFonts w:ascii="华文中宋" w:hAnsi="华文中宋" w:eastAsia="华文中宋" w:cs="华文中宋"/>
          <w:bCs/>
          <w:sz w:val="24"/>
        </w:rPr>
      </w:pPr>
      <w:r>
        <w:rPr>
          <w:rFonts w:hint="eastAsia" w:ascii="华文中宋" w:hAnsi="华文中宋" w:eastAsia="华文中宋"/>
          <w:b/>
          <w:szCs w:val="21"/>
        </w:rPr>
        <w:br w:type="page"/>
      </w:r>
      <w:r>
        <w:rPr>
          <w:rFonts w:hint="eastAsia" w:ascii="华文中宋" w:hAnsi="华文中宋" w:eastAsia="华文中宋" w:cs="华文中宋"/>
          <w:b/>
          <w:sz w:val="24"/>
        </w:rPr>
        <w:t>二、 投标函格式</w:t>
      </w:r>
    </w:p>
    <w:p w14:paraId="089CBCDA">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119EA204">
      <w:pPr>
        <w:tabs>
          <w:tab w:val="left" w:pos="4860"/>
        </w:tabs>
        <w:spacing w:line="360" w:lineRule="auto"/>
        <w:rPr>
          <w:rFonts w:ascii="华文中宋" w:hAnsi="华文中宋" w:eastAsia="华文中宋" w:cs="华文中宋"/>
        </w:rPr>
      </w:pPr>
      <w:r>
        <w:rPr>
          <w:rFonts w:hint="eastAsia" w:ascii="华文中宋" w:hAnsi="华文中宋" w:eastAsia="华文中宋"/>
          <w:b/>
          <w:bCs/>
          <w:szCs w:val="21"/>
          <w:lang w:eastAsia="zh-CN"/>
        </w:rPr>
        <w:t>长治市上党区政府采购中心</w:t>
      </w:r>
      <w:r>
        <w:rPr>
          <w:rFonts w:hint="eastAsia" w:ascii="华文中宋" w:hAnsi="华文中宋" w:eastAsia="华文中宋" w:cs="华文中宋"/>
          <w:b/>
          <w:szCs w:val="21"/>
        </w:rPr>
        <w:t>：</w:t>
      </w:r>
    </w:p>
    <w:p w14:paraId="7B01085E">
      <w:pPr>
        <w:pStyle w:val="33"/>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hint="eastAsia" w:ascii="华文中宋" w:hAnsi="华文中宋" w:eastAsia="华文中宋" w:cs="华文中宋"/>
          <w:kern w:val="2"/>
          <w:sz w:val="21"/>
          <w:szCs w:val="21"/>
        </w:rPr>
        <w:t>(投标人全称)授权(投标人代表姓名)(职务、职称)为我方代表，参加贵方组织的(项目名称、项目编号)招标的有关活动，并对此项目进行投标。为此：</w:t>
      </w:r>
    </w:p>
    <w:p w14:paraId="7FCEBCF1">
      <w:pPr>
        <w:pStyle w:val="33"/>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1、我方已仔细研究了本项目招标文件的全部内容，愿意以以下投标报价，按照招标文件要求及合同约定完成项目。</w:t>
      </w:r>
    </w:p>
    <w:p w14:paraId="1BC0D46F">
      <w:pPr>
        <w:pStyle w:val="33"/>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第一包：人民币（大写）元（￥元）</w:t>
      </w:r>
    </w:p>
    <w:p w14:paraId="71BB761B">
      <w:pPr>
        <w:pStyle w:val="33"/>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第二包：人民币（大写）元（￥元）</w:t>
      </w:r>
    </w:p>
    <w:p w14:paraId="177FA74B">
      <w:pPr>
        <w:pStyle w:val="33"/>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u w:val="single"/>
        </w:rPr>
      </w:pPr>
      <w:r>
        <w:rPr>
          <w:rFonts w:hint="eastAsia" w:ascii="华文中宋" w:hAnsi="华文中宋" w:eastAsia="华文中宋" w:cs="华文中宋"/>
          <w:sz w:val="21"/>
          <w:szCs w:val="21"/>
        </w:rPr>
        <w:t>……</w:t>
      </w:r>
    </w:p>
    <w:p w14:paraId="03AAC2CE">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2、我方同意在本项目招标文件中规定的投标文件有效期</w:t>
      </w:r>
      <w:r>
        <w:rPr>
          <w:rFonts w:hint="eastAsia"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个日历天内（自递交投标文件之日起计算）遵守本投标文件中的承诺且在此期限期满之前均具有约束力。如果中标，投标文件有效期延长至合同履约完毕。</w:t>
      </w:r>
    </w:p>
    <w:p w14:paraId="33B3EB31">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3、我方承诺已经具备《中华人民共和国政府采购法》中规定的参加政府采购活动的供应商应当具备的全部条件和本招标文件规定的特定资质要求。</w:t>
      </w:r>
    </w:p>
    <w:p w14:paraId="124ED09D">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4、提供投标须知规定的全部投标文件。</w:t>
      </w:r>
    </w:p>
    <w:p w14:paraId="631E2A7E">
      <w:pPr>
        <w:snapToGrid w:val="0"/>
        <w:spacing w:line="360" w:lineRule="auto"/>
        <w:ind w:firstLine="420" w:firstLineChars="200"/>
        <w:rPr>
          <w:rFonts w:ascii="华文中宋" w:hAnsi="华文中宋" w:eastAsia="华文中宋" w:cs="华文中宋"/>
          <w:kern w:val="0"/>
          <w:szCs w:val="21"/>
        </w:rPr>
      </w:pPr>
      <w:r>
        <w:rPr>
          <w:rFonts w:hint="eastAsia" w:ascii="华文中宋" w:hAnsi="华文中宋" w:eastAsia="华文中宋" w:cs="华文中宋"/>
          <w:kern w:val="0"/>
          <w:szCs w:val="21"/>
        </w:rPr>
        <w:t>5、按招标文件要求提供和交付的货物（服务）的投标报价详见开标一览表报价明细表。</w:t>
      </w:r>
    </w:p>
    <w:p w14:paraId="6AC424EB">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6、我方承诺：完全理解投标报价超过招标文件公布的预算金额时，导致投标无效。</w:t>
      </w:r>
    </w:p>
    <w:p w14:paraId="72DBFDF9">
      <w:pPr>
        <w:pStyle w:val="33"/>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7、保证忠实地执行双方所签订的合同，并承担合同约定的责任和义务。</w:t>
      </w:r>
    </w:p>
    <w:p w14:paraId="031B15F6">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8、承诺完全满足和响应招标文件中的各项商务和技术要求。</w:t>
      </w:r>
    </w:p>
    <w:p w14:paraId="7C36CA0E">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9、保证遵守招标文件的所有规定。</w:t>
      </w:r>
    </w:p>
    <w:p w14:paraId="158260D9">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hint="eastAsia" w:ascii="华文中宋" w:hAnsi="华文中宋" w:eastAsia="华文中宋" w:cs="华文中宋"/>
          <w:sz w:val="21"/>
          <w:szCs w:val="21"/>
        </w:rPr>
        <w:t>10、对贵方在本次招标公告刊登的媒体上发布的公告或与本项目有关的通知，我方会及时查看获取。若因线路故障等其他原因导致通知延迟获取或无法获取，责任由我方自负。</w:t>
      </w:r>
    </w:p>
    <w:p w14:paraId="0338F53B">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11、如果在开标后规定的投标有效期内撤回投标，我方的投标保证金可被贵方没收。</w:t>
      </w:r>
    </w:p>
    <w:p w14:paraId="7595F840">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12、我方完全理解贵方不一定接受最低价的投标或收到的任何投标。</w:t>
      </w:r>
    </w:p>
    <w:p w14:paraId="16024D7F">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13、我方愿意向贵方提供任何与本项投标有关的数据、情况和技术资料。若贵方需要，我方愿意提供我方做出的一切承诺的证明材料。</w:t>
      </w:r>
    </w:p>
    <w:p w14:paraId="41899877">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14、我方已详细审核全部投标文件，包括投标文件修改书（如有的话）、参考资料及有关附件，确认无误。</w:t>
      </w:r>
    </w:p>
    <w:p w14:paraId="02858DB2">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15、我方承诺：采购人若需追加采购本项目招标文件所列货物及相关服务的，在不改变合同其他实质性条款的前提下，按相同或更优惠的折扣率保证供货。</w:t>
      </w:r>
    </w:p>
    <w:p w14:paraId="44EE05CA">
      <w:pPr>
        <w:pStyle w:val="3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16、我方承诺接受招标文件中合同全部条款且无任何异议。</w:t>
      </w:r>
    </w:p>
    <w:p w14:paraId="16B2822B">
      <w:pPr>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04A9422B">
      <w:pPr>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地址：</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ab/>
      </w:r>
      <w:r>
        <w:rPr>
          <w:rFonts w:hint="eastAsia" w:ascii="华文中宋" w:hAnsi="华文中宋" w:eastAsia="华文中宋" w:cs="华文中宋"/>
          <w:szCs w:val="21"/>
        </w:rPr>
        <w:t xml:space="preserve">          邮编：</w:t>
      </w:r>
      <w:r>
        <w:rPr>
          <w:rFonts w:hint="eastAsia" w:ascii="华文中宋" w:hAnsi="华文中宋" w:eastAsia="华文中宋"/>
          <w:spacing w:val="20"/>
          <w:szCs w:val="21"/>
          <w:u w:val="single"/>
        </w:rPr>
        <w:t xml:space="preserve">                </w:t>
      </w:r>
    </w:p>
    <w:p w14:paraId="088E0F12">
      <w:pPr>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电话：</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ab/>
      </w:r>
      <w:r>
        <w:rPr>
          <w:rFonts w:hint="eastAsia" w:ascii="华文中宋" w:hAnsi="华文中宋" w:eastAsia="华文中宋" w:cs="华文中宋"/>
          <w:szCs w:val="21"/>
        </w:rPr>
        <w:t xml:space="preserve">          传真：</w:t>
      </w:r>
      <w:r>
        <w:rPr>
          <w:rFonts w:hint="eastAsia" w:ascii="华文中宋" w:hAnsi="华文中宋" w:eastAsia="华文中宋"/>
          <w:spacing w:val="20"/>
          <w:szCs w:val="21"/>
          <w:u w:val="single"/>
        </w:rPr>
        <w:t xml:space="preserve">                </w:t>
      </w:r>
    </w:p>
    <w:p w14:paraId="06D6F230">
      <w:pPr>
        <w:tabs>
          <w:tab w:val="left" w:pos="480"/>
        </w:tabs>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投标人代表姓名：</w:t>
      </w:r>
      <w:r>
        <w:rPr>
          <w:rFonts w:hint="eastAsia" w:ascii="华文中宋" w:hAnsi="华文中宋" w:eastAsia="华文中宋"/>
          <w:spacing w:val="20"/>
          <w:szCs w:val="21"/>
          <w:u w:val="single"/>
        </w:rPr>
        <w:t xml:space="preserve">                </w:t>
      </w:r>
    </w:p>
    <w:p w14:paraId="504DAE63">
      <w:pPr>
        <w:tabs>
          <w:tab w:val="left" w:pos="480"/>
        </w:tabs>
        <w:snapToGrid w:val="0"/>
        <w:spacing w:line="360" w:lineRule="auto"/>
        <w:rPr>
          <w:rFonts w:ascii="华文中宋" w:hAnsi="华文中宋" w:eastAsia="华文中宋"/>
          <w:spacing w:val="20"/>
          <w:szCs w:val="21"/>
          <w:u w:val="single"/>
        </w:rPr>
      </w:pPr>
      <w:r>
        <w:rPr>
          <w:rFonts w:hint="eastAsia" w:ascii="华文中宋" w:hAnsi="华文中宋" w:eastAsia="华文中宋" w:cs="华文中宋"/>
          <w:szCs w:val="21"/>
        </w:rPr>
        <w:t>投标人代表联系电话：</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 xml:space="preserve"> （办公）</w:t>
      </w:r>
      <w:r>
        <w:rPr>
          <w:rFonts w:hint="eastAsia" w:ascii="华文中宋" w:hAnsi="华文中宋" w:eastAsia="华文中宋"/>
          <w:spacing w:val="20"/>
          <w:szCs w:val="21"/>
          <w:u w:val="single"/>
        </w:rPr>
        <w:t xml:space="preserve">                </w:t>
      </w:r>
      <w:r>
        <w:rPr>
          <w:rFonts w:hint="eastAsia" w:ascii="华文中宋" w:hAnsi="华文中宋" w:eastAsia="华文中宋" w:cs="华文中宋"/>
          <w:szCs w:val="21"/>
        </w:rPr>
        <w:t>（手机）</w:t>
      </w:r>
    </w:p>
    <w:p w14:paraId="08E474F7">
      <w:pPr>
        <w:tabs>
          <w:tab w:val="left" w:pos="480"/>
        </w:tabs>
        <w:snapToGrid w:val="0"/>
        <w:spacing w:line="360" w:lineRule="auto"/>
        <w:rPr>
          <w:rFonts w:ascii="华文中宋" w:hAnsi="华文中宋" w:eastAsia="华文中宋" w:cs="华文中宋"/>
          <w:szCs w:val="21"/>
        </w:rPr>
      </w:pPr>
      <w:r>
        <w:rPr>
          <w:rFonts w:hint="eastAsia" w:ascii="华文中宋" w:hAnsi="华文中宋" w:eastAsia="华文中宋" w:cs="华文中宋"/>
          <w:szCs w:val="21"/>
        </w:rPr>
        <w:t>E-mail：</w:t>
      </w:r>
      <w:r>
        <w:rPr>
          <w:rFonts w:hint="eastAsia" w:ascii="华文中宋" w:hAnsi="华文中宋" w:eastAsia="华文中宋"/>
          <w:spacing w:val="20"/>
          <w:szCs w:val="21"/>
          <w:u w:val="single"/>
        </w:rPr>
        <w:t xml:space="preserve">                </w:t>
      </w:r>
    </w:p>
    <w:p w14:paraId="44D4DCC3">
      <w:pPr>
        <w:snapToGrid w:val="0"/>
        <w:spacing w:line="360" w:lineRule="auto"/>
        <w:ind w:firstLine="3885" w:firstLineChars="1850"/>
        <w:jc w:val="right"/>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rPr>
        <w:t>：</w:t>
      </w:r>
      <w:r>
        <w:rPr>
          <w:rFonts w:hint="eastAsia" w:ascii="华文中宋" w:hAnsi="华文中宋" w:eastAsia="华文中宋"/>
          <w:spacing w:val="20"/>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 xml:space="preserve">）                                           </w:t>
      </w:r>
    </w:p>
    <w:p w14:paraId="28784B1F">
      <w:pPr>
        <w:snapToGrid w:val="0"/>
        <w:spacing w:line="360" w:lineRule="auto"/>
        <w:ind w:left="5670" w:leftChars="1850" w:hanging="1785" w:hangingChars="850"/>
        <w:jc w:val="right"/>
        <w:rPr>
          <w:rFonts w:ascii="华文中宋" w:hAnsi="华文中宋" w:eastAsia="华文中宋"/>
          <w:szCs w:val="21"/>
        </w:rPr>
      </w:pPr>
      <w:r>
        <w:rPr>
          <w:rFonts w:hint="eastAsia" w:ascii="华文中宋" w:hAnsi="华文中宋" w:eastAsia="华文中宋" w:cs="华文中宋"/>
          <w:szCs w:val="21"/>
        </w:rPr>
        <w:t>年  月  日</w:t>
      </w:r>
    </w:p>
    <w:p w14:paraId="57731994">
      <w:pPr>
        <w:spacing w:line="360" w:lineRule="exact"/>
        <w:ind w:left="315" w:hanging="315" w:hangingChars="150"/>
        <w:rPr>
          <w:rFonts w:ascii="华文中宋" w:hAnsi="华文中宋" w:eastAsia="华文中宋" w:cs="华文中宋"/>
          <w:kern w:val="0"/>
          <w:szCs w:val="21"/>
        </w:rPr>
      </w:pPr>
      <w:r>
        <w:rPr>
          <w:rFonts w:hint="eastAsia" w:ascii="华文中宋" w:hAnsi="华文中宋" w:eastAsia="华文中宋" w:cs="华文中宋"/>
          <w:kern w:val="0"/>
          <w:szCs w:val="21"/>
        </w:rPr>
        <w:t>注：内容完整，不得留空。</w:t>
      </w:r>
    </w:p>
    <w:p w14:paraId="4DB3BFC0">
      <w:pPr>
        <w:spacing w:line="360" w:lineRule="exact"/>
        <w:ind w:left="360" w:hanging="360" w:hangingChars="150"/>
        <w:rPr>
          <w:rFonts w:ascii="华文中宋" w:hAnsi="华文中宋" w:eastAsia="华文中宋" w:cs="华文中宋"/>
          <w:b/>
          <w:sz w:val="24"/>
        </w:rPr>
      </w:pPr>
    </w:p>
    <w:p w14:paraId="53FC5996">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cs="华文中宋"/>
          <w:b/>
          <w:sz w:val="24"/>
        </w:rPr>
        <w:t>三、对商务要求的响应内容</w:t>
      </w:r>
    </w:p>
    <w:p w14:paraId="07FB3A97">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根据本文件第四部分商务要求中的内容（例如：交货时间、交货地点等）进行响应。</w:t>
      </w:r>
    </w:p>
    <w:p w14:paraId="3646BC1C">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加盖投标人电子公章。</w:t>
      </w:r>
    </w:p>
    <w:p w14:paraId="5081BA4A">
      <w:pPr>
        <w:spacing w:line="360" w:lineRule="exact"/>
        <w:ind w:left="315" w:leftChars="150" w:firstLine="105" w:firstLineChars="50"/>
        <w:rPr>
          <w:rFonts w:ascii="华文中宋" w:hAnsi="华文中宋" w:eastAsia="华文中宋" w:cs="华文中宋"/>
          <w:szCs w:val="21"/>
        </w:rPr>
      </w:pPr>
    </w:p>
    <w:p w14:paraId="099E46DC">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cs="华文中宋"/>
          <w:b/>
          <w:sz w:val="24"/>
        </w:rPr>
        <w:t>四、对服务要求的响应内容</w:t>
      </w:r>
    </w:p>
    <w:p w14:paraId="02C13513">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根据本文件第四部分服务要求中的内容进行响应，包括服务方案响应情况、售后服务响应情况等。</w:t>
      </w:r>
    </w:p>
    <w:p w14:paraId="577AC32F">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（1）服务方案响应情况：实施时间进度表、实施交付使用标准、保障措施、培训承诺等。</w:t>
      </w:r>
    </w:p>
    <w:p w14:paraId="6764A043">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（2）售后服务响应情况：售后服务体系（售后服务网点、人员、设施情况，售后联系方式）、售后服务响应机制、维修承诺等。</w:t>
      </w:r>
    </w:p>
    <w:p w14:paraId="27CEB9E2">
      <w:pPr>
        <w:spacing w:line="360" w:lineRule="exact"/>
        <w:ind w:left="315" w:leftChars="150" w:firstLine="105" w:firstLineChars="50"/>
        <w:rPr>
          <w:rFonts w:ascii="华文中宋" w:hAnsi="华文中宋" w:eastAsia="华文中宋" w:cs="华文中宋"/>
          <w:b/>
          <w:szCs w:val="21"/>
        </w:rPr>
      </w:pPr>
      <w:r>
        <w:rPr>
          <w:rFonts w:hint="eastAsia" w:ascii="华文中宋" w:hAnsi="华文中宋" w:eastAsia="华文中宋" w:cs="华文中宋"/>
          <w:b/>
          <w:szCs w:val="21"/>
        </w:rPr>
        <w:t>加盖投标人电子公章。</w:t>
      </w:r>
    </w:p>
    <w:p w14:paraId="7E48B2CB">
      <w:pPr>
        <w:spacing w:line="360" w:lineRule="exact"/>
        <w:ind w:left="315" w:leftChars="150" w:firstLine="105" w:firstLineChars="50"/>
        <w:rPr>
          <w:rFonts w:ascii="华文中宋" w:hAnsi="华文中宋" w:eastAsia="华文中宋" w:cs="华文中宋"/>
          <w:b/>
          <w:szCs w:val="21"/>
        </w:rPr>
      </w:pPr>
    </w:p>
    <w:p w14:paraId="4B80D5A6">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cs="华文中宋"/>
          <w:b/>
          <w:sz w:val="24"/>
        </w:rPr>
        <w:t>五、对技术要求的响应内容</w:t>
      </w:r>
    </w:p>
    <w:p w14:paraId="4DE26971">
      <w:pPr>
        <w:spacing w:line="360" w:lineRule="exact"/>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1.根据本文件第四部分技术要求中的内容及采购需求明细表（技术参数及详细配置）进行响应；</w:t>
      </w:r>
    </w:p>
    <w:p w14:paraId="36F13322">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cs="华文中宋"/>
          <w:szCs w:val="21"/>
        </w:rPr>
        <w:t>2.</w:t>
      </w:r>
      <w:r>
        <w:rPr>
          <w:rFonts w:hint="eastAsia"/>
        </w:rPr>
        <w:t xml:space="preserve"> 《投报货物/服务技术偏离表》</w:t>
      </w:r>
      <w:r>
        <w:rPr>
          <w:rFonts w:hint="eastAsia" w:ascii="华文中宋" w:hAnsi="华文中宋" w:eastAsia="华文中宋" w:cs="华文中宋"/>
          <w:szCs w:val="21"/>
        </w:rPr>
        <w:t>。</w:t>
      </w:r>
    </w:p>
    <w:p w14:paraId="56AAB819">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投报货物</w:t>
      </w:r>
      <w:r>
        <w:rPr>
          <w:rFonts w:hint="eastAsia" w:ascii="华文中宋" w:hAnsi="华文中宋" w:eastAsia="华文中宋"/>
          <w:kern w:val="0"/>
        </w:rPr>
        <w:t>（加</w:t>
      </w:r>
      <w:r>
        <w:rPr>
          <w:rFonts w:hint="eastAsia" w:ascii="仿宋" w:hAnsi="仿宋" w:eastAsia="仿宋"/>
          <w:kern w:val="11"/>
          <w:szCs w:val="21"/>
        </w:rPr>
        <w:t>▲</w:t>
      </w:r>
      <w:r>
        <w:rPr>
          <w:rFonts w:hint="eastAsia" w:ascii="华文中宋" w:hAnsi="华文中宋" w:eastAsia="华文中宋"/>
          <w:kern w:val="0"/>
        </w:rPr>
        <w:t>号项技术指标）</w:t>
      </w:r>
      <w:r>
        <w:rPr>
          <w:rFonts w:hint="eastAsia" w:cs="华文中宋" w:asciiTheme="minorEastAsia" w:hAnsiTheme="minorEastAsia" w:eastAsiaTheme="minorEastAsia"/>
          <w:szCs w:val="21"/>
        </w:rPr>
        <w:t>技术偏离表（格式）</w:t>
      </w:r>
    </w:p>
    <w:tbl>
      <w:tblPr>
        <w:tblStyle w:val="3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6"/>
        <w:gridCol w:w="480"/>
        <w:gridCol w:w="1322"/>
        <w:gridCol w:w="582"/>
        <w:gridCol w:w="1917"/>
        <w:gridCol w:w="2037"/>
        <w:gridCol w:w="1207"/>
        <w:gridCol w:w="779"/>
      </w:tblGrid>
      <w:tr w14:paraId="300B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6115FAB2">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包号</w:t>
            </w:r>
          </w:p>
        </w:tc>
        <w:tc>
          <w:tcPr>
            <w:tcW w:w="480" w:type="dxa"/>
            <w:tcBorders>
              <w:top w:val="single" w:color="000000" w:sz="6" w:space="0"/>
              <w:left w:val="single" w:color="000000" w:sz="6" w:space="0"/>
              <w:bottom w:val="single" w:color="000000" w:sz="6" w:space="0"/>
              <w:right w:val="single" w:color="auto" w:sz="4" w:space="0"/>
            </w:tcBorders>
            <w:vAlign w:val="center"/>
          </w:tcPr>
          <w:p w14:paraId="3249DCCF">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序号</w:t>
            </w:r>
          </w:p>
        </w:tc>
        <w:tc>
          <w:tcPr>
            <w:tcW w:w="1322" w:type="dxa"/>
            <w:tcBorders>
              <w:top w:val="single" w:color="000000" w:sz="6" w:space="0"/>
              <w:left w:val="single" w:color="auto" w:sz="4" w:space="0"/>
              <w:bottom w:val="single" w:color="000000" w:sz="6" w:space="0"/>
              <w:right w:val="single" w:color="000000" w:sz="6" w:space="0"/>
            </w:tcBorders>
            <w:vAlign w:val="center"/>
          </w:tcPr>
          <w:p w14:paraId="3E84498D">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货物/服务名称</w:t>
            </w:r>
          </w:p>
        </w:tc>
        <w:tc>
          <w:tcPr>
            <w:tcW w:w="582" w:type="dxa"/>
            <w:tcBorders>
              <w:top w:val="single" w:color="000000" w:sz="6" w:space="0"/>
              <w:left w:val="single" w:color="000000" w:sz="6" w:space="0"/>
              <w:bottom w:val="single" w:color="000000" w:sz="6" w:space="0"/>
              <w:right w:val="single" w:color="000000" w:sz="6" w:space="0"/>
            </w:tcBorders>
            <w:vAlign w:val="center"/>
          </w:tcPr>
          <w:p w14:paraId="153B213B">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数量</w:t>
            </w:r>
          </w:p>
        </w:tc>
        <w:tc>
          <w:tcPr>
            <w:tcW w:w="1917" w:type="dxa"/>
            <w:tcBorders>
              <w:top w:val="single" w:color="000000" w:sz="6" w:space="0"/>
              <w:left w:val="single" w:color="000000" w:sz="6" w:space="0"/>
              <w:bottom w:val="single" w:color="000000" w:sz="6" w:space="0"/>
              <w:right w:val="single" w:color="000000" w:sz="6" w:space="0"/>
            </w:tcBorders>
            <w:vAlign w:val="center"/>
          </w:tcPr>
          <w:p w14:paraId="6E9E95F6">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文件</w:t>
            </w:r>
          </w:p>
          <w:p w14:paraId="5ECED510">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参数要求</w:t>
            </w:r>
          </w:p>
        </w:tc>
        <w:tc>
          <w:tcPr>
            <w:tcW w:w="2037" w:type="dxa"/>
            <w:tcBorders>
              <w:top w:val="single" w:color="000000" w:sz="6" w:space="0"/>
              <w:left w:val="single" w:color="000000" w:sz="6" w:space="0"/>
              <w:bottom w:val="single" w:color="000000" w:sz="6" w:space="0"/>
              <w:right w:val="single" w:color="000000" w:sz="6" w:space="0"/>
            </w:tcBorders>
            <w:vAlign w:val="center"/>
          </w:tcPr>
          <w:p w14:paraId="69E87D37">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响应文件对应</w:t>
            </w:r>
          </w:p>
          <w:p w14:paraId="03BA2F1C">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参数</w:t>
            </w:r>
          </w:p>
        </w:tc>
        <w:tc>
          <w:tcPr>
            <w:tcW w:w="1207" w:type="dxa"/>
            <w:tcBorders>
              <w:top w:val="single" w:color="000000" w:sz="6" w:space="0"/>
              <w:left w:val="single" w:color="000000" w:sz="6" w:space="0"/>
              <w:bottom w:val="single" w:color="000000" w:sz="6" w:space="0"/>
              <w:right w:val="single" w:color="000000" w:sz="6" w:space="0"/>
            </w:tcBorders>
            <w:vAlign w:val="center"/>
          </w:tcPr>
          <w:p w14:paraId="51718C90">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14:paraId="0626B9E0">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备注</w:t>
            </w:r>
          </w:p>
        </w:tc>
      </w:tr>
      <w:tr w14:paraId="30DA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 w:hRule="atLeast"/>
          <w:jc w:val="center"/>
        </w:trPr>
        <w:tc>
          <w:tcPr>
            <w:tcW w:w="626" w:type="dxa"/>
            <w:tcBorders>
              <w:top w:val="single" w:color="000000" w:sz="6" w:space="0"/>
              <w:left w:val="single" w:color="000000" w:sz="6" w:space="0"/>
              <w:bottom w:val="single" w:color="auto" w:sz="4" w:space="0"/>
              <w:right w:val="single" w:color="000000" w:sz="6" w:space="0"/>
            </w:tcBorders>
            <w:vAlign w:val="center"/>
          </w:tcPr>
          <w:p w14:paraId="07D87C3E">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4EF2B7B1">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1</w:t>
            </w:r>
          </w:p>
        </w:tc>
        <w:tc>
          <w:tcPr>
            <w:tcW w:w="1322" w:type="dxa"/>
            <w:tcBorders>
              <w:top w:val="single" w:color="000000" w:sz="6" w:space="0"/>
              <w:left w:val="single" w:color="auto" w:sz="4" w:space="0"/>
              <w:bottom w:val="single" w:color="000000" w:sz="6" w:space="0"/>
              <w:right w:val="single" w:color="000000" w:sz="6" w:space="0"/>
            </w:tcBorders>
            <w:vAlign w:val="center"/>
          </w:tcPr>
          <w:p w14:paraId="549871D5">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0028FCFC">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0F343F5E">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7F404ADE">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7F6FE07">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42D6B109">
            <w:pPr>
              <w:widowControl/>
              <w:snapToGrid w:val="0"/>
              <w:spacing w:line="460" w:lineRule="exact"/>
              <w:jc w:val="center"/>
              <w:rPr>
                <w:rFonts w:cs="华文中宋" w:asciiTheme="minorEastAsia" w:hAnsiTheme="minorEastAsia" w:eastAsiaTheme="minorEastAsia"/>
                <w:szCs w:val="21"/>
              </w:rPr>
            </w:pPr>
          </w:p>
        </w:tc>
      </w:tr>
      <w:tr w14:paraId="1AB6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auto" w:sz="4" w:space="0"/>
              <w:left w:val="single" w:color="000000" w:sz="6" w:space="0"/>
              <w:bottom w:val="single" w:color="000000" w:sz="6" w:space="0"/>
              <w:right w:val="single" w:color="000000" w:sz="6" w:space="0"/>
            </w:tcBorders>
            <w:vAlign w:val="center"/>
          </w:tcPr>
          <w:p w14:paraId="0449DAF8">
            <w:pPr>
              <w:widowControl/>
              <w:jc w:val="left"/>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3FC62867">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2</w:t>
            </w:r>
          </w:p>
        </w:tc>
        <w:tc>
          <w:tcPr>
            <w:tcW w:w="1322" w:type="dxa"/>
            <w:tcBorders>
              <w:top w:val="single" w:color="000000" w:sz="6" w:space="0"/>
              <w:left w:val="single" w:color="auto" w:sz="4" w:space="0"/>
              <w:bottom w:val="single" w:color="000000" w:sz="6" w:space="0"/>
              <w:right w:val="single" w:color="000000" w:sz="6" w:space="0"/>
            </w:tcBorders>
            <w:vAlign w:val="center"/>
          </w:tcPr>
          <w:p w14:paraId="1B2077E0">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0357A1C6">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6E979F4">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5964B7FD">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B770345">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31E25A6">
            <w:pPr>
              <w:widowControl/>
              <w:snapToGrid w:val="0"/>
              <w:spacing w:line="460" w:lineRule="exact"/>
              <w:jc w:val="center"/>
              <w:rPr>
                <w:rFonts w:cs="华文中宋" w:asciiTheme="minorEastAsia" w:hAnsiTheme="minorEastAsia" w:eastAsiaTheme="minorEastAsia"/>
                <w:szCs w:val="21"/>
              </w:rPr>
            </w:pPr>
          </w:p>
        </w:tc>
      </w:tr>
      <w:tr w14:paraId="5FBB1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3BDF1B02">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19F55C0C">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3</w:t>
            </w:r>
          </w:p>
        </w:tc>
        <w:tc>
          <w:tcPr>
            <w:tcW w:w="1322" w:type="dxa"/>
            <w:tcBorders>
              <w:top w:val="single" w:color="000000" w:sz="6" w:space="0"/>
              <w:left w:val="single" w:color="auto" w:sz="4" w:space="0"/>
              <w:bottom w:val="single" w:color="000000" w:sz="6" w:space="0"/>
              <w:right w:val="single" w:color="000000" w:sz="6" w:space="0"/>
            </w:tcBorders>
            <w:vAlign w:val="center"/>
          </w:tcPr>
          <w:p w14:paraId="16FB1FCC">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1EEE00CA">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38EBBEF">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7427BFFC">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F51C740">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5E285204">
            <w:pPr>
              <w:widowControl/>
              <w:snapToGrid w:val="0"/>
              <w:spacing w:line="460" w:lineRule="exact"/>
              <w:jc w:val="center"/>
              <w:rPr>
                <w:rFonts w:cs="华文中宋" w:asciiTheme="minorEastAsia" w:hAnsiTheme="minorEastAsia" w:eastAsiaTheme="minorEastAsia"/>
                <w:szCs w:val="21"/>
              </w:rPr>
            </w:pPr>
          </w:p>
        </w:tc>
      </w:tr>
      <w:tr w14:paraId="307B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0DB88415">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78349E12">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w:t>
            </w:r>
          </w:p>
        </w:tc>
        <w:tc>
          <w:tcPr>
            <w:tcW w:w="1322" w:type="dxa"/>
            <w:tcBorders>
              <w:top w:val="single" w:color="000000" w:sz="6" w:space="0"/>
              <w:left w:val="single" w:color="auto" w:sz="4" w:space="0"/>
              <w:bottom w:val="single" w:color="000000" w:sz="6" w:space="0"/>
              <w:right w:val="single" w:color="000000" w:sz="6" w:space="0"/>
            </w:tcBorders>
            <w:vAlign w:val="center"/>
          </w:tcPr>
          <w:p w14:paraId="1DF19D05">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31329230">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786D077C">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02564D7D">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0642C15">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2854915">
            <w:pPr>
              <w:widowControl/>
              <w:snapToGrid w:val="0"/>
              <w:spacing w:line="460" w:lineRule="exact"/>
              <w:jc w:val="center"/>
              <w:rPr>
                <w:rFonts w:cs="华文中宋" w:asciiTheme="minorEastAsia" w:hAnsiTheme="minorEastAsia" w:eastAsiaTheme="minorEastAsia"/>
                <w:szCs w:val="21"/>
              </w:rPr>
            </w:pPr>
          </w:p>
        </w:tc>
      </w:tr>
    </w:tbl>
    <w:p w14:paraId="15CC2AB4">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投报货物</w:t>
      </w:r>
      <w:r>
        <w:rPr>
          <w:rFonts w:hint="eastAsia" w:ascii="华文中宋" w:hAnsi="华文中宋" w:eastAsia="华文中宋"/>
          <w:kern w:val="0"/>
        </w:rPr>
        <w:t>（一般技术指标）</w:t>
      </w:r>
      <w:r>
        <w:rPr>
          <w:rFonts w:hint="eastAsia" w:cs="华文中宋" w:asciiTheme="minorEastAsia" w:hAnsiTheme="minorEastAsia" w:eastAsiaTheme="minorEastAsia"/>
          <w:szCs w:val="21"/>
        </w:rPr>
        <w:t>技术偏离表（格式）</w:t>
      </w:r>
    </w:p>
    <w:tbl>
      <w:tblPr>
        <w:tblStyle w:val="3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6"/>
        <w:gridCol w:w="480"/>
        <w:gridCol w:w="1322"/>
        <w:gridCol w:w="582"/>
        <w:gridCol w:w="1917"/>
        <w:gridCol w:w="2037"/>
        <w:gridCol w:w="1207"/>
        <w:gridCol w:w="779"/>
      </w:tblGrid>
      <w:tr w14:paraId="2FB0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632A0AC1">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包号</w:t>
            </w:r>
          </w:p>
        </w:tc>
        <w:tc>
          <w:tcPr>
            <w:tcW w:w="480" w:type="dxa"/>
            <w:tcBorders>
              <w:top w:val="single" w:color="000000" w:sz="6" w:space="0"/>
              <w:left w:val="single" w:color="000000" w:sz="6" w:space="0"/>
              <w:bottom w:val="single" w:color="000000" w:sz="6" w:space="0"/>
              <w:right w:val="single" w:color="auto" w:sz="4" w:space="0"/>
            </w:tcBorders>
            <w:vAlign w:val="center"/>
          </w:tcPr>
          <w:p w14:paraId="53A37693">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序号</w:t>
            </w:r>
          </w:p>
        </w:tc>
        <w:tc>
          <w:tcPr>
            <w:tcW w:w="1322" w:type="dxa"/>
            <w:tcBorders>
              <w:top w:val="single" w:color="000000" w:sz="6" w:space="0"/>
              <w:left w:val="single" w:color="auto" w:sz="4" w:space="0"/>
              <w:bottom w:val="single" w:color="000000" w:sz="6" w:space="0"/>
              <w:right w:val="single" w:color="000000" w:sz="6" w:space="0"/>
            </w:tcBorders>
            <w:vAlign w:val="center"/>
          </w:tcPr>
          <w:p w14:paraId="41F4F07F">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货物/服务名称</w:t>
            </w:r>
          </w:p>
        </w:tc>
        <w:tc>
          <w:tcPr>
            <w:tcW w:w="582" w:type="dxa"/>
            <w:tcBorders>
              <w:top w:val="single" w:color="000000" w:sz="6" w:space="0"/>
              <w:left w:val="single" w:color="000000" w:sz="6" w:space="0"/>
              <w:bottom w:val="single" w:color="000000" w:sz="6" w:space="0"/>
              <w:right w:val="single" w:color="000000" w:sz="6" w:space="0"/>
            </w:tcBorders>
            <w:vAlign w:val="center"/>
          </w:tcPr>
          <w:p w14:paraId="695456F0">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数量</w:t>
            </w:r>
          </w:p>
        </w:tc>
        <w:tc>
          <w:tcPr>
            <w:tcW w:w="1917" w:type="dxa"/>
            <w:tcBorders>
              <w:top w:val="single" w:color="000000" w:sz="6" w:space="0"/>
              <w:left w:val="single" w:color="000000" w:sz="6" w:space="0"/>
              <w:bottom w:val="single" w:color="000000" w:sz="6" w:space="0"/>
              <w:right w:val="single" w:color="000000" w:sz="6" w:space="0"/>
            </w:tcBorders>
            <w:vAlign w:val="center"/>
          </w:tcPr>
          <w:p w14:paraId="7F4C93A8">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文件</w:t>
            </w:r>
          </w:p>
          <w:p w14:paraId="2263AFA5">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参数要求</w:t>
            </w:r>
          </w:p>
        </w:tc>
        <w:tc>
          <w:tcPr>
            <w:tcW w:w="2037" w:type="dxa"/>
            <w:tcBorders>
              <w:top w:val="single" w:color="000000" w:sz="6" w:space="0"/>
              <w:left w:val="single" w:color="000000" w:sz="6" w:space="0"/>
              <w:bottom w:val="single" w:color="000000" w:sz="6" w:space="0"/>
              <w:right w:val="single" w:color="000000" w:sz="6" w:space="0"/>
            </w:tcBorders>
            <w:vAlign w:val="center"/>
          </w:tcPr>
          <w:p w14:paraId="1A7DF505">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响应文件对应</w:t>
            </w:r>
          </w:p>
          <w:p w14:paraId="465ABC77">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参数</w:t>
            </w:r>
          </w:p>
        </w:tc>
        <w:tc>
          <w:tcPr>
            <w:tcW w:w="1207" w:type="dxa"/>
            <w:tcBorders>
              <w:top w:val="single" w:color="000000" w:sz="6" w:space="0"/>
              <w:left w:val="single" w:color="000000" w:sz="6" w:space="0"/>
              <w:bottom w:val="single" w:color="000000" w:sz="6" w:space="0"/>
              <w:right w:val="single" w:color="000000" w:sz="6" w:space="0"/>
            </w:tcBorders>
            <w:vAlign w:val="center"/>
          </w:tcPr>
          <w:p w14:paraId="5FBF1476">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14:paraId="5CFD3A58">
            <w:pPr>
              <w:widowControl/>
              <w:snapToGrid w:val="0"/>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备注</w:t>
            </w:r>
          </w:p>
        </w:tc>
      </w:tr>
      <w:tr w14:paraId="636E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5" w:hRule="atLeast"/>
          <w:jc w:val="center"/>
        </w:trPr>
        <w:tc>
          <w:tcPr>
            <w:tcW w:w="626" w:type="dxa"/>
            <w:tcBorders>
              <w:top w:val="single" w:color="000000" w:sz="6" w:space="0"/>
              <w:left w:val="single" w:color="000000" w:sz="6" w:space="0"/>
              <w:bottom w:val="single" w:color="auto" w:sz="4" w:space="0"/>
              <w:right w:val="single" w:color="000000" w:sz="6" w:space="0"/>
            </w:tcBorders>
            <w:vAlign w:val="center"/>
          </w:tcPr>
          <w:p w14:paraId="4491DF01">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7999173A">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1</w:t>
            </w:r>
          </w:p>
        </w:tc>
        <w:tc>
          <w:tcPr>
            <w:tcW w:w="1322" w:type="dxa"/>
            <w:tcBorders>
              <w:top w:val="single" w:color="000000" w:sz="6" w:space="0"/>
              <w:left w:val="single" w:color="auto" w:sz="4" w:space="0"/>
              <w:bottom w:val="single" w:color="000000" w:sz="6" w:space="0"/>
              <w:right w:val="single" w:color="000000" w:sz="6" w:space="0"/>
            </w:tcBorders>
            <w:vAlign w:val="center"/>
          </w:tcPr>
          <w:p w14:paraId="1E2C23F9">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1858B5A1">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95FC0A9">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29D1E74B">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41DD2D0">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F3BBFBA">
            <w:pPr>
              <w:widowControl/>
              <w:snapToGrid w:val="0"/>
              <w:spacing w:line="460" w:lineRule="exact"/>
              <w:jc w:val="center"/>
              <w:rPr>
                <w:rFonts w:cs="华文中宋" w:asciiTheme="minorEastAsia" w:hAnsiTheme="minorEastAsia" w:eastAsiaTheme="minorEastAsia"/>
                <w:szCs w:val="21"/>
              </w:rPr>
            </w:pPr>
          </w:p>
        </w:tc>
      </w:tr>
      <w:tr w14:paraId="0765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auto" w:sz="4" w:space="0"/>
              <w:left w:val="single" w:color="000000" w:sz="6" w:space="0"/>
              <w:bottom w:val="single" w:color="000000" w:sz="6" w:space="0"/>
              <w:right w:val="single" w:color="000000" w:sz="6" w:space="0"/>
            </w:tcBorders>
            <w:vAlign w:val="center"/>
          </w:tcPr>
          <w:p w14:paraId="44AA5B1F">
            <w:pPr>
              <w:widowControl/>
              <w:jc w:val="left"/>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69EDB0FD">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2</w:t>
            </w:r>
          </w:p>
        </w:tc>
        <w:tc>
          <w:tcPr>
            <w:tcW w:w="1322" w:type="dxa"/>
            <w:tcBorders>
              <w:top w:val="single" w:color="000000" w:sz="6" w:space="0"/>
              <w:left w:val="single" w:color="auto" w:sz="4" w:space="0"/>
              <w:bottom w:val="single" w:color="000000" w:sz="6" w:space="0"/>
              <w:right w:val="single" w:color="000000" w:sz="6" w:space="0"/>
            </w:tcBorders>
            <w:vAlign w:val="center"/>
          </w:tcPr>
          <w:p w14:paraId="15B3C71B">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3B4CBE9F">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0CD01B1">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392C5CBC">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0DAF06D5">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82B2A70">
            <w:pPr>
              <w:widowControl/>
              <w:snapToGrid w:val="0"/>
              <w:spacing w:line="460" w:lineRule="exact"/>
              <w:jc w:val="center"/>
              <w:rPr>
                <w:rFonts w:cs="华文中宋" w:asciiTheme="minorEastAsia" w:hAnsiTheme="minorEastAsia" w:eastAsiaTheme="minorEastAsia"/>
                <w:szCs w:val="21"/>
              </w:rPr>
            </w:pPr>
          </w:p>
        </w:tc>
      </w:tr>
      <w:tr w14:paraId="1944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1439322A">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27D7D440">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3</w:t>
            </w:r>
          </w:p>
        </w:tc>
        <w:tc>
          <w:tcPr>
            <w:tcW w:w="1322" w:type="dxa"/>
            <w:tcBorders>
              <w:top w:val="single" w:color="000000" w:sz="6" w:space="0"/>
              <w:left w:val="single" w:color="auto" w:sz="4" w:space="0"/>
              <w:bottom w:val="single" w:color="000000" w:sz="6" w:space="0"/>
              <w:right w:val="single" w:color="000000" w:sz="6" w:space="0"/>
            </w:tcBorders>
            <w:vAlign w:val="center"/>
          </w:tcPr>
          <w:p w14:paraId="26547EF0">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03521E30">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36E7FEE1">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7BB0C116">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28AE9C4">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510DEEE">
            <w:pPr>
              <w:widowControl/>
              <w:snapToGrid w:val="0"/>
              <w:spacing w:line="460" w:lineRule="exact"/>
              <w:jc w:val="center"/>
              <w:rPr>
                <w:rFonts w:cs="华文中宋" w:asciiTheme="minorEastAsia" w:hAnsiTheme="minorEastAsia" w:eastAsiaTheme="minorEastAsia"/>
                <w:szCs w:val="21"/>
              </w:rPr>
            </w:pPr>
          </w:p>
        </w:tc>
      </w:tr>
      <w:tr w14:paraId="721C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626" w:type="dxa"/>
            <w:tcBorders>
              <w:top w:val="single" w:color="000000" w:sz="6" w:space="0"/>
              <w:left w:val="single" w:color="000000" w:sz="6" w:space="0"/>
              <w:bottom w:val="single" w:color="000000" w:sz="6" w:space="0"/>
              <w:right w:val="single" w:color="000000" w:sz="6" w:space="0"/>
            </w:tcBorders>
            <w:vAlign w:val="center"/>
          </w:tcPr>
          <w:p w14:paraId="1D756B49">
            <w:pPr>
              <w:widowControl/>
              <w:snapToGrid w:val="0"/>
              <w:spacing w:line="460" w:lineRule="exact"/>
              <w:jc w:val="center"/>
              <w:rPr>
                <w:rFonts w:cs="华文中宋" w:asciiTheme="minorEastAsia" w:hAnsiTheme="minorEastAsia" w:eastAsiaTheme="minorEastAsia"/>
                <w:szCs w:val="21"/>
              </w:rPr>
            </w:pPr>
          </w:p>
        </w:tc>
        <w:tc>
          <w:tcPr>
            <w:tcW w:w="480" w:type="dxa"/>
            <w:tcBorders>
              <w:top w:val="single" w:color="000000" w:sz="6" w:space="0"/>
              <w:left w:val="single" w:color="000000" w:sz="6" w:space="0"/>
              <w:bottom w:val="single" w:color="000000" w:sz="6" w:space="0"/>
              <w:right w:val="single" w:color="auto" w:sz="4" w:space="0"/>
            </w:tcBorders>
            <w:vAlign w:val="center"/>
          </w:tcPr>
          <w:p w14:paraId="6763813D">
            <w:pPr>
              <w:widowControl/>
              <w:snapToGrid w:val="0"/>
              <w:spacing w:line="460" w:lineRule="exact"/>
              <w:jc w:val="center"/>
              <w:rPr>
                <w:rFonts w:cs="华文中宋" w:asciiTheme="minorEastAsia" w:hAnsiTheme="minorEastAsia" w:eastAsiaTheme="minorEastAsia"/>
                <w:szCs w:val="21"/>
              </w:rPr>
            </w:pPr>
            <w:r>
              <w:rPr>
                <w:rFonts w:hint="eastAsia" w:cs="华文中宋" w:asciiTheme="minorEastAsia" w:hAnsiTheme="minorEastAsia" w:eastAsiaTheme="minorEastAsia"/>
                <w:szCs w:val="21"/>
              </w:rPr>
              <w:t>…</w:t>
            </w:r>
          </w:p>
        </w:tc>
        <w:tc>
          <w:tcPr>
            <w:tcW w:w="1322" w:type="dxa"/>
            <w:tcBorders>
              <w:top w:val="single" w:color="000000" w:sz="6" w:space="0"/>
              <w:left w:val="single" w:color="auto" w:sz="4" w:space="0"/>
              <w:bottom w:val="single" w:color="000000" w:sz="6" w:space="0"/>
              <w:right w:val="single" w:color="000000" w:sz="6" w:space="0"/>
            </w:tcBorders>
            <w:vAlign w:val="center"/>
          </w:tcPr>
          <w:p w14:paraId="0EAB2C4C">
            <w:pPr>
              <w:widowControl/>
              <w:snapToGrid w:val="0"/>
              <w:spacing w:line="460" w:lineRule="exact"/>
              <w:jc w:val="center"/>
              <w:rPr>
                <w:rFonts w:cs="华文中宋" w:asciiTheme="minorEastAsia" w:hAnsiTheme="minorEastAsia" w:eastAsiaTheme="minorEastAsia"/>
                <w:szCs w:val="21"/>
              </w:rPr>
            </w:pPr>
          </w:p>
        </w:tc>
        <w:tc>
          <w:tcPr>
            <w:tcW w:w="582" w:type="dxa"/>
            <w:tcBorders>
              <w:top w:val="single" w:color="000000" w:sz="6" w:space="0"/>
              <w:left w:val="single" w:color="000000" w:sz="6" w:space="0"/>
              <w:bottom w:val="single" w:color="000000" w:sz="6" w:space="0"/>
              <w:right w:val="single" w:color="000000" w:sz="6" w:space="0"/>
            </w:tcBorders>
            <w:vAlign w:val="center"/>
          </w:tcPr>
          <w:p w14:paraId="568D9568">
            <w:pPr>
              <w:widowControl/>
              <w:snapToGrid w:val="0"/>
              <w:spacing w:line="460" w:lineRule="exact"/>
              <w:jc w:val="center"/>
              <w:rPr>
                <w:rFonts w:cs="华文中宋" w:asciiTheme="minorEastAsia" w:hAnsiTheme="minorEastAsia" w:eastAsiaTheme="minorEastAsia"/>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71E05CD">
            <w:pPr>
              <w:widowControl/>
              <w:snapToGrid w:val="0"/>
              <w:spacing w:line="460" w:lineRule="exact"/>
              <w:jc w:val="center"/>
              <w:rPr>
                <w:rFonts w:cs="华文中宋" w:asciiTheme="minorEastAsia" w:hAnsiTheme="minorEastAsia" w:eastAsiaTheme="minorEastAsia"/>
                <w:szCs w:val="21"/>
              </w:rPr>
            </w:pPr>
          </w:p>
        </w:tc>
        <w:tc>
          <w:tcPr>
            <w:tcW w:w="2037" w:type="dxa"/>
            <w:tcBorders>
              <w:top w:val="single" w:color="000000" w:sz="6" w:space="0"/>
              <w:left w:val="single" w:color="000000" w:sz="6" w:space="0"/>
              <w:bottom w:val="single" w:color="000000" w:sz="6" w:space="0"/>
              <w:right w:val="single" w:color="000000" w:sz="6" w:space="0"/>
            </w:tcBorders>
            <w:vAlign w:val="center"/>
          </w:tcPr>
          <w:p w14:paraId="0340B82D">
            <w:pPr>
              <w:widowControl/>
              <w:snapToGrid w:val="0"/>
              <w:spacing w:line="460" w:lineRule="exact"/>
              <w:jc w:val="center"/>
              <w:rPr>
                <w:rFonts w:cs="华文中宋" w:asciiTheme="minorEastAsia" w:hAnsiTheme="minorEastAsia" w:eastAsiaTheme="minorEastAsia"/>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132F1280">
            <w:pPr>
              <w:widowControl/>
              <w:snapToGrid w:val="0"/>
              <w:spacing w:line="460" w:lineRule="exact"/>
              <w:jc w:val="center"/>
              <w:rPr>
                <w:rFonts w:cs="华文中宋" w:asciiTheme="minorEastAsia" w:hAnsiTheme="minorEastAsia" w:eastAsiaTheme="minorEastAsia"/>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93DDAE4">
            <w:pPr>
              <w:widowControl/>
              <w:snapToGrid w:val="0"/>
              <w:spacing w:line="460" w:lineRule="exact"/>
              <w:jc w:val="center"/>
              <w:rPr>
                <w:rFonts w:cs="华文中宋" w:asciiTheme="minorEastAsia" w:hAnsiTheme="minorEastAsia" w:eastAsiaTheme="minorEastAsia"/>
                <w:szCs w:val="21"/>
              </w:rPr>
            </w:pPr>
          </w:p>
        </w:tc>
      </w:tr>
    </w:tbl>
    <w:p w14:paraId="74F7BFAF">
      <w:pPr>
        <w:pStyle w:val="47"/>
      </w:pPr>
    </w:p>
    <w:p w14:paraId="5EBD3832">
      <w:pPr>
        <w:snapToGrid w:val="0"/>
        <w:spacing w:line="360" w:lineRule="exact"/>
        <w:ind w:right="1000"/>
        <w:rPr>
          <w:rFonts w:cs="华文中宋" w:asciiTheme="minorEastAsia" w:hAnsiTheme="minorEastAsia" w:eastAsiaTheme="minorEastAsia"/>
          <w:szCs w:val="21"/>
        </w:rPr>
      </w:pPr>
    </w:p>
    <w:p w14:paraId="26EF16B6">
      <w:pPr>
        <w:snapToGrid w:val="0"/>
        <w:spacing w:line="360" w:lineRule="exact"/>
        <w:jc w:val="right"/>
        <w:rPr>
          <w:rFonts w:cs="华文中宋" w:asciiTheme="minorEastAsia" w:hAnsiTheme="minorEastAsia" w:eastAsiaTheme="minorEastAsia"/>
          <w:szCs w:val="21"/>
        </w:rPr>
      </w:pPr>
      <w:r>
        <w:rPr>
          <w:rFonts w:hint="eastAsia" w:cs="华文中宋" w:asciiTheme="minorEastAsia" w:hAnsiTheme="minorEastAsia" w:eastAsiaTheme="minorEastAsia"/>
          <w:szCs w:val="21"/>
        </w:rPr>
        <w:t>报价人：                （电子公章）</w:t>
      </w:r>
    </w:p>
    <w:p w14:paraId="6B3E816A">
      <w:pPr>
        <w:wordWrap w:val="0"/>
        <w:snapToGrid w:val="0"/>
        <w:spacing w:line="360" w:lineRule="exact"/>
        <w:ind w:right="750" w:firstLine="1155" w:firstLineChars="550"/>
        <w:jc w:val="right"/>
        <w:rPr>
          <w:rFonts w:cs="华文中宋" w:asciiTheme="minorEastAsia" w:hAnsiTheme="minorEastAsia" w:eastAsiaTheme="minorEastAsia"/>
          <w:szCs w:val="21"/>
        </w:rPr>
      </w:pPr>
      <w:r>
        <w:rPr>
          <w:rFonts w:hint="eastAsia" w:cs="华文中宋" w:asciiTheme="minorEastAsia" w:hAnsiTheme="minorEastAsia" w:eastAsiaTheme="minorEastAsia"/>
          <w:szCs w:val="21"/>
        </w:rPr>
        <w:t xml:space="preserve">日期：      年      月     日 </w:t>
      </w:r>
    </w:p>
    <w:p w14:paraId="620C4727">
      <w:pPr>
        <w:pStyle w:val="47"/>
      </w:pPr>
    </w:p>
    <w:p w14:paraId="33C3857A">
      <w:pPr>
        <w:widowControl/>
        <w:snapToGrid w:val="0"/>
        <w:spacing w:line="460" w:lineRule="exact"/>
        <w:rPr>
          <w:rFonts w:ascii="方正小标宋_GBK" w:hAnsi="宋体" w:eastAsia="方正小标宋_GBK"/>
          <w:sz w:val="32"/>
          <w:szCs w:val="32"/>
        </w:rPr>
      </w:pPr>
    </w:p>
    <w:p w14:paraId="229C42CC">
      <w:pPr>
        <w:tabs>
          <w:tab w:val="left" w:pos="1680"/>
        </w:tabs>
        <w:snapToGrid w:val="0"/>
        <w:spacing w:line="360" w:lineRule="auto"/>
        <w:rPr>
          <w:rFonts w:ascii="华文中宋" w:hAnsi="华文中宋" w:eastAsia="华文中宋" w:cs="华文中宋"/>
          <w:b/>
          <w:sz w:val="24"/>
        </w:rPr>
      </w:pPr>
      <w:r>
        <w:rPr>
          <w:rFonts w:hint="eastAsia" w:ascii="华文中宋" w:hAnsi="华文中宋" w:eastAsia="华文中宋" w:cs="华文中宋"/>
          <w:b/>
          <w:sz w:val="24"/>
        </w:rPr>
        <w:t>六、涉及政府采购政策要求内容</w:t>
      </w:r>
    </w:p>
    <w:p w14:paraId="35AAC0B5">
      <w:pPr>
        <w:tabs>
          <w:tab w:val="left" w:pos="1680"/>
        </w:tabs>
        <w:snapToGrid w:val="0"/>
        <w:spacing w:line="360" w:lineRule="auto"/>
        <w:rPr>
          <w:rFonts w:ascii="华文中宋" w:hAnsi="华文中宋" w:eastAsia="华文中宋" w:cs="华文中宋"/>
          <w:b/>
          <w:sz w:val="24"/>
        </w:rPr>
      </w:pPr>
      <w:r>
        <w:rPr>
          <w:rFonts w:hint="eastAsia" w:ascii="华文中宋" w:hAnsi="华文中宋" w:eastAsia="华文中宋" w:cs="华文中宋"/>
          <w:b/>
          <w:sz w:val="24"/>
        </w:rPr>
        <w:t>（一）中小企业声明函格式（若涉及）</w:t>
      </w:r>
    </w:p>
    <w:p w14:paraId="0601E792">
      <w:pPr>
        <w:tabs>
          <w:tab w:val="left" w:pos="1680"/>
        </w:tabs>
        <w:spacing w:line="360" w:lineRule="auto"/>
        <w:jc w:val="center"/>
        <w:rPr>
          <w:rFonts w:ascii="Calibri" w:hAnsi="Calibri"/>
          <w:szCs w:val="22"/>
        </w:rPr>
      </w:pPr>
      <w:bookmarkStart w:id="93" w:name="OLE_LINK14"/>
      <w:bookmarkStart w:id="94" w:name="OLE_LINK13"/>
      <w:r>
        <w:rPr>
          <w:rFonts w:asciiTheme="minorEastAsia" w:hAnsiTheme="minorEastAsia" w:eastAsiaTheme="minorEastAsia"/>
          <w:b/>
          <w:szCs w:val="21"/>
        </w:rPr>
        <w:t>中小企业声明函</w:t>
      </w:r>
      <w:r>
        <w:rPr>
          <w:rFonts w:ascii="Calibri" w:hAnsi="Calibri"/>
          <w:szCs w:val="22"/>
        </w:rPr>
        <w:t xml:space="preserve"> </w:t>
      </w:r>
    </w:p>
    <w:p w14:paraId="49665505">
      <w:pPr>
        <w:tabs>
          <w:tab w:val="left" w:pos="1680"/>
        </w:tabs>
        <w:spacing w:line="560" w:lineRule="exact"/>
        <w:ind w:firstLine="420" w:firstLineChars="200"/>
        <w:jc w:val="left"/>
        <w:rPr>
          <w:rFonts w:ascii="Calibri" w:hAnsi="Calibri"/>
          <w:szCs w:val="22"/>
        </w:rPr>
      </w:pPr>
      <w:r>
        <w:rPr>
          <w:rFonts w:ascii="Calibri" w:hAnsi="Calibri"/>
          <w:szCs w:val="22"/>
        </w:rPr>
        <w:t>本公司（联合体）郑重声明，根据</w:t>
      </w:r>
      <w:r>
        <w:rPr>
          <w:rFonts w:hint="eastAsia" w:ascii="Calibri" w:hAnsi="Calibri"/>
          <w:szCs w:val="22"/>
        </w:rPr>
        <w:t>《</w:t>
      </w:r>
      <w:r>
        <w:rPr>
          <w:rFonts w:ascii="Calibri" w:hAnsi="Calibri"/>
          <w:szCs w:val="22"/>
        </w:rPr>
        <w:t>政府采购促进中小企业发展管理办法》（财库﹝2020﹞46号）的规定，本公司（联合体）参加</w:t>
      </w:r>
      <w:r>
        <w:rPr>
          <w:rFonts w:ascii="Calibri" w:hAnsi="Calibri"/>
          <w:szCs w:val="22"/>
          <w:u w:val="single"/>
        </w:rPr>
        <w:t>（单位名称）</w:t>
      </w:r>
      <w:r>
        <w:rPr>
          <w:rFonts w:ascii="Calibri" w:hAnsi="Calibri"/>
          <w:szCs w:val="22"/>
        </w:rPr>
        <w:t>的</w:t>
      </w:r>
      <w:r>
        <w:rPr>
          <w:rFonts w:ascii="Calibri" w:hAnsi="Calibri"/>
          <w:szCs w:val="22"/>
          <w:u w:val="single"/>
        </w:rPr>
        <w:t>（项目名称）</w:t>
      </w:r>
      <w:r>
        <w:rPr>
          <w:rFonts w:ascii="Calibri" w:hAnsi="Calibri"/>
          <w:szCs w:val="22"/>
        </w:rPr>
        <w:t>采购活动，提供的货物</w:t>
      </w:r>
      <w:r>
        <w:rPr>
          <w:rFonts w:hint="eastAsia" w:ascii="Calibri" w:hAnsi="Calibri"/>
          <w:szCs w:val="22"/>
        </w:rPr>
        <w:t>/服务</w:t>
      </w:r>
      <w:r>
        <w:rPr>
          <w:rFonts w:ascii="Calibri" w:hAnsi="Calibri"/>
          <w:szCs w:val="22"/>
        </w:rPr>
        <w:t>全部由符合政策要求的中小企业制造</w:t>
      </w:r>
      <w:r>
        <w:rPr>
          <w:rFonts w:hint="eastAsia" w:ascii="Calibri" w:hAnsi="Calibri"/>
          <w:szCs w:val="22"/>
        </w:rPr>
        <w:t>或提供</w:t>
      </w:r>
      <w:r>
        <w:rPr>
          <w:rFonts w:ascii="Calibri" w:hAnsi="Calibri"/>
          <w:szCs w:val="22"/>
        </w:rPr>
        <w:t>。相关企业（含联合体中的中小企业、签订分包意向协议的中小企业）的具体情况如下：</w:t>
      </w:r>
    </w:p>
    <w:p w14:paraId="0445C4B5">
      <w:pPr>
        <w:tabs>
          <w:tab w:val="left" w:pos="1680"/>
        </w:tabs>
        <w:spacing w:line="560" w:lineRule="exact"/>
        <w:ind w:firstLine="420" w:firstLineChars="200"/>
        <w:jc w:val="left"/>
        <w:rPr>
          <w:rFonts w:ascii="Calibri" w:hAnsi="Calibri"/>
          <w:szCs w:val="22"/>
        </w:rPr>
      </w:pPr>
      <w:r>
        <w:rPr>
          <w:rFonts w:ascii="Calibri" w:hAnsi="Calibri"/>
          <w:szCs w:val="22"/>
        </w:rPr>
        <w:t>1.</w:t>
      </w:r>
      <w:r>
        <w:rPr>
          <w:rFonts w:hint="eastAsia" w:ascii="Calibri" w:hAnsi="Calibri"/>
          <w:szCs w:val="22"/>
          <w:u w:val="single"/>
        </w:rPr>
        <w:t xml:space="preserve">    </w:t>
      </w:r>
      <w:r>
        <w:rPr>
          <w:rFonts w:ascii="Calibri" w:hAnsi="Calibri"/>
          <w:szCs w:val="22"/>
        </w:rPr>
        <w:t>，属于</w:t>
      </w:r>
      <w:r>
        <w:rPr>
          <w:rFonts w:hint="eastAsia"/>
          <w:u w:val="single"/>
          <w:lang w:val="en-US" w:eastAsia="zh-CN"/>
        </w:rPr>
        <w:t>工业（制造业）行业，</w:t>
      </w:r>
      <w:r>
        <w:rPr>
          <w:rFonts w:ascii="Calibri" w:hAnsi="Calibri"/>
          <w:szCs w:val="22"/>
        </w:rPr>
        <w:t>制造商为</w:t>
      </w:r>
      <w:r>
        <w:rPr>
          <w:rFonts w:ascii="Calibri" w:hAnsi="Calibri"/>
          <w:szCs w:val="22"/>
          <w:u w:val="single"/>
        </w:rPr>
        <w:t>（企业名称）</w:t>
      </w:r>
      <w:r>
        <w:rPr>
          <w:rFonts w:ascii="Calibri" w:hAnsi="Calibri"/>
          <w:szCs w:val="22"/>
        </w:rPr>
        <w:t>，从业人员</w:t>
      </w:r>
      <w:r>
        <w:rPr>
          <w:rFonts w:hint="eastAsia" w:ascii="Calibri" w:hAnsi="Calibri"/>
          <w:szCs w:val="22"/>
          <w:u w:val="single"/>
        </w:rPr>
        <w:t xml:space="preserve">    </w:t>
      </w:r>
      <w:r>
        <w:rPr>
          <w:rFonts w:ascii="Calibri" w:hAnsi="Calibri"/>
          <w:szCs w:val="22"/>
        </w:rPr>
        <w:t>人，营业收入为</w:t>
      </w:r>
      <w:r>
        <w:rPr>
          <w:rFonts w:hint="eastAsia" w:ascii="Calibri" w:hAnsi="Calibri"/>
          <w:szCs w:val="22"/>
          <w:u w:val="single"/>
        </w:rPr>
        <w:t xml:space="preserve">    </w:t>
      </w:r>
      <w:r>
        <w:rPr>
          <w:rFonts w:ascii="Calibri" w:hAnsi="Calibri"/>
          <w:szCs w:val="22"/>
        </w:rPr>
        <w:t>万元，资产总额为</w:t>
      </w:r>
      <w:r>
        <w:rPr>
          <w:rFonts w:hint="eastAsia" w:ascii="Calibri" w:hAnsi="Calibri"/>
          <w:szCs w:val="22"/>
          <w:u w:val="single"/>
        </w:rPr>
        <w:t xml:space="preserve">    </w:t>
      </w:r>
      <w:r>
        <w:rPr>
          <w:rFonts w:ascii="Calibri" w:hAnsi="Calibri"/>
          <w:szCs w:val="22"/>
        </w:rPr>
        <w:t>万元，属于</w:t>
      </w:r>
      <w:r>
        <w:rPr>
          <w:rFonts w:ascii="Calibri" w:hAnsi="Calibri"/>
          <w:szCs w:val="22"/>
          <w:u w:val="single"/>
        </w:rPr>
        <w:t>（中型企业、小型企业、微型企业）</w:t>
      </w:r>
      <w:r>
        <w:rPr>
          <w:rFonts w:ascii="Calibri" w:hAnsi="Calibri"/>
          <w:szCs w:val="22"/>
        </w:rPr>
        <w:t>；</w:t>
      </w:r>
    </w:p>
    <w:p w14:paraId="0D493E8C">
      <w:pPr>
        <w:tabs>
          <w:tab w:val="left" w:pos="1680"/>
        </w:tabs>
        <w:spacing w:line="560" w:lineRule="exact"/>
        <w:ind w:firstLine="420" w:firstLineChars="200"/>
        <w:jc w:val="left"/>
        <w:rPr>
          <w:rFonts w:ascii="Calibri" w:hAnsi="Calibri"/>
          <w:szCs w:val="22"/>
        </w:rPr>
      </w:pPr>
      <w:r>
        <w:rPr>
          <w:rFonts w:ascii="Calibri" w:hAnsi="Calibri"/>
          <w:szCs w:val="22"/>
        </w:rPr>
        <w:t>2.</w:t>
      </w:r>
      <w:r>
        <w:rPr>
          <w:rFonts w:ascii="Calibri" w:hAnsi="Calibri"/>
          <w:szCs w:val="22"/>
          <w:u w:val="single"/>
        </w:rPr>
        <w:t>（标的名称）</w:t>
      </w:r>
      <w:r>
        <w:rPr>
          <w:rFonts w:ascii="Calibri" w:hAnsi="Calibri"/>
          <w:szCs w:val="22"/>
        </w:rPr>
        <w:t>，属于</w:t>
      </w:r>
      <w:r>
        <w:rPr>
          <w:rFonts w:ascii="Calibri" w:hAnsi="Calibri"/>
          <w:szCs w:val="22"/>
          <w:u w:val="single"/>
        </w:rPr>
        <w:t>（采购文件中明确的所属行业）</w:t>
      </w:r>
      <w:r>
        <w:rPr>
          <w:rFonts w:ascii="Calibri" w:hAnsi="Calibri"/>
          <w:szCs w:val="22"/>
        </w:rPr>
        <w:t>行业；制造商为</w:t>
      </w:r>
      <w:r>
        <w:rPr>
          <w:rFonts w:ascii="Calibri" w:hAnsi="Calibri"/>
          <w:szCs w:val="22"/>
          <w:u w:val="single"/>
        </w:rPr>
        <w:t>（企业名称）</w:t>
      </w:r>
      <w:r>
        <w:rPr>
          <w:rFonts w:ascii="Calibri" w:hAnsi="Calibri"/>
          <w:szCs w:val="22"/>
        </w:rPr>
        <w:t>，从业人员</w:t>
      </w:r>
      <w:r>
        <w:rPr>
          <w:rFonts w:hint="eastAsia" w:ascii="Calibri" w:hAnsi="Calibri"/>
          <w:szCs w:val="22"/>
          <w:u w:val="single"/>
        </w:rPr>
        <w:t xml:space="preserve">    </w:t>
      </w:r>
      <w:r>
        <w:rPr>
          <w:rFonts w:ascii="Calibri" w:hAnsi="Calibri"/>
          <w:szCs w:val="22"/>
        </w:rPr>
        <w:t>人，营业收入为</w:t>
      </w:r>
      <w:r>
        <w:rPr>
          <w:rFonts w:hint="eastAsia" w:ascii="Calibri" w:hAnsi="Calibri"/>
          <w:szCs w:val="22"/>
          <w:u w:val="single"/>
        </w:rPr>
        <w:t xml:space="preserve">    </w:t>
      </w:r>
      <w:r>
        <w:rPr>
          <w:rFonts w:ascii="Calibri" w:hAnsi="Calibri"/>
          <w:szCs w:val="22"/>
        </w:rPr>
        <w:t>万元，资产总额为</w:t>
      </w:r>
      <w:r>
        <w:rPr>
          <w:rFonts w:hint="eastAsia" w:ascii="Calibri" w:hAnsi="Calibri"/>
          <w:szCs w:val="22"/>
          <w:u w:val="single"/>
        </w:rPr>
        <w:t xml:space="preserve">    </w:t>
      </w:r>
      <w:r>
        <w:rPr>
          <w:rFonts w:ascii="Calibri" w:hAnsi="Calibri"/>
          <w:szCs w:val="22"/>
        </w:rPr>
        <w:t>万元，属于</w:t>
      </w:r>
      <w:r>
        <w:rPr>
          <w:rFonts w:ascii="Calibri" w:hAnsi="Calibri"/>
          <w:szCs w:val="22"/>
          <w:u w:val="single"/>
        </w:rPr>
        <w:t>（中型企业、小型企业、微型企业）</w:t>
      </w:r>
      <w:r>
        <w:rPr>
          <w:rFonts w:ascii="Calibri" w:hAnsi="Calibri"/>
          <w:szCs w:val="22"/>
        </w:rPr>
        <w:t>；</w:t>
      </w:r>
    </w:p>
    <w:p w14:paraId="2A6E114D">
      <w:pPr>
        <w:tabs>
          <w:tab w:val="left" w:pos="1680"/>
        </w:tabs>
        <w:spacing w:line="560" w:lineRule="exact"/>
        <w:ind w:firstLine="420" w:firstLineChars="200"/>
        <w:jc w:val="left"/>
        <w:rPr>
          <w:rFonts w:ascii="Calibri" w:hAnsi="Calibri"/>
          <w:szCs w:val="22"/>
        </w:rPr>
      </w:pPr>
      <w:r>
        <w:rPr>
          <w:rFonts w:ascii="Calibri" w:hAnsi="Calibri"/>
          <w:szCs w:val="22"/>
        </w:rPr>
        <w:t>……</w:t>
      </w:r>
    </w:p>
    <w:p w14:paraId="386DE89C">
      <w:pPr>
        <w:tabs>
          <w:tab w:val="left" w:pos="1680"/>
        </w:tabs>
        <w:spacing w:line="560" w:lineRule="exact"/>
        <w:ind w:firstLine="420" w:firstLineChars="200"/>
        <w:jc w:val="left"/>
        <w:rPr>
          <w:rFonts w:ascii="Calibri" w:hAnsi="Calibri"/>
          <w:szCs w:val="22"/>
        </w:rPr>
      </w:pPr>
      <w:r>
        <w:rPr>
          <w:rFonts w:ascii="Calibri" w:hAnsi="Calibri"/>
          <w:szCs w:val="22"/>
        </w:rPr>
        <w:t>以上企业，不属于大企业的分支机构，不存在控股股东为大企业的情形，也不存在与大企业的负责人为同一人的情形。</w:t>
      </w:r>
    </w:p>
    <w:p w14:paraId="5FF3C140">
      <w:pPr>
        <w:tabs>
          <w:tab w:val="left" w:pos="1680"/>
        </w:tabs>
        <w:spacing w:line="560" w:lineRule="exact"/>
        <w:ind w:firstLine="420" w:firstLineChars="200"/>
        <w:jc w:val="left"/>
        <w:rPr>
          <w:rFonts w:ascii="Calibri" w:hAnsi="Calibri"/>
          <w:szCs w:val="22"/>
        </w:rPr>
      </w:pPr>
      <w:r>
        <w:rPr>
          <w:rFonts w:ascii="Calibri" w:hAnsi="Calibri"/>
          <w:szCs w:val="22"/>
        </w:rPr>
        <w:t>本企业对上述声明内容的真实性负责。如有虚假，将依法承担相应责任。</w:t>
      </w:r>
    </w:p>
    <w:p w14:paraId="55731EA6">
      <w:pPr>
        <w:tabs>
          <w:tab w:val="left" w:pos="1680"/>
        </w:tabs>
        <w:spacing w:line="360" w:lineRule="auto"/>
        <w:jc w:val="right"/>
        <w:rPr>
          <w:rFonts w:ascii="Calibri" w:hAnsi="Calibri"/>
          <w:szCs w:val="22"/>
        </w:rPr>
      </w:pPr>
      <w:r>
        <w:rPr>
          <w:rFonts w:ascii="Calibri" w:hAnsi="Calibri"/>
          <w:szCs w:val="22"/>
        </w:rPr>
        <w:t>企业名称：</w:t>
      </w:r>
      <w:r>
        <w:rPr>
          <w:rFonts w:hint="eastAsia" w:ascii="华文中宋" w:hAnsi="华文中宋" w:eastAsia="华文中宋"/>
          <w:spacing w:val="20"/>
          <w:szCs w:val="21"/>
          <w:u w:val="single"/>
        </w:rPr>
        <w:t xml:space="preserve">                </w:t>
      </w:r>
      <w:r>
        <w:rPr>
          <w:rFonts w:ascii="Calibri" w:hAnsi="Calibri"/>
          <w:szCs w:val="22"/>
        </w:rPr>
        <w:t>（</w:t>
      </w:r>
      <w:r>
        <w:rPr>
          <w:rFonts w:hint="eastAsia" w:ascii="Calibri" w:hAnsi="Calibri"/>
          <w:szCs w:val="22"/>
        </w:rPr>
        <w:t>电子公章</w:t>
      </w:r>
      <w:r>
        <w:rPr>
          <w:rFonts w:ascii="Calibri" w:hAnsi="Calibri"/>
          <w:szCs w:val="22"/>
        </w:rPr>
        <w:t>）</w:t>
      </w:r>
    </w:p>
    <w:p w14:paraId="227919C3">
      <w:pPr>
        <w:tabs>
          <w:tab w:val="left" w:pos="1680"/>
        </w:tabs>
        <w:spacing w:line="360" w:lineRule="auto"/>
        <w:jc w:val="right"/>
        <w:rPr>
          <w:rFonts w:ascii="Calibri" w:hAnsi="Calibri"/>
          <w:szCs w:val="22"/>
        </w:rPr>
      </w:pPr>
      <w:r>
        <w:rPr>
          <w:rFonts w:ascii="Calibri" w:hAnsi="Calibri"/>
          <w:szCs w:val="22"/>
        </w:rPr>
        <w:t>日期：</w:t>
      </w:r>
    </w:p>
    <w:p w14:paraId="46078B5A">
      <w:pPr>
        <w:tabs>
          <w:tab w:val="left" w:pos="1680"/>
        </w:tabs>
        <w:spacing w:line="360" w:lineRule="auto"/>
        <w:jc w:val="left"/>
        <w:rPr>
          <w:rFonts w:ascii="Calibri" w:hAnsi="Calibri"/>
          <w:szCs w:val="22"/>
        </w:rPr>
      </w:pPr>
      <w:r>
        <w:rPr>
          <w:rFonts w:hint="eastAsia" w:ascii="Calibri" w:hAnsi="Calibri"/>
          <w:szCs w:val="22"/>
        </w:rPr>
        <w:t>注：1.</w:t>
      </w:r>
      <w:r>
        <w:rPr>
          <w:rFonts w:ascii="Calibri" w:hAnsi="Calibri"/>
          <w:szCs w:val="22"/>
        </w:rPr>
        <w:t>从业人员、营业收入、资产总额填报上一年度数据，无上一年度数据的新成立企业可不填报。</w:t>
      </w:r>
    </w:p>
    <w:p w14:paraId="50DFA020">
      <w:pPr>
        <w:tabs>
          <w:tab w:val="left" w:pos="1680"/>
        </w:tabs>
        <w:spacing w:line="360" w:lineRule="auto"/>
        <w:ind w:firstLine="420" w:firstLineChars="200"/>
        <w:jc w:val="left"/>
        <w:rPr>
          <w:rFonts w:ascii="Calibri" w:hAnsi="Calibri"/>
          <w:szCs w:val="22"/>
        </w:rPr>
      </w:pPr>
      <w:r>
        <w:rPr>
          <w:rFonts w:hint="eastAsia" w:ascii="Calibri" w:hAnsi="Calibri"/>
          <w:szCs w:val="22"/>
        </w:rPr>
        <w:t>2.</w:t>
      </w:r>
      <w:r>
        <w:rPr>
          <w:rFonts w:hint="eastAsia"/>
        </w:rPr>
        <w:t xml:space="preserve"> </w:t>
      </w:r>
      <w:r>
        <w:rPr>
          <w:rFonts w:hint="eastAsia" w:ascii="Calibri" w:hAnsi="Calibri"/>
          <w:szCs w:val="22"/>
        </w:rPr>
        <w:t>中标人享受《政府采购促进中小企业发展管理办法》规定的中小企业扶持政策的，随中标结果公开中标人的《中小企业声明函》。</w:t>
      </w:r>
    </w:p>
    <w:p w14:paraId="48B3EA68">
      <w:pPr>
        <w:tabs>
          <w:tab w:val="left" w:pos="1680"/>
        </w:tabs>
        <w:spacing w:line="360" w:lineRule="auto"/>
        <w:ind w:firstLine="420" w:firstLineChars="200"/>
        <w:jc w:val="left"/>
        <w:rPr>
          <w:rFonts w:ascii="Calibri" w:hAnsi="Calibri"/>
          <w:szCs w:val="22"/>
        </w:rPr>
      </w:pPr>
    </w:p>
    <w:p w14:paraId="4020217D">
      <w:pPr>
        <w:pStyle w:val="47"/>
      </w:pPr>
    </w:p>
    <w:p w14:paraId="3F54E961">
      <w:pPr>
        <w:spacing w:line="360" w:lineRule="auto"/>
        <w:jc w:val="left"/>
        <w:rPr>
          <w:rFonts w:ascii="华文中宋" w:hAnsi="华文中宋" w:eastAsia="华文中宋" w:cs="华文中宋"/>
          <w:b/>
          <w:spacing w:val="6"/>
          <w:sz w:val="24"/>
        </w:rPr>
      </w:pPr>
      <w:r>
        <w:rPr>
          <w:rFonts w:hint="eastAsia" w:ascii="华文中宋" w:hAnsi="华文中宋" w:eastAsia="华文中宋" w:cs="华文中宋"/>
          <w:b/>
          <w:spacing w:val="6"/>
          <w:sz w:val="24"/>
        </w:rPr>
        <w:t>（二）残疾人福利性单位声明函</w:t>
      </w:r>
      <w:r>
        <w:rPr>
          <w:rFonts w:hint="eastAsia" w:ascii="华文中宋" w:hAnsi="华文中宋" w:eastAsia="华文中宋" w:cs="华文中宋"/>
          <w:b/>
          <w:sz w:val="24"/>
        </w:rPr>
        <w:t>格式</w:t>
      </w:r>
      <w:bookmarkEnd w:id="93"/>
      <w:bookmarkEnd w:id="94"/>
      <w:r>
        <w:rPr>
          <w:rFonts w:hint="eastAsia" w:ascii="华文中宋" w:hAnsi="华文中宋" w:eastAsia="华文中宋" w:cs="华文中宋"/>
          <w:b/>
          <w:sz w:val="24"/>
        </w:rPr>
        <w:t>（若涉及）</w:t>
      </w:r>
    </w:p>
    <w:p w14:paraId="0A7875AF">
      <w:pPr>
        <w:spacing w:line="360" w:lineRule="auto"/>
        <w:jc w:val="center"/>
        <w:rPr>
          <w:rFonts w:ascii="华文中宋" w:hAnsi="华文中宋" w:eastAsia="华文中宋" w:cs="华文中宋"/>
          <w:b/>
          <w:sz w:val="24"/>
        </w:rPr>
      </w:pPr>
      <w:r>
        <w:rPr>
          <w:rFonts w:hint="eastAsia" w:ascii="华文中宋" w:hAnsi="华文中宋" w:eastAsia="华文中宋" w:cs="华文中宋"/>
          <w:b/>
          <w:spacing w:val="6"/>
          <w:sz w:val="24"/>
        </w:rPr>
        <w:t>残疾人福利性单位声明函</w:t>
      </w:r>
    </w:p>
    <w:p w14:paraId="247A3FE4">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 民政部 中国残疾人联合会关于促进残疾人就业政府采购政策的通知》（财库</w:t>
      </w:r>
      <w:r>
        <w:rPr>
          <w:rFonts w:hint="eastAsia" w:ascii="华文中宋" w:hAnsi="华文中宋" w:eastAsia="华文中宋" w:cs="华文中宋"/>
          <w:szCs w:val="21"/>
        </w:rPr>
        <w:t>〔2017〕 141</w:t>
      </w:r>
      <w:r>
        <w:rPr>
          <w:rFonts w:hint="eastAsia" w:ascii="华文中宋" w:hAnsi="华文中宋" w:eastAsia="华文中宋" w:cs="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提供的服务（不包括使用非残疾人福利性单位注册商标的货物）。</w:t>
      </w:r>
    </w:p>
    <w:p w14:paraId="22EE6D04">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698534F3">
      <w:pPr>
        <w:spacing w:line="360" w:lineRule="auto"/>
        <w:ind w:firstLine="444" w:firstLineChars="200"/>
        <w:rPr>
          <w:rFonts w:ascii="华文中宋" w:hAnsi="华文中宋" w:eastAsia="华文中宋" w:cs="华文中宋"/>
          <w:spacing w:val="6"/>
          <w:szCs w:val="21"/>
        </w:rPr>
      </w:pPr>
    </w:p>
    <w:p w14:paraId="12866AA5">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                          投标人：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pacing w:val="6"/>
          <w:szCs w:val="21"/>
        </w:rPr>
        <w:t>（</w:t>
      </w:r>
      <w:r>
        <w:rPr>
          <w:rFonts w:hint="eastAsia" w:ascii="华文中宋" w:hAnsi="华文中宋" w:eastAsia="华文中宋" w:cs="华文中宋"/>
          <w:spacing w:val="20"/>
          <w:szCs w:val="21"/>
        </w:rPr>
        <w:t>电子公章</w:t>
      </w:r>
      <w:r>
        <w:rPr>
          <w:rFonts w:hint="eastAsia" w:ascii="华文中宋" w:hAnsi="华文中宋" w:eastAsia="华文中宋" w:cs="华文中宋"/>
          <w:spacing w:val="6"/>
          <w:szCs w:val="21"/>
        </w:rPr>
        <w:t>）</w:t>
      </w:r>
    </w:p>
    <w:p w14:paraId="5B6A48E3">
      <w:pPr>
        <w:tabs>
          <w:tab w:val="left" w:pos="4860"/>
        </w:tabs>
        <w:spacing w:line="360" w:lineRule="auto"/>
        <w:ind w:right="1560" w:firstLine="444" w:firstLineChars="200"/>
        <w:jc w:val="right"/>
        <w:rPr>
          <w:rFonts w:ascii="华文中宋" w:hAnsi="华文中宋" w:eastAsia="华文中宋" w:cs="华文中宋"/>
          <w:b/>
          <w:sz w:val="24"/>
        </w:rPr>
      </w:pPr>
      <w:r>
        <w:rPr>
          <w:rFonts w:hint="eastAsia" w:ascii="华文中宋" w:hAnsi="华文中宋" w:eastAsia="华文中宋" w:cs="华文中宋"/>
          <w:spacing w:val="6"/>
          <w:szCs w:val="21"/>
        </w:rPr>
        <w:t xml:space="preserve">                    日  期：</w:t>
      </w:r>
    </w:p>
    <w:p w14:paraId="36323D0B">
      <w:pPr>
        <w:spacing w:line="360" w:lineRule="auto"/>
        <w:ind w:firstLine="420" w:firstLineChars="200"/>
        <w:rPr>
          <w:rFonts w:ascii="Calibri" w:hAnsi="Calibri"/>
          <w:szCs w:val="22"/>
        </w:rPr>
      </w:pPr>
      <w:r>
        <w:rPr>
          <w:rFonts w:hint="eastAsia" w:ascii="Calibri" w:hAnsi="Calibri"/>
          <w:szCs w:val="22"/>
        </w:rPr>
        <w:t>注：中标人为残疾人福利性单位的，随中标结果公开中标人的《残疾人福利性单位声明函》。</w:t>
      </w:r>
    </w:p>
    <w:p w14:paraId="239E9906">
      <w:pPr>
        <w:spacing w:line="360" w:lineRule="auto"/>
        <w:rPr>
          <w:rFonts w:ascii="华文中宋" w:hAnsi="华文中宋" w:eastAsia="华文中宋"/>
          <w:b/>
          <w:szCs w:val="21"/>
        </w:rPr>
      </w:pPr>
    </w:p>
    <w:p w14:paraId="4AFE7402">
      <w:pPr>
        <w:spacing w:line="360" w:lineRule="auto"/>
        <w:rPr>
          <w:rFonts w:ascii="华文中宋" w:hAnsi="华文中宋" w:eastAsia="华文中宋"/>
          <w:b/>
          <w:szCs w:val="21"/>
        </w:rPr>
      </w:pPr>
      <w:r>
        <w:rPr>
          <w:rFonts w:hint="eastAsia" w:ascii="华文中宋" w:hAnsi="华文中宋" w:eastAsia="华文中宋"/>
          <w:b/>
          <w:szCs w:val="21"/>
        </w:rPr>
        <w:t>（三）监狱企业证明函格式</w:t>
      </w:r>
      <w:r>
        <w:rPr>
          <w:rFonts w:hint="eastAsia" w:ascii="华文中宋" w:hAnsi="华文中宋" w:eastAsia="华文中宋" w:cs="华文中宋"/>
          <w:b/>
          <w:sz w:val="24"/>
        </w:rPr>
        <w:t>（若涉及）</w:t>
      </w:r>
    </w:p>
    <w:p w14:paraId="34E33DC1">
      <w:pPr>
        <w:spacing w:line="360" w:lineRule="auto"/>
        <w:ind w:firstLine="420" w:firstLineChars="200"/>
        <w:rPr>
          <w:rFonts w:ascii="宋体" w:hAnsi="宋体"/>
          <w:szCs w:val="21"/>
        </w:rPr>
      </w:pPr>
      <w:r>
        <w:rPr>
          <w:rFonts w:hint="eastAsia" w:ascii="宋体" w:hAnsi="宋体"/>
          <w:szCs w:val="21"/>
        </w:rPr>
        <w:t>监狱企业参加投标视同小微企业，需提供由省级以上监狱管理局或戒毒管理局出具的属于监狱企业的证明文件。</w:t>
      </w:r>
    </w:p>
    <w:p w14:paraId="2E7BB2AE">
      <w:pPr>
        <w:spacing w:line="360" w:lineRule="auto"/>
        <w:ind w:firstLine="420" w:firstLineChars="200"/>
        <w:rPr>
          <w:rFonts w:ascii="宋体" w:hAnsi="宋体"/>
          <w:szCs w:val="21"/>
        </w:rPr>
      </w:pPr>
    </w:p>
    <w:p w14:paraId="378C62CB">
      <w:pPr>
        <w:adjustRightInd w:val="0"/>
        <w:snapToGrid w:val="0"/>
        <w:spacing w:line="480" w:lineRule="exact"/>
        <w:ind w:right="480"/>
        <w:jc w:val="center"/>
        <w:rPr>
          <w:rFonts w:ascii="华文中宋" w:hAnsi="华文中宋" w:eastAsia="华文中宋" w:cs="宋体"/>
          <w:kern w:val="0"/>
          <w:sz w:val="24"/>
          <w:szCs w:val="21"/>
        </w:rPr>
      </w:pPr>
      <w:r>
        <w:rPr>
          <w:rFonts w:hint="eastAsia" w:ascii="华文中宋" w:hAnsi="华文中宋" w:eastAsia="华文中宋" w:cs="华文中宋"/>
          <w:b/>
          <w:sz w:val="24"/>
        </w:rPr>
        <w:t>监狱企业证明函</w:t>
      </w:r>
    </w:p>
    <w:p w14:paraId="0DFDAB00">
      <w:pPr>
        <w:adjustRightInd w:val="0"/>
        <w:snapToGrid w:val="0"/>
        <w:spacing w:line="480" w:lineRule="exact"/>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根据《财政部 司法部关于政府采购支持监狱企业发展有关问题的通知》（财库〔2014〕68号）的规定，</w:t>
      </w:r>
      <w:r>
        <w:rPr>
          <w:rFonts w:hint="eastAsia" w:ascii="华文中宋" w:hAnsi="华文中宋" w:eastAsia="华文中宋" w:cs="华文中宋"/>
          <w:spacing w:val="6"/>
          <w:szCs w:val="21"/>
          <w:u w:val="single"/>
        </w:rPr>
        <w:t xml:space="preserve">          </w:t>
      </w:r>
      <w:r>
        <w:rPr>
          <w:rFonts w:hint="eastAsia" w:ascii="华文中宋" w:hAnsi="华文中宋" w:eastAsia="华文中宋" w:cs="华文中宋"/>
          <w:spacing w:val="6"/>
          <w:szCs w:val="21"/>
        </w:rPr>
        <w:t>（填写供应商法定全称）为监狱企业。</w:t>
      </w:r>
    </w:p>
    <w:p w14:paraId="1740C8E2">
      <w:pPr>
        <w:tabs>
          <w:tab w:val="left" w:pos="1680"/>
        </w:tabs>
        <w:snapToGrid w:val="0"/>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特此证明。</w:t>
      </w:r>
    </w:p>
    <w:p w14:paraId="095E1BFA">
      <w:pPr>
        <w:tabs>
          <w:tab w:val="left" w:pos="1680"/>
        </w:tabs>
        <w:snapToGrid w:val="0"/>
        <w:spacing w:line="360" w:lineRule="auto"/>
        <w:ind w:firstLine="444" w:firstLineChars="200"/>
        <w:rPr>
          <w:rFonts w:ascii="华文中宋" w:hAnsi="华文中宋" w:eastAsia="华文中宋" w:cs="华文中宋"/>
          <w:spacing w:val="6"/>
          <w:szCs w:val="21"/>
        </w:rPr>
      </w:pPr>
    </w:p>
    <w:p w14:paraId="6A06919F">
      <w:pPr>
        <w:tabs>
          <w:tab w:val="left" w:pos="1680"/>
        </w:tabs>
        <w:snapToGrid w:val="0"/>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省级以上监狱管理局、戒毒管理局（含新疆生产建设兵团）（盖章）：</w:t>
      </w:r>
    </w:p>
    <w:p w14:paraId="45C09219">
      <w:pPr>
        <w:adjustRightInd w:val="0"/>
        <w:snapToGrid w:val="0"/>
        <w:spacing w:line="360" w:lineRule="auto"/>
        <w:ind w:firstLine="5775" w:firstLineChars="2750"/>
        <w:rPr>
          <w:rFonts w:ascii="华文中宋" w:hAnsi="华文中宋" w:eastAsia="华文中宋" w:cs="华文中宋"/>
          <w:kern w:val="0"/>
          <w:szCs w:val="21"/>
        </w:rPr>
      </w:pPr>
    </w:p>
    <w:p w14:paraId="62E4BA84">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cs="华文中宋"/>
          <w:spacing w:val="6"/>
          <w:szCs w:val="21"/>
        </w:rPr>
        <w:t>（</w:t>
      </w:r>
      <w:r>
        <w:rPr>
          <w:rFonts w:hint="eastAsia" w:ascii="华文中宋" w:hAnsi="华文中宋" w:eastAsia="华文中宋" w:cs="华文中宋"/>
          <w:spacing w:val="20"/>
          <w:szCs w:val="21"/>
        </w:rPr>
        <w:t>电子公章</w:t>
      </w:r>
      <w:r>
        <w:rPr>
          <w:rFonts w:hint="eastAsia" w:ascii="华文中宋" w:hAnsi="华文中宋" w:eastAsia="华文中宋" w:cs="华文中宋"/>
          <w:spacing w:val="6"/>
          <w:szCs w:val="21"/>
        </w:rPr>
        <w:t>）</w:t>
      </w:r>
    </w:p>
    <w:p w14:paraId="49737C87">
      <w:pPr>
        <w:tabs>
          <w:tab w:val="left" w:pos="1680"/>
        </w:tabs>
        <w:snapToGrid w:val="0"/>
        <w:spacing w:line="360" w:lineRule="auto"/>
        <w:ind w:left="2535" w:leftChars="1207" w:firstLine="2844" w:firstLineChars="1353"/>
        <w:rPr>
          <w:rFonts w:ascii="华文中宋" w:hAnsi="华文中宋" w:eastAsia="华文中宋" w:cs="Arial"/>
          <w:b/>
        </w:rPr>
      </w:pPr>
      <w:r>
        <w:rPr>
          <w:rFonts w:hint="eastAsia" w:ascii="华文中宋" w:hAnsi="华文中宋" w:eastAsia="华文中宋" w:cs="Arial"/>
          <w:b/>
        </w:rPr>
        <w:t>日 期：</w:t>
      </w:r>
    </w:p>
    <w:p w14:paraId="454876D6">
      <w:pPr>
        <w:spacing w:line="360" w:lineRule="auto"/>
        <w:rPr>
          <w:rFonts w:ascii="华文中宋" w:hAnsi="华文中宋" w:eastAsia="华文中宋"/>
          <w:b/>
          <w:szCs w:val="21"/>
        </w:rPr>
      </w:pPr>
    </w:p>
    <w:p w14:paraId="7B514A51">
      <w:pPr>
        <w:spacing w:line="360" w:lineRule="auto"/>
        <w:ind w:firstLine="420" w:firstLineChars="200"/>
        <w:rPr>
          <w:rFonts w:ascii="宋体" w:hAnsi="宋体"/>
          <w:szCs w:val="21"/>
        </w:rPr>
      </w:pPr>
      <w:r>
        <w:rPr>
          <w:rFonts w:hint="eastAsia" w:ascii="宋体" w:hAnsi="宋体"/>
          <w:szCs w:val="21"/>
        </w:rPr>
        <w:t>本项目拟采购的产品属于政府采购节能产品、环境标志产品品目清单范围的,依据国家确定的认证机构出具的、处于有效期之内的节能产品、环境标志产品认证证书,对获得证书的产品实施政府优先采购或强制采购。</w:t>
      </w:r>
    </w:p>
    <w:p w14:paraId="74CBA5A0">
      <w:pPr>
        <w:spacing w:line="360" w:lineRule="auto"/>
        <w:ind w:firstLine="420" w:firstLineChars="200"/>
        <w:rPr>
          <w:rFonts w:ascii="宋体" w:hAnsi="宋体"/>
          <w:szCs w:val="21"/>
        </w:rPr>
      </w:pPr>
      <w:r>
        <w:rPr>
          <w:rFonts w:hint="eastAsia" w:ascii="宋体" w:hAnsi="宋体"/>
          <w:szCs w:val="21"/>
        </w:rPr>
        <w:t>供应商需提供《市场监管总局关于发布参与实施政府采购节能产品、环境标志产品认证机构名录的公告》（2019年第16号）及后续文件中确定的认证机构出具的处于有效期之内的节能产品、环境标志产品认证证书扫描件，以方便查验。</w:t>
      </w:r>
    </w:p>
    <w:p w14:paraId="06B5EBE3">
      <w:pPr>
        <w:spacing w:line="360" w:lineRule="auto"/>
        <w:rPr>
          <w:rFonts w:ascii="华文中宋" w:hAnsi="华文中宋" w:eastAsia="华文中宋" w:cs="华文中宋"/>
          <w:b/>
          <w:sz w:val="24"/>
        </w:rPr>
      </w:pPr>
      <w:r>
        <w:rPr>
          <w:rFonts w:hint="eastAsia" w:ascii="华文中宋" w:hAnsi="华文中宋" w:eastAsia="华文中宋" w:cs="华文中宋"/>
          <w:b/>
          <w:sz w:val="24"/>
        </w:rPr>
        <w:t>（四）《政府强制采购（节能、环保）产品明细表</w:t>
      </w:r>
      <w:r>
        <w:rPr>
          <w:rFonts w:hint="eastAsia" w:ascii="华文中宋" w:hAnsi="华文中宋" w:eastAsia="华文中宋" w:cs="华文中宋"/>
          <w:b/>
          <w:bCs/>
          <w:sz w:val="24"/>
        </w:rPr>
        <w:t>》</w:t>
      </w:r>
      <w:r>
        <w:rPr>
          <w:rFonts w:hint="eastAsia" w:ascii="华文中宋" w:hAnsi="华文中宋" w:eastAsia="华文中宋" w:cs="华文中宋"/>
          <w:b/>
          <w:sz w:val="24"/>
        </w:rPr>
        <w:t>格式</w:t>
      </w:r>
    </w:p>
    <w:p w14:paraId="744E0CDC">
      <w:pPr>
        <w:tabs>
          <w:tab w:val="left" w:pos="1680"/>
        </w:tabs>
        <w:snapToGrid w:val="0"/>
        <w:spacing w:line="360" w:lineRule="auto"/>
        <w:jc w:val="center"/>
        <w:rPr>
          <w:rFonts w:ascii="华文中宋" w:hAnsi="华文中宋" w:eastAsia="华文中宋" w:cs="华文中宋"/>
          <w:b/>
          <w:sz w:val="24"/>
        </w:rPr>
      </w:pPr>
    </w:p>
    <w:tbl>
      <w:tblPr>
        <w:tblStyle w:val="3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0"/>
        <w:gridCol w:w="952"/>
        <w:gridCol w:w="1761"/>
        <w:gridCol w:w="1701"/>
        <w:gridCol w:w="2016"/>
      </w:tblGrid>
      <w:tr w14:paraId="67D3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105D191">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A62C0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6CB8C4C">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14:paraId="61BD4DE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A9563F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认证证书编号</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CD8A60E">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283D64A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71A1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tcPr>
          <w:p w14:paraId="3E7328EC">
            <w:pPr>
              <w:spacing w:line="360" w:lineRule="auto"/>
              <w:rPr>
                <w:rFonts w:ascii="华文中宋" w:hAnsi="华文中宋" w:eastAsia="华文中宋" w:cs="华文中宋"/>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14:paraId="336D3195">
            <w:pPr>
              <w:spacing w:line="360" w:lineRule="auto"/>
              <w:rPr>
                <w:rFonts w:ascii="华文中宋" w:hAnsi="华文中宋" w:eastAsia="华文中宋" w:cs="华文中宋"/>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tcPr>
          <w:p w14:paraId="5B55F97B">
            <w:pPr>
              <w:spacing w:line="360" w:lineRule="auto"/>
              <w:rPr>
                <w:rFonts w:ascii="华文中宋" w:hAnsi="华文中宋" w:eastAsia="华文中宋" w:cs="华文中宋"/>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tcPr>
          <w:p w14:paraId="0018A791">
            <w:pPr>
              <w:spacing w:line="360" w:lineRule="auto"/>
              <w:rPr>
                <w:rFonts w:ascii="华文中宋" w:hAnsi="华文中宋" w:eastAsia="华文中宋" w:cs="华文中宋"/>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0D711BE0">
            <w:pPr>
              <w:spacing w:line="360" w:lineRule="auto"/>
              <w:rPr>
                <w:rFonts w:ascii="华文中宋" w:hAnsi="华文中宋" w:eastAsia="华文中宋" w:cs="华文中宋"/>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tcPr>
          <w:p w14:paraId="62089E09">
            <w:pPr>
              <w:spacing w:line="360" w:lineRule="auto"/>
              <w:rPr>
                <w:rFonts w:ascii="华文中宋" w:hAnsi="华文中宋" w:eastAsia="华文中宋" w:cs="华文中宋"/>
                <w:szCs w:val="21"/>
              </w:rPr>
            </w:pPr>
          </w:p>
        </w:tc>
      </w:tr>
      <w:tr w14:paraId="291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tcPr>
          <w:p w14:paraId="0FED1C4F">
            <w:pPr>
              <w:spacing w:line="360" w:lineRule="auto"/>
              <w:rPr>
                <w:rFonts w:ascii="华文中宋" w:hAnsi="华文中宋" w:eastAsia="华文中宋" w:cs="华文中宋"/>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14:paraId="4CD3ABCF">
            <w:pPr>
              <w:spacing w:line="360" w:lineRule="auto"/>
              <w:rPr>
                <w:rFonts w:ascii="华文中宋" w:hAnsi="华文中宋" w:eastAsia="华文中宋" w:cs="华文中宋"/>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tcPr>
          <w:p w14:paraId="17A2B8B4">
            <w:pPr>
              <w:spacing w:line="360" w:lineRule="auto"/>
              <w:rPr>
                <w:rFonts w:ascii="华文中宋" w:hAnsi="华文中宋" w:eastAsia="华文中宋" w:cs="华文中宋"/>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tcPr>
          <w:p w14:paraId="731D1D15">
            <w:pPr>
              <w:spacing w:line="360" w:lineRule="auto"/>
              <w:rPr>
                <w:rFonts w:ascii="华文中宋" w:hAnsi="华文中宋" w:eastAsia="华文中宋" w:cs="华文中宋"/>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26CEB99">
            <w:pPr>
              <w:spacing w:line="360" w:lineRule="auto"/>
              <w:rPr>
                <w:rFonts w:ascii="华文中宋" w:hAnsi="华文中宋" w:eastAsia="华文中宋" w:cs="华文中宋"/>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tcPr>
          <w:p w14:paraId="2267572C">
            <w:pPr>
              <w:spacing w:line="360" w:lineRule="auto"/>
              <w:rPr>
                <w:rFonts w:ascii="华文中宋" w:hAnsi="华文中宋" w:eastAsia="华文中宋" w:cs="华文中宋"/>
                <w:szCs w:val="21"/>
              </w:rPr>
            </w:pPr>
          </w:p>
        </w:tc>
      </w:tr>
      <w:tr w14:paraId="2E0B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tcPr>
          <w:p w14:paraId="79412401">
            <w:pPr>
              <w:spacing w:line="360" w:lineRule="auto"/>
              <w:rPr>
                <w:rFonts w:ascii="华文中宋" w:hAnsi="华文中宋" w:eastAsia="华文中宋" w:cs="华文中宋"/>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14:paraId="08DC6FA6">
            <w:pPr>
              <w:spacing w:line="360" w:lineRule="auto"/>
              <w:rPr>
                <w:rFonts w:ascii="华文中宋" w:hAnsi="华文中宋" w:eastAsia="华文中宋" w:cs="华文中宋"/>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tcPr>
          <w:p w14:paraId="4D0EBBA4">
            <w:pPr>
              <w:spacing w:line="360" w:lineRule="auto"/>
              <w:rPr>
                <w:rFonts w:ascii="华文中宋" w:hAnsi="华文中宋" w:eastAsia="华文中宋" w:cs="华文中宋"/>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tcPr>
          <w:p w14:paraId="11B4EE32">
            <w:pPr>
              <w:spacing w:line="360" w:lineRule="auto"/>
              <w:rPr>
                <w:rFonts w:ascii="华文中宋" w:hAnsi="华文中宋" w:eastAsia="华文中宋" w:cs="华文中宋"/>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C61E3FC">
            <w:pPr>
              <w:spacing w:line="360" w:lineRule="auto"/>
              <w:rPr>
                <w:rFonts w:ascii="华文中宋" w:hAnsi="华文中宋" w:eastAsia="华文中宋" w:cs="华文中宋"/>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tcPr>
          <w:p w14:paraId="2CE8CFA6">
            <w:pPr>
              <w:spacing w:line="360" w:lineRule="auto"/>
              <w:rPr>
                <w:rFonts w:ascii="华文中宋" w:hAnsi="华文中宋" w:eastAsia="华文中宋" w:cs="华文中宋"/>
                <w:szCs w:val="21"/>
              </w:rPr>
            </w:pPr>
          </w:p>
        </w:tc>
      </w:tr>
      <w:tr w14:paraId="6DFB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tcPr>
          <w:p w14:paraId="25CFB424">
            <w:pPr>
              <w:spacing w:line="360" w:lineRule="auto"/>
              <w:rPr>
                <w:rFonts w:ascii="华文中宋" w:hAnsi="华文中宋" w:eastAsia="华文中宋" w:cs="华文中宋"/>
                <w:szCs w:val="21"/>
              </w:rPr>
            </w:pPr>
          </w:p>
        </w:tc>
        <w:tc>
          <w:tcPr>
            <w:tcW w:w="1540" w:type="dxa"/>
            <w:tcBorders>
              <w:top w:val="single" w:color="auto" w:sz="4" w:space="0"/>
              <w:left w:val="single" w:color="auto" w:sz="4" w:space="0"/>
              <w:bottom w:val="single" w:color="auto" w:sz="4" w:space="0"/>
              <w:right w:val="single" w:color="auto" w:sz="4" w:space="0"/>
            </w:tcBorders>
            <w:shd w:val="clear" w:color="auto" w:fill="auto"/>
          </w:tcPr>
          <w:p w14:paraId="0B07FAF3">
            <w:pPr>
              <w:spacing w:line="360" w:lineRule="auto"/>
              <w:rPr>
                <w:rFonts w:ascii="华文中宋" w:hAnsi="华文中宋" w:eastAsia="华文中宋" w:cs="华文中宋"/>
                <w:szCs w:val="21"/>
              </w:rPr>
            </w:pPr>
          </w:p>
        </w:tc>
        <w:tc>
          <w:tcPr>
            <w:tcW w:w="952" w:type="dxa"/>
            <w:tcBorders>
              <w:top w:val="single" w:color="auto" w:sz="4" w:space="0"/>
              <w:left w:val="single" w:color="auto" w:sz="4" w:space="0"/>
              <w:bottom w:val="single" w:color="auto" w:sz="4" w:space="0"/>
              <w:right w:val="single" w:color="auto" w:sz="4" w:space="0"/>
            </w:tcBorders>
            <w:shd w:val="clear" w:color="auto" w:fill="auto"/>
          </w:tcPr>
          <w:p w14:paraId="4A310640">
            <w:pPr>
              <w:spacing w:line="360" w:lineRule="auto"/>
              <w:rPr>
                <w:rFonts w:ascii="华文中宋" w:hAnsi="华文中宋" w:eastAsia="华文中宋" w:cs="华文中宋"/>
                <w:szCs w:val="21"/>
              </w:rPr>
            </w:pPr>
          </w:p>
        </w:tc>
        <w:tc>
          <w:tcPr>
            <w:tcW w:w="1761" w:type="dxa"/>
            <w:tcBorders>
              <w:top w:val="single" w:color="auto" w:sz="4" w:space="0"/>
              <w:left w:val="single" w:color="auto" w:sz="4" w:space="0"/>
              <w:bottom w:val="single" w:color="auto" w:sz="4" w:space="0"/>
              <w:right w:val="single" w:color="auto" w:sz="4" w:space="0"/>
            </w:tcBorders>
            <w:shd w:val="clear" w:color="auto" w:fill="auto"/>
          </w:tcPr>
          <w:p w14:paraId="11E25591">
            <w:pPr>
              <w:spacing w:line="360" w:lineRule="auto"/>
              <w:rPr>
                <w:rFonts w:ascii="华文中宋" w:hAnsi="华文中宋" w:eastAsia="华文中宋" w:cs="华文中宋"/>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7A7FD78">
            <w:pPr>
              <w:spacing w:line="360" w:lineRule="auto"/>
              <w:rPr>
                <w:rFonts w:ascii="华文中宋" w:hAnsi="华文中宋" w:eastAsia="华文中宋" w:cs="华文中宋"/>
                <w:szCs w:val="21"/>
              </w:rPr>
            </w:pPr>
          </w:p>
        </w:tc>
        <w:tc>
          <w:tcPr>
            <w:tcW w:w="2016" w:type="dxa"/>
            <w:tcBorders>
              <w:top w:val="single" w:color="auto" w:sz="4" w:space="0"/>
              <w:left w:val="single" w:color="auto" w:sz="4" w:space="0"/>
              <w:bottom w:val="single" w:color="auto" w:sz="4" w:space="0"/>
              <w:right w:val="single" w:color="auto" w:sz="4" w:space="0"/>
            </w:tcBorders>
            <w:shd w:val="clear" w:color="auto" w:fill="auto"/>
          </w:tcPr>
          <w:p w14:paraId="25DCD9F3">
            <w:pPr>
              <w:spacing w:line="360" w:lineRule="auto"/>
              <w:rPr>
                <w:rFonts w:ascii="华文中宋" w:hAnsi="华文中宋" w:eastAsia="华文中宋" w:cs="华文中宋"/>
                <w:szCs w:val="21"/>
              </w:rPr>
            </w:pPr>
          </w:p>
        </w:tc>
      </w:tr>
    </w:tbl>
    <w:p w14:paraId="7FDA84E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1.认证证书附后（有效期之内的节能产品认证证书扫描件）。</w:t>
      </w:r>
    </w:p>
    <w:p w14:paraId="1E54702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2.</w:t>
      </w:r>
      <w:r>
        <w:rPr>
          <w:rFonts w:hint="eastAsia"/>
        </w:rPr>
        <w:t xml:space="preserve"> </w:t>
      </w:r>
      <w:r>
        <w:rPr>
          <w:rFonts w:hint="eastAsia" w:ascii="华文中宋" w:hAnsi="华文中宋" w:eastAsia="华文中宋"/>
          <w:szCs w:val="21"/>
        </w:rPr>
        <w:t>未提供品目清单政府强制采购节能产品认证证书扫描件的，投标无效。</w:t>
      </w:r>
    </w:p>
    <w:p w14:paraId="62E2AE36">
      <w:pPr>
        <w:spacing w:line="360" w:lineRule="auto"/>
        <w:ind w:left="7350" w:leftChars="1050" w:hanging="5145" w:hangingChars="2450"/>
        <w:jc w:val="right"/>
        <w:rPr>
          <w:rFonts w:ascii="华文中宋" w:hAnsi="华文中宋" w:eastAsia="华文中宋"/>
          <w:szCs w:val="21"/>
        </w:rPr>
      </w:pPr>
      <w:r>
        <w:rPr>
          <w:rFonts w:hint="eastAsia" w:ascii="华文中宋" w:hAnsi="华文中宋" w:eastAsia="华文中宋"/>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 xml:space="preserve">）        </w:t>
      </w:r>
    </w:p>
    <w:p w14:paraId="11EC966D">
      <w:pPr>
        <w:pStyle w:val="33"/>
        <w:widowControl w:val="0"/>
        <w:adjustRightInd w:val="0"/>
        <w:snapToGrid w:val="0"/>
        <w:spacing w:before="0" w:beforeAutospacing="0" w:after="0" w:afterAutospacing="0" w:line="480" w:lineRule="exact"/>
        <w:jc w:val="right"/>
        <w:rPr>
          <w:rFonts w:ascii="华文中宋" w:hAnsi="华文中宋" w:eastAsia="华文中宋"/>
          <w:szCs w:val="21"/>
        </w:rPr>
      </w:pPr>
      <w:r>
        <w:rPr>
          <w:rFonts w:hint="eastAsia" w:ascii="华文中宋" w:hAnsi="华文中宋" w:eastAsia="华文中宋"/>
          <w:szCs w:val="21"/>
        </w:rPr>
        <w:t xml:space="preserve">           年     月   日</w:t>
      </w:r>
    </w:p>
    <w:p w14:paraId="2C1A653F">
      <w:pPr>
        <w:spacing w:line="480" w:lineRule="exact"/>
        <w:rPr>
          <w:rFonts w:ascii="华文中宋" w:hAnsi="华文中宋" w:eastAsia="华文中宋" w:cs="华文中宋"/>
          <w:b/>
          <w:sz w:val="24"/>
        </w:rPr>
      </w:pPr>
    </w:p>
    <w:p w14:paraId="33D684EB">
      <w:pPr>
        <w:spacing w:line="480" w:lineRule="exact"/>
        <w:rPr>
          <w:rFonts w:ascii="华文中宋" w:hAnsi="华文中宋" w:eastAsia="华文中宋" w:cs="华文中宋"/>
          <w:b/>
          <w:sz w:val="24"/>
        </w:rPr>
      </w:pPr>
    </w:p>
    <w:p w14:paraId="7F8B9F43">
      <w:pPr>
        <w:spacing w:line="480" w:lineRule="exact"/>
        <w:rPr>
          <w:rFonts w:ascii="华文中宋" w:hAnsi="华文中宋" w:eastAsia="华文中宋" w:cs="华文中宋"/>
          <w:b/>
          <w:sz w:val="24"/>
        </w:rPr>
      </w:pPr>
      <w:r>
        <w:rPr>
          <w:rFonts w:hint="eastAsia" w:ascii="华文中宋" w:hAnsi="华文中宋" w:eastAsia="华文中宋" w:cs="华文中宋"/>
          <w:b/>
          <w:sz w:val="24"/>
        </w:rPr>
        <w:t>（五）正版软件承诺格式</w:t>
      </w:r>
    </w:p>
    <w:p w14:paraId="01F0C680">
      <w:pPr>
        <w:spacing w:line="480" w:lineRule="exact"/>
        <w:ind w:firstLine="3258" w:firstLineChars="1356"/>
        <w:rPr>
          <w:rFonts w:ascii="华文中宋" w:hAnsi="华文中宋" w:eastAsia="华文中宋" w:cs="华文中宋"/>
          <w:szCs w:val="21"/>
        </w:rPr>
      </w:pPr>
      <w:r>
        <w:rPr>
          <w:rFonts w:hint="eastAsia" w:ascii="华文中宋" w:hAnsi="华文中宋" w:eastAsia="华文中宋" w:cs="华文中宋"/>
          <w:b/>
          <w:sz w:val="24"/>
        </w:rPr>
        <w:t>正 版 软 件 承 诺</w:t>
      </w:r>
    </w:p>
    <w:p w14:paraId="0B4BF4CF">
      <w:pPr>
        <w:pStyle w:val="3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本公司现参与</w:t>
      </w:r>
      <w:r>
        <w:rPr>
          <w:rFonts w:hint="eastAsia"/>
          <w:spacing w:val="6"/>
        </w:rPr>
        <w:t>_________</w:t>
      </w:r>
      <w:r>
        <w:rPr>
          <w:rFonts w:hint="eastAsia" w:ascii="华文中宋" w:hAnsi="华文中宋" w:eastAsia="华文中宋" w:cs="华文中宋"/>
          <w:sz w:val="21"/>
          <w:szCs w:val="21"/>
        </w:rPr>
        <w:t>项目（项目编号：</w:t>
      </w:r>
      <w:r>
        <w:rPr>
          <w:rFonts w:hint="eastAsia"/>
          <w:spacing w:val="6"/>
        </w:rPr>
        <w:t>_________</w:t>
      </w:r>
      <w:r>
        <w:rPr>
          <w:rFonts w:hint="eastAsia" w:ascii="华文中宋" w:hAnsi="华文中宋" w:eastAsia="华文中宋" w:cs="华文中宋"/>
          <w:sz w:val="21"/>
          <w:szCs w:val="21"/>
        </w:rPr>
        <w:t>）的采购活动，本公司承诺投报的计算机产品预装正版操作系统，投报的硬件产品内的预装软件及投标的成品软件为正版软件。</w:t>
      </w:r>
    </w:p>
    <w:p w14:paraId="1CEE251D">
      <w:pPr>
        <w:pStyle w:val="3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如上述声明不真实，愿意按照政府采购有关法律法规的规定接受处罚。</w:t>
      </w:r>
    </w:p>
    <w:p w14:paraId="2E16DA4A">
      <w:pPr>
        <w:pStyle w:val="3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特此声明</w:t>
      </w:r>
    </w:p>
    <w:p w14:paraId="49E3FB02">
      <w:pPr>
        <w:snapToGrid w:val="0"/>
        <w:spacing w:line="480" w:lineRule="exact"/>
        <w:ind w:firstLine="3360" w:firstLineChars="1600"/>
        <w:rPr>
          <w:rFonts w:ascii="华文中宋" w:hAnsi="华文中宋" w:eastAsia="华文中宋" w:cs="华文中宋"/>
          <w:szCs w:val="21"/>
        </w:rPr>
      </w:pPr>
      <w:r>
        <w:rPr>
          <w:rFonts w:hint="eastAsia" w:ascii="华文中宋" w:hAnsi="华文中宋" w:eastAsia="华文中宋" w:cs="华文中宋"/>
          <w:szCs w:val="21"/>
        </w:rPr>
        <w:t>投标人：</w:t>
      </w:r>
      <w:r>
        <w:rPr>
          <w:rFonts w:hint="eastAsia" w:ascii="华文中宋" w:hAnsi="华文中宋" w:eastAsia="华文中宋"/>
          <w:szCs w:val="21"/>
          <w:u w:val="single"/>
        </w:rPr>
        <w:t xml:space="preserve">             </w:t>
      </w:r>
      <w:r>
        <w:rPr>
          <w:rFonts w:hint="eastAsia" w:ascii="华文中宋" w:hAnsi="华文中宋" w:eastAsia="华文中宋" w:cs="华文中宋"/>
          <w:szCs w:val="21"/>
        </w:rPr>
        <w:t>（</w:t>
      </w:r>
      <w:r>
        <w:rPr>
          <w:rFonts w:hint="eastAsia" w:ascii="华文中宋" w:hAnsi="华文中宋" w:eastAsia="华文中宋" w:cs="华文中宋"/>
          <w:spacing w:val="20"/>
          <w:szCs w:val="21"/>
        </w:rPr>
        <w:t>电子公章</w:t>
      </w:r>
      <w:r>
        <w:rPr>
          <w:rFonts w:hint="eastAsia" w:ascii="华文中宋" w:hAnsi="华文中宋" w:eastAsia="华文中宋" w:cs="华文中宋"/>
          <w:szCs w:val="21"/>
        </w:rPr>
        <w:t>）</w:t>
      </w:r>
    </w:p>
    <w:p w14:paraId="2B0359D7">
      <w:pPr>
        <w:snapToGrid w:val="0"/>
        <w:spacing w:line="48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 xml:space="preserve">                                                    年  月  日</w:t>
      </w:r>
    </w:p>
    <w:p w14:paraId="55177D12">
      <w:pPr>
        <w:spacing w:line="480" w:lineRule="exact"/>
        <w:rPr>
          <w:rFonts w:ascii="华文中宋" w:hAnsi="华文中宋" w:eastAsia="华文中宋" w:cs="华文中宋"/>
          <w:b/>
          <w:sz w:val="24"/>
        </w:rPr>
      </w:pPr>
      <w:r>
        <w:rPr>
          <w:rFonts w:hint="eastAsia" w:ascii="华文中宋" w:hAnsi="华文中宋" w:eastAsia="华文中宋" w:cs="华文中宋"/>
          <w:b/>
          <w:sz w:val="24"/>
        </w:rPr>
        <w:t>（六）信息安全产品说明</w:t>
      </w:r>
    </w:p>
    <w:p w14:paraId="3BE4AC3A">
      <w:pPr>
        <w:spacing w:line="276" w:lineRule="auto"/>
        <w:ind w:firstLine="420" w:firstLineChars="200"/>
        <w:rPr>
          <w:rFonts w:ascii="宋体" w:hAnsi="宋体"/>
          <w:szCs w:val="21"/>
        </w:rPr>
      </w:pPr>
      <w:r>
        <w:rPr>
          <w:rFonts w:hint="eastAsia" w:ascii="宋体" w:hAnsi="宋体"/>
          <w:szCs w:val="21"/>
        </w:rPr>
        <w:t>根据《财政部关于信息安全产品实施政府采购的通知》（财库〔2010〕48号）规定：各级国家机关、事业单位和团体组织使用财政性资金采购信息安全产品的，应当采购经国家认证的信息安全产品。</w:t>
      </w:r>
    </w:p>
    <w:p w14:paraId="46077D40">
      <w:pPr>
        <w:spacing w:line="276" w:lineRule="auto"/>
        <w:ind w:firstLine="420" w:firstLineChars="200"/>
        <w:rPr>
          <w:rFonts w:ascii="宋体" w:hAnsi="宋体"/>
          <w:szCs w:val="21"/>
        </w:rPr>
      </w:pPr>
      <w:r>
        <w:rPr>
          <w:rFonts w:hint="eastAsia" w:ascii="宋体" w:hAnsi="宋体"/>
          <w:szCs w:val="21"/>
        </w:rPr>
        <w:t>若所投报信息安全产品属于《信息安全产品强制性认证目录》中的产品，须提供有效认证证书扫描件。</w:t>
      </w:r>
    </w:p>
    <w:p w14:paraId="49ACDD99">
      <w:pPr>
        <w:spacing w:line="360" w:lineRule="auto"/>
        <w:ind w:firstLine="420" w:firstLineChars="200"/>
        <w:rPr>
          <w:rFonts w:ascii="宋体" w:hAnsi="宋体" w:cs="华文中宋"/>
          <w:szCs w:val="21"/>
        </w:rPr>
      </w:pPr>
      <w:r>
        <w:rPr>
          <w:rFonts w:hint="eastAsia" w:ascii="宋体" w:hAnsi="宋体" w:cs="华文中宋"/>
          <w:szCs w:val="21"/>
        </w:rPr>
        <w:t>加盖投标人电子公章。</w:t>
      </w:r>
    </w:p>
    <w:p w14:paraId="091BFB0B">
      <w:pPr>
        <w:spacing w:line="360" w:lineRule="auto"/>
        <w:rPr>
          <w:rFonts w:ascii="华文中宋" w:hAnsi="华文中宋" w:eastAsia="华文中宋"/>
          <w:b/>
          <w:kern w:val="0"/>
        </w:rPr>
      </w:pPr>
      <w:r>
        <w:rPr>
          <w:rFonts w:hint="eastAsia" w:ascii="华文中宋" w:hAnsi="华文中宋" w:eastAsia="华文中宋"/>
          <w:b/>
          <w:szCs w:val="21"/>
        </w:rPr>
        <w:t>（七）</w:t>
      </w:r>
      <w:r>
        <w:rPr>
          <w:rFonts w:hint="eastAsia" w:ascii="华文中宋" w:hAnsi="华文中宋" w:eastAsia="华文中宋"/>
          <w:b/>
          <w:kern w:val="0"/>
        </w:rPr>
        <w:t>信息安全产品说明</w:t>
      </w:r>
    </w:p>
    <w:p w14:paraId="6A76F642">
      <w:pPr>
        <w:spacing w:line="276" w:lineRule="auto"/>
        <w:ind w:firstLine="420" w:firstLineChars="200"/>
        <w:rPr>
          <w:rFonts w:ascii="宋体" w:hAnsi="宋体"/>
          <w:szCs w:val="21"/>
        </w:rPr>
      </w:pPr>
      <w:r>
        <w:rPr>
          <w:rFonts w:hint="eastAsia" w:ascii="宋体" w:hAnsi="宋体"/>
          <w:szCs w:val="21"/>
        </w:rPr>
        <w:t>根据《财政部关于信息安全产品实施政府采购的通知》（财库〔2010〕48号）规定：各级国家机关、事业单位和团体组织使用财政性资金采购信息安全产品的，应当采购经国家认证的信息安全产品。</w:t>
      </w:r>
    </w:p>
    <w:p w14:paraId="02478943">
      <w:pPr>
        <w:spacing w:line="276" w:lineRule="auto"/>
        <w:ind w:firstLine="420" w:firstLineChars="200"/>
        <w:rPr>
          <w:rFonts w:ascii="宋体" w:hAnsi="宋体"/>
          <w:szCs w:val="21"/>
        </w:rPr>
      </w:pPr>
      <w:r>
        <w:rPr>
          <w:rFonts w:hint="eastAsia" w:ascii="宋体" w:hAnsi="宋体"/>
          <w:szCs w:val="21"/>
        </w:rPr>
        <w:t>若所投报信息安全产品属于《信息安全产品强制性认证目录》中的产品，须提供有效认证证书扫描件。</w:t>
      </w:r>
    </w:p>
    <w:p w14:paraId="78496F9F">
      <w:pPr>
        <w:spacing w:line="360" w:lineRule="auto"/>
        <w:ind w:firstLine="420" w:firstLineChars="200"/>
        <w:rPr>
          <w:rFonts w:ascii="宋体" w:hAnsi="宋体" w:cs="华文中宋"/>
          <w:szCs w:val="21"/>
        </w:rPr>
      </w:pPr>
      <w:r>
        <w:rPr>
          <w:rFonts w:hint="eastAsia" w:ascii="宋体" w:hAnsi="宋体" w:cs="华文中宋"/>
          <w:szCs w:val="21"/>
        </w:rPr>
        <w:t>加盖磋商供应商电子公章。</w:t>
      </w:r>
    </w:p>
    <w:p w14:paraId="4A7B1DD1">
      <w:pPr>
        <w:pStyle w:val="47"/>
      </w:pPr>
    </w:p>
    <w:p w14:paraId="766D9DD9">
      <w:pPr>
        <w:pStyle w:val="23"/>
        <w:snapToGrid w:val="0"/>
        <w:spacing w:line="360" w:lineRule="auto"/>
        <w:rPr>
          <w:rFonts w:ascii="华文中宋" w:hAnsi="华文中宋" w:eastAsia="华文中宋"/>
          <w:b/>
          <w:kern w:val="0"/>
        </w:rPr>
      </w:pPr>
      <w:r>
        <w:rPr>
          <w:rFonts w:hint="eastAsia" w:ascii="华文中宋" w:hAnsi="华文中宋" w:eastAsia="华文中宋"/>
          <w:b/>
          <w:kern w:val="0"/>
        </w:rPr>
        <w:t>（八）创新产品或创新服务明细表</w:t>
      </w:r>
    </w:p>
    <w:p w14:paraId="3E7F3E32">
      <w:pPr>
        <w:spacing w:line="360" w:lineRule="auto"/>
        <w:jc w:val="center"/>
        <w:rPr>
          <w:rFonts w:ascii="华文中宋" w:hAnsi="华文中宋" w:eastAsia="华文中宋"/>
          <w:szCs w:val="21"/>
        </w:rPr>
      </w:pPr>
      <w:r>
        <w:rPr>
          <w:rFonts w:hint="eastAsia" w:ascii="华文中宋" w:hAnsi="华文中宋" w:eastAsia="华文中宋" w:cs="华文中宋"/>
          <w:b/>
          <w:spacing w:val="6"/>
          <w:sz w:val="24"/>
        </w:rPr>
        <w:t>创新产品或创新服务明细表</w:t>
      </w:r>
    </w:p>
    <w:p w14:paraId="636B80AC">
      <w:pPr>
        <w:spacing w:line="360" w:lineRule="auto"/>
        <w:rPr>
          <w:rFonts w:ascii="华文中宋" w:hAnsi="华文中宋" w:eastAsia="华文中宋"/>
          <w:szCs w:val="21"/>
          <w:u w:val="single"/>
        </w:rPr>
      </w:pPr>
      <w:r>
        <w:rPr>
          <w:rFonts w:hint="eastAsia" w:ascii="华文中宋" w:hAnsi="华文中宋" w:eastAsia="华文中宋"/>
          <w:szCs w:val="21"/>
        </w:rPr>
        <w:t>项目名称：</w:t>
      </w:r>
      <w:r>
        <w:rPr>
          <w:rFonts w:hint="eastAsia" w:ascii="宋体" w:hAnsi="宋体"/>
          <w:szCs w:val="21"/>
          <w:u w:val="single"/>
        </w:rPr>
        <w:t xml:space="preserve">                </w:t>
      </w:r>
    </w:p>
    <w:p w14:paraId="5C48F002">
      <w:pPr>
        <w:spacing w:line="360" w:lineRule="auto"/>
        <w:rPr>
          <w:rFonts w:ascii="华文中宋" w:hAnsi="华文中宋" w:eastAsia="华文中宋"/>
          <w:szCs w:val="21"/>
          <w:u w:val="single"/>
        </w:rPr>
      </w:pPr>
      <w:r>
        <w:rPr>
          <w:rFonts w:hint="eastAsia" w:ascii="华文中宋" w:hAnsi="华文中宋" w:eastAsia="华文中宋"/>
          <w:szCs w:val="21"/>
        </w:rPr>
        <w:t>项目编号：</w:t>
      </w:r>
      <w:r>
        <w:rPr>
          <w:rFonts w:hint="eastAsia" w:ascii="宋体" w:hAnsi="宋体"/>
          <w:szCs w:val="21"/>
          <w:u w:val="single"/>
        </w:rPr>
        <w:t xml:space="preserve">                </w:t>
      </w:r>
    </w:p>
    <w:p w14:paraId="60D5DA6A">
      <w:pPr>
        <w:spacing w:line="360" w:lineRule="auto"/>
        <w:rPr>
          <w:rFonts w:ascii="华文中宋" w:hAnsi="华文中宋" w:eastAsia="华文中宋"/>
          <w:szCs w:val="21"/>
        </w:rPr>
      </w:pPr>
      <w:r>
        <w:rPr>
          <w:rFonts w:hint="eastAsia" w:ascii="华文中宋" w:hAnsi="华文中宋" w:eastAsia="华文中宋"/>
          <w:szCs w:val="21"/>
        </w:rPr>
        <w:t>磋商供应商名称：</w:t>
      </w:r>
      <w:r>
        <w:rPr>
          <w:rFonts w:hint="eastAsia" w:ascii="宋体" w:hAnsi="宋体"/>
          <w:szCs w:val="21"/>
          <w:u w:val="single"/>
        </w:rPr>
        <w:t xml:space="preserve">                </w:t>
      </w:r>
    </w:p>
    <w:p w14:paraId="283F867A">
      <w:pPr>
        <w:spacing w:line="360" w:lineRule="auto"/>
        <w:ind w:left="7350" w:hanging="7350" w:hangingChars="3500"/>
        <w:jc w:val="left"/>
        <w:rPr>
          <w:rFonts w:ascii="华文中宋" w:hAnsi="华文中宋" w:eastAsia="华文中宋"/>
          <w:szCs w:val="21"/>
        </w:rPr>
      </w:pPr>
      <w:r>
        <w:rPr>
          <w:rFonts w:hint="eastAsia" w:ascii="华文中宋" w:hAnsi="华文中宋" w:eastAsia="华文中宋"/>
          <w:szCs w:val="21"/>
        </w:rPr>
        <w:t>第</w:t>
      </w:r>
      <w:r>
        <w:rPr>
          <w:rFonts w:hint="eastAsia" w:ascii="宋体" w:hAnsi="宋体"/>
          <w:szCs w:val="21"/>
          <w:u w:val="single"/>
        </w:rPr>
        <w:t xml:space="preserve">                </w:t>
      </w:r>
      <w:r>
        <w:rPr>
          <w:rFonts w:hint="eastAsia" w:ascii="华文中宋" w:hAnsi="华文中宋" w:eastAsia="华文中宋"/>
          <w:szCs w:val="21"/>
        </w:rPr>
        <w:t xml:space="preserve">包                                          </w:t>
      </w:r>
    </w:p>
    <w:p w14:paraId="1593AF5B">
      <w:pPr>
        <w:spacing w:line="360" w:lineRule="auto"/>
        <w:ind w:left="7350" w:leftChars="2500" w:hanging="2100" w:hangingChars="1000"/>
        <w:jc w:val="left"/>
        <w:rPr>
          <w:rFonts w:ascii="华文中宋" w:hAnsi="华文中宋" w:eastAsia="华文中宋"/>
          <w:szCs w:val="21"/>
        </w:rPr>
      </w:pPr>
      <w:r>
        <w:rPr>
          <w:rFonts w:hint="eastAsia" w:ascii="华文中宋" w:hAnsi="华文中宋" w:eastAsia="华文中宋"/>
          <w:szCs w:val="21"/>
        </w:rPr>
        <w:t xml:space="preserve">    货币：人民币/元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596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504BF269">
            <w:pPr>
              <w:spacing w:line="360" w:lineRule="auto"/>
              <w:jc w:val="center"/>
              <w:rPr>
                <w:rFonts w:ascii="华文中宋" w:hAnsi="华文中宋" w:eastAsia="华文中宋"/>
                <w:bCs/>
                <w:szCs w:val="21"/>
              </w:rPr>
            </w:pPr>
            <w:r>
              <w:rPr>
                <w:rFonts w:hint="eastAsia" w:ascii="华文中宋" w:hAnsi="华文中宋" w:eastAsia="华文中宋"/>
                <w:bCs/>
                <w:szCs w:val="21"/>
              </w:rPr>
              <w:t>序号</w:t>
            </w:r>
          </w:p>
        </w:tc>
        <w:tc>
          <w:tcPr>
            <w:tcW w:w="1447" w:type="dxa"/>
            <w:vAlign w:val="center"/>
          </w:tcPr>
          <w:p w14:paraId="5B8670E2">
            <w:pPr>
              <w:spacing w:line="360" w:lineRule="auto"/>
              <w:jc w:val="center"/>
              <w:rPr>
                <w:rFonts w:ascii="华文中宋" w:hAnsi="华文中宋" w:eastAsia="华文中宋"/>
                <w:bCs/>
                <w:szCs w:val="21"/>
              </w:rPr>
            </w:pPr>
            <w:r>
              <w:rPr>
                <w:rFonts w:hint="eastAsia" w:ascii="华文中宋" w:hAnsi="华文中宋" w:eastAsia="华文中宋"/>
                <w:bCs/>
                <w:szCs w:val="21"/>
              </w:rPr>
              <w:t>货物名称</w:t>
            </w:r>
          </w:p>
        </w:tc>
        <w:tc>
          <w:tcPr>
            <w:tcW w:w="992" w:type="dxa"/>
            <w:vAlign w:val="center"/>
          </w:tcPr>
          <w:p w14:paraId="4F47A97B">
            <w:pPr>
              <w:spacing w:line="360" w:lineRule="auto"/>
              <w:jc w:val="center"/>
              <w:rPr>
                <w:rFonts w:ascii="华文中宋" w:hAnsi="华文中宋" w:eastAsia="华文中宋"/>
                <w:bCs/>
                <w:szCs w:val="21"/>
              </w:rPr>
            </w:pPr>
            <w:r>
              <w:rPr>
                <w:rFonts w:hint="eastAsia" w:ascii="华文中宋" w:hAnsi="华文中宋" w:eastAsia="华文中宋"/>
                <w:bCs/>
                <w:szCs w:val="21"/>
              </w:rPr>
              <w:t>品牌</w:t>
            </w:r>
          </w:p>
        </w:tc>
        <w:tc>
          <w:tcPr>
            <w:tcW w:w="1134" w:type="dxa"/>
            <w:tcBorders>
              <w:bottom w:val="single" w:color="auto" w:sz="4" w:space="0"/>
            </w:tcBorders>
            <w:vAlign w:val="center"/>
          </w:tcPr>
          <w:p w14:paraId="15910CA3">
            <w:pPr>
              <w:spacing w:line="360" w:lineRule="auto"/>
              <w:jc w:val="center"/>
              <w:rPr>
                <w:rFonts w:ascii="华文中宋" w:hAnsi="华文中宋" w:eastAsia="华文中宋"/>
                <w:bCs/>
                <w:szCs w:val="21"/>
              </w:rPr>
            </w:pPr>
            <w:r>
              <w:rPr>
                <w:rFonts w:hint="eastAsia" w:ascii="华文中宋" w:hAnsi="华文中宋" w:eastAsia="华文中宋"/>
                <w:bCs/>
                <w:szCs w:val="21"/>
              </w:rPr>
              <w:t>规格型号</w:t>
            </w:r>
          </w:p>
        </w:tc>
        <w:tc>
          <w:tcPr>
            <w:tcW w:w="1276" w:type="dxa"/>
            <w:tcBorders>
              <w:bottom w:val="single" w:color="auto" w:sz="4" w:space="0"/>
            </w:tcBorders>
            <w:vAlign w:val="center"/>
          </w:tcPr>
          <w:p w14:paraId="42602585">
            <w:pPr>
              <w:spacing w:line="360" w:lineRule="auto"/>
              <w:jc w:val="center"/>
              <w:rPr>
                <w:rFonts w:ascii="华文中宋" w:hAnsi="华文中宋" w:eastAsia="华文中宋"/>
                <w:bCs/>
                <w:szCs w:val="21"/>
              </w:rPr>
            </w:pPr>
            <w:r>
              <w:rPr>
                <w:rFonts w:hint="eastAsia" w:ascii="华文中宋" w:hAnsi="华文中宋" w:eastAsia="华文中宋"/>
                <w:bCs/>
                <w:szCs w:val="21"/>
              </w:rPr>
              <w:t>产地及厂家</w:t>
            </w:r>
          </w:p>
        </w:tc>
        <w:tc>
          <w:tcPr>
            <w:tcW w:w="708" w:type="dxa"/>
            <w:tcBorders>
              <w:bottom w:val="single" w:color="auto" w:sz="4" w:space="0"/>
            </w:tcBorders>
            <w:vAlign w:val="center"/>
          </w:tcPr>
          <w:p w14:paraId="10CED709">
            <w:pPr>
              <w:spacing w:line="360" w:lineRule="auto"/>
              <w:jc w:val="center"/>
              <w:rPr>
                <w:rFonts w:ascii="华文中宋" w:hAnsi="华文中宋" w:eastAsia="华文中宋"/>
                <w:bCs/>
                <w:szCs w:val="21"/>
              </w:rPr>
            </w:pPr>
            <w:r>
              <w:rPr>
                <w:rFonts w:hint="eastAsia" w:ascii="华文中宋" w:hAnsi="华文中宋" w:eastAsia="华文中宋"/>
                <w:bCs/>
                <w:szCs w:val="21"/>
              </w:rPr>
              <w:t>数量</w:t>
            </w:r>
          </w:p>
        </w:tc>
        <w:tc>
          <w:tcPr>
            <w:tcW w:w="1134" w:type="dxa"/>
            <w:tcBorders>
              <w:bottom w:val="single" w:color="auto" w:sz="4" w:space="0"/>
            </w:tcBorders>
            <w:vAlign w:val="center"/>
          </w:tcPr>
          <w:p w14:paraId="37A5B552">
            <w:pPr>
              <w:spacing w:line="360" w:lineRule="auto"/>
              <w:jc w:val="center"/>
              <w:rPr>
                <w:rFonts w:ascii="华文中宋" w:hAnsi="华文中宋" w:eastAsia="华文中宋"/>
                <w:bCs/>
                <w:szCs w:val="21"/>
              </w:rPr>
            </w:pPr>
            <w:r>
              <w:rPr>
                <w:rFonts w:hint="eastAsia" w:ascii="华文中宋" w:hAnsi="华文中宋" w:eastAsia="华文中宋"/>
                <w:bCs/>
                <w:szCs w:val="21"/>
              </w:rPr>
              <w:t>单价</w:t>
            </w:r>
          </w:p>
        </w:tc>
        <w:tc>
          <w:tcPr>
            <w:tcW w:w="1630" w:type="dxa"/>
            <w:tcBorders>
              <w:bottom w:val="single" w:color="auto" w:sz="4" w:space="0"/>
            </w:tcBorders>
            <w:vAlign w:val="center"/>
          </w:tcPr>
          <w:p w14:paraId="0DA6E018">
            <w:pPr>
              <w:spacing w:line="360" w:lineRule="auto"/>
              <w:jc w:val="center"/>
              <w:rPr>
                <w:rFonts w:ascii="华文中宋" w:hAnsi="华文中宋" w:eastAsia="华文中宋"/>
                <w:bCs/>
                <w:szCs w:val="21"/>
              </w:rPr>
            </w:pPr>
            <w:r>
              <w:rPr>
                <w:rFonts w:hint="eastAsia" w:ascii="华文中宋" w:hAnsi="华文中宋" w:eastAsia="华文中宋"/>
                <w:bCs/>
                <w:szCs w:val="21"/>
              </w:rPr>
              <w:t>总价</w:t>
            </w:r>
          </w:p>
        </w:tc>
      </w:tr>
      <w:tr w14:paraId="6053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25410398">
            <w:pPr>
              <w:spacing w:line="360" w:lineRule="auto"/>
              <w:jc w:val="center"/>
              <w:rPr>
                <w:rFonts w:ascii="华文中宋" w:hAnsi="华文中宋" w:eastAsia="华文中宋"/>
                <w:bCs/>
                <w:szCs w:val="21"/>
              </w:rPr>
            </w:pPr>
          </w:p>
        </w:tc>
        <w:tc>
          <w:tcPr>
            <w:tcW w:w="1447" w:type="dxa"/>
            <w:vAlign w:val="center"/>
          </w:tcPr>
          <w:p w14:paraId="47E48F9D">
            <w:pPr>
              <w:spacing w:line="360" w:lineRule="auto"/>
              <w:jc w:val="center"/>
              <w:rPr>
                <w:rFonts w:ascii="华文中宋" w:hAnsi="华文中宋" w:eastAsia="华文中宋"/>
                <w:bCs/>
                <w:szCs w:val="21"/>
              </w:rPr>
            </w:pPr>
          </w:p>
        </w:tc>
        <w:tc>
          <w:tcPr>
            <w:tcW w:w="992" w:type="dxa"/>
            <w:vAlign w:val="center"/>
          </w:tcPr>
          <w:p w14:paraId="16EC2653">
            <w:pPr>
              <w:spacing w:line="360" w:lineRule="auto"/>
              <w:jc w:val="center"/>
              <w:rPr>
                <w:rFonts w:ascii="华文中宋" w:hAnsi="华文中宋" w:eastAsia="华文中宋"/>
                <w:bCs/>
                <w:szCs w:val="21"/>
              </w:rPr>
            </w:pPr>
          </w:p>
        </w:tc>
        <w:tc>
          <w:tcPr>
            <w:tcW w:w="1134" w:type="dxa"/>
            <w:tcBorders>
              <w:top w:val="single" w:color="auto" w:sz="4" w:space="0"/>
              <w:bottom w:val="single" w:color="auto" w:sz="4" w:space="0"/>
            </w:tcBorders>
            <w:vAlign w:val="center"/>
          </w:tcPr>
          <w:p w14:paraId="58DF9808">
            <w:pPr>
              <w:spacing w:line="360" w:lineRule="auto"/>
              <w:jc w:val="center"/>
              <w:rPr>
                <w:rFonts w:ascii="华文中宋" w:hAnsi="华文中宋" w:eastAsia="华文中宋"/>
                <w:bCs/>
                <w:szCs w:val="21"/>
                <w:vertAlign w:val="superscript"/>
              </w:rPr>
            </w:pPr>
          </w:p>
        </w:tc>
        <w:tc>
          <w:tcPr>
            <w:tcW w:w="1276" w:type="dxa"/>
            <w:tcBorders>
              <w:top w:val="single" w:color="auto" w:sz="4" w:space="0"/>
              <w:bottom w:val="single" w:color="auto" w:sz="4" w:space="0"/>
            </w:tcBorders>
            <w:vAlign w:val="center"/>
          </w:tcPr>
          <w:p w14:paraId="37D2227F">
            <w:pPr>
              <w:spacing w:line="360" w:lineRule="auto"/>
              <w:jc w:val="center"/>
              <w:rPr>
                <w:rFonts w:ascii="华文中宋" w:hAnsi="华文中宋" w:eastAsia="华文中宋"/>
                <w:bCs/>
                <w:szCs w:val="21"/>
                <w:vertAlign w:val="superscript"/>
              </w:rPr>
            </w:pPr>
          </w:p>
        </w:tc>
        <w:tc>
          <w:tcPr>
            <w:tcW w:w="708" w:type="dxa"/>
            <w:tcBorders>
              <w:top w:val="single" w:color="auto" w:sz="4" w:space="0"/>
            </w:tcBorders>
            <w:vAlign w:val="center"/>
          </w:tcPr>
          <w:p w14:paraId="1EB36CE5">
            <w:pPr>
              <w:spacing w:line="360" w:lineRule="auto"/>
              <w:jc w:val="center"/>
              <w:rPr>
                <w:rFonts w:ascii="华文中宋" w:hAnsi="华文中宋" w:eastAsia="华文中宋"/>
                <w:bCs/>
                <w:szCs w:val="21"/>
              </w:rPr>
            </w:pPr>
          </w:p>
        </w:tc>
        <w:tc>
          <w:tcPr>
            <w:tcW w:w="1134" w:type="dxa"/>
            <w:tcBorders>
              <w:top w:val="single" w:color="auto" w:sz="4" w:space="0"/>
            </w:tcBorders>
            <w:vAlign w:val="center"/>
          </w:tcPr>
          <w:p w14:paraId="2C44A9A0">
            <w:pPr>
              <w:spacing w:line="360" w:lineRule="auto"/>
              <w:jc w:val="center"/>
              <w:rPr>
                <w:rFonts w:ascii="华文中宋" w:hAnsi="华文中宋" w:eastAsia="华文中宋"/>
                <w:bCs/>
                <w:szCs w:val="21"/>
              </w:rPr>
            </w:pPr>
          </w:p>
        </w:tc>
        <w:tc>
          <w:tcPr>
            <w:tcW w:w="1630" w:type="dxa"/>
            <w:tcBorders>
              <w:top w:val="single" w:color="auto" w:sz="4" w:space="0"/>
            </w:tcBorders>
            <w:vAlign w:val="center"/>
          </w:tcPr>
          <w:p w14:paraId="513186F0">
            <w:pPr>
              <w:spacing w:line="360" w:lineRule="auto"/>
              <w:jc w:val="center"/>
              <w:rPr>
                <w:rFonts w:ascii="华文中宋" w:hAnsi="华文中宋" w:eastAsia="华文中宋"/>
                <w:bCs/>
                <w:szCs w:val="21"/>
              </w:rPr>
            </w:pPr>
          </w:p>
        </w:tc>
      </w:tr>
      <w:tr w14:paraId="44F3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14F825E1">
            <w:pPr>
              <w:spacing w:line="360" w:lineRule="auto"/>
              <w:jc w:val="center"/>
              <w:rPr>
                <w:rFonts w:ascii="华文中宋" w:hAnsi="华文中宋" w:eastAsia="华文中宋"/>
                <w:bCs/>
                <w:szCs w:val="21"/>
              </w:rPr>
            </w:pPr>
          </w:p>
        </w:tc>
        <w:tc>
          <w:tcPr>
            <w:tcW w:w="1447" w:type="dxa"/>
            <w:vAlign w:val="center"/>
          </w:tcPr>
          <w:p w14:paraId="797FED98">
            <w:pPr>
              <w:spacing w:line="360" w:lineRule="auto"/>
              <w:jc w:val="center"/>
              <w:rPr>
                <w:rFonts w:ascii="华文中宋" w:hAnsi="华文中宋" w:eastAsia="华文中宋"/>
                <w:bCs/>
                <w:szCs w:val="21"/>
              </w:rPr>
            </w:pPr>
          </w:p>
        </w:tc>
        <w:tc>
          <w:tcPr>
            <w:tcW w:w="992" w:type="dxa"/>
            <w:vAlign w:val="center"/>
          </w:tcPr>
          <w:p w14:paraId="46A70550">
            <w:pPr>
              <w:spacing w:line="360" w:lineRule="auto"/>
              <w:jc w:val="center"/>
              <w:rPr>
                <w:rFonts w:ascii="华文中宋" w:hAnsi="华文中宋" w:eastAsia="华文中宋"/>
                <w:bCs/>
                <w:szCs w:val="21"/>
              </w:rPr>
            </w:pPr>
          </w:p>
        </w:tc>
        <w:tc>
          <w:tcPr>
            <w:tcW w:w="1134" w:type="dxa"/>
            <w:tcBorders>
              <w:top w:val="single" w:color="auto" w:sz="4" w:space="0"/>
              <w:bottom w:val="single" w:color="auto" w:sz="4" w:space="0"/>
            </w:tcBorders>
            <w:vAlign w:val="center"/>
          </w:tcPr>
          <w:p w14:paraId="4E70FA46">
            <w:pPr>
              <w:spacing w:line="360" w:lineRule="auto"/>
              <w:jc w:val="center"/>
              <w:rPr>
                <w:rFonts w:ascii="华文中宋" w:hAnsi="华文中宋" w:eastAsia="华文中宋"/>
                <w:bCs/>
                <w:szCs w:val="21"/>
                <w:vertAlign w:val="superscript"/>
              </w:rPr>
            </w:pPr>
          </w:p>
        </w:tc>
        <w:tc>
          <w:tcPr>
            <w:tcW w:w="1276" w:type="dxa"/>
            <w:tcBorders>
              <w:top w:val="single" w:color="auto" w:sz="4" w:space="0"/>
              <w:bottom w:val="single" w:color="auto" w:sz="4" w:space="0"/>
            </w:tcBorders>
            <w:vAlign w:val="center"/>
          </w:tcPr>
          <w:p w14:paraId="7901E6CD">
            <w:pPr>
              <w:spacing w:line="360" w:lineRule="auto"/>
              <w:jc w:val="center"/>
              <w:rPr>
                <w:rFonts w:ascii="华文中宋" w:hAnsi="华文中宋" w:eastAsia="华文中宋"/>
                <w:bCs/>
                <w:szCs w:val="21"/>
                <w:vertAlign w:val="superscript"/>
              </w:rPr>
            </w:pPr>
          </w:p>
        </w:tc>
        <w:tc>
          <w:tcPr>
            <w:tcW w:w="708" w:type="dxa"/>
            <w:tcBorders>
              <w:top w:val="single" w:color="auto" w:sz="4" w:space="0"/>
            </w:tcBorders>
            <w:vAlign w:val="center"/>
          </w:tcPr>
          <w:p w14:paraId="720A261A">
            <w:pPr>
              <w:spacing w:line="360" w:lineRule="auto"/>
              <w:jc w:val="center"/>
              <w:rPr>
                <w:rFonts w:ascii="华文中宋" w:hAnsi="华文中宋" w:eastAsia="华文中宋"/>
                <w:bCs/>
                <w:szCs w:val="21"/>
              </w:rPr>
            </w:pPr>
          </w:p>
        </w:tc>
        <w:tc>
          <w:tcPr>
            <w:tcW w:w="1134" w:type="dxa"/>
            <w:tcBorders>
              <w:top w:val="single" w:color="auto" w:sz="4" w:space="0"/>
            </w:tcBorders>
            <w:vAlign w:val="center"/>
          </w:tcPr>
          <w:p w14:paraId="3C6DDCF7">
            <w:pPr>
              <w:spacing w:line="360" w:lineRule="auto"/>
              <w:jc w:val="center"/>
              <w:rPr>
                <w:rFonts w:ascii="华文中宋" w:hAnsi="华文中宋" w:eastAsia="华文中宋"/>
                <w:bCs/>
                <w:szCs w:val="21"/>
              </w:rPr>
            </w:pPr>
          </w:p>
        </w:tc>
        <w:tc>
          <w:tcPr>
            <w:tcW w:w="1630" w:type="dxa"/>
            <w:tcBorders>
              <w:top w:val="single" w:color="auto" w:sz="4" w:space="0"/>
            </w:tcBorders>
            <w:vAlign w:val="center"/>
          </w:tcPr>
          <w:p w14:paraId="4B956FF0">
            <w:pPr>
              <w:spacing w:line="360" w:lineRule="auto"/>
              <w:jc w:val="center"/>
              <w:rPr>
                <w:rFonts w:ascii="华文中宋" w:hAnsi="华文中宋" w:eastAsia="华文中宋"/>
                <w:bCs/>
                <w:szCs w:val="21"/>
              </w:rPr>
            </w:pPr>
          </w:p>
        </w:tc>
      </w:tr>
      <w:tr w14:paraId="4507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201DE7C4">
            <w:pPr>
              <w:spacing w:line="360" w:lineRule="auto"/>
              <w:rPr>
                <w:rFonts w:ascii="华文中宋" w:hAnsi="华文中宋" w:eastAsia="华文中宋"/>
                <w:bCs/>
                <w:szCs w:val="21"/>
              </w:rPr>
            </w:pPr>
            <w:r>
              <w:rPr>
                <w:rFonts w:hint="eastAsia" w:ascii="华文中宋" w:hAnsi="华文中宋" w:eastAsia="华文中宋"/>
                <w:bCs/>
                <w:szCs w:val="21"/>
              </w:rPr>
              <w:t>创新产品或创新服务价格合计：</w:t>
            </w:r>
          </w:p>
        </w:tc>
      </w:tr>
    </w:tbl>
    <w:p w14:paraId="4CE8C7A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 xml:space="preserve">说明： </w:t>
      </w:r>
    </w:p>
    <w:p w14:paraId="49DE0BC4">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（1）磋商供应商如实填写表格，无相应内容可填的，填写“无”、“未测试”、“没有相应指标”等明确的回答文字，或用“/”来表示。</w:t>
      </w:r>
    </w:p>
    <w:p w14:paraId="61500D4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（2）磋商供应商投报产品包含创新产品或创新服务，需填写此表后，提供《山西省创新产品和服务推荐清单》。</w:t>
      </w:r>
    </w:p>
    <w:p w14:paraId="7B657330">
      <w:pPr>
        <w:spacing w:line="360" w:lineRule="auto"/>
        <w:ind w:left="7350" w:leftChars="1050" w:hanging="5145" w:hangingChars="2450"/>
        <w:jc w:val="right"/>
        <w:rPr>
          <w:rFonts w:ascii="华文中宋" w:hAnsi="华文中宋" w:eastAsia="华文中宋"/>
          <w:szCs w:val="21"/>
        </w:rPr>
      </w:pPr>
      <w:r>
        <w:rPr>
          <w:rFonts w:hint="eastAsia" w:ascii="华文中宋" w:hAnsi="华文中宋" w:eastAsia="华文中宋"/>
          <w:szCs w:val="21"/>
        </w:rPr>
        <w:t>磋商供应商：</w:t>
      </w:r>
      <w:r>
        <w:rPr>
          <w:rFonts w:hint="eastAsia" w:ascii="宋体" w:hAnsi="宋体"/>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w:t>
      </w:r>
    </w:p>
    <w:p w14:paraId="184A410E">
      <w:pPr>
        <w:pStyle w:val="47"/>
        <w:rPr>
          <w:rFonts w:ascii="华文中宋" w:hAnsi="华文中宋" w:eastAsia="华文中宋"/>
          <w:b/>
          <w:sz w:val="21"/>
          <w:szCs w:val="21"/>
        </w:rPr>
      </w:pPr>
      <w:r>
        <w:rPr>
          <w:rFonts w:hint="eastAsia" w:ascii="华文中宋" w:hAnsi="华文中宋" w:eastAsia="华文中宋"/>
          <w:szCs w:val="21"/>
        </w:rPr>
        <w:t xml:space="preserve">           年     月   日</w:t>
      </w:r>
    </w:p>
    <w:p w14:paraId="6CAFFCF3">
      <w:pPr>
        <w:pStyle w:val="47"/>
        <w:rPr>
          <w:rFonts w:ascii="华文中宋" w:hAnsi="华文中宋" w:eastAsia="华文中宋"/>
          <w:b/>
          <w:sz w:val="21"/>
          <w:szCs w:val="21"/>
        </w:rPr>
      </w:pPr>
      <w:r>
        <w:rPr>
          <w:rFonts w:hint="eastAsia" w:ascii="华文中宋" w:hAnsi="华文中宋" w:eastAsia="华文中宋"/>
          <w:b/>
          <w:sz w:val="21"/>
          <w:szCs w:val="21"/>
        </w:rPr>
        <w:t>（九）商品包装和快递包装承诺</w:t>
      </w:r>
    </w:p>
    <w:p w14:paraId="2EDEF68D">
      <w:pPr>
        <w:tabs>
          <w:tab w:val="left" w:pos="1680"/>
        </w:tabs>
        <w:snapToGrid w:val="0"/>
        <w:spacing w:line="360" w:lineRule="auto"/>
        <w:ind w:firstLine="420" w:firstLineChars="200"/>
        <w:rPr>
          <w:rFonts w:ascii="华文中宋" w:hAnsi="华文中宋" w:eastAsia="华文中宋"/>
          <w:szCs w:val="21"/>
        </w:rPr>
      </w:pPr>
      <w:r>
        <w:rPr>
          <w:rFonts w:ascii="华文中宋" w:hAnsi="华文中宋" w:eastAsia="华文中宋"/>
          <w:szCs w:val="21"/>
        </w:rPr>
        <w:tab/>
      </w:r>
      <w:r>
        <w:rPr>
          <w:rFonts w:hint="eastAsia" w:ascii="华文中宋" w:hAnsi="华文中宋" w:eastAsia="华文中宋"/>
          <w:szCs w:val="21"/>
        </w:rPr>
        <w:t>本公司现参与______________项目（项目编号：</w:t>
      </w:r>
      <w:r>
        <w:rPr>
          <w:rFonts w:hint="eastAsia"/>
          <w:spacing w:val="6"/>
        </w:rPr>
        <w:t>_________</w:t>
      </w:r>
      <w:r>
        <w:rPr>
          <w:rFonts w:hint="eastAsia" w:ascii="华文中宋" w:hAnsi="华文中宋" w:eastAsia="华文中宋"/>
          <w:szCs w:val="21"/>
        </w:rPr>
        <w:t>）的采购活动，本公司承诺所供商品包装符合《商品包装政府采购需求标准（试行）》，快递包装符合《快递包装政府采购需求标准（试行）》。</w:t>
      </w:r>
    </w:p>
    <w:p w14:paraId="625B16E7">
      <w:pPr>
        <w:tabs>
          <w:tab w:val="left" w:pos="1680"/>
        </w:tabs>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如上述声明不真实，愿意按照政府采购有关法律法规的规定接受处罚。</w:t>
      </w:r>
    </w:p>
    <w:p w14:paraId="354D5740">
      <w:pPr>
        <w:tabs>
          <w:tab w:val="left" w:pos="1680"/>
        </w:tabs>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特此申明。</w:t>
      </w:r>
    </w:p>
    <w:p w14:paraId="6AD02089">
      <w:pPr>
        <w:tabs>
          <w:tab w:val="left" w:pos="1680"/>
        </w:tabs>
        <w:snapToGrid w:val="0"/>
        <w:spacing w:line="360" w:lineRule="auto"/>
        <w:ind w:firstLine="420" w:firstLineChars="200"/>
        <w:rPr>
          <w:rFonts w:ascii="华文中宋" w:hAnsi="华文中宋" w:eastAsia="华文中宋"/>
          <w:szCs w:val="21"/>
        </w:rPr>
      </w:pPr>
    </w:p>
    <w:p w14:paraId="088B4AEA">
      <w:pPr>
        <w:spacing w:line="360" w:lineRule="auto"/>
        <w:ind w:left="7350" w:leftChars="1050" w:hanging="5145" w:hangingChars="2450"/>
        <w:jc w:val="right"/>
        <w:rPr>
          <w:rFonts w:ascii="华文中宋" w:hAnsi="华文中宋" w:eastAsia="华文中宋"/>
          <w:szCs w:val="21"/>
        </w:rPr>
      </w:pPr>
      <w:r>
        <w:rPr>
          <w:rFonts w:hint="eastAsia" w:ascii="华文中宋" w:hAnsi="华文中宋" w:eastAsia="华文中宋"/>
          <w:szCs w:val="21"/>
        </w:rPr>
        <w:t>磋商供应商：</w:t>
      </w:r>
      <w:r>
        <w:rPr>
          <w:rFonts w:hint="eastAsia" w:ascii="宋体" w:hAnsi="宋体"/>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电子公章</w:t>
      </w:r>
      <w:r>
        <w:rPr>
          <w:rFonts w:hint="eastAsia" w:ascii="华文中宋" w:hAnsi="华文中宋" w:eastAsia="华文中宋"/>
          <w:szCs w:val="21"/>
        </w:rPr>
        <w:t>）</w:t>
      </w:r>
    </w:p>
    <w:p w14:paraId="59670A93">
      <w:pPr>
        <w:pStyle w:val="33"/>
        <w:widowControl w:val="0"/>
        <w:adjustRightInd w:val="0"/>
        <w:snapToGrid w:val="0"/>
        <w:spacing w:before="0" w:beforeAutospacing="0" w:after="0" w:afterAutospacing="0" w:line="480" w:lineRule="exact"/>
        <w:jc w:val="right"/>
        <w:rPr>
          <w:rFonts w:ascii="华文中宋" w:hAnsi="华文中宋" w:eastAsia="华文中宋"/>
          <w:szCs w:val="21"/>
        </w:rPr>
      </w:pPr>
      <w:r>
        <w:rPr>
          <w:rFonts w:hint="eastAsia" w:ascii="华文中宋" w:hAnsi="华文中宋" w:eastAsia="华文中宋"/>
          <w:szCs w:val="21"/>
        </w:rPr>
        <w:t xml:space="preserve">           年     月   日</w:t>
      </w:r>
    </w:p>
    <w:p w14:paraId="17872522">
      <w:pPr>
        <w:pStyle w:val="33"/>
        <w:widowControl w:val="0"/>
        <w:tabs>
          <w:tab w:val="left" w:pos="312"/>
        </w:tabs>
        <w:adjustRightInd w:val="0"/>
        <w:snapToGrid w:val="0"/>
        <w:spacing w:before="0" w:beforeAutospacing="0" w:after="0" w:afterAutospacing="0" w:line="480" w:lineRule="exact"/>
        <w:jc w:val="both"/>
        <w:rPr>
          <w:rFonts w:ascii="华文中宋" w:hAnsi="华文中宋" w:eastAsia="华文中宋"/>
          <w:szCs w:val="21"/>
        </w:rPr>
      </w:pPr>
    </w:p>
    <w:p w14:paraId="356C513C">
      <w:pPr>
        <w:spacing w:line="360" w:lineRule="exact"/>
        <w:ind w:left="360" w:hanging="360" w:hangingChars="150"/>
        <w:rPr>
          <w:rFonts w:ascii="华文中宋" w:hAnsi="华文中宋" w:eastAsia="华文中宋"/>
          <w:b/>
          <w:szCs w:val="21"/>
        </w:rPr>
        <w:sectPr>
          <w:headerReference r:id="rId5" w:type="default"/>
          <w:footerReference r:id="rId6" w:type="default"/>
          <w:pgSz w:w="11906" w:h="16838"/>
          <w:pgMar w:top="1134" w:right="1361" w:bottom="1021" w:left="1531" w:header="851" w:footer="992" w:gutter="0"/>
          <w:pgNumType w:fmt="decimal" w:start="1"/>
          <w:cols w:space="425" w:num="1"/>
          <w:docGrid w:type="lines" w:linePitch="312" w:charSpace="0"/>
        </w:sectPr>
      </w:pPr>
      <w:r>
        <w:rPr>
          <w:rFonts w:hint="eastAsia" w:ascii="华文中宋" w:hAnsi="华文中宋" w:eastAsia="华文中宋" w:cs="华文中宋"/>
          <w:b/>
          <w:sz w:val="24"/>
        </w:rPr>
        <w:t>七、</w:t>
      </w:r>
      <w:r>
        <w:rPr>
          <w:rFonts w:hint="eastAsia" w:ascii="华文中宋" w:hAnsi="华文中宋" w:eastAsia="华文中宋" w:cs="华文中宋"/>
          <w:b/>
          <w:szCs w:val="21"/>
        </w:rPr>
        <w:t>招标文件要求或投标人认为需要提供的其他商务技术材料/文件；</w:t>
      </w:r>
    </w:p>
    <w:p w14:paraId="30F98E9B">
      <w:pPr>
        <w:spacing w:line="360" w:lineRule="auto"/>
        <w:rPr>
          <w:rFonts w:hint="eastAsia" w:ascii="华文中宋" w:hAnsi="华文中宋" w:eastAsia="华文中宋"/>
          <w:b/>
          <w:szCs w:val="21"/>
        </w:rPr>
        <w:sectPr>
          <w:headerReference r:id="rId7" w:type="default"/>
          <w:footerReference r:id="rId8" w:type="default"/>
          <w:pgSz w:w="11906" w:h="16838"/>
          <w:pgMar w:top="1134" w:right="1361" w:bottom="1021" w:left="1531" w:header="851" w:footer="992" w:gutter="0"/>
          <w:pgNumType w:fmt="decimal"/>
          <w:cols w:space="425" w:num="1"/>
          <w:docGrid w:type="linesAndChars" w:linePitch="312" w:charSpace="0"/>
        </w:sectPr>
      </w:pPr>
    </w:p>
    <w:p w14:paraId="7B5CCB0A">
      <w:pPr>
        <w:spacing w:line="360" w:lineRule="auto"/>
        <w:rPr>
          <w:rFonts w:ascii="华文中宋" w:hAnsi="华文中宋" w:eastAsia="华文中宋"/>
          <w:b/>
          <w:szCs w:val="21"/>
        </w:rPr>
      </w:pPr>
      <w:r>
        <w:rPr>
          <w:rFonts w:hint="eastAsia" w:ascii="华文中宋" w:hAnsi="华文中宋" w:eastAsia="华文中宋"/>
          <w:b/>
          <w:szCs w:val="21"/>
        </w:rPr>
        <w:t>八、开标一览表报价明细表格式</w:t>
      </w:r>
    </w:p>
    <w:p w14:paraId="4B75B891">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开标一览表报价明细表</w:t>
      </w:r>
    </w:p>
    <w:p w14:paraId="5BA10C05">
      <w:pPr>
        <w:spacing w:line="360" w:lineRule="auto"/>
        <w:rPr>
          <w:rFonts w:ascii="华文中宋" w:hAnsi="华文中宋" w:eastAsia="华文中宋"/>
          <w:szCs w:val="21"/>
          <w:u w:val="single"/>
        </w:rPr>
      </w:pPr>
      <w:r>
        <w:rPr>
          <w:rFonts w:hint="eastAsia" w:ascii="华文中宋" w:hAnsi="华文中宋" w:eastAsia="华文中宋"/>
          <w:szCs w:val="21"/>
        </w:rPr>
        <w:t xml:space="preserve">项目名称：    </w:t>
      </w:r>
      <w:r>
        <w:rPr>
          <w:rFonts w:hint="eastAsia" w:ascii="华文中宋" w:hAnsi="华文中宋" w:eastAsia="华文中宋"/>
          <w:szCs w:val="21"/>
          <w:u w:val="single"/>
        </w:rPr>
        <w:t xml:space="preserve">                                      </w:t>
      </w:r>
    </w:p>
    <w:p w14:paraId="366790A8">
      <w:pPr>
        <w:spacing w:line="360" w:lineRule="auto"/>
        <w:rPr>
          <w:rFonts w:ascii="华文中宋" w:hAnsi="华文中宋" w:eastAsia="华文中宋"/>
          <w:szCs w:val="21"/>
          <w:u w:val="single"/>
        </w:rPr>
      </w:pPr>
      <w:r>
        <w:rPr>
          <w:rFonts w:hint="eastAsia" w:ascii="华文中宋" w:hAnsi="华文中宋" w:eastAsia="华文中宋"/>
          <w:szCs w:val="21"/>
        </w:rPr>
        <w:t xml:space="preserve">项目编号：    </w:t>
      </w:r>
      <w:r>
        <w:rPr>
          <w:rFonts w:hint="eastAsia" w:ascii="华文中宋" w:hAnsi="华文中宋" w:eastAsia="华文中宋"/>
          <w:szCs w:val="21"/>
          <w:u w:val="single"/>
        </w:rPr>
        <w:t xml:space="preserve">                                       </w:t>
      </w:r>
    </w:p>
    <w:p w14:paraId="6BF1A4C4">
      <w:pPr>
        <w:spacing w:line="360" w:lineRule="auto"/>
        <w:rPr>
          <w:rFonts w:ascii="华文中宋" w:hAnsi="华文中宋" w:eastAsia="华文中宋"/>
          <w:szCs w:val="21"/>
          <w:u w:val="single"/>
        </w:rPr>
      </w:pPr>
      <w:r>
        <w:rPr>
          <w:rFonts w:hint="eastAsia" w:ascii="华文中宋" w:hAnsi="华文中宋" w:eastAsia="华文中宋"/>
          <w:szCs w:val="21"/>
        </w:rPr>
        <w:t xml:space="preserve">投标人名称：  </w:t>
      </w:r>
      <w:r>
        <w:rPr>
          <w:rFonts w:hint="eastAsia" w:ascii="华文中宋" w:hAnsi="华文中宋" w:eastAsia="华文中宋"/>
          <w:szCs w:val="21"/>
          <w:u w:val="single"/>
        </w:rPr>
        <w:t xml:space="preserve">                                      </w:t>
      </w:r>
    </w:p>
    <w:tbl>
      <w:tblPr>
        <w:tblStyle w:val="38"/>
        <w:tblpPr w:leftFromText="180" w:rightFromText="180" w:vertAnchor="text" w:horzAnchor="margin" w:tblpY="-10"/>
        <w:tblW w:w="14792" w:type="dxa"/>
        <w:tblInd w:w="0" w:type="dxa"/>
        <w:tblLayout w:type="fixed"/>
        <w:tblCellMar>
          <w:top w:w="0" w:type="dxa"/>
          <w:left w:w="108" w:type="dxa"/>
          <w:bottom w:w="0" w:type="dxa"/>
          <w:right w:w="108" w:type="dxa"/>
        </w:tblCellMar>
      </w:tblPr>
      <w:tblGrid>
        <w:gridCol w:w="994"/>
        <w:gridCol w:w="956"/>
        <w:gridCol w:w="904"/>
        <w:gridCol w:w="956"/>
        <w:gridCol w:w="888"/>
        <w:gridCol w:w="1692"/>
        <w:gridCol w:w="1248"/>
        <w:gridCol w:w="916"/>
        <w:gridCol w:w="944"/>
        <w:gridCol w:w="976"/>
        <w:gridCol w:w="990"/>
        <w:gridCol w:w="1236"/>
        <w:gridCol w:w="1236"/>
        <w:gridCol w:w="856"/>
      </w:tblGrid>
      <w:tr w14:paraId="0005BC12">
        <w:tblPrEx>
          <w:tblCellMar>
            <w:top w:w="0" w:type="dxa"/>
            <w:left w:w="108" w:type="dxa"/>
            <w:bottom w:w="0" w:type="dxa"/>
            <w:right w:w="108" w:type="dxa"/>
          </w:tblCellMar>
        </w:tblPrEx>
        <w:trPr>
          <w:trHeight w:val="465" w:hRule="atLeast"/>
        </w:trPr>
        <w:tc>
          <w:tcPr>
            <w:tcW w:w="994" w:type="dxa"/>
            <w:tcBorders>
              <w:top w:val="single" w:color="auto" w:sz="4" w:space="0"/>
              <w:left w:val="single" w:color="auto" w:sz="4" w:space="0"/>
              <w:bottom w:val="single" w:color="auto" w:sz="4" w:space="0"/>
              <w:right w:val="single" w:color="auto" w:sz="4" w:space="0"/>
            </w:tcBorders>
            <w:vAlign w:val="center"/>
          </w:tcPr>
          <w:p w14:paraId="34112BAE">
            <w:pPr>
              <w:jc w:val="center"/>
              <w:rPr>
                <w:rFonts w:ascii="华文中宋" w:hAnsi="华文中宋" w:eastAsia="华文中宋"/>
                <w:szCs w:val="21"/>
              </w:rPr>
            </w:pPr>
            <w:r>
              <w:rPr>
                <w:rFonts w:hint="eastAsia" w:ascii="华文中宋" w:hAnsi="华文中宋" w:eastAsia="华文中宋"/>
                <w:szCs w:val="21"/>
              </w:rPr>
              <w:t>包号</w:t>
            </w:r>
          </w:p>
        </w:tc>
        <w:tc>
          <w:tcPr>
            <w:tcW w:w="956" w:type="dxa"/>
            <w:tcBorders>
              <w:top w:val="single" w:color="auto" w:sz="4" w:space="0"/>
              <w:left w:val="nil"/>
              <w:bottom w:val="single" w:color="auto" w:sz="4" w:space="0"/>
              <w:right w:val="single" w:color="auto" w:sz="4" w:space="0"/>
            </w:tcBorders>
            <w:vAlign w:val="center"/>
          </w:tcPr>
          <w:p w14:paraId="0586BAC4">
            <w:pPr>
              <w:jc w:val="center"/>
              <w:rPr>
                <w:rFonts w:hint="eastAsia" w:ascii="华文中宋" w:hAnsi="华文中宋" w:eastAsia="华文中宋"/>
                <w:szCs w:val="21"/>
                <w:lang w:eastAsia="zh-CN"/>
              </w:rPr>
            </w:pPr>
            <w:r>
              <w:rPr>
                <w:rFonts w:hint="eastAsia" w:ascii="华文中宋" w:hAnsi="华文中宋" w:eastAsia="华文中宋"/>
                <w:szCs w:val="21"/>
                <w:lang w:eastAsia="zh-CN"/>
              </w:rPr>
              <w:t>学校名称</w:t>
            </w:r>
          </w:p>
        </w:tc>
        <w:tc>
          <w:tcPr>
            <w:tcW w:w="904" w:type="dxa"/>
            <w:tcBorders>
              <w:top w:val="single" w:color="auto" w:sz="4" w:space="0"/>
              <w:left w:val="nil"/>
              <w:bottom w:val="single" w:color="auto" w:sz="4" w:space="0"/>
              <w:right w:val="single" w:color="auto" w:sz="4" w:space="0"/>
            </w:tcBorders>
            <w:vAlign w:val="center"/>
          </w:tcPr>
          <w:p w14:paraId="64B3D0CC">
            <w:pPr>
              <w:jc w:val="center"/>
              <w:rPr>
                <w:rFonts w:ascii="华文中宋" w:hAnsi="华文中宋" w:eastAsia="华文中宋"/>
                <w:szCs w:val="21"/>
              </w:rPr>
            </w:pPr>
            <w:r>
              <w:rPr>
                <w:rFonts w:hint="eastAsia" w:ascii="华文中宋" w:hAnsi="华文中宋" w:eastAsia="华文中宋"/>
                <w:szCs w:val="21"/>
              </w:rPr>
              <w:t>标的</w:t>
            </w:r>
          </w:p>
          <w:p w14:paraId="0C41E107">
            <w:pPr>
              <w:jc w:val="center"/>
              <w:rPr>
                <w:rFonts w:ascii="华文中宋" w:hAnsi="华文中宋" w:eastAsia="华文中宋"/>
                <w:szCs w:val="21"/>
              </w:rPr>
            </w:pPr>
            <w:r>
              <w:rPr>
                <w:rFonts w:hint="eastAsia" w:ascii="华文中宋" w:hAnsi="华文中宋" w:eastAsia="华文中宋"/>
                <w:szCs w:val="21"/>
              </w:rPr>
              <w:t>名称</w:t>
            </w:r>
          </w:p>
        </w:tc>
        <w:tc>
          <w:tcPr>
            <w:tcW w:w="956" w:type="dxa"/>
            <w:tcBorders>
              <w:top w:val="single" w:color="auto" w:sz="4" w:space="0"/>
              <w:left w:val="nil"/>
              <w:bottom w:val="single" w:color="auto" w:sz="4" w:space="0"/>
              <w:right w:val="single" w:color="auto" w:sz="4" w:space="0"/>
            </w:tcBorders>
            <w:vAlign w:val="center"/>
          </w:tcPr>
          <w:p w14:paraId="6C0B8A9D">
            <w:pPr>
              <w:jc w:val="center"/>
              <w:rPr>
                <w:rFonts w:ascii="华文中宋" w:hAnsi="华文中宋" w:eastAsia="华文中宋"/>
                <w:szCs w:val="21"/>
              </w:rPr>
            </w:pPr>
            <w:r>
              <w:rPr>
                <w:rFonts w:hint="eastAsia" w:ascii="华文中宋" w:hAnsi="华文中宋" w:eastAsia="华文中宋"/>
                <w:szCs w:val="21"/>
              </w:rPr>
              <w:t>品牌</w:t>
            </w:r>
          </w:p>
        </w:tc>
        <w:tc>
          <w:tcPr>
            <w:tcW w:w="888" w:type="dxa"/>
            <w:tcBorders>
              <w:top w:val="single" w:color="auto" w:sz="4" w:space="0"/>
              <w:left w:val="nil"/>
              <w:bottom w:val="single" w:color="auto" w:sz="4" w:space="0"/>
              <w:right w:val="single" w:color="auto" w:sz="4" w:space="0"/>
            </w:tcBorders>
            <w:vAlign w:val="center"/>
          </w:tcPr>
          <w:p w14:paraId="2CCB4664">
            <w:pPr>
              <w:jc w:val="center"/>
              <w:rPr>
                <w:rFonts w:ascii="华文中宋" w:hAnsi="华文中宋" w:eastAsia="华文中宋"/>
                <w:szCs w:val="21"/>
              </w:rPr>
            </w:pPr>
            <w:r>
              <w:rPr>
                <w:rFonts w:hint="eastAsia" w:ascii="华文中宋" w:hAnsi="华文中宋" w:eastAsia="华文中宋"/>
                <w:szCs w:val="21"/>
              </w:rPr>
              <w:t>规格</w:t>
            </w:r>
          </w:p>
          <w:p w14:paraId="14EBF8EA">
            <w:pPr>
              <w:jc w:val="center"/>
              <w:rPr>
                <w:rFonts w:ascii="华文中宋" w:hAnsi="华文中宋" w:eastAsia="华文中宋"/>
                <w:szCs w:val="21"/>
              </w:rPr>
            </w:pPr>
            <w:r>
              <w:rPr>
                <w:rFonts w:hint="eastAsia" w:ascii="华文中宋" w:hAnsi="华文中宋" w:eastAsia="华文中宋"/>
                <w:szCs w:val="21"/>
              </w:rPr>
              <w:t>型号</w:t>
            </w:r>
          </w:p>
        </w:tc>
        <w:tc>
          <w:tcPr>
            <w:tcW w:w="1692" w:type="dxa"/>
            <w:tcBorders>
              <w:top w:val="single" w:color="auto" w:sz="4" w:space="0"/>
              <w:left w:val="nil"/>
              <w:bottom w:val="single" w:color="auto" w:sz="4" w:space="0"/>
              <w:right w:val="single" w:color="auto" w:sz="4" w:space="0"/>
            </w:tcBorders>
            <w:vAlign w:val="center"/>
          </w:tcPr>
          <w:p w14:paraId="7EE7DFBA">
            <w:pPr>
              <w:jc w:val="center"/>
              <w:rPr>
                <w:rFonts w:ascii="华文中宋" w:hAnsi="华文中宋" w:eastAsia="华文中宋"/>
                <w:szCs w:val="21"/>
              </w:rPr>
            </w:pPr>
            <w:r>
              <w:rPr>
                <w:rFonts w:hint="eastAsia" w:ascii="华文中宋" w:hAnsi="华文中宋" w:eastAsia="华文中宋"/>
                <w:szCs w:val="21"/>
              </w:rPr>
              <w:t>技术参数</w:t>
            </w:r>
          </w:p>
          <w:p w14:paraId="188CB168">
            <w:pPr>
              <w:jc w:val="center"/>
              <w:rPr>
                <w:rFonts w:ascii="华文中宋" w:hAnsi="华文中宋" w:eastAsia="华文中宋"/>
                <w:szCs w:val="21"/>
              </w:rPr>
            </w:pPr>
            <w:r>
              <w:rPr>
                <w:rFonts w:hint="eastAsia" w:ascii="华文中宋" w:hAnsi="华文中宋" w:eastAsia="华文中宋"/>
                <w:szCs w:val="21"/>
              </w:rPr>
              <w:t>及详细配置</w:t>
            </w:r>
          </w:p>
        </w:tc>
        <w:tc>
          <w:tcPr>
            <w:tcW w:w="1248" w:type="dxa"/>
            <w:tcBorders>
              <w:top w:val="single" w:color="auto" w:sz="4" w:space="0"/>
              <w:left w:val="nil"/>
              <w:bottom w:val="single" w:color="auto" w:sz="4" w:space="0"/>
              <w:right w:val="single" w:color="auto" w:sz="4" w:space="0"/>
            </w:tcBorders>
            <w:vAlign w:val="center"/>
          </w:tcPr>
          <w:p w14:paraId="6E3517E5">
            <w:pPr>
              <w:jc w:val="center"/>
              <w:rPr>
                <w:rFonts w:ascii="华文中宋" w:hAnsi="华文中宋" w:eastAsia="华文中宋"/>
                <w:szCs w:val="21"/>
              </w:rPr>
            </w:pPr>
            <w:r>
              <w:rPr>
                <w:rFonts w:hint="eastAsia" w:ascii="华文中宋" w:hAnsi="华文中宋" w:eastAsia="华文中宋"/>
                <w:szCs w:val="21"/>
              </w:rPr>
              <w:t>产地</w:t>
            </w:r>
          </w:p>
          <w:p w14:paraId="445BE999">
            <w:pPr>
              <w:jc w:val="center"/>
              <w:rPr>
                <w:rFonts w:ascii="华文中宋" w:hAnsi="华文中宋" w:eastAsia="华文中宋"/>
                <w:szCs w:val="21"/>
              </w:rPr>
            </w:pPr>
            <w:r>
              <w:rPr>
                <w:rFonts w:hint="eastAsia" w:ascii="华文中宋" w:hAnsi="华文中宋" w:eastAsia="华文中宋"/>
                <w:szCs w:val="21"/>
              </w:rPr>
              <w:t>及制造商</w:t>
            </w:r>
          </w:p>
        </w:tc>
        <w:tc>
          <w:tcPr>
            <w:tcW w:w="916" w:type="dxa"/>
            <w:tcBorders>
              <w:top w:val="single" w:color="auto" w:sz="4" w:space="0"/>
              <w:left w:val="nil"/>
              <w:bottom w:val="single" w:color="auto" w:sz="4" w:space="0"/>
              <w:right w:val="single" w:color="auto" w:sz="4" w:space="0"/>
            </w:tcBorders>
            <w:vAlign w:val="center"/>
          </w:tcPr>
          <w:p w14:paraId="66024F7B">
            <w:pPr>
              <w:jc w:val="center"/>
              <w:rPr>
                <w:rFonts w:ascii="华文中宋" w:hAnsi="华文中宋" w:eastAsia="华文中宋"/>
                <w:szCs w:val="21"/>
              </w:rPr>
            </w:pPr>
            <w:r>
              <w:rPr>
                <w:rFonts w:hint="eastAsia" w:ascii="华文中宋" w:hAnsi="华文中宋" w:eastAsia="华文中宋"/>
                <w:szCs w:val="21"/>
              </w:rPr>
              <w:t>数量</w:t>
            </w:r>
          </w:p>
        </w:tc>
        <w:tc>
          <w:tcPr>
            <w:tcW w:w="944" w:type="dxa"/>
            <w:tcBorders>
              <w:top w:val="single" w:color="auto" w:sz="4" w:space="0"/>
              <w:left w:val="nil"/>
              <w:bottom w:val="single" w:color="auto" w:sz="4" w:space="0"/>
              <w:right w:val="single" w:color="auto" w:sz="4" w:space="0"/>
            </w:tcBorders>
            <w:vAlign w:val="center"/>
          </w:tcPr>
          <w:p w14:paraId="1EEE9880">
            <w:pPr>
              <w:jc w:val="center"/>
              <w:rPr>
                <w:rFonts w:ascii="华文中宋" w:hAnsi="华文中宋" w:eastAsia="华文中宋"/>
                <w:szCs w:val="21"/>
              </w:rPr>
            </w:pPr>
            <w:r>
              <w:rPr>
                <w:rFonts w:hint="eastAsia" w:ascii="华文中宋" w:hAnsi="华文中宋" w:eastAsia="华文中宋"/>
                <w:szCs w:val="21"/>
              </w:rPr>
              <w:t>单位</w:t>
            </w:r>
          </w:p>
        </w:tc>
        <w:tc>
          <w:tcPr>
            <w:tcW w:w="976" w:type="dxa"/>
            <w:tcBorders>
              <w:top w:val="single" w:color="auto" w:sz="4" w:space="0"/>
              <w:left w:val="nil"/>
              <w:bottom w:val="single" w:color="auto" w:sz="4" w:space="0"/>
              <w:right w:val="single" w:color="auto" w:sz="4" w:space="0"/>
            </w:tcBorders>
            <w:vAlign w:val="center"/>
          </w:tcPr>
          <w:p w14:paraId="7514027E">
            <w:pPr>
              <w:jc w:val="center"/>
              <w:rPr>
                <w:rFonts w:ascii="华文中宋" w:hAnsi="华文中宋" w:eastAsia="华文中宋"/>
                <w:szCs w:val="21"/>
              </w:rPr>
            </w:pPr>
            <w:r>
              <w:rPr>
                <w:rFonts w:hint="eastAsia" w:ascii="华文中宋" w:hAnsi="华文中宋" w:eastAsia="华文中宋"/>
                <w:szCs w:val="21"/>
              </w:rPr>
              <w:t>单价</w:t>
            </w:r>
          </w:p>
        </w:tc>
        <w:tc>
          <w:tcPr>
            <w:tcW w:w="990" w:type="dxa"/>
            <w:tcBorders>
              <w:top w:val="single" w:color="auto" w:sz="4" w:space="0"/>
              <w:left w:val="nil"/>
              <w:bottom w:val="single" w:color="auto" w:sz="4" w:space="0"/>
              <w:right w:val="single" w:color="auto" w:sz="4" w:space="0"/>
            </w:tcBorders>
            <w:vAlign w:val="center"/>
          </w:tcPr>
          <w:p w14:paraId="594ED88E">
            <w:pPr>
              <w:jc w:val="center"/>
              <w:rPr>
                <w:rFonts w:ascii="华文中宋" w:hAnsi="华文中宋" w:eastAsia="华文中宋"/>
                <w:szCs w:val="21"/>
              </w:rPr>
            </w:pPr>
            <w:r>
              <w:rPr>
                <w:rFonts w:hint="eastAsia" w:ascii="华文中宋" w:hAnsi="华文中宋" w:eastAsia="华文中宋"/>
                <w:szCs w:val="21"/>
              </w:rPr>
              <w:t>总价</w:t>
            </w:r>
          </w:p>
        </w:tc>
        <w:tc>
          <w:tcPr>
            <w:tcW w:w="1236" w:type="dxa"/>
            <w:tcBorders>
              <w:top w:val="single" w:color="auto" w:sz="4" w:space="0"/>
              <w:left w:val="nil"/>
              <w:bottom w:val="single" w:color="auto" w:sz="4" w:space="0"/>
              <w:right w:val="single" w:color="auto" w:sz="4" w:space="0"/>
            </w:tcBorders>
            <w:vAlign w:val="center"/>
          </w:tcPr>
          <w:p w14:paraId="1633698F">
            <w:pPr>
              <w:jc w:val="center"/>
              <w:rPr>
                <w:rFonts w:ascii="华文中宋" w:hAnsi="华文中宋" w:eastAsia="华文中宋"/>
                <w:szCs w:val="21"/>
              </w:rPr>
            </w:pPr>
            <w:r>
              <w:rPr>
                <w:rFonts w:hint="eastAsia" w:ascii="华文中宋" w:hAnsi="华文中宋" w:eastAsia="华文中宋"/>
                <w:szCs w:val="21"/>
              </w:rPr>
              <w:t>质保期</w:t>
            </w:r>
          </w:p>
        </w:tc>
        <w:tc>
          <w:tcPr>
            <w:tcW w:w="1236" w:type="dxa"/>
            <w:tcBorders>
              <w:top w:val="single" w:color="auto" w:sz="4" w:space="0"/>
              <w:left w:val="nil"/>
              <w:bottom w:val="single" w:color="auto" w:sz="4" w:space="0"/>
              <w:right w:val="single" w:color="auto" w:sz="4" w:space="0"/>
            </w:tcBorders>
            <w:vAlign w:val="center"/>
          </w:tcPr>
          <w:p w14:paraId="29BD4408">
            <w:pPr>
              <w:jc w:val="center"/>
              <w:rPr>
                <w:rFonts w:ascii="华文中宋" w:hAnsi="华文中宋" w:eastAsia="华文中宋"/>
                <w:szCs w:val="21"/>
              </w:rPr>
            </w:pPr>
            <w:r>
              <w:rPr>
                <w:rFonts w:hint="eastAsia" w:ascii="华文中宋" w:hAnsi="华文中宋" w:eastAsia="华文中宋"/>
                <w:szCs w:val="21"/>
              </w:rPr>
              <w:t>供货期</w:t>
            </w:r>
          </w:p>
        </w:tc>
        <w:tc>
          <w:tcPr>
            <w:tcW w:w="856" w:type="dxa"/>
            <w:tcBorders>
              <w:top w:val="single" w:color="auto" w:sz="4" w:space="0"/>
              <w:left w:val="nil"/>
              <w:bottom w:val="single" w:color="auto" w:sz="4" w:space="0"/>
              <w:right w:val="single" w:color="auto" w:sz="4" w:space="0"/>
            </w:tcBorders>
            <w:vAlign w:val="center"/>
          </w:tcPr>
          <w:p w14:paraId="04BDAFBF">
            <w:pPr>
              <w:jc w:val="center"/>
              <w:rPr>
                <w:rFonts w:ascii="华文中宋" w:hAnsi="华文中宋" w:eastAsia="华文中宋"/>
                <w:szCs w:val="21"/>
              </w:rPr>
            </w:pPr>
            <w:r>
              <w:rPr>
                <w:rFonts w:hint="eastAsia" w:ascii="华文中宋" w:hAnsi="华文中宋" w:eastAsia="华文中宋"/>
                <w:szCs w:val="21"/>
              </w:rPr>
              <w:t>备注(各学校价格总计)</w:t>
            </w:r>
          </w:p>
        </w:tc>
      </w:tr>
      <w:tr w14:paraId="760BD193">
        <w:tblPrEx>
          <w:tblCellMar>
            <w:top w:w="0" w:type="dxa"/>
            <w:left w:w="108" w:type="dxa"/>
            <w:bottom w:w="0" w:type="dxa"/>
            <w:right w:w="108" w:type="dxa"/>
          </w:tblCellMar>
        </w:tblPrEx>
        <w:trPr>
          <w:trHeight w:val="397" w:hRule="exact"/>
        </w:trPr>
        <w:tc>
          <w:tcPr>
            <w:tcW w:w="994" w:type="dxa"/>
            <w:vMerge w:val="restart"/>
            <w:tcBorders>
              <w:top w:val="nil"/>
              <w:left w:val="single" w:color="auto" w:sz="4" w:space="0"/>
              <w:bottom w:val="single" w:color="auto" w:sz="4" w:space="0"/>
              <w:right w:val="single" w:color="auto" w:sz="4" w:space="0"/>
            </w:tcBorders>
            <w:vAlign w:val="center"/>
          </w:tcPr>
          <w:p w14:paraId="14499DCD">
            <w:pPr>
              <w:spacing w:line="360" w:lineRule="auto"/>
              <w:rPr>
                <w:rFonts w:ascii="华文中宋" w:hAnsi="华文中宋" w:eastAsia="华文中宋"/>
                <w:szCs w:val="21"/>
              </w:rPr>
            </w:pPr>
          </w:p>
        </w:tc>
        <w:tc>
          <w:tcPr>
            <w:tcW w:w="956" w:type="dxa"/>
            <w:tcBorders>
              <w:top w:val="nil"/>
              <w:left w:val="nil"/>
              <w:bottom w:val="single" w:color="auto" w:sz="4" w:space="0"/>
              <w:right w:val="single" w:color="auto" w:sz="4" w:space="0"/>
            </w:tcBorders>
            <w:vAlign w:val="center"/>
          </w:tcPr>
          <w:p w14:paraId="6F60AF6E">
            <w:pPr>
              <w:spacing w:line="360" w:lineRule="auto"/>
              <w:rPr>
                <w:rFonts w:ascii="华文中宋" w:hAnsi="华文中宋" w:eastAsia="华文中宋"/>
                <w:szCs w:val="21"/>
              </w:rPr>
            </w:pPr>
          </w:p>
        </w:tc>
        <w:tc>
          <w:tcPr>
            <w:tcW w:w="904" w:type="dxa"/>
            <w:tcBorders>
              <w:top w:val="nil"/>
              <w:left w:val="nil"/>
              <w:bottom w:val="single" w:color="auto" w:sz="4" w:space="0"/>
              <w:right w:val="single" w:color="auto" w:sz="4" w:space="0"/>
            </w:tcBorders>
            <w:vAlign w:val="center"/>
          </w:tcPr>
          <w:p w14:paraId="5722FD2D">
            <w:pPr>
              <w:spacing w:line="360" w:lineRule="auto"/>
              <w:rPr>
                <w:rFonts w:ascii="华文中宋" w:hAnsi="华文中宋" w:eastAsia="华文中宋"/>
                <w:szCs w:val="21"/>
              </w:rPr>
            </w:pPr>
          </w:p>
        </w:tc>
        <w:tc>
          <w:tcPr>
            <w:tcW w:w="956" w:type="dxa"/>
            <w:tcBorders>
              <w:top w:val="nil"/>
              <w:left w:val="nil"/>
              <w:bottom w:val="single" w:color="auto" w:sz="4" w:space="0"/>
              <w:right w:val="single" w:color="auto" w:sz="4" w:space="0"/>
            </w:tcBorders>
            <w:vAlign w:val="center"/>
          </w:tcPr>
          <w:p w14:paraId="31B3E93C">
            <w:pPr>
              <w:spacing w:line="360" w:lineRule="auto"/>
              <w:rPr>
                <w:rFonts w:ascii="华文中宋" w:hAnsi="华文中宋" w:eastAsia="华文中宋"/>
                <w:szCs w:val="21"/>
              </w:rPr>
            </w:pPr>
          </w:p>
        </w:tc>
        <w:tc>
          <w:tcPr>
            <w:tcW w:w="888" w:type="dxa"/>
            <w:tcBorders>
              <w:top w:val="nil"/>
              <w:left w:val="nil"/>
              <w:bottom w:val="single" w:color="auto" w:sz="4" w:space="0"/>
              <w:right w:val="single" w:color="auto" w:sz="4" w:space="0"/>
            </w:tcBorders>
            <w:vAlign w:val="center"/>
          </w:tcPr>
          <w:p w14:paraId="3CDBEFA9">
            <w:pPr>
              <w:spacing w:line="360" w:lineRule="auto"/>
              <w:rPr>
                <w:rFonts w:ascii="华文中宋" w:hAnsi="华文中宋" w:eastAsia="华文中宋"/>
                <w:szCs w:val="21"/>
              </w:rPr>
            </w:pPr>
          </w:p>
        </w:tc>
        <w:tc>
          <w:tcPr>
            <w:tcW w:w="1692" w:type="dxa"/>
            <w:tcBorders>
              <w:top w:val="nil"/>
              <w:left w:val="nil"/>
              <w:bottom w:val="single" w:color="auto" w:sz="4" w:space="0"/>
              <w:right w:val="single" w:color="auto" w:sz="4" w:space="0"/>
            </w:tcBorders>
            <w:vAlign w:val="center"/>
          </w:tcPr>
          <w:p w14:paraId="3B9BBDB2">
            <w:pPr>
              <w:spacing w:line="360" w:lineRule="auto"/>
              <w:rPr>
                <w:rFonts w:ascii="华文中宋" w:hAnsi="华文中宋" w:eastAsia="华文中宋"/>
                <w:szCs w:val="21"/>
              </w:rPr>
            </w:pPr>
          </w:p>
        </w:tc>
        <w:tc>
          <w:tcPr>
            <w:tcW w:w="1248" w:type="dxa"/>
            <w:tcBorders>
              <w:top w:val="nil"/>
              <w:left w:val="nil"/>
              <w:bottom w:val="single" w:color="auto" w:sz="4" w:space="0"/>
              <w:right w:val="single" w:color="auto" w:sz="4" w:space="0"/>
            </w:tcBorders>
            <w:vAlign w:val="center"/>
          </w:tcPr>
          <w:p w14:paraId="3980BF22">
            <w:pPr>
              <w:spacing w:line="360" w:lineRule="auto"/>
              <w:rPr>
                <w:rFonts w:ascii="华文中宋" w:hAnsi="华文中宋" w:eastAsia="华文中宋"/>
                <w:szCs w:val="21"/>
              </w:rPr>
            </w:pPr>
          </w:p>
        </w:tc>
        <w:tc>
          <w:tcPr>
            <w:tcW w:w="916" w:type="dxa"/>
            <w:tcBorders>
              <w:top w:val="nil"/>
              <w:left w:val="nil"/>
              <w:bottom w:val="single" w:color="auto" w:sz="4" w:space="0"/>
              <w:right w:val="single" w:color="auto" w:sz="4" w:space="0"/>
            </w:tcBorders>
            <w:vAlign w:val="center"/>
          </w:tcPr>
          <w:p w14:paraId="59BBF322">
            <w:pPr>
              <w:spacing w:line="360" w:lineRule="auto"/>
              <w:rPr>
                <w:rFonts w:ascii="华文中宋" w:hAnsi="华文中宋" w:eastAsia="华文中宋"/>
                <w:szCs w:val="21"/>
              </w:rPr>
            </w:pPr>
          </w:p>
        </w:tc>
        <w:tc>
          <w:tcPr>
            <w:tcW w:w="944" w:type="dxa"/>
            <w:tcBorders>
              <w:top w:val="nil"/>
              <w:left w:val="nil"/>
              <w:bottom w:val="single" w:color="auto" w:sz="4" w:space="0"/>
              <w:right w:val="single" w:color="auto" w:sz="4" w:space="0"/>
            </w:tcBorders>
            <w:vAlign w:val="center"/>
          </w:tcPr>
          <w:p w14:paraId="5F734447">
            <w:pPr>
              <w:spacing w:line="360" w:lineRule="auto"/>
              <w:rPr>
                <w:rFonts w:ascii="华文中宋" w:hAnsi="华文中宋" w:eastAsia="华文中宋"/>
                <w:szCs w:val="21"/>
              </w:rPr>
            </w:pPr>
          </w:p>
        </w:tc>
        <w:tc>
          <w:tcPr>
            <w:tcW w:w="976" w:type="dxa"/>
            <w:tcBorders>
              <w:top w:val="nil"/>
              <w:left w:val="nil"/>
              <w:bottom w:val="single" w:color="auto" w:sz="4" w:space="0"/>
              <w:right w:val="single" w:color="auto" w:sz="4" w:space="0"/>
            </w:tcBorders>
            <w:vAlign w:val="center"/>
          </w:tcPr>
          <w:p w14:paraId="149C53D6">
            <w:pPr>
              <w:spacing w:line="360" w:lineRule="auto"/>
              <w:rPr>
                <w:rFonts w:ascii="华文中宋" w:hAnsi="华文中宋" w:eastAsia="华文中宋"/>
                <w:szCs w:val="21"/>
              </w:rPr>
            </w:pPr>
          </w:p>
        </w:tc>
        <w:tc>
          <w:tcPr>
            <w:tcW w:w="990" w:type="dxa"/>
            <w:tcBorders>
              <w:top w:val="nil"/>
              <w:left w:val="nil"/>
              <w:bottom w:val="single" w:color="auto" w:sz="4" w:space="0"/>
              <w:right w:val="single" w:color="auto" w:sz="4" w:space="0"/>
            </w:tcBorders>
            <w:vAlign w:val="center"/>
          </w:tcPr>
          <w:p w14:paraId="00D6A9CA">
            <w:pPr>
              <w:spacing w:line="360" w:lineRule="auto"/>
              <w:rPr>
                <w:rFonts w:ascii="华文中宋" w:hAnsi="华文中宋" w:eastAsia="华文中宋"/>
                <w:szCs w:val="21"/>
              </w:rPr>
            </w:pPr>
          </w:p>
        </w:tc>
        <w:tc>
          <w:tcPr>
            <w:tcW w:w="1236" w:type="dxa"/>
            <w:tcBorders>
              <w:top w:val="nil"/>
              <w:left w:val="nil"/>
              <w:bottom w:val="single" w:color="auto" w:sz="4" w:space="0"/>
              <w:right w:val="single" w:color="auto" w:sz="4" w:space="0"/>
            </w:tcBorders>
            <w:vAlign w:val="center"/>
          </w:tcPr>
          <w:p w14:paraId="385B08CA">
            <w:pPr>
              <w:spacing w:line="360" w:lineRule="auto"/>
              <w:rPr>
                <w:rFonts w:ascii="华文中宋" w:hAnsi="华文中宋" w:eastAsia="华文中宋"/>
                <w:szCs w:val="21"/>
              </w:rPr>
            </w:pPr>
          </w:p>
        </w:tc>
        <w:tc>
          <w:tcPr>
            <w:tcW w:w="1236" w:type="dxa"/>
            <w:tcBorders>
              <w:top w:val="nil"/>
              <w:left w:val="nil"/>
              <w:bottom w:val="single" w:color="auto" w:sz="4" w:space="0"/>
              <w:right w:val="single" w:color="auto" w:sz="4" w:space="0"/>
            </w:tcBorders>
            <w:vAlign w:val="center"/>
          </w:tcPr>
          <w:p w14:paraId="0D899289">
            <w:pPr>
              <w:spacing w:line="360" w:lineRule="auto"/>
              <w:rPr>
                <w:rFonts w:ascii="华文中宋" w:hAnsi="华文中宋" w:eastAsia="华文中宋"/>
                <w:szCs w:val="21"/>
              </w:rPr>
            </w:pPr>
          </w:p>
        </w:tc>
        <w:tc>
          <w:tcPr>
            <w:tcW w:w="856" w:type="dxa"/>
            <w:tcBorders>
              <w:top w:val="nil"/>
              <w:left w:val="nil"/>
              <w:bottom w:val="single" w:color="auto" w:sz="4" w:space="0"/>
              <w:right w:val="single" w:color="auto" w:sz="4" w:space="0"/>
            </w:tcBorders>
            <w:vAlign w:val="center"/>
          </w:tcPr>
          <w:p w14:paraId="359EC4F6">
            <w:pPr>
              <w:spacing w:line="360" w:lineRule="auto"/>
              <w:rPr>
                <w:rFonts w:ascii="华文中宋" w:hAnsi="华文中宋" w:eastAsia="华文中宋"/>
                <w:szCs w:val="21"/>
              </w:rPr>
            </w:pPr>
          </w:p>
        </w:tc>
      </w:tr>
      <w:tr w14:paraId="70106DDC">
        <w:tblPrEx>
          <w:tblCellMar>
            <w:top w:w="0" w:type="dxa"/>
            <w:left w:w="108" w:type="dxa"/>
            <w:bottom w:w="0" w:type="dxa"/>
            <w:right w:w="108" w:type="dxa"/>
          </w:tblCellMar>
        </w:tblPrEx>
        <w:trPr>
          <w:trHeight w:val="397" w:hRule="exact"/>
        </w:trPr>
        <w:tc>
          <w:tcPr>
            <w:tcW w:w="994" w:type="dxa"/>
            <w:vMerge w:val="continue"/>
            <w:tcBorders>
              <w:top w:val="nil"/>
              <w:left w:val="single" w:color="auto" w:sz="4" w:space="0"/>
              <w:bottom w:val="single" w:color="auto" w:sz="4" w:space="0"/>
              <w:right w:val="single" w:color="auto" w:sz="4" w:space="0"/>
            </w:tcBorders>
            <w:vAlign w:val="center"/>
          </w:tcPr>
          <w:p w14:paraId="665B3C5C">
            <w:pPr>
              <w:spacing w:line="360" w:lineRule="auto"/>
              <w:rPr>
                <w:rFonts w:ascii="华文中宋" w:hAnsi="华文中宋" w:eastAsia="华文中宋"/>
                <w:szCs w:val="21"/>
              </w:rPr>
            </w:pPr>
          </w:p>
        </w:tc>
        <w:tc>
          <w:tcPr>
            <w:tcW w:w="956" w:type="dxa"/>
            <w:tcBorders>
              <w:top w:val="nil"/>
              <w:left w:val="nil"/>
              <w:bottom w:val="single" w:color="auto" w:sz="4" w:space="0"/>
              <w:right w:val="single" w:color="auto" w:sz="4" w:space="0"/>
            </w:tcBorders>
            <w:vAlign w:val="center"/>
          </w:tcPr>
          <w:p w14:paraId="782E5F5D">
            <w:pPr>
              <w:spacing w:line="360" w:lineRule="auto"/>
              <w:rPr>
                <w:rFonts w:ascii="华文中宋" w:hAnsi="华文中宋" w:eastAsia="华文中宋"/>
                <w:szCs w:val="21"/>
              </w:rPr>
            </w:pPr>
          </w:p>
        </w:tc>
        <w:tc>
          <w:tcPr>
            <w:tcW w:w="904" w:type="dxa"/>
            <w:tcBorders>
              <w:top w:val="nil"/>
              <w:left w:val="nil"/>
              <w:bottom w:val="single" w:color="auto" w:sz="4" w:space="0"/>
              <w:right w:val="single" w:color="auto" w:sz="4" w:space="0"/>
            </w:tcBorders>
            <w:vAlign w:val="center"/>
          </w:tcPr>
          <w:p w14:paraId="086FA564">
            <w:pPr>
              <w:spacing w:line="360" w:lineRule="auto"/>
              <w:rPr>
                <w:rFonts w:ascii="华文中宋" w:hAnsi="华文中宋" w:eastAsia="华文中宋"/>
                <w:szCs w:val="21"/>
              </w:rPr>
            </w:pPr>
          </w:p>
        </w:tc>
        <w:tc>
          <w:tcPr>
            <w:tcW w:w="956" w:type="dxa"/>
            <w:tcBorders>
              <w:top w:val="nil"/>
              <w:left w:val="nil"/>
              <w:bottom w:val="single" w:color="auto" w:sz="4" w:space="0"/>
              <w:right w:val="single" w:color="auto" w:sz="4" w:space="0"/>
            </w:tcBorders>
            <w:vAlign w:val="center"/>
          </w:tcPr>
          <w:p w14:paraId="240C0B47">
            <w:pPr>
              <w:spacing w:line="360" w:lineRule="auto"/>
              <w:rPr>
                <w:rFonts w:ascii="华文中宋" w:hAnsi="华文中宋" w:eastAsia="华文中宋"/>
                <w:szCs w:val="21"/>
              </w:rPr>
            </w:pPr>
          </w:p>
        </w:tc>
        <w:tc>
          <w:tcPr>
            <w:tcW w:w="888" w:type="dxa"/>
            <w:tcBorders>
              <w:top w:val="nil"/>
              <w:left w:val="nil"/>
              <w:bottom w:val="single" w:color="auto" w:sz="4" w:space="0"/>
              <w:right w:val="single" w:color="auto" w:sz="4" w:space="0"/>
            </w:tcBorders>
            <w:vAlign w:val="center"/>
          </w:tcPr>
          <w:p w14:paraId="7965C7C1">
            <w:pPr>
              <w:spacing w:line="360" w:lineRule="auto"/>
              <w:rPr>
                <w:rFonts w:ascii="华文中宋" w:hAnsi="华文中宋" w:eastAsia="华文中宋"/>
                <w:szCs w:val="21"/>
              </w:rPr>
            </w:pPr>
          </w:p>
        </w:tc>
        <w:tc>
          <w:tcPr>
            <w:tcW w:w="1692" w:type="dxa"/>
            <w:tcBorders>
              <w:top w:val="nil"/>
              <w:left w:val="nil"/>
              <w:bottom w:val="single" w:color="auto" w:sz="4" w:space="0"/>
              <w:right w:val="single" w:color="auto" w:sz="4" w:space="0"/>
            </w:tcBorders>
            <w:vAlign w:val="center"/>
          </w:tcPr>
          <w:p w14:paraId="3530A18A">
            <w:pPr>
              <w:spacing w:line="360" w:lineRule="auto"/>
              <w:rPr>
                <w:rFonts w:ascii="华文中宋" w:hAnsi="华文中宋" w:eastAsia="华文中宋"/>
                <w:szCs w:val="21"/>
              </w:rPr>
            </w:pPr>
          </w:p>
        </w:tc>
        <w:tc>
          <w:tcPr>
            <w:tcW w:w="1248" w:type="dxa"/>
            <w:tcBorders>
              <w:top w:val="nil"/>
              <w:left w:val="nil"/>
              <w:bottom w:val="single" w:color="auto" w:sz="4" w:space="0"/>
              <w:right w:val="single" w:color="auto" w:sz="4" w:space="0"/>
            </w:tcBorders>
            <w:vAlign w:val="center"/>
          </w:tcPr>
          <w:p w14:paraId="755EE2B5">
            <w:pPr>
              <w:spacing w:line="360" w:lineRule="auto"/>
              <w:rPr>
                <w:rFonts w:ascii="华文中宋" w:hAnsi="华文中宋" w:eastAsia="华文中宋"/>
                <w:szCs w:val="21"/>
              </w:rPr>
            </w:pPr>
          </w:p>
        </w:tc>
        <w:tc>
          <w:tcPr>
            <w:tcW w:w="916" w:type="dxa"/>
            <w:tcBorders>
              <w:top w:val="nil"/>
              <w:left w:val="nil"/>
              <w:bottom w:val="single" w:color="auto" w:sz="4" w:space="0"/>
              <w:right w:val="single" w:color="auto" w:sz="4" w:space="0"/>
            </w:tcBorders>
            <w:vAlign w:val="center"/>
          </w:tcPr>
          <w:p w14:paraId="1EEE6848">
            <w:pPr>
              <w:spacing w:line="360" w:lineRule="auto"/>
              <w:rPr>
                <w:rFonts w:ascii="华文中宋" w:hAnsi="华文中宋" w:eastAsia="华文中宋"/>
                <w:szCs w:val="21"/>
              </w:rPr>
            </w:pPr>
          </w:p>
        </w:tc>
        <w:tc>
          <w:tcPr>
            <w:tcW w:w="944" w:type="dxa"/>
            <w:tcBorders>
              <w:top w:val="nil"/>
              <w:left w:val="nil"/>
              <w:bottom w:val="single" w:color="auto" w:sz="4" w:space="0"/>
              <w:right w:val="single" w:color="auto" w:sz="4" w:space="0"/>
            </w:tcBorders>
            <w:vAlign w:val="center"/>
          </w:tcPr>
          <w:p w14:paraId="435F9072">
            <w:pPr>
              <w:spacing w:line="360" w:lineRule="auto"/>
              <w:rPr>
                <w:rFonts w:ascii="华文中宋" w:hAnsi="华文中宋" w:eastAsia="华文中宋"/>
                <w:szCs w:val="21"/>
              </w:rPr>
            </w:pPr>
          </w:p>
        </w:tc>
        <w:tc>
          <w:tcPr>
            <w:tcW w:w="976" w:type="dxa"/>
            <w:tcBorders>
              <w:top w:val="nil"/>
              <w:left w:val="nil"/>
              <w:bottom w:val="single" w:color="auto" w:sz="4" w:space="0"/>
              <w:right w:val="single" w:color="auto" w:sz="4" w:space="0"/>
            </w:tcBorders>
            <w:vAlign w:val="center"/>
          </w:tcPr>
          <w:p w14:paraId="3A3584B7">
            <w:pPr>
              <w:spacing w:line="360" w:lineRule="auto"/>
              <w:rPr>
                <w:rFonts w:ascii="华文中宋" w:hAnsi="华文中宋" w:eastAsia="华文中宋"/>
                <w:szCs w:val="21"/>
              </w:rPr>
            </w:pPr>
          </w:p>
        </w:tc>
        <w:tc>
          <w:tcPr>
            <w:tcW w:w="990" w:type="dxa"/>
            <w:tcBorders>
              <w:top w:val="nil"/>
              <w:left w:val="nil"/>
              <w:bottom w:val="single" w:color="auto" w:sz="4" w:space="0"/>
              <w:right w:val="single" w:color="auto" w:sz="4" w:space="0"/>
            </w:tcBorders>
            <w:vAlign w:val="center"/>
          </w:tcPr>
          <w:p w14:paraId="2E78A187">
            <w:pPr>
              <w:spacing w:line="360" w:lineRule="auto"/>
              <w:rPr>
                <w:rFonts w:ascii="华文中宋" w:hAnsi="华文中宋" w:eastAsia="华文中宋"/>
                <w:szCs w:val="21"/>
              </w:rPr>
            </w:pPr>
          </w:p>
        </w:tc>
        <w:tc>
          <w:tcPr>
            <w:tcW w:w="1236" w:type="dxa"/>
            <w:tcBorders>
              <w:top w:val="nil"/>
              <w:left w:val="nil"/>
              <w:bottom w:val="single" w:color="auto" w:sz="4" w:space="0"/>
              <w:right w:val="single" w:color="auto" w:sz="4" w:space="0"/>
            </w:tcBorders>
            <w:vAlign w:val="center"/>
          </w:tcPr>
          <w:p w14:paraId="3FF4AD6A">
            <w:pPr>
              <w:spacing w:line="360" w:lineRule="auto"/>
              <w:rPr>
                <w:rFonts w:ascii="华文中宋" w:hAnsi="华文中宋" w:eastAsia="华文中宋"/>
                <w:szCs w:val="21"/>
              </w:rPr>
            </w:pPr>
          </w:p>
        </w:tc>
        <w:tc>
          <w:tcPr>
            <w:tcW w:w="1236" w:type="dxa"/>
            <w:tcBorders>
              <w:top w:val="nil"/>
              <w:left w:val="nil"/>
              <w:bottom w:val="single" w:color="auto" w:sz="4" w:space="0"/>
              <w:right w:val="single" w:color="auto" w:sz="4" w:space="0"/>
            </w:tcBorders>
            <w:vAlign w:val="center"/>
          </w:tcPr>
          <w:p w14:paraId="2CE2205E">
            <w:pPr>
              <w:spacing w:line="360" w:lineRule="auto"/>
              <w:rPr>
                <w:rFonts w:ascii="华文中宋" w:hAnsi="华文中宋" w:eastAsia="华文中宋"/>
                <w:szCs w:val="21"/>
              </w:rPr>
            </w:pPr>
          </w:p>
        </w:tc>
        <w:tc>
          <w:tcPr>
            <w:tcW w:w="856" w:type="dxa"/>
            <w:tcBorders>
              <w:top w:val="nil"/>
              <w:left w:val="nil"/>
              <w:bottom w:val="single" w:color="auto" w:sz="4" w:space="0"/>
              <w:right w:val="single" w:color="auto" w:sz="4" w:space="0"/>
            </w:tcBorders>
            <w:vAlign w:val="center"/>
          </w:tcPr>
          <w:p w14:paraId="1DDD7E80">
            <w:pPr>
              <w:spacing w:line="360" w:lineRule="auto"/>
              <w:rPr>
                <w:rFonts w:ascii="华文中宋" w:hAnsi="华文中宋" w:eastAsia="华文中宋"/>
                <w:szCs w:val="21"/>
              </w:rPr>
            </w:pPr>
          </w:p>
        </w:tc>
      </w:tr>
      <w:tr w14:paraId="789362C0">
        <w:tblPrEx>
          <w:tblCellMar>
            <w:top w:w="0" w:type="dxa"/>
            <w:left w:w="108" w:type="dxa"/>
            <w:bottom w:w="0" w:type="dxa"/>
            <w:right w:w="108" w:type="dxa"/>
          </w:tblCellMar>
        </w:tblPrEx>
        <w:trPr>
          <w:trHeight w:val="550" w:hRule="exact"/>
        </w:trPr>
        <w:tc>
          <w:tcPr>
            <w:tcW w:w="994" w:type="dxa"/>
            <w:vMerge w:val="continue"/>
            <w:tcBorders>
              <w:top w:val="nil"/>
              <w:left w:val="single" w:color="auto" w:sz="4" w:space="0"/>
              <w:bottom w:val="single" w:color="auto" w:sz="4" w:space="0"/>
              <w:right w:val="single" w:color="auto" w:sz="4" w:space="0"/>
            </w:tcBorders>
            <w:vAlign w:val="center"/>
          </w:tcPr>
          <w:p w14:paraId="44DD1666">
            <w:pPr>
              <w:spacing w:line="360" w:lineRule="auto"/>
              <w:rPr>
                <w:rFonts w:ascii="华文中宋" w:hAnsi="华文中宋" w:eastAsia="华文中宋"/>
                <w:szCs w:val="21"/>
              </w:rPr>
            </w:pPr>
          </w:p>
        </w:tc>
        <w:tc>
          <w:tcPr>
            <w:tcW w:w="13798" w:type="dxa"/>
            <w:gridSpan w:val="13"/>
            <w:tcBorders>
              <w:top w:val="nil"/>
              <w:left w:val="nil"/>
              <w:bottom w:val="single" w:color="auto" w:sz="4" w:space="0"/>
              <w:right w:val="single" w:color="auto" w:sz="4" w:space="0"/>
            </w:tcBorders>
            <w:vAlign w:val="center"/>
          </w:tcPr>
          <w:p w14:paraId="070B62FB">
            <w:pPr>
              <w:spacing w:line="360" w:lineRule="auto"/>
              <w:rPr>
                <w:rFonts w:ascii="华文中宋" w:hAnsi="华文中宋" w:eastAsia="华文中宋"/>
                <w:szCs w:val="21"/>
              </w:rPr>
            </w:pPr>
            <w:r>
              <w:rPr>
                <w:rFonts w:hint="eastAsia" w:ascii="华文中宋" w:hAnsi="华文中宋" w:eastAsia="华文中宋"/>
                <w:szCs w:val="21"/>
              </w:rPr>
              <w:t>含：运输、安装、辅料、系统集成、税金及其他达到设备正常运行的所有费用等。</w:t>
            </w:r>
          </w:p>
        </w:tc>
      </w:tr>
      <w:tr w14:paraId="662EF141">
        <w:tblPrEx>
          <w:tblCellMar>
            <w:top w:w="0" w:type="dxa"/>
            <w:left w:w="108" w:type="dxa"/>
            <w:bottom w:w="0" w:type="dxa"/>
            <w:right w:w="108" w:type="dxa"/>
          </w:tblCellMar>
        </w:tblPrEx>
        <w:trPr>
          <w:trHeight w:val="465" w:hRule="atLeast"/>
        </w:trPr>
        <w:tc>
          <w:tcPr>
            <w:tcW w:w="14792" w:type="dxa"/>
            <w:gridSpan w:val="14"/>
            <w:tcBorders>
              <w:top w:val="single" w:color="auto" w:sz="4" w:space="0"/>
              <w:left w:val="single" w:color="auto" w:sz="4" w:space="0"/>
              <w:bottom w:val="single" w:color="auto" w:sz="4" w:space="0"/>
              <w:right w:val="single" w:color="auto" w:sz="4" w:space="0"/>
            </w:tcBorders>
            <w:vAlign w:val="center"/>
          </w:tcPr>
          <w:p w14:paraId="4121FDBC">
            <w:pPr>
              <w:spacing w:line="360" w:lineRule="auto"/>
              <w:rPr>
                <w:rFonts w:ascii="华文中宋" w:hAnsi="华文中宋" w:eastAsia="华文中宋"/>
                <w:szCs w:val="21"/>
              </w:rPr>
            </w:pPr>
            <w:r>
              <w:rPr>
                <w:rFonts w:hint="eastAsia" w:ascii="华文中宋" w:hAnsi="华文中宋" w:eastAsia="华文中宋"/>
                <w:szCs w:val="21"/>
              </w:rPr>
              <w:t>第</w:t>
            </w:r>
            <w:r>
              <w:rPr>
                <w:rFonts w:hint="eastAsia" w:ascii="华文中宋" w:hAnsi="华文中宋" w:eastAsia="华文中宋"/>
                <w:szCs w:val="21"/>
                <w:u w:val="single"/>
              </w:rPr>
              <w:t xml:space="preserve">    </w:t>
            </w:r>
            <w:r>
              <w:rPr>
                <w:rFonts w:hint="eastAsia" w:ascii="华文中宋" w:hAnsi="华文中宋" w:eastAsia="华文中宋"/>
                <w:szCs w:val="21"/>
              </w:rPr>
              <w:t>包    总报价（大写）         （小写）￥：</w:t>
            </w:r>
          </w:p>
        </w:tc>
      </w:tr>
    </w:tbl>
    <w:p w14:paraId="084CB129">
      <w:pPr>
        <w:spacing w:line="360" w:lineRule="auto"/>
        <w:rPr>
          <w:rFonts w:ascii="华文中宋" w:hAnsi="华文中宋" w:eastAsia="华文中宋"/>
          <w:szCs w:val="21"/>
        </w:rPr>
      </w:pPr>
      <w:r>
        <w:rPr>
          <w:rFonts w:hint="eastAsia" w:ascii="华文中宋" w:hAnsi="华文中宋" w:eastAsia="华文中宋"/>
          <w:szCs w:val="21"/>
        </w:rPr>
        <w:t xml:space="preserve">                                                                                   货币：人民币/元        </w:t>
      </w:r>
    </w:p>
    <w:p w14:paraId="4D558577">
      <w:pPr>
        <w:spacing w:line="360" w:lineRule="auto"/>
        <w:rPr>
          <w:rFonts w:ascii="华文中宋" w:hAnsi="华文中宋" w:eastAsia="华文中宋"/>
          <w:szCs w:val="21"/>
        </w:rPr>
      </w:pPr>
      <w:r>
        <w:rPr>
          <w:rFonts w:hint="eastAsia" w:ascii="华文中宋" w:hAnsi="华文中宋" w:eastAsia="华文中宋"/>
          <w:szCs w:val="21"/>
        </w:rPr>
        <w:t xml:space="preserve">注：此表不得有缺项，否则视同无效投标。 </w:t>
      </w:r>
    </w:p>
    <w:p w14:paraId="6A75B753">
      <w:pPr>
        <w:spacing w:line="360" w:lineRule="auto"/>
        <w:rPr>
          <w:rFonts w:ascii="华文中宋" w:hAnsi="华文中宋" w:eastAsia="华文中宋"/>
          <w:szCs w:val="21"/>
        </w:rPr>
      </w:pPr>
      <w:r>
        <w:rPr>
          <w:rFonts w:hint="eastAsia" w:ascii="华文中宋" w:hAnsi="华文中宋" w:eastAsia="华文中宋"/>
          <w:szCs w:val="21"/>
        </w:rPr>
        <w:t xml:space="preserve">    若报价超过项目预算，将导致无效投标。</w:t>
      </w:r>
    </w:p>
    <w:p w14:paraId="09C2647C">
      <w:pPr>
        <w:spacing w:line="360" w:lineRule="auto"/>
        <w:rPr>
          <w:rFonts w:ascii="华文中宋" w:hAnsi="华文中宋" w:eastAsia="华文中宋"/>
          <w:szCs w:val="21"/>
        </w:rPr>
      </w:pPr>
      <w:r>
        <w:rPr>
          <w:rFonts w:hint="eastAsia" w:ascii="华文中宋" w:hAnsi="华文中宋" w:eastAsia="华文中宋"/>
          <w:szCs w:val="21"/>
        </w:rPr>
        <w:t>投标人：</w:t>
      </w:r>
      <w:r>
        <w:rPr>
          <w:rFonts w:hint="eastAsia" w:ascii="华文中宋" w:hAnsi="华文中宋" w:eastAsia="华文中宋"/>
          <w:spacing w:val="20"/>
          <w:szCs w:val="21"/>
          <w:u w:val="single"/>
        </w:rPr>
        <w:t xml:space="preserve">            </w:t>
      </w:r>
      <w:r>
        <w:rPr>
          <w:rFonts w:hint="eastAsia" w:ascii="华文中宋" w:hAnsi="华文中宋" w:eastAsia="华文中宋"/>
          <w:szCs w:val="21"/>
        </w:rPr>
        <w:t>（电子公章）</w:t>
      </w:r>
    </w:p>
    <w:p w14:paraId="45D1151D">
      <w:pPr>
        <w:spacing w:line="360" w:lineRule="auto"/>
        <w:rPr>
          <w:rFonts w:ascii="华文中宋" w:hAnsi="华文中宋" w:eastAsia="华文中宋"/>
          <w:szCs w:val="21"/>
        </w:rPr>
      </w:pPr>
      <w:r>
        <w:rPr>
          <w:rFonts w:hint="eastAsia" w:ascii="华文中宋" w:hAnsi="华文中宋" w:eastAsia="华文中宋"/>
          <w:szCs w:val="21"/>
        </w:rPr>
        <w:t>法定代表人（负责人）或投标人授权代表：</w:t>
      </w:r>
      <w:r>
        <w:rPr>
          <w:rFonts w:hint="eastAsia" w:ascii="华文中宋" w:hAnsi="华文中宋" w:eastAsia="华文中宋"/>
          <w:spacing w:val="20"/>
          <w:szCs w:val="21"/>
          <w:u w:val="single"/>
        </w:rPr>
        <w:t xml:space="preserve">            </w:t>
      </w:r>
      <w:r>
        <w:rPr>
          <w:rFonts w:hint="eastAsia" w:ascii="华文中宋" w:hAnsi="华文中宋" w:eastAsia="华文中宋"/>
          <w:szCs w:val="21"/>
        </w:rPr>
        <w:t>（电子签章）</w:t>
      </w:r>
    </w:p>
    <w:p w14:paraId="5E5CA6E6">
      <w:pPr>
        <w:spacing w:line="360" w:lineRule="auto"/>
        <w:rPr>
          <w:rFonts w:ascii="华文中宋" w:hAnsi="华文中宋" w:eastAsia="华文中宋"/>
          <w:szCs w:val="21"/>
        </w:rPr>
      </w:pPr>
      <w:r>
        <w:rPr>
          <w:rFonts w:hint="eastAsia" w:ascii="华文中宋" w:hAnsi="华文中宋" w:eastAsia="华文中宋"/>
          <w:szCs w:val="21"/>
        </w:rPr>
        <w:t>日</w:t>
      </w:r>
      <w:r>
        <w:rPr>
          <w:rFonts w:hint="eastAsia" w:ascii="华文中宋" w:hAnsi="华文中宋" w:eastAsia="华文中宋"/>
          <w:szCs w:val="21"/>
        </w:rPr>
        <w:tab/>
      </w:r>
      <w:r>
        <w:rPr>
          <w:rFonts w:hint="eastAsia" w:ascii="华文中宋" w:hAnsi="华文中宋" w:eastAsia="华文中宋"/>
          <w:szCs w:val="21"/>
        </w:rPr>
        <w:t xml:space="preserve"> 期：      年      月     日</w:t>
      </w:r>
    </w:p>
    <w:p w14:paraId="24DD4CCF">
      <w:pPr>
        <w:pStyle w:val="18"/>
        <w:rPr>
          <w:rFonts w:hint="eastAsia"/>
        </w:rPr>
        <w:sectPr>
          <w:pgSz w:w="16838" w:h="11906" w:orient="landscape"/>
          <w:pgMar w:top="1531" w:right="1134" w:bottom="1361" w:left="1021" w:header="851" w:footer="992" w:gutter="0"/>
          <w:pgNumType w:fmt="decimal"/>
          <w:cols w:space="425" w:num="1"/>
          <w:docGrid w:type="linesAndChars" w:linePitch="312" w:charSpace="0"/>
        </w:sectPr>
      </w:pPr>
    </w:p>
    <w:p w14:paraId="26B01666"/>
    <w:sectPr>
      <w:pgSz w:w="11906" w:h="16838"/>
      <w:pgMar w:top="1134" w:right="1361" w:bottom="1021" w:left="153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883A">
    <w:pPr>
      <w:pStyle w:val="26"/>
      <w:jc w:val="center"/>
    </w:pPr>
    <w:r>
      <w:pict>
        <v:shape id="文本框 3"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5A8FA6E5">
                <w:pPr>
                  <w:pStyle w:val="2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B208">
    <w:pPr>
      <w:pStyle w:val="26"/>
      <w:jc w:val="center"/>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33B7FE9A">
                <w:pPr>
                  <w:pStyle w:val="26"/>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40B8">
    <w:pPr>
      <w:pStyle w:val="28"/>
      <w:pBdr>
        <w:bottom w:val="none" w:color="auto" w:sz="0" w:space="0"/>
      </w:pBd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A8F1702">
                <w:pPr>
                  <w:pStyle w:val="28"/>
                </w:pPr>
                <w:r>
                  <w:fldChar w:fldCharType="begin"/>
                </w:r>
                <w:r>
                  <w:instrText xml:space="preserve"> PAGE  \* MERGEFORMAT </w:instrText>
                </w:r>
                <w:r>
                  <w:fldChar w:fldCharType="separate"/>
                </w:r>
                <w:r>
                  <w:t>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DDD1">
    <w:pPr>
      <w:pStyle w:val="28"/>
    </w:pPr>
    <w:r>
      <w:rPr>
        <w:sz w:val="21"/>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1E38063">
                <w:pPr>
                  <w:pStyle w:val="28"/>
                </w:pPr>
                <w:r>
                  <w:fldChar w:fldCharType="begin"/>
                </w:r>
                <w:r>
                  <w:instrText xml:space="preserve"> PAGE  \* MERGEFORMAT </w:instrText>
                </w:r>
                <w:r>
                  <w:fldChar w:fldCharType="separate"/>
                </w:r>
                <w:r>
                  <w:t>1</w:t>
                </w:r>
                <w:r>
                  <w:fldChar w:fldCharType="end"/>
                </w:r>
              </w:p>
            </w:txbxContent>
          </v:textbox>
        </v:shape>
      </w:pict>
    </w:r>
    <w:r>
      <w:rPr>
        <w:rFonts w:hint="eastAsia" w:ascii="隶书" w:hAnsi="华文中宋" w:eastAsia="隶书" w:cs="仿宋"/>
        <w:sz w:val="21"/>
        <w:szCs w:val="21"/>
      </w:rPr>
      <w:t>长治市</w:t>
    </w:r>
    <w:r>
      <w:rPr>
        <w:rFonts w:hint="eastAsia" w:ascii="隶书" w:hAnsi="华文中宋" w:eastAsia="隶书" w:cs="仿宋"/>
        <w:sz w:val="21"/>
        <w:szCs w:val="21"/>
        <w:lang w:eastAsia="zh-CN"/>
      </w:rPr>
      <w:t>上党区</w:t>
    </w:r>
    <w:r>
      <w:rPr>
        <w:rFonts w:hint="eastAsia" w:ascii="隶书" w:hAnsi="华文中宋" w:eastAsia="隶书" w:cs="仿宋"/>
        <w:sz w:val="21"/>
        <w:szCs w:val="21"/>
      </w:rPr>
      <w:t>政府采购中心</w:t>
    </w:r>
    <w:r>
      <w:rPr>
        <w:rFonts w:hint="eastAsia" w:ascii="隶书" w:hAnsi="华文中宋" w:eastAsia="隶书" w:cs="仿宋"/>
        <w:sz w:val="21"/>
        <w:szCs w:val="21"/>
        <w:lang w:val="en-US" w:eastAsia="zh-CN"/>
      </w:rPr>
      <w:t xml:space="preserve">  </w:t>
    </w:r>
    <w:r>
      <w:rPr>
        <w:rFonts w:hint="eastAsia" w:ascii="隶书" w:hAnsi="华文中宋" w:eastAsia="隶书" w:cs="仿宋"/>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0EC">
    <w:pPr>
      <w:pStyle w:val="28"/>
    </w:pPr>
    <w:r>
      <w:rPr>
        <w:sz w:val="21"/>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33539C1">
                <w:pPr>
                  <w:pStyle w:val="28"/>
                </w:pPr>
                <w:r>
                  <w:fldChar w:fldCharType="begin"/>
                </w:r>
                <w:r>
                  <w:instrText xml:space="preserve"> PAGE  \* MERGEFORMAT </w:instrText>
                </w:r>
                <w:r>
                  <w:fldChar w:fldCharType="separate"/>
                </w:r>
                <w:r>
                  <w:t>1</w:t>
                </w:r>
                <w:r>
                  <w:fldChar w:fldCharType="end"/>
                </w:r>
              </w:p>
            </w:txbxContent>
          </v:textbox>
        </v:shape>
      </w:pict>
    </w:r>
    <w:r>
      <w:rPr>
        <w:rFonts w:hint="eastAsia" w:ascii="隶书" w:hAnsi="华文中宋" w:eastAsia="隶书" w:cs="仿宋"/>
        <w:sz w:val="21"/>
        <w:szCs w:val="21"/>
      </w:rPr>
      <w:t>长治市</w:t>
    </w:r>
    <w:r>
      <w:rPr>
        <w:rFonts w:hint="eastAsia" w:ascii="隶书" w:hAnsi="华文中宋" w:eastAsia="隶书" w:cs="仿宋"/>
        <w:sz w:val="21"/>
        <w:szCs w:val="21"/>
        <w:lang w:eastAsia="zh-CN"/>
      </w:rPr>
      <w:t>上党区</w:t>
    </w:r>
    <w:r>
      <w:rPr>
        <w:rFonts w:hint="eastAsia" w:ascii="隶书" w:hAnsi="华文中宋" w:eastAsia="隶书" w:cs="仿宋"/>
        <w:sz w:val="21"/>
        <w:szCs w:val="21"/>
      </w:rPr>
      <w:t>政府采购中心</w:t>
    </w:r>
    <w:r>
      <w:rPr>
        <w:rFonts w:hint="eastAsia" w:ascii="隶书" w:hAnsi="华文中宋" w:eastAsia="隶书" w:cs="仿宋"/>
        <w:sz w:val="21"/>
        <w:szCs w:val="21"/>
        <w:lang w:val="en-US" w:eastAsia="zh-CN"/>
      </w:rPr>
      <w:t xml:space="preserve">  </w:t>
    </w:r>
    <w:r>
      <w:rPr>
        <w:rFonts w:hint="eastAsia" w:ascii="隶书" w:hAnsi="华文中宋" w:eastAsia="隶书" w:cs="仿宋"/>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C47E">
    <w:pPr>
      <w:pStyle w:val="28"/>
    </w:pPr>
    <w:r>
      <w:rPr>
        <w:sz w:val="21"/>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56DC219">
                <w:pPr>
                  <w:pStyle w:val="28"/>
                </w:pPr>
                <w:r>
                  <w:fldChar w:fldCharType="begin"/>
                </w:r>
                <w:r>
                  <w:instrText xml:space="preserve"> PAGE  \* MERGEFORMAT </w:instrText>
                </w:r>
                <w:r>
                  <w:fldChar w:fldCharType="separate"/>
                </w:r>
                <w:r>
                  <w:t>48</w:t>
                </w:r>
                <w:r>
                  <w:fldChar w:fldCharType="end"/>
                </w:r>
              </w:p>
            </w:txbxContent>
          </v:textbox>
        </v:shape>
      </w:pict>
    </w:r>
    <w:r>
      <w:rPr>
        <w:rFonts w:hint="eastAsia" w:ascii="隶书" w:hAnsi="华文中宋" w:eastAsia="隶书" w:cs="仿宋"/>
        <w:sz w:val="21"/>
        <w:szCs w:val="21"/>
        <w:lang w:eastAsia="zh-CN"/>
      </w:rPr>
      <w:t>长治市上党区政府采购中心</w:t>
    </w:r>
    <w:r>
      <w:rPr>
        <w:rFonts w:hint="eastAsia" w:ascii="隶书" w:hAnsi="华文中宋" w:eastAsia="隶书" w:cs="仿宋"/>
        <w:sz w:val="21"/>
        <w:szCs w:val="21"/>
        <w:lang w:val="en-US" w:eastAsia="zh-CN"/>
      </w:rPr>
      <w:t xml:space="preserve">  </w:t>
    </w:r>
    <w:r>
      <w:rPr>
        <w:rFonts w:hint="eastAsia" w:ascii="隶书" w:hAnsi="华文中宋" w:eastAsia="隶书" w:cs="仿宋"/>
        <w:sz w:val="21"/>
        <w:szCs w:val="21"/>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8A5B5"/>
    <w:multiLevelType w:val="singleLevel"/>
    <w:tmpl w:val="9088A5B5"/>
    <w:lvl w:ilvl="0" w:tentative="0">
      <w:start w:val="4"/>
      <w:numFmt w:val="chineseCounting"/>
      <w:suff w:val="space"/>
      <w:lvlText w:val="（%1）"/>
      <w:lvlJc w:val="left"/>
      <w:rPr>
        <w:rFonts w:hint="eastAsia"/>
      </w:rPr>
    </w:lvl>
  </w:abstractNum>
  <w:abstractNum w:abstractNumId="1">
    <w:nsid w:val="977CA336"/>
    <w:multiLevelType w:val="singleLevel"/>
    <w:tmpl w:val="977CA336"/>
    <w:lvl w:ilvl="0" w:tentative="0">
      <w:start w:val="2"/>
      <w:numFmt w:val="decimal"/>
      <w:suff w:val="nothing"/>
      <w:lvlText w:val="（%1）"/>
      <w:lvlJc w:val="left"/>
    </w:lvl>
  </w:abstractNum>
  <w:abstractNum w:abstractNumId="2">
    <w:nsid w:val="12AF0221"/>
    <w:multiLevelType w:val="multilevel"/>
    <w:tmpl w:val="12AF0221"/>
    <w:lvl w:ilvl="0" w:tentative="0">
      <w:start w:val="1"/>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4">
    <w:nsid w:val="38F24266"/>
    <w:multiLevelType w:val="singleLevel"/>
    <w:tmpl w:val="38F24266"/>
    <w:lvl w:ilvl="0" w:tentative="0">
      <w:start w:val="1"/>
      <w:numFmt w:val="decimal"/>
      <w:lvlText w:val="%1."/>
      <w:lvlJc w:val="left"/>
      <w:pPr>
        <w:tabs>
          <w:tab w:val="left" w:pos="312"/>
        </w:tabs>
      </w:p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249"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pStyle w:val="6"/>
      <w:suff w:val="nothing"/>
      <w:lvlText w:val="%5、"/>
      <w:lvlJc w:val="left"/>
      <w:pPr>
        <w:ind w:left="252"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pStyle w:val="8"/>
      <w:suff w:val="nothing"/>
      <w:lvlText w:val=""/>
      <w:lvlJc w:val="left"/>
      <w:pPr>
        <w:ind w:left="252" w:firstLine="0"/>
      </w:pPr>
      <w:rPr>
        <w:rFonts w:hint="eastAsia"/>
      </w:rPr>
    </w:lvl>
    <w:lvl w:ilvl="7" w:tentative="0">
      <w:start w:val="1"/>
      <w:numFmt w:val="none"/>
      <w:pStyle w:val="9"/>
      <w:suff w:val="nothing"/>
      <w:lvlText w:val=""/>
      <w:lvlJc w:val="left"/>
      <w:pPr>
        <w:ind w:left="252" w:firstLine="0"/>
      </w:pPr>
      <w:rPr>
        <w:rFonts w:hint="eastAsia"/>
      </w:rPr>
    </w:lvl>
    <w:lvl w:ilvl="8" w:tentative="0">
      <w:start w:val="1"/>
      <w:numFmt w:val="none"/>
      <w:pStyle w:val="10"/>
      <w:suff w:val="nothing"/>
      <w:lvlText w:val=""/>
      <w:lvlJc w:val="left"/>
      <w:pPr>
        <w:ind w:left="252" w:firstLine="0"/>
      </w:pPr>
      <w:rPr>
        <w:rFonts w:hint="eastAsia"/>
      </w:rPr>
    </w:lvl>
  </w:abstractNum>
  <w:abstractNum w:abstractNumId="6">
    <w:nsid w:val="6C0AF3C3"/>
    <w:multiLevelType w:val="singleLevel"/>
    <w:tmpl w:val="6C0AF3C3"/>
    <w:lvl w:ilvl="0" w:tentative="0">
      <w:start w:val="1"/>
      <w:numFmt w:val="decimal"/>
      <w:suff w:val="nothing"/>
      <w:lvlText w:val="（%1）"/>
      <w:lvlJc w:val="left"/>
      <w:rPr>
        <w:rFonts w:hint="default"/>
        <w:color w:val="auto"/>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57"/>
      <w:suff w:val="nothing"/>
      <w:lvlText w:val="%1%2　"/>
      <w:lvlJc w:val="left"/>
      <w:pPr>
        <w:ind w:left="0" w:firstLine="0"/>
      </w:pPr>
      <w:rPr>
        <w:rFonts w:hint="eastAsia" w:ascii="黑体" w:hAnsi="Times New Roman" w:eastAsia="黑体"/>
        <w:b w:val="0"/>
        <w:i w:val="0"/>
        <w:sz w:val="21"/>
      </w:rPr>
    </w:lvl>
    <w:lvl w:ilvl="2" w:tentative="0">
      <w:start w:val="1"/>
      <w:numFmt w:val="decimal"/>
      <w:pStyle w:val="1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7"/>
  </w:num>
  <w:num w:numId="3">
    <w:abstractNumId w:val="1"/>
  </w:num>
  <w:num w:numId="4">
    <w:abstractNumId w:val="3"/>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xODg4OTVmODNkOWQyOTdlNTI5ZDIzYzExOGRiMGMifQ=="/>
  </w:docVars>
  <w:rsids>
    <w:rsidRoot w:val="00172A27"/>
    <w:rsid w:val="000017B5"/>
    <w:rsid w:val="00001943"/>
    <w:rsid w:val="000021AB"/>
    <w:rsid w:val="00002249"/>
    <w:rsid w:val="00004521"/>
    <w:rsid w:val="00004FFC"/>
    <w:rsid w:val="0000518B"/>
    <w:rsid w:val="0000757D"/>
    <w:rsid w:val="00010F5D"/>
    <w:rsid w:val="0001262D"/>
    <w:rsid w:val="00013D9A"/>
    <w:rsid w:val="00015BD9"/>
    <w:rsid w:val="00016D62"/>
    <w:rsid w:val="0001771F"/>
    <w:rsid w:val="00021878"/>
    <w:rsid w:val="00021E53"/>
    <w:rsid w:val="0002324D"/>
    <w:rsid w:val="000242F9"/>
    <w:rsid w:val="0002578D"/>
    <w:rsid w:val="00025E82"/>
    <w:rsid w:val="00025EF4"/>
    <w:rsid w:val="00034BDD"/>
    <w:rsid w:val="00035EEC"/>
    <w:rsid w:val="0003676A"/>
    <w:rsid w:val="00040F10"/>
    <w:rsid w:val="00042BAF"/>
    <w:rsid w:val="00043544"/>
    <w:rsid w:val="0004425E"/>
    <w:rsid w:val="00045D42"/>
    <w:rsid w:val="000474BE"/>
    <w:rsid w:val="00047DFC"/>
    <w:rsid w:val="000510A9"/>
    <w:rsid w:val="00051E6F"/>
    <w:rsid w:val="000530F3"/>
    <w:rsid w:val="000532D0"/>
    <w:rsid w:val="00054CAA"/>
    <w:rsid w:val="00054F8E"/>
    <w:rsid w:val="00055699"/>
    <w:rsid w:val="00055A31"/>
    <w:rsid w:val="00055B9C"/>
    <w:rsid w:val="000569FA"/>
    <w:rsid w:val="0005761C"/>
    <w:rsid w:val="000579FB"/>
    <w:rsid w:val="00061E04"/>
    <w:rsid w:val="000638DD"/>
    <w:rsid w:val="00063F4E"/>
    <w:rsid w:val="00064F40"/>
    <w:rsid w:val="000652D9"/>
    <w:rsid w:val="00065F48"/>
    <w:rsid w:val="00067737"/>
    <w:rsid w:val="00071561"/>
    <w:rsid w:val="00071DD4"/>
    <w:rsid w:val="00072B7F"/>
    <w:rsid w:val="00072C1D"/>
    <w:rsid w:val="00073824"/>
    <w:rsid w:val="00073AE2"/>
    <w:rsid w:val="00075CCF"/>
    <w:rsid w:val="00076C27"/>
    <w:rsid w:val="00077411"/>
    <w:rsid w:val="00077C09"/>
    <w:rsid w:val="00077C44"/>
    <w:rsid w:val="00083A5B"/>
    <w:rsid w:val="000841EC"/>
    <w:rsid w:val="00085903"/>
    <w:rsid w:val="000873B5"/>
    <w:rsid w:val="000920C0"/>
    <w:rsid w:val="000920E0"/>
    <w:rsid w:val="000924A1"/>
    <w:rsid w:val="00093B83"/>
    <w:rsid w:val="000949AF"/>
    <w:rsid w:val="00095203"/>
    <w:rsid w:val="0009676A"/>
    <w:rsid w:val="00097970"/>
    <w:rsid w:val="000A0AD7"/>
    <w:rsid w:val="000A28AA"/>
    <w:rsid w:val="000A3A51"/>
    <w:rsid w:val="000A42DF"/>
    <w:rsid w:val="000A4792"/>
    <w:rsid w:val="000A56BF"/>
    <w:rsid w:val="000A6CFF"/>
    <w:rsid w:val="000A6D30"/>
    <w:rsid w:val="000A79B7"/>
    <w:rsid w:val="000B0ED7"/>
    <w:rsid w:val="000B1210"/>
    <w:rsid w:val="000B341C"/>
    <w:rsid w:val="000B3AA1"/>
    <w:rsid w:val="000B4B61"/>
    <w:rsid w:val="000B4CC1"/>
    <w:rsid w:val="000B5357"/>
    <w:rsid w:val="000B593B"/>
    <w:rsid w:val="000B6812"/>
    <w:rsid w:val="000B6D3F"/>
    <w:rsid w:val="000B75B7"/>
    <w:rsid w:val="000B7612"/>
    <w:rsid w:val="000C151F"/>
    <w:rsid w:val="000C1D23"/>
    <w:rsid w:val="000C2766"/>
    <w:rsid w:val="000C3DDC"/>
    <w:rsid w:val="000C5165"/>
    <w:rsid w:val="000C578B"/>
    <w:rsid w:val="000C6CDD"/>
    <w:rsid w:val="000C7318"/>
    <w:rsid w:val="000C7818"/>
    <w:rsid w:val="000D1227"/>
    <w:rsid w:val="000D4DA8"/>
    <w:rsid w:val="000D6D37"/>
    <w:rsid w:val="000E04BE"/>
    <w:rsid w:val="000E07E0"/>
    <w:rsid w:val="000E1DB4"/>
    <w:rsid w:val="000E396B"/>
    <w:rsid w:val="000E3EF4"/>
    <w:rsid w:val="000E4DF4"/>
    <w:rsid w:val="000E4F3D"/>
    <w:rsid w:val="000E5051"/>
    <w:rsid w:val="000E706C"/>
    <w:rsid w:val="000F2EEF"/>
    <w:rsid w:val="000F3A4A"/>
    <w:rsid w:val="000F5846"/>
    <w:rsid w:val="000F7540"/>
    <w:rsid w:val="001004EB"/>
    <w:rsid w:val="001029D5"/>
    <w:rsid w:val="001056E3"/>
    <w:rsid w:val="0010796A"/>
    <w:rsid w:val="00112B96"/>
    <w:rsid w:val="00112CEF"/>
    <w:rsid w:val="00113684"/>
    <w:rsid w:val="001157F1"/>
    <w:rsid w:val="00115B83"/>
    <w:rsid w:val="00115B90"/>
    <w:rsid w:val="0011601B"/>
    <w:rsid w:val="00116FCA"/>
    <w:rsid w:val="00120424"/>
    <w:rsid w:val="001217B4"/>
    <w:rsid w:val="00124E35"/>
    <w:rsid w:val="00125162"/>
    <w:rsid w:val="001264EC"/>
    <w:rsid w:val="0012764A"/>
    <w:rsid w:val="0013010C"/>
    <w:rsid w:val="00130FAB"/>
    <w:rsid w:val="00130FE6"/>
    <w:rsid w:val="00131E5C"/>
    <w:rsid w:val="00132DB6"/>
    <w:rsid w:val="00132E59"/>
    <w:rsid w:val="00134826"/>
    <w:rsid w:val="001348BD"/>
    <w:rsid w:val="00134E97"/>
    <w:rsid w:val="00135082"/>
    <w:rsid w:val="001353E4"/>
    <w:rsid w:val="0013622B"/>
    <w:rsid w:val="00137137"/>
    <w:rsid w:val="0013733B"/>
    <w:rsid w:val="00141212"/>
    <w:rsid w:val="00141EDF"/>
    <w:rsid w:val="00142605"/>
    <w:rsid w:val="0014380C"/>
    <w:rsid w:val="001472CB"/>
    <w:rsid w:val="0014773E"/>
    <w:rsid w:val="00151893"/>
    <w:rsid w:val="00152E02"/>
    <w:rsid w:val="00153962"/>
    <w:rsid w:val="00155DE0"/>
    <w:rsid w:val="00161D46"/>
    <w:rsid w:val="00162E84"/>
    <w:rsid w:val="001648F9"/>
    <w:rsid w:val="00165363"/>
    <w:rsid w:val="001673FE"/>
    <w:rsid w:val="001703F8"/>
    <w:rsid w:val="00171228"/>
    <w:rsid w:val="00172761"/>
    <w:rsid w:val="00172A27"/>
    <w:rsid w:val="001751FC"/>
    <w:rsid w:val="00177802"/>
    <w:rsid w:val="001801A9"/>
    <w:rsid w:val="001815A2"/>
    <w:rsid w:val="001818A3"/>
    <w:rsid w:val="00182D07"/>
    <w:rsid w:val="001855EE"/>
    <w:rsid w:val="0018677D"/>
    <w:rsid w:val="001905BF"/>
    <w:rsid w:val="001905D0"/>
    <w:rsid w:val="001906CE"/>
    <w:rsid w:val="00191946"/>
    <w:rsid w:val="00193302"/>
    <w:rsid w:val="001951B7"/>
    <w:rsid w:val="0019683A"/>
    <w:rsid w:val="001976E3"/>
    <w:rsid w:val="001A005E"/>
    <w:rsid w:val="001A0214"/>
    <w:rsid w:val="001A16AE"/>
    <w:rsid w:val="001A2BE4"/>
    <w:rsid w:val="001A2C20"/>
    <w:rsid w:val="001A2F3A"/>
    <w:rsid w:val="001A4E25"/>
    <w:rsid w:val="001A5911"/>
    <w:rsid w:val="001B0E9B"/>
    <w:rsid w:val="001B191E"/>
    <w:rsid w:val="001B28F3"/>
    <w:rsid w:val="001B2BD2"/>
    <w:rsid w:val="001B2C3A"/>
    <w:rsid w:val="001B58E7"/>
    <w:rsid w:val="001B6889"/>
    <w:rsid w:val="001B72AC"/>
    <w:rsid w:val="001B7987"/>
    <w:rsid w:val="001C013E"/>
    <w:rsid w:val="001C0876"/>
    <w:rsid w:val="001C2F74"/>
    <w:rsid w:val="001C310B"/>
    <w:rsid w:val="001C37E1"/>
    <w:rsid w:val="001C3936"/>
    <w:rsid w:val="001C6155"/>
    <w:rsid w:val="001C7390"/>
    <w:rsid w:val="001C7D99"/>
    <w:rsid w:val="001D019A"/>
    <w:rsid w:val="001D1569"/>
    <w:rsid w:val="001D1675"/>
    <w:rsid w:val="001D253E"/>
    <w:rsid w:val="001D45F8"/>
    <w:rsid w:val="001D5118"/>
    <w:rsid w:val="001E3573"/>
    <w:rsid w:val="001E3800"/>
    <w:rsid w:val="001E47BD"/>
    <w:rsid w:val="001E5170"/>
    <w:rsid w:val="001E5505"/>
    <w:rsid w:val="001E553C"/>
    <w:rsid w:val="001E61AD"/>
    <w:rsid w:val="001F1112"/>
    <w:rsid w:val="001F3B1A"/>
    <w:rsid w:val="001F4543"/>
    <w:rsid w:val="001F62F7"/>
    <w:rsid w:val="001F7E7F"/>
    <w:rsid w:val="00203FD3"/>
    <w:rsid w:val="002048CE"/>
    <w:rsid w:val="00207FE7"/>
    <w:rsid w:val="002104C3"/>
    <w:rsid w:val="002115C3"/>
    <w:rsid w:val="002117BC"/>
    <w:rsid w:val="00212B98"/>
    <w:rsid w:val="00213AA5"/>
    <w:rsid w:val="00215CBA"/>
    <w:rsid w:val="0021629D"/>
    <w:rsid w:val="0021750F"/>
    <w:rsid w:val="00220B04"/>
    <w:rsid w:val="002220B1"/>
    <w:rsid w:val="00225B52"/>
    <w:rsid w:val="00227069"/>
    <w:rsid w:val="002303F1"/>
    <w:rsid w:val="0023051B"/>
    <w:rsid w:val="00231B8B"/>
    <w:rsid w:val="00232E6F"/>
    <w:rsid w:val="002333F8"/>
    <w:rsid w:val="00233920"/>
    <w:rsid w:val="00235B4E"/>
    <w:rsid w:val="0023795D"/>
    <w:rsid w:val="002379E1"/>
    <w:rsid w:val="00241E65"/>
    <w:rsid w:val="0024466C"/>
    <w:rsid w:val="00245C88"/>
    <w:rsid w:val="00246A41"/>
    <w:rsid w:val="00247969"/>
    <w:rsid w:val="00251A52"/>
    <w:rsid w:val="00252039"/>
    <w:rsid w:val="00253E98"/>
    <w:rsid w:val="002549B0"/>
    <w:rsid w:val="00255EFE"/>
    <w:rsid w:val="002608D4"/>
    <w:rsid w:val="0026139C"/>
    <w:rsid w:val="0026158A"/>
    <w:rsid w:val="0026321A"/>
    <w:rsid w:val="00263B79"/>
    <w:rsid w:val="0026439F"/>
    <w:rsid w:val="00265953"/>
    <w:rsid w:val="00266123"/>
    <w:rsid w:val="002670EA"/>
    <w:rsid w:val="0027122A"/>
    <w:rsid w:val="0027177A"/>
    <w:rsid w:val="00274258"/>
    <w:rsid w:val="002761FC"/>
    <w:rsid w:val="00276261"/>
    <w:rsid w:val="00276D27"/>
    <w:rsid w:val="00277577"/>
    <w:rsid w:val="00277A7A"/>
    <w:rsid w:val="002816DD"/>
    <w:rsid w:val="002832F3"/>
    <w:rsid w:val="00284D15"/>
    <w:rsid w:val="00285D1B"/>
    <w:rsid w:val="00286FD4"/>
    <w:rsid w:val="0028709D"/>
    <w:rsid w:val="002872E5"/>
    <w:rsid w:val="0028790D"/>
    <w:rsid w:val="00290720"/>
    <w:rsid w:val="0029333D"/>
    <w:rsid w:val="002962B0"/>
    <w:rsid w:val="00297731"/>
    <w:rsid w:val="00297B91"/>
    <w:rsid w:val="002A062F"/>
    <w:rsid w:val="002A36B9"/>
    <w:rsid w:val="002A4D65"/>
    <w:rsid w:val="002A5286"/>
    <w:rsid w:val="002A5920"/>
    <w:rsid w:val="002A6641"/>
    <w:rsid w:val="002A6F9C"/>
    <w:rsid w:val="002A7061"/>
    <w:rsid w:val="002A7A84"/>
    <w:rsid w:val="002B1EEA"/>
    <w:rsid w:val="002B5435"/>
    <w:rsid w:val="002B57C8"/>
    <w:rsid w:val="002B5AA5"/>
    <w:rsid w:val="002B740A"/>
    <w:rsid w:val="002C1049"/>
    <w:rsid w:val="002C14B0"/>
    <w:rsid w:val="002C3299"/>
    <w:rsid w:val="002C3B5B"/>
    <w:rsid w:val="002C3D2F"/>
    <w:rsid w:val="002C4151"/>
    <w:rsid w:val="002C5DE2"/>
    <w:rsid w:val="002D11F8"/>
    <w:rsid w:val="002D2505"/>
    <w:rsid w:val="002D3EC4"/>
    <w:rsid w:val="002E0B83"/>
    <w:rsid w:val="002E0CFB"/>
    <w:rsid w:val="002E0EA0"/>
    <w:rsid w:val="002E5646"/>
    <w:rsid w:val="002E58D6"/>
    <w:rsid w:val="002E5B6D"/>
    <w:rsid w:val="002E6135"/>
    <w:rsid w:val="002E7BB7"/>
    <w:rsid w:val="002E7E43"/>
    <w:rsid w:val="002F00E9"/>
    <w:rsid w:val="002F0558"/>
    <w:rsid w:val="002F2DA4"/>
    <w:rsid w:val="002F2F10"/>
    <w:rsid w:val="002F4B25"/>
    <w:rsid w:val="002F4B53"/>
    <w:rsid w:val="002F533A"/>
    <w:rsid w:val="002F5942"/>
    <w:rsid w:val="002F5CBE"/>
    <w:rsid w:val="00300543"/>
    <w:rsid w:val="003036E8"/>
    <w:rsid w:val="00304EE6"/>
    <w:rsid w:val="003056BA"/>
    <w:rsid w:val="00305B4E"/>
    <w:rsid w:val="00312482"/>
    <w:rsid w:val="0031752C"/>
    <w:rsid w:val="00320851"/>
    <w:rsid w:val="00322507"/>
    <w:rsid w:val="00323700"/>
    <w:rsid w:val="00324D44"/>
    <w:rsid w:val="00325150"/>
    <w:rsid w:val="00332194"/>
    <w:rsid w:val="003332EE"/>
    <w:rsid w:val="00334EC1"/>
    <w:rsid w:val="00334F65"/>
    <w:rsid w:val="003367B7"/>
    <w:rsid w:val="00336914"/>
    <w:rsid w:val="0033791A"/>
    <w:rsid w:val="003408EA"/>
    <w:rsid w:val="00340AA2"/>
    <w:rsid w:val="00341D79"/>
    <w:rsid w:val="00341E72"/>
    <w:rsid w:val="00341FAF"/>
    <w:rsid w:val="00343576"/>
    <w:rsid w:val="00344327"/>
    <w:rsid w:val="00345068"/>
    <w:rsid w:val="003472D2"/>
    <w:rsid w:val="00350C5F"/>
    <w:rsid w:val="00351719"/>
    <w:rsid w:val="00353405"/>
    <w:rsid w:val="00353C91"/>
    <w:rsid w:val="00353D67"/>
    <w:rsid w:val="00353F15"/>
    <w:rsid w:val="003548F6"/>
    <w:rsid w:val="003618A7"/>
    <w:rsid w:val="00363199"/>
    <w:rsid w:val="00372342"/>
    <w:rsid w:val="0037291D"/>
    <w:rsid w:val="00372AD1"/>
    <w:rsid w:val="00372C7C"/>
    <w:rsid w:val="00374AF1"/>
    <w:rsid w:val="00375D6F"/>
    <w:rsid w:val="00376641"/>
    <w:rsid w:val="00376BF8"/>
    <w:rsid w:val="003802DA"/>
    <w:rsid w:val="00381739"/>
    <w:rsid w:val="003820CF"/>
    <w:rsid w:val="00382347"/>
    <w:rsid w:val="0038346C"/>
    <w:rsid w:val="0038356D"/>
    <w:rsid w:val="003837EE"/>
    <w:rsid w:val="0039172B"/>
    <w:rsid w:val="003925FE"/>
    <w:rsid w:val="0039278E"/>
    <w:rsid w:val="00392AD9"/>
    <w:rsid w:val="00394530"/>
    <w:rsid w:val="0039580E"/>
    <w:rsid w:val="00396270"/>
    <w:rsid w:val="003A1F58"/>
    <w:rsid w:val="003A3B61"/>
    <w:rsid w:val="003A694D"/>
    <w:rsid w:val="003A6F58"/>
    <w:rsid w:val="003A7365"/>
    <w:rsid w:val="003B1DB8"/>
    <w:rsid w:val="003B2CD7"/>
    <w:rsid w:val="003B3BBF"/>
    <w:rsid w:val="003B4480"/>
    <w:rsid w:val="003B44C8"/>
    <w:rsid w:val="003B5111"/>
    <w:rsid w:val="003B5BD7"/>
    <w:rsid w:val="003C02B2"/>
    <w:rsid w:val="003C098D"/>
    <w:rsid w:val="003C0A0F"/>
    <w:rsid w:val="003C0C85"/>
    <w:rsid w:val="003C123A"/>
    <w:rsid w:val="003C1F59"/>
    <w:rsid w:val="003C25D0"/>
    <w:rsid w:val="003C28DA"/>
    <w:rsid w:val="003C3101"/>
    <w:rsid w:val="003C4421"/>
    <w:rsid w:val="003C5DBA"/>
    <w:rsid w:val="003D15D1"/>
    <w:rsid w:val="003D16CE"/>
    <w:rsid w:val="003D1AA4"/>
    <w:rsid w:val="003D4516"/>
    <w:rsid w:val="003D495D"/>
    <w:rsid w:val="003D524A"/>
    <w:rsid w:val="003E1148"/>
    <w:rsid w:val="003E141E"/>
    <w:rsid w:val="003E2F25"/>
    <w:rsid w:val="003E55D4"/>
    <w:rsid w:val="003E5C35"/>
    <w:rsid w:val="003E60D1"/>
    <w:rsid w:val="003E7194"/>
    <w:rsid w:val="003E768A"/>
    <w:rsid w:val="003F1451"/>
    <w:rsid w:val="003F18C4"/>
    <w:rsid w:val="003F4F8D"/>
    <w:rsid w:val="003F63BB"/>
    <w:rsid w:val="004014CC"/>
    <w:rsid w:val="004017DB"/>
    <w:rsid w:val="00402F92"/>
    <w:rsid w:val="0040351B"/>
    <w:rsid w:val="004044BC"/>
    <w:rsid w:val="00407F56"/>
    <w:rsid w:val="00411334"/>
    <w:rsid w:val="004148B9"/>
    <w:rsid w:val="00415849"/>
    <w:rsid w:val="00415BB2"/>
    <w:rsid w:val="00415CEE"/>
    <w:rsid w:val="00416C09"/>
    <w:rsid w:val="0042185D"/>
    <w:rsid w:val="004223BC"/>
    <w:rsid w:val="00422C9F"/>
    <w:rsid w:val="00423D55"/>
    <w:rsid w:val="004242AD"/>
    <w:rsid w:val="0042508A"/>
    <w:rsid w:val="00426E6C"/>
    <w:rsid w:val="00427675"/>
    <w:rsid w:val="00430D0F"/>
    <w:rsid w:val="00430FFE"/>
    <w:rsid w:val="00432950"/>
    <w:rsid w:val="00432EF4"/>
    <w:rsid w:val="00433001"/>
    <w:rsid w:val="00433398"/>
    <w:rsid w:val="00433E15"/>
    <w:rsid w:val="00434E33"/>
    <w:rsid w:val="004359FD"/>
    <w:rsid w:val="004361F3"/>
    <w:rsid w:val="004366B4"/>
    <w:rsid w:val="004412A4"/>
    <w:rsid w:val="004412BE"/>
    <w:rsid w:val="00441627"/>
    <w:rsid w:val="004422AB"/>
    <w:rsid w:val="004429CB"/>
    <w:rsid w:val="00443BBD"/>
    <w:rsid w:val="00444390"/>
    <w:rsid w:val="0044445A"/>
    <w:rsid w:val="0044550E"/>
    <w:rsid w:val="0044668B"/>
    <w:rsid w:val="0045126C"/>
    <w:rsid w:val="00453A04"/>
    <w:rsid w:val="004542C4"/>
    <w:rsid w:val="00454BBE"/>
    <w:rsid w:val="00454F8C"/>
    <w:rsid w:val="00457EC4"/>
    <w:rsid w:val="00460406"/>
    <w:rsid w:val="0046142F"/>
    <w:rsid w:val="004617FA"/>
    <w:rsid w:val="00461D3B"/>
    <w:rsid w:val="00462F5F"/>
    <w:rsid w:val="00464123"/>
    <w:rsid w:val="0046475A"/>
    <w:rsid w:val="00464B59"/>
    <w:rsid w:val="004672C5"/>
    <w:rsid w:val="0047126E"/>
    <w:rsid w:val="00472861"/>
    <w:rsid w:val="00472D65"/>
    <w:rsid w:val="00473A93"/>
    <w:rsid w:val="00473F77"/>
    <w:rsid w:val="00475952"/>
    <w:rsid w:val="004762DA"/>
    <w:rsid w:val="00477626"/>
    <w:rsid w:val="00480F3F"/>
    <w:rsid w:val="00481153"/>
    <w:rsid w:val="00481FF9"/>
    <w:rsid w:val="00483412"/>
    <w:rsid w:val="0048425F"/>
    <w:rsid w:val="00484AF1"/>
    <w:rsid w:val="00484BBD"/>
    <w:rsid w:val="00484C56"/>
    <w:rsid w:val="004902BF"/>
    <w:rsid w:val="00490A0B"/>
    <w:rsid w:val="00491403"/>
    <w:rsid w:val="00491CCB"/>
    <w:rsid w:val="00491E05"/>
    <w:rsid w:val="00495E0F"/>
    <w:rsid w:val="004970E3"/>
    <w:rsid w:val="004A073A"/>
    <w:rsid w:val="004A1716"/>
    <w:rsid w:val="004A44FC"/>
    <w:rsid w:val="004A5334"/>
    <w:rsid w:val="004A5614"/>
    <w:rsid w:val="004A703D"/>
    <w:rsid w:val="004B04C2"/>
    <w:rsid w:val="004B068D"/>
    <w:rsid w:val="004B1B2D"/>
    <w:rsid w:val="004B2579"/>
    <w:rsid w:val="004B2681"/>
    <w:rsid w:val="004B2A59"/>
    <w:rsid w:val="004B4B9A"/>
    <w:rsid w:val="004B7B4B"/>
    <w:rsid w:val="004C064D"/>
    <w:rsid w:val="004C101D"/>
    <w:rsid w:val="004C1BC3"/>
    <w:rsid w:val="004C27F9"/>
    <w:rsid w:val="004C460C"/>
    <w:rsid w:val="004C475F"/>
    <w:rsid w:val="004C4C81"/>
    <w:rsid w:val="004C7B73"/>
    <w:rsid w:val="004D12DE"/>
    <w:rsid w:val="004D4CFA"/>
    <w:rsid w:val="004D5F8A"/>
    <w:rsid w:val="004D7B16"/>
    <w:rsid w:val="004E08CF"/>
    <w:rsid w:val="004E5C8E"/>
    <w:rsid w:val="004F0E62"/>
    <w:rsid w:val="004F2459"/>
    <w:rsid w:val="004F3B3E"/>
    <w:rsid w:val="00500121"/>
    <w:rsid w:val="005002BA"/>
    <w:rsid w:val="0050047C"/>
    <w:rsid w:val="00500913"/>
    <w:rsid w:val="00501D60"/>
    <w:rsid w:val="00502101"/>
    <w:rsid w:val="0050281E"/>
    <w:rsid w:val="00504E9C"/>
    <w:rsid w:val="0050585F"/>
    <w:rsid w:val="005059AB"/>
    <w:rsid w:val="00506832"/>
    <w:rsid w:val="00506CDE"/>
    <w:rsid w:val="005070FF"/>
    <w:rsid w:val="00507AD7"/>
    <w:rsid w:val="00510B5E"/>
    <w:rsid w:val="005114B3"/>
    <w:rsid w:val="005172D9"/>
    <w:rsid w:val="00517493"/>
    <w:rsid w:val="005175D8"/>
    <w:rsid w:val="00520286"/>
    <w:rsid w:val="00520F8D"/>
    <w:rsid w:val="0052101F"/>
    <w:rsid w:val="005251E5"/>
    <w:rsid w:val="00525B7D"/>
    <w:rsid w:val="0052693C"/>
    <w:rsid w:val="00526AC9"/>
    <w:rsid w:val="0052782B"/>
    <w:rsid w:val="00527976"/>
    <w:rsid w:val="00530C34"/>
    <w:rsid w:val="005310BE"/>
    <w:rsid w:val="00531943"/>
    <w:rsid w:val="00531D94"/>
    <w:rsid w:val="00531E2D"/>
    <w:rsid w:val="00531EBD"/>
    <w:rsid w:val="005323C6"/>
    <w:rsid w:val="00532794"/>
    <w:rsid w:val="00532B46"/>
    <w:rsid w:val="00533709"/>
    <w:rsid w:val="005339F3"/>
    <w:rsid w:val="0053495B"/>
    <w:rsid w:val="00534984"/>
    <w:rsid w:val="00536606"/>
    <w:rsid w:val="00536CCD"/>
    <w:rsid w:val="0053709A"/>
    <w:rsid w:val="00537167"/>
    <w:rsid w:val="00537967"/>
    <w:rsid w:val="00542235"/>
    <w:rsid w:val="0054243A"/>
    <w:rsid w:val="005428E4"/>
    <w:rsid w:val="00543791"/>
    <w:rsid w:val="0054530C"/>
    <w:rsid w:val="0054657A"/>
    <w:rsid w:val="00546720"/>
    <w:rsid w:val="00550E34"/>
    <w:rsid w:val="00552708"/>
    <w:rsid w:val="00553542"/>
    <w:rsid w:val="005535CA"/>
    <w:rsid w:val="00554F7B"/>
    <w:rsid w:val="00555531"/>
    <w:rsid w:val="00555B97"/>
    <w:rsid w:val="00555DB7"/>
    <w:rsid w:val="005563B4"/>
    <w:rsid w:val="00556840"/>
    <w:rsid w:val="00560816"/>
    <w:rsid w:val="00564144"/>
    <w:rsid w:val="00566230"/>
    <w:rsid w:val="005666A1"/>
    <w:rsid w:val="0057017F"/>
    <w:rsid w:val="00573B1C"/>
    <w:rsid w:val="00573E04"/>
    <w:rsid w:val="005754BB"/>
    <w:rsid w:val="0057670C"/>
    <w:rsid w:val="005769D9"/>
    <w:rsid w:val="00577094"/>
    <w:rsid w:val="00580218"/>
    <w:rsid w:val="0058102E"/>
    <w:rsid w:val="00581033"/>
    <w:rsid w:val="00582ABF"/>
    <w:rsid w:val="005846D8"/>
    <w:rsid w:val="005865CD"/>
    <w:rsid w:val="00590066"/>
    <w:rsid w:val="00590E27"/>
    <w:rsid w:val="0059140D"/>
    <w:rsid w:val="00591632"/>
    <w:rsid w:val="00592047"/>
    <w:rsid w:val="00592804"/>
    <w:rsid w:val="0059351F"/>
    <w:rsid w:val="005938CD"/>
    <w:rsid w:val="005938D6"/>
    <w:rsid w:val="00593D32"/>
    <w:rsid w:val="00593F04"/>
    <w:rsid w:val="00596B60"/>
    <w:rsid w:val="00596E7A"/>
    <w:rsid w:val="005A0332"/>
    <w:rsid w:val="005A12A7"/>
    <w:rsid w:val="005A2372"/>
    <w:rsid w:val="005A29E5"/>
    <w:rsid w:val="005A3049"/>
    <w:rsid w:val="005A435C"/>
    <w:rsid w:val="005A4ECB"/>
    <w:rsid w:val="005A4FA2"/>
    <w:rsid w:val="005A5C27"/>
    <w:rsid w:val="005A6147"/>
    <w:rsid w:val="005A753E"/>
    <w:rsid w:val="005A7F59"/>
    <w:rsid w:val="005B1A0D"/>
    <w:rsid w:val="005B2CBE"/>
    <w:rsid w:val="005B3175"/>
    <w:rsid w:val="005B3F67"/>
    <w:rsid w:val="005B40B7"/>
    <w:rsid w:val="005B482A"/>
    <w:rsid w:val="005B521F"/>
    <w:rsid w:val="005B52EA"/>
    <w:rsid w:val="005B5897"/>
    <w:rsid w:val="005B721E"/>
    <w:rsid w:val="005B7242"/>
    <w:rsid w:val="005B7619"/>
    <w:rsid w:val="005C0021"/>
    <w:rsid w:val="005C0C53"/>
    <w:rsid w:val="005C6579"/>
    <w:rsid w:val="005D0E93"/>
    <w:rsid w:val="005D1267"/>
    <w:rsid w:val="005D30B2"/>
    <w:rsid w:val="005D3E27"/>
    <w:rsid w:val="005D4D48"/>
    <w:rsid w:val="005D4DDB"/>
    <w:rsid w:val="005D4DF0"/>
    <w:rsid w:val="005D5601"/>
    <w:rsid w:val="005D6E91"/>
    <w:rsid w:val="005E2D71"/>
    <w:rsid w:val="005E6DCA"/>
    <w:rsid w:val="005E7E37"/>
    <w:rsid w:val="005F0C73"/>
    <w:rsid w:val="005F1AAD"/>
    <w:rsid w:val="005F1FE0"/>
    <w:rsid w:val="005F279D"/>
    <w:rsid w:val="005F2AE6"/>
    <w:rsid w:val="005F3BAC"/>
    <w:rsid w:val="005F3DF1"/>
    <w:rsid w:val="005F5209"/>
    <w:rsid w:val="005F697D"/>
    <w:rsid w:val="006001C6"/>
    <w:rsid w:val="00600496"/>
    <w:rsid w:val="006015C4"/>
    <w:rsid w:val="0060168D"/>
    <w:rsid w:val="0060206D"/>
    <w:rsid w:val="00603C7D"/>
    <w:rsid w:val="006068B4"/>
    <w:rsid w:val="0060726C"/>
    <w:rsid w:val="006072D5"/>
    <w:rsid w:val="006078BF"/>
    <w:rsid w:val="00610974"/>
    <w:rsid w:val="00611467"/>
    <w:rsid w:val="0061408C"/>
    <w:rsid w:val="00614652"/>
    <w:rsid w:val="00614C71"/>
    <w:rsid w:val="0061788C"/>
    <w:rsid w:val="00620A16"/>
    <w:rsid w:val="00621D19"/>
    <w:rsid w:val="006230BE"/>
    <w:rsid w:val="00624765"/>
    <w:rsid w:val="00624CB9"/>
    <w:rsid w:val="006270DD"/>
    <w:rsid w:val="006333F5"/>
    <w:rsid w:val="006358BB"/>
    <w:rsid w:val="006365C2"/>
    <w:rsid w:val="006375BB"/>
    <w:rsid w:val="0064199F"/>
    <w:rsid w:val="00642901"/>
    <w:rsid w:val="00644865"/>
    <w:rsid w:val="00646482"/>
    <w:rsid w:val="00647D4E"/>
    <w:rsid w:val="00650D2F"/>
    <w:rsid w:val="00654150"/>
    <w:rsid w:val="006568E5"/>
    <w:rsid w:val="00656C2B"/>
    <w:rsid w:val="00656D7F"/>
    <w:rsid w:val="00657DDB"/>
    <w:rsid w:val="00657E21"/>
    <w:rsid w:val="0066035F"/>
    <w:rsid w:val="00662793"/>
    <w:rsid w:val="00663538"/>
    <w:rsid w:val="0066580B"/>
    <w:rsid w:val="00666284"/>
    <w:rsid w:val="00671CAB"/>
    <w:rsid w:val="006752D9"/>
    <w:rsid w:val="0067536B"/>
    <w:rsid w:val="0067575E"/>
    <w:rsid w:val="00675B43"/>
    <w:rsid w:val="0068240B"/>
    <w:rsid w:val="006830FE"/>
    <w:rsid w:val="00684313"/>
    <w:rsid w:val="00684B11"/>
    <w:rsid w:val="00684F8F"/>
    <w:rsid w:val="0068629D"/>
    <w:rsid w:val="006865C1"/>
    <w:rsid w:val="00686768"/>
    <w:rsid w:val="00686A79"/>
    <w:rsid w:val="00691B1C"/>
    <w:rsid w:val="00693781"/>
    <w:rsid w:val="00694097"/>
    <w:rsid w:val="00694DBD"/>
    <w:rsid w:val="00695227"/>
    <w:rsid w:val="00695F66"/>
    <w:rsid w:val="00696BC1"/>
    <w:rsid w:val="006A0281"/>
    <w:rsid w:val="006A0440"/>
    <w:rsid w:val="006A09F6"/>
    <w:rsid w:val="006A0ABD"/>
    <w:rsid w:val="006A2417"/>
    <w:rsid w:val="006A3E7D"/>
    <w:rsid w:val="006A457F"/>
    <w:rsid w:val="006A45F6"/>
    <w:rsid w:val="006A4738"/>
    <w:rsid w:val="006A554A"/>
    <w:rsid w:val="006A64A0"/>
    <w:rsid w:val="006A664E"/>
    <w:rsid w:val="006A78F6"/>
    <w:rsid w:val="006B0D06"/>
    <w:rsid w:val="006B2812"/>
    <w:rsid w:val="006B288C"/>
    <w:rsid w:val="006B28A6"/>
    <w:rsid w:val="006B2F38"/>
    <w:rsid w:val="006B2FC6"/>
    <w:rsid w:val="006B4758"/>
    <w:rsid w:val="006B77D2"/>
    <w:rsid w:val="006B7EB7"/>
    <w:rsid w:val="006C033A"/>
    <w:rsid w:val="006C1454"/>
    <w:rsid w:val="006C1954"/>
    <w:rsid w:val="006C1ED2"/>
    <w:rsid w:val="006C2ECC"/>
    <w:rsid w:val="006C4EEC"/>
    <w:rsid w:val="006C4FD0"/>
    <w:rsid w:val="006C5A23"/>
    <w:rsid w:val="006C7E57"/>
    <w:rsid w:val="006D3BD7"/>
    <w:rsid w:val="006D3EAA"/>
    <w:rsid w:val="006E4A16"/>
    <w:rsid w:val="006E5665"/>
    <w:rsid w:val="006E6EB7"/>
    <w:rsid w:val="006E7FAC"/>
    <w:rsid w:val="006F0EEA"/>
    <w:rsid w:val="006F2179"/>
    <w:rsid w:val="006F4916"/>
    <w:rsid w:val="006F5621"/>
    <w:rsid w:val="006F5DE6"/>
    <w:rsid w:val="006F5E2C"/>
    <w:rsid w:val="006F5F6C"/>
    <w:rsid w:val="006F67F1"/>
    <w:rsid w:val="006F6D99"/>
    <w:rsid w:val="00700CEE"/>
    <w:rsid w:val="00700D11"/>
    <w:rsid w:val="00703922"/>
    <w:rsid w:val="00705143"/>
    <w:rsid w:val="00706BEA"/>
    <w:rsid w:val="00706E9F"/>
    <w:rsid w:val="007071E5"/>
    <w:rsid w:val="00707FA0"/>
    <w:rsid w:val="007120DA"/>
    <w:rsid w:val="00713627"/>
    <w:rsid w:val="00713AB3"/>
    <w:rsid w:val="0071469C"/>
    <w:rsid w:val="00715874"/>
    <w:rsid w:val="00716460"/>
    <w:rsid w:val="0071753E"/>
    <w:rsid w:val="00717FFE"/>
    <w:rsid w:val="00720399"/>
    <w:rsid w:val="00721B22"/>
    <w:rsid w:val="007249DE"/>
    <w:rsid w:val="00724C53"/>
    <w:rsid w:val="00725ACC"/>
    <w:rsid w:val="007263EF"/>
    <w:rsid w:val="00727015"/>
    <w:rsid w:val="007275F2"/>
    <w:rsid w:val="00727920"/>
    <w:rsid w:val="007304E2"/>
    <w:rsid w:val="007308C5"/>
    <w:rsid w:val="00732543"/>
    <w:rsid w:val="00732655"/>
    <w:rsid w:val="007326FC"/>
    <w:rsid w:val="00732A19"/>
    <w:rsid w:val="00733672"/>
    <w:rsid w:val="007340A3"/>
    <w:rsid w:val="00740C8D"/>
    <w:rsid w:val="00741AF2"/>
    <w:rsid w:val="0074240E"/>
    <w:rsid w:val="00742DEF"/>
    <w:rsid w:val="00744651"/>
    <w:rsid w:val="00746ADA"/>
    <w:rsid w:val="0075101E"/>
    <w:rsid w:val="00751C1E"/>
    <w:rsid w:val="0075214E"/>
    <w:rsid w:val="0075260C"/>
    <w:rsid w:val="00752F5D"/>
    <w:rsid w:val="00753948"/>
    <w:rsid w:val="00753B78"/>
    <w:rsid w:val="00755201"/>
    <w:rsid w:val="007570D3"/>
    <w:rsid w:val="00762A07"/>
    <w:rsid w:val="00763088"/>
    <w:rsid w:val="00763D42"/>
    <w:rsid w:val="00764761"/>
    <w:rsid w:val="007649BD"/>
    <w:rsid w:val="007653C8"/>
    <w:rsid w:val="00765703"/>
    <w:rsid w:val="00767E45"/>
    <w:rsid w:val="0077615F"/>
    <w:rsid w:val="00776E7A"/>
    <w:rsid w:val="0077700C"/>
    <w:rsid w:val="00777541"/>
    <w:rsid w:val="00777604"/>
    <w:rsid w:val="00777718"/>
    <w:rsid w:val="007778EB"/>
    <w:rsid w:val="00777B14"/>
    <w:rsid w:val="00777DE6"/>
    <w:rsid w:val="00777F6B"/>
    <w:rsid w:val="00777F9C"/>
    <w:rsid w:val="007804BA"/>
    <w:rsid w:val="00781A47"/>
    <w:rsid w:val="00782E26"/>
    <w:rsid w:val="00782E70"/>
    <w:rsid w:val="0078367A"/>
    <w:rsid w:val="0078455B"/>
    <w:rsid w:val="007850E7"/>
    <w:rsid w:val="007860EC"/>
    <w:rsid w:val="007906AB"/>
    <w:rsid w:val="00791363"/>
    <w:rsid w:val="00791BCB"/>
    <w:rsid w:val="00791CA7"/>
    <w:rsid w:val="0079239A"/>
    <w:rsid w:val="00793348"/>
    <w:rsid w:val="00795190"/>
    <w:rsid w:val="007956CB"/>
    <w:rsid w:val="007959DF"/>
    <w:rsid w:val="00795C41"/>
    <w:rsid w:val="00797BCF"/>
    <w:rsid w:val="00797D4D"/>
    <w:rsid w:val="007A19B1"/>
    <w:rsid w:val="007A2E8A"/>
    <w:rsid w:val="007A3E0B"/>
    <w:rsid w:val="007A4743"/>
    <w:rsid w:val="007A483E"/>
    <w:rsid w:val="007A4AEA"/>
    <w:rsid w:val="007A52E5"/>
    <w:rsid w:val="007A5F36"/>
    <w:rsid w:val="007A6050"/>
    <w:rsid w:val="007A6666"/>
    <w:rsid w:val="007A70C2"/>
    <w:rsid w:val="007B0A01"/>
    <w:rsid w:val="007B2862"/>
    <w:rsid w:val="007B2D31"/>
    <w:rsid w:val="007B3510"/>
    <w:rsid w:val="007B35A6"/>
    <w:rsid w:val="007B3BC4"/>
    <w:rsid w:val="007B5738"/>
    <w:rsid w:val="007C0A65"/>
    <w:rsid w:val="007C0E79"/>
    <w:rsid w:val="007C35EE"/>
    <w:rsid w:val="007C4003"/>
    <w:rsid w:val="007C612F"/>
    <w:rsid w:val="007C6794"/>
    <w:rsid w:val="007C6CF5"/>
    <w:rsid w:val="007D0125"/>
    <w:rsid w:val="007D04B3"/>
    <w:rsid w:val="007D18F5"/>
    <w:rsid w:val="007D1CA0"/>
    <w:rsid w:val="007D25EA"/>
    <w:rsid w:val="007D3EF4"/>
    <w:rsid w:val="007D40D9"/>
    <w:rsid w:val="007D59B1"/>
    <w:rsid w:val="007D5A0E"/>
    <w:rsid w:val="007D5CD0"/>
    <w:rsid w:val="007D69C6"/>
    <w:rsid w:val="007D6D73"/>
    <w:rsid w:val="007E0779"/>
    <w:rsid w:val="007E1176"/>
    <w:rsid w:val="007E1761"/>
    <w:rsid w:val="007E1D50"/>
    <w:rsid w:val="007E2BC2"/>
    <w:rsid w:val="007E4060"/>
    <w:rsid w:val="007E4E18"/>
    <w:rsid w:val="007E5112"/>
    <w:rsid w:val="007E5ADB"/>
    <w:rsid w:val="007E60BA"/>
    <w:rsid w:val="007E63C3"/>
    <w:rsid w:val="007E6AD6"/>
    <w:rsid w:val="007E703F"/>
    <w:rsid w:val="007E7363"/>
    <w:rsid w:val="007E74D2"/>
    <w:rsid w:val="007F1529"/>
    <w:rsid w:val="007F2D5E"/>
    <w:rsid w:val="007F5172"/>
    <w:rsid w:val="007F599F"/>
    <w:rsid w:val="007F5CE5"/>
    <w:rsid w:val="007F616E"/>
    <w:rsid w:val="007F6898"/>
    <w:rsid w:val="008010D6"/>
    <w:rsid w:val="0080158B"/>
    <w:rsid w:val="00803C3A"/>
    <w:rsid w:val="008055F2"/>
    <w:rsid w:val="00806481"/>
    <w:rsid w:val="00807C41"/>
    <w:rsid w:val="008112E4"/>
    <w:rsid w:val="0081397E"/>
    <w:rsid w:val="0081425D"/>
    <w:rsid w:val="0081647C"/>
    <w:rsid w:val="00816AC9"/>
    <w:rsid w:val="0081703A"/>
    <w:rsid w:val="008171E5"/>
    <w:rsid w:val="00817CD3"/>
    <w:rsid w:val="0082145B"/>
    <w:rsid w:val="008236DA"/>
    <w:rsid w:val="0082518C"/>
    <w:rsid w:val="008257C1"/>
    <w:rsid w:val="00825A5D"/>
    <w:rsid w:val="00827C11"/>
    <w:rsid w:val="0083007B"/>
    <w:rsid w:val="008308F6"/>
    <w:rsid w:val="008353BE"/>
    <w:rsid w:val="00836896"/>
    <w:rsid w:val="00836929"/>
    <w:rsid w:val="00836B1F"/>
    <w:rsid w:val="0083709C"/>
    <w:rsid w:val="008376FA"/>
    <w:rsid w:val="00841829"/>
    <w:rsid w:val="00842703"/>
    <w:rsid w:val="0084343D"/>
    <w:rsid w:val="0084449B"/>
    <w:rsid w:val="0084767B"/>
    <w:rsid w:val="0085005B"/>
    <w:rsid w:val="00850C3E"/>
    <w:rsid w:val="008516BA"/>
    <w:rsid w:val="0085537D"/>
    <w:rsid w:val="00855A28"/>
    <w:rsid w:val="00855CDF"/>
    <w:rsid w:val="008560C3"/>
    <w:rsid w:val="00860AC1"/>
    <w:rsid w:val="00861997"/>
    <w:rsid w:val="00861A3F"/>
    <w:rsid w:val="00862284"/>
    <w:rsid w:val="008623EE"/>
    <w:rsid w:val="008635E8"/>
    <w:rsid w:val="0086462F"/>
    <w:rsid w:val="00865438"/>
    <w:rsid w:val="0086639B"/>
    <w:rsid w:val="00870081"/>
    <w:rsid w:val="00871A83"/>
    <w:rsid w:val="00872060"/>
    <w:rsid w:val="00872EE0"/>
    <w:rsid w:val="00873E36"/>
    <w:rsid w:val="00875B1A"/>
    <w:rsid w:val="00875D6B"/>
    <w:rsid w:val="0087621B"/>
    <w:rsid w:val="008824FF"/>
    <w:rsid w:val="00884432"/>
    <w:rsid w:val="00884630"/>
    <w:rsid w:val="00884665"/>
    <w:rsid w:val="00884858"/>
    <w:rsid w:val="00886662"/>
    <w:rsid w:val="008872C1"/>
    <w:rsid w:val="00887A0D"/>
    <w:rsid w:val="00892906"/>
    <w:rsid w:val="00892B61"/>
    <w:rsid w:val="0089339B"/>
    <w:rsid w:val="00893D46"/>
    <w:rsid w:val="00894A90"/>
    <w:rsid w:val="0089779F"/>
    <w:rsid w:val="008977D1"/>
    <w:rsid w:val="0089787A"/>
    <w:rsid w:val="008A0037"/>
    <w:rsid w:val="008A11B5"/>
    <w:rsid w:val="008A1FE7"/>
    <w:rsid w:val="008A2B87"/>
    <w:rsid w:val="008A3C2F"/>
    <w:rsid w:val="008A7962"/>
    <w:rsid w:val="008B086F"/>
    <w:rsid w:val="008B1BFE"/>
    <w:rsid w:val="008B24E1"/>
    <w:rsid w:val="008B308F"/>
    <w:rsid w:val="008B407F"/>
    <w:rsid w:val="008B47AF"/>
    <w:rsid w:val="008B50D5"/>
    <w:rsid w:val="008B5374"/>
    <w:rsid w:val="008B5FD3"/>
    <w:rsid w:val="008B7B82"/>
    <w:rsid w:val="008C0135"/>
    <w:rsid w:val="008C01C0"/>
    <w:rsid w:val="008C4547"/>
    <w:rsid w:val="008C4AE0"/>
    <w:rsid w:val="008C5815"/>
    <w:rsid w:val="008C58C8"/>
    <w:rsid w:val="008C6D01"/>
    <w:rsid w:val="008C6D52"/>
    <w:rsid w:val="008C708C"/>
    <w:rsid w:val="008C74CF"/>
    <w:rsid w:val="008C74E7"/>
    <w:rsid w:val="008C7916"/>
    <w:rsid w:val="008C79AD"/>
    <w:rsid w:val="008D1ECC"/>
    <w:rsid w:val="008D3D44"/>
    <w:rsid w:val="008D4A52"/>
    <w:rsid w:val="008D5128"/>
    <w:rsid w:val="008D53D8"/>
    <w:rsid w:val="008D61C6"/>
    <w:rsid w:val="008D72D8"/>
    <w:rsid w:val="008D7562"/>
    <w:rsid w:val="008E0EF3"/>
    <w:rsid w:val="008E1169"/>
    <w:rsid w:val="008E2186"/>
    <w:rsid w:val="008E288D"/>
    <w:rsid w:val="008E2DA2"/>
    <w:rsid w:val="008E49ED"/>
    <w:rsid w:val="008E54E9"/>
    <w:rsid w:val="008E7005"/>
    <w:rsid w:val="008F3730"/>
    <w:rsid w:val="008F3B67"/>
    <w:rsid w:val="008F43FF"/>
    <w:rsid w:val="008F45F8"/>
    <w:rsid w:val="008F5882"/>
    <w:rsid w:val="008F5956"/>
    <w:rsid w:val="008F5987"/>
    <w:rsid w:val="008F6B12"/>
    <w:rsid w:val="008F6FA1"/>
    <w:rsid w:val="009007EE"/>
    <w:rsid w:val="009018D5"/>
    <w:rsid w:val="009048EA"/>
    <w:rsid w:val="00904A10"/>
    <w:rsid w:val="0090725D"/>
    <w:rsid w:val="0091101D"/>
    <w:rsid w:val="00912753"/>
    <w:rsid w:val="00912EA6"/>
    <w:rsid w:val="009136E7"/>
    <w:rsid w:val="00913FF0"/>
    <w:rsid w:val="00914498"/>
    <w:rsid w:val="00914C75"/>
    <w:rsid w:val="00915178"/>
    <w:rsid w:val="00915EF1"/>
    <w:rsid w:val="009162EB"/>
    <w:rsid w:val="00921701"/>
    <w:rsid w:val="009238B1"/>
    <w:rsid w:val="00925087"/>
    <w:rsid w:val="00925B70"/>
    <w:rsid w:val="00925C51"/>
    <w:rsid w:val="009269B5"/>
    <w:rsid w:val="00927AE7"/>
    <w:rsid w:val="00930208"/>
    <w:rsid w:val="0093261C"/>
    <w:rsid w:val="00933A0F"/>
    <w:rsid w:val="00933A76"/>
    <w:rsid w:val="00935547"/>
    <w:rsid w:val="009377EA"/>
    <w:rsid w:val="00945DFE"/>
    <w:rsid w:val="00947A28"/>
    <w:rsid w:val="00947B77"/>
    <w:rsid w:val="00950B9B"/>
    <w:rsid w:val="009521ED"/>
    <w:rsid w:val="00952249"/>
    <w:rsid w:val="0095278C"/>
    <w:rsid w:val="009528A7"/>
    <w:rsid w:val="00953FDE"/>
    <w:rsid w:val="0095656A"/>
    <w:rsid w:val="0095680F"/>
    <w:rsid w:val="00956881"/>
    <w:rsid w:val="00956E25"/>
    <w:rsid w:val="009623F5"/>
    <w:rsid w:val="00962E64"/>
    <w:rsid w:val="009663D4"/>
    <w:rsid w:val="0096640C"/>
    <w:rsid w:val="009664EE"/>
    <w:rsid w:val="00972086"/>
    <w:rsid w:val="0097343F"/>
    <w:rsid w:val="00975A4C"/>
    <w:rsid w:val="009763BD"/>
    <w:rsid w:val="009810FE"/>
    <w:rsid w:val="009814A3"/>
    <w:rsid w:val="009829FC"/>
    <w:rsid w:val="00982EB5"/>
    <w:rsid w:val="00984E03"/>
    <w:rsid w:val="00985AF3"/>
    <w:rsid w:val="00991EC1"/>
    <w:rsid w:val="00992E42"/>
    <w:rsid w:val="009959DB"/>
    <w:rsid w:val="009A0F62"/>
    <w:rsid w:val="009A1ABB"/>
    <w:rsid w:val="009A22E8"/>
    <w:rsid w:val="009A469D"/>
    <w:rsid w:val="009A47A1"/>
    <w:rsid w:val="009A560E"/>
    <w:rsid w:val="009A6B7D"/>
    <w:rsid w:val="009A7FB0"/>
    <w:rsid w:val="009B0CB2"/>
    <w:rsid w:val="009B17BD"/>
    <w:rsid w:val="009B2A41"/>
    <w:rsid w:val="009B5391"/>
    <w:rsid w:val="009B55CD"/>
    <w:rsid w:val="009B604D"/>
    <w:rsid w:val="009B606A"/>
    <w:rsid w:val="009B65F8"/>
    <w:rsid w:val="009B6BE6"/>
    <w:rsid w:val="009B7F3C"/>
    <w:rsid w:val="009C2789"/>
    <w:rsid w:val="009C3623"/>
    <w:rsid w:val="009C3B64"/>
    <w:rsid w:val="009C472F"/>
    <w:rsid w:val="009C6FE2"/>
    <w:rsid w:val="009C722D"/>
    <w:rsid w:val="009C7716"/>
    <w:rsid w:val="009C77DA"/>
    <w:rsid w:val="009D011B"/>
    <w:rsid w:val="009D048F"/>
    <w:rsid w:val="009D0667"/>
    <w:rsid w:val="009D0D74"/>
    <w:rsid w:val="009D19F2"/>
    <w:rsid w:val="009D328D"/>
    <w:rsid w:val="009D3ECE"/>
    <w:rsid w:val="009D5704"/>
    <w:rsid w:val="009D5B5E"/>
    <w:rsid w:val="009D5F11"/>
    <w:rsid w:val="009D61FB"/>
    <w:rsid w:val="009D7097"/>
    <w:rsid w:val="009D7562"/>
    <w:rsid w:val="009D7B36"/>
    <w:rsid w:val="009E014D"/>
    <w:rsid w:val="009E0647"/>
    <w:rsid w:val="009E065C"/>
    <w:rsid w:val="009E0ACB"/>
    <w:rsid w:val="009E3AF1"/>
    <w:rsid w:val="009E3F23"/>
    <w:rsid w:val="009E42D6"/>
    <w:rsid w:val="009E5845"/>
    <w:rsid w:val="009E5F22"/>
    <w:rsid w:val="009F0E80"/>
    <w:rsid w:val="009F1954"/>
    <w:rsid w:val="009F1E5E"/>
    <w:rsid w:val="009F2E08"/>
    <w:rsid w:val="009F3E43"/>
    <w:rsid w:val="009F529F"/>
    <w:rsid w:val="009F5709"/>
    <w:rsid w:val="009F5BEE"/>
    <w:rsid w:val="009F6BC0"/>
    <w:rsid w:val="00A03F57"/>
    <w:rsid w:val="00A075E5"/>
    <w:rsid w:val="00A114A7"/>
    <w:rsid w:val="00A133EB"/>
    <w:rsid w:val="00A13681"/>
    <w:rsid w:val="00A153C0"/>
    <w:rsid w:val="00A153FD"/>
    <w:rsid w:val="00A1773D"/>
    <w:rsid w:val="00A17BD7"/>
    <w:rsid w:val="00A254F5"/>
    <w:rsid w:val="00A25EB9"/>
    <w:rsid w:val="00A2632E"/>
    <w:rsid w:val="00A27087"/>
    <w:rsid w:val="00A303EB"/>
    <w:rsid w:val="00A3159D"/>
    <w:rsid w:val="00A32CF7"/>
    <w:rsid w:val="00A334AB"/>
    <w:rsid w:val="00A33B39"/>
    <w:rsid w:val="00A3448F"/>
    <w:rsid w:val="00A3482A"/>
    <w:rsid w:val="00A35B48"/>
    <w:rsid w:val="00A36ECD"/>
    <w:rsid w:val="00A36FCB"/>
    <w:rsid w:val="00A375B0"/>
    <w:rsid w:val="00A37BA4"/>
    <w:rsid w:val="00A41716"/>
    <w:rsid w:val="00A41F4A"/>
    <w:rsid w:val="00A42A8C"/>
    <w:rsid w:val="00A43B39"/>
    <w:rsid w:val="00A441C7"/>
    <w:rsid w:val="00A4453D"/>
    <w:rsid w:val="00A44A01"/>
    <w:rsid w:val="00A454A7"/>
    <w:rsid w:val="00A45720"/>
    <w:rsid w:val="00A47E46"/>
    <w:rsid w:val="00A50718"/>
    <w:rsid w:val="00A51075"/>
    <w:rsid w:val="00A51D66"/>
    <w:rsid w:val="00A52776"/>
    <w:rsid w:val="00A52DA2"/>
    <w:rsid w:val="00A5300C"/>
    <w:rsid w:val="00A553E2"/>
    <w:rsid w:val="00A60E34"/>
    <w:rsid w:val="00A614F6"/>
    <w:rsid w:val="00A63134"/>
    <w:rsid w:val="00A63E8C"/>
    <w:rsid w:val="00A641E8"/>
    <w:rsid w:val="00A6436C"/>
    <w:rsid w:val="00A65AEC"/>
    <w:rsid w:val="00A710BD"/>
    <w:rsid w:val="00A718DD"/>
    <w:rsid w:val="00A71C76"/>
    <w:rsid w:val="00A720FB"/>
    <w:rsid w:val="00A75E41"/>
    <w:rsid w:val="00A760A1"/>
    <w:rsid w:val="00A762BF"/>
    <w:rsid w:val="00A763A2"/>
    <w:rsid w:val="00A7683B"/>
    <w:rsid w:val="00A7683D"/>
    <w:rsid w:val="00A777BF"/>
    <w:rsid w:val="00A81DC6"/>
    <w:rsid w:val="00A8340B"/>
    <w:rsid w:val="00A84721"/>
    <w:rsid w:val="00A85A13"/>
    <w:rsid w:val="00A86CC2"/>
    <w:rsid w:val="00A873C6"/>
    <w:rsid w:val="00A87D60"/>
    <w:rsid w:val="00A918DD"/>
    <w:rsid w:val="00A9215E"/>
    <w:rsid w:val="00A93B9A"/>
    <w:rsid w:val="00A944FC"/>
    <w:rsid w:val="00A95F9D"/>
    <w:rsid w:val="00A97C02"/>
    <w:rsid w:val="00AA046D"/>
    <w:rsid w:val="00AA2DF5"/>
    <w:rsid w:val="00AA37B2"/>
    <w:rsid w:val="00AA438D"/>
    <w:rsid w:val="00AA4F23"/>
    <w:rsid w:val="00AB0FEB"/>
    <w:rsid w:val="00AB33E4"/>
    <w:rsid w:val="00AB3500"/>
    <w:rsid w:val="00AB4204"/>
    <w:rsid w:val="00AB4A43"/>
    <w:rsid w:val="00AB4FB1"/>
    <w:rsid w:val="00AB6D43"/>
    <w:rsid w:val="00AC1147"/>
    <w:rsid w:val="00AC1AEC"/>
    <w:rsid w:val="00AC1BEF"/>
    <w:rsid w:val="00AC2258"/>
    <w:rsid w:val="00AC2604"/>
    <w:rsid w:val="00AC2B8C"/>
    <w:rsid w:val="00AC4010"/>
    <w:rsid w:val="00AC59F5"/>
    <w:rsid w:val="00AC74E8"/>
    <w:rsid w:val="00AC7DB9"/>
    <w:rsid w:val="00AD0133"/>
    <w:rsid w:val="00AD2566"/>
    <w:rsid w:val="00AD4682"/>
    <w:rsid w:val="00AD4DB4"/>
    <w:rsid w:val="00AD55D2"/>
    <w:rsid w:val="00AD732E"/>
    <w:rsid w:val="00AE173F"/>
    <w:rsid w:val="00AE2498"/>
    <w:rsid w:val="00AE33AB"/>
    <w:rsid w:val="00AE3D99"/>
    <w:rsid w:val="00AE4751"/>
    <w:rsid w:val="00AE5EBC"/>
    <w:rsid w:val="00AE7709"/>
    <w:rsid w:val="00AF137A"/>
    <w:rsid w:val="00AF2E1C"/>
    <w:rsid w:val="00AF2FCD"/>
    <w:rsid w:val="00AF3292"/>
    <w:rsid w:val="00AF4356"/>
    <w:rsid w:val="00AF54D1"/>
    <w:rsid w:val="00AF5AF4"/>
    <w:rsid w:val="00AF7ADA"/>
    <w:rsid w:val="00AF7CB3"/>
    <w:rsid w:val="00B0063E"/>
    <w:rsid w:val="00B00F7A"/>
    <w:rsid w:val="00B026EA"/>
    <w:rsid w:val="00B02712"/>
    <w:rsid w:val="00B0420E"/>
    <w:rsid w:val="00B057DD"/>
    <w:rsid w:val="00B06833"/>
    <w:rsid w:val="00B06D83"/>
    <w:rsid w:val="00B07DA6"/>
    <w:rsid w:val="00B11374"/>
    <w:rsid w:val="00B11895"/>
    <w:rsid w:val="00B123B4"/>
    <w:rsid w:val="00B156FE"/>
    <w:rsid w:val="00B15C67"/>
    <w:rsid w:val="00B161E2"/>
    <w:rsid w:val="00B16732"/>
    <w:rsid w:val="00B1756C"/>
    <w:rsid w:val="00B20A85"/>
    <w:rsid w:val="00B20E74"/>
    <w:rsid w:val="00B23B24"/>
    <w:rsid w:val="00B343B3"/>
    <w:rsid w:val="00B34810"/>
    <w:rsid w:val="00B355D3"/>
    <w:rsid w:val="00B379AF"/>
    <w:rsid w:val="00B42729"/>
    <w:rsid w:val="00B4758C"/>
    <w:rsid w:val="00B475DA"/>
    <w:rsid w:val="00B47E2C"/>
    <w:rsid w:val="00B51A30"/>
    <w:rsid w:val="00B51D2E"/>
    <w:rsid w:val="00B5225F"/>
    <w:rsid w:val="00B54AD1"/>
    <w:rsid w:val="00B57AEA"/>
    <w:rsid w:val="00B57CC4"/>
    <w:rsid w:val="00B60296"/>
    <w:rsid w:val="00B61075"/>
    <w:rsid w:val="00B6386C"/>
    <w:rsid w:val="00B64066"/>
    <w:rsid w:val="00B660AE"/>
    <w:rsid w:val="00B70443"/>
    <w:rsid w:val="00B7058C"/>
    <w:rsid w:val="00B70743"/>
    <w:rsid w:val="00B70CAD"/>
    <w:rsid w:val="00B710C4"/>
    <w:rsid w:val="00B7164E"/>
    <w:rsid w:val="00B71DA9"/>
    <w:rsid w:val="00B73F02"/>
    <w:rsid w:val="00B74760"/>
    <w:rsid w:val="00B75329"/>
    <w:rsid w:val="00B7750B"/>
    <w:rsid w:val="00B8186F"/>
    <w:rsid w:val="00B82676"/>
    <w:rsid w:val="00B826CB"/>
    <w:rsid w:val="00B82F71"/>
    <w:rsid w:val="00B832D8"/>
    <w:rsid w:val="00B838B1"/>
    <w:rsid w:val="00B8655C"/>
    <w:rsid w:val="00B90D99"/>
    <w:rsid w:val="00B917D1"/>
    <w:rsid w:val="00B91D2B"/>
    <w:rsid w:val="00B91F2B"/>
    <w:rsid w:val="00B932BD"/>
    <w:rsid w:val="00B9440B"/>
    <w:rsid w:val="00B94E42"/>
    <w:rsid w:val="00B95018"/>
    <w:rsid w:val="00B960E7"/>
    <w:rsid w:val="00B96FC6"/>
    <w:rsid w:val="00BA1C96"/>
    <w:rsid w:val="00BA1CBE"/>
    <w:rsid w:val="00BA21B3"/>
    <w:rsid w:val="00BA401E"/>
    <w:rsid w:val="00BA491B"/>
    <w:rsid w:val="00BA5930"/>
    <w:rsid w:val="00BA69FC"/>
    <w:rsid w:val="00BA74C2"/>
    <w:rsid w:val="00BA7F27"/>
    <w:rsid w:val="00BB08C0"/>
    <w:rsid w:val="00BB0C73"/>
    <w:rsid w:val="00BB1027"/>
    <w:rsid w:val="00BB19A7"/>
    <w:rsid w:val="00BB565E"/>
    <w:rsid w:val="00BB5FB6"/>
    <w:rsid w:val="00BB623D"/>
    <w:rsid w:val="00BB7A23"/>
    <w:rsid w:val="00BC3E19"/>
    <w:rsid w:val="00BC4EDE"/>
    <w:rsid w:val="00BC4EF0"/>
    <w:rsid w:val="00BC67DE"/>
    <w:rsid w:val="00BC707A"/>
    <w:rsid w:val="00BD1D07"/>
    <w:rsid w:val="00BD3C58"/>
    <w:rsid w:val="00BD3DAC"/>
    <w:rsid w:val="00BD4D00"/>
    <w:rsid w:val="00BE05C4"/>
    <w:rsid w:val="00BE11FB"/>
    <w:rsid w:val="00BE140B"/>
    <w:rsid w:val="00BE2B70"/>
    <w:rsid w:val="00BE4C93"/>
    <w:rsid w:val="00BE5995"/>
    <w:rsid w:val="00BF06C1"/>
    <w:rsid w:val="00BF0811"/>
    <w:rsid w:val="00BF4848"/>
    <w:rsid w:val="00BF509B"/>
    <w:rsid w:val="00BF6712"/>
    <w:rsid w:val="00C00558"/>
    <w:rsid w:val="00C02B78"/>
    <w:rsid w:val="00C04607"/>
    <w:rsid w:val="00C04833"/>
    <w:rsid w:val="00C04C75"/>
    <w:rsid w:val="00C133C1"/>
    <w:rsid w:val="00C168B3"/>
    <w:rsid w:val="00C21535"/>
    <w:rsid w:val="00C21C7D"/>
    <w:rsid w:val="00C224D9"/>
    <w:rsid w:val="00C337A5"/>
    <w:rsid w:val="00C3500F"/>
    <w:rsid w:val="00C42E24"/>
    <w:rsid w:val="00C42EC9"/>
    <w:rsid w:val="00C439EC"/>
    <w:rsid w:val="00C43D99"/>
    <w:rsid w:val="00C4467B"/>
    <w:rsid w:val="00C4475D"/>
    <w:rsid w:val="00C44C56"/>
    <w:rsid w:val="00C45610"/>
    <w:rsid w:val="00C45A85"/>
    <w:rsid w:val="00C474CD"/>
    <w:rsid w:val="00C51547"/>
    <w:rsid w:val="00C52C15"/>
    <w:rsid w:val="00C53C65"/>
    <w:rsid w:val="00C55906"/>
    <w:rsid w:val="00C55910"/>
    <w:rsid w:val="00C60DE7"/>
    <w:rsid w:val="00C6232F"/>
    <w:rsid w:val="00C63222"/>
    <w:rsid w:val="00C63581"/>
    <w:rsid w:val="00C6496C"/>
    <w:rsid w:val="00C65BD4"/>
    <w:rsid w:val="00C65FB8"/>
    <w:rsid w:val="00C663BA"/>
    <w:rsid w:val="00C70E98"/>
    <w:rsid w:val="00C70ED7"/>
    <w:rsid w:val="00C71439"/>
    <w:rsid w:val="00C7178A"/>
    <w:rsid w:val="00C719C6"/>
    <w:rsid w:val="00C7271B"/>
    <w:rsid w:val="00C74711"/>
    <w:rsid w:val="00C755F2"/>
    <w:rsid w:val="00C75D2A"/>
    <w:rsid w:val="00C7658B"/>
    <w:rsid w:val="00C77239"/>
    <w:rsid w:val="00C77641"/>
    <w:rsid w:val="00C863DF"/>
    <w:rsid w:val="00C86E71"/>
    <w:rsid w:val="00C92A10"/>
    <w:rsid w:val="00C95B4D"/>
    <w:rsid w:val="00C96BCA"/>
    <w:rsid w:val="00C97CA9"/>
    <w:rsid w:val="00C97FBD"/>
    <w:rsid w:val="00CA5DEA"/>
    <w:rsid w:val="00CA6A93"/>
    <w:rsid w:val="00CB0027"/>
    <w:rsid w:val="00CB27EF"/>
    <w:rsid w:val="00CB63E5"/>
    <w:rsid w:val="00CB67A1"/>
    <w:rsid w:val="00CB6D5B"/>
    <w:rsid w:val="00CC0CDB"/>
    <w:rsid w:val="00CC2286"/>
    <w:rsid w:val="00CC27D9"/>
    <w:rsid w:val="00CC343C"/>
    <w:rsid w:val="00CC798A"/>
    <w:rsid w:val="00CC7D6F"/>
    <w:rsid w:val="00CD0784"/>
    <w:rsid w:val="00CD1F45"/>
    <w:rsid w:val="00CD2284"/>
    <w:rsid w:val="00CD4127"/>
    <w:rsid w:val="00CD4FB5"/>
    <w:rsid w:val="00CD6FAB"/>
    <w:rsid w:val="00CE13F0"/>
    <w:rsid w:val="00CE263C"/>
    <w:rsid w:val="00CE69FC"/>
    <w:rsid w:val="00CE707E"/>
    <w:rsid w:val="00CE79CF"/>
    <w:rsid w:val="00CF360A"/>
    <w:rsid w:val="00CF42B4"/>
    <w:rsid w:val="00CF7CCB"/>
    <w:rsid w:val="00CF7FA3"/>
    <w:rsid w:val="00D023D7"/>
    <w:rsid w:val="00D02629"/>
    <w:rsid w:val="00D02CFE"/>
    <w:rsid w:val="00D04F2C"/>
    <w:rsid w:val="00D0521C"/>
    <w:rsid w:val="00D0521E"/>
    <w:rsid w:val="00D06008"/>
    <w:rsid w:val="00D073E2"/>
    <w:rsid w:val="00D07AB2"/>
    <w:rsid w:val="00D104B6"/>
    <w:rsid w:val="00D14567"/>
    <w:rsid w:val="00D14895"/>
    <w:rsid w:val="00D14B9E"/>
    <w:rsid w:val="00D15E59"/>
    <w:rsid w:val="00D171AB"/>
    <w:rsid w:val="00D20CFF"/>
    <w:rsid w:val="00D2145D"/>
    <w:rsid w:val="00D21B05"/>
    <w:rsid w:val="00D239AA"/>
    <w:rsid w:val="00D242E3"/>
    <w:rsid w:val="00D2468B"/>
    <w:rsid w:val="00D24B7F"/>
    <w:rsid w:val="00D26659"/>
    <w:rsid w:val="00D27E1B"/>
    <w:rsid w:val="00D27E6B"/>
    <w:rsid w:val="00D31A30"/>
    <w:rsid w:val="00D326B7"/>
    <w:rsid w:val="00D32784"/>
    <w:rsid w:val="00D34446"/>
    <w:rsid w:val="00D34BB3"/>
    <w:rsid w:val="00D34DD6"/>
    <w:rsid w:val="00D3593D"/>
    <w:rsid w:val="00D35CA0"/>
    <w:rsid w:val="00D40E3F"/>
    <w:rsid w:val="00D41768"/>
    <w:rsid w:val="00D43AE6"/>
    <w:rsid w:val="00D45673"/>
    <w:rsid w:val="00D45E64"/>
    <w:rsid w:val="00D45F3A"/>
    <w:rsid w:val="00D46604"/>
    <w:rsid w:val="00D4729D"/>
    <w:rsid w:val="00D476DF"/>
    <w:rsid w:val="00D501CB"/>
    <w:rsid w:val="00D5051E"/>
    <w:rsid w:val="00D510F6"/>
    <w:rsid w:val="00D52066"/>
    <w:rsid w:val="00D53FC1"/>
    <w:rsid w:val="00D5476F"/>
    <w:rsid w:val="00D574CB"/>
    <w:rsid w:val="00D60756"/>
    <w:rsid w:val="00D61C18"/>
    <w:rsid w:val="00D63741"/>
    <w:rsid w:val="00D63742"/>
    <w:rsid w:val="00D65843"/>
    <w:rsid w:val="00D679F5"/>
    <w:rsid w:val="00D741B3"/>
    <w:rsid w:val="00D74311"/>
    <w:rsid w:val="00D74DCC"/>
    <w:rsid w:val="00D75C47"/>
    <w:rsid w:val="00D76416"/>
    <w:rsid w:val="00D769A7"/>
    <w:rsid w:val="00D775C8"/>
    <w:rsid w:val="00D8001E"/>
    <w:rsid w:val="00D80268"/>
    <w:rsid w:val="00D81173"/>
    <w:rsid w:val="00D83FC0"/>
    <w:rsid w:val="00D8526A"/>
    <w:rsid w:val="00D872A8"/>
    <w:rsid w:val="00D90A98"/>
    <w:rsid w:val="00D90EB5"/>
    <w:rsid w:val="00D90F2B"/>
    <w:rsid w:val="00D92876"/>
    <w:rsid w:val="00D96AC6"/>
    <w:rsid w:val="00D96F45"/>
    <w:rsid w:val="00D97F88"/>
    <w:rsid w:val="00DA5F44"/>
    <w:rsid w:val="00DA7B36"/>
    <w:rsid w:val="00DB0BA8"/>
    <w:rsid w:val="00DB2BD4"/>
    <w:rsid w:val="00DB53C9"/>
    <w:rsid w:val="00DB59A3"/>
    <w:rsid w:val="00DB6906"/>
    <w:rsid w:val="00DC145D"/>
    <w:rsid w:val="00DC1CA7"/>
    <w:rsid w:val="00DC2237"/>
    <w:rsid w:val="00DC2FB4"/>
    <w:rsid w:val="00DC32D1"/>
    <w:rsid w:val="00DC3C04"/>
    <w:rsid w:val="00DC43E6"/>
    <w:rsid w:val="00DC4A2C"/>
    <w:rsid w:val="00DC592D"/>
    <w:rsid w:val="00DC6474"/>
    <w:rsid w:val="00DC69EB"/>
    <w:rsid w:val="00DD1E45"/>
    <w:rsid w:val="00DD37B4"/>
    <w:rsid w:val="00DD4712"/>
    <w:rsid w:val="00DD5D6D"/>
    <w:rsid w:val="00DE2090"/>
    <w:rsid w:val="00DE2746"/>
    <w:rsid w:val="00DE30E4"/>
    <w:rsid w:val="00DE601E"/>
    <w:rsid w:val="00DE7271"/>
    <w:rsid w:val="00DE74B3"/>
    <w:rsid w:val="00DE7D2E"/>
    <w:rsid w:val="00DF0C26"/>
    <w:rsid w:val="00DF1C2A"/>
    <w:rsid w:val="00DF577D"/>
    <w:rsid w:val="00DF6870"/>
    <w:rsid w:val="00DF6B11"/>
    <w:rsid w:val="00E0077C"/>
    <w:rsid w:val="00E03406"/>
    <w:rsid w:val="00E0349E"/>
    <w:rsid w:val="00E03C4E"/>
    <w:rsid w:val="00E04FE9"/>
    <w:rsid w:val="00E063C4"/>
    <w:rsid w:val="00E06862"/>
    <w:rsid w:val="00E11CB6"/>
    <w:rsid w:val="00E1248B"/>
    <w:rsid w:val="00E13703"/>
    <w:rsid w:val="00E148EF"/>
    <w:rsid w:val="00E16AA1"/>
    <w:rsid w:val="00E16CDE"/>
    <w:rsid w:val="00E20570"/>
    <w:rsid w:val="00E21046"/>
    <w:rsid w:val="00E21E67"/>
    <w:rsid w:val="00E24C60"/>
    <w:rsid w:val="00E24D9E"/>
    <w:rsid w:val="00E25DF6"/>
    <w:rsid w:val="00E265BA"/>
    <w:rsid w:val="00E26FE4"/>
    <w:rsid w:val="00E27005"/>
    <w:rsid w:val="00E305CB"/>
    <w:rsid w:val="00E30B72"/>
    <w:rsid w:val="00E30BCC"/>
    <w:rsid w:val="00E324E8"/>
    <w:rsid w:val="00E32C6C"/>
    <w:rsid w:val="00E332E4"/>
    <w:rsid w:val="00E36CD3"/>
    <w:rsid w:val="00E404FA"/>
    <w:rsid w:val="00E4056F"/>
    <w:rsid w:val="00E40FC3"/>
    <w:rsid w:val="00E40FF7"/>
    <w:rsid w:val="00E41BC2"/>
    <w:rsid w:val="00E43D6F"/>
    <w:rsid w:val="00E44CB7"/>
    <w:rsid w:val="00E46FE5"/>
    <w:rsid w:val="00E47126"/>
    <w:rsid w:val="00E54E3C"/>
    <w:rsid w:val="00E5533B"/>
    <w:rsid w:val="00E57DAF"/>
    <w:rsid w:val="00E61735"/>
    <w:rsid w:val="00E63009"/>
    <w:rsid w:val="00E66689"/>
    <w:rsid w:val="00E672E4"/>
    <w:rsid w:val="00E70104"/>
    <w:rsid w:val="00E72824"/>
    <w:rsid w:val="00E73AF1"/>
    <w:rsid w:val="00E740ED"/>
    <w:rsid w:val="00E7513B"/>
    <w:rsid w:val="00E76A92"/>
    <w:rsid w:val="00E77BEC"/>
    <w:rsid w:val="00E8035D"/>
    <w:rsid w:val="00E80EFC"/>
    <w:rsid w:val="00E82C75"/>
    <w:rsid w:val="00E83245"/>
    <w:rsid w:val="00E8480E"/>
    <w:rsid w:val="00E84A7D"/>
    <w:rsid w:val="00E84FED"/>
    <w:rsid w:val="00E8795D"/>
    <w:rsid w:val="00E87A63"/>
    <w:rsid w:val="00E9255C"/>
    <w:rsid w:val="00E93BEE"/>
    <w:rsid w:val="00E93FA9"/>
    <w:rsid w:val="00E97EC3"/>
    <w:rsid w:val="00EA0704"/>
    <w:rsid w:val="00EA118F"/>
    <w:rsid w:val="00EA22C9"/>
    <w:rsid w:val="00EA300D"/>
    <w:rsid w:val="00EA3FE0"/>
    <w:rsid w:val="00EA53B4"/>
    <w:rsid w:val="00EA6933"/>
    <w:rsid w:val="00EB3448"/>
    <w:rsid w:val="00EB3E2B"/>
    <w:rsid w:val="00EB42D6"/>
    <w:rsid w:val="00EB51C6"/>
    <w:rsid w:val="00EC08AB"/>
    <w:rsid w:val="00EC16C8"/>
    <w:rsid w:val="00EC24C6"/>
    <w:rsid w:val="00EC379C"/>
    <w:rsid w:val="00EC44EF"/>
    <w:rsid w:val="00EC45AB"/>
    <w:rsid w:val="00EC4A75"/>
    <w:rsid w:val="00EC51E1"/>
    <w:rsid w:val="00EC6488"/>
    <w:rsid w:val="00EC6E51"/>
    <w:rsid w:val="00EC6E7B"/>
    <w:rsid w:val="00EC755E"/>
    <w:rsid w:val="00ED38A8"/>
    <w:rsid w:val="00ED3DDF"/>
    <w:rsid w:val="00ED41E3"/>
    <w:rsid w:val="00ED5123"/>
    <w:rsid w:val="00ED6B94"/>
    <w:rsid w:val="00EE19A6"/>
    <w:rsid w:val="00EE1D2F"/>
    <w:rsid w:val="00EE4976"/>
    <w:rsid w:val="00EE7398"/>
    <w:rsid w:val="00EE73B5"/>
    <w:rsid w:val="00EE74E7"/>
    <w:rsid w:val="00EF2394"/>
    <w:rsid w:val="00EF371B"/>
    <w:rsid w:val="00EF4DEB"/>
    <w:rsid w:val="00EF59F7"/>
    <w:rsid w:val="00EF7618"/>
    <w:rsid w:val="00EF7EDE"/>
    <w:rsid w:val="00F0043B"/>
    <w:rsid w:val="00F01D88"/>
    <w:rsid w:val="00F033FD"/>
    <w:rsid w:val="00F06742"/>
    <w:rsid w:val="00F06A1B"/>
    <w:rsid w:val="00F1115B"/>
    <w:rsid w:val="00F11C5D"/>
    <w:rsid w:val="00F11D1C"/>
    <w:rsid w:val="00F12C4F"/>
    <w:rsid w:val="00F139B6"/>
    <w:rsid w:val="00F14AC7"/>
    <w:rsid w:val="00F151DB"/>
    <w:rsid w:val="00F1552B"/>
    <w:rsid w:val="00F15610"/>
    <w:rsid w:val="00F157AC"/>
    <w:rsid w:val="00F15B64"/>
    <w:rsid w:val="00F17FAE"/>
    <w:rsid w:val="00F21496"/>
    <w:rsid w:val="00F233A2"/>
    <w:rsid w:val="00F245E3"/>
    <w:rsid w:val="00F25127"/>
    <w:rsid w:val="00F255F7"/>
    <w:rsid w:val="00F2562B"/>
    <w:rsid w:val="00F25F37"/>
    <w:rsid w:val="00F30143"/>
    <w:rsid w:val="00F334A7"/>
    <w:rsid w:val="00F403E5"/>
    <w:rsid w:val="00F40DED"/>
    <w:rsid w:val="00F42009"/>
    <w:rsid w:val="00F420FA"/>
    <w:rsid w:val="00F4214C"/>
    <w:rsid w:val="00F43275"/>
    <w:rsid w:val="00F43CA7"/>
    <w:rsid w:val="00F4519B"/>
    <w:rsid w:val="00F45D03"/>
    <w:rsid w:val="00F45F12"/>
    <w:rsid w:val="00F47C1F"/>
    <w:rsid w:val="00F50395"/>
    <w:rsid w:val="00F5110A"/>
    <w:rsid w:val="00F5166B"/>
    <w:rsid w:val="00F51B67"/>
    <w:rsid w:val="00F520AB"/>
    <w:rsid w:val="00F52D19"/>
    <w:rsid w:val="00F54069"/>
    <w:rsid w:val="00F5468B"/>
    <w:rsid w:val="00F564AA"/>
    <w:rsid w:val="00F5688E"/>
    <w:rsid w:val="00F56B9B"/>
    <w:rsid w:val="00F56D36"/>
    <w:rsid w:val="00F572C4"/>
    <w:rsid w:val="00F60502"/>
    <w:rsid w:val="00F6171B"/>
    <w:rsid w:val="00F62708"/>
    <w:rsid w:val="00F6275A"/>
    <w:rsid w:val="00F63AF2"/>
    <w:rsid w:val="00F6481C"/>
    <w:rsid w:val="00F66871"/>
    <w:rsid w:val="00F668A2"/>
    <w:rsid w:val="00F703E7"/>
    <w:rsid w:val="00F7147F"/>
    <w:rsid w:val="00F72E98"/>
    <w:rsid w:val="00F7619D"/>
    <w:rsid w:val="00F76376"/>
    <w:rsid w:val="00F7666E"/>
    <w:rsid w:val="00F766A7"/>
    <w:rsid w:val="00F76F19"/>
    <w:rsid w:val="00F81A41"/>
    <w:rsid w:val="00F83455"/>
    <w:rsid w:val="00F83DC0"/>
    <w:rsid w:val="00F8478A"/>
    <w:rsid w:val="00F855B2"/>
    <w:rsid w:val="00F86DFD"/>
    <w:rsid w:val="00F8729C"/>
    <w:rsid w:val="00F875CD"/>
    <w:rsid w:val="00F8797D"/>
    <w:rsid w:val="00F87A6E"/>
    <w:rsid w:val="00F90EDA"/>
    <w:rsid w:val="00F9131B"/>
    <w:rsid w:val="00F91971"/>
    <w:rsid w:val="00F93084"/>
    <w:rsid w:val="00F93FE7"/>
    <w:rsid w:val="00F948E7"/>
    <w:rsid w:val="00F95725"/>
    <w:rsid w:val="00F963F1"/>
    <w:rsid w:val="00F96CE5"/>
    <w:rsid w:val="00FA3891"/>
    <w:rsid w:val="00FA4115"/>
    <w:rsid w:val="00FA47AA"/>
    <w:rsid w:val="00FA58B0"/>
    <w:rsid w:val="00FA5B82"/>
    <w:rsid w:val="00FA69AD"/>
    <w:rsid w:val="00FB05CE"/>
    <w:rsid w:val="00FB0C04"/>
    <w:rsid w:val="00FB2CFB"/>
    <w:rsid w:val="00FB3344"/>
    <w:rsid w:val="00FB3B35"/>
    <w:rsid w:val="00FB3F5E"/>
    <w:rsid w:val="00FB4046"/>
    <w:rsid w:val="00FB513A"/>
    <w:rsid w:val="00FB7C37"/>
    <w:rsid w:val="00FC0EF9"/>
    <w:rsid w:val="00FC1520"/>
    <w:rsid w:val="00FC1A4B"/>
    <w:rsid w:val="00FC5BAA"/>
    <w:rsid w:val="00FC7AA7"/>
    <w:rsid w:val="00FC7B56"/>
    <w:rsid w:val="00FD028E"/>
    <w:rsid w:val="00FD0E18"/>
    <w:rsid w:val="00FD1677"/>
    <w:rsid w:val="00FD3C98"/>
    <w:rsid w:val="00FD41B4"/>
    <w:rsid w:val="00FD4C4A"/>
    <w:rsid w:val="00FD5863"/>
    <w:rsid w:val="00FD5AAE"/>
    <w:rsid w:val="00FD70D3"/>
    <w:rsid w:val="00FD7A00"/>
    <w:rsid w:val="00FE04C5"/>
    <w:rsid w:val="00FE0583"/>
    <w:rsid w:val="00FE1A45"/>
    <w:rsid w:val="00FE4893"/>
    <w:rsid w:val="00FE4B11"/>
    <w:rsid w:val="00FE513D"/>
    <w:rsid w:val="00FF041D"/>
    <w:rsid w:val="00FF04EE"/>
    <w:rsid w:val="00FF620E"/>
    <w:rsid w:val="00FF71A7"/>
    <w:rsid w:val="00FF728F"/>
    <w:rsid w:val="012544D2"/>
    <w:rsid w:val="01422176"/>
    <w:rsid w:val="01802794"/>
    <w:rsid w:val="022030F6"/>
    <w:rsid w:val="02521EA0"/>
    <w:rsid w:val="0310419A"/>
    <w:rsid w:val="048C2F09"/>
    <w:rsid w:val="04A24CDA"/>
    <w:rsid w:val="053C6EDC"/>
    <w:rsid w:val="05FD3D22"/>
    <w:rsid w:val="06ED4DD4"/>
    <w:rsid w:val="070765A7"/>
    <w:rsid w:val="07561823"/>
    <w:rsid w:val="07862691"/>
    <w:rsid w:val="08182BA5"/>
    <w:rsid w:val="082D5D79"/>
    <w:rsid w:val="08CE410B"/>
    <w:rsid w:val="090D350D"/>
    <w:rsid w:val="09AE6205"/>
    <w:rsid w:val="09B07E99"/>
    <w:rsid w:val="09C60618"/>
    <w:rsid w:val="09D31163"/>
    <w:rsid w:val="0AFD015B"/>
    <w:rsid w:val="0B1A7CC0"/>
    <w:rsid w:val="0B6E1DBA"/>
    <w:rsid w:val="0BBC0C28"/>
    <w:rsid w:val="0BC53E54"/>
    <w:rsid w:val="0BCD092A"/>
    <w:rsid w:val="0BEC1B61"/>
    <w:rsid w:val="0CC01CE4"/>
    <w:rsid w:val="0D114094"/>
    <w:rsid w:val="0DE83A46"/>
    <w:rsid w:val="0E336B9D"/>
    <w:rsid w:val="0E451C2D"/>
    <w:rsid w:val="0E5E131A"/>
    <w:rsid w:val="0E7A133A"/>
    <w:rsid w:val="0EBD5AC1"/>
    <w:rsid w:val="0FB20C79"/>
    <w:rsid w:val="0FEB06ED"/>
    <w:rsid w:val="103510F8"/>
    <w:rsid w:val="1038702D"/>
    <w:rsid w:val="107064E7"/>
    <w:rsid w:val="10B8606C"/>
    <w:rsid w:val="10F16A68"/>
    <w:rsid w:val="11B34CA1"/>
    <w:rsid w:val="11CE3474"/>
    <w:rsid w:val="11D97A29"/>
    <w:rsid w:val="12260C18"/>
    <w:rsid w:val="12432BBC"/>
    <w:rsid w:val="12957C2C"/>
    <w:rsid w:val="12CA0C37"/>
    <w:rsid w:val="1351423B"/>
    <w:rsid w:val="138F27BA"/>
    <w:rsid w:val="13A861C5"/>
    <w:rsid w:val="13BC4FC2"/>
    <w:rsid w:val="15465C3E"/>
    <w:rsid w:val="15520056"/>
    <w:rsid w:val="163E7F41"/>
    <w:rsid w:val="163F38DD"/>
    <w:rsid w:val="17276ACA"/>
    <w:rsid w:val="17CC40F0"/>
    <w:rsid w:val="189C3D84"/>
    <w:rsid w:val="18AF2D8B"/>
    <w:rsid w:val="193650A1"/>
    <w:rsid w:val="196059F0"/>
    <w:rsid w:val="19C2398B"/>
    <w:rsid w:val="19DF6907"/>
    <w:rsid w:val="1AB963AC"/>
    <w:rsid w:val="1AF70CD5"/>
    <w:rsid w:val="1B2E06D2"/>
    <w:rsid w:val="1B351FAC"/>
    <w:rsid w:val="1BC3032B"/>
    <w:rsid w:val="1BE85CEA"/>
    <w:rsid w:val="1C93310F"/>
    <w:rsid w:val="1CD524D4"/>
    <w:rsid w:val="1DD94F26"/>
    <w:rsid w:val="1E3A5789"/>
    <w:rsid w:val="1E51534F"/>
    <w:rsid w:val="1E941F3D"/>
    <w:rsid w:val="1EAD4F5B"/>
    <w:rsid w:val="1ECD6426"/>
    <w:rsid w:val="1F00278F"/>
    <w:rsid w:val="1F077B12"/>
    <w:rsid w:val="1F8C2A73"/>
    <w:rsid w:val="1F964B19"/>
    <w:rsid w:val="1FAA00BA"/>
    <w:rsid w:val="1FE6236C"/>
    <w:rsid w:val="200B74AD"/>
    <w:rsid w:val="20403401"/>
    <w:rsid w:val="2110307F"/>
    <w:rsid w:val="2180191A"/>
    <w:rsid w:val="21D41B41"/>
    <w:rsid w:val="221F3728"/>
    <w:rsid w:val="22370E51"/>
    <w:rsid w:val="231C150A"/>
    <w:rsid w:val="232A17FF"/>
    <w:rsid w:val="232A47A3"/>
    <w:rsid w:val="23871813"/>
    <w:rsid w:val="23AE03B1"/>
    <w:rsid w:val="23FF3252"/>
    <w:rsid w:val="241906BD"/>
    <w:rsid w:val="241D1352"/>
    <w:rsid w:val="243C75B9"/>
    <w:rsid w:val="244020ED"/>
    <w:rsid w:val="245165E7"/>
    <w:rsid w:val="24846940"/>
    <w:rsid w:val="248E2319"/>
    <w:rsid w:val="24BE2261"/>
    <w:rsid w:val="25523A4A"/>
    <w:rsid w:val="25983863"/>
    <w:rsid w:val="25F8583D"/>
    <w:rsid w:val="25FF6CBA"/>
    <w:rsid w:val="26487037"/>
    <w:rsid w:val="271147DD"/>
    <w:rsid w:val="274202B2"/>
    <w:rsid w:val="274F09F5"/>
    <w:rsid w:val="277133B6"/>
    <w:rsid w:val="27901B89"/>
    <w:rsid w:val="27D629C5"/>
    <w:rsid w:val="27FC27CF"/>
    <w:rsid w:val="282E65CB"/>
    <w:rsid w:val="292F1FEE"/>
    <w:rsid w:val="293B7BBD"/>
    <w:rsid w:val="2A083BB8"/>
    <w:rsid w:val="2B1C6DDC"/>
    <w:rsid w:val="2B310C17"/>
    <w:rsid w:val="2B7936B0"/>
    <w:rsid w:val="2BEB5F44"/>
    <w:rsid w:val="2C8646C7"/>
    <w:rsid w:val="2D3B388B"/>
    <w:rsid w:val="2DDD09AD"/>
    <w:rsid w:val="2F0F11A4"/>
    <w:rsid w:val="2F2C31A1"/>
    <w:rsid w:val="2F481D56"/>
    <w:rsid w:val="2F4A5755"/>
    <w:rsid w:val="2F6400DC"/>
    <w:rsid w:val="2F9631A6"/>
    <w:rsid w:val="300246FB"/>
    <w:rsid w:val="30477E2B"/>
    <w:rsid w:val="30F85D61"/>
    <w:rsid w:val="31411BBE"/>
    <w:rsid w:val="317A4451"/>
    <w:rsid w:val="31880C30"/>
    <w:rsid w:val="32895A9E"/>
    <w:rsid w:val="32A72E40"/>
    <w:rsid w:val="3303120B"/>
    <w:rsid w:val="330D5673"/>
    <w:rsid w:val="33EB746C"/>
    <w:rsid w:val="33F27600"/>
    <w:rsid w:val="34BA77F4"/>
    <w:rsid w:val="35B22909"/>
    <w:rsid w:val="360664D9"/>
    <w:rsid w:val="36177D11"/>
    <w:rsid w:val="3667350A"/>
    <w:rsid w:val="3801281C"/>
    <w:rsid w:val="38723CF7"/>
    <w:rsid w:val="394602A8"/>
    <w:rsid w:val="397F69B3"/>
    <w:rsid w:val="3A3D7DC8"/>
    <w:rsid w:val="3AD469C9"/>
    <w:rsid w:val="3B70335E"/>
    <w:rsid w:val="3BC15FC0"/>
    <w:rsid w:val="3BDC1598"/>
    <w:rsid w:val="3BFD67C6"/>
    <w:rsid w:val="3C5F2ED5"/>
    <w:rsid w:val="3CDD2029"/>
    <w:rsid w:val="3CFB2BFE"/>
    <w:rsid w:val="3D127F47"/>
    <w:rsid w:val="3D324D36"/>
    <w:rsid w:val="3D467C40"/>
    <w:rsid w:val="3DC8152A"/>
    <w:rsid w:val="3E611336"/>
    <w:rsid w:val="3F836EDA"/>
    <w:rsid w:val="3FCE310D"/>
    <w:rsid w:val="406D3C86"/>
    <w:rsid w:val="409018AF"/>
    <w:rsid w:val="40EE2BF4"/>
    <w:rsid w:val="40F560EF"/>
    <w:rsid w:val="417349F1"/>
    <w:rsid w:val="41DF0D5C"/>
    <w:rsid w:val="42845443"/>
    <w:rsid w:val="43865ECA"/>
    <w:rsid w:val="438C4419"/>
    <w:rsid w:val="443133A9"/>
    <w:rsid w:val="447032DB"/>
    <w:rsid w:val="44900F98"/>
    <w:rsid w:val="44F02F65"/>
    <w:rsid w:val="45654C08"/>
    <w:rsid w:val="45A32084"/>
    <w:rsid w:val="45E451C7"/>
    <w:rsid w:val="463B774A"/>
    <w:rsid w:val="473614B6"/>
    <w:rsid w:val="478D60F7"/>
    <w:rsid w:val="47B572BA"/>
    <w:rsid w:val="47E01E20"/>
    <w:rsid w:val="47E032D7"/>
    <w:rsid w:val="47F03B09"/>
    <w:rsid w:val="47F35053"/>
    <w:rsid w:val="48111527"/>
    <w:rsid w:val="491B1501"/>
    <w:rsid w:val="49AF47C9"/>
    <w:rsid w:val="4A252204"/>
    <w:rsid w:val="4A597CAA"/>
    <w:rsid w:val="4AA25DEA"/>
    <w:rsid w:val="4AD31D64"/>
    <w:rsid w:val="4AF25FF9"/>
    <w:rsid w:val="4B671831"/>
    <w:rsid w:val="4B8E10E1"/>
    <w:rsid w:val="4BBC79FC"/>
    <w:rsid w:val="4BEB11A9"/>
    <w:rsid w:val="4CF15B90"/>
    <w:rsid w:val="4D2959B3"/>
    <w:rsid w:val="4DA319C2"/>
    <w:rsid w:val="4DE65BCF"/>
    <w:rsid w:val="4DE728C7"/>
    <w:rsid w:val="4E296E9F"/>
    <w:rsid w:val="4E951A96"/>
    <w:rsid w:val="4EE5726A"/>
    <w:rsid w:val="4FA57B27"/>
    <w:rsid w:val="4FE12726"/>
    <w:rsid w:val="50B21901"/>
    <w:rsid w:val="512102AF"/>
    <w:rsid w:val="51385D77"/>
    <w:rsid w:val="513872F3"/>
    <w:rsid w:val="520E4867"/>
    <w:rsid w:val="523C4C84"/>
    <w:rsid w:val="5287284E"/>
    <w:rsid w:val="52BD47CC"/>
    <w:rsid w:val="53367BBE"/>
    <w:rsid w:val="533B38FC"/>
    <w:rsid w:val="538B25DA"/>
    <w:rsid w:val="54283805"/>
    <w:rsid w:val="54E564A4"/>
    <w:rsid w:val="556214D0"/>
    <w:rsid w:val="55C218C7"/>
    <w:rsid w:val="56954B14"/>
    <w:rsid w:val="56B0015D"/>
    <w:rsid w:val="56CE2186"/>
    <w:rsid w:val="57392C05"/>
    <w:rsid w:val="5748761D"/>
    <w:rsid w:val="580F20B3"/>
    <w:rsid w:val="58404029"/>
    <w:rsid w:val="58487B76"/>
    <w:rsid w:val="58567FF5"/>
    <w:rsid w:val="59266ED9"/>
    <w:rsid w:val="59535F15"/>
    <w:rsid w:val="59636516"/>
    <w:rsid w:val="5A73248C"/>
    <w:rsid w:val="5A782585"/>
    <w:rsid w:val="5A89525B"/>
    <w:rsid w:val="5A8C0301"/>
    <w:rsid w:val="5A9870AD"/>
    <w:rsid w:val="5ACB3A9D"/>
    <w:rsid w:val="5B6E1490"/>
    <w:rsid w:val="5B7C28F6"/>
    <w:rsid w:val="5B955E08"/>
    <w:rsid w:val="5BAC060B"/>
    <w:rsid w:val="5D320BD1"/>
    <w:rsid w:val="5EB34C8F"/>
    <w:rsid w:val="5EDA7888"/>
    <w:rsid w:val="5EEE3F40"/>
    <w:rsid w:val="5F291BF8"/>
    <w:rsid w:val="5F9B311B"/>
    <w:rsid w:val="5FC05B0F"/>
    <w:rsid w:val="5FD973AF"/>
    <w:rsid w:val="5FF90DC7"/>
    <w:rsid w:val="60523E2F"/>
    <w:rsid w:val="606F3BE4"/>
    <w:rsid w:val="60CB2176"/>
    <w:rsid w:val="60E5785B"/>
    <w:rsid w:val="61194AC9"/>
    <w:rsid w:val="61587D6F"/>
    <w:rsid w:val="618E4E0C"/>
    <w:rsid w:val="62326269"/>
    <w:rsid w:val="62692723"/>
    <w:rsid w:val="62C3746A"/>
    <w:rsid w:val="62F1002E"/>
    <w:rsid w:val="630267FE"/>
    <w:rsid w:val="635D1565"/>
    <w:rsid w:val="63B63448"/>
    <w:rsid w:val="63D556A7"/>
    <w:rsid w:val="640126E8"/>
    <w:rsid w:val="64542A70"/>
    <w:rsid w:val="65350A3D"/>
    <w:rsid w:val="65D148A2"/>
    <w:rsid w:val="65D513C6"/>
    <w:rsid w:val="65F71A1C"/>
    <w:rsid w:val="660063B8"/>
    <w:rsid w:val="664D50CD"/>
    <w:rsid w:val="66D00C73"/>
    <w:rsid w:val="66E87524"/>
    <w:rsid w:val="67591430"/>
    <w:rsid w:val="67E039A8"/>
    <w:rsid w:val="67EA7719"/>
    <w:rsid w:val="682262D8"/>
    <w:rsid w:val="687B16E7"/>
    <w:rsid w:val="68A11FFC"/>
    <w:rsid w:val="696B7790"/>
    <w:rsid w:val="69934B46"/>
    <w:rsid w:val="69C353A1"/>
    <w:rsid w:val="69E94A04"/>
    <w:rsid w:val="69F05502"/>
    <w:rsid w:val="6A023F96"/>
    <w:rsid w:val="6A6D78EA"/>
    <w:rsid w:val="6B5B4B27"/>
    <w:rsid w:val="6B797260"/>
    <w:rsid w:val="6B7B4D86"/>
    <w:rsid w:val="6C0D5E4D"/>
    <w:rsid w:val="6C8063D1"/>
    <w:rsid w:val="6CAA5DF6"/>
    <w:rsid w:val="6CFA7644"/>
    <w:rsid w:val="6D67346A"/>
    <w:rsid w:val="6E305C92"/>
    <w:rsid w:val="6E745FC2"/>
    <w:rsid w:val="6EEA472F"/>
    <w:rsid w:val="6F03185F"/>
    <w:rsid w:val="6F0A22E9"/>
    <w:rsid w:val="6F525DFE"/>
    <w:rsid w:val="6F9804AE"/>
    <w:rsid w:val="6F9A0BEC"/>
    <w:rsid w:val="6FB15FAA"/>
    <w:rsid w:val="6FE16C38"/>
    <w:rsid w:val="702B06A4"/>
    <w:rsid w:val="70672934"/>
    <w:rsid w:val="70980188"/>
    <w:rsid w:val="70DC70F1"/>
    <w:rsid w:val="714479C8"/>
    <w:rsid w:val="719927D8"/>
    <w:rsid w:val="71A96256"/>
    <w:rsid w:val="727E6F0A"/>
    <w:rsid w:val="72AD1BC4"/>
    <w:rsid w:val="72CB7BBF"/>
    <w:rsid w:val="72E40778"/>
    <w:rsid w:val="739D6C0B"/>
    <w:rsid w:val="741B77FB"/>
    <w:rsid w:val="74B706C6"/>
    <w:rsid w:val="75BD3260"/>
    <w:rsid w:val="777115D8"/>
    <w:rsid w:val="778F1576"/>
    <w:rsid w:val="77A421F8"/>
    <w:rsid w:val="77D575CC"/>
    <w:rsid w:val="78086155"/>
    <w:rsid w:val="78415585"/>
    <w:rsid w:val="78C330AE"/>
    <w:rsid w:val="78D67D31"/>
    <w:rsid w:val="79AC43EE"/>
    <w:rsid w:val="79ED3B58"/>
    <w:rsid w:val="7A8D2BAF"/>
    <w:rsid w:val="7AA716F4"/>
    <w:rsid w:val="7ABF5717"/>
    <w:rsid w:val="7B0020A3"/>
    <w:rsid w:val="7B4F4C4B"/>
    <w:rsid w:val="7C2F272F"/>
    <w:rsid w:val="7C341655"/>
    <w:rsid w:val="7C69767B"/>
    <w:rsid w:val="7C9E41A7"/>
    <w:rsid w:val="7D0E6086"/>
    <w:rsid w:val="7D830862"/>
    <w:rsid w:val="7DA97CAC"/>
    <w:rsid w:val="7E2A06A9"/>
    <w:rsid w:val="7EB11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53"/>
    <w:qFormat/>
    <w:uiPriority w:val="9"/>
    <w:pPr>
      <w:keepNext/>
      <w:keepLines/>
      <w:numPr>
        <w:ilvl w:val="1"/>
        <w:numId w:val="1"/>
      </w:numPr>
      <w:adjustRightInd w:val="0"/>
      <w:spacing w:before="260" w:after="260" w:line="416" w:lineRule="atLeast"/>
      <w:ind w:left="543"/>
      <w:jc w:val="left"/>
      <w:textAlignment w:val="baseline"/>
      <w:outlineLvl w:val="1"/>
    </w:pPr>
    <w:rPr>
      <w:rFonts w:ascii="Arial" w:hAnsi="Arial" w:eastAsia="黑体"/>
      <w:b/>
      <w:bCs/>
      <w:kern w:val="0"/>
      <w:sz w:val="32"/>
      <w:szCs w:val="32"/>
    </w:rPr>
  </w:style>
  <w:style w:type="paragraph" w:styleId="4">
    <w:name w:val="heading 3"/>
    <w:basedOn w:val="1"/>
    <w:next w:val="1"/>
    <w:link w:val="54"/>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5"/>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6"/>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7"/>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8"/>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9"/>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0"/>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List Number"/>
    <w:basedOn w:val="1"/>
    <w:unhideWhenUsed/>
    <w:qFormat/>
    <w:uiPriority w:val="99"/>
    <w:pPr>
      <w:tabs>
        <w:tab w:val="left" w:pos="360"/>
      </w:tabs>
      <w:spacing w:line="360" w:lineRule="auto"/>
      <w:contextualSpacing/>
    </w:pPr>
    <w:rPr>
      <w:rFonts w:ascii="Calibri" w:hAnsi="Calibri"/>
      <w:sz w:val="24"/>
      <w:szCs w:val="22"/>
    </w:rPr>
  </w:style>
  <w:style w:type="paragraph" w:styleId="13">
    <w:name w:val="Normal Indent"/>
    <w:basedOn w:val="1"/>
    <w:next w:val="1"/>
    <w:link w:val="100"/>
    <w:qFormat/>
    <w:uiPriority w:val="0"/>
    <w:pPr>
      <w:ind w:firstLine="420" w:firstLineChars="200"/>
    </w:pPr>
  </w:style>
  <w:style w:type="paragraph" w:styleId="14">
    <w:name w:val="caption"/>
    <w:basedOn w:val="1"/>
    <w:next w:val="1"/>
    <w:qFormat/>
    <w:uiPriority w:val="0"/>
    <w:pPr>
      <w:spacing w:before="240" w:after="240" w:line="360" w:lineRule="auto"/>
      <w:jc w:val="center"/>
    </w:pPr>
    <w:rPr>
      <w:rFonts w:ascii="Arial" w:hAnsi="Arial" w:eastAsia="黑体"/>
      <w:sz w:val="24"/>
      <w:szCs w:val="20"/>
    </w:rPr>
  </w:style>
  <w:style w:type="paragraph" w:styleId="15">
    <w:name w:val="Document Map"/>
    <w:basedOn w:val="1"/>
    <w:link w:val="101"/>
    <w:qFormat/>
    <w:uiPriority w:val="0"/>
    <w:pPr>
      <w:shd w:val="clear" w:color="auto" w:fill="000080"/>
      <w:spacing w:line="360" w:lineRule="auto"/>
    </w:pPr>
    <w:rPr>
      <w:sz w:val="24"/>
    </w:rPr>
  </w:style>
  <w:style w:type="paragraph" w:styleId="16">
    <w:name w:val="toa heading"/>
    <w:basedOn w:val="1"/>
    <w:next w:val="1"/>
    <w:qFormat/>
    <w:uiPriority w:val="0"/>
    <w:rPr>
      <w:rFonts w:ascii="Arial" w:hAnsi="Arial"/>
    </w:rPr>
  </w:style>
  <w:style w:type="paragraph" w:styleId="17">
    <w:name w:val="annotation text"/>
    <w:basedOn w:val="1"/>
    <w:link w:val="68"/>
    <w:qFormat/>
    <w:uiPriority w:val="0"/>
    <w:pPr>
      <w:jc w:val="left"/>
    </w:pPr>
  </w:style>
  <w:style w:type="paragraph" w:styleId="18">
    <w:name w:val="Body Text"/>
    <w:basedOn w:val="1"/>
    <w:link w:val="82"/>
    <w:unhideWhenUsed/>
    <w:qFormat/>
    <w:uiPriority w:val="1"/>
    <w:pPr>
      <w:spacing w:after="120"/>
    </w:pPr>
  </w:style>
  <w:style w:type="paragraph" w:styleId="19">
    <w:name w:val="Body Text Indent"/>
    <w:basedOn w:val="1"/>
    <w:link w:val="67"/>
    <w:qFormat/>
    <w:uiPriority w:val="0"/>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tabs>
        <w:tab w:val="left" w:pos="7350"/>
        <w:tab w:val="left" w:pos="7560"/>
        <w:tab w:val="left" w:pos="7770"/>
      </w:tabs>
      <w:spacing w:line="360" w:lineRule="auto"/>
      <w:ind w:left="527" w:right="590" w:firstLine="527"/>
    </w:pPr>
    <w:rPr>
      <w:sz w:val="24"/>
      <w:szCs w:val="20"/>
    </w:rPr>
  </w:style>
  <w:style w:type="paragraph" w:styleId="21">
    <w:name w:val="index 4"/>
    <w:basedOn w:val="1"/>
    <w:next w:val="1"/>
    <w:unhideWhenUsed/>
    <w:qFormat/>
    <w:uiPriority w:val="99"/>
    <w:pPr>
      <w:ind w:left="600" w:leftChars="600"/>
    </w:p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link w:val="102"/>
    <w:qFormat/>
    <w:uiPriority w:val="99"/>
    <w:pPr>
      <w:spacing w:line="360" w:lineRule="auto"/>
      <w:ind w:left="100" w:leftChars="2500"/>
    </w:pPr>
    <w:rPr>
      <w:sz w:val="24"/>
    </w:rPr>
  </w:style>
  <w:style w:type="paragraph" w:styleId="25">
    <w:name w:val="Balloon Text"/>
    <w:basedOn w:val="1"/>
    <w:link w:val="70"/>
    <w:qFormat/>
    <w:uiPriority w:val="0"/>
    <w:rPr>
      <w:sz w:val="18"/>
      <w:szCs w:val="18"/>
    </w:rPr>
  </w:style>
  <w:style w:type="paragraph" w:styleId="26">
    <w:name w:val="footer"/>
    <w:basedOn w:val="1"/>
    <w:link w:val="51"/>
    <w:unhideWhenUsed/>
    <w:qFormat/>
    <w:uiPriority w:val="99"/>
    <w:pPr>
      <w:tabs>
        <w:tab w:val="center" w:pos="4153"/>
        <w:tab w:val="right" w:pos="8306"/>
      </w:tabs>
      <w:snapToGrid w:val="0"/>
      <w:jc w:val="left"/>
    </w:pPr>
    <w:rPr>
      <w:sz w:val="18"/>
      <w:szCs w:val="18"/>
    </w:rPr>
  </w:style>
  <w:style w:type="paragraph" w:styleId="27">
    <w:name w:val="envelope return"/>
    <w:basedOn w:val="1"/>
    <w:unhideWhenUsed/>
    <w:qFormat/>
    <w:uiPriority w:val="99"/>
    <w:pPr>
      <w:snapToGrid w:val="0"/>
    </w:pPr>
    <w:rPr>
      <w:rFonts w:ascii="Arial" w:hAnsi="Arial" w:cs="黑体"/>
      <w:szCs w:val="22"/>
    </w:rPr>
  </w:style>
  <w:style w:type="paragraph" w:styleId="28">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2"/>
    <w:basedOn w:val="1"/>
    <w:next w:val="1"/>
    <w:qFormat/>
    <w:uiPriority w:val="0"/>
    <w:pPr>
      <w:ind w:left="420" w:leftChars="200"/>
    </w:pPr>
  </w:style>
  <w:style w:type="paragraph" w:styleId="31">
    <w:name w:val="Body Text 2"/>
    <w:basedOn w:val="1"/>
    <w:link w:val="79"/>
    <w:semiHidden/>
    <w:unhideWhenUsed/>
    <w:qFormat/>
    <w:uiPriority w:val="99"/>
    <w:pPr>
      <w:spacing w:after="120" w:line="480" w:lineRule="auto"/>
    </w:pPr>
  </w:style>
  <w:style w:type="paragraph" w:styleId="32">
    <w:name w:val="HTML Preformatted"/>
    <w:basedOn w:val="1"/>
    <w:link w:val="16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159"/>
    <w:qFormat/>
    <w:uiPriority w:val="0"/>
    <w:pPr>
      <w:jc w:val="center"/>
    </w:pPr>
    <w:rPr>
      <w:sz w:val="30"/>
    </w:rPr>
  </w:style>
  <w:style w:type="paragraph" w:styleId="35">
    <w:name w:val="annotation subject"/>
    <w:basedOn w:val="17"/>
    <w:next w:val="17"/>
    <w:link w:val="69"/>
    <w:qFormat/>
    <w:uiPriority w:val="0"/>
    <w:rPr>
      <w:b/>
      <w:bCs/>
    </w:rPr>
  </w:style>
  <w:style w:type="paragraph" w:styleId="36">
    <w:name w:val="Body Text First Indent"/>
    <w:basedOn w:val="18"/>
    <w:link w:val="83"/>
    <w:unhideWhenUsed/>
    <w:qFormat/>
    <w:uiPriority w:val="0"/>
    <w:pPr>
      <w:ind w:firstLine="420" w:firstLineChars="100"/>
    </w:pPr>
    <w:rPr>
      <w:szCs w:val="20"/>
    </w:rPr>
  </w:style>
  <w:style w:type="paragraph" w:styleId="37">
    <w:name w:val="Body Text First Indent 2"/>
    <w:basedOn w:val="19"/>
    <w:link w:val="160"/>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Hyperlink"/>
    <w:basedOn w:val="40"/>
    <w:unhideWhenUsed/>
    <w:qFormat/>
    <w:uiPriority w:val="99"/>
    <w:rPr>
      <w:color w:val="0000FF"/>
      <w:u w:val="single"/>
    </w:rPr>
  </w:style>
  <w:style w:type="character" w:styleId="45">
    <w:name w:val="annotation reference"/>
    <w:qFormat/>
    <w:uiPriority w:val="0"/>
    <w:rPr>
      <w:sz w:val="21"/>
      <w:szCs w:val="21"/>
    </w:rPr>
  </w:style>
  <w:style w:type="character" w:styleId="46">
    <w:name w:val="HTML Sample"/>
    <w:unhideWhenUsed/>
    <w:qFormat/>
    <w:uiPriority w:val="99"/>
    <w:rPr>
      <w:rFonts w:ascii="Courier New" w:hAnsi="Courier New"/>
    </w:rPr>
  </w:style>
  <w:style w:type="paragraph" w:customStyle="1" w:styleId="47">
    <w:name w:val="正文 New New New New New New New New New New New New New New New"/>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48">
    <w:name w:val="List Paragraph"/>
    <w:basedOn w:val="1"/>
    <w:link w:val="109"/>
    <w:qFormat/>
    <w:uiPriority w:val="34"/>
    <w:pPr>
      <w:ind w:firstLine="420" w:firstLineChars="200"/>
    </w:pPr>
    <w:rPr>
      <w:rFonts w:ascii="Calibri" w:hAnsi="Calibri"/>
      <w:szCs w:val="22"/>
    </w:rPr>
  </w:style>
  <w:style w:type="character" w:customStyle="1" w:styleId="49">
    <w:name w:val="标题 2 字符"/>
    <w:basedOn w:val="40"/>
    <w:qFormat/>
    <w:uiPriority w:val="0"/>
    <w:rPr>
      <w:rFonts w:asciiTheme="majorHAnsi" w:hAnsiTheme="majorHAnsi" w:eastAsiaTheme="majorEastAsia" w:cstheme="majorBidi"/>
      <w:b/>
      <w:bCs/>
      <w:sz w:val="32"/>
      <w:szCs w:val="32"/>
    </w:rPr>
  </w:style>
  <w:style w:type="character" w:customStyle="1" w:styleId="50">
    <w:name w:val="页眉 Char1"/>
    <w:basedOn w:val="40"/>
    <w:link w:val="28"/>
    <w:qFormat/>
    <w:uiPriority w:val="99"/>
    <w:rPr>
      <w:sz w:val="18"/>
      <w:szCs w:val="18"/>
    </w:rPr>
  </w:style>
  <w:style w:type="character" w:customStyle="1" w:styleId="51">
    <w:name w:val="页脚 Char"/>
    <w:basedOn w:val="40"/>
    <w:link w:val="26"/>
    <w:qFormat/>
    <w:uiPriority w:val="99"/>
    <w:rPr>
      <w:sz w:val="18"/>
      <w:szCs w:val="18"/>
    </w:rPr>
  </w:style>
  <w:style w:type="character" w:customStyle="1" w:styleId="52">
    <w:name w:val="标题 1 Char"/>
    <w:basedOn w:val="40"/>
    <w:link w:val="2"/>
    <w:qFormat/>
    <w:uiPriority w:val="0"/>
    <w:rPr>
      <w:b/>
      <w:bCs/>
      <w:kern w:val="44"/>
      <w:sz w:val="44"/>
      <w:szCs w:val="44"/>
    </w:rPr>
  </w:style>
  <w:style w:type="character" w:customStyle="1" w:styleId="53">
    <w:name w:val="标题 2 Char"/>
    <w:basedOn w:val="40"/>
    <w:link w:val="3"/>
    <w:qFormat/>
    <w:uiPriority w:val="9"/>
    <w:rPr>
      <w:rFonts w:ascii="Arial" w:hAnsi="Arial" w:eastAsia="黑体"/>
      <w:b/>
      <w:bCs/>
      <w:sz w:val="32"/>
      <w:szCs w:val="32"/>
    </w:rPr>
  </w:style>
  <w:style w:type="character" w:customStyle="1" w:styleId="54">
    <w:name w:val="标题 3 Char"/>
    <w:basedOn w:val="40"/>
    <w:link w:val="4"/>
    <w:qFormat/>
    <w:uiPriority w:val="9"/>
    <w:rPr>
      <w:b/>
      <w:bCs/>
      <w:sz w:val="32"/>
      <w:szCs w:val="32"/>
    </w:rPr>
  </w:style>
  <w:style w:type="character" w:customStyle="1" w:styleId="55">
    <w:name w:val="标题 4 Char"/>
    <w:basedOn w:val="40"/>
    <w:link w:val="5"/>
    <w:qFormat/>
    <w:uiPriority w:val="0"/>
    <w:rPr>
      <w:rFonts w:ascii="Arial" w:hAnsi="Arial" w:eastAsia="黑体"/>
      <w:b/>
      <w:bCs/>
      <w:sz w:val="28"/>
      <w:szCs w:val="28"/>
    </w:rPr>
  </w:style>
  <w:style w:type="character" w:customStyle="1" w:styleId="56">
    <w:name w:val="标题 5 Char"/>
    <w:basedOn w:val="40"/>
    <w:link w:val="6"/>
    <w:qFormat/>
    <w:uiPriority w:val="0"/>
    <w:rPr>
      <w:b/>
      <w:bCs/>
      <w:sz w:val="28"/>
      <w:szCs w:val="28"/>
    </w:rPr>
  </w:style>
  <w:style w:type="character" w:customStyle="1" w:styleId="57">
    <w:name w:val="标题 6 Char"/>
    <w:basedOn w:val="40"/>
    <w:link w:val="7"/>
    <w:qFormat/>
    <w:uiPriority w:val="0"/>
    <w:rPr>
      <w:rFonts w:ascii="Arial" w:hAnsi="Arial" w:eastAsia="黑体"/>
      <w:b/>
      <w:bCs/>
      <w:sz w:val="24"/>
      <w:szCs w:val="24"/>
    </w:rPr>
  </w:style>
  <w:style w:type="character" w:customStyle="1" w:styleId="58">
    <w:name w:val="标题 7 Char"/>
    <w:basedOn w:val="40"/>
    <w:link w:val="8"/>
    <w:qFormat/>
    <w:uiPriority w:val="0"/>
    <w:rPr>
      <w:b/>
      <w:bCs/>
      <w:sz w:val="24"/>
      <w:szCs w:val="24"/>
    </w:rPr>
  </w:style>
  <w:style w:type="character" w:customStyle="1" w:styleId="59">
    <w:name w:val="标题 8 Char"/>
    <w:basedOn w:val="40"/>
    <w:link w:val="9"/>
    <w:qFormat/>
    <w:uiPriority w:val="0"/>
    <w:rPr>
      <w:rFonts w:ascii="Arial" w:hAnsi="Arial" w:eastAsia="黑体"/>
      <w:sz w:val="24"/>
      <w:szCs w:val="24"/>
    </w:rPr>
  </w:style>
  <w:style w:type="character" w:customStyle="1" w:styleId="60">
    <w:name w:val="标题 9 Char"/>
    <w:basedOn w:val="40"/>
    <w:link w:val="10"/>
    <w:qFormat/>
    <w:uiPriority w:val="0"/>
    <w:rPr>
      <w:rFonts w:ascii="Arial" w:hAnsi="Arial" w:eastAsia="黑体"/>
      <w:sz w:val="21"/>
      <w:szCs w:val="21"/>
    </w:rPr>
  </w:style>
  <w:style w:type="paragraph" w:customStyle="1" w:styleId="61">
    <w:name w:val="Char Char Char"/>
    <w:basedOn w:val="1"/>
    <w:qFormat/>
    <w:uiPriority w:val="0"/>
    <w:rPr>
      <w:rFonts w:ascii="Tahoma" w:hAnsi="Tahoma"/>
      <w:sz w:val="24"/>
      <w:szCs w:val="20"/>
    </w:rPr>
  </w:style>
  <w:style w:type="paragraph" w:customStyle="1" w:styleId="62">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63">
    <w:name w:val="纯文本 Char1"/>
    <w:basedOn w:val="40"/>
    <w:link w:val="23"/>
    <w:qFormat/>
    <w:uiPriority w:val="0"/>
    <w:rPr>
      <w:rFonts w:ascii="宋体" w:hAnsi="Courier New" w:eastAsia="宋体" w:cs="Times New Roman"/>
      <w:szCs w:val="21"/>
    </w:rPr>
  </w:style>
  <w:style w:type="paragraph" w:customStyle="1" w:styleId="64">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65">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66">
    <w:name w:val="样式1"/>
    <w:basedOn w:val="1"/>
    <w:qFormat/>
    <w:uiPriority w:val="0"/>
    <w:pPr>
      <w:adjustRightInd w:val="0"/>
      <w:textAlignment w:val="baseline"/>
    </w:pPr>
    <w:rPr>
      <w:rFonts w:ascii="宋体" w:hAnsi="宋体"/>
      <w:kern w:val="0"/>
      <w:szCs w:val="21"/>
    </w:rPr>
  </w:style>
  <w:style w:type="character" w:customStyle="1" w:styleId="67">
    <w:name w:val="正文文本缩进 Char"/>
    <w:basedOn w:val="40"/>
    <w:link w:val="19"/>
    <w:qFormat/>
    <w:uiPriority w:val="0"/>
    <w:rPr>
      <w:rFonts w:ascii="Times New Roman" w:hAnsi="Times New Roman" w:eastAsia="宋体" w:cs="Times New Roman"/>
      <w:kern w:val="0"/>
      <w:sz w:val="24"/>
      <w:szCs w:val="20"/>
    </w:rPr>
  </w:style>
  <w:style w:type="character" w:customStyle="1" w:styleId="68">
    <w:name w:val="批注文字 Char"/>
    <w:basedOn w:val="40"/>
    <w:link w:val="17"/>
    <w:qFormat/>
    <w:uiPriority w:val="0"/>
    <w:rPr>
      <w:rFonts w:ascii="Times New Roman" w:hAnsi="Times New Roman" w:eastAsia="宋体" w:cs="Times New Roman"/>
      <w:szCs w:val="24"/>
    </w:rPr>
  </w:style>
  <w:style w:type="character" w:customStyle="1" w:styleId="69">
    <w:name w:val="批注主题 Char"/>
    <w:basedOn w:val="68"/>
    <w:link w:val="35"/>
    <w:qFormat/>
    <w:uiPriority w:val="0"/>
    <w:rPr>
      <w:rFonts w:ascii="Times New Roman" w:hAnsi="Times New Roman" w:eastAsia="宋体" w:cs="Times New Roman"/>
      <w:b/>
      <w:bCs/>
      <w:szCs w:val="24"/>
    </w:rPr>
  </w:style>
  <w:style w:type="character" w:customStyle="1" w:styleId="70">
    <w:name w:val="批注框文本 Char"/>
    <w:basedOn w:val="40"/>
    <w:link w:val="25"/>
    <w:qFormat/>
    <w:uiPriority w:val="0"/>
    <w:rPr>
      <w:rFonts w:ascii="Times New Roman" w:hAnsi="Times New Roman" w:eastAsia="宋体" w:cs="Times New Roman"/>
      <w:sz w:val="18"/>
      <w:szCs w:val="18"/>
    </w:rPr>
  </w:style>
  <w:style w:type="paragraph" w:customStyle="1" w:styleId="71">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72">
    <w:name w:val="列出段落1"/>
    <w:basedOn w:val="1"/>
    <w:qFormat/>
    <w:uiPriority w:val="0"/>
    <w:pPr>
      <w:ind w:firstLine="420" w:firstLineChars="200"/>
    </w:pPr>
    <w:rPr>
      <w:rFonts w:ascii="Calibri" w:hAnsi="Calibri"/>
      <w:szCs w:val="21"/>
    </w:rPr>
  </w:style>
  <w:style w:type="character" w:customStyle="1" w:styleId="73">
    <w:name w:val="15"/>
    <w:basedOn w:val="40"/>
    <w:qFormat/>
    <w:uiPriority w:val="0"/>
    <w:rPr>
      <w:rFonts w:hint="default" w:ascii="Times New Roman" w:hAnsi="Times New Roman" w:cs="Times New Roman"/>
      <w:b/>
      <w:bCs/>
    </w:rPr>
  </w:style>
  <w:style w:type="character" w:customStyle="1" w:styleId="74">
    <w:name w:val="页眉 Char"/>
    <w:basedOn w:val="40"/>
    <w:qFormat/>
    <w:uiPriority w:val="99"/>
    <w:rPr>
      <w:sz w:val="18"/>
      <w:szCs w:val="18"/>
    </w:rPr>
  </w:style>
  <w:style w:type="character" w:customStyle="1" w:styleId="75">
    <w:name w:val="纯文本 Char"/>
    <w:basedOn w:val="40"/>
    <w:qFormat/>
    <w:uiPriority w:val="0"/>
    <w:rPr>
      <w:rFonts w:hint="eastAsia" w:ascii="宋体" w:hAnsi="Courier New" w:eastAsia="宋体" w:cs="宋体"/>
      <w:kern w:val="2"/>
      <w:sz w:val="21"/>
      <w:szCs w:val="21"/>
    </w:rPr>
  </w:style>
  <w:style w:type="paragraph" w:customStyle="1" w:styleId="76">
    <w:name w:val="Char Char Char1"/>
    <w:basedOn w:val="1"/>
    <w:qFormat/>
    <w:uiPriority w:val="0"/>
  </w:style>
  <w:style w:type="paragraph" w:customStyle="1" w:styleId="77">
    <w:name w:val="Char Char Char2"/>
    <w:basedOn w:val="1"/>
    <w:qFormat/>
    <w:uiPriority w:val="0"/>
  </w:style>
  <w:style w:type="paragraph" w:customStyle="1" w:styleId="78">
    <w:name w:val="表格文字"/>
    <w:basedOn w:val="1"/>
    <w:qFormat/>
    <w:uiPriority w:val="0"/>
    <w:pPr>
      <w:spacing w:before="25" w:after="25"/>
      <w:jc w:val="left"/>
    </w:pPr>
    <w:rPr>
      <w:rFonts w:asciiTheme="minorHAnsi" w:hAnsiTheme="minorHAnsi" w:eastAsiaTheme="minorEastAsia" w:cstheme="minorBidi"/>
      <w:bCs/>
      <w:spacing w:val="10"/>
      <w:kern w:val="0"/>
      <w:sz w:val="24"/>
      <w:szCs w:val="20"/>
    </w:rPr>
  </w:style>
  <w:style w:type="character" w:customStyle="1" w:styleId="79">
    <w:name w:val="正文文本 2 Char"/>
    <w:basedOn w:val="40"/>
    <w:link w:val="31"/>
    <w:semiHidden/>
    <w:qFormat/>
    <w:uiPriority w:val="99"/>
    <w:rPr>
      <w:kern w:val="2"/>
      <w:sz w:val="21"/>
      <w:szCs w:val="24"/>
    </w:rPr>
  </w:style>
  <w:style w:type="paragraph" w:customStyle="1" w:styleId="80">
    <w:name w:val="Table Paragraph"/>
    <w:basedOn w:val="1"/>
    <w:qFormat/>
    <w:uiPriority w:val="1"/>
    <w:rPr>
      <w:rFonts w:ascii="宋体" w:hAnsi="宋体" w:cs="宋体" w:eastAsiaTheme="minorEastAsia"/>
      <w:szCs w:val="22"/>
      <w:lang w:val="zh-CN" w:bidi="zh-CN"/>
    </w:rPr>
  </w:style>
  <w:style w:type="paragraph" w:customStyle="1" w:styleId="81">
    <w:name w:val="正文 New New New New"/>
    <w:qFormat/>
    <w:uiPriority w:val="0"/>
    <w:pPr>
      <w:widowControl w:val="0"/>
      <w:jc w:val="both"/>
    </w:pPr>
    <w:rPr>
      <w:rFonts w:ascii="Calibri" w:hAnsi="Calibri" w:eastAsia="宋体" w:cs="Times New Roman"/>
      <w:szCs w:val="24"/>
      <w:lang w:val="en-US" w:eastAsia="zh-CN" w:bidi="ar-SA"/>
    </w:rPr>
  </w:style>
  <w:style w:type="character" w:customStyle="1" w:styleId="82">
    <w:name w:val="正文文本 Char"/>
    <w:basedOn w:val="40"/>
    <w:link w:val="18"/>
    <w:qFormat/>
    <w:uiPriority w:val="99"/>
    <w:rPr>
      <w:kern w:val="2"/>
      <w:sz w:val="21"/>
      <w:szCs w:val="24"/>
    </w:rPr>
  </w:style>
  <w:style w:type="character" w:customStyle="1" w:styleId="83">
    <w:name w:val="正文首行缩进 Char"/>
    <w:basedOn w:val="82"/>
    <w:link w:val="36"/>
    <w:qFormat/>
    <w:uiPriority w:val="0"/>
    <w:rPr>
      <w:kern w:val="2"/>
      <w:sz w:val="21"/>
      <w:szCs w:val="24"/>
    </w:rPr>
  </w:style>
  <w:style w:type="paragraph" w:customStyle="1" w:styleId="84">
    <w:name w:val="Other|1"/>
    <w:basedOn w:val="1"/>
    <w:qFormat/>
    <w:uiPriority w:val="0"/>
    <w:pPr>
      <w:spacing w:line="268" w:lineRule="exact"/>
    </w:pPr>
    <w:rPr>
      <w:rFonts w:ascii="宋体" w:hAnsi="宋体" w:cs="宋体"/>
      <w:sz w:val="20"/>
      <w:szCs w:val="20"/>
      <w:lang w:val="zh-TW" w:eastAsia="zh-TW" w:bidi="zh-TW"/>
    </w:rPr>
  </w:style>
  <w:style w:type="character" w:customStyle="1" w:styleId="85">
    <w:name w:val="font41"/>
    <w:basedOn w:val="40"/>
    <w:qFormat/>
    <w:uiPriority w:val="0"/>
    <w:rPr>
      <w:rFonts w:hint="eastAsia" w:ascii="宋体" w:hAnsi="宋体" w:eastAsia="宋体" w:cs="宋体"/>
      <w:color w:val="000000"/>
      <w:sz w:val="18"/>
      <w:szCs w:val="18"/>
      <w:u w:val="none"/>
    </w:rPr>
  </w:style>
  <w:style w:type="character" w:customStyle="1" w:styleId="86">
    <w:name w:val="font61"/>
    <w:basedOn w:val="40"/>
    <w:qFormat/>
    <w:uiPriority w:val="0"/>
    <w:rPr>
      <w:rFonts w:hint="eastAsia" w:ascii="宋体" w:hAnsi="宋体" w:eastAsia="宋体" w:cs="宋体"/>
      <w:color w:val="000000"/>
      <w:sz w:val="20"/>
      <w:szCs w:val="20"/>
      <w:u w:val="none"/>
    </w:rPr>
  </w:style>
  <w:style w:type="paragraph" w:customStyle="1" w:styleId="87">
    <w:name w:val="标准正文样式"/>
    <w:basedOn w:val="88"/>
    <w:link w:val="103"/>
    <w:qFormat/>
    <w:uiPriority w:val="0"/>
    <w:pPr>
      <w:ind w:firstLine="200"/>
    </w:pPr>
  </w:style>
  <w:style w:type="paragraph" w:customStyle="1" w:styleId="88">
    <w:name w:val="样式 样式 正文首行缩进 2 + 首行缩进:  2 字符 + 首行缩进:  2 字符"/>
    <w:basedOn w:val="1"/>
    <w:qFormat/>
    <w:uiPriority w:val="0"/>
    <w:pPr>
      <w:spacing w:line="360" w:lineRule="auto"/>
      <w:ind w:firstLine="480" w:firstLineChars="200"/>
    </w:pPr>
    <w:rPr>
      <w:sz w:val="24"/>
      <w:szCs w:val="20"/>
    </w:rPr>
  </w:style>
  <w:style w:type="paragraph" w:customStyle="1" w:styleId="89">
    <w:name w:val="智业正文"/>
    <w:basedOn w:val="1"/>
    <w:link w:val="144"/>
    <w:qFormat/>
    <w:uiPriority w:val="0"/>
    <w:pPr>
      <w:ind w:firstLine="200" w:firstLineChars="200"/>
    </w:pPr>
    <w:rPr>
      <w:kern w:val="0"/>
      <w:szCs w:val="20"/>
    </w:rPr>
  </w:style>
  <w:style w:type="paragraph" w:customStyle="1" w:styleId="90">
    <w:name w:val="正文正文111"/>
    <w:basedOn w:val="1"/>
    <w:link w:val="140"/>
    <w:qFormat/>
    <w:uiPriority w:val="1"/>
    <w:pPr>
      <w:ind w:firstLine="200" w:firstLineChars="200"/>
      <w:jc w:val="left"/>
    </w:pPr>
    <w:rPr>
      <w:rFonts w:ascii="宋体" w:hAnsi="宋体"/>
      <w:szCs w:val="21"/>
    </w:rPr>
  </w:style>
  <w:style w:type="paragraph" w:customStyle="1" w:styleId="91">
    <w:name w:val="样式17"/>
    <w:basedOn w:val="92"/>
    <w:link w:val="145"/>
    <w:qFormat/>
    <w:uiPriority w:val="1"/>
    <w:pPr>
      <w:tabs>
        <w:tab w:val="left" w:pos="1064"/>
      </w:tabs>
      <w:ind w:left="1064" w:hanging="525"/>
    </w:pPr>
  </w:style>
  <w:style w:type="paragraph" w:customStyle="1" w:styleId="92">
    <w:name w:val="样式15"/>
    <w:basedOn w:val="90"/>
    <w:link w:val="141"/>
    <w:qFormat/>
    <w:uiPriority w:val="1"/>
    <w:pPr>
      <w:ind w:firstLine="0" w:firstLineChars="0"/>
    </w:pPr>
    <w:rPr>
      <w:rFonts w:ascii="Times New Roman" w:hAnsi="Times New Roman"/>
    </w:rPr>
  </w:style>
  <w:style w:type="paragraph" w:customStyle="1" w:styleId="93">
    <w:name w:val="标题 41"/>
    <w:basedOn w:val="1"/>
    <w:next w:val="1"/>
    <w:unhideWhenUsed/>
    <w:qFormat/>
    <w:uiPriority w:val="0"/>
    <w:pPr>
      <w:keepNext/>
      <w:keepLines/>
      <w:spacing w:before="280" w:after="290" w:line="376" w:lineRule="auto"/>
      <w:ind w:left="252"/>
      <w:outlineLvl w:val="3"/>
    </w:pPr>
    <w:rPr>
      <w:rFonts w:ascii="等线 Light" w:hAnsi="等线 Light" w:eastAsia="等线 Light"/>
      <w:b/>
      <w:bCs/>
      <w:kern w:val="0"/>
      <w:sz w:val="28"/>
      <w:szCs w:val="28"/>
    </w:rPr>
  </w:style>
  <w:style w:type="paragraph" w:customStyle="1" w:styleId="94">
    <w:name w:val="公卫正文"/>
    <w:basedOn w:val="1"/>
    <w:next w:val="1"/>
    <w:qFormat/>
    <w:uiPriority w:val="0"/>
    <w:pPr>
      <w:widowControl/>
      <w:ind w:firstLine="200" w:firstLineChars="200"/>
    </w:pPr>
    <w:rPr>
      <w:rFonts w:ascii="宋体" w:hAnsi="宋体" w:cs="微软雅黑"/>
      <w:kern w:val="0"/>
      <w:szCs w:val="21"/>
      <w:lang w:val="zh-CN"/>
    </w:rPr>
  </w:style>
  <w:style w:type="paragraph" w:customStyle="1" w:styleId="95">
    <w:name w:val="功能标注"/>
    <w:basedOn w:val="94"/>
    <w:qFormat/>
    <w:uiPriority w:val="0"/>
    <w:rPr>
      <w:rFonts w:ascii="Times New Roman" w:hAnsi="Times New Roman" w:cs="Times New Roman"/>
      <w:sz w:val="20"/>
      <w:szCs w:val="20"/>
      <w:lang w:val="en-US"/>
    </w:rPr>
  </w:style>
  <w:style w:type="paragraph" w:customStyle="1" w:styleId="96">
    <w:name w:val="样式4 NNNN"/>
    <w:basedOn w:val="5"/>
    <w:link w:val="124"/>
    <w:qFormat/>
    <w:uiPriority w:val="0"/>
    <w:pPr>
      <w:keepNext w:val="0"/>
      <w:keepLines w:val="0"/>
      <w:adjustRightInd/>
      <w:spacing w:line="372" w:lineRule="auto"/>
      <w:ind w:left="3984" w:hanging="864"/>
      <w:textAlignment w:val="auto"/>
    </w:pPr>
    <w:rPr>
      <w:rFonts w:ascii="宋体" w:hAnsi="宋体" w:eastAsia="宋体"/>
      <w:kern w:val="2"/>
      <w:sz w:val="24"/>
      <w:szCs w:val="24"/>
    </w:rPr>
  </w:style>
  <w:style w:type="paragraph" w:customStyle="1" w:styleId="97">
    <w:name w:val="正文缩进2字符"/>
    <w:basedOn w:val="1"/>
    <w:qFormat/>
    <w:uiPriority w:val="0"/>
    <w:pPr>
      <w:ind w:firstLine="480" w:firstLineChars="200"/>
    </w:pPr>
    <w:rPr>
      <w:rFonts w:cs="宋体"/>
      <w:szCs w:val="20"/>
    </w:rPr>
  </w:style>
  <w:style w:type="character" w:customStyle="1" w:styleId="98">
    <w:name w:val="标题 1 Char1"/>
    <w:qFormat/>
    <w:uiPriority w:val="99"/>
    <w:rPr>
      <w:rFonts w:eastAsia="黑体"/>
      <w:bCs/>
      <w:kern w:val="44"/>
      <w:sz w:val="36"/>
      <w:szCs w:val="44"/>
    </w:rPr>
  </w:style>
  <w:style w:type="character" w:customStyle="1" w:styleId="99">
    <w:name w:val="标题 2 Char1"/>
    <w:qFormat/>
    <w:uiPriority w:val="99"/>
    <w:rPr>
      <w:rFonts w:ascii="Arial" w:hAnsi="Arial"/>
      <w:b/>
      <w:bCs/>
      <w:sz w:val="24"/>
      <w:szCs w:val="32"/>
    </w:rPr>
  </w:style>
  <w:style w:type="character" w:customStyle="1" w:styleId="100">
    <w:name w:val="正文缩进 Char"/>
    <w:link w:val="13"/>
    <w:qFormat/>
    <w:uiPriority w:val="0"/>
    <w:rPr>
      <w:kern w:val="2"/>
      <w:sz w:val="21"/>
      <w:szCs w:val="24"/>
    </w:rPr>
  </w:style>
  <w:style w:type="character" w:customStyle="1" w:styleId="101">
    <w:name w:val="文档结构图 Char"/>
    <w:basedOn w:val="40"/>
    <w:link w:val="15"/>
    <w:qFormat/>
    <w:uiPriority w:val="0"/>
    <w:rPr>
      <w:kern w:val="2"/>
      <w:sz w:val="24"/>
      <w:szCs w:val="24"/>
      <w:shd w:val="clear" w:color="auto" w:fill="000080"/>
    </w:rPr>
  </w:style>
  <w:style w:type="character" w:customStyle="1" w:styleId="102">
    <w:name w:val="日期 Char"/>
    <w:basedOn w:val="40"/>
    <w:link w:val="24"/>
    <w:qFormat/>
    <w:uiPriority w:val="99"/>
    <w:rPr>
      <w:kern w:val="2"/>
      <w:sz w:val="24"/>
      <w:szCs w:val="24"/>
    </w:rPr>
  </w:style>
  <w:style w:type="character" w:customStyle="1" w:styleId="103">
    <w:name w:val="标准正文样式 Char"/>
    <w:link w:val="87"/>
    <w:qFormat/>
    <w:uiPriority w:val="0"/>
    <w:rPr>
      <w:kern w:val="2"/>
      <w:sz w:val="24"/>
    </w:rPr>
  </w:style>
  <w:style w:type="character" w:customStyle="1" w:styleId="104">
    <w:name w:val="正文编号1 Char"/>
    <w:qFormat/>
    <w:uiPriority w:val="0"/>
    <w:rPr>
      <w:rFonts w:ascii="Arial" w:hAnsi="Arial" w:eastAsia="仿宋_GB2312"/>
      <w:kern w:val="2"/>
      <w:sz w:val="28"/>
      <w:szCs w:val="32"/>
      <w:lang w:val="en-US" w:eastAsia="zh-CN" w:bidi="ar-SA"/>
    </w:rPr>
  </w:style>
  <w:style w:type="character" w:customStyle="1" w:styleId="105">
    <w:name w:val="font11"/>
    <w:basedOn w:val="40"/>
    <w:qFormat/>
    <w:uiPriority w:val="0"/>
    <w:rPr>
      <w:rFonts w:hint="eastAsia" w:ascii="宋体" w:hAnsi="宋体" w:eastAsia="宋体" w:cs="宋体"/>
      <w:b/>
      <w:color w:val="000000"/>
      <w:sz w:val="18"/>
      <w:szCs w:val="18"/>
      <w:u w:val="none"/>
    </w:rPr>
  </w:style>
  <w:style w:type="character" w:customStyle="1" w:styleId="106">
    <w:name w:val="font31"/>
    <w:basedOn w:val="40"/>
    <w:qFormat/>
    <w:uiPriority w:val="0"/>
    <w:rPr>
      <w:rFonts w:hint="eastAsia" w:ascii="宋体" w:hAnsi="宋体" w:eastAsia="宋体" w:cs="宋体"/>
      <w:color w:val="000000"/>
      <w:sz w:val="18"/>
      <w:szCs w:val="18"/>
      <w:u w:val="none"/>
    </w:rPr>
  </w:style>
  <w:style w:type="character" w:customStyle="1" w:styleId="107">
    <w:name w:val="font81"/>
    <w:qFormat/>
    <w:uiPriority w:val="0"/>
    <w:rPr>
      <w:rFonts w:hint="eastAsia" w:ascii="等线" w:hAnsi="等线" w:eastAsia="等线" w:cs="等线"/>
      <w:color w:val="000000"/>
      <w:sz w:val="20"/>
      <w:szCs w:val="20"/>
      <w:u w:val="none"/>
    </w:rPr>
  </w:style>
  <w:style w:type="paragraph" w:customStyle="1" w:styleId="108">
    <w:name w:val="彩色列表 - 着色 11"/>
    <w:basedOn w:val="1"/>
    <w:qFormat/>
    <w:uiPriority w:val="34"/>
    <w:pPr>
      <w:spacing w:line="360" w:lineRule="auto"/>
      <w:ind w:firstLine="420" w:firstLineChars="200"/>
    </w:pPr>
    <w:rPr>
      <w:rFonts w:ascii="Calibri" w:hAnsi="Calibri"/>
      <w:sz w:val="24"/>
      <w:szCs w:val="22"/>
    </w:rPr>
  </w:style>
  <w:style w:type="character" w:customStyle="1" w:styleId="109">
    <w:name w:val="列出段落 Char"/>
    <w:link w:val="48"/>
    <w:qFormat/>
    <w:locked/>
    <w:uiPriority w:val="34"/>
    <w:rPr>
      <w:rFonts w:ascii="Calibri" w:hAnsi="Calibri"/>
      <w:kern w:val="2"/>
      <w:sz w:val="21"/>
      <w:szCs w:val="22"/>
    </w:rPr>
  </w:style>
  <w:style w:type="paragraph" w:customStyle="1" w:styleId="110">
    <w:name w:val="Char1"/>
    <w:basedOn w:val="1"/>
    <w:qFormat/>
    <w:uiPriority w:val="0"/>
    <w:pPr>
      <w:spacing w:line="360" w:lineRule="auto"/>
    </w:pPr>
    <w:rPr>
      <w:sz w:val="24"/>
    </w:rPr>
  </w:style>
  <w:style w:type="paragraph" w:customStyle="1" w:styleId="111">
    <w:name w:val="标题-正文"/>
    <w:basedOn w:val="1"/>
    <w:qFormat/>
    <w:uiPriority w:val="7"/>
    <w:pPr>
      <w:spacing w:before="60" w:after="60" w:line="360" w:lineRule="auto"/>
      <w:ind w:firstLine="480" w:firstLineChars="200"/>
    </w:pPr>
    <w:rPr>
      <w:sz w:val="24"/>
    </w:rPr>
  </w:style>
  <w:style w:type="paragraph" w:customStyle="1" w:styleId="112">
    <w:name w:val="列表段落1"/>
    <w:basedOn w:val="1"/>
    <w:qFormat/>
    <w:uiPriority w:val="0"/>
    <w:pPr>
      <w:spacing w:line="360" w:lineRule="auto"/>
      <w:ind w:firstLine="420" w:firstLineChars="200"/>
    </w:pPr>
    <w:rPr>
      <w:sz w:val="24"/>
    </w:rPr>
  </w:style>
  <w:style w:type="paragraph" w:customStyle="1" w:styleId="113">
    <w:name w:val="!BECC正文"/>
    <w:next w:val="1"/>
    <w:qFormat/>
    <w:uiPriority w:val="0"/>
    <w:pPr>
      <w:widowControl w:val="0"/>
      <w:tabs>
        <w:tab w:val="left" w:pos="0"/>
      </w:tabs>
      <w:spacing w:beforeLines="50" w:line="400" w:lineRule="exact"/>
      <w:ind w:firstLine="200" w:firstLineChars="200"/>
      <w:contextualSpacing/>
      <w:jc w:val="both"/>
    </w:pPr>
    <w:rPr>
      <w:rFonts w:ascii="Calibri" w:hAnsi="Calibri" w:eastAsia="宋体" w:cs="Arial"/>
      <w:kern w:val="2"/>
      <w:sz w:val="24"/>
      <w:szCs w:val="24"/>
      <w:lang w:val="en-US" w:eastAsia="zh-CN" w:bidi="ar-SA"/>
    </w:rPr>
  </w:style>
  <w:style w:type="paragraph" w:customStyle="1" w:styleId="114">
    <w:name w:val="Char"/>
    <w:basedOn w:val="1"/>
    <w:qFormat/>
    <w:uiPriority w:val="0"/>
    <w:pPr>
      <w:spacing w:line="360" w:lineRule="auto"/>
    </w:pPr>
    <w:rPr>
      <w:sz w:val="24"/>
    </w:rPr>
  </w:style>
  <w:style w:type="paragraph" w:customStyle="1" w:styleId="115">
    <w:name w:val="列出段落2"/>
    <w:basedOn w:val="1"/>
    <w:qFormat/>
    <w:uiPriority w:val="34"/>
    <w:pPr>
      <w:spacing w:line="360" w:lineRule="auto"/>
      <w:ind w:firstLine="420" w:firstLineChars="200"/>
    </w:pPr>
  </w:style>
  <w:style w:type="paragraph" w:customStyle="1" w:styleId="116">
    <w:name w:val="样式 正文缩进 + 首行缩进:  2 字符"/>
    <w:basedOn w:val="13"/>
    <w:qFormat/>
    <w:uiPriority w:val="99"/>
    <w:pPr>
      <w:spacing w:line="360" w:lineRule="auto"/>
      <w:ind w:firstLine="200" w:firstLineChars="0"/>
    </w:pPr>
    <w:rPr>
      <w:rFonts w:cs="宋体"/>
      <w:szCs w:val="20"/>
    </w:rPr>
  </w:style>
  <w:style w:type="paragraph" w:customStyle="1" w:styleId="117">
    <w:name w:val="_Style 1880"/>
    <w:basedOn w:val="1"/>
    <w:next w:val="108"/>
    <w:qFormat/>
    <w:uiPriority w:val="34"/>
    <w:pPr>
      <w:spacing w:line="360" w:lineRule="auto"/>
      <w:ind w:firstLine="420" w:firstLineChars="200"/>
    </w:pPr>
    <w:rPr>
      <w:rFonts w:ascii="Calibri" w:hAnsi="Calibri" w:eastAsia="微软雅黑"/>
      <w:kern w:val="0"/>
      <w:sz w:val="20"/>
    </w:rPr>
  </w:style>
  <w:style w:type="paragraph" w:customStyle="1" w:styleId="118">
    <w:name w:val="正文不空"/>
    <w:basedOn w:val="1"/>
    <w:qFormat/>
    <w:uiPriority w:val="0"/>
    <w:pPr>
      <w:spacing w:line="360" w:lineRule="auto"/>
      <w:jc w:val="center"/>
    </w:pPr>
    <w:rPr>
      <w:rFonts w:ascii="Arial" w:hAnsi="Arial" w:eastAsia="仿宋_GB2312"/>
      <w:sz w:val="28"/>
      <w:szCs w:val="32"/>
    </w:rPr>
  </w:style>
  <w:style w:type="paragraph" w:customStyle="1" w:styleId="119">
    <w:name w:val="_Style 19"/>
    <w:basedOn w:val="1"/>
    <w:next w:val="112"/>
    <w:qFormat/>
    <w:uiPriority w:val="0"/>
    <w:pPr>
      <w:spacing w:line="360" w:lineRule="auto"/>
      <w:ind w:firstLine="420" w:firstLineChars="200"/>
    </w:pPr>
    <w:rPr>
      <w:sz w:val="24"/>
    </w:rPr>
  </w:style>
  <w:style w:type="paragraph" w:customStyle="1" w:styleId="120">
    <w:name w:val="H正文"/>
    <w:basedOn w:val="1"/>
    <w:qFormat/>
    <w:uiPriority w:val="0"/>
    <w:pPr>
      <w:spacing w:before="60" w:after="60" w:line="360" w:lineRule="auto"/>
      <w:ind w:firstLine="480" w:firstLineChars="200"/>
    </w:pPr>
    <w:rPr>
      <w:sz w:val="24"/>
    </w:rPr>
  </w:style>
  <w:style w:type="paragraph" w:styleId="121">
    <w:name w:val="No Spacing"/>
    <w:qFormat/>
    <w:uiPriority w:val="99"/>
    <w:pPr>
      <w:widowControl w:val="0"/>
      <w:spacing w:line="360" w:lineRule="auto"/>
      <w:ind w:firstLine="200" w:firstLineChars="200"/>
      <w:jc w:val="both"/>
    </w:pPr>
    <w:rPr>
      <w:rFonts w:ascii="Calibri" w:hAnsi="Calibri" w:eastAsia="宋体" w:cs="Times New Roman"/>
      <w:kern w:val="2"/>
      <w:sz w:val="21"/>
      <w:szCs w:val="21"/>
      <w:lang w:val="en-US" w:eastAsia="zh-CN" w:bidi="ar-SA"/>
    </w:rPr>
  </w:style>
  <w:style w:type="character" w:customStyle="1" w:styleId="122">
    <w:name w:val="_正文段落 Char"/>
    <w:link w:val="123"/>
    <w:qFormat/>
    <w:uiPriority w:val="0"/>
    <w:rPr>
      <w:rFonts w:ascii="宋体" w:hAnsi="宋体"/>
      <w:sz w:val="24"/>
      <w:szCs w:val="24"/>
    </w:rPr>
  </w:style>
  <w:style w:type="paragraph" w:customStyle="1" w:styleId="123">
    <w:name w:val="_正文段落"/>
    <w:basedOn w:val="1"/>
    <w:link w:val="122"/>
    <w:qFormat/>
    <w:uiPriority w:val="0"/>
    <w:pPr>
      <w:widowControl/>
      <w:spacing w:beforeLines="15" w:afterLines="15" w:line="360" w:lineRule="auto"/>
      <w:ind w:firstLine="480" w:firstLineChars="200"/>
    </w:pPr>
    <w:rPr>
      <w:rFonts w:ascii="宋体" w:hAnsi="宋体"/>
      <w:kern w:val="0"/>
      <w:sz w:val="24"/>
    </w:rPr>
  </w:style>
  <w:style w:type="character" w:customStyle="1" w:styleId="124">
    <w:name w:val="样式4 NNNN 字符"/>
    <w:link w:val="96"/>
    <w:qFormat/>
    <w:uiPriority w:val="0"/>
    <w:rPr>
      <w:rFonts w:ascii="宋体" w:hAnsi="宋体"/>
      <w:b/>
      <w:bCs/>
      <w:kern w:val="2"/>
      <w:sz w:val="24"/>
      <w:szCs w:val="24"/>
    </w:rPr>
  </w:style>
  <w:style w:type="paragraph" w:customStyle="1" w:styleId="125">
    <w:name w:val="样式5 NNNN"/>
    <w:basedOn w:val="6"/>
    <w:link w:val="126"/>
    <w:qFormat/>
    <w:uiPriority w:val="0"/>
    <w:pPr>
      <w:adjustRightInd/>
      <w:spacing w:line="372" w:lineRule="auto"/>
      <w:ind w:left="1008" w:hanging="1008"/>
      <w:jc w:val="both"/>
      <w:textAlignment w:val="auto"/>
    </w:pPr>
    <w:rPr>
      <w:rFonts w:ascii="宋体" w:hAnsi="宋体"/>
      <w:bCs w:val="0"/>
      <w:kern w:val="2"/>
      <w:sz w:val="24"/>
      <w:szCs w:val="24"/>
    </w:rPr>
  </w:style>
  <w:style w:type="character" w:customStyle="1" w:styleId="126">
    <w:name w:val="样式5 NNNN 字符"/>
    <w:link w:val="125"/>
    <w:qFormat/>
    <w:uiPriority w:val="0"/>
    <w:rPr>
      <w:rFonts w:ascii="宋体" w:hAnsi="宋体"/>
      <w:b/>
      <w:kern w:val="2"/>
      <w:sz w:val="24"/>
      <w:szCs w:val="24"/>
    </w:rPr>
  </w:style>
  <w:style w:type="paragraph" w:customStyle="1" w:styleId="127">
    <w:name w:val="样式6 NNNN"/>
    <w:basedOn w:val="7"/>
    <w:link w:val="128"/>
    <w:qFormat/>
    <w:uiPriority w:val="0"/>
    <w:pPr>
      <w:adjustRightInd/>
      <w:spacing w:line="317" w:lineRule="auto"/>
      <w:ind w:left="1151" w:hanging="1151"/>
      <w:jc w:val="both"/>
      <w:textAlignment w:val="auto"/>
    </w:pPr>
    <w:rPr>
      <w:rFonts w:ascii="宋体" w:hAnsi="宋体" w:eastAsia="宋体"/>
      <w:bCs w:val="0"/>
      <w:kern w:val="2"/>
    </w:rPr>
  </w:style>
  <w:style w:type="character" w:customStyle="1" w:styleId="128">
    <w:name w:val="样式6 NNNN 字符"/>
    <w:link w:val="127"/>
    <w:qFormat/>
    <w:uiPriority w:val="0"/>
    <w:rPr>
      <w:rFonts w:ascii="宋体" w:hAnsi="宋体"/>
      <w:b/>
      <w:kern w:val="2"/>
      <w:sz w:val="24"/>
      <w:szCs w:val="24"/>
    </w:rPr>
  </w:style>
  <w:style w:type="paragraph" w:customStyle="1" w:styleId="129">
    <w:name w:val="正文ttt"/>
    <w:basedOn w:val="1"/>
    <w:link w:val="130"/>
    <w:qFormat/>
    <w:uiPriority w:val="0"/>
    <w:pPr>
      <w:spacing w:line="360" w:lineRule="auto"/>
      <w:ind w:firstLine="482"/>
    </w:pPr>
    <w:rPr>
      <w:sz w:val="24"/>
    </w:rPr>
  </w:style>
  <w:style w:type="character" w:customStyle="1" w:styleId="130">
    <w:name w:val="正文ttt 字符"/>
    <w:link w:val="129"/>
    <w:qFormat/>
    <w:uiPriority w:val="0"/>
    <w:rPr>
      <w:kern w:val="2"/>
      <w:sz w:val="24"/>
      <w:szCs w:val="24"/>
    </w:rPr>
  </w:style>
  <w:style w:type="character" w:customStyle="1" w:styleId="131">
    <w:name w:val="font21"/>
    <w:qFormat/>
    <w:uiPriority w:val="0"/>
    <w:rPr>
      <w:rFonts w:hint="eastAsia" w:ascii="宋体" w:hAnsi="宋体" w:eastAsia="宋体" w:cs="宋体"/>
      <w:color w:val="000000"/>
      <w:sz w:val="18"/>
      <w:szCs w:val="18"/>
      <w:u w:val="none"/>
    </w:rPr>
  </w:style>
  <w:style w:type="paragraph" w:customStyle="1" w:styleId="132">
    <w:name w:val="公卫表格标题"/>
    <w:basedOn w:val="1"/>
    <w:qFormat/>
    <w:uiPriority w:val="0"/>
    <w:pPr>
      <w:spacing w:line="360" w:lineRule="auto"/>
      <w:jc w:val="center"/>
    </w:pPr>
    <w:rPr>
      <w:b/>
      <w:kern w:val="0"/>
      <w:sz w:val="20"/>
      <w:szCs w:val="20"/>
    </w:rPr>
  </w:style>
  <w:style w:type="paragraph" w:customStyle="1" w:styleId="133">
    <w:name w:val="公卫表格正文"/>
    <w:basedOn w:val="1"/>
    <w:qFormat/>
    <w:uiPriority w:val="0"/>
    <w:pPr>
      <w:spacing w:line="276" w:lineRule="auto"/>
    </w:pPr>
    <w:rPr>
      <w:kern w:val="0"/>
      <w:sz w:val="20"/>
      <w:szCs w:val="20"/>
    </w:rPr>
  </w:style>
  <w:style w:type="paragraph" w:customStyle="1" w:styleId="134">
    <w:name w:val="标题4"/>
    <w:basedOn w:val="5"/>
    <w:qFormat/>
    <w:uiPriority w:val="0"/>
    <w:pPr>
      <w:keepNext w:val="0"/>
      <w:keepLines w:val="0"/>
      <w:widowControl/>
      <w:numPr>
        <w:ilvl w:val="0"/>
        <w:numId w:val="0"/>
      </w:numPr>
      <w:tabs>
        <w:tab w:val="left" w:pos="1247"/>
      </w:tabs>
      <w:adjustRightInd/>
      <w:spacing w:before="120" w:after="0" w:line="240" w:lineRule="auto"/>
      <w:ind w:left="252"/>
      <w:textAlignment w:val="auto"/>
    </w:pPr>
    <w:rPr>
      <w:rFonts w:eastAsia="宋体"/>
      <w:iCs/>
      <w:sz w:val="21"/>
      <w:szCs w:val="20"/>
      <w:lang w:val="pt-BR" w:eastAsia="en-US"/>
    </w:rPr>
  </w:style>
  <w:style w:type="paragraph" w:customStyle="1" w:styleId="135">
    <w:name w:val="__正文"/>
    <w:basedOn w:val="136"/>
    <w:next w:val="136"/>
    <w:qFormat/>
    <w:uiPriority w:val="0"/>
    <w:pPr>
      <w:tabs>
        <w:tab w:val="left" w:pos="432"/>
      </w:tabs>
    </w:pPr>
  </w:style>
  <w:style w:type="paragraph" w:customStyle="1" w:styleId="136">
    <w:name w:val="_正文"/>
    <w:basedOn w:val="2"/>
    <w:next w:val="1"/>
    <w:qFormat/>
    <w:uiPriority w:val="0"/>
    <w:pPr>
      <w:keepNext w:val="0"/>
      <w:keepLines w:val="0"/>
      <w:numPr>
        <w:numId w:val="0"/>
      </w:numPr>
      <w:adjustRightInd/>
      <w:spacing w:beforeLines="50" w:after="0" w:line="360" w:lineRule="auto"/>
      <w:jc w:val="center"/>
      <w:textAlignment w:val="auto"/>
      <w:outlineLvl w:val="9"/>
    </w:pPr>
    <w:rPr>
      <w:b w:val="0"/>
      <w:bCs w:val="0"/>
      <w:kern w:val="2"/>
      <w:sz w:val="21"/>
      <w:szCs w:val="24"/>
    </w:rPr>
  </w:style>
  <w:style w:type="paragraph" w:customStyle="1" w:styleId="137">
    <w:name w:val="正文360首行缩进"/>
    <w:basedOn w:val="1"/>
    <w:qFormat/>
    <w:uiPriority w:val="0"/>
    <w:pPr>
      <w:widowControl/>
      <w:spacing w:after="50" w:line="300" w:lineRule="auto"/>
      <w:ind w:firstLine="200" w:firstLineChars="200"/>
      <w:jc w:val="left"/>
    </w:pPr>
    <w:rPr>
      <w:rFonts w:ascii="Arial" w:hAnsi="Arial"/>
      <w:kern w:val="0"/>
      <w:szCs w:val="21"/>
    </w:rPr>
  </w:style>
  <w:style w:type="paragraph" w:customStyle="1" w:styleId="138">
    <w:name w:val="样式 首行缩进:  2 字符5"/>
    <w:basedOn w:val="1"/>
    <w:qFormat/>
    <w:uiPriority w:val="0"/>
    <w:pPr>
      <w:spacing w:before="120" w:line="360" w:lineRule="auto"/>
      <w:ind w:firstLine="480" w:firstLineChars="200"/>
    </w:pPr>
    <w:rPr>
      <w:rFonts w:cs="宋体"/>
      <w:sz w:val="24"/>
      <w:szCs w:val="20"/>
    </w:rPr>
  </w:style>
  <w:style w:type="table" w:customStyle="1" w:styleId="139">
    <w:name w:val="网格型2"/>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0">
    <w:name w:val="正文正文111 Char"/>
    <w:link w:val="90"/>
    <w:qFormat/>
    <w:uiPriority w:val="1"/>
    <w:rPr>
      <w:rFonts w:ascii="宋体" w:hAnsi="宋体"/>
      <w:kern w:val="2"/>
      <w:sz w:val="21"/>
      <w:szCs w:val="21"/>
    </w:rPr>
  </w:style>
  <w:style w:type="character" w:customStyle="1" w:styleId="141">
    <w:name w:val="样式15 Char"/>
    <w:link w:val="92"/>
    <w:qFormat/>
    <w:uiPriority w:val="1"/>
    <w:rPr>
      <w:kern w:val="2"/>
      <w:sz w:val="21"/>
      <w:szCs w:val="21"/>
    </w:rPr>
  </w:style>
  <w:style w:type="character" w:customStyle="1" w:styleId="142">
    <w:name w:val="表格正文 Char Char"/>
    <w:link w:val="143"/>
    <w:qFormat/>
    <w:uiPriority w:val="4"/>
    <w:rPr>
      <w:rFonts w:ascii="Calibri" w:hAnsi="Calibri"/>
      <w:szCs w:val="21"/>
    </w:rPr>
  </w:style>
  <w:style w:type="paragraph" w:customStyle="1" w:styleId="143">
    <w:name w:val="表格正文"/>
    <w:link w:val="142"/>
    <w:qFormat/>
    <w:uiPriority w:val="4"/>
    <w:pPr>
      <w:spacing w:line="276" w:lineRule="auto"/>
      <w:jc w:val="center"/>
    </w:pPr>
    <w:rPr>
      <w:rFonts w:ascii="Calibri" w:hAnsi="Calibri" w:eastAsia="宋体" w:cs="Times New Roman"/>
      <w:szCs w:val="21"/>
      <w:lang w:val="en-US" w:eastAsia="zh-CN" w:bidi="ar-SA"/>
    </w:rPr>
  </w:style>
  <w:style w:type="character" w:customStyle="1" w:styleId="144">
    <w:name w:val="智业正文 Char Char"/>
    <w:link w:val="89"/>
    <w:qFormat/>
    <w:uiPriority w:val="0"/>
    <w:rPr>
      <w:sz w:val="21"/>
    </w:rPr>
  </w:style>
  <w:style w:type="character" w:customStyle="1" w:styleId="145">
    <w:name w:val="样式17 Char"/>
    <w:link w:val="91"/>
    <w:qFormat/>
    <w:uiPriority w:val="1"/>
    <w:rPr>
      <w:kern w:val="2"/>
      <w:sz w:val="21"/>
      <w:szCs w:val="21"/>
    </w:rPr>
  </w:style>
  <w:style w:type="paragraph" w:customStyle="1" w:styleId="146">
    <w:name w:val="H图片文字"/>
    <w:basedOn w:val="1"/>
    <w:link w:val="147"/>
    <w:qFormat/>
    <w:uiPriority w:val="1"/>
    <w:pPr>
      <w:spacing w:line="360" w:lineRule="auto"/>
      <w:jc w:val="center"/>
    </w:pPr>
  </w:style>
  <w:style w:type="character" w:customStyle="1" w:styleId="147">
    <w:name w:val="H图片文字 Char"/>
    <w:link w:val="146"/>
    <w:qFormat/>
    <w:uiPriority w:val="1"/>
    <w:rPr>
      <w:kern w:val="2"/>
      <w:sz w:val="21"/>
      <w:szCs w:val="24"/>
    </w:rPr>
  </w:style>
  <w:style w:type="paragraph" w:customStyle="1" w:styleId="148">
    <w:name w:val="标题 21"/>
    <w:basedOn w:val="1"/>
    <w:next w:val="1"/>
    <w:unhideWhenUsed/>
    <w:qFormat/>
    <w:uiPriority w:val="99"/>
    <w:pPr>
      <w:spacing w:before="260" w:after="260" w:line="416" w:lineRule="auto"/>
      <w:outlineLvl w:val="1"/>
    </w:pPr>
    <w:rPr>
      <w:rFonts w:ascii="Cambria" w:hAnsi="Cambria"/>
      <w:b/>
      <w:bCs/>
      <w:sz w:val="32"/>
      <w:szCs w:val="32"/>
    </w:rPr>
  </w:style>
  <w:style w:type="paragraph" w:customStyle="1" w:styleId="149">
    <w:name w:val="标题 31"/>
    <w:basedOn w:val="1"/>
    <w:next w:val="1"/>
    <w:unhideWhenUsed/>
    <w:qFormat/>
    <w:uiPriority w:val="99"/>
    <w:pPr>
      <w:spacing w:before="260" w:after="260" w:line="416" w:lineRule="auto"/>
      <w:outlineLvl w:val="2"/>
    </w:pPr>
    <w:rPr>
      <w:b/>
      <w:bCs/>
      <w:sz w:val="32"/>
      <w:szCs w:val="32"/>
    </w:rPr>
  </w:style>
  <w:style w:type="paragraph" w:customStyle="1" w:styleId="150">
    <w:name w:val="修订1"/>
    <w:unhideWhenUsed/>
    <w:qFormat/>
    <w:uiPriority w:val="99"/>
    <w:rPr>
      <w:rFonts w:ascii="Times New Roman" w:hAnsi="Times New Roman" w:eastAsia="宋体" w:cs="Times New Roman"/>
      <w:kern w:val="2"/>
      <w:sz w:val="24"/>
      <w:szCs w:val="24"/>
      <w:lang w:val="en-US" w:eastAsia="zh-CN" w:bidi="ar-SA"/>
    </w:rPr>
  </w:style>
  <w:style w:type="paragraph" w:customStyle="1" w:styleId="151">
    <w:name w:val="首行缩进"/>
    <w:basedOn w:val="1"/>
    <w:qFormat/>
    <w:uiPriority w:val="0"/>
    <w:pPr>
      <w:spacing w:line="360" w:lineRule="auto"/>
      <w:ind w:firstLine="480" w:firstLineChars="200"/>
    </w:pPr>
    <w:rPr>
      <w:rFonts w:ascii="仿宋" w:hAnsi="仿宋" w:eastAsia="仿宋"/>
      <w:sz w:val="24"/>
      <w:szCs w:val="22"/>
      <w:lang w:val="zh-CN"/>
    </w:rPr>
  </w:style>
  <w:style w:type="table" w:customStyle="1" w:styleId="152">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153">
    <w:name w:val="font01"/>
    <w:basedOn w:val="40"/>
    <w:qFormat/>
    <w:uiPriority w:val="0"/>
    <w:rPr>
      <w:rFonts w:hint="eastAsia" w:ascii="宋体" w:hAnsi="宋体" w:eastAsia="宋体" w:cs="宋体"/>
      <w:b/>
      <w:bCs/>
      <w:color w:val="000000"/>
      <w:sz w:val="18"/>
      <w:szCs w:val="18"/>
      <w:u w:val="none"/>
    </w:rPr>
  </w:style>
  <w:style w:type="character" w:customStyle="1" w:styleId="154">
    <w:name w:val="font91"/>
    <w:basedOn w:val="40"/>
    <w:qFormat/>
    <w:uiPriority w:val="0"/>
    <w:rPr>
      <w:rFonts w:hint="default" w:ascii="Times New Roman" w:hAnsi="Times New Roman" w:cs="Times New Roman"/>
      <w:color w:val="000000"/>
      <w:sz w:val="21"/>
      <w:szCs w:val="21"/>
      <w:u w:val="none"/>
    </w:rPr>
  </w:style>
  <w:style w:type="paragraph" w:customStyle="1" w:styleId="155">
    <w:name w:val="修订11"/>
    <w:unhideWhenUsed/>
    <w:qFormat/>
    <w:uiPriority w:val="99"/>
    <w:rPr>
      <w:rFonts w:ascii="Times New Roman" w:hAnsi="Times New Roman" w:eastAsia="宋体" w:cs="Times New Roman"/>
      <w:kern w:val="2"/>
      <w:sz w:val="24"/>
      <w:szCs w:val="24"/>
      <w:lang w:val="en-US" w:eastAsia="zh-CN" w:bidi="ar-SA"/>
    </w:rPr>
  </w:style>
  <w:style w:type="paragraph" w:customStyle="1" w:styleId="156">
    <w:name w:val="一级条标题"/>
    <w:basedOn w:val="157"/>
    <w:next w:val="158"/>
    <w:qFormat/>
    <w:uiPriority w:val="0"/>
    <w:pPr>
      <w:numPr>
        <w:ilvl w:val="2"/>
      </w:numPr>
      <w:spacing w:beforeLines="0" w:afterLines="0"/>
      <w:outlineLvl w:val="2"/>
    </w:pPr>
  </w:style>
  <w:style w:type="paragraph" w:customStyle="1" w:styleId="157">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158">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59">
    <w:name w:val="标题 Char"/>
    <w:basedOn w:val="40"/>
    <w:link w:val="34"/>
    <w:qFormat/>
    <w:uiPriority w:val="0"/>
    <w:rPr>
      <w:kern w:val="2"/>
      <w:sz w:val="30"/>
      <w:szCs w:val="24"/>
    </w:rPr>
  </w:style>
  <w:style w:type="character" w:customStyle="1" w:styleId="160">
    <w:name w:val="正文首行缩进 2 Char"/>
    <w:basedOn w:val="67"/>
    <w:link w:val="37"/>
    <w:qFormat/>
    <w:uiPriority w:val="0"/>
    <w:rPr>
      <w:rFonts w:ascii="Times New Roman" w:hAnsi="Times New Roman" w:eastAsia="宋体" w:cs="Times New Roman"/>
      <w:kern w:val="0"/>
      <w:sz w:val="24"/>
      <w:szCs w:val="20"/>
    </w:rPr>
  </w:style>
  <w:style w:type="character" w:customStyle="1" w:styleId="161">
    <w:name w:val="标题 3 Char1"/>
    <w:basedOn w:val="40"/>
    <w:qFormat/>
    <w:uiPriority w:val="9"/>
    <w:rPr>
      <w:rFonts w:ascii="Times New Roman" w:hAnsi="Times New Roman" w:eastAsia="宋体" w:cs="Times New Roman"/>
      <w:b/>
      <w:bCs/>
      <w:kern w:val="0"/>
      <w:sz w:val="32"/>
      <w:szCs w:val="32"/>
    </w:rPr>
  </w:style>
  <w:style w:type="character" w:customStyle="1" w:styleId="162">
    <w:name w:val="HTML 预设格式 Char"/>
    <w:basedOn w:val="40"/>
    <w:link w:val="32"/>
    <w:qFormat/>
    <w:uiPriority w:val="99"/>
    <w:rPr>
      <w:rFonts w:ascii="宋体" w:hAnsi="宋体"/>
      <w:sz w:val="24"/>
      <w:szCs w:val="24"/>
    </w:rPr>
  </w:style>
  <w:style w:type="paragraph" w:customStyle="1" w:styleId="163">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64">
    <w:name w:val="NormalCharacter"/>
    <w:qFormat/>
    <w:uiPriority w:val="0"/>
    <w:rPr>
      <w:rFonts w:ascii="Times New Roman" w:hAnsi="Times New Roman"/>
      <w:kern w:val="2"/>
      <w:sz w:val="21"/>
      <w:szCs w:val="24"/>
      <w:lang w:val="en-US" w:eastAsia="zh-CN" w:bidi="ar-SA"/>
    </w:rPr>
  </w:style>
  <w:style w:type="paragraph" w:customStyle="1" w:styleId="165">
    <w:name w:val="正文+宋体"/>
    <w:basedOn w:val="66"/>
    <w:qFormat/>
    <w:uiPriority w:val="0"/>
    <w:pPr>
      <w:adjustRightInd/>
      <w:snapToGrid w:val="0"/>
      <w:spacing w:line="600" w:lineRule="exact"/>
      <w:ind w:firstLine="600" w:firstLineChars="200"/>
      <w:textAlignment w:val="auto"/>
    </w:pPr>
    <w:rPr>
      <w:spacing w:val="10"/>
      <w:kern w:val="2"/>
      <w:sz w:val="28"/>
      <w:szCs w:val="28"/>
    </w:rPr>
  </w:style>
  <w:style w:type="character" w:customStyle="1" w:styleId="166">
    <w:name w:val="bumpedfont20"/>
    <w:qFormat/>
    <w:uiPriority w:val="0"/>
  </w:style>
  <w:style w:type="paragraph" w:customStyle="1" w:styleId="167">
    <w:name w:val="样式98"/>
    <w:basedOn w:val="3"/>
    <w:qFormat/>
    <w:uiPriority w:val="0"/>
    <w:pPr>
      <w:numPr>
        <w:ilvl w:val="0"/>
        <w:numId w:val="0"/>
      </w:numPr>
      <w:spacing w:before="100" w:beforeAutospacing="1" w:after="100" w:afterAutospacing="1" w:line="360" w:lineRule="auto"/>
      <w:jc w:val="both"/>
    </w:pPr>
    <w:rPr>
      <w:bCs w:val="0"/>
      <w:szCs w:val="20"/>
    </w:rPr>
  </w:style>
  <w:style w:type="paragraph" w:customStyle="1" w:styleId="168">
    <w:name w:val="s5"/>
    <w:basedOn w:val="1"/>
    <w:qFormat/>
    <w:uiPriority w:val="0"/>
    <w:pPr>
      <w:spacing w:before="100" w:beforeAutospacing="1" w:after="100" w:afterAutospacing="1"/>
    </w:pPr>
    <w:rPr>
      <w:rFonts w:ascii="宋体" w:hAnsi="宋体" w:cs="宋体"/>
      <w:sz w:val="24"/>
    </w:rPr>
  </w:style>
  <w:style w:type="paragraph" w:customStyle="1" w:styleId="169">
    <w:name w:val="样式99"/>
    <w:basedOn w:val="167"/>
    <w:qFormat/>
    <w:uiPriority w:val="0"/>
    <w:pPr>
      <w:jc w:val="center"/>
    </w:pPr>
  </w:style>
  <w:style w:type="paragraph" w:customStyle="1" w:styleId="170">
    <w:name w:val="WPSOffice手动目录 1"/>
    <w:qFormat/>
    <w:uiPriority w:val="0"/>
    <w:rPr>
      <w:rFonts w:ascii="Times New Roman" w:hAnsi="Times New Roman" w:eastAsia="宋体" w:cs="Times New Roman"/>
      <w:lang w:val="en-US" w:eastAsia="zh-CN" w:bidi="ar-SA"/>
    </w:rPr>
  </w:style>
  <w:style w:type="paragraph" w:customStyle="1" w:styleId="17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72">
    <w:name w:val="font51"/>
    <w:qFormat/>
    <w:uiPriority w:val="0"/>
    <w:rPr>
      <w:rFonts w:ascii="Calibri" w:hAnsi="Calibri" w:cs="Calibri"/>
      <w:color w:val="000000"/>
      <w:sz w:val="24"/>
      <w:szCs w:val="24"/>
      <w:u w:val="none"/>
    </w:rPr>
  </w:style>
  <w:style w:type="paragraph" w:customStyle="1" w:styleId="173">
    <w:name w:val="UserStyle_3"/>
    <w:basedOn w:val="1"/>
    <w:qFormat/>
    <w:uiPriority w:val="0"/>
    <w:pPr>
      <w:widowControl/>
      <w:ind w:firstLine="420" w:firstLineChars="200"/>
      <w:textAlignment w:val="baseline"/>
    </w:pPr>
  </w:style>
  <w:style w:type="paragraph" w:customStyle="1" w:styleId="174">
    <w:name w:val="List Paragraph1"/>
    <w:basedOn w:val="1"/>
    <w:qFormat/>
    <w:uiPriority w:val="0"/>
    <w:pPr>
      <w:ind w:firstLine="420" w:firstLineChars="200"/>
    </w:pPr>
    <w:rPr>
      <w:szCs w:val="21"/>
    </w:rPr>
  </w:style>
  <w:style w:type="paragraph" w:customStyle="1" w:styleId="175">
    <w:name w:val="txt02"/>
    <w:basedOn w:val="1"/>
    <w:qFormat/>
    <w:uiPriority w:val="0"/>
    <w:pPr>
      <w:widowControl/>
      <w:spacing w:before="100" w:beforeAutospacing="1" w:after="100" w:afterAutospacing="1" w:line="315" w:lineRule="atLeast"/>
      <w:jc w:val="left"/>
    </w:pPr>
    <w:rPr>
      <w:rFonts w:ascii="宋体" w:hAnsi="宋体" w:cs="宋体"/>
      <w:color w:val="333333"/>
      <w:kern w:val="0"/>
      <w:sz w:val="18"/>
      <w:szCs w:val="18"/>
    </w:rPr>
  </w:style>
  <w:style w:type="paragraph" w:customStyle="1" w:styleId="17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7">
    <w:name w:val="mark"/>
    <w:qFormat/>
    <w:uiPriority w:val="0"/>
  </w:style>
  <w:style w:type="character" w:customStyle="1" w:styleId="178">
    <w:name w:val="日期 字符"/>
    <w:qFormat/>
    <w:uiPriority w:val="99"/>
  </w:style>
  <w:style w:type="character" w:customStyle="1" w:styleId="179">
    <w:name w:val="页脚 字符"/>
    <w:qFormat/>
    <w:uiPriority w:val="99"/>
    <w:rPr>
      <w:sz w:val="18"/>
      <w:szCs w:val="18"/>
    </w:rPr>
  </w:style>
  <w:style w:type="character" w:customStyle="1" w:styleId="180">
    <w:name w:val="页眉 字符"/>
    <w:qFormat/>
    <w:uiPriority w:val="99"/>
    <w:rPr>
      <w:sz w:val="18"/>
      <w:szCs w:val="18"/>
    </w:rPr>
  </w:style>
  <w:style w:type="character" w:customStyle="1" w:styleId="181">
    <w:name w:val="HTML 预设格式 字符"/>
    <w:qFormat/>
    <w:uiPriority w:val="99"/>
    <w:rPr>
      <w:rFonts w:ascii="宋体" w:hAnsi="宋体" w:eastAsia="宋体" w:cs="宋体"/>
      <w:kern w:val="0"/>
      <w:sz w:val="24"/>
      <w:szCs w:val="24"/>
    </w:rPr>
  </w:style>
  <w:style w:type="paragraph" w:customStyle="1" w:styleId="182">
    <w:name w:val="大标题"/>
    <w:basedOn w:val="1"/>
    <w:next w:val="37"/>
    <w:qFormat/>
    <w:uiPriority w:val="0"/>
    <w:pPr>
      <w:jc w:val="center"/>
    </w:pPr>
    <w:rPr>
      <w:rFonts w:ascii="Arial" w:hAnsi="Arial" w:cs="Arial"/>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textRotate="1"/>
    <customShpInfo spid="_x0000_s4100" textRotate="1"/>
    <customShpInfo spid="_x0000_s4101" textRotate="1"/>
    <customShpInfo spid="_x0000_s4098"/>
    <customShpInfo spid="_x0000_s4102"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A939A-3115-4625-A4AF-42A51982FF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323</Pages>
  <Words>169454</Words>
  <Characters>182741</Characters>
  <Lines>249</Lines>
  <Paragraphs>70</Paragraphs>
  <TotalTime>8</TotalTime>
  <ScaleCrop>false</ScaleCrop>
  <LinksUpToDate>false</LinksUpToDate>
  <CharactersWithSpaces>185699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2024-10-28T07:41:00Z</dcterms:created>
  <dc:creator>lizhe</dc:creator>
  <cp:lastModifiedBy>卟呐呐</cp:lastModifiedBy>
  <cp:lastPrinted>2023-11-24T09:18:00Z</cp:lastPrinted>
  <dcterms:modified xsi:type="dcterms:W3CDTF">2025-04-22T01:06:21Z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5DE61483DBEE44F69189C98772891744</vt:lpwstr>
  </property>
  <property fmtid="{D5CDD505-2E9C-101B-9397-08002B2CF9AE}" pid="4" name="KSOTemplateDocerSaveRecord">
    <vt:lpwstr>eyJoZGlkIjoiZWEwYTE5MDljYWNlN2YxZjUzOTUwMWJhNmYzMTgzM2MiLCJ1c2VySWQiOiIzNjMwNTU1NDUifQ==</vt:lpwstr>
  </property>
</Properties>
</file>