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271DB">
      <w:pPr>
        <w:pStyle w:val="2"/>
        <w:keepNext w:val="0"/>
        <w:keepLines w:val="0"/>
        <w:pageBreakBefore w:val="0"/>
        <w:kinsoku/>
        <w:wordWrap w:val="0"/>
        <w:overflowPunct/>
        <w:topLinePunct w:val="0"/>
        <w:autoSpaceDE/>
        <w:autoSpaceDN/>
        <w:bidi w:val="0"/>
        <w:adjustRightInd/>
        <w:spacing w:before="0" w:beforeAutospacing="0" w:after="0" w:afterAutospacing="0" w:line="500" w:lineRule="exact"/>
        <w:jc w:val="both"/>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附件</w:t>
      </w:r>
      <w:r>
        <w:rPr>
          <w:rFonts w:hint="eastAsia" w:ascii="仿宋" w:hAnsi="仿宋" w:eastAsia="仿宋" w:cs="仿宋"/>
          <w:color w:val="000000" w:themeColor="text1"/>
          <w:sz w:val="28"/>
          <w:szCs w:val="28"/>
          <w:highlight w:val="none"/>
          <w:lang w:val="en-US" w:eastAsia="zh-CN"/>
          <w14:textFill>
            <w14:solidFill>
              <w14:schemeClr w14:val="tx1"/>
            </w14:solidFill>
          </w14:textFill>
        </w:rPr>
        <w:t>1</w:t>
      </w:r>
      <w:r>
        <w:rPr>
          <w:rFonts w:hint="eastAsia" w:ascii="仿宋" w:hAnsi="仿宋" w:eastAsia="仿宋" w:cs="仿宋"/>
          <w:color w:val="000000" w:themeColor="text1"/>
          <w:sz w:val="28"/>
          <w:szCs w:val="28"/>
          <w:highlight w:val="none"/>
          <w:lang w:eastAsia="zh-CN"/>
          <w14:textFill>
            <w14:solidFill>
              <w14:schemeClr w14:val="tx1"/>
            </w14:solidFill>
          </w14:textFill>
        </w:rPr>
        <w:t>：政府采购合同（草案）</w:t>
      </w:r>
    </w:p>
    <w:p w14:paraId="1B9BA493">
      <w:pPr>
        <w:pStyle w:val="5"/>
        <w:keepNext w:val="0"/>
        <w:keepLines w:val="0"/>
        <w:pageBreakBefore w:val="0"/>
        <w:widowControl w:val="0"/>
        <w:kinsoku/>
        <w:wordWrap/>
        <w:overflowPunct/>
        <w:topLinePunct w:val="0"/>
        <w:autoSpaceDE/>
        <w:autoSpaceDN/>
        <w:bidi w:val="0"/>
        <w:adjustRightInd/>
        <w:snapToGrid/>
        <w:spacing w:before="0" w:line="500" w:lineRule="exact"/>
        <w:ind w:left="0" w:firstLine="0" w:firstLineChars="0"/>
        <w:textAlignment w:val="auto"/>
        <w:rPr>
          <w:rFonts w:hint="eastAsia" w:ascii="仿宋" w:hAnsi="仿宋" w:eastAsia="仿宋" w:cs="仿宋"/>
          <w:color w:val="000000" w:themeColor="text1"/>
          <w:sz w:val="24"/>
          <w:szCs w:val="24"/>
          <w:highlight w:val="none"/>
          <w:lang w:val="zh-CN"/>
          <w14:textFill>
            <w14:solidFill>
              <w14:schemeClr w14:val="tx1"/>
            </w14:solidFill>
          </w14:textFill>
        </w:rPr>
      </w:pPr>
      <w:bookmarkStart w:id="0" w:name="_Toc349810624"/>
      <w:bookmarkEnd w:id="0"/>
      <w:bookmarkStart w:id="1" w:name="_Toc350864527"/>
      <w:bookmarkEnd w:id="1"/>
      <w:r>
        <w:rPr>
          <w:rFonts w:hint="eastAsia" w:ascii="仿宋" w:hAnsi="仿宋" w:eastAsia="仿宋" w:cs="仿宋"/>
          <w:color w:val="000000" w:themeColor="text1"/>
          <w:sz w:val="24"/>
          <w:szCs w:val="24"/>
          <w:highlight w:val="none"/>
          <w:lang w:val="zh-CN"/>
          <w14:textFill>
            <w14:solidFill>
              <w14:schemeClr w14:val="tx1"/>
            </w14:solidFill>
          </w14:textFill>
        </w:rPr>
        <w:t>合同编号：XXXX</w:t>
      </w:r>
    </w:p>
    <w:p w14:paraId="0B67F9D4">
      <w:pPr>
        <w:pStyle w:val="5"/>
        <w:keepNext w:val="0"/>
        <w:keepLines w:val="0"/>
        <w:pageBreakBefore w:val="0"/>
        <w:widowControl w:val="0"/>
        <w:kinsoku/>
        <w:wordWrap/>
        <w:overflowPunct/>
        <w:topLinePunct w:val="0"/>
        <w:autoSpaceDE/>
        <w:autoSpaceDN/>
        <w:bidi w:val="0"/>
        <w:adjustRightInd/>
        <w:snapToGrid/>
        <w:spacing w:before="0" w:line="500" w:lineRule="exact"/>
        <w:ind w:left="0" w:firstLine="0" w:firstLineChars="0"/>
        <w:textAlignment w:val="auto"/>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签订地点：XXXX</w:t>
      </w:r>
    </w:p>
    <w:p w14:paraId="247C8C47">
      <w:pPr>
        <w:pStyle w:val="5"/>
        <w:keepNext w:val="0"/>
        <w:keepLines w:val="0"/>
        <w:pageBreakBefore w:val="0"/>
        <w:widowControl w:val="0"/>
        <w:kinsoku/>
        <w:wordWrap/>
        <w:overflowPunct/>
        <w:topLinePunct w:val="0"/>
        <w:autoSpaceDE/>
        <w:autoSpaceDN/>
        <w:bidi w:val="0"/>
        <w:adjustRightInd/>
        <w:snapToGrid/>
        <w:spacing w:before="0" w:line="500" w:lineRule="exact"/>
        <w:ind w:left="0" w:firstLine="0" w:firstLineChars="0"/>
        <w:textAlignment w:val="auto"/>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签订时间：XXXX年XX月XX日。</w:t>
      </w:r>
    </w:p>
    <w:p w14:paraId="7B3A0224">
      <w:pPr>
        <w:pStyle w:val="5"/>
        <w:keepNext w:val="0"/>
        <w:keepLines w:val="0"/>
        <w:pageBreakBefore w:val="0"/>
        <w:widowControl w:val="0"/>
        <w:kinsoku/>
        <w:wordWrap/>
        <w:overflowPunct/>
        <w:topLinePunct w:val="0"/>
        <w:autoSpaceDE/>
        <w:autoSpaceDN/>
        <w:bidi w:val="0"/>
        <w:adjustRightInd/>
        <w:snapToGrid/>
        <w:spacing w:before="0" w:line="500" w:lineRule="exact"/>
        <w:ind w:left="0" w:firstLine="0" w:firstLineChars="0"/>
        <w:textAlignment w:val="auto"/>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甲方（甲方）：</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lang w:val="zh-CN"/>
          <w14:textFill>
            <w14:solidFill>
              <w14:schemeClr w14:val="tx1"/>
            </w14:solidFill>
          </w14:textFill>
        </w:rPr>
        <w:t xml:space="preserve"> </w:t>
      </w:r>
    </w:p>
    <w:p w14:paraId="5CA319C9">
      <w:pPr>
        <w:pStyle w:val="5"/>
        <w:keepNext w:val="0"/>
        <w:keepLines w:val="0"/>
        <w:pageBreakBefore w:val="0"/>
        <w:widowControl w:val="0"/>
        <w:kinsoku/>
        <w:wordWrap/>
        <w:overflowPunct/>
        <w:topLinePunct w:val="0"/>
        <w:autoSpaceDE/>
        <w:autoSpaceDN/>
        <w:bidi w:val="0"/>
        <w:adjustRightInd/>
        <w:snapToGrid/>
        <w:spacing w:before="0" w:line="500" w:lineRule="exact"/>
        <w:ind w:left="0" w:firstLine="0" w:firstLineChars="0"/>
        <w:textAlignment w:val="auto"/>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w:t>
      </w:r>
      <w:r>
        <w:rPr>
          <w:rFonts w:hint="eastAsia" w:ascii="仿宋" w:hAnsi="仿宋" w:eastAsia="仿宋" w:cs="仿宋"/>
          <w:color w:val="000000" w:themeColor="text1"/>
          <w:sz w:val="24"/>
          <w:szCs w:val="24"/>
          <w:highlight w:val="none"/>
          <w:lang w:val="zh-CN"/>
          <w14:textFill>
            <w14:solidFill>
              <w14:schemeClr w14:val="tx1"/>
            </w14:solidFill>
          </w14:textFill>
        </w:rPr>
        <w:t>（乙方）：</w:t>
      </w:r>
    </w:p>
    <w:p w14:paraId="66D14796">
      <w:pPr>
        <w:spacing w:line="360" w:lineRule="auto"/>
        <w:ind w:firstLine="480" w:firstLineChars="200"/>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根据《中华人民共和国政府采购法》《中华人民共和国</w:t>
      </w:r>
      <w:r>
        <w:rPr>
          <w:rFonts w:hint="eastAsia" w:ascii="仿宋" w:hAnsi="仿宋" w:eastAsia="仿宋" w:cs="仿宋"/>
          <w:color w:val="000000" w:themeColor="text1"/>
          <w:sz w:val="24"/>
          <w:szCs w:val="21"/>
          <w:highlight w:val="none"/>
          <w:lang w:eastAsia="zh-CN"/>
          <w14:textFill>
            <w14:solidFill>
              <w14:schemeClr w14:val="tx1"/>
            </w14:solidFill>
          </w14:textFill>
        </w:rPr>
        <w:t>民法典</w:t>
      </w:r>
      <w:r>
        <w:rPr>
          <w:rFonts w:hint="eastAsia" w:ascii="仿宋" w:hAnsi="仿宋" w:eastAsia="仿宋" w:cs="仿宋"/>
          <w:color w:val="000000" w:themeColor="text1"/>
          <w:sz w:val="24"/>
          <w:szCs w:val="21"/>
          <w:highlight w:val="none"/>
          <w14:textFill>
            <w14:solidFill>
              <w14:schemeClr w14:val="tx1"/>
            </w14:solidFill>
          </w14:textFill>
        </w:rPr>
        <w:t>》及XXXX采购项目（项目编号：XXXX）的《</w:t>
      </w:r>
      <w:r>
        <w:rPr>
          <w:rFonts w:hint="eastAsia" w:ascii="仿宋" w:hAnsi="仿宋" w:eastAsia="仿宋" w:cs="仿宋"/>
          <w:color w:val="000000" w:themeColor="text1"/>
          <w:sz w:val="24"/>
          <w:szCs w:val="21"/>
          <w:highlight w:val="none"/>
          <w:lang w:val="en-US" w:eastAsia="zh-CN"/>
          <w14:textFill>
            <w14:solidFill>
              <w14:schemeClr w14:val="tx1"/>
            </w14:solidFill>
          </w14:textFill>
        </w:rPr>
        <w:t>谈判</w:t>
      </w:r>
      <w:r>
        <w:rPr>
          <w:rFonts w:hint="eastAsia" w:ascii="仿宋" w:hAnsi="仿宋" w:eastAsia="仿宋" w:cs="仿宋"/>
          <w:color w:val="000000" w:themeColor="text1"/>
          <w:sz w:val="24"/>
          <w:szCs w:val="21"/>
          <w:highlight w:val="none"/>
          <w14:textFill>
            <w14:solidFill>
              <w14:schemeClr w14:val="tx1"/>
            </w14:solidFill>
          </w14:textFill>
        </w:rPr>
        <w:t>文件》、乙方的《</w:t>
      </w:r>
      <w:r>
        <w:rPr>
          <w:rFonts w:hint="eastAsia" w:ascii="仿宋" w:hAnsi="仿宋" w:eastAsia="仿宋" w:cs="仿宋"/>
          <w:color w:val="000000" w:themeColor="text1"/>
          <w:sz w:val="24"/>
          <w:szCs w:val="21"/>
          <w:highlight w:val="none"/>
          <w:lang w:val="en-US" w:eastAsia="zh-CN"/>
          <w14:textFill>
            <w14:solidFill>
              <w14:schemeClr w14:val="tx1"/>
            </w14:solidFill>
          </w14:textFill>
        </w:rPr>
        <w:t>响应</w:t>
      </w:r>
      <w:r>
        <w:rPr>
          <w:rFonts w:hint="eastAsia" w:ascii="仿宋" w:hAnsi="仿宋" w:eastAsia="仿宋" w:cs="仿宋"/>
          <w:color w:val="000000" w:themeColor="text1"/>
          <w:sz w:val="24"/>
          <w:szCs w:val="21"/>
          <w:highlight w:val="none"/>
          <w14:textFill>
            <w14:solidFill>
              <w14:schemeClr w14:val="tx1"/>
            </w14:solidFill>
          </w14:textFill>
        </w:rPr>
        <w:t>文件》及《</w:t>
      </w:r>
      <w:r>
        <w:rPr>
          <w:rFonts w:hint="eastAsia" w:ascii="仿宋" w:hAnsi="仿宋" w:eastAsia="仿宋" w:cs="仿宋"/>
          <w:color w:val="000000" w:themeColor="text1"/>
          <w:sz w:val="24"/>
          <w:szCs w:val="21"/>
          <w:highlight w:val="none"/>
          <w:lang w:val="en-US" w:eastAsia="zh-CN"/>
          <w14:textFill>
            <w14:solidFill>
              <w14:schemeClr w14:val="tx1"/>
            </w14:solidFill>
          </w14:textFill>
        </w:rPr>
        <w:t>成交</w:t>
      </w:r>
      <w:r>
        <w:rPr>
          <w:rFonts w:hint="eastAsia" w:ascii="仿宋" w:hAnsi="仿宋" w:eastAsia="仿宋" w:cs="仿宋"/>
          <w:color w:val="000000" w:themeColor="text1"/>
          <w:sz w:val="24"/>
          <w:szCs w:val="21"/>
          <w:highlight w:val="none"/>
          <w14:textFill>
            <w14:solidFill>
              <w14:schemeClr w14:val="tx1"/>
            </w14:solidFill>
          </w14:textFill>
        </w:rPr>
        <w:t>通知书》，甲、乙双方同意签订本合同。详细技术说明及其他有关合同项目的特定信息由合同附件予以说明，合同附件及本项目的</w:t>
      </w:r>
      <w:r>
        <w:rPr>
          <w:rFonts w:hint="eastAsia" w:ascii="仿宋" w:hAnsi="仿宋" w:eastAsia="仿宋" w:cs="仿宋"/>
          <w:color w:val="000000" w:themeColor="text1"/>
          <w:sz w:val="24"/>
          <w:szCs w:val="21"/>
          <w:highlight w:val="none"/>
          <w:lang w:val="en-US" w:eastAsia="zh-CN"/>
          <w14:textFill>
            <w14:solidFill>
              <w14:schemeClr w14:val="tx1"/>
            </w14:solidFill>
          </w14:textFill>
        </w:rPr>
        <w:t>谈判</w:t>
      </w:r>
      <w:r>
        <w:rPr>
          <w:rFonts w:hint="eastAsia" w:ascii="仿宋" w:hAnsi="仿宋" w:eastAsia="仿宋" w:cs="仿宋"/>
          <w:color w:val="000000" w:themeColor="text1"/>
          <w:sz w:val="24"/>
          <w:szCs w:val="21"/>
          <w:highlight w:val="none"/>
          <w14:textFill>
            <w14:solidFill>
              <w14:schemeClr w14:val="tx1"/>
            </w14:solidFill>
          </w14:textFill>
        </w:rPr>
        <w:t>文件、响应文件、《成交通知书》等均为本合同不可分割的部分。双方同意共同遵守如下条款：</w:t>
      </w:r>
    </w:p>
    <w:p w14:paraId="078BDF96">
      <w:pPr>
        <w:keepNext/>
        <w:keepLines/>
        <w:spacing w:before="140" w:after="140" w:line="415" w:lineRule="auto"/>
        <w:ind w:firstLine="482" w:firstLineChars="200"/>
        <w:jc w:val="left"/>
        <w:outlineLvl w:val="9"/>
        <w:rPr>
          <w:rFonts w:hint="eastAsia" w:ascii="仿宋" w:hAnsi="仿宋" w:eastAsia="仿宋" w:cs="仿宋"/>
          <w:b/>
          <w:bCs/>
          <w:color w:val="000000" w:themeColor="text1"/>
          <w:sz w:val="24"/>
          <w:szCs w:val="21"/>
          <w:highlight w:val="none"/>
          <w:lang w:val="en-US" w:eastAsia="zh-CN"/>
          <w14:textFill>
            <w14:solidFill>
              <w14:schemeClr w14:val="tx1"/>
            </w14:solidFill>
          </w14:textFill>
        </w:rPr>
      </w:pPr>
      <w:bookmarkStart w:id="2" w:name="_Toc51146177"/>
      <w:bookmarkStart w:id="3" w:name="_Toc217446107"/>
      <w:r>
        <w:rPr>
          <w:rFonts w:hint="eastAsia" w:ascii="仿宋" w:hAnsi="仿宋" w:eastAsia="仿宋" w:cs="仿宋"/>
          <w:b/>
          <w:bCs/>
          <w:color w:val="000000" w:themeColor="text1"/>
          <w:sz w:val="24"/>
          <w:szCs w:val="21"/>
          <w:highlight w:val="none"/>
          <w14:textFill>
            <w14:solidFill>
              <w14:schemeClr w14:val="tx1"/>
            </w14:solidFill>
          </w14:textFill>
        </w:rPr>
        <w:t>一、合同</w:t>
      </w:r>
      <w:bookmarkEnd w:id="2"/>
      <w:bookmarkEnd w:id="3"/>
      <w:r>
        <w:rPr>
          <w:rFonts w:hint="eastAsia" w:ascii="仿宋" w:hAnsi="仿宋" w:eastAsia="仿宋" w:cs="仿宋"/>
          <w:b/>
          <w:bCs/>
          <w:color w:val="000000" w:themeColor="text1"/>
          <w:sz w:val="24"/>
          <w:szCs w:val="21"/>
          <w:highlight w:val="none"/>
          <w:lang w:val="en-US" w:eastAsia="zh-CN"/>
          <w14:textFill>
            <w14:solidFill>
              <w14:schemeClr w14:val="tx1"/>
            </w14:solidFill>
          </w14:textFill>
        </w:rPr>
        <w:t>标的</w:t>
      </w:r>
    </w:p>
    <w:tbl>
      <w:tblPr>
        <w:tblStyle w:val="3"/>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663"/>
        <w:gridCol w:w="1110"/>
        <w:gridCol w:w="760"/>
        <w:gridCol w:w="949"/>
        <w:gridCol w:w="1140"/>
        <w:gridCol w:w="1253"/>
        <w:gridCol w:w="1642"/>
      </w:tblGrid>
      <w:tr w14:paraId="6F860A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976" w:type="pct"/>
            <w:tcBorders>
              <w:top w:val="single" w:color="auto" w:sz="4" w:space="0"/>
              <w:left w:val="single" w:color="auto" w:sz="4" w:space="0"/>
              <w:bottom w:val="single" w:color="auto" w:sz="4" w:space="0"/>
              <w:right w:val="single" w:color="auto" w:sz="4" w:space="0"/>
            </w:tcBorders>
            <w:vAlign w:val="center"/>
          </w:tcPr>
          <w:p w14:paraId="0FB81C68">
            <w:pPr>
              <w:spacing w:line="360" w:lineRule="auto"/>
              <w:ind w:firstLine="240" w:firstLineChars="100"/>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货物品名</w:t>
            </w:r>
          </w:p>
        </w:tc>
        <w:tc>
          <w:tcPr>
            <w:tcW w:w="651" w:type="pct"/>
            <w:tcBorders>
              <w:top w:val="single" w:color="auto" w:sz="4" w:space="0"/>
              <w:left w:val="single" w:color="auto" w:sz="4" w:space="0"/>
              <w:bottom w:val="single" w:color="auto" w:sz="4" w:space="0"/>
              <w:right w:val="single" w:color="auto" w:sz="4" w:space="0"/>
            </w:tcBorders>
            <w:vAlign w:val="center"/>
          </w:tcPr>
          <w:p w14:paraId="5215B71B">
            <w:pPr>
              <w:spacing w:line="360" w:lineRule="auto"/>
              <w:jc w:val="center"/>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规格</w:t>
            </w:r>
          </w:p>
          <w:p w14:paraId="2D09DB35">
            <w:pPr>
              <w:spacing w:line="360" w:lineRule="auto"/>
              <w:jc w:val="center"/>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型号</w:t>
            </w:r>
          </w:p>
        </w:tc>
        <w:tc>
          <w:tcPr>
            <w:tcW w:w="446" w:type="pct"/>
            <w:tcBorders>
              <w:top w:val="single" w:color="auto" w:sz="4" w:space="0"/>
              <w:left w:val="single" w:color="auto" w:sz="4" w:space="0"/>
              <w:bottom w:val="single" w:color="auto" w:sz="4" w:space="0"/>
              <w:right w:val="single" w:color="auto" w:sz="4" w:space="0"/>
            </w:tcBorders>
            <w:vAlign w:val="center"/>
          </w:tcPr>
          <w:p w14:paraId="60B85DCF">
            <w:pPr>
              <w:spacing w:line="360" w:lineRule="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单位</w:t>
            </w:r>
          </w:p>
        </w:tc>
        <w:tc>
          <w:tcPr>
            <w:tcW w:w="557" w:type="pct"/>
            <w:tcBorders>
              <w:top w:val="single" w:color="auto" w:sz="4" w:space="0"/>
              <w:left w:val="single" w:color="auto" w:sz="4" w:space="0"/>
              <w:bottom w:val="single" w:color="auto" w:sz="4" w:space="0"/>
              <w:right w:val="single" w:color="auto" w:sz="4" w:space="0"/>
            </w:tcBorders>
            <w:vAlign w:val="center"/>
          </w:tcPr>
          <w:p w14:paraId="61557F0F">
            <w:pPr>
              <w:spacing w:line="360" w:lineRule="auto"/>
              <w:ind w:firstLine="120" w:firstLineChars="50"/>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数量</w:t>
            </w:r>
          </w:p>
        </w:tc>
        <w:tc>
          <w:tcPr>
            <w:tcW w:w="669" w:type="pct"/>
            <w:tcBorders>
              <w:top w:val="single" w:color="auto" w:sz="4" w:space="0"/>
              <w:left w:val="single" w:color="auto" w:sz="4" w:space="0"/>
              <w:bottom w:val="single" w:color="auto" w:sz="4" w:space="0"/>
              <w:right w:val="single" w:color="auto" w:sz="4" w:space="0"/>
            </w:tcBorders>
            <w:vAlign w:val="center"/>
          </w:tcPr>
          <w:p w14:paraId="16AEA476">
            <w:pPr>
              <w:spacing w:line="360" w:lineRule="auto"/>
              <w:ind w:firstLine="120" w:firstLineChars="50"/>
              <w:jc w:val="center"/>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单价</w:t>
            </w:r>
          </w:p>
          <w:p w14:paraId="245F52D2">
            <w:pPr>
              <w:spacing w:line="360" w:lineRule="auto"/>
              <w:jc w:val="center"/>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（元）</w:t>
            </w:r>
          </w:p>
        </w:tc>
        <w:tc>
          <w:tcPr>
            <w:tcW w:w="735" w:type="pct"/>
            <w:tcBorders>
              <w:top w:val="single" w:color="auto" w:sz="4" w:space="0"/>
              <w:left w:val="single" w:color="auto" w:sz="4" w:space="0"/>
              <w:bottom w:val="single" w:color="auto" w:sz="4" w:space="0"/>
              <w:right w:val="single" w:color="auto" w:sz="4" w:space="0"/>
            </w:tcBorders>
            <w:vAlign w:val="center"/>
          </w:tcPr>
          <w:p w14:paraId="56BAB570">
            <w:pPr>
              <w:spacing w:line="360" w:lineRule="auto"/>
              <w:ind w:firstLine="240" w:firstLineChars="100"/>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总价</w:t>
            </w:r>
          </w:p>
          <w:p w14:paraId="7C8D5F0B">
            <w:pPr>
              <w:spacing w:line="360" w:lineRule="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（元）</w:t>
            </w:r>
          </w:p>
        </w:tc>
        <w:tc>
          <w:tcPr>
            <w:tcW w:w="963" w:type="pct"/>
            <w:tcBorders>
              <w:top w:val="single" w:color="auto" w:sz="4" w:space="0"/>
              <w:left w:val="single" w:color="auto" w:sz="4" w:space="0"/>
              <w:bottom w:val="single" w:color="auto" w:sz="4" w:space="0"/>
              <w:right w:val="single" w:color="auto" w:sz="4" w:space="0"/>
            </w:tcBorders>
            <w:vAlign w:val="center"/>
          </w:tcPr>
          <w:p w14:paraId="5A686A7E">
            <w:pPr>
              <w:spacing w:line="360" w:lineRule="auto"/>
              <w:ind w:firstLine="120" w:firstLineChars="50"/>
              <w:rPr>
                <w:rFonts w:hint="eastAsia" w:ascii="仿宋" w:hAnsi="仿宋" w:eastAsia="仿宋" w:cs="仿宋"/>
                <w:color w:val="000000" w:themeColor="text1"/>
                <w:sz w:val="24"/>
                <w:szCs w:val="21"/>
                <w:highlight w:val="none"/>
                <w:lang w:eastAsia="zh-CN"/>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交货</w:t>
            </w:r>
            <w:r>
              <w:rPr>
                <w:rFonts w:hint="eastAsia" w:ascii="仿宋" w:hAnsi="仿宋" w:eastAsia="仿宋" w:cs="仿宋"/>
                <w:color w:val="000000" w:themeColor="text1"/>
                <w:sz w:val="24"/>
                <w:szCs w:val="21"/>
                <w:highlight w:val="none"/>
                <w:lang w:eastAsia="zh-CN"/>
                <w14:textFill>
                  <w14:solidFill>
                    <w14:schemeClr w14:val="tx1"/>
                  </w14:solidFill>
                </w14:textFill>
              </w:rPr>
              <w:t>时间</w:t>
            </w:r>
          </w:p>
        </w:tc>
      </w:tr>
      <w:tr w14:paraId="4DDA46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976" w:type="pct"/>
            <w:tcBorders>
              <w:top w:val="single" w:color="auto" w:sz="4" w:space="0"/>
              <w:left w:val="single" w:color="auto" w:sz="4" w:space="0"/>
              <w:bottom w:val="single" w:color="auto" w:sz="4" w:space="0"/>
              <w:right w:val="single" w:color="auto" w:sz="4" w:space="0"/>
            </w:tcBorders>
            <w:vAlign w:val="center"/>
          </w:tcPr>
          <w:p w14:paraId="17D02BF7">
            <w:pPr>
              <w:spacing w:line="360" w:lineRule="auto"/>
              <w:jc w:val="center"/>
              <w:rPr>
                <w:rFonts w:hint="eastAsia" w:ascii="仿宋" w:hAnsi="仿宋" w:eastAsia="仿宋" w:cs="仿宋"/>
                <w:color w:val="000000" w:themeColor="text1"/>
                <w:sz w:val="24"/>
                <w:szCs w:val="21"/>
                <w:highlight w:val="none"/>
                <w14:textFill>
                  <w14:solidFill>
                    <w14:schemeClr w14:val="tx1"/>
                  </w14:solidFill>
                </w14:textFill>
              </w:rPr>
            </w:pPr>
          </w:p>
        </w:tc>
        <w:tc>
          <w:tcPr>
            <w:tcW w:w="651" w:type="pct"/>
            <w:tcBorders>
              <w:top w:val="single" w:color="auto" w:sz="4" w:space="0"/>
              <w:left w:val="single" w:color="auto" w:sz="4" w:space="0"/>
              <w:bottom w:val="single" w:color="auto" w:sz="4" w:space="0"/>
              <w:right w:val="single" w:color="auto" w:sz="4" w:space="0"/>
            </w:tcBorders>
            <w:vAlign w:val="center"/>
          </w:tcPr>
          <w:p w14:paraId="1E89B779">
            <w:pPr>
              <w:spacing w:line="360" w:lineRule="auto"/>
              <w:jc w:val="center"/>
              <w:rPr>
                <w:rFonts w:hint="eastAsia" w:ascii="仿宋" w:hAnsi="仿宋" w:eastAsia="仿宋" w:cs="仿宋"/>
                <w:color w:val="000000" w:themeColor="text1"/>
                <w:sz w:val="24"/>
                <w:szCs w:val="21"/>
                <w:highlight w:val="none"/>
                <w14:textFill>
                  <w14:solidFill>
                    <w14:schemeClr w14:val="tx1"/>
                  </w14:solidFill>
                </w14:textFill>
              </w:rPr>
            </w:pPr>
          </w:p>
        </w:tc>
        <w:tc>
          <w:tcPr>
            <w:tcW w:w="446" w:type="pct"/>
            <w:tcBorders>
              <w:top w:val="single" w:color="auto" w:sz="4" w:space="0"/>
              <w:left w:val="single" w:color="auto" w:sz="4" w:space="0"/>
              <w:bottom w:val="single" w:color="auto" w:sz="4" w:space="0"/>
              <w:right w:val="single" w:color="auto" w:sz="4" w:space="0"/>
            </w:tcBorders>
            <w:vAlign w:val="center"/>
          </w:tcPr>
          <w:p w14:paraId="20F2BD60">
            <w:pPr>
              <w:spacing w:line="360" w:lineRule="auto"/>
              <w:jc w:val="center"/>
              <w:rPr>
                <w:rFonts w:hint="eastAsia" w:ascii="仿宋" w:hAnsi="仿宋" w:eastAsia="仿宋" w:cs="仿宋"/>
                <w:color w:val="000000" w:themeColor="text1"/>
                <w:sz w:val="24"/>
                <w:szCs w:val="21"/>
                <w:highlight w:val="none"/>
                <w14:textFill>
                  <w14:solidFill>
                    <w14:schemeClr w14:val="tx1"/>
                  </w14:solidFill>
                </w14:textFill>
              </w:rPr>
            </w:pPr>
          </w:p>
        </w:tc>
        <w:tc>
          <w:tcPr>
            <w:tcW w:w="557" w:type="pct"/>
            <w:tcBorders>
              <w:top w:val="single" w:color="auto" w:sz="4" w:space="0"/>
              <w:left w:val="single" w:color="auto" w:sz="4" w:space="0"/>
              <w:bottom w:val="single" w:color="auto" w:sz="4" w:space="0"/>
              <w:right w:val="single" w:color="auto" w:sz="4" w:space="0"/>
            </w:tcBorders>
            <w:vAlign w:val="center"/>
          </w:tcPr>
          <w:p w14:paraId="03499DA4">
            <w:pPr>
              <w:spacing w:line="360" w:lineRule="auto"/>
              <w:jc w:val="center"/>
              <w:rPr>
                <w:rFonts w:hint="eastAsia" w:ascii="仿宋" w:hAnsi="仿宋" w:eastAsia="仿宋" w:cs="仿宋"/>
                <w:color w:val="000000" w:themeColor="text1"/>
                <w:sz w:val="24"/>
                <w:szCs w:val="21"/>
                <w:highlight w:val="none"/>
                <w14:textFill>
                  <w14:solidFill>
                    <w14:schemeClr w14:val="tx1"/>
                  </w14:solidFill>
                </w14:textFill>
              </w:rPr>
            </w:pPr>
          </w:p>
        </w:tc>
        <w:tc>
          <w:tcPr>
            <w:tcW w:w="669" w:type="pct"/>
            <w:tcBorders>
              <w:top w:val="single" w:color="auto" w:sz="4" w:space="0"/>
              <w:left w:val="single" w:color="auto" w:sz="4" w:space="0"/>
              <w:bottom w:val="single" w:color="auto" w:sz="4" w:space="0"/>
              <w:right w:val="single" w:color="auto" w:sz="4" w:space="0"/>
            </w:tcBorders>
            <w:vAlign w:val="center"/>
          </w:tcPr>
          <w:p w14:paraId="169D7253">
            <w:pPr>
              <w:spacing w:line="360" w:lineRule="auto"/>
              <w:jc w:val="center"/>
              <w:rPr>
                <w:rFonts w:hint="eastAsia" w:ascii="仿宋" w:hAnsi="仿宋" w:eastAsia="仿宋" w:cs="仿宋"/>
                <w:color w:val="000000" w:themeColor="text1"/>
                <w:sz w:val="24"/>
                <w:szCs w:val="21"/>
                <w:highlight w:val="none"/>
                <w14:textFill>
                  <w14:solidFill>
                    <w14:schemeClr w14:val="tx1"/>
                  </w14:solidFill>
                </w14:textFill>
              </w:rPr>
            </w:pPr>
          </w:p>
        </w:tc>
        <w:tc>
          <w:tcPr>
            <w:tcW w:w="735" w:type="pct"/>
            <w:tcBorders>
              <w:top w:val="single" w:color="auto" w:sz="4" w:space="0"/>
              <w:left w:val="single" w:color="auto" w:sz="4" w:space="0"/>
              <w:bottom w:val="single" w:color="auto" w:sz="4" w:space="0"/>
              <w:right w:val="single" w:color="auto" w:sz="4" w:space="0"/>
            </w:tcBorders>
            <w:vAlign w:val="center"/>
          </w:tcPr>
          <w:p w14:paraId="0C1BF5AA">
            <w:pPr>
              <w:spacing w:line="360" w:lineRule="auto"/>
              <w:jc w:val="center"/>
              <w:rPr>
                <w:rFonts w:hint="eastAsia" w:ascii="仿宋" w:hAnsi="仿宋" w:eastAsia="仿宋" w:cs="仿宋"/>
                <w:color w:val="000000" w:themeColor="text1"/>
                <w:sz w:val="24"/>
                <w:szCs w:val="21"/>
                <w:highlight w:val="none"/>
                <w14:textFill>
                  <w14:solidFill>
                    <w14:schemeClr w14:val="tx1"/>
                  </w14:solidFill>
                </w14:textFill>
              </w:rPr>
            </w:pPr>
          </w:p>
        </w:tc>
        <w:tc>
          <w:tcPr>
            <w:tcW w:w="963" w:type="pct"/>
            <w:tcBorders>
              <w:top w:val="single" w:color="auto" w:sz="4" w:space="0"/>
              <w:left w:val="single" w:color="auto" w:sz="4" w:space="0"/>
              <w:bottom w:val="single" w:color="auto" w:sz="4" w:space="0"/>
              <w:right w:val="single" w:color="auto" w:sz="4" w:space="0"/>
            </w:tcBorders>
            <w:vAlign w:val="center"/>
          </w:tcPr>
          <w:p w14:paraId="76F1A718">
            <w:pPr>
              <w:spacing w:line="360" w:lineRule="auto"/>
              <w:jc w:val="center"/>
              <w:rPr>
                <w:rFonts w:hint="eastAsia" w:ascii="仿宋" w:hAnsi="仿宋" w:eastAsia="仿宋" w:cs="仿宋"/>
                <w:color w:val="000000" w:themeColor="text1"/>
                <w:sz w:val="24"/>
                <w:szCs w:val="21"/>
                <w:highlight w:val="none"/>
                <w14:textFill>
                  <w14:solidFill>
                    <w14:schemeClr w14:val="tx1"/>
                  </w14:solidFill>
                </w14:textFill>
              </w:rPr>
            </w:pPr>
          </w:p>
        </w:tc>
      </w:tr>
    </w:tbl>
    <w:p w14:paraId="0D840DD9">
      <w:pPr>
        <w:keepNext/>
        <w:keepLines/>
        <w:pageBreakBefore w:val="0"/>
        <w:widowControl w:val="0"/>
        <w:kinsoku/>
        <w:wordWrap/>
        <w:overflowPunct/>
        <w:topLinePunct w:val="0"/>
        <w:autoSpaceDE/>
        <w:autoSpaceDN/>
        <w:bidi w:val="0"/>
        <w:adjustRightInd/>
        <w:snapToGrid/>
        <w:spacing w:line="415" w:lineRule="auto"/>
        <w:ind w:firstLine="482" w:firstLineChars="200"/>
        <w:jc w:val="left"/>
        <w:textAlignment w:val="auto"/>
        <w:outlineLvl w:val="9"/>
        <w:rPr>
          <w:rFonts w:hint="eastAsia" w:ascii="仿宋" w:hAnsi="仿宋" w:eastAsia="仿宋" w:cs="仿宋"/>
          <w:b/>
          <w:bCs/>
          <w:color w:val="000000" w:themeColor="text1"/>
          <w:sz w:val="24"/>
          <w:szCs w:val="21"/>
          <w:highlight w:val="none"/>
          <w14:textFill>
            <w14:solidFill>
              <w14:schemeClr w14:val="tx1"/>
            </w14:solidFill>
          </w14:textFill>
        </w:rPr>
      </w:pPr>
      <w:bookmarkStart w:id="4" w:name="_Toc51146178"/>
      <w:bookmarkStart w:id="5" w:name="_Toc217446108"/>
      <w:r>
        <w:rPr>
          <w:rFonts w:hint="eastAsia" w:ascii="仿宋" w:hAnsi="仿宋" w:eastAsia="仿宋" w:cs="仿宋"/>
          <w:b/>
          <w:bCs/>
          <w:color w:val="000000" w:themeColor="text1"/>
          <w:sz w:val="24"/>
          <w:szCs w:val="21"/>
          <w:highlight w:val="none"/>
          <w14:textFill>
            <w14:solidFill>
              <w14:schemeClr w14:val="tx1"/>
            </w14:solidFill>
          </w14:textFill>
        </w:rPr>
        <w:t>二、合同总价</w:t>
      </w:r>
      <w:bookmarkEnd w:id="4"/>
      <w:bookmarkEnd w:id="5"/>
    </w:p>
    <w:p w14:paraId="3D9C71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合同总价为人民币大写：</w:t>
      </w:r>
      <w:r>
        <w:rPr>
          <w:rFonts w:hint="eastAsia" w:ascii="仿宋" w:hAnsi="仿宋" w:eastAsia="仿宋" w:cs="仿宋"/>
          <w:color w:val="000000" w:themeColor="text1"/>
          <w:sz w:val="24"/>
          <w:szCs w:val="21"/>
          <w:highlight w:val="none"/>
          <w:u w:val="single"/>
          <w14:textFill>
            <w14:solidFill>
              <w14:schemeClr w14:val="tx1"/>
            </w14:solidFill>
          </w14:textFill>
        </w:rPr>
        <w:t xml:space="preserve">                </w:t>
      </w:r>
      <w:r>
        <w:rPr>
          <w:rFonts w:hint="eastAsia" w:ascii="仿宋" w:hAnsi="仿宋" w:eastAsia="仿宋" w:cs="仿宋"/>
          <w:color w:val="000000" w:themeColor="text1"/>
          <w:sz w:val="24"/>
          <w:szCs w:val="21"/>
          <w:highlight w:val="none"/>
          <w14:textFill>
            <w14:solidFill>
              <w14:schemeClr w14:val="tx1"/>
            </w14:solidFill>
          </w14:textFill>
        </w:rPr>
        <w:t>元，即RMB￥</w:t>
      </w:r>
      <w:r>
        <w:rPr>
          <w:rFonts w:hint="eastAsia" w:ascii="仿宋" w:hAnsi="仿宋" w:eastAsia="仿宋" w:cs="仿宋"/>
          <w:color w:val="000000" w:themeColor="text1"/>
          <w:sz w:val="24"/>
          <w:szCs w:val="21"/>
          <w:highlight w:val="none"/>
          <w:u w:val="single"/>
          <w14:textFill>
            <w14:solidFill>
              <w14:schemeClr w14:val="tx1"/>
            </w14:solidFill>
          </w14:textFill>
        </w:rPr>
        <w:t xml:space="preserve">        </w:t>
      </w:r>
      <w:r>
        <w:rPr>
          <w:rFonts w:hint="eastAsia" w:ascii="仿宋" w:hAnsi="仿宋" w:eastAsia="仿宋" w:cs="仿宋"/>
          <w:color w:val="000000" w:themeColor="text1"/>
          <w:sz w:val="24"/>
          <w:szCs w:val="21"/>
          <w:highlight w:val="none"/>
          <w14:textFill>
            <w14:solidFill>
              <w14:schemeClr w14:val="tx1"/>
            </w14:solidFill>
          </w14:textFill>
        </w:rPr>
        <w:t>元；该合同总价包</w:t>
      </w:r>
      <w:r>
        <w:rPr>
          <w:rFonts w:hint="eastAsia" w:ascii="仿宋" w:hAnsi="仿宋" w:eastAsia="仿宋" w:cs="仿宋"/>
          <w:b w:val="0"/>
          <w:color w:val="000000" w:themeColor="text1"/>
          <w:kern w:val="2"/>
          <w:sz w:val="24"/>
          <w:szCs w:val="24"/>
          <w:highlight w:val="none"/>
          <w:lang w:val="en-US" w:eastAsia="zh-CN" w:bidi="ar-SA"/>
          <w14:textFill>
            <w14:solidFill>
              <w14:schemeClr w14:val="tx1"/>
            </w14:solidFill>
          </w14:textFill>
        </w:rPr>
        <w:t>括货物、装卸运输费、检验检测费、配送费、管理费、安全文明费、保险费、合理的利润、税费、售后服务以及与本项目相关的风险责任等一切费用。甲方不再向乙方另行支付其他费用。</w:t>
      </w:r>
    </w:p>
    <w:p w14:paraId="736C900E">
      <w:pPr>
        <w:keepNext/>
        <w:keepLines/>
        <w:pageBreakBefore w:val="0"/>
        <w:widowControl w:val="0"/>
        <w:kinsoku/>
        <w:wordWrap/>
        <w:overflowPunct/>
        <w:topLinePunct w:val="0"/>
        <w:autoSpaceDE/>
        <w:autoSpaceDN/>
        <w:bidi w:val="0"/>
        <w:adjustRightInd/>
        <w:snapToGrid/>
        <w:spacing w:line="415" w:lineRule="auto"/>
        <w:ind w:firstLine="482" w:firstLineChars="200"/>
        <w:jc w:val="left"/>
        <w:textAlignment w:val="auto"/>
        <w:outlineLvl w:val="9"/>
        <w:rPr>
          <w:rFonts w:hint="eastAsia" w:ascii="仿宋" w:hAnsi="仿宋" w:eastAsia="仿宋" w:cs="仿宋"/>
          <w:b/>
          <w:bCs/>
          <w:color w:val="000000" w:themeColor="text1"/>
          <w:sz w:val="24"/>
          <w:szCs w:val="21"/>
          <w:highlight w:val="none"/>
          <w14:textFill>
            <w14:solidFill>
              <w14:schemeClr w14:val="tx1"/>
            </w14:solidFill>
          </w14:textFill>
        </w:rPr>
      </w:pPr>
      <w:bookmarkStart w:id="6" w:name="_Toc51146179"/>
      <w:bookmarkStart w:id="7" w:name="_Toc217446109"/>
      <w:r>
        <w:rPr>
          <w:rFonts w:hint="eastAsia" w:ascii="仿宋" w:hAnsi="仿宋" w:eastAsia="仿宋" w:cs="仿宋"/>
          <w:b/>
          <w:bCs/>
          <w:color w:val="000000" w:themeColor="text1"/>
          <w:sz w:val="24"/>
          <w:szCs w:val="21"/>
          <w:highlight w:val="none"/>
          <w14:textFill>
            <w14:solidFill>
              <w14:schemeClr w14:val="tx1"/>
            </w14:solidFill>
          </w14:textFill>
        </w:rPr>
        <w:t>三、质量要求</w:t>
      </w:r>
      <w:bookmarkEnd w:id="6"/>
      <w:bookmarkEnd w:id="7"/>
    </w:p>
    <w:p w14:paraId="61EBDC9F">
      <w:pPr>
        <w:keepNext w:val="0"/>
        <w:keepLines w:val="0"/>
        <w:pageBreakBefore w:val="0"/>
        <w:widowControl/>
        <w:kinsoku/>
        <w:wordWrap w:val="0"/>
        <w:overflowPunct/>
        <w:topLinePunct/>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bookmarkStart w:id="8" w:name="_Toc217446110"/>
      <w:bookmarkStart w:id="9" w:name="_Toc51146180"/>
      <w:r>
        <w:rPr>
          <w:rFonts w:hint="eastAsia" w:ascii="仿宋" w:hAnsi="仿宋" w:eastAsia="仿宋" w:cs="仿宋"/>
          <w:b w:val="0"/>
          <w:bCs w:val="0"/>
          <w:color w:val="000000" w:themeColor="text1"/>
          <w:sz w:val="24"/>
          <w:szCs w:val="24"/>
          <w:highlight w:val="none"/>
          <w:lang w:val="en-US" w:eastAsia="zh-CN" w:bidi="ar-SA"/>
          <w14:textFill>
            <w14:solidFill>
              <w14:schemeClr w14:val="tx1"/>
            </w14:solidFill>
          </w14:textFill>
        </w:rPr>
        <w:t>1.</w:t>
      </w:r>
      <w:r>
        <w:rPr>
          <w:rFonts w:hint="eastAsia" w:ascii="仿宋" w:hAnsi="仿宋" w:eastAsia="仿宋" w:cs="仿宋"/>
          <w:color w:val="000000" w:themeColor="text1"/>
          <w:sz w:val="24"/>
          <w:szCs w:val="24"/>
          <w:highlight w:val="none"/>
          <w:lang w:val="en-US" w:eastAsia="zh-CN"/>
          <w14:textFill>
            <w14:solidFill>
              <w14:schemeClr w14:val="tx1"/>
            </w14:solidFill>
          </w14:textFill>
        </w:rPr>
        <w:t>乙方</w:t>
      </w:r>
      <w:r>
        <w:rPr>
          <w:rFonts w:hint="eastAsia" w:ascii="仿宋" w:hAnsi="仿宋" w:eastAsia="仿宋" w:cs="仿宋"/>
          <w:color w:val="000000" w:themeColor="text1"/>
          <w:sz w:val="24"/>
          <w:szCs w:val="24"/>
          <w:highlight w:val="none"/>
          <w14:textFill>
            <w14:solidFill>
              <w14:schemeClr w14:val="tx1"/>
            </w14:solidFill>
          </w14:textFill>
        </w:rPr>
        <w:t>提供全新的货物，表面无划伤、无碰撞痕迹，且权属清楚，不得侵害他人的知识产权。</w:t>
      </w:r>
      <w:r>
        <w:rPr>
          <w:rFonts w:hint="eastAsia" w:ascii="仿宋" w:hAnsi="仿宋" w:eastAsia="仿宋" w:cs="仿宋"/>
          <w:color w:val="000000" w:themeColor="text1"/>
          <w:sz w:val="24"/>
          <w:szCs w:val="24"/>
          <w:highlight w:val="none"/>
          <w:lang w:val="en-US" w:eastAsia="zh-CN"/>
          <w14:textFill>
            <w14:solidFill>
              <w14:schemeClr w14:val="tx1"/>
            </w14:solidFill>
          </w14:textFill>
        </w:rPr>
        <w:t>软件系统应具有自主知识产权，供货时提供预付费系统著作权登记证书扫描件。</w:t>
      </w:r>
    </w:p>
    <w:p w14:paraId="441212E3">
      <w:pPr>
        <w:keepNext w:val="0"/>
        <w:keepLines w:val="0"/>
        <w:pageBreakBefore w:val="0"/>
        <w:widowControl/>
        <w:kinsoku/>
        <w:wordWrap w:val="0"/>
        <w:overflowPunct/>
        <w:topLinePunct/>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货物必须符合或优于国家（行业）标准，以及本项目</w:t>
      </w:r>
      <w:r>
        <w:rPr>
          <w:rFonts w:hint="eastAsia" w:ascii="仿宋" w:hAnsi="仿宋" w:eastAsia="仿宋" w:cs="仿宋"/>
          <w:color w:val="000000" w:themeColor="text1"/>
          <w:sz w:val="24"/>
          <w:szCs w:val="24"/>
          <w:highlight w:val="none"/>
          <w:lang w:val="en-US" w:eastAsia="zh-CN"/>
          <w14:textFill>
            <w14:solidFill>
              <w14:schemeClr w14:val="tx1"/>
            </w14:solidFill>
          </w14:textFill>
        </w:rPr>
        <w:t>采购</w:t>
      </w:r>
      <w:r>
        <w:rPr>
          <w:rFonts w:hint="eastAsia" w:ascii="仿宋" w:hAnsi="仿宋" w:eastAsia="仿宋" w:cs="仿宋"/>
          <w:color w:val="000000" w:themeColor="text1"/>
          <w:sz w:val="24"/>
          <w:szCs w:val="24"/>
          <w:highlight w:val="none"/>
          <w14:textFill>
            <w14:solidFill>
              <w14:schemeClr w14:val="tx1"/>
            </w14:solidFill>
          </w14:textFill>
        </w:rPr>
        <w:t>文件的</w:t>
      </w:r>
      <w:r>
        <w:rPr>
          <w:rFonts w:hint="eastAsia" w:ascii="仿宋" w:hAnsi="仿宋" w:eastAsia="仿宋" w:cs="仿宋"/>
          <w:color w:val="000000" w:themeColor="text1"/>
          <w:sz w:val="24"/>
          <w:szCs w:val="24"/>
          <w:highlight w:val="none"/>
          <w:lang w:eastAsia="zh-CN"/>
          <w14:textFill>
            <w14:solidFill>
              <w14:schemeClr w14:val="tx1"/>
            </w14:solidFill>
          </w14:textFill>
        </w:rPr>
        <w:t>技术指标</w:t>
      </w:r>
      <w:r>
        <w:rPr>
          <w:rFonts w:hint="eastAsia" w:ascii="仿宋" w:hAnsi="仿宋" w:eastAsia="仿宋" w:cs="仿宋"/>
          <w:color w:val="000000" w:themeColor="text1"/>
          <w:sz w:val="24"/>
          <w:szCs w:val="24"/>
          <w:highlight w:val="none"/>
          <w14:textFill>
            <w14:solidFill>
              <w14:schemeClr w14:val="tx1"/>
            </w14:solidFill>
          </w14:textFill>
        </w:rPr>
        <w:t>要求。</w:t>
      </w:r>
    </w:p>
    <w:p w14:paraId="347063BE">
      <w:pPr>
        <w:keepNext w:val="0"/>
        <w:keepLines w:val="0"/>
        <w:pageBreakBefore w:val="0"/>
        <w:widowControl/>
        <w:kinsoku/>
        <w:wordWrap w:val="0"/>
        <w:overflowPunct/>
        <w:topLinePunct/>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t>货物制造质量出现问题，</w:t>
      </w:r>
      <w:r>
        <w:rPr>
          <w:rFonts w:hint="eastAsia" w:ascii="仿宋" w:hAnsi="仿宋" w:eastAsia="仿宋" w:cs="仿宋"/>
          <w:color w:val="000000" w:themeColor="text1"/>
          <w:sz w:val="24"/>
          <w:szCs w:val="24"/>
          <w:highlight w:val="none"/>
          <w:lang w:eastAsia="zh-CN"/>
          <w14:textFill>
            <w14:solidFill>
              <w14:schemeClr w14:val="tx1"/>
            </w14:solidFill>
          </w14:textFill>
        </w:rPr>
        <w:t>乙方</w:t>
      </w:r>
      <w:r>
        <w:rPr>
          <w:rFonts w:hint="eastAsia" w:ascii="仿宋" w:hAnsi="仿宋" w:eastAsia="仿宋" w:cs="仿宋"/>
          <w:color w:val="000000" w:themeColor="text1"/>
          <w:sz w:val="24"/>
          <w:szCs w:val="24"/>
          <w:highlight w:val="none"/>
          <w14:textFill>
            <w14:solidFill>
              <w14:schemeClr w14:val="tx1"/>
            </w14:solidFill>
          </w14:textFill>
        </w:rPr>
        <w:t>负责</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三包</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（包修、包换、包退），费用由</w:t>
      </w:r>
      <w:r>
        <w:rPr>
          <w:rFonts w:hint="eastAsia" w:ascii="仿宋" w:hAnsi="仿宋" w:eastAsia="仿宋" w:cs="仿宋"/>
          <w:color w:val="000000" w:themeColor="text1"/>
          <w:sz w:val="24"/>
          <w:szCs w:val="24"/>
          <w:highlight w:val="none"/>
          <w:lang w:eastAsia="zh-CN"/>
          <w14:textFill>
            <w14:solidFill>
              <w14:schemeClr w14:val="tx1"/>
            </w14:solidFill>
          </w14:textFill>
        </w:rPr>
        <w:t>乙方</w:t>
      </w:r>
      <w:r>
        <w:rPr>
          <w:rFonts w:hint="eastAsia" w:ascii="仿宋" w:hAnsi="仿宋" w:eastAsia="仿宋" w:cs="仿宋"/>
          <w:color w:val="000000" w:themeColor="text1"/>
          <w:sz w:val="24"/>
          <w:szCs w:val="24"/>
          <w:highlight w:val="none"/>
          <w14:textFill>
            <w14:solidFill>
              <w14:schemeClr w14:val="tx1"/>
            </w14:solidFill>
          </w14:textFill>
        </w:rPr>
        <w:t>负担。</w:t>
      </w:r>
    </w:p>
    <w:p w14:paraId="697DADEC">
      <w:pPr>
        <w:pageBreakBefore w:val="0"/>
        <w:widowControl/>
        <w:kinsoku/>
        <w:wordWrap w:val="0"/>
        <w:overflowPunct/>
        <w:topLinePunct/>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乙方提供的货物必须是正规品牌，正规厂家生产的合格产品，符合国家规定的相关质量标准。因货物供应质量造成的损失全部由乙方赔偿，并承担相应法律责任；造成严重后果的，将追究乙方当事人和负责人的法律责任。</w:t>
      </w:r>
    </w:p>
    <w:p w14:paraId="7E49DC0B">
      <w:pPr>
        <w:pageBreakBefore w:val="0"/>
        <w:widowControl/>
        <w:kinsoku/>
        <w:wordWrap w:val="0"/>
        <w:overflowPunct/>
        <w:topLinePunct/>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5.所有货物在供货时须提供货物的产品合格证明材料。</w:t>
      </w:r>
    </w:p>
    <w:p w14:paraId="74E9A968">
      <w:pPr>
        <w:keepNext/>
        <w:keepLines/>
        <w:pageBreakBefore w:val="0"/>
        <w:widowControl w:val="0"/>
        <w:kinsoku/>
        <w:wordWrap/>
        <w:overflowPunct/>
        <w:topLinePunct w:val="0"/>
        <w:autoSpaceDE/>
        <w:autoSpaceDN/>
        <w:bidi w:val="0"/>
        <w:adjustRightInd/>
        <w:snapToGrid/>
        <w:spacing w:line="415" w:lineRule="auto"/>
        <w:ind w:firstLine="482" w:firstLineChars="200"/>
        <w:jc w:val="left"/>
        <w:textAlignment w:val="auto"/>
        <w:outlineLvl w:val="9"/>
        <w:rPr>
          <w:rFonts w:hint="eastAsia" w:ascii="仿宋" w:hAnsi="仿宋" w:eastAsia="仿宋" w:cs="仿宋"/>
          <w:b/>
          <w:bCs/>
          <w:color w:val="000000" w:themeColor="text1"/>
          <w:sz w:val="24"/>
          <w:szCs w:val="21"/>
          <w:highlight w:val="none"/>
          <w14:textFill>
            <w14:solidFill>
              <w14:schemeClr w14:val="tx1"/>
            </w14:solidFill>
          </w14:textFill>
        </w:rPr>
      </w:pPr>
      <w:r>
        <w:rPr>
          <w:rFonts w:hint="eastAsia" w:ascii="仿宋" w:hAnsi="仿宋" w:eastAsia="仿宋" w:cs="仿宋"/>
          <w:b/>
          <w:bCs/>
          <w:color w:val="000000" w:themeColor="text1"/>
          <w:sz w:val="24"/>
          <w:szCs w:val="21"/>
          <w:highlight w:val="none"/>
          <w14:textFill>
            <w14:solidFill>
              <w14:schemeClr w14:val="tx1"/>
            </w14:solidFill>
          </w14:textFill>
        </w:rPr>
        <w:t>四、交货及验收</w:t>
      </w:r>
      <w:bookmarkEnd w:id="8"/>
      <w:bookmarkEnd w:id="9"/>
    </w:p>
    <w:p w14:paraId="73DF78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1、</w:t>
      </w:r>
      <w:r>
        <w:rPr>
          <w:rFonts w:hint="eastAsia" w:ascii="仿宋" w:hAnsi="仿宋" w:eastAsia="仿宋" w:cs="仿宋"/>
          <w:color w:val="000000" w:themeColor="text1"/>
          <w:sz w:val="24"/>
          <w:szCs w:val="21"/>
          <w:highlight w:val="none"/>
          <w:lang w:eastAsia="zh-CN"/>
          <w14:textFill>
            <w14:solidFill>
              <w14:schemeClr w14:val="tx1"/>
            </w14:solidFill>
          </w14:textFill>
        </w:rPr>
        <w:t>交货：</w:t>
      </w:r>
      <w:r>
        <w:rPr>
          <w:rFonts w:hint="eastAsia" w:ascii="仿宋" w:hAnsi="仿宋" w:eastAsia="仿宋" w:cs="仿宋"/>
          <w:color w:val="000000" w:themeColor="text1"/>
          <w:sz w:val="24"/>
          <w:szCs w:val="21"/>
          <w:highlight w:val="none"/>
          <w14:textFill>
            <w14:solidFill>
              <w14:schemeClr w14:val="tx1"/>
            </w14:solidFill>
          </w14:textFill>
        </w:rPr>
        <w:t>乙</w:t>
      </w:r>
      <w:r>
        <w:rPr>
          <w:rFonts w:hint="eastAsia" w:ascii="仿宋" w:hAnsi="仿宋" w:eastAsia="仿宋" w:cs="仿宋"/>
          <w:color w:val="000000" w:themeColor="text1"/>
          <w:sz w:val="24"/>
          <w:szCs w:val="21"/>
          <w:highlight w:val="none"/>
          <w:lang w:val="en-US" w:eastAsia="zh-CN"/>
          <w14:textFill>
            <w14:solidFill>
              <w14:schemeClr w14:val="tx1"/>
            </w14:solidFill>
          </w14:textFill>
        </w:rPr>
        <w:t>方</w:t>
      </w:r>
      <w:r>
        <w:rPr>
          <w:rFonts w:hint="eastAsia" w:ascii="仿宋" w:hAnsi="仿宋" w:eastAsia="仿宋" w:cs="仿宋"/>
          <w:color w:val="000000" w:themeColor="text1"/>
          <w:sz w:val="24"/>
          <w:szCs w:val="21"/>
          <w:highlight w:val="none"/>
          <w:lang w:eastAsia="zh-CN"/>
          <w14:textFill>
            <w14:solidFill>
              <w14:schemeClr w14:val="tx1"/>
            </w14:solidFill>
          </w14:textFill>
        </w:rPr>
        <w:t>交付使用时间</w:t>
      </w:r>
      <w:r>
        <w:rPr>
          <w:rFonts w:hint="eastAsia" w:ascii="仿宋" w:hAnsi="仿宋" w:eastAsia="仿宋" w:cs="仿宋"/>
          <w:color w:val="000000" w:themeColor="text1"/>
          <w:sz w:val="24"/>
          <w:szCs w:val="21"/>
          <w:highlight w:val="none"/>
          <w14:textFill>
            <w14:solidFill>
              <w14:schemeClr w14:val="tx1"/>
            </w14:solidFill>
          </w14:textFill>
        </w:rPr>
        <w:t>为合同签订生效后的</w:t>
      </w:r>
      <w:r>
        <w:rPr>
          <w:rFonts w:hint="eastAsia" w:ascii="仿宋" w:hAnsi="仿宋" w:eastAsia="仿宋" w:cs="仿宋"/>
          <w:color w:val="000000" w:themeColor="text1"/>
          <w:sz w:val="24"/>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1"/>
          <w:highlight w:val="none"/>
          <w14:textFill>
            <w14:solidFill>
              <w14:schemeClr w14:val="tx1"/>
            </w14:solidFill>
          </w14:textFill>
        </w:rPr>
        <w:t>日内(如由于</w:t>
      </w:r>
      <w:r>
        <w:rPr>
          <w:rFonts w:hint="eastAsia" w:ascii="仿宋" w:hAnsi="仿宋" w:eastAsia="仿宋" w:cs="仿宋"/>
          <w:color w:val="000000" w:themeColor="text1"/>
          <w:sz w:val="24"/>
          <w:szCs w:val="21"/>
          <w:highlight w:val="none"/>
          <w:lang w:eastAsia="zh-CN"/>
          <w14:textFill>
            <w14:solidFill>
              <w14:schemeClr w14:val="tx1"/>
            </w14:solidFill>
          </w14:textFill>
        </w:rPr>
        <w:t>甲方</w:t>
      </w:r>
      <w:r>
        <w:rPr>
          <w:rFonts w:hint="eastAsia" w:ascii="仿宋" w:hAnsi="仿宋" w:eastAsia="仿宋" w:cs="仿宋"/>
          <w:color w:val="000000" w:themeColor="text1"/>
          <w:sz w:val="24"/>
          <w:szCs w:val="21"/>
          <w:highlight w:val="none"/>
          <w14:textFill>
            <w14:solidFill>
              <w14:schemeClr w14:val="tx1"/>
            </w14:solidFill>
          </w14:textFill>
        </w:rPr>
        <w:t>的原因造成合同延迟签订或验收的，时间顺延)。</w:t>
      </w:r>
    </w:p>
    <w:p w14:paraId="2FA8C7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2、验收：</w:t>
      </w:r>
    </w:p>
    <w:p w14:paraId="559DD04E">
      <w:pPr>
        <w:spacing w:line="360" w:lineRule="auto"/>
        <w:ind w:firstLine="480" w:firstLineChars="200"/>
        <w:rPr>
          <w:rFonts w:hint="eastAsia" w:ascii="仿宋" w:hAnsi="仿宋" w:eastAsia="仿宋" w:cs="仿宋"/>
          <w:color w:val="000000" w:themeColor="text1"/>
          <w:sz w:val="24"/>
          <w:szCs w:val="21"/>
          <w:highlight w:val="none"/>
          <w:lang w:val="en-US" w:eastAsia="zh-CN"/>
          <w14:textFill>
            <w14:solidFill>
              <w14:schemeClr w14:val="tx1"/>
            </w14:solidFill>
          </w14:textFill>
        </w:rPr>
      </w:pPr>
      <w:r>
        <w:rPr>
          <w:rFonts w:hint="eastAsia" w:ascii="仿宋" w:hAnsi="仿宋" w:eastAsia="仿宋" w:cs="仿宋"/>
          <w:color w:val="000000" w:themeColor="text1"/>
          <w:sz w:val="24"/>
          <w:szCs w:val="21"/>
          <w:highlight w:val="none"/>
          <w:lang w:val="en-US" w:eastAsia="zh-CN"/>
          <w14:textFill>
            <w14:solidFill>
              <w14:schemeClr w14:val="tx1"/>
            </w14:solidFill>
          </w14:textFill>
        </w:rPr>
        <w:t>（1）验收方式：由甲方组织，乙方参与并提出验收申请，项目实施结束后一次性验收。</w:t>
      </w:r>
    </w:p>
    <w:p w14:paraId="623D1BDD">
      <w:pPr>
        <w:spacing w:line="360" w:lineRule="auto"/>
        <w:ind w:firstLine="480" w:firstLineChars="200"/>
        <w:rPr>
          <w:rFonts w:hint="eastAsia" w:ascii="仿宋" w:hAnsi="仿宋" w:eastAsia="仿宋" w:cs="仿宋"/>
          <w:color w:val="000000" w:themeColor="text1"/>
          <w:sz w:val="24"/>
          <w:szCs w:val="21"/>
          <w:highlight w:val="none"/>
          <w:lang w:val="en-US" w:eastAsia="zh-CN"/>
          <w14:textFill>
            <w14:solidFill>
              <w14:schemeClr w14:val="tx1"/>
            </w14:solidFill>
          </w14:textFill>
        </w:rPr>
      </w:pPr>
      <w:r>
        <w:rPr>
          <w:rFonts w:hint="eastAsia" w:ascii="仿宋" w:hAnsi="仿宋" w:eastAsia="仿宋" w:cs="仿宋"/>
          <w:color w:val="000000" w:themeColor="text1"/>
          <w:sz w:val="24"/>
          <w:szCs w:val="21"/>
          <w:highlight w:val="none"/>
          <w:lang w:val="en-US" w:eastAsia="zh-CN"/>
          <w14:textFill>
            <w14:solidFill>
              <w14:schemeClr w14:val="tx1"/>
            </w14:solidFill>
          </w14:textFill>
        </w:rPr>
        <w:t>（2）验收标准：严格按照《财政部关于进一步加强政府采购需求和履约验收管理的指导意见》(川财采〔2016〕205号)、《财政部关于印发&lt;政府采购需求管理办法&gt;的通知》（财库〔2021〕22号）、《巴中市财政局关于进一步加强政府采购项目合同履约验收管理工作的通知》(巴财采〔2021〕21号)要求、采购文件要求、响应文件承诺及合同约定标准进行验收。</w:t>
      </w:r>
    </w:p>
    <w:p w14:paraId="2F7496CD">
      <w:pPr>
        <w:spacing w:line="360" w:lineRule="auto"/>
        <w:ind w:firstLine="480" w:firstLineChars="200"/>
        <w:rPr>
          <w:rFonts w:hint="eastAsia" w:ascii="仿宋" w:hAnsi="仿宋" w:eastAsia="仿宋" w:cs="仿宋"/>
          <w:color w:val="000000" w:themeColor="text1"/>
          <w:sz w:val="24"/>
          <w:szCs w:val="21"/>
          <w:highlight w:val="none"/>
          <w:lang w:val="en-US" w:eastAsia="zh-CN"/>
          <w14:textFill>
            <w14:solidFill>
              <w14:schemeClr w14:val="tx1"/>
            </w14:solidFill>
          </w14:textFill>
        </w:rPr>
      </w:pPr>
      <w:r>
        <w:rPr>
          <w:rFonts w:hint="eastAsia" w:ascii="仿宋" w:hAnsi="仿宋" w:eastAsia="仿宋" w:cs="仿宋"/>
          <w:color w:val="000000" w:themeColor="text1"/>
          <w:sz w:val="24"/>
          <w:szCs w:val="21"/>
          <w:highlight w:val="none"/>
          <w:lang w:val="en-US" w:eastAsia="zh-CN"/>
          <w14:textFill>
            <w14:solidFill>
              <w14:schemeClr w14:val="tx1"/>
            </w14:solidFill>
          </w14:textFill>
        </w:rPr>
        <w:t>（3）验收内容：技术服务要求、合同履约质量以及乙方应当提供的其他资料等内容。</w:t>
      </w:r>
    </w:p>
    <w:p w14:paraId="2DD6EA73">
      <w:pPr>
        <w:spacing w:line="360" w:lineRule="auto"/>
        <w:ind w:firstLine="480" w:firstLineChars="200"/>
        <w:rPr>
          <w:rFonts w:hint="eastAsia" w:ascii="仿宋" w:hAnsi="仿宋" w:eastAsia="仿宋" w:cs="仿宋"/>
          <w:color w:val="000000" w:themeColor="text1"/>
          <w:sz w:val="24"/>
          <w:szCs w:val="21"/>
          <w:highlight w:val="none"/>
          <w:lang w:val="en-US" w:eastAsia="zh-CN"/>
          <w14:textFill>
            <w14:solidFill>
              <w14:schemeClr w14:val="tx1"/>
            </w14:solidFill>
          </w14:textFill>
        </w:rPr>
      </w:pPr>
      <w:r>
        <w:rPr>
          <w:rFonts w:hint="eastAsia" w:ascii="仿宋" w:hAnsi="仿宋" w:eastAsia="仿宋" w:cs="仿宋"/>
          <w:color w:val="000000" w:themeColor="text1"/>
          <w:sz w:val="24"/>
          <w:szCs w:val="21"/>
          <w:highlight w:val="none"/>
          <w:lang w:val="en-US" w:eastAsia="zh-CN"/>
          <w14:textFill>
            <w14:solidFill>
              <w14:schemeClr w14:val="tx1"/>
            </w14:solidFill>
          </w14:textFill>
        </w:rPr>
        <w:t>（4）验收结果合格的，双方签署验收报告，作为支付采购资金的依据。验收不合格的，由乙方进行整改，直至验收合格为止。</w:t>
      </w:r>
    </w:p>
    <w:p w14:paraId="3F10EF10">
      <w:pPr>
        <w:spacing w:line="360" w:lineRule="auto"/>
        <w:ind w:firstLine="600" w:firstLineChars="250"/>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w:t>
      </w:r>
      <w:r>
        <w:rPr>
          <w:rFonts w:hint="eastAsia" w:ascii="仿宋" w:hAnsi="仿宋" w:eastAsia="仿宋" w:cs="仿宋"/>
          <w:color w:val="000000" w:themeColor="text1"/>
          <w:sz w:val="24"/>
          <w:szCs w:val="21"/>
          <w:highlight w:val="none"/>
          <w:lang w:val="en-US" w:eastAsia="zh-CN"/>
          <w14:textFill>
            <w14:solidFill>
              <w14:schemeClr w14:val="tx1"/>
            </w14:solidFill>
          </w14:textFill>
        </w:rPr>
        <w:t>5</w:t>
      </w:r>
      <w:r>
        <w:rPr>
          <w:rFonts w:hint="eastAsia" w:ascii="仿宋" w:hAnsi="仿宋" w:eastAsia="仿宋" w:cs="仿宋"/>
          <w:color w:val="000000" w:themeColor="text1"/>
          <w:sz w:val="24"/>
          <w:szCs w:val="21"/>
          <w:highlight w:val="none"/>
          <w14:textFill>
            <w14:solidFill>
              <w14:schemeClr w14:val="tx1"/>
            </w14:solidFill>
          </w14:textFill>
        </w:rPr>
        <w:t>) 验收时如发现</w:t>
      </w:r>
      <w:r>
        <w:rPr>
          <w:rFonts w:hint="eastAsia" w:ascii="仿宋" w:hAnsi="仿宋" w:eastAsia="仿宋" w:cs="仿宋"/>
          <w:color w:val="000000" w:themeColor="text1"/>
          <w:sz w:val="24"/>
          <w:szCs w:val="21"/>
          <w:highlight w:val="none"/>
          <w:lang w:eastAsia="zh-CN"/>
          <w14:textFill>
            <w14:solidFill>
              <w14:schemeClr w14:val="tx1"/>
            </w14:solidFill>
          </w14:textFill>
        </w:rPr>
        <w:t>乙方</w:t>
      </w:r>
      <w:r>
        <w:rPr>
          <w:rFonts w:hint="eastAsia" w:ascii="仿宋" w:hAnsi="仿宋" w:eastAsia="仿宋" w:cs="仿宋"/>
          <w:color w:val="000000" w:themeColor="text1"/>
          <w:sz w:val="24"/>
          <w:szCs w:val="21"/>
          <w:highlight w:val="none"/>
          <w14:textFill>
            <w14:solidFill>
              <w14:schemeClr w14:val="tx1"/>
            </w14:solidFill>
          </w14:textFill>
        </w:rPr>
        <w:t>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24AA856E">
      <w:pPr>
        <w:spacing w:line="360" w:lineRule="auto"/>
        <w:ind w:firstLine="480" w:firstLineChars="200"/>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lang w:val="en-US" w:eastAsia="zh-CN"/>
          <w14:textFill>
            <w14:solidFill>
              <w14:schemeClr w14:val="tx1"/>
            </w14:solidFill>
          </w14:textFill>
        </w:rPr>
        <w:t>4</w:t>
      </w:r>
      <w:r>
        <w:rPr>
          <w:rFonts w:hint="eastAsia" w:ascii="仿宋" w:hAnsi="仿宋" w:eastAsia="仿宋" w:cs="仿宋"/>
          <w:color w:val="000000" w:themeColor="text1"/>
          <w:sz w:val="24"/>
          <w:szCs w:val="21"/>
          <w:highlight w:val="none"/>
          <w14:textFill>
            <w14:solidFill>
              <w14:schemeClr w14:val="tx1"/>
            </w14:solidFill>
          </w14:textFill>
        </w:rPr>
        <w:t>、</w:t>
      </w:r>
      <w:r>
        <w:rPr>
          <w:rFonts w:hint="eastAsia" w:ascii="仿宋" w:hAnsi="仿宋" w:eastAsia="仿宋" w:cs="仿宋"/>
          <w:color w:val="000000" w:themeColor="text1"/>
          <w:sz w:val="24"/>
          <w:szCs w:val="21"/>
          <w:highlight w:val="none"/>
          <w:lang w:val="en-US" w:eastAsia="zh-CN"/>
          <w14:textFill>
            <w14:solidFill>
              <w14:schemeClr w14:val="tx1"/>
            </w14:solidFill>
          </w14:textFill>
        </w:rPr>
        <w:t>乙方完成项目并提出验收申请</w:t>
      </w:r>
      <w:r>
        <w:rPr>
          <w:rFonts w:hint="eastAsia" w:ascii="仿宋" w:hAnsi="仿宋" w:eastAsia="仿宋" w:cs="仿宋"/>
          <w:color w:val="000000" w:themeColor="text1"/>
          <w:sz w:val="24"/>
          <w:szCs w:val="21"/>
          <w:highlight w:val="none"/>
          <w14:textFill>
            <w14:solidFill>
              <w14:schemeClr w14:val="tx1"/>
            </w14:solidFill>
          </w14:textFill>
        </w:rPr>
        <w:t>后</w:t>
      </w:r>
      <w:r>
        <w:rPr>
          <w:rFonts w:hint="eastAsia" w:ascii="仿宋" w:hAnsi="仿宋" w:eastAsia="仿宋" w:cs="仿宋"/>
          <w:color w:val="000000" w:themeColor="text1"/>
          <w:sz w:val="24"/>
          <w:szCs w:val="21"/>
          <w:highlight w:val="none"/>
          <w:lang w:val="en-US" w:eastAsia="zh-CN"/>
          <w14:textFill>
            <w14:solidFill>
              <w14:schemeClr w14:val="tx1"/>
            </w14:solidFill>
          </w14:textFill>
        </w:rPr>
        <w:t>15</w:t>
      </w:r>
      <w:r>
        <w:rPr>
          <w:rFonts w:hint="eastAsia" w:ascii="仿宋" w:hAnsi="仿宋" w:eastAsia="仿宋" w:cs="仿宋"/>
          <w:color w:val="000000" w:themeColor="text1"/>
          <w:sz w:val="24"/>
          <w:szCs w:val="21"/>
          <w:highlight w:val="none"/>
          <w14:textFill>
            <w14:solidFill>
              <w14:schemeClr w14:val="tx1"/>
            </w14:solidFill>
          </w14:textFill>
        </w:rPr>
        <w:t>日内，甲方无故不进行验收工作并已使用货物的，视同验收合格。</w:t>
      </w:r>
    </w:p>
    <w:p w14:paraId="74693E59">
      <w:pPr>
        <w:spacing w:line="360" w:lineRule="auto"/>
        <w:ind w:firstLine="480" w:firstLineChars="200"/>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lang w:val="en-US" w:eastAsia="zh-CN"/>
          <w14:textFill>
            <w14:solidFill>
              <w14:schemeClr w14:val="tx1"/>
            </w14:solidFill>
          </w14:textFill>
        </w:rPr>
        <w:t>5</w:t>
      </w:r>
      <w:r>
        <w:rPr>
          <w:rFonts w:hint="eastAsia" w:ascii="仿宋" w:hAnsi="仿宋" w:eastAsia="仿宋" w:cs="仿宋"/>
          <w:color w:val="000000" w:themeColor="text1"/>
          <w:sz w:val="24"/>
          <w:szCs w:val="21"/>
          <w:highlight w:val="none"/>
          <w14:textFill>
            <w14:solidFill>
              <w14:schemeClr w14:val="tx1"/>
            </w14:solidFill>
          </w14:textFill>
        </w:rPr>
        <w:t>、乙方应将所提供货物的清单、使用</w:t>
      </w:r>
      <w:r>
        <w:rPr>
          <w:rFonts w:hint="eastAsia" w:ascii="仿宋" w:hAnsi="仿宋" w:eastAsia="仿宋" w:cs="仿宋"/>
          <w:color w:val="000000" w:themeColor="text1"/>
          <w:sz w:val="24"/>
          <w:szCs w:val="21"/>
          <w:highlight w:val="none"/>
          <w:lang w:val="en-US" w:eastAsia="zh-CN"/>
          <w14:textFill>
            <w14:solidFill>
              <w14:schemeClr w14:val="tx1"/>
            </w14:solidFill>
          </w14:textFill>
        </w:rPr>
        <w:t>说明书</w:t>
      </w:r>
      <w:r>
        <w:rPr>
          <w:rFonts w:hint="eastAsia" w:ascii="仿宋" w:hAnsi="仿宋" w:eastAsia="仿宋" w:cs="仿宋"/>
          <w:color w:val="000000" w:themeColor="text1"/>
          <w:sz w:val="24"/>
          <w:szCs w:val="21"/>
          <w:highlight w:val="none"/>
          <w14:textFill>
            <w14:solidFill>
              <w14:schemeClr w14:val="tx1"/>
            </w14:solidFill>
          </w14:textFill>
        </w:rPr>
        <w:t>、保修卡</w:t>
      </w:r>
      <w:r>
        <w:rPr>
          <w:rFonts w:hint="eastAsia" w:ascii="仿宋" w:hAnsi="仿宋" w:eastAsia="仿宋" w:cs="仿宋"/>
          <w:color w:val="000000" w:themeColor="text1"/>
          <w:sz w:val="24"/>
          <w:szCs w:val="21"/>
          <w:highlight w:val="none"/>
          <w:lang w:val="en-US" w:eastAsia="zh-CN"/>
          <w14:textFill>
            <w14:solidFill>
              <w14:schemeClr w14:val="tx1"/>
            </w14:solidFill>
          </w14:textFill>
        </w:rPr>
        <w:t>以及应当提供的其他</w:t>
      </w:r>
      <w:r>
        <w:rPr>
          <w:rFonts w:hint="eastAsia" w:ascii="仿宋" w:hAnsi="仿宋" w:eastAsia="仿宋" w:cs="仿宋"/>
          <w:color w:val="000000" w:themeColor="text1"/>
          <w:sz w:val="24"/>
          <w:szCs w:val="21"/>
          <w:highlight w:val="none"/>
          <w14:textFill>
            <w14:solidFill>
              <w14:schemeClr w14:val="tx1"/>
            </w14:solidFill>
          </w14:textFill>
        </w:rPr>
        <w:t>资料</w:t>
      </w:r>
      <w:r>
        <w:rPr>
          <w:rFonts w:hint="eastAsia" w:ascii="仿宋" w:hAnsi="仿宋" w:eastAsia="仿宋" w:cs="仿宋"/>
          <w:color w:val="000000" w:themeColor="text1"/>
          <w:sz w:val="24"/>
          <w:szCs w:val="21"/>
          <w:highlight w:val="none"/>
          <w:lang w:eastAsia="zh-CN"/>
          <w14:textFill>
            <w14:solidFill>
              <w14:schemeClr w14:val="tx1"/>
            </w14:solidFill>
          </w14:textFill>
        </w:rPr>
        <w:t>（</w:t>
      </w:r>
      <w:r>
        <w:rPr>
          <w:rFonts w:hint="eastAsia" w:ascii="仿宋" w:hAnsi="仿宋" w:eastAsia="仿宋" w:cs="仿宋"/>
          <w:color w:val="000000" w:themeColor="text1"/>
          <w:sz w:val="24"/>
          <w:szCs w:val="21"/>
          <w:highlight w:val="none"/>
          <w:lang w:val="en-US" w:eastAsia="zh-CN"/>
          <w14:textFill>
            <w14:solidFill>
              <w14:schemeClr w14:val="tx1"/>
            </w14:solidFill>
          </w14:textFill>
        </w:rPr>
        <w:t>若有</w:t>
      </w:r>
      <w:r>
        <w:rPr>
          <w:rFonts w:hint="eastAsia" w:ascii="仿宋" w:hAnsi="仿宋" w:eastAsia="仿宋" w:cs="仿宋"/>
          <w:color w:val="000000" w:themeColor="text1"/>
          <w:sz w:val="24"/>
          <w:szCs w:val="21"/>
          <w:highlight w:val="none"/>
          <w:lang w:eastAsia="zh-CN"/>
          <w14:textFill>
            <w14:solidFill>
              <w14:schemeClr w14:val="tx1"/>
            </w14:solidFill>
          </w14:textFill>
        </w:rPr>
        <w:t>）</w:t>
      </w:r>
      <w:r>
        <w:rPr>
          <w:rFonts w:hint="eastAsia" w:ascii="仿宋" w:hAnsi="仿宋" w:eastAsia="仿宋" w:cs="仿宋"/>
          <w:color w:val="000000" w:themeColor="text1"/>
          <w:sz w:val="24"/>
          <w:szCs w:val="21"/>
          <w:highlight w:val="none"/>
          <w14:textFill>
            <w14:solidFill>
              <w14:schemeClr w14:val="tx1"/>
            </w14:solidFill>
          </w14:textFill>
        </w:rPr>
        <w:t>交付给甲方；乙方不能完整交付货物及本款规定的单证和工具的，必须负责补齐，否则视为未按合同约定交货。</w:t>
      </w:r>
    </w:p>
    <w:p w14:paraId="2F04BC52">
      <w:pPr>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lang w:val="en-US" w:eastAsia="zh-CN"/>
          <w14:textFill>
            <w14:solidFill>
              <w14:schemeClr w14:val="tx1"/>
            </w14:solidFill>
          </w14:textFill>
        </w:rPr>
        <w:t>6</w:t>
      </w:r>
      <w:r>
        <w:rPr>
          <w:rFonts w:hint="eastAsia" w:ascii="仿宋" w:hAnsi="仿宋" w:eastAsia="仿宋" w:cs="仿宋"/>
          <w:color w:val="000000" w:themeColor="text1"/>
          <w:sz w:val="24"/>
          <w:szCs w:val="21"/>
          <w:highlight w:val="none"/>
          <w14:textFill>
            <w14:solidFill>
              <w14:schemeClr w14:val="tx1"/>
            </w14:solidFill>
          </w14:textFill>
        </w:rPr>
        <w:t>、如货物经乙方</w:t>
      </w:r>
      <w:r>
        <w:rPr>
          <w:rFonts w:hint="eastAsia" w:ascii="仿宋" w:hAnsi="仿宋" w:eastAsia="仿宋" w:cs="仿宋"/>
          <w:color w:val="000000" w:themeColor="text1"/>
          <w:sz w:val="24"/>
          <w:szCs w:val="21"/>
          <w:highlight w:val="none"/>
          <w:lang w:val="en-US" w:eastAsia="zh-CN"/>
          <w14:textFill>
            <w14:solidFill>
              <w14:schemeClr w14:val="tx1"/>
            </w14:solidFill>
          </w14:textFill>
        </w:rPr>
        <w:t>2</w:t>
      </w:r>
      <w:r>
        <w:rPr>
          <w:rFonts w:hint="eastAsia" w:ascii="仿宋" w:hAnsi="仿宋" w:eastAsia="仿宋" w:cs="仿宋"/>
          <w:color w:val="000000" w:themeColor="text1"/>
          <w:sz w:val="24"/>
          <w:szCs w:val="21"/>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w:t>
      </w:r>
    </w:p>
    <w:p w14:paraId="1C93105C">
      <w:pPr>
        <w:keepNext/>
        <w:keepLines/>
        <w:pageBreakBefore w:val="0"/>
        <w:widowControl w:val="0"/>
        <w:kinsoku/>
        <w:wordWrap/>
        <w:overflowPunct/>
        <w:topLinePunct w:val="0"/>
        <w:autoSpaceDE/>
        <w:autoSpaceDN/>
        <w:bidi w:val="0"/>
        <w:adjustRightInd/>
        <w:snapToGrid/>
        <w:spacing w:line="460" w:lineRule="exact"/>
        <w:ind w:firstLine="482" w:firstLineChars="200"/>
        <w:jc w:val="left"/>
        <w:textAlignment w:val="auto"/>
        <w:outlineLvl w:val="9"/>
        <w:rPr>
          <w:rFonts w:hint="eastAsia" w:ascii="仿宋" w:hAnsi="仿宋" w:eastAsia="仿宋" w:cs="仿宋"/>
          <w:b/>
          <w:bCs/>
          <w:color w:val="000000" w:themeColor="text1"/>
          <w:sz w:val="24"/>
          <w:szCs w:val="21"/>
          <w:highlight w:val="none"/>
          <w14:textFill>
            <w14:solidFill>
              <w14:schemeClr w14:val="tx1"/>
            </w14:solidFill>
          </w14:textFill>
        </w:rPr>
      </w:pPr>
      <w:bookmarkStart w:id="10" w:name="_Toc51146181"/>
      <w:bookmarkStart w:id="11" w:name="_Toc217446111"/>
      <w:r>
        <w:rPr>
          <w:rFonts w:hint="eastAsia" w:ascii="仿宋" w:hAnsi="仿宋" w:eastAsia="仿宋" w:cs="仿宋"/>
          <w:b/>
          <w:bCs/>
          <w:color w:val="000000" w:themeColor="text1"/>
          <w:sz w:val="24"/>
          <w:szCs w:val="21"/>
          <w:highlight w:val="none"/>
          <w14:textFill>
            <w14:solidFill>
              <w14:schemeClr w14:val="tx1"/>
            </w14:solidFill>
          </w14:textFill>
        </w:rPr>
        <w:t>五、付款方式</w:t>
      </w:r>
      <w:bookmarkEnd w:id="10"/>
      <w:bookmarkEnd w:id="11"/>
    </w:p>
    <w:p w14:paraId="7614D1DE">
      <w:pPr>
        <w:spacing w:line="360" w:lineRule="auto"/>
        <w:ind w:firstLine="480" w:firstLineChars="200"/>
        <w:rPr>
          <w:rFonts w:hint="eastAsia" w:ascii="仿宋" w:hAnsi="仿宋" w:eastAsia="仿宋" w:cs="仿宋"/>
          <w:color w:val="000000" w:themeColor="text1"/>
          <w:sz w:val="24"/>
          <w:highlight w:val="none"/>
          <w:lang w:val="en-US" w:eastAsia="zh-CN"/>
          <w14:textFill>
            <w14:solidFill>
              <w14:schemeClr w14:val="tx1"/>
            </w14:solidFill>
          </w14:textFill>
        </w:rPr>
      </w:pPr>
      <w:bookmarkStart w:id="12" w:name="_Toc51146182"/>
      <w:bookmarkStart w:id="13" w:name="_Toc217446112"/>
      <w:r>
        <w:rPr>
          <w:rFonts w:hint="eastAsia" w:ascii="仿宋" w:hAnsi="仿宋" w:eastAsia="仿宋" w:cs="仿宋"/>
          <w:color w:val="000000" w:themeColor="text1"/>
          <w:sz w:val="24"/>
          <w:highlight w:val="none"/>
          <w:lang w:val="en-US" w:eastAsia="zh-CN"/>
          <w14:textFill>
            <w14:solidFill>
              <w14:schemeClr w14:val="tx1"/>
            </w14:solidFill>
          </w14:textFill>
        </w:rPr>
        <w:t>1.签订合同并收到乙方有效发票后，达到付款条件起30日内，支付合同总金额的40.00%；</w:t>
      </w:r>
    </w:p>
    <w:p w14:paraId="0D9D86B7">
      <w:pPr>
        <w:spacing w:line="360" w:lineRule="auto"/>
        <w:ind w:firstLine="480" w:firstLineChars="200"/>
        <w:rPr>
          <w:rFonts w:hint="eastAsia" w:ascii="仿宋" w:hAnsi="仿宋" w:eastAsia="仿宋" w:cs="仿宋"/>
          <w:color w:val="000000" w:themeColor="text1"/>
          <w:sz w:val="24"/>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2.完成全部供货且验收合格并收到乙方有效发票后，达到付款条件起30日内，支付合同总金额的60.00%。</w:t>
      </w:r>
    </w:p>
    <w:p w14:paraId="66424E9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b/>
          <w:bCs/>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3、付款方式均采用公对公的银行转账，乙方接受转账的开户信息以采购合同中载明的为准。</w:t>
      </w:r>
    </w:p>
    <w:p w14:paraId="57AB9CAD">
      <w:pPr>
        <w:keepNext/>
        <w:keepLines/>
        <w:pageBreakBefore w:val="0"/>
        <w:widowControl w:val="0"/>
        <w:kinsoku/>
        <w:wordWrap/>
        <w:overflowPunct/>
        <w:topLinePunct w:val="0"/>
        <w:autoSpaceDE/>
        <w:autoSpaceDN/>
        <w:bidi w:val="0"/>
        <w:adjustRightInd/>
        <w:snapToGrid/>
        <w:spacing w:line="460" w:lineRule="exact"/>
        <w:ind w:firstLine="482" w:firstLineChars="200"/>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六、售后服务</w:t>
      </w:r>
      <w:bookmarkEnd w:id="12"/>
      <w:bookmarkEnd w:id="13"/>
    </w:p>
    <w:p w14:paraId="42F2FE8E">
      <w:pPr>
        <w:pStyle w:val="6"/>
        <w:ind w:firstLine="480" w:firstLineChars="200"/>
        <w:jc w:val="left"/>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bookmarkStart w:id="14" w:name="_Toc217446113"/>
      <w:bookmarkStart w:id="15" w:name="_Toc51146183"/>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1、质量保修范围：乙方提供的全部货物（含系统软件）。</w:t>
      </w:r>
    </w:p>
    <w:p w14:paraId="74A09506">
      <w:pPr>
        <w:keepNext w:val="0"/>
        <w:keepLines w:val="0"/>
        <w:pageBreakBefore w:val="0"/>
        <w:widowControl w:val="0"/>
        <w:kinsoku/>
        <w:wordWrap/>
        <w:overflowPunct/>
        <w:topLinePunct w:val="0"/>
        <w:autoSpaceDE/>
        <w:autoSpaceDN/>
        <w:adjustRightInd/>
        <w:snapToGrid/>
        <w:spacing w:line="460" w:lineRule="exact"/>
        <w:ind w:firstLine="480"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2、保修期：货物验收合格后2年。除非因甲方使用不当，货物在保修期内被发现存在任何质量问题，乙方应按照“三包”规定负责对货物进行退换，退换的货物的保修期应重新计算。。</w:t>
      </w:r>
    </w:p>
    <w:p w14:paraId="5A8A182B">
      <w:pPr>
        <w:keepNext w:val="0"/>
        <w:keepLines w:val="0"/>
        <w:pageBreakBefore w:val="0"/>
        <w:widowControl w:val="0"/>
        <w:kinsoku/>
        <w:wordWrap/>
        <w:overflowPunct/>
        <w:topLinePunct w:val="0"/>
        <w:autoSpaceDE/>
        <w:autoSpaceDN/>
        <w:adjustRightInd/>
        <w:snapToGrid/>
        <w:spacing w:line="460" w:lineRule="exact"/>
        <w:ind w:firstLine="480"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3、质保期内出现质量问题，乙方在接到通知后30分钟内响应，无法远程服务的，2</w:t>
      </w:r>
      <w:r>
        <w:rPr>
          <w:rFonts w:ascii="仿宋" w:hAnsi="仿宋" w:eastAsia="仿宋" w:cs="仿宋"/>
          <w:color w:val="000000" w:themeColor="text1"/>
          <w:sz w:val="24"/>
          <w:szCs w:val="24"/>
          <w:highlight w:val="none"/>
          <w:lang w:val="en-US" w:eastAsia="zh-CN"/>
          <w14:textFill>
            <w14:solidFill>
              <w14:schemeClr w14:val="tx1"/>
            </w14:solidFill>
          </w14:textFill>
        </w:rPr>
        <w:t>4</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小时内售后人员应到达现场，24小时内完成处理，调换所产生的费用由乙方全部承担。 </w:t>
      </w:r>
    </w:p>
    <w:p w14:paraId="094EF4A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4、乙方应为本项目配备专业售后服务人员。联系人：</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电话：</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p>
    <w:p w14:paraId="0EC8C3F5">
      <w:pPr>
        <w:keepNext/>
        <w:keepLines/>
        <w:pageBreakBefore w:val="0"/>
        <w:widowControl w:val="0"/>
        <w:kinsoku/>
        <w:wordWrap/>
        <w:overflowPunct/>
        <w:topLinePunct w:val="0"/>
        <w:autoSpaceDE/>
        <w:autoSpaceDN/>
        <w:bidi w:val="0"/>
        <w:adjustRightInd/>
        <w:snapToGrid/>
        <w:spacing w:line="460" w:lineRule="exact"/>
        <w:ind w:firstLine="482" w:firstLineChars="200"/>
        <w:jc w:val="left"/>
        <w:textAlignment w:val="auto"/>
        <w:outlineLvl w:val="9"/>
        <w:rPr>
          <w:rFonts w:hint="eastAsia" w:ascii="仿宋" w:hAnsi="仿宋" w:eastAsia="仿宋" w:cs="仿宋"/>
          <w:b/>
          <w:bCs/>
          <w:color w:val="000000" w:themeColor="text1"/>
          <w:sz w:val="24"/>
          <w:szCs w:val="21"/>
          <w:highlight w:val="none"/>
          <w14:textFill>
            <w14:solidFill>
              <w14:schemeClr w14:val="tx1"/>
            </w14:solidFill>
          </w14:textFill>
        </w:rPr>
      </w:pPr>
      <w:r>
        <w:rPr>
          <w:rFonts w:hint="eastAsia" w:ascii="仿宋" w:hAnsi="仿宋" w:eastAsia="仿宋" w:cs="仿宋"/>
          <w:b/>
          <w:bCs/>
          <w:color w:val="000000" w:themeColor="text1"/>
          <w:sz w:val="24"/>
          <w:szCs w:val="21"/>
          <w:highlight w:val="none"/>
          <w14:textFill>
            <w14:solidFill>
              <w14:schemeClr w14:val="tx1"/>
            </w14:solidFill>
          </w14:textFill>
        </w:rPr>
        <w:t>七、违约责任</w:t>
      </w:r>
      <w:bookmarkEnd w:id="14"/>
      <w:bookmarkEnd w:id="15"/>
    </w:p>
    <w:p w14:paraId="02173E23">
      <w:pPr>
        <w:keepNext/>
        <w:keepLines/>
        <w:pageBreakBefore w:val="0"/>
        <w:widowControl w:val="0"/>
        <w:kinsoku/>
        <w:wordWrap/>
        <w:overflowPunct/>
        <w:topLinePunct w:val="0"/>
        <w:autoSpaceDE/>
        <w:autoSpaceDN/>
        <w:bidi w:val="0"/>
        <w:adjustRightInd/>
        <w:snapToGrid/>
        <w:spacing w:line="460" w:lineRule="exact"/>
        <w:ind w:firstLine="482" w:firstLineChars="200"/>
        <w:jc w:val="left"/>
        <w:textAlignment w:val="auto"/>
        <w:outlineLvl w:val="9"/>
        <w:rPr>
          <w:rFonts w:hint="eastAsia" w:ascii="仿宋" w:hAnsi="仿宋" w:eastAsia="仿宋" w:cs="仿宋"/>
          <w:b/>
          <w:bCs/>
          <w:color w:val="000000" w:themeColor="text1"/>
          <w:sz w:val="24"/>
          <w:szCs w:val="21"/>
          <w:highlight w:val="none"/>
          <w:lang w:val="zh-CN"/>
          <w14:textFill>
            <w14:solidFill>
              <w14:schemeClr w14:val="tx1"/>
            </w14:solidFill>
          </w14:textFill>
        </w:rPr>
      </w:pPr>
      <w:r>
        <w:rPr>
          <w:rFonts w:hint="eastAsia" w:ascii="仿宋" w:hAnsi="仿宋" w:eastAsia="仿宋" w:cs="仿宋"/>
          <w:b/>
          <w:bCs/>
          <w:color w:val="000000" w:themeColor="text1"/>
          <w:sz w:val="24"/>
          <w:szCs w:val="21"/>
          <w:highlight w:val="none"/>
          <w:lang w:val="zh-CN"/>
          <w14:textFill>
            <w14:solidFill>
              <w14:schemeClr w14:val="tx1"/>
            </w14:solidFill>
          </w14:textFill>
        </w:rPr>
        <w:t>1、甲方违约责任</w:t>
      </w:r>
    </w:p>
    <w:p w14:paraId="7C91BA29">
      <w:pPr>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（1）甲方无正当理由拒收货物的，甲方应偿付合同总价百分之</w:t>
      </w:r>
      <w:r>
        <w:rPr>
          <w:rFonts w:hint="eastAsia" w:ascii="仿宋" w:hAnsi="仿宋" w:eastAsia="仿宋" w:cs="仿宋"/>
          <w:color w:val="000000" w:themeColor="text1"/>
          <w:sz w:val="24"/>
          <w:highlight w:val="none"/>
          <w:lang w:val="en-US" w:eastAsia="zh-CN"/>
          <w14:textFill>
            <w14:solidFill>
              <w14:schemeClr w14:val="tx1"/>
            </w14:solidFill>
          </w14:textFill>
        </w:rPr>
        <w:t>五</w:t>
      </w:r>
      <w:r>
        <w:rPr>
          <w:rFonts w:hint="eastAsia" w:ascii="仿宋" w:hAnsi="仿宋" w:eastAsia="仿宋" w:cs="仿宋"/>
          <w:color w:val="000000" w:themeColor="text1"/>
          <w:sz w:val="24"/>
          <w:highlight w:val="none"/>
          <w:lang w:val="zh-CN"/>
          <w14:textFill>
            <w14:solidFill>
              <w14:schemeClr w14:val="tx1"/>
            </w14:solidFill>
          </w14:textFill>
        </w:rPr>
        <w:t>的违约金；</w:t>
      </w:r>
    </w:p>
    <w:p w14:paraId="7D08C415">
      <w:pPr>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（2）甲方逾期支付货款的，除应及时付足货款外，应向乙方偿付欠款总额万分之</w:t>
      </w:r>
      <w:r>
        <w:rPr>
          <w:rFonts w:hint="eastAsia" w:ascii="仿宋" w:hAnsi="仿宋" w:eastAsia="仿宋" w:cs="仿宋"/>
          <w:color w:val="000000" w:themeColor="text1"/>
          <w:sz w:val="24"/>
          <w:highlight w:val="none"/>
          <w:lang w:val="en-US" w:eastAsia="zh-CN"/>
          <w14:textFill>
            <w14:solidFill>
              <w14:schemeClr w14:val="tx1"/>
            </w14:solidFill>
          </w14:textFill>
        </w:rPr>
        <w:t>一</w:t>
      </w:r>
      <w:r>
        <w:rPr>
          <w:rFonts w:hint="eastAsia" w:ascii="仿宋" w:hAnsi="仿宋" w:eastAsia="仿宋" w:cs="仿宋"/>
          <w:color w:val="000000" w:themeColor="text1"/>
          <w:sz w:val="24"/>
          <w:highlight w:val="none"/>
          <w:lang w:val="zh-CN"/>
          <w14:textFill>
            <w14:solidFill>
              <w14:schemeClr w14:val="tx1"/>
            </w14:solidFill>
          </w14:textFill>
        </w:rPr>
        <w:t xml:space="preserve"> /天的违约金；</w:t>
      </w:r>
    </w:p>
    <w:p w14:paraId="702C0BA2">
      <w:pPr>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（3）甲方偿付的违约金不足以弥补乙方损失的，还应按乙方损失尚未弥补的部分，支付赔偿金给乙方。</w:t>
      </w:r>
    </w:p>
    <w:p w14:paraId="7DDBFC73">
      <w:pPr>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2、乙方违约责任</w:t>
      </w:r>
    </w:p>
    <w:p w14:paraId="6C819FC8">
      <w:pPr>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（1）乙方交付的货物质量不符合合同规定的，乙方应向甲方支付合同总价的百分之</w:t>
      </w:r>
      <w:r>
        <w:rPr>
          <w:rFonts w:hint="eastAsia" w:ascii="仿宋" w:hAnsi="仿宋" w:eastAsia="仿宋" w:cs="仿宋"/>
          <w:color w:val="000000" w:themeColor="text1"/>
          <w:sz w:val="24"/>
          <w:highlight w:val="none"/>
          <w:lang w:val="en-US" w:eastAsia="zh-CN"/>
          <w14:textFill>
            <w14:solidFill>
              <w14:schemeClr w14:val="tx1"/>
            </w14:solidFill>
          </w14:textFill>
        </w:rPr>
        <w:t>五</w:t>
      </w:r>
      <w:r>
        <w:rPr>
          <w:rFonts w:hint="eastAsia" w:ascii="仿宋" w:hAnsi="仿宋" w:eastAsia="仿宋" w:cs="仿宋"/>
          <w:color w:val="000000" w:themeColor="text1"/>
          <w:sz w:val="24"/>
          <w:highlight w:val="none"/>
          <w:lang w:val="zh-CN"/>
          <w14:textFill>
            <w14:solidFill>
              <w14:schemeClr w14:val="tx1"/>
            </w14:solidFill>
          </w14:textFill>
        </w:rPr>
        <w:t>的违约金，并须在合同规定的交货时间内更换合格的货物给甲方，否则，视</w:t>
      </w:r>
      <w:r>
        <w:rPr>
          <w:rFonts w:hint="eastAsia" w:ascii="仿宋" w:hAnsi="仿宋" w:eastAsia="仿宋" w:cs="仿宋"/>
          <w:color w:val="000000" w:themeColor="text1"/>
          <w:sz w:val="24"/>
          <w:szCs w:val="21"/>
          <w:highlight w:val="none"/>
          <w14:textFill>
            <w14:solidFill>
              <w14:schemeClr w14:val="tx1"/>
            </w14:solidFill>
          </w14:textFill>
        </w:rPr>
        <w:t>作乙方不能交付货物而违约，按本条本款下述第“（2）”项规定由乙方偿付违约赔偿金给甲方。</w:t>
      </w:r>
    </w:p>
    <w:p w14:paraId="2ED64F2C">
      <w:pPr>
        <w:spacing w:line="360" w:lineRule="auto"/>
        <w:ind w:firstLine="480" w:firstLineChars="200"/>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（2）乙方不能交付货物或逾期交付货物而违约的，除应及时交足货物外，应向甲方偿付逾期交货部分货款总额的万分之</w:t>
      </w:r>
      <w:r>
        <w:rPr>
          <w:rFonts w:hint="eastAsia" w:ascii="仿宋" w:hAnsi="仿宋" w:eastAsia="仿宋" w:cs="仿宋"/>
          <w:color w:val="000000" w:themeColor="text1"/>
          <w:sz w:val="24"/>
          <w:szCs w:val="21"/>
          <w:highlight w:val="none"/>
          <w:u w:val="single"/>
          <w:lang w:val="en-US" w:eastAsia="zh-CN"/>
          <w14:textFill>
            <w14:solidFill>
              <w14:schemeClr w14:val="tx1"/>
            </w14:solidFill>
          </w14:textFill>
        </w:rPr>
        <w:t>一</w:t>
      </w:r>
      <w:r>
        <w:rPr>
          <w:rFonts w:hint="eastAsia" w:ascii="仿宋" w:hAnsi="仿宋" w:eastAsia="仿宋" w:cs="仿宋"/>
          <w:color w:val="000000" w:themeColor="text1"/>
          <w:sz w:val="24"/>
          <w:szCs w:val="21"/>
          <w:highlight w:val="none"/>
          <w14:textFill>
            <w14:solidFill>
              <w14:schemeClr w14:val="tx1"/>
            </w14:solidFill>
          </w14:textFill>
        </w:rPr>
        <w:t>/天的违约金；逾期交货超过</w:t>
      </w:r>
      <w:r>
        <w:rPr>
          <w:rFonts w:hint="eastAsia" w:ascii="仿宋" w:hAnsi="仿宋" w:eastAsia="仿宋" w:cs="仿宋"/>
          <w:color w:val="000000" w:themeColor="text1"/>
          <w:sz w:val="24"/>
          <w:szCs w:val="21"/>
          <w:highlight w:val="none"/>
          <w:lang w:val="en-US" w:eastAsia="zh-CN"/>
          <w14:textFill>
            <w14:solidFill>
              <w14:schemeClr w14:val="tx1"/>
            </w14:solidFill>
          </w14:textFill>
        </w:rPr>
        <w:t>15</w:t>
      </w:r>
      <w:r>
        <w:rPr>
          <w:rFonts w:hint="eastAsia" w:ascii="仿宋" w:hAnsi="仿宋" w:eastAsia="仿宋" w:cs="仿宋"/>
          <w:color w:val="000000" w:themeColor="text1"/>
          <w:sz w:val="24"/>
          <w:szCs w:val="21"/>
          <w:highlight w:val="none"/>
          <w14:textFill>
            <w14:solidFill>
              <w14:schemeClr w14:val="tx1"/>
            </w14:solidFill>
          </w14:textFill>
        </w:rPr>
        <w:t>天，甲方有权终止合同，乙方则应按合同总价的百分之</w:t>
      </w:r>
      <w:r>
        <w:rPr>
          <w:rFonts w:hint="eastAsia" w:ascii="仿宋" w:hAnsi="仿宋" w:eastAsia="仿宋" w:cs="仿宋"/>
          <w:color w:val="000000" w:themeColor="text1"/>
          <w:sz w:val="24"/>
          <w:szCs w:val="21"/>
          <w:highlight w:val="none"/>
          <w:u w:val="single"/>
          <w:lang w:val="en-US" w:eastAsia="zh-CN"/>
          <w14:textFill>
            <w14:solidFill>
              <w14:schemeClr w14:val="tx1"/>
            </w14:solidFill>
          </w14:textFill>
        </w:rPr>
        <w:t>五</w:t>
      </w:r>
      <w:r>
        <w:rPr>
          <w:rFonts w:hint="eastAsia" w:ascii="仿宋" w:hAnsi="仿宋" w:eastAsia="仿宋" w:cs="仿宋"/>
          <w:color w:val="000000" w:themeColor="text1"/>
          <w:sz w:val="24"/>
          <w:szCs w:val="21"/>
          <w:highlight w:val="none"/>
          <w14:textFill>
            <w14:solidFill>
              <w14:schemeClr w14:val="tx1"/>
            </w14:solidFill>
          </w14:textFill>
        </w:rPr>
        <w:t>的款额向甲方偿付赔偿金，并须全额退还甲方已经付给乙方的货款及其利息。</w:t>
      </w:r>
    </w:p>
    <w:p w14:paraId="7C50708D">
      <w:pPr>
        <w:spacing w:line="360" w:lineRule="auto"/>
        <w:ind w:firstLine="480" w:firstLineChars="200"/>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（3）</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双方对货物质量存在异议的，</w:t>
      </w:r>
      <w:r>
        <w:rPr>
          <w:rFonts w:hint="eastAsia" w:ascii="仿宋" w:hAnsi="仿宋" w:eastAsia="仿宋" w:cs="仿宋"/>
          <w:color w:val="000000" w:themeColor="text1"/>
          <w:sz w:val="24"/>
          <w:szCs w:val="21"/>
          <w:highlight w:val="none"/>
          <w14:textFill>
            <w14:solidFill>
              <w14:schemeClr w14:val="tx1"/>
            </w14:solidFill>
          </w14:textFill>
        </w:rPr>
        <w:t>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4"/>
          <w:szCs w:val="21"/>
          <w:highlight w:val="none"/>
          <w:lang w:val="en-US" w:eastAsia="zh-CN"/>
          <w14:textFill>
            <w14:solidFill>
              <w14:schemeClr w14:val="tx1"/>
            </w14:solidFill>
          </w14:textFill>
        </w:rPr>
        <w:t>15</w:t>
      </w:r>
      <w:r>
        <w:rPr>
          <w:rFonts w:hint="eastAsia" w:ascii="仿宋" w:hAnsi="仿宋" w:eastAsia="仿宋" w:cs="仿宋"/>
          <w:color w:val="000000" w:themeColor="text1"/>
          <w:sz w:val="24"/>
          <w:szCs w:val="21"/>
          <w:highlight w:val="none"/>
          <w14:textFill>
            <w14:solidFill>
              <w14:schemeClr w14:val="tx1"/>
            </w14:solidFill>
          </w14:textFill>
        </w:rPr>
        <w:t>天内无条件更换合格的货物，如逾期不能更换合格的货物，甲方有权终止本合同，乙方应另付合同总价的百分之</w:t>
      </w:r>
      <w:r>
        <w:rPr>
          <w:rFonts w:hint="eastAsia" w:ascii="仿宋" w:hAnsi="仿宋" w:eastAsia="仿宋" w:cs="仿宋"/>
          <w:color w:val="000000" w:themeColor="text1"/>
          <w:sz w:val="24"/>
          <w:szCs w:val="21"/>
          <w:highlight w:val="none"/>
          <w:u w:val="single"/>
          <w:lang w:val="en-US" w:eastAsia="zh-CN"/>
          <w14:textFill>
            <w14:solidFill>
              <w14:schemeClr w14:val="tx1"/>
            </w14:solidFill>
          </w14:textFill>
        </w:rPr>
        <w:t>五</w:t>
      </w:r>
      <w:r>
        <w:rPr>
          <w:rFonts w:hint="eastAsia" w:ascii="仿宋" w:hAnsi="仿宋" w:eastAsia="仿宋" w:cs="仿宋"/>
          <w:color w:val="000000" w:themeColor="text1"/>
          <w:sz w:val="24"/>
          <w:szCs w:val="21"/>
          <w:highlight w:val="none"/>
          <w14:textFill>
            <w14:solidFill>
              <w14:schemeClr w14:val="tx1"/>
            </w14:solidFill>
          </w14:textFill>
        </w:rPr>
        <w:t>的赔偿金给甲方。</w:t>
      </w:r>
    </w:p>
    <w:p w14:paraId="6A84D811">
      <w:pPr>
        <w:spacing w:line="360" w:lineRule="auto"/>
        <w:ind w:firstLine="480" w:firstLineChars="200"/>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w:t>
      </w:r>
      <w:r>
        <w:rPr>
          <w:rFonts w:hint="eastAsia" w:ascii="仿宋" w:hAnsi="仿宋" w:eastAsia="仿宋" w:cs="仿宋"/>
          <w:color w:val="000000" w:themeColor="text1"/>
          <w:sz w:val="24"/>
          <w:szCs w:val="21"/>
          <w:highlight w:val="none"/>
          <w:lang w:val="en-US" w:eastAsia="zh-CN"/>
          <w14:textFill>
            <w14:solidFill>
              <w14:schemeClr w14:val="tx1"/>
            </w14:solidFill>
          </w14:textFill>
        </w:rPr>
        <w:t>五</w:t>
      </w:r>
      <w:r>
        <w:rPr>
          <w:rFonts w:hint="eastAsia" w:ascii="仿宋" w:hAnsi="仿宋" w:eastAsia="仿宋" w:cs="仿宋"/>
          <w:color w:val="000000" w:themeColor="text1"/>
          <w:sz w:val="24"/>
          <w:szCs w:val="21"/>
          <w:highlight w:val="none"/>
          <w14:textFill>
            <w14:solidFill>
              <w14:schemeClr w14:val="tx1"/>
            </w14:solidFill>
          </w14:textFill>
        </w:rPr>
        <w:t xml:space="preserve"> 向甲方支付违约金并赔偿因此给甲方造成的一切损失。</w:t>
      </w:r>
    </w:p>
    <w:p w14:paraId="5D896B8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（5）乙方偿付的违约金不足以弥补甲方损失的，还应按甲方损失尚未弥补的部分，支付赔偿金给甲方。</w:t>
      </w:r>
    </w:p>
    <w:p w14:paraId="3D6D7422">
      <w:pPr>
        <w:keepNext/>
        <w:keepLines/>
        <w:pageBreakBefore w:val="0"/>
        <w:widowControl w:val="0"/>
        <w:kinsoku/>
        <w:wordWrap/>
        <w:overflowPunct/>
        <w:topLinePunct w:val="0"/>
        <w:autoSpaceDE/>
        <w:autoSpaceDN/>
        <w:bidi w:val="0"/>
        <w:adjustRightInd/>
        <w:snapToGrid/>
        <w:spacing w:line="415" w:lineRule="auto"/>
        <w:ind w:firstLine="482" w:firstLineChars="200"/>
        <w:jc w:val="left"/>
        <w:textAlignment w:val="auto"/>
        <w:outlineLvl w:val="9"/>
        <w:rPr>
          <w:rFonts w:hint="eastAsia" w:ascii="仿宋" w:hAnsi="仿宋" w:eastAsia="仿宋" w:cs="仿宋"/>
          <w:b/>
          <w:bCs/>
          <w:color w:val="000000" w:themeColor="text1"/>
          <w:sz w:val="24"/>
          <w:szCs w:val="21"/>
          <w:highlight w:val="none"/>
          <w14:textFill>
            <w14:solidFill>
              <w14:schemeClr w14:val="tx1"/>
            </w14:solidFill>
          </w14:textFill>
        </w:rPr>
      </w:pPr>
      <w:bookmarkStart w:id="16" w:name="_Toc217446114"/>
      <w:bookmarkStart w:id="17" w:name="_Toc51146184"/>
      <w:r>
        <w:rPr>
          <w:rFonts w:hint="eastAsia" w:ascii="仿宋" w:hAnsi="仿宋" w:eastAsia="仿宋" w:cs="仿宋"/>
          <w:b/>
          <w:bCs/>
          <w:color w:val="000000" w:themeColor="text1"/>
          <w:sz w:val="24"/>
          <w:szCs w:val="21"/>
          <w:highlight w:val="none"/>
          <w14:textFill>
            <w14:solidFill>
              <w14:schemeClr w14:val="tx1"/>
            </w14:solidFill>
          </w14:textFill>
        </w:rPr>
        <w:t>八、争议解决办法</w:t>
      </w:r>
      <w:bookmarkEnd w:id="16"/>
      <w:bookmarkEnd w:id="17"/>
    </w:p>
    <w:p w14:paraId="7BD097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2DD69D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2、合同履行期间,若双方发生争议，可协商或由有关部门调解解决，协商或调解不成的，由当事人依法维护其合法权益。</w:t>
      </w:r>
    </w:p>
    <w:p w14:paraId="230E8473">
      <w:pPr>
        <w:keepNext/>
        <w:keepLines/>
        <w:pageBreakBefore w:val="0"/>
        <w:widowControl w:val="0"/>
        <w:kinsoku/>
        <w:wordWrap/>
        <w:overflowPunct/>
        <w:topLinePunct w:val="0"/>
        <w:autoSpaceDE/>
        <w:autoSpaceDN/>
        <w:bidi w:val="0"/>
        <w:adjustRightInd/>
        <w:snapToGrid/>
        <w:spacing w:line="415" w:lineRule="auto"/>
        <w:ind w:firstLine="482" w:firstLineChars="200"/>
        <w:jc w:val="left"/>
        <w:textAlignment w:val="auto"/>
        <w:outlineLvl w:val="9"/>
        <w:rPr>
          <w:rFonts w:hint="eastAsia" w:ascii="仿宋" w:hAnsi="仿宋" w:eastAsia="仿宋" w:cs="仿宋"/>
          <w:b/>
          <w:bCs/>
          <w:color w:val="000000" w:themeColor="text1"/>
          <w:sz w:val="24"/>
          <w:szCs w:val="21"/>
          <w:highlight w:val="none"/>
          <w14:textFill>
            <w14:solidFill>
              <w14:schemeClr w14:val="tx1"/>
            </w14:solidFill>
          </w14:textFill>
        </w:rPr>
      </w:pPr>
      <w:bookmarkStart w:id="18" w:name="_Toc217446115"/>
      <w:bookmarkStart w:id="19" w:name="_Toc51146185"/>
      <w:r>
        <w:rPr>
          <w:rFonts w:hint="eastAsia" w:ascii="仿宋" w:hAnsi="仿宋" w:eastAsia="仿宋" w:cs="仿宋"/>
          <w:b/>
          <w:bCs/>
          <w:color w:val="000000" w:themeColor="text1"/>
          <w:sz w:val="24"/>
          <w:szCs w:val="21"/>
          <w:highlight w:val="none"/>
          <w14:textFill>
            <w14:solidFill>
              <w14:schemeClr w14:val="tx1"/>
            </w14:solidFill>
          </w14:textFill>
        </w:rPr>
        <w:t>九、其他</w:t>
      </w:r>
      <w:bookmarkEnd w:id="18"/>
      <w:bookmarkEnd w:id="19"/>
    </w:p>
    <w:p w14:paraId="1AE0905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1、如有未尽事宜，由双方依法订立补充合同。</w:t>
      </w:r>
    </w:p>
    <w:p w14:paraId="50EB559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1"/>
          <w:highlight w:val="none"/>
          <w14:textFill>
            <w14:solidFill>
              <w14:schemeClr w14:val="tx1"/>
            </w14:solidFill>
          </w14:textFill>
        </w:rPr>
      </w:pPr>
      <w:r>
        <w:rPr>
          <w:rFonts w:hint="eastAsia" w:ascii="仿宋" w:hAnsi="仿宋" w:eastAsia="仿宋" w:cs="仿宋"/>
          <w:color w:val="000000" w:themeColor="text1"/>
          <w:sz w:val="24"/>
          <w:szCs w:val="21"/>
          <w:highlight w:val="none"/>
          <w14:textFill>
            <w14:solidFill>
              <w14:schemeClr w14:val="tx1"/>
            </w14:solidFill>
          </w14:textFill>
        </w:rPr>
        <w:t>2、本合同一式六份，自双方签章之日起生效。甲方三份，乙方、政府采购管理部门、采购代理机构各一份。</w:t>
      </w:r>
    </w:p>
    <w:p w14:paraId="3C11E7E6">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甲方：   （盖单位公章）   </w:t>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 xml:space="preserve">  乙方：   （盖单位公章）</w:t>
      </w:r>
    </w:p>
    <w:p w14:paraId="4A2E615D">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法定代表人（授权代表）：            法定代表人（授权代表）：</w:t>
      </w:r>
    </w:p>
    <w:p w14:paraId="51BE8B87">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地    址：                         地    址：</w:t>
      </w:r>
    </w:p>
    <w:p w14:paraId="57CAE330">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开户银行：                         开户银行：</w:t>
      </w:r>
    </w:p>
    <w:p w14:paraId="5478B0C6">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账号：                             账号：</w:t>
      </w:r>
    </w:p>
    <w:p w14:paraId="10269EDA">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电    话：                         电    话：</w:t>
      </w:r>
    </w:p>
    <w:p w14:paraId="218F3675">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传    真：                         传    真：</w:t>
      </w:r>
    </w:p>
    <w:p w14:paraId="1957FE9B">
      <w:pPr>
        <w:keepNext w:val="0"/>
        <w:keepLines w:val="0"/>
        <w:pageBreakBefore w:val="0"/>
        <w:widowControl w:val="0"/>
        <w:kinsoku/>
        <w:wordWrap/>
        <w:overflowPunct/>
        <w:topLinePunct w:val="0"/>
        <w:autoSpaceDE/>
        <w:autoSpaceDN/>
        <w:bidi w:val="0"/>
        <w:adjustRightInd/>
        <w:spacing w:line="500" w:lineRule="exact"/>
        <w:ind w:left="0" w:firstLine="420" w:firstLineChars="175"/>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签约日期：XX年XX月XX日 </w:t>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ab/>
      </w:r>
      <w:r>
        <w:rPr>
          <w:rFonts w:hint="eastAsia" w:ascii="仿宋" w:hAnsi="仿宋" w:eastAsia="仿宋" w:cs="仿宋"/>
          <w:color w:val="000000" w:themeColor="text1"/>
          <w:sz w:val="24"/>
          <w:highlight w:val="none"/>
          <w14:textFill>
            <w14:solidFill>
              <w14:schemeClr w14:val="tx1"/>
            </w14:solidFill>
          </w14:textFill>
        </w:rPr>
        <w:t>签约日期：XX年XX月XX日</w:t>
      </w:r>
    </w:p>
    <w:p w14:paraId="26EF23EA">
      <w:pPr>
        <w:rPr>
          <w:rFonts w:hint="eastAsia" w:ascii="仿宋" w:hAnsi="仿宋" w:eastAsia="仿宋" w:cs="仿宋"/>
          <w:color w:val="000000" w:themeColor="text1"/>
          <w:sz w:val="24"/>
          <w:szCs w:val="24"/>
          <w:highlight w:val="none"/>
          <w:lang w:val="en-US" w:eastAsia="zh-CN"/>
          <w14:textFill>
            <w14:solidFill>
              <w14:schemeClr w14:val="tx1"/>
            </w14:solidFill>
          </w14:textFill>
        </w:rPr>
      </w:pPr>
    </w:p>
    <w:p w14:paraId="1AA5ED66">
      <w:pP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注：本合同草案内容因项目实施需要有增加内容的，双方协商后在签订合同时约定。</w:t>
      </w:r>
    </w:p>
    <w:p w14:paraId="52EE674B">
      <w:pPr>
        <w:pStyle w:val="2"/>
        <w:keepNext w:val="0"/>
        <w:keepLines w:val="0"/>
        <w:pageBreakBefore w:val="0"/>
        <w:kinsoku/>
        <w:wordWrap w:val="0"/>
        <w:overflowPunct/>
        <w:topLinePunct w:val="0"/>
        <w:autoSpaceDE/>
        <w:autoSpaceDN/>
        <w:bidi w:val="0"/>
        <w:adjustRightInd/>
        <w:spacing w:before="0" w:beforeAutospacing="0" w:after="0" w:afterAutospacing="0" w:line="500" w:lineRule="exact"/>
        <w:jc w:val="both"/>
        <w:textAlignment w:val="auto"/>
        <w:rPr>
          <w:rFonts w:hint="eastAsia" w:ascii="仿宋" w:hAnsi="仿宋" w:eastAsia="仿宋" w:cs="仿宋"/>
          <w:iCs/>
          <w:color w:val="000000" w:themeColor="text1"/>
          <w:sz w:val="24"/>
          <w:szCs w:val="24"/>
          <w:highlight w:val="none"/>
          <w:lang w:val="zh-CN"/>
          <w14:textFill>
            <w14:solidFill>
              <w14:schemeClr w14:val="tx1"/>
            </w14:solidFill>
          </w14:textFill>
        </w:rPr>
      </w:pPr>
    </w:p>
    <w:p w14:paraId="6DB83BEB">
      <w:pPr>
        <w:pStyle w:val="2"/>
        <w:keepNext w:val="0"/>
        <w:keepLines w:val="0"/>
        <w:pageBreakBefore w:val="0"/>
        <w:kinsoku/>
        <w:wordWrap w:val="0"/>
        <w:overflowPunct/>
        <w:topLinePunct w:val="0"/>
        <w:autoSpaceDE/>
        <w:autoSpaceDN/>
        <w:bidi w:val="0"/>
        <w:adjustRightInd/>
        <w:spacing w:before="0" w:beforeAutospacing="0" w:after="0" w:afterAutospacing="0" w:line="500" w:lineRule="exact"/>
        <w:jc w:val="both"/>
        <w:textAlignment w:val="auto"/>
        <w:rPr>
          <w:rFonts w:hint="eastAsia" w:ascii="仿宋" w:hAnsi="仿宋" w:eastAsia="仿宋" w:cs="仿宋"/>
          <w:iCs/>
          <w:color w:val="000000" w:themeColor="text1"/>
          <w:sz w:val="24"/>
          <w:szCs w:val="24"/>
          <w:highlight w:val="none"/>
          <w:lang w:val="zh-CN" w:eastAsia="zh-CN"/>
          <w14:textFill>
            <w14:solidFill>
              <w14:schemeClr w14:val="tx1"/>
            </w14:solidFill>
          </w14:textFill>
        </w:rPr>
      </w:pPr>
    </w:p>
    <w:p w14:paraId="532DE541">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345EE4"/>
    <w:rsid w:val="67345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color w:val="FF0000"/>
      <w:kern w:val="0"/>
      <w:sz w:val="24"/>
      <w:szCs w:val="24"/>
      <w:shd w:val="clear" w:color="auto" w:fill="auto"/>
    </w:rPr>
  </w:style>
  <w:style w:type="paragraph" w:customStyle="1" w:styleId="5">
    <w:name w:val="正文1"/>
    <w:basedOn w:val="1"/>
    <w:next w:val="1"/>
    <w:autoRedefine/>
    <w:qFormat/>
    <w:uiPriority w:val="0"/>
    <w:pPr>
      <w:spacing w:before="156" w:line="360" w:lineRule="auto"/>
      <w:ind w:firstLine="200" w:firstLineChars="200"/>
    </w:pPr>
    <w:rPr>
      <w:rFonts w:ascii="Times New Roman" w:hAnsi="Times New Roman"/>
      <w:sz w:val="28"/>
      <w:szCs w:val="20"/>
    </w:rPr>
  </w:style>
  <w:style w:type="paragraph" w:customStyle="1" w:styleId="6">
    <w:name w:val="null3"/>
    <w:autoRedefine/>
    <w:qFormat/>
    <w:uiPriority w:val="0"/>
    <w:rPr>
      <w:rFonts w:ascii="Calibri" w:hAnsi="Calibri" w:eastAsia="宋体" w:cs="Arial"/>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2025-11-28T03:08:00Z</dcterms:created>
  <dc:creator>小茶</dc:creator>
  <cp:lastModifiedBy>小茶</cp:lastModifiedBy>
  <dcterms:modified xsi:type="dcterms:W3CDTF">2025-11-28T03:08:54Z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B0C1D3CF026048F287FBB9A295376027_11</vt:lpwstr>
  </property>
  <property fmtid="{D5CDD505-2E9C-101B-9397-08002B2CF9AE}" pid="4" name="KSOTemplateDocerSaveRecord">
    <vt:lpwstr>eyJoZGlkIjoiMDU0NGYwYzYwZjNkNWI0ODNjNGIzZDhiNDU5NzlhODkiLCJ1c2VySWQiOiIyNjUxNTAyNjQifQ==</vt:lpwstr>
  </property>
</Properties>
</file>