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版本号：N510112202500012520250527001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医院辅助服务采购项目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N5101122025000125</w:t>
      </w:r>
    </w:p>
    <w:p>
      <w:pPr>
        <w:pStyle w:val="null3"/>
        <w:jc w:val="left"/>
        <w:outlineLvl w:val="2"/>
      </w:pPr>
      <w:r>
        <w:rPr>
          <w:rFonts w:ascii="仿宋_GB2312" w:hAnsi="仿宋_GB2312" w:cs="仿宋_GB2312" w:eastAsia="仿宋_GB2312"/>
          <w:sz w:val="28"/>
          <w:b/>
        </w:rPr>
        <w:t>成都市龙泉驿区第一人民医院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四川国际招标有限责任公司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成都市龙泉驿区第一人民医院</w:t>
      </w:r>
      <w:r>
        <w:rPr>
          <w:rFonts w:ascii="仿宋_GB2312" w:hAnsi="仿宋_GB2312" w:cs="仿宋_GB2312" w:eastAsia="仿宋_GB2312"/>
        </w:rPr>
        <w:t xml:space="preserve"> 委托，拟对 </w:t>
      </w:r>
      <w:r>
        <w:rPr>
          <w:rFonts w:ascii="仿宋_GB2312" w:hAnsi="仿宋_GB2312" w:cs="仿宋_GB2312" w:eastAsia="仿宋_GB2312"/>
        </w:rPr>
        <w:t>医院辅助服务采购项目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成都市龙泉驿区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N5101122025000125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医院辅助服务采购项目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本项目共1个包，采购医院辅助服务（具体详见招标文件第六章）。</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一、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 二、为有效缓解中小企业融资难、融资贵问题，成都市财政局、中国人民银行成都分行营业管理部制定了《成都市中小企业政府采购信用融资暂行办法》和《成都市级支持中小企业政府采购信用融资实施方案》，成都市范围内政府采购项目中标（成交）的中小微企业可向开展政府采购信用融资业务的银行提出融资申请。 （具体内容详见附件《供应商信用融资补充事宜》）</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成都市龙泉驿区第一人民医院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成都市龙泉驿区董朗路669号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028-68238233</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四川国际招标有限责任公司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中国（四川）自由贸易试验区成都市高新区天府四街66号2栋22层1号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610095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覃先生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18828094788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1）依照成本加合理利润的原则，以预算金额作为计算基数，按差额定率累进法进行计算，并按以下费率标准（服务采购项目）收取：100万元以下部分，费率1.5%；100-500万元部分，费率0.8%；500-1000万元部分，费率0.45%；1000-5000万元部分，费率0.25%。 （2）收款单位：四川国际招标有限责任公司 （3）开户行：中国民生银行股份有限公司成都分行营业部 （4）银行账号：9902001818407296 （5）采购合同签订前向代理机构交纳招标代理服务费。 （6）招标代理服务费交纳完成后，可按照以下温馨提示开具发票： 方式①：供应商进入http://sale.scbid.net/home 网站，登录系统（无账号供应商需按照提示注册账号），登录后进入“中标项目”页面，找到需要开票的项目点击“申请/领取中标通知书”，根据提示填写信息并上传支付回单扫描件，提交开票申请。 方式②：供应商发送申请信息至3391588189@qq.com邮箱，发票开具后将直接发送至原申请开票邮箱。（邮件名称：申请开具发票金额XX元；邮件内容需明确：项目名称、付款截图、联系人、联系电话，开票信息注明专票/普票，专票需提供邮寄收件地址、联系人、联系电话）。</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成都市龙泉驿区第一人民医院</w:t>
      </w:r>
      <w:r>
        <w:rPr>
          <w:rFonts w:ascii="仿宋_GB2312" w:hAnsi="仿宋_GB2312" w:cs="仿宋_GB2312" w:eastAsia="仿宋_GB2312"/>
        </w:rPr>
        <w:t xml:space="preserve"> 和 </w:t>
      </w:r>
      <w:r>
        <w:rPr>
          <w:rFonts w:ascii="仿宋_GB2312" w:hAnsi="仿宋_GB2312" w:cs="仿宋_GB2312" w:eastAsia="仿宋_GB2312"/>
        </w:rPr>
        <w:t>四川国际招标有限责任公司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成都市龙泉驿区第一人民医院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四川国际招标有限责任公司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90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合同约定的服务期结束后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根据招标文件及中标人投标文件内容进行验收。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根据招标文件及中标人投标文件内容进行验收。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由采购人组织，严格按照《财政部关于进一步加强政府采购需求和履约验收管理的指导意见》（财库〔2016〕205号）等政府采购相关法律法规的要求进行验收。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成都市龙泉驿区第一人民医院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联系人：质量技术部</w:t>
      </w:r>
    </w:p>
    <w:p>
      <w:pPr>
        <w:pStyle w:val="null3"/>
        <w:jc w:val="left"/>
      </w:pPr>
      <w:r>
        <w:rPr>
          <w:rFonts w:ascii="仿宋_GB2312" w:hAnsi="仿宋_GB2312" w:cs="仿宋_GB2312" w:eastAsia="仿宋_GB2312"/>
        </w:rPr>
        <w:t>联系电话：028-87797776（分机号：820/725）</w:t>
      </w:r>
    </w:p>
    <w:p>
      <w:pPr>
        <w:pStyle w:val="null3"/>
        <w:jc w:val="left"/>
      </w:pPr>
      <w:r>
        <w:rPr>
          <w:rFonts w:ascii="仿宋_GB2312" w:hAnsi="仿宋_GB2312" w:cs="仿宋_GB2312" w:eastAsia="仿宋_GB2312"/>
        </w:rPr>
        <w:t>地址：中国（四川）自由贸易试验区成都市高新区天府四街66号1栋17层</w:t>
      </w:r>
    </w:p>
    <w:p>
      <w:pPr>
        <w:pStyle w:val="null3"/>
        <w:jc w:val="left"/>
      </w:pPr>
      <w:r>
        <w:rPr>
          <w:rFonts w:ascii="仿宋_GB2312" w:hAnsi="仿宋_GB2312" w:cs="仿宋_GB2312" w:eastAsia="仿宋_GB2312"/>
        </w:rPr>
        <w:t>邮编：610095</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联系人：朱老师</w:t>
      </w:r>
    </w:p>
    <w:p>
      <w:pPr>
        <w:pStyle w:val="null3"/>
        <w:jc w:val="left"/>
      </w:pPr>
      <w:r>
        <w:rPr>
          <w:rFonts w:ascii="仿宋_GB2312" w:hAnsi="仿宋_GB2312" w:cs="仿宋_GB2312" w:eastAsia="仿宋_GB2312"/>
        </w:rPr>
        <w:t>联系电话：028-68238233</w:t>
      </w:r>
    </w:p>
    <w:p>
      <w:pPr>
        <w:pStyle w:val="null3"/>
        <w:jc w:val="left"/>
      </w:pPr>
      <w:r>
        <w:rPr>
          <w:rFonts w:ascii="仿宋_GB2312" w:hAnsi="仿宋_GB2312" w:cs="仿宋_GB2312" w:eastAsia="仿宋_GB2312"/>
        </w:rPr>
        <w:t>地址：成都市龙泉驿区董朗路669号</w:t>
      </w:r>
    </w:p>
    <w:p>
      <w:pPr>
        <w:pStyle w:val="null3"/>
        <w:jc w:val="left"/>
      </w:pPr>
      <w:r>
        <w:rPr>
          <w:rFonts w:ascii="仿宋_GB2312" w:hAnsi="仿宋_GB2312" w:cs="仿宋_GB2312" w:eastAsia="仿宋_GB2312"/>
        </w:rPr>
        <w:t>邮编：610100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16,000,000.00</w:t>
      </w:r>
    </w:p>
    <w:p>
      <w:pPr>
        <w:pStyle w:val="null3"/>
        <w:jc w:val="left"/>
      </w:pPr>
      <w:r>
        <w:rPr>
          <w:rFonts w:ascii="仿宋_GB2312" w:hAnsi="仿宋_GB2312" w:cs="仿宋_GB2312" w:eastAsia="仿宋_GB2312"/>
        </w:rPr>
        <w:t>采购包最高限价（元）: 16,000,000.00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C04019900 其他医院服务</w:t>
            </w:r>
          </w:p>
        </w:tc>
        <w:tc>
          <w:tcPr>
            <w:tcW w:type="dxa" w:w="821"/>
          </w:tcPr>
          <w:p>
            <w:pPr>
              <w:pStyle w:val="null3"/>
              <w:jc w:val="left"/>
            </w:pPr>
            <w:r>
              <w:rPr>
                <w:rFonts w:ascii="仿宋_GB2312" w:hAnsi="仿宋_GB2312" w:cs="仿宋_GB2312" w:eastAsia="仿宋_GB2312"/>
              </w:rPr>
              <w:t>医院辅助服务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16,000,000.00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管理费报价</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7.00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本项目服务人员每月工资待遇由采购人核实后交由中标人进行发放，中标人以实际发放金额按中标管理费报价百分比收取管理费。</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标的名称：医院辅助服务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具体要求</w:t>
            </w:r>
          </w:p>
        </w:tc>
        <w:tc>
          <w:tcPr>
            <w:tcW w:type="dxa" w:w="5814"/>
          </w:tcPr>
          <w:p>
            <w:pPr>
              <w:pStyle w:val="null3"/>
              <w:jc w:val="left"/>
            </w:pPr>
            <w:r>
              <w:rPr>
                <w:rFonts w:ascii="仿宋_GB2312" w:hAnsi="仿宋_GB2312" w:cs="仿宋_GB2312" w:eastAsia="仿宋_GB2312"/>
              </w:rPr>
              <w:t>因系统固化原因，具体内容详见附件《技术参数与性能指标》</w:t>
            </w:r>
          </w:p>
          <w:p>
            <w:pPr>
              <w:pStyle w:val="null3"/>
              <w:jc w:val="left"/>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因系统固化原因，3.3.2.商务要求中的付款进度安排不适用本项目，具体付款进度安排以此为准；供应商应答“付款进度安排”时，可仅应答本条要求即可，对于3.3.2商务要求中“付款进度安排”要求的应答不作强制要求）</w:t>
            </w:r>
          </w:p>
          <w:p>
            <w:pPr>
              <w:pStyle w:val="null3"/>
              <w:jc w:val="left"/>
            </w:pPr>
            <w:r>
              <w:rPr>
                <w:rFonts w:ascii="仿宋_GB2312" w:hAnsi="仿宋_GB2312" w:cs="仿宋_GB2312" w:eastAsia="仿宋_GB2312"/>
              </w:rPr>
              <w:t>按月支付，每月采购人在收到中标供应商出具的正式有效发票、结算凭证等相关付款凭证资料后的10个工作日内以银行转账方式支付服务费用。最终结算总金额不得超过本项目最高限价金额。</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项目负责人及项目管理人员要求</w:t>
            </w:r>
          </w:p>
        </w:tc>
        <w:tc>
          <w:tcPr>
            <w:tcW w:type="dxa" w:w="5814"/>
          </w:tcPr>
          <w:p>
            <w:pPr>
              <w:pStyle w:val="null3"/>
              <w:jc w:val="left"/>
            </w:pPr>
            <w:r>
              <w:rPr>
                <w:rFonts w:ascii="仿宋_GB2312" w:hAnsi="仿宋_GB2312" w:cs="仿宋_GB2312" w:eastAsia="仿宋_GB2312"/>
              </w:rPr>
              <w:t>★1、供应商需针对本项目投入1名项目负责人及若干名项目管理人员。</w:t>
            </w:r>
          </w:p>
          <w:p>
            <w:pPr>
              <w:pStyle w:val="null3"/>
              <w:jc w:val="left"/>
            </w:pPr>
            <w:r>
              <w:rPr>
                <w:rFonts w:ascii="仿宋_GB2312" w:hAnsi="仿宋_GB2312" w:cs="仿宋_GB2312" w:eastAsia="仿宋_GB2312"/>
              </w:rPr>
              <w:t>2、项目负责人要求具有人力资源管理方面的能力。</w:t>
            </w:r>
          </w:p>
          <w:p>
            <w:pPr>
              <w:pStyle w:val="null3"/>
              <w:jc w:val="left"/>
            </w:pPr>
            <w:r>
              <w:rPr>
                <w:rFonts w:ascii="仿宋_GB2312" w:hAnsi="仿宋_GB2312" w:cs="仿宋_GB2312" w:eastAsia="仿宋_GB2312"/>
              </w:rPr>
              <w:t>3、供应商可安排固定的项目管理人员进行提供驻点服务。</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方案要求</w:t>
            </w:r>
          </w:p>
        </w:tc>
        <w:tc>
          <w:tcPr>
            <w:tcW w:type="dxa" w:w="5814"/>
          </w:tcPr>
          <w:p>
            <w:pPr>
              <w:pStyle w:val="null3"/>
              <w:jc w:val="left"/>
            </w:pPr>
            <w:r>
              <w:rPr>
                <w:rFonts w:ascii="仿宋_GB2312" w:hAnsi="仿宋_GB2312" w:cs="仿宋_GB2312" w:eastAsia="仿宋_GB2312"/>
              </w:rPr>
              <w:t>1、供应商需提供服务方案，内容应包含：①项目需求分析；②项目总体服务规划及服务目标说明；③服务人员日常管理方案及工作流程；④服务监督巡查机制及服务质量投诉整改应对措施；⑤服务人员培训措施及服务过程中的人员健康防控措施。所提供的内容将作为本项目评审依据，也将作为中标后履约过程中的监督及验收依据。</w:t>
            </w:r>
          </w:p>
          <w:p>
            <w:pPr>
              <w:pStyle w:val="null3"/>
              <w:jc w:val="left"/>
            </w:pPr>
            <w:r>
              <w:rPr>
                <w:rFonts w:ascii="仿宋_GB2312" w:hAnsi="仿宋_GB2312" w:cs="仿宋_GB2312" w:eastAsia="仿宋_GB2312"/>
              </w:rPr>
              <w:t>2、供应商需提供服务风险管控方案，内容应包含：①项目平稳过渡人员保障方案；②服务人员工伤（亡）事件处置；③临时缺岗应急处置；④劳动争议解决措施；⑤服务过程中与采购人的沟通保障措施。所提供的内容将作为本项目评审依据，也将作为中标后履约过程中的监督及验收依据。</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三年，合同一年一签。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成都市龙泉驿区第一人民医院。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详见第二章2.6.6.履约验收方案（以供应商提供的《投标（响应）函》中“我单位完全接受和理解本项目采购文件规定的实质性要求”即视为响应。）</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1、按月支付，每月采购人在收到中标供应商出具的正式有效发票、结算凭证等相关付款凭证资料后，达到付款条件起10日内，据实情况说明为最终结算总金额不得超过本项目最高限价金额</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（以下内容中，甲方指采购人，乙方指中标供应商） 违约责任： 1.如因乙方工作人员在履行职务过程中的疏忽、失职、过错等故意或者过失原因给甲方造成损失或侵害，包括但不限于甲方本身的财产损失、由此而导致的甲方对任何第三方的法律责任等，乙方对此均应承担全部的赔偿责任。 2.如因乙方未能按照约定履行合同，甲方按照考核结果进行服务费扣减或暂停支付费用。 3.因乙方原因造成甲方的重大损失或造成严重社会不良影响的，乙方需承担造成的经济责任和法律责任，同时甲方有权解除本合同并追究乙方的违约责任。 4.乙方未按照合同要求完成工作，或者违反劳动合同，引发纠纷并对甲方造成不良社会影响或影响甲方工作秩序，若造成甲方经济损失及法律责任，由乙方承担全部经济损失及法律责任。若发生三次及以上，甲方有权解除本合同。 2、解决争议的方法： 1.有关本合同或执行过程中发生的一切争执，应通过友好协商解，若不能妥善解决时，双方约定通过甲方所在地法院诉讼解决。 2.如因乙方未能按照约定履行合同，甲方按照考核结果进行服务费扣减或暂停支付费用。</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3.4.1.预算说明（此内容无需供应商单独进行应答响应，按要求报价即可）： 因系统固化原因，本项目的预算金额是1年的预算金额。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采购包专门面向中小企业采购(监狱企业、残疾人福利性单位均视同小微企业，符合中小企业划分标准的个体工商户视同中小企业)，非中小企业参与的将视为无效响应〔中小企业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需要投标人进行承诺的实质性要求。（以此为准）</w:t>
            </w:r>
          </w:p>
        </w:tc>
        <w:tc>
          <w:tcPr>
            <w:tcW w:type="dxa" w:w="3322"/>
          </w:tcPr>
          <w:p>
            <w:pPr>
              <w:pStyle w:val="null3"/>
              <w:jc w:val="left"/>
            </w:pPr>
            <w:r>
              <w:rPr>
                <w:rFonts w:ascii="仿宋_GB2312" w:hAnsi="仿宋_GB2312" w:cs="仿宋_GB2312" w:eastAsia="仿宋_GB2312"/>
              </w:rPr>
              <w:t>因一体化系统固化原因，序号1的“具体标准和要求”：“无需投标人单独提供材料进行响应，只需投标人承诺严格遵守并执行的相关实质性要求”不适用本项目，“具体标准和要求”以此内容为准： 招标文件中明确要求单独提供承诺函的，投标人按照招标文件要求上传承诺函；无明确要求的，只需投标人按照投标（响应）函中承诺严格遵守并执行的相关实质性要求。</w:t>
            </w:r>
          </w:p>
        </w:tc>
        <w:tc>
          <w:tcPr>
            <w:tcW w:type="dxa" w:w="1910"/>
          </w:tcPr>
          <w:p>
            <w:pPr>
              <w:pStyle w:val="null3"/>
              <w:jc w:val="left"/>
            </w:pPr>
            <w:r>
              <w:rPr>
                <w:rFonts w:ascii="仿宋_GB2312" w:hAnsi="仿宋_GB2312" w:cs="仿宋_GB2312" w:eastAsia="仿宋_GB2312"/>
              </w:rPr>
              <w:t>供应商认为需要提供的其他证明材料,技术要求应答表,投标（响应）函,服务要求应答表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非进行承诺的实质性要求</w:t>
            </w:r>
          </w:p>
        </w:tc>
        <w:tc>
          <w:tcPr>
            <w:tcW w:type="dxa" w:w="3322"/>
          </w:tcPr>
          <w:p>
            <w:pPr>
              <w:pStyle w:val="null3"/>
              <w:jc w:val="left"/>
            </w:pPr>
            <w:r>
              <w:rPr>
                <w:rFonts w:ascii="仿宋_GB2312" w:hAnsi="仿宋_GB2312" w:cs="仿宋_GB2312" w:eastAsia="仿宋_GB2312"/>
              </w:rPr>
              <w:t>投标人按照招标文件要求上传相应材料</w:t>
            </w:r>
          </w:p>
        </w:tc>
        <w:tc>
          <w:tcPr>
            <w:tcW w:type="dxa" w:w="1910"/>
          </w:tcPr>
          <w:p>
            <w:pPr>
              <w:pStyle w:val="null3"/>
              <w:jc w:val="left"/>
            </w:pPr>
            <w:r>
              <w:rPr>
                <w:rFonts w:ascii="仿宋_GB2312" w:hAnsi="仿宋_GB2312" w:cs="仿宋_GB2312" w:eastAsia="仿宋_GB2312"/>
              </w:rPr>
              <w:t>供应商认为需要提供的其他证明材料,技术要求应答表,服务方案,报价表,投标（响应）函,服务要求应答表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不属于招标文件规定的无效情形</w:t>
            </w:r>
          </w:p>
        </w:tc>
        <w:tc>
          <w:tcPr>
            <w:tcW w:type="dxa" w:w="3322"/>
          </w:tcPr>
          <w:p>
            <w:pPr>
              <w:pStyle w:val="null3"/>
              <w:jc w:val="left"/>
            </w:pPr>
            <w:r>
              <w:rPr>
                <w:rFonts w:ascii="仿宋_GB2312" w:hAnsi="仿宋_GB2312" w:cs="仿宋_GB2312" w:eastAsia="仿宋_GB2312"/>
              </w:rPr>
              <w:t>投标人按照招标文件要求上传相关材料</w:t>
            </w:r>
          </w:p>
        </w:tc>
        <w:tc>
          <w:tcPr>
            <w:tcW w:type="dxa" w:w="1910"/>
          </w:tcPr>
          <w:p>
            <w:pPr>
              <w:pStyle w:val="null3"/>
              <w:jc w:val="left"/>
            </w:pPr>
            <w:r>
              <w:rPr>
                <w:rFonts w:ascii="仿宋_GB2312" w:hAnsi="仿宋_GB2312" w:cs="仿宋_GB2312" w:eastAsia="仿宋_GB2312"/>
              </w:rPr>
              <w:t>供应商认为需要提供的其他证明材料,中小企业声明函,残疾人福利性单位声明函,技术要求应答表,服务方案,投标文件封面,报价表,投标（响应）函,监狱企业的证明文件,服务要求应答表</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提供的服务方案进行评审，该内容应包含：①项目需求分析；②项目总体服务规划及服务目标说明；③服务人员日常管理方案及工作流程；④服务监督巡查机制及服务质量投诉整改应对措施；⑤服务人员培训措施及服务过程中的人员健康防控措施。完整提供上述5项内容的得40分；每有一项未提供扣8分，扣完为止；每有一处有缺陷扣4分，每项内容最多扣8分。 （缺陷是指：存在项目名称错误、地点区域错误、内容与本项目需求无关、方案内容矛盾、仅有框架或标题、适用的标准（方法）错误、明显复制其他项目内容等任意一种情形） 【编制于第六章投标文件格式-《服务方案》】</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服务风险管控方案</w:t>
            </w:r>
          </w:p>
        </w:tc>
        <w:tc>
          <w:tcPr>
            <w:tcW w:type="dxa" w:w="2575"/>
          </w:tcPr>
          <w:p>
            <w:pPr>
              <w:pStyle w:val="null3"/>
              <w:jc w:val="left"/>
            </w:pPr>
            <w:r>
              <w:rPr>
                <w:rFonts w:ascii="仿宋_GB2312" w:hAnsi="仿宋_GB2312" w:cs="仿宋_GB2312" w:eastAsia="仿宋_GB2312"/>
              </w:rPr>
              <w:t>根据供应商提供的服务风险管控方案进行评审，该内容应包含：①项目平稳过渡人员保障方案；②服务人员工伤（亡）事件处置；③临时缺岗应急处置；④劳动争议解决措施；⑤服务过程中与采购人的沟通保障措施。完整提供上述5项内容的得25分；每有一项未提供扣5分，扣完为止；每有一处有缺陷扣2.5分，每项内容最多扣5分。 （缺陷是指：存在项目名称错误、地点区域错误、内容与本项目需求无关、方案内容矛盾、仅有框架或标题、适用的标准（方法）错误、明显复制其他项目内容等任意一种情形） 【编制于第六章投标文件格式-《服务方案》】</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项目团队配置</w:t>
            </w:r>
          </w:p>
        </w:tc>
        <w:tc>
          <w:tcPr>
            <w:tcW w:type="dxa" w:w="2575"/>
          </w:tcPr>
          <w:p>
            <w:pPr>
              <w:pStyle w:val="null3"/>
              <w:jc w:val="left"/>
            </w:pPr>
            <w:r>
              <w:rPr>
                <w:rFonts w:ascii="仿宋_GB2312" w:hAnsi="仿宋_GB2312" w:cs="仿宋_GB2312" w:eastAsia="仿宋_GB2312"/>
              </w:rPr>
              <w:t>一、项目负责人（3分） 1、投标人拟投入本项目的项目负责人具有企业人力资源管理师或者经济专业技术资格证书（人力资源管理专业）的得3分，无证书的不得分。 注：需提供项目负责人相关证书扫描件并加盖投标人公章。 二、项目管理人员（18分） 1、投标人拟投入本项目的管理人员（项目负责人除外）中具有企业人力资源管理师或者经济专业技术资格证书（人力资源管理专业）的，每有一人得3分，最多得12分。 注：需提供人员证书扫描件并加盖投标人公章。 2、供应商承诺提供驻点服务的项目管理人员为固定人员的得6分，否则不得分。 注：需提供承诺函，格式自拟。【编制于第六章投标文件格式-《供应商认为需要提供的其他证明材料》】</w:t>
            </w:r>
          </w:p>
        </w:tc>
        <w:tc>
          <w:tcPr>
            <w:tcW w:type="dxa" w:w="831"/>
          </w:tcPr>
          <w:p>
            <w:pPr>
              <w:pStyle w:val="null3"/>
              <w:jc w:val="center"/>
            </w:pPr>
            <w:r>
              <w:rPr>
                <w:rFonts w:ascii="仿宋_GB2312" w:hAnsi="仿宋_GB2312" w:cs="仿宋_GB2312" w:eastAsia="仿宋_GB2312"/>
              </w:rPr>
              <w:t>21.0000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供应商认为需要提供的其他证明材料</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575"/>
          </w:tcPr>
          <w:p>
            <w:pPr>
              <w:pStyle w:val="null3"/>
              <w:jc w:val="left"/>
            </w:pPr>
            <w:r>
              <w:rPr>
                <w:rFonts w:ascii="仿宋_GB2312" w:hAnsi="仿宋_GB2312" w:cs="仿宋_GB2312" w:eastAsia="仿宋_GB2312"/>
              </w:rPr>
              <w:t>投标人每具有一个类似业绩的得2分，最多得4分，未提供不得分。 注：需提供合同扫描件或中标（成交）通知书扫描件加盖投标人公章（类似业绩指类似辅助服务业绩）。 【编制于第六章投标文件格式-《供应商认为需要提供的其他证明材料》】</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满足招标文件要求且投标价格最低的报价为基准价，其价格分为满分。其他供应商的价格分统一按照下列公式计算：报价得分=(基准价／报价)*10%*100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详见附件：技术要求应答表</w:t>
      </w:r>
    </w:p>
    <w:p>
      <w:pPr>
        <w:pStyle w:val="null3"/>
        <w:ind w:firstLine="960"/>
        <w:jc w:val="left"/>
      </w:pPr>
      <w:r>
        <w:rPr>
          <w:rFonts w:ascii="仿宋_GB2312" w:hAnsi="仿宋_GB2312" w:cs="仿宋_GB2312" w:eastAsia="仿宋_GB2312"/>
        </w:rPr>
        <w:t>详见附件：服务要求应答表</w:t>
      </w:r>
    </w:p>
    <w:p>
      <w:pPr>
        <w:pStyle w:val="null3"/>
        <w:ind w:firstLine="960"/>
        <w:jc w:val="left"/>
      </w:pPr>
      <w:r>
        <w:rPr>
          <w:rFonts w:ascii="仿宋_GB2312" w:hAnsi="仿宋_GB2312" w:cs="仿宋_GB2312" w:eastAsia="仿宋_GB2312"/>
        </w:rPr>
        <w:t>详见附件：供应商认为需要提供的其他证明材料</w:t>
      </w:r>
    </w:p>
    <w:p>
      <w:pPr>
        <w:pStyle w:val="null3"/>
        <w:ind w:firstLine="960"/>
        <w:jc w:val="left"/>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