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1D6F8">
      <w:pPr>
        <w:jc w:val="center"/>
        <w:rPr>
          <w:rFonts w:ascii="宋体" w:hAnsi="宋体" w:cs="宋体"/>
          <w:b/>
          <w:bCs/>
          <w:color w:val="auto"/>
          <w:spacing w:val="100"/>
          <w:sz w:val="84"/>
          <w:szCs w:val="84"/>
          <w:highlight w:val="none"/>
        </w:rPr>
      </w:pPr>
      <w:r>
        <w:rPr>
          <w:rFonts w:hint="eastAsia" w:ascii="宋体" w:hAnsi="宋体" w:cs="宋体"/>
          <w:b/>
          <w:bCs/>
          <w:color w:val="auto"/>
          <w:spacing w:val="100"/>
          <w:sz w:val="84"/>
          <w:szCs w:val="84"/>
          <w:highlight w:val="none"/>
        </w:rPr>
        <w:t>温州市政府采购</w:t>
      </w:r>
    </w:p>
    <w:p w14:paraId="4D928BAB">
      <w:pPr>
        <w:jc w:val="center"/>
        <w:rPr>
          <w:rFonts w:ascii="宋体" w:hAnsi="宋体" w:cs="宋体"/>
          <w:b/>
          <w:bCs/>
          <w:color w:val="auto"/>
          <w:spacing w:val="26"/>
          <w:sz w:val="52"/>
          <w:highlight w:val="none"/>
        </w:rPr>
      </w:pPr>
    </w:p>
    <w:p w14:paraId="5D551955">
      <w:pPr>
        <w:jc w:val="center"/>
        <w:rPr>
          <w:rFonts w:ascii="宋体" w:hAnsi="宋体" w:cs="宋体"/>
          <w:b/>
          <w:bCs/>
          <w:color w:val="auto"/>
          <w:spacing w:val="26"/>
          <w:sz w:val="52"/>
          <w:highlight w:val="none"/>
        </w:rPr>
      </w:pPr>
    </w:p>
    <w:p w14:paraId="2BCADEF6">
      <w:pPr>
        <w:jc w:val="center"/>
        <w:rPr>
          <w:rFonts w:ascii="宋体" w:hAnsi="宋体" w:cs="宋体"/>
          <w:b/>
          <w:bCs/>
          <w:color w:val="auto"/>
          <w:spacing w:val="26"/>
          <w:sz w:val="52"/>
          <w:highlight w:val="none"/>
        </w:rPr>
      </w:pPr>
    </w:p>
    <w:p w14:paraId="506BD5F5">
      <w:pPr>
        <w:jc w:val="center"/>
        <w:rPr>
          <w:rFonts w:ascii="宋体" w:hAnsi="宋体" w:cs="宋体"/>
          <w:b/>
          <w:bCs/>
          <w:color w:val="auto"/>
          <w:spacing w:val="140"/>
          <w:sz w:val="84"/>
          <w:szCs w:val="84"/>
          <w:highlight w:val="none"/>
        </w:rPr>
      </w:pPr>
      <w:r>
        <w:rPr>
          <w:rFonts w:hint="eastAsia" w:ascii="宋体" w:hAnsi="宋体" w:cs="宋体"/>
          <w:b/>
          <w:bCs/>
          <w:color w:val="auto"/>
          <w:spacing w:val="140"/>
          <w:sz w:val="84"/>
          <w:szCs w:val="84"/>
          <w:highlight w:val="none"/>
        </w:rPr>
        <w:t>采购文件</w:t>
      </w:r>
    </w:p>
    <w:p w14:paraId="1A413BA0">
      <w:pPr>
        <w:spacing w:line="600" w:lineRule="exact"/>
        <w:jc w:val="center"/>
        <w:rPr>
          <w:rFonts w:ascii="宋体" w:hAnsi="宋体" w:cs="宋体"/>
          <w:b/>
          <w:bCs/>
          <w:color w:val="auto"/>
          <w:spacing w:val="140"/>
          <w:sz w:val="84"/>
          <w:szCs w:val="84"/>
          <w:highlight w:val="none"/>
        </w:rPr>
      </w:pPr>
    </w:p>
    <w:p w14:paraId="7AF1F8B7">
      <w:pPr>
        <w:spacing w:line="400" w:lineRule="exact"/>
        <w:jc w:val="center"/>
        <w:rPr>
          <w:rFonts w:ascii="宋体" w:hAnsi="宋体" w:cs="宋体"/>
          <w:b/>
          <w:bCs/>
          <w:color w:val="auto"/>
          <w:sz w:val="32"/>
          <w:szCs w:val="32"/>
          <w:highlight w:val="none"/>
        </w:rPr>
      </w:pPr>
    </w:p>
    <w:p w14:paraId="087DD8D3">
      <w:pPr>
        <w:pStyle w:val="22"/>
        <w:rPr>
          <w:rFonts w:ascii="宋体" w:hAnsi="宋体" w:cs="宋体"/>
          <w:color w:val="auto"/>
          <w:highlight w:val="none"/>
        </w:rPr>
      </w:pPr>
    </w:p>
    <w:p w14:paraId="14187698">
      <w:pPr>
        <w:jc w:val="center"/>
        <w:rPr>
          <w:rFonts w:ascii="宋体" w:hAnsi="宋体" w:cs="宋体"/>
          <w:color w:val="auto"/>
          <w:spacing w:val="40"/>
          <w:sz w:val="30"/>
          <w:szCs w:val="30"/>
          <w:highlight w:val="none"/>
        </w:rPr>
      </w:pPr>
    </w:p>
    <w:p w14:paraId="6B313C4B">
      <w:pPr>
        <w:jc w:val="center"/>
        <w:rPr>
          <w:rFonts w:ascii="宋体" w:hAnsi="宋体" w:cs="宋体"/>
          <w:color w:val="auto"/>
          <w:spacing w:val="40"/>
          <w:sz w:val="30"/>
          <w:szCs w:val="30"/>
          <w:highlight w:val="none"/>
        </w:rPr>
      </w:pPr>
    </w:p>
    <w:p w14:paraId="46EEBDEF">
      <w:pPr>
        <w:jc w:val="center"/>
        <w:rPr>
          <w:rFonts w:ascii="宋体" w:hAnsi="宋体" w:cs="宋体"/>
          <w:color w:val="auto"/>
          <w:spacing w:val="40"/>
          <w:sz w:val="30"/>
          <w:szCs w:val="30"/>
          <w:highlight w:val="none"/>
        </w:rPr>
      </w:pPr>
    </w:p>
    <w:tbl>
      <w:tblPr>
        <w:tblStyle w:val="57"/>
        <w:tblW w:w="4609" w:type="dxa"/>
        <w:jc w:val="center"/>
        <w:tblLayout w:type="fixed"/>
        <w:tblCellMar>
          <w:top w:w="0" w:type="dxa"/>
          <w:left w:w="108" w:type="dxa"/>
          <w:bottom w:w="0" w:type="dxa"/>
          <w:right w:w="108" w:type="dxa"/>
        </w:tblCellMar>
      </w:tblPr>
      <w:tblGrid>
        <w:gridCol w:w="1483"/>
        <w:gridCol w:w="3126"/>
      </w:tblGrid>
      <w:tr w14:paraId="2A360591">
        <w:tblPrEx>
          <w:tblCellMar>
            <w:top w:w="0" w:type="dxa"/>
            <w:left w:w="108" w:type="dxa"/>
            <w:bottom w:w="0" w:type="dxa"/>
            <w:right w:w="108" w:type="dxa"/>
          </w:tblCellMar>
        </w:tblPrEx>
        <w:trPr>
          <w:trHeight w:val="707" w:hRule="atLeast"/>
          <w:jc w:val="center"/>
        </w:trPr>
        <w:tc>
          <w:tcPr>
            <w:tcW w:w="1483" w:type="dxa"/>
            <w:noWrap/>
            <w:vAlign w:val="center"/>
          </w:tcPr>
          <w:p w14:paraId="1141351E">
            <w:pPr>
              <w:rPr>
                <w:rFonts w:ascii="宋体" w:hAnsi="宋体" w:cs="宋体"/>
                <w:b/>
                <w:color w:val="auto"/>
                <w:sz w:val="28"/>
                <w:szCs w:val="28"/>
                <w:highlight w:val="none"/>
              </w:rPr>
            </w:pPr>
            <w:r>
              <w:rPr>
                <w:rFonts w:hint="eastAsia" w:ascii="宋体" w:hAnsi="宋体" w:cs="宋体"/>
                <w:b/>
                <w:color w:val="auto"/>
                <w:sz w:val="28"/>
                <w:szCs w:val="28"/>
                <w:highlight w:val="none"/>
              </w:rPr>
              <w:t>项目编号：</w:t>
            </w:r>
          </w:p>
        </w:tc>
        <w:tc>
          <w:tcPr>
            <w:tcW w:w="3126" w:type="dxa"/>
            <w:noWrap/>
            <w:vAlign w:val="center"/>
          </w:tcPr>
          <w:p w14:paraId="538DC744">
            <w:pP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330300261740010000003-WZYX-X2026011602</w:t>
            </w:r>
          </w:p>
        </w:tc>
      </w:tr>
      <w:tr w14:paraId="1260D470">
        <w:tblPrEx>
          <w:tblCellMar>
            <w:top w:w="0" w:type="dxa"/>
            <w:left w:w="108" w:type="dxa"/>
            <w:bottom w:w="0" w:type="dxa"/>
            <w:right w:w="108" w:type="dxa"/>
          </w:tblCellMar>
        </w:tblPrEx>
        <w:trPr>
          <w:trHeight w:val="942" w:hRule="atLeast"/>
          <w:jc w:val="center"/>
        </w:trPr>
        <w:tc>
          <w:tcPr>
            <w:tcW w:w="1483" w:type="dxa"/>
            <w:noWrap/>
            <w:vAlign w:val="center"/>
          </w:tcPr>
          <w:p w14:paraId="2ACDDE87">
            <w:pPr>
              <w:rPr>
                <w:rFonts w:ascii="宋体" w:hAnsi="宋体" w:cs="宋体"/>
                <w:b/>
                <w:color w:val="auto"/>
                <w:sz w:val="28"/>
                <w:szCs w:val="28"/>
                <w:highlight w:val="none"/>
              </w:rPr>
            </w:pPr>
            <w:r>
              <w:rPr>
                <w:rFonts w:hint="eastAsia" w:ascii="宋体" w:hAnsi="宋体" w:cs="宋体"/>
                <w:b/>
                <w:color w:val="auto"/>
                <w:sz w:val="28"/>
                <w:szCs w:val="28"/>
                <w:highlight w:val="none"/>
              </w:rPr>
              <w:t>项目名称：</w:t>
            </w:r>
          </w:p>
        </w:tc>
        <w:tc>
          <w:tcPr>
            <w:tcW w:w="3126" w:type="dxa"/>
            <w:noWrap/>
            <w:vAlign w:val="center"/>
          </w:tcPr>
          <w:p w14:paraId="1B5F4F80">
            <w:pP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交通基础设施硬件及业务系统运维</w:t>
            </w:r>
          </w:p>
        </w:tc>
      </w:tr>
      <w:tr w14:paraId="4AC62D94">
        <w:tblPrEx>
          <w:tblCellMar>
            <w:top w:w="0" w:type="dxa"/>
            <w:left w:w="108" w:type="dxa"/>
            <w:bottom w:w="0" w:type="dxa"/>
            <w:right w:w="108" w:type="dxa"/>
          </w:tblCellMar>
        </w:tblPrEx>
        <w:trPr>
          <w:trHeight w:val="627" w:hRule="atLeast"/>
          <w:jc w:val="center"/>
        </w:trPr>
        <w:tc>
          <w:tcPr>
            <w:tcW w:w="1483" w:type="dxa"/>
            <w:noWrap/>
            <w:vAlign w:val="center"/>
          </w:tcPr>
          <w:p w14:paraId="44EE8E8F">
            <w:pPr>
              <w:rPr>
                <w:rFonts w:ascii="宋体" w:hAnsi="宋体" w:cs="宋体"/>
                <w:b/>
                <w:color w:val="auto"/>
                <w:sz w:val="28"/>
                <w:szCs w:val="28"/>
                <w:highlight w:val="none"/>
              </w:rPr>
            </w:pPr>
            <w:r>
              <w:rPr>
                <w:rFonts w:hint="eastAsia" w:ascii="宋体" w:hAnsi="宋体" w:cs="宋体"/>
                <w:b/>
                <w:color w:val="auto"/>
                <w:sz w:val="28"/>
                <w:szCs w:val="28"/>
                <w:highlight w:val="none"/>
              </w:rPr>
              <w:t>采购方式：</w:t>
            </w:r>
          </w:p>
        </w:tc>
        <w:tc>
          <w:tcPr>
            <w:tcW w:w="3126" w:type="dxa"/>
            <w:noWrap/>
            <w:vAlign w:val="center"/>
          </w:tcPr>
          <w:p w14:paraId="3D63428F">
            <w:pPr>
              <w:rPr>
                <w:rFonts w:ascii="宋体" w:hAnsi="宋体" w:cs="宋体"/>
                <w:b/>
                <w:color w:val="auto"/>
                <w:sz w:val="28"/>
                <w:szCs w:val="28"/>
                <w:highlight w:val="none"/>
              </w:rPr>
            </w:pPr>
            <w:r>
              <w:rPr>
                <w:rFonts w:hint="eastAsia" w:ascii="宋体" w:hAnsi="宋体" w:cs="宋体"/>
                <w:b/>
                <w:color w:val="auto"/>
                <w:sz w:val="28"/>
                <w:szCs w:val="28"/>
                <w:highlight w:val="none"/>
              </w:rPr>
              <w:t>公开招标</w:t>
            </w:r>
          </w:p>
        </w:tc>
      </w:tr>
    </w:tbl>
    <w:p w14:paraId="0C8A13A3">
      <w:pPr>
        <w:spacing w:line="600" w:lineRule="exact"/>
        <w:jc w:val="center"/>
        <w:rPr>
          <w:rFonts w:ascii="宋体" w:hAnsi="宋体" w:cs="宋体"/>
          <w:b/>
          <w:color w:val="auto"/>
          <w:sz w:val="30"/>
          <w:szCs w:val="30"/>
          <w:highlight w:val="none"/>
        </w:rPr>
      </w:pPr>
    </w:p>
    <w:p w14:paraId="0A8E0F1E">
      <w:pPr>
        <w:spacing w:line="600" w:lineRule="exact"/>
        <w:jc w:val="center"/>
        <w:rPr>
          <w:rFonts w:ascii="宋体" w:hAnsi="宋体" w:cs="宋体"/>
          <w:b/>
          <w:color w:val="auto"/>
          <w:sz w:val="30"/>
          <w:szCs w:val="30"/>
          <w:highlight w:val="none"/>
        </w:rPr>
      </w:pPr>
    </w:p>
    <w:p w14:paraId="2682917B">
      <w:pPr>
        <w:spacing w:line="600" w:lineRule="exact"/>
        <w:jc w:val="center"/>
        <w:rPr>
          <w:rFonts w:ascii="宋体" w:hAnsi="宋体" w:cs="宋体"/>
          <w:b/>
          <w:color w:val="auto"/>
          <w:sz w:val="30"/>
          <w:szCs w:val="30"/>
          <w:highlight w:val="none"/>
        </w:rPr>
      </w:pPr>
    </w:p>
    <w:p w14:paraId="1BF2B0A0">
      <w:pPr>
        <w:spacing w:line="600" w:lineRule="exact"/>
        <w:jc w:val="center"/>
        <w:rPr>
          <w:rFonts w:ascii="宋体" w:hAnsi="宋体" w:cs="宋体"/>
          <w:b/>
          <w:color w:val="auto"/>
          <w:sz w:val="30"/>
          <w:szCs w:val="30"/>
          <w:highlight w:val="none"/>
        </w:rPr>
      </w:pPr>
    </w:p>
    <w:p w14:paraId="40037F5B">
      <w:pPr>
        <w:rPr>
          <w:color w:val="auto"/>
          <w:highlight w:val="none"/>
        </w:rPr>
      </w:pPr>
    </w:p>
    <w:p w14:paraId="5C43C741">
      <w:pPr>
        <w:pStyle w:val="15"/>
        <w:rPr>
          <w:color w:val="auto"/>
          <w:highlight w:val="none"/>
        </w:rPr>
      </w:pPr>
    </w:p>
    <w:tbl>
      <w:tblPr>
        <w:tblStyle w:val="57"/>
        <w:tblW w:w="6120" w:type="dxa"/>
        <w:jc w:val="center"/>
        <w:tblLayout w:type="fixed"/>
        <w:tblCellMar>
          <w:top w:w="0" w:type="dxa"/>
          <w:left w:w="108" w:type="dxa"/>
          <w:bottom w:w="0" w:type="dxa"/>
          <w:right w:w="108" w:type="dxa"/>
        </w:tblCellMar>
      </w:tblPr>
      <w:tblGrid>
        <w:gridCol w:w="1342"/>
        <w:gridCol w:w="236"/>
        <w:gridCol w:w="4542"/>
      </w:tblGrid>
      <w:tr w14:paraId="0FFD2559">
        <w:tblPrEx>
          <w:tblCellMar>
            <w:top w:w="0" w:type="dxa"/>
            <w:left w:w="108" w:type="dxa"/>
            <w:bottom w:w="0" w:type="dxa"/>
            <w:right w:w="108" w:type="dxa"/>
          </w:tblCellMar>
        </w:tblPrEx>
        <w:trPr>
          <w:trHeight w:val="707" w:hRule="atLeast"/>
          <w:jc w:val="center"/>
        </w:trPr>
        <w:tc>
          <w:tcPr>
            <w:tcW w:w="1342" w:type="dxa"/>
            <w:noWrap/>
            <w:vAlign w:val="center"/>
          </w:tcPr>
          <w:p w14:paraId="20DAFA50">
            <w:pPr>
              <w:jc w:val="distribute"/>
              <w:rPr>
                <w:rFonts w:ascii="宋体" w:hAnsi="宋体" w:cs="宋体"/>
                <w:b/>
                <w:color w:val="auto"/>
                <w:sz w:val="28"/>
                <w:szCs w:val="28"/>
                <w:highlight w:val="none"/>
              </w:rPr>
            </w:pPr>
            <w:r>
              <w:rPr>
                <w:rFonts w:hint="eastAsia" w:ascii="宋体" w:hAnsi="宋体" w:cs="宋体"/>
                <w:b/>
                <w:color w:val="auto"/>
                <w:sz w:val="28"/>
                <w:szCs w:val="28"/>
                <w:highlight w:val="none"/>
              </w:rPr>
              <w:t>采购人</w:t>
            </w:r>
          </w:p>
        </w:tc>
        <w:tc>
          <w:tcPr>
            <w:tcW w:w="236" w:type="dxa"/>
            <w:noWrap/>
            <w:vAlign w:val="center"/>
          </w:tcPr>
          <w:p w14:paraId="23952AFB">
            <w:pPr>
              <w:jc w:val="distribute"/>
              <w:rPr>
                <w:rFonts w:ascii="宋体" w:hAnsi="宋体" w:cs="宋体"/>
                <w:b/>
                <w:color w:val="auto"/>
                <w:sz w:val="28"/>
                <w:szCs w:val="28"/>
                <w:highlight w:val="none"/>
              </w:rPr>
            </w:pPr>
            <w:r>
              <w:rPr>
                <w:rFonts w:hint="eastAsia" w:ascii="宋体" w:hAnsi="宋体" w:cs="宋体"/>
                <w:b/>
                <w:color w:val="auto"/>
                <w:sz w:val="28"/>
                <w:szCs w:val="28"/>
                <w:highlight w:val="none"/>
              </w:rPr>
              <w:t>：</w:t>
            </w:r>
          </w:p>
        </w:tc>
        <w:tc>
          <w:tcPr>
            <w:tcW w:w="4542" w:type="dxa"/>
            <w:noWrap/>
            <w:vAlign w:val="center"/>
          </w:tcPr>
          <w:p w14:paraId="4CB0106F">
            <w:pPr>
              <w:jc w:val="distribute"/>
              <w:rPr>
                <w:rFonts w:ascii="宋体" w:hAnsi="宋体" w:cs="宋体"/>
                <w:b/>
                <w:color w:val="auto"/>
                <w:sz w:val="28"/>
                <w:szCs w:val="28"/>
                <w:highlight w:val="none"/>
              </w:rPr>
            </w:pPr>
            <w:r>
              <w:rPr>
                <w:rFonts w:hint="eastAsia" w:ascii="宋体" w:hAnsi="宋体" w:cs="宋体"/>
                <w:b/>
                <w:color w:val="auto"/>
                <w:sz w:val="28"/>
                <w:szCs w:val="28"/>
                <w:highlight w:val="none"/>
              </w:rPr>
              <w:t>温州市交通运输局</w:t>
            </w:r>
          </w:p>
        </w:tc>
      </w:tr>
      <w:tr w14:paraId="5FF97536">
        <w:tblPrEx>
          <w:tblCellMar>
            <w:top w:w="0" w:type="dxa"/>
            <w:left w:w="108" w:type="dxa"/>
            <w:bottom w:w="0" w:type="dxa"/>
            <w:right w:w="108" w:type="dxa"/>
          </w:tblCellMar>
        </w:tblPrEx>
        <w:trPr>
          <w:trHeight w:val="707" w:hRule="atLeast"/>
          <w:jc w:val="center"/>
        </w:trPr>
        <w:tc>
          <w:tcPr>
            <w:tcW w:w="1342" w:type="dxa"/>
            <w:noWrap/>
            <w:vAlign w:val="center"/>
          </w:tcPr>
          <w:p w14:paraId="6733E094">
            <w:pPr>
              <w:jc w:val="distribute"/>
              <w:rPr>
                <w:rFonts w:ascii="宋体" w:hAnsi="宋体" w:cs="宋体"/>
                <w:b/>
                <w:color w:val="auto"/>
                <w:sz w:val="28"/>
                <w:szCs w:val="28"/>
                <w:highlight w:val="none"/>
              </w:rPr>
            </w:pPr>
            <w:r>
              <w:rPr>
                <w:rFonts w:hint="eastAsia" w:ascii="宋体" w:hAnsi="宋体" w:cs="宋体"/>
                <w:b/>
                <w:color w:val="auto"/>
                <w:sz w:val="28"/>
                <w:szCs w:val="28"/>
                <w:highlight w:val="none"/>
              </w:rPr>
              <w:t>代理机构</w:t>
            </w:r>
          </w:p>
        </w:tc>
        <w:tc>
          <w:tcPr>
            <w:tcW w:w="236" w:type="dxa"/>
            <w:noWrap/>
            <w:vAlign w:val="center"/>
          </w:tcPr>
          <w:p w14:paraId="6305755F">
            <w:pPr>
              <w:jc w:val="distribute"/>
              <w:rPr>
                <w:rFonts w:ascii="宋体" w:hAnsi="宋体" w:cs="宋体"/>
                <w:b/>
                <w:color w:val="auto"/>
                <w:sz w:val="28"/>
                <w:szCs w:val="28"/>
                <w:highlight w:val="none"/>
              </w:rPr>
            </w:pPr>
            <w:r>
              <w:rPr>
                <w:rFonts w:hint="eastAsia" w:ascii="宋体" w:hAnsi="宋体" w:cs="宋体"/>
                <w:b/>
                <w:color w:val="auto"/>
                <w:sz w:val="28"/>
                <w:szCs w:val="28"/>
                <w:highlight w:val="none"/>
              </w:rPr>
              <w:t>：</w:t>
            </w:r>
          </w:p>
        </w:tc>
        <w:tc>
          <w:tcPr>
            <w:tcW w:w="4542" w:type="dxa"/>
            <w:noWrap/>
            <w:vAlign w:val="center"/>
          </w:tcPr>
          <w:p w14:paraId="06B8B11A">
            <w:pPr>
              <w:jc w:val="distribute"/>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温州元信工程项目管理有限公司</w:t>
            </w:r>
          </w:p>
        </w:tc>
      </w:tr>
    </w:tbl>
    <w:p w14:paraId="24322186">
      <w:pPr>
        <w:spacing w:line="600" w:lineRule="exact"/>
        <w:jc w:val="center"/>
        <w:rPr>
          <w:rFonts w:ascii="宋体" w:hAnsi="宋体" w:cs="宋体"/>
          <w:b/>
          <w:color w:val="auto"/>
          <w:sz w:val="30"/>
          <w:szCs w:val="30"/>
          <w:highlight w:val="none"/>
        </w:rPr>
        <w:sectPr>
          <w:headerReference r:id="rId4" w:type="first"/>
          <w:headerReference r:id="rId3" w:type="default"/>
          <w:footerReference r:id="rId5" w:type="default"/>
          <w:footerReference r:id="rId6" w:type="even"/>
          <w:pgSz w:w="11906" w:h="16838"/>
          <w:pgMar w:top="1134" w:right="1134" w:bottom="1134" w:left="1134" w:header="851" w:footer="992" w:gutter="0"/>
          <w:pgNumType w:start="0"/>
          <w:cols w:space="720" w:num="1"/>
          <w:titlePg/>
          <w:docGrid w:linePitch="312" w:charSpace="0"/>
        </w:sectPr>
      </w:pPr>
      <w:r>
        <w:rPr>
          <w:rFonts w:hint="eastAsia" w:ascii="宋体" w:hAnsi="宋体" w:cs="宋体"/>
          <w:b/>
          <w:color w:val="auto"/>
          <w:sz w:val="30"/>
          <w:szCs w:val="30"/>
          <w:highlight w:val="none"/>
        </w:rPr>
        <w:t xml:space="preserve">     二○二</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一</w:t>
      </w:r>
      <w:r>
        <w:rPr>
          <w:rFonts w:hint="eastAsia" w:ascii="宋体" w:hAnsi="宋体" w:cs="宋体"/>
          <w:b/>
          <w:color w:val="auto"/>
          <w:sz w:val="30"/>
          <w:szCs w:val="30"/>
          <w:highlight w:val="none"/>
        </w:rPr>
        <w:t>月</w:t>
      </w:r>
    </w:p>
    <w:p w14:paraId="61284C07">
      <w:pPr>
        <w:pStyle w:val="40"/>
        <w:tabs>
          <w:tab w:val="right" w:leader="dot" w:pos="9638"/>
        </w:tabs>
        <w:ind w:left="1030" w:hanging="103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 录</w:t>
      </w:r>
    </w:p>
    <w:p w14:paraId="7FF1A63B">
      <w:pPr>
        <w:rPr>
          <w:rFonts w:ascii="宋体" w:hAnsi="宋体" w:cs="宋体"/>
          <w:color w:val="auto"/>
          <w:highlight w:val="none"/>
        </w:rPr>
      </w:pPr>
    </w:p>
    <w:p w14:paraId="194CC506">
      <w:pPr>
        <w:pStyle w:val="40"/>
        <w:tabs>
          <w:tab w:val="right" w:leader="dot" w:pos="9638"/>
        </w:tabs>
        <w:spacing w:line="480" w:lineRule="auto"/>
        <w:rPr>
          <w:rFonts w:hint="eastAsia" w:ascii="新宋体" w:hAnsi="新宋体" w:eastAsia="新宋体" w:cs="新宋体"/>
          <w:b/>
          <w:bCs/>
          <w:color w:val="auto"/>
          <w:sz w:val="22"/>
          <w:szCs w:val="22"/>
          <w:highlight w:val="none"/>
        </w:rPr>
      </w:pPr>
    </w:p>
    <w:p w14:paraId="0821DCB4">
      <w:pPr>
        <w:pStyle w:val="4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fldChar w:fldCharType="begin"/>
      </w:r>
      <w:r>
        <w:rPr>
          <w:rFonts w:hint="eastAsia" w:ascii="新宋体" w:hAnsi="新宋体" w:eastAsia="新宋体" w:cs="新宋体"/>
          <w:b/>
          <w:bCs/>
          <w:color w:val="auto"/>
          <w:sz w:val="22"/>
          <w:szCs w:val="22"/>
          <w:highlight w:val="none"/>
        </w:rPr>
        <w:instrText xml:space="preserve">TOC \o "1-3" \h \u </w:instrText>
      </w:r>
      <w:r>
        <w:rPr>
          <w:rFonts w:hint="eastAsia" w:ascii="新宋体" w:hAnsi="新宋体" w:eastAsia="新宋体" w:cs="新宋体"/>
          <w:b/>
          <w:bCs/>
          <w:color w:val="auto"/>
          <w:sz w:val="22"/>
          <w:szCs w:val="22"/>
          <w:highlight w:val="none"/>
        </w:rPr>
        <w:fldChar w:fldCharType="separate"/>
      </w: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_Toc19091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第一部分  投标人须知</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_Toc19091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035F13D1">
      <w:pPr>
        <w:pStyle w:val="4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_Toc20111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投标人须知前附表</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_Toc20111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6C98DBF5">
      <w:pPr>
        <w:pStyle w:val="3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_Toc32487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一、  说明</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_Toc32487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46170295">
      <w:pPr>
        <w:pStyle w:val="3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_Toc18856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二、 采购文件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_Toc18856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9</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7F6EF651">
      <w:pPr>
        <w:pStyle w:val="3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_Toc25589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三、 投标文件的编制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_Toc25589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6F0DE00F">
      <w:pPr>
        <w:pStyle w:val="3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_Toc15247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四、 投标文件的递交</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_Toc15247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0D1555C4">
      <w:pPr>
        <w:pStyle w:val="3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_Toc16049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五、 开标</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_Toc16049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14</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578BA162">
      <w:pPr>
        <w:pStyle w:val="3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_Toc24368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六、 评  标</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_Toc24368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605BCAFE">
      <w:pPr>
        <w:pStyle w:val="3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_Toc26864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七、 授予合同</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_Toc26864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19</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5B70C2F0">
      <w:pPr>
        <w:pStyle w:val="4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_Toc3874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kern w:val="2"/>
          <w:sz w:val="22"/>
          <w:szCs w:val="22"/>
          <w:highlight w:val="none"/>
        </w:rPr>
        <w:t>第二部分   政府采购政策功能相关说明</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_Toc3874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5024E860">
      <w:pPr>
        <w:pStyle w:val="4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_Toc682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kern w:val="2"/>
          <w:sz w:val="22"/>
          <w:szCs w:val="22"/>
          <w:highlight w:val="none"/>
        </w:rPr>
        <w:t>第三部分   合同条款及格式</w:t>
      </w:r>
      <w:bookmarkStart w:id="134" w:name="_GoBack"/>
      <w:bookmarkEnd w:id="134"/>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_Toc682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7C939F59">
      <w:pPr>
        <w:pStyle w:val="4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_Toc9325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bCs w:val="0"/>
          <w:color w:val="auto"/>
          <w:sz w:val="22"/>
          <w:szCs w:val="22"/>
          <w:highlight w:val="none"/>
        </w:rPr>
        <w:t>第四部分   投标文件格式</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_Toc9325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38</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687D8556">
      <w:pPr>
        <w:pStyle w:val="4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_Toc22755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rPr>
        <w:t>第五部分   采购内容及要求</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_Toc22755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59</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4D34C089">
      <w:pPr>
        <w:pStyle w:val="40"/>
        <w:tabs>
          <w:tab w:val="right" w:leader="dot" w:pos="9638"/>
        </w:tabs>
        <w:spacing w:line="480"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fldChar w:fldCharType="begin"/>
      </w:r>
      <w:r>
        <w:rPr>
          <w:rFonts w:hint="eastAsia" w:ascii="新宋体" w:hAnsi="新宋体" w:eastAsia="新宋体" w:cs="新宋体"/>
          <w:bCs/>
          <w:color w:val="auto"/>
          <w:sz w:val="22"/>
          <w:szCs w:val="22"/>
          <w:highlight w:val="none"/>
        </w:rPr>
        <w:instrText xml:space="preserve"> HYPERLINK \l _Toc17706 </w:instrText>
      </w:r>
      <w:r>
        <w:rPr>
          <w:rFonts w:hint="eastAsia" w:ascii="新宋体" w:hAnsi="新宋体" w:eastAsia="新宋体" w:cs="新宋体"/>
          <w:bCs/>
          <w:color w:val="auto"/>
          <w:sz w:val="22"/>
          <w:szCs w:val="22"/>
          <w:highlight w:val="none"/>
        </w:rPr>
        <w:fldChar w:fldCharType="separate"/>
      </w:r>
      <w:r>
        <w:rPr>
          <w:rFonts w:hint="eastAsia" w:ascii="新宋体" w:hAnsi="新宋体" w:eastAsia="新宋体" w:cs="新宋体"/>
          <w:color w:val="auto"/>
          <w:sz w:val="22"/>
          <w:szCs w:val="22"/>
          <w:highlight w:val="none"/>
          <w:lang w:val="en-US" w:eastAsia="zh-CN"/>
        </w:rPr>
        <w:t>第六部分   评标原则及方法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_Toc17706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91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bCs/>
          <w:color w:val="auto"/>
          <w:sz w:val="22"/>
          <w:szCs w:val="22"/>
          <w:highlight w:val="none"/>
        </w:rPr>
        <w:fldChar w:fldCharType="end"/>
      </w:r>
    </w:p>
    <w:p w14:paraId="1CB8DF92">
      <w:pPr>
        <w:pStyle w:val="55"/>
        <w:spacing w:line="480" w:lineRule="auto"/>
        <w:ind w:firstLine="241"/>
        <w:rPr>
          <w:rFonts w:ascii="宋体" w:hAnsi="宋体" w:cs="宋体"/>
          <w:b w:val="0"/>
          <w:bCs/>
          <w:color w:val="auto"/>
          <w:szCs w:val="21"/>
          <w:highlight w:val="none"/>
        </w:rPr>
      </w:pPr>
      <w:r>
        <w:rPr>
          <w:rFonts w:hint="eastAsia" w:ascii="新宋体" w:hAnsi="新宋体" w:eastAsia="新宋体" w:cs="新宋体"/>
          <w:bCs/>
          <w:color w:val="auto"/>
          <w:sz w:val="22"/>
          <w:szCs w:val="22"/>
          <w:highlight w:val="none"/>
        </w:rPr>
        <w:fldChar w:fldCharType="end"/>
      </w:r>
    </w:p>
    <w:p w14:paraId="7DA7B9D7">
      <w:pPr>
        <w:pStyle w:val="55"/>
        <w:ind w:firstLine="320"/>
        <w:rPr>
          <w:rFonts w:ascii="宋体" w:hAnsi="宋体" w:cs="宋体"/>
          <w:b w:val="0"/>
          <w:bCs/>
          <w:color w:val="auto"/>
          <w:szCs w:val="21"/>
          <w:highlight w:val="none"/>
        </w:rPr>
      </w:pPr>
    </w:p>
    <w:p w14:paraId="32738574">
      <w:pPr>
        <w:pStyle w:val="55"/>
        <w:ind w:firstLine="320"/>
        <w:rPr>
          <w:rFonts w:ascii="宋体" w:hAnsi="宋体" w:cs="宋体"/>
          <w:b w:val="0"/>
          <w:bCs/>
          <w:color w:val="auto"/>
          <w:szCs w:val="21"/>
          <w:highlight w:val="none"/>
        </w:rPr>
      </w:pPr>
    </w:p>
    <w:p w14:paraId="2D9BF5C8">
      <w:pPr>
        <w:pStyle w:val="55"/>
        <w:ind w:firstLine="320"/>
        <w:rPr>
          <w:rFonts w:ascii="宋体" w:hAnsi="宋体" w:cs="宋体"/>
          <w:b w:val="0"/>
          <w:bCs/>
          <w:color w:val="auto"/>
          <w:szCs w:val="21"/>
          <w:highlight w:val="none"/>
        </w:rPr>
      </w:pPr>
    </w:p>
    <w:p w14:paraId="1D756417">
      <w:pPr>
        <w:pStyle w:val="55"/>
        <w:ind w:firstLine="320"/>
        <w:rPr>
          <w:rFonts w:ascii="宋体" w:hAnsi="宋体" w:cs="宋体"/>
          <w:b w:val="0"/>
          <w:bCs/>
          <w:color w:val="auto"/>
          <w:szCs w:val="21"/>
          <w:highlight w:val="none"/>
        </w:rPr>
      </w:pPr>
    </w:p>
    <w:p w14:paraId="26903D26">
      <w:pPr>
        <w:pStyle w:val="55"/>
        <w:ind w:firstLine="320"/>
        <w:rPr>
          <w:rFonts w:ascii="宋体" w:hAnsi="宋体" w:cs="宋体"/>
          <w:b w:val="0"/>
          <w:bCs/>
          <w:color w:val="auto"/>
          <w:szCs w:val="21"/>
          <w:highlight w:val="none"/>
        </w:rPr>
      </w:pPr>
    </w:p>
    <w:p w14:paraId="67724BA4">
      <w:pPr>
        <w:pStyle w:val="3"/>
        <w:rPr>
          <w:rFonts w:ascii="宋体" w:hAnsi="宋体" w:eastAsia="宋体" w:cs="宋体"/>
          <w:color w:val="auto"/>
          <w:sz w:val="36"/>
          <w:szCs w:val="36"/>
          <w:highlight w:val="none"/>
        </w:rPr>
      </w:pPr>
      <w:bookmarkStart w:id="0" w:name="_Toc32301"/>
      <w:r>
        <w:rPr>
          <w:rFonts w:hint="eastAsia" w:ascii="宋体" w:hAnsi="宋体" w:eastAsia="宋体" w:cs="宋体"/>
          <w:color w:val="auto"/>
          <w:sz w:val="36"/>
          <w:szCs w:val="36"/>
          <w:highlight w:val="none"/>
        </w:rPr>
        <w:br w:type="page"/>
      </w:r>
      <w:bookmarkStart w:id="1" w:name="_Toc19091"/>
      <w:r>
        <w:rPr>
          <w:rFonts w:hint="eastAsia" w:ascii="宋体" w:hAnsi="宋体" w:eastAsia="宋体" w:cs="宋体"/>
          <w:color w:val="auto"/>
          <w:sz w:val="36"/>
          <w:szCs w:val="36"/>
          <w:highlight w:val="none"/>
        </w:rPr>
        <w:t>第一部分  投标人须知</w:t>
      </w:r>
      <w:bookmarkEnd w:id="1"/>
    </w:p>
    <w:p w14:paraId="3280F310">
      <w:pPr>
        <w:pStyle w:val="3"/>
        <w:rPr>
          <w:rFonts w:ascii="宋体" w:hAnsi="宋体" w:eastAsia="宋体" w:cs="宋体"/>
          <w:color w:val="auto"/>
          <w:sz w:val="36"/>
          <w:szCs w:val="36"/>
          <w:highlight w:val="none"/>
        </w:rPr>
      </w:pPr>
      <w:bookmarkStart w:id="2" w:name="_Toc20111"/>
      <w:r>
        <w:rPr>
          <w:rFonts w:hint="eastAsia" w:ascii="宋体" w:hAnsi="宋体" w:eastAsia="宋体" w:cs="宋体"/>
          <w:color w:val="auto"/>
          <w:sz w:val="36"/>
          <w:szCs w:val="36"/>
          <w:highlight w:val="none"/>
        </w:rPr>
        <w:t>投标人须知前附表</w:t>
      </w:r>
      <w:bookmarkEnd w:id="0"/>
      <w:bookmarkEnd w:id="2"/>
    </w:p>
    <w:tbl>
      <w:tblPr>
        <w:tblStyle w:val="57"/>
        <w:tblW w:w="10123" w:type="dxa"/>
        <w:jc w:val="center"/>
        <w:tblLayout w:type="fixed"/>
        <w:tblCellMar>
          <w:top w:w="0" w:type="dxa"/>
          <w:left w:w="108" w:type="dxa"/>
          <w:bottom w:w="0" w:type="dxa"/>
          <w:right w:w="108" w:type="dxa"/>
        </w:tblCellMar>
      </w:tblPr>
      <w:tblGrid>
        <w:gridCol w:w="667"/>
        <w:gridCol w:w="2037"/>
        <w:gridCol w:w="7419"/>
      </w:tblGrid>
      <w:tr w14:paraId="7AD69F06">
        <w:tblPrEx>
          <w:tblCellMar>
            <w:top w:w="0" w:type="dxa"/>
            <w:left w:w="108" w:type="dxa"/>
            <w:bottom w:w="0" w:type="dxa"/>
            <w:right w:w="108" w:type="dxa"/>
          </w:tblCellMar>
        </w:tblPrEx>
        <w:trPr>
          <w:trHeight w:val="560" w:hRule="atLeast"/>
          <w:tblHeader/>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2E9D232C">
            <w:pPr>
              <w:keepNext w:val="0"/>
              <w:keepLines w:val="0"/>
              <w:pageBreakBefore w:val="0"/>
              <w:kinsoku/>
              <w:wordWrap/>
              <w:overflowPunct/>
              <w:topLinePunct w:val="0"/>
              <w:bidi w:val="0"/>
              <w:snapToGrid/>
              <w:spacing w:line="336" w:lineRule="auto"/>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序号</w:t>
            </w:r>
          </w:p>
        </w:tc>
        <w:tc>
          <w:tcPr>
            <w:tcW w:w="2037" w:type="dxa"/>
            <w:tcBorders>
              <w:top w:val="single" w:color="auto" w:sz="4" w:space="0"/>
              <w:left w:val="single" w:color="auto" w:sz="4" w:space="0"/>
              <w:bottom w:val="single" w:color="auto" w:sz="4" w:space="0"/>
              <w:right w:val="single" w:color="auto" w:sz="4" w:space="0"/>
            </w:tcBorders>
            <w:noWrap/>
            <w:vAlign w:val="center"/>
          </w:tcPr>
          <w:p w14:paraId="1DEE41A2">
            <w:pPr>
              <w:keepNext w:val="0"/>
              <w:keepLines w:val="0"/>
              <w:pageBreakBefore w:val="0"/>
              <w:kinsoku/>
              <w:wordWrap/>
              <w:overflowPunct/>
              <w:topLinePunct w:val="0"/>
              <w:bidi w:val="0"/>
              <w:snapToGrid/>
              <w:spacing w:line="336" w:lineRule="auto"/>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条款名称</w:t>
            </w:r>
          </w:p>
        </w:tc>
        <w:tc>
          <w:tcPr>
            <w:tcW w:w="7419" w:type="dxa"/>
            <w:tcBorders>
              <w:top w:val="single" w:color="auto" w:sz="4" w:space="0"/>
              <w:left w:val="single" w:color="auto" w:sz="4" w:space="0"/>
              <w:bottom w:val="single" w:color="auto" w:sz="4" w:space="0"/>
              <w:right w:val="single" w:color="auto" w:sz="4" w:space="0"/>
            </w:tcBorders>
            <w:noWrap/>
            <w:vAlign w:val="center"/>
          </w:tcPr>
          <w:p w14:paraId="65C3730C">
            <w:pPr>
              <w:keepNext w:val="0"/>
              <w:keepLines w:val="0"/>
              <w:pageBreakBefore w:val="0"/>
              <w:kinsoku/>
              <w:wordWrap/>
              <w:overflowPunct/>
              <w:topLinePunct w:val="0"/>
              <w:bidi w:val="0"/>
              <w:snapToGrid/>
              <w:spacing w:line="336" w:lineRule="auto"/>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编列内容</w:t>
            </w:r>
          </w:p>
        </w:tc>
      </w:tr>
      <w:tr w14:paraId="796B5ABE">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2AB32B1D">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037" w:type="dxa"/>
            <w:tcBorders>
              <w:top w:val="single" w:color="auto" w:sz="4" w:space="0"/>
              <w:left w:val="single" w:color="auto" w:sz="4" w:space="0"/>
              <w:bottom w:val="single" w:color="auto" w:sz="4" w:space="0"/>
              <w:right w:val="single" w:color="auto" w:sz="4" w:space="0"/>
            </w:tcBorders>
            <w:noWrap/>
            <w:vAlign w:val="center"/>
          </w:tcPr>
          <w:p w14:paraId="6200DF72">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p>
        </w:tc>
        <w:tc>
          <w:tcPr>
            <w:tcW w:w="7419" w:type="dxa"/>
            <w:tcBorders>
              <w:top w:val="single" w:color="auto" w:sz="4" w:space="0"/>
              <w:left w:val="single" w:color="auto" w:sz="4" w:space="0"/>
              <w:bottom w:val="single" w:color="auto" w:sz="4" w:space="0"/>
              <w:right w:val="single" w:color="auto" w:sz="4" w:space="0"/>
            </w:tcBorders>
            <w:noWrap/>
            <w:vAlign w:val="center"/>
          </w:tcPr>
          <w:p w14:paraId="3C14CD53">
            <w:pPr>
              <w:keepNext w:val="0"/>
              <w:keepLines w:val="0"/>
              <w:pageBreakBefore w:val="0"/>
              <w:kinsoku/>
              <w:wordWrap/>
              <w:overflowPunct/>
              <w:topLinePunct w:val="0"/>
              <w:bidi w:val="0"/>
              <w:snapToGrid/>
              <w:spacing w:line="336" w:lineRule="auto"/>
              <w:rPr>
                <w:rFonts w:hint="default" w:ascii="宋体" w:hAnsi="宋体" w:eastAsia="宋体" w:cs="宋体"/>
                <w:bCs/>
                <w:color w:val="auto"/>
                <w:kern w:val="0"/>
                <w:sz w:val="22"/>
                <w:szCs w:val="22"/>
                <w:highlight w:val="none"/>
                <w:lang w:val="en-US" w:eastAsia="zh-CN"/>
              </w:rPr>
            </w:pPr>
            <w:r>
              <w:rPr>
                <w:rFonts w:hint="default" w:ascii="宋体" w:hAnsi="宋体" w:eastAsia="宋体" w:cs="宋体"/>
                <w:bCs/>
                <w:color w:val="auto"/>
                <w:kern w:val="0"/>
                <w:sz w:val="22"/>
                <w:szCs w:val="22"/>
                <w:highlight w:val="none"/>
                <w:lang w:val="en-US" w:eastAsia="zh-CN"/>
              </w:rPr>
              <w:t>采购人名称：温州市交通运输局</w:t>
            </w:r>
          </w:p>
          <w:p w14:paraId="733D5A61">
            <w:pPr>
              <w:keepNext w:val="0"/>
              <w:keepLines w:val="0"/>
              <w:pageBreakBefore w:val="0"/>
              <w:kinsoku/>
              <w:wordWrap/>
              <w:overflowPunct/>
              <w:topLinePunct w:val="0"/>
              <w:bidi w:val="0"/>
              <w:snapToGrid/>
              <w:spacing w:line="336" w:lineRule="auto"/>
              <w:rPr>
                <w:rFonts w:hint="default" w:ascii="宋体" w:hAnsi="宋体" w:eastAsia="宋体" w:cs="宋体"/>
                <w:bCs/>
                <w:color w:val="auto"/>
                <w:kern w:val="0"/>
                <w:sz w:val="22"/>
                <w:szCs w:val="22"/>
                <w:highlight w:val="none"/>
                <w:lang w:val="en-US" w:eastAsia="zh-CN"/>
              </w:rPr>
            </w:pPr>
            <w:r>
              <w:rPr>
                <w:rFonts w:hint="default" w:ascii="宋体" w:hAnsi="宋体" w:eastAsia="宋体" w:cs="宋体"/>
                <w:bCs/>
                <w:color w:val="auto"/>
                <w:kern w:val="0"/>
                <w:sz w:val="22"/>
                <w:szCs w:val="22"/>
                <w:highlight w:val="none"/>
                <w:lang w:val="en-US" w:eastAsia="zh-CN"/>
              </w:rPr>
              <w:t>联系地址：温州市龙湾区新三路16号高新大厦</w:t>
            </w:r>
          </w:p>
          <w:p w14:paraId="3DD33C69">
            <w:pPr>
              <w:keepNext w:val="0"/>
              <w:keepLines w:val="0"/>
              <w:pageBreakBefore w:val="0"/>
              <w:kinsoku/>
              <w:wordWrap/>
              <w:overflowPunct/>
              <w:topLinePunct w:val="0"/>
              <w:bidi w:val="0"/>
              <w:snapToGrid/>
              <w:spacing w:line="336" w:lineRule="auto"/>
              <w:rPr>
                <w:rFonts w:hint="default" w:ascii="宋体" w:hAnsi="宋体" w:eastAsia="宋体" w:cs="宋体"/>
                <w:bCs/>
                <w:color w:val="auto"/>
                <w:kern w:val="0"/>
                <w:sz w:val="22"/>
                <w:szCs w:val="22"/>
                <w:highlight w:val="none"/>
                <w:lang w:val="en-US" w:eastAsia="zh-CN"/>
              </w:rPr>
            </w:pPr>
            <w:r>
              <w:rPr>
                <w:rFonts w:hint="default" w:ascii="宋体" w:hAnsi="宋体" w:eastAsia="宋体" w:cs="宋体"/>
                <w:bCs/>
                <w:color w:val="auto"/>
                <w:kern w:val="0"/>
                <w:sz w:val="22"/>
                <w:szCs w:val="22"/>
                <w:highlight w:val="none"/>
                <w:lang w:val="en-US" w:eastAsia="zh-CN"/>
              </w:rPr>
              <w:t>项目联系人（询问）：程先生</w:t>
            </w:r>
          </w:p>
          <w:p w14:paraId="6A56572B">
            <w:pPr>
              <w:keepNext w:val="0"/>
              <w:keepLines w:val="0"/>
              <w:pageBreakBefore w:val="0"/>
              <w:kinsoku/>
              <w:wordWrap/>
              <w:overflowPunct/>
              <w:topLinePunct w:val="0"/>
              <w:bidi w:val="0"/>
              <w:snapToGrid/>
              <w:spacing w:line="336" w:lineRule="auto"/>
              <w:rPr>
                <w:rFonts w:hint="default" w:ascii="宋体" w:hAnsi="宋体" w:eastAsia="宋体" w:cs="宋体"/>
                <w:bCs/>
                <w:color w:val="auto"/>
                <w:kern w:val="0"/>
                <w:sz w:val="22"/>
                <w:szCs w:val="22"/>
                <w:highlight w:val="none"/>
                <w:lang w:val="en-US" w:eastAsia="zh-CN"/>
              </w:rPr>
            </w:pPr>
            <w:r>
              <w:rPr>
                <w:rFonts w:hint="default" w:ascii="宋体" w:hAnsi="宋体" w:eastAsia="宋体" w:cs="宋体"/>
                <w:bCs/>
                <w:color w:val="auto"/>
                <w:kern w:val="0"/>
                <w:sz w:val="22"/>
                <w:szCs w:val="22"/>
                <w:highlight w:val="none"/>
                <w:lang w:val="en-US" w:eastAsia="zh-CN"/>
              </w:rPr>
              <w:t>项目联系方式（询问）：0577-88869967</w:t>
            </w:r>
          </w:p>
          <w:p w14:paraId="4CD79406">
            <w:pPr>
              <w:keepNext w:val="0"/>
              <w:keepLines w:val="0"/>
              <w:pageBreakBefore w:val="0"/>
              <w:kinsoku/>
              <w:wordWrap/>
              <w:overflowPunct/>
              <w:topLinePunct w:val="0"/>
              <w:bidi w:val="0"/>
              <w:snapToGrid/>
              <w:spacing w:line="336" w:lineRule="auto"/>
              <w:rPr>
                <w:rFonts w:hint="default" w:ascii="宋体" w:hAnsi="宋体" w:eastAsia="宋体" w:cs="宋体"/>
                <w:bCs/>
                <w:color w:val="auto"/>
                <w:kern w:val="0"/>
                <w:sz w:val="22"/>
                <w:szCs w:val="22"/>
                <w:highlight w:val="none"/>
                <w:lang w:val="en-US" w:eastAsia="zh-CN"/>
              </w:rPr>
            </w:pPr>
            <w:r>
              <w:rPr>
                <w:rFonts w:hint="default" w:ascii="宋体" w:hAnsi="宋体" w:eastAsia="宋体" w:cs="宋体"/>
                <w:bCs/>
                <w:color w:val="auto"/>
                <w:kern w:val="0"/>
                <w:sz w:val="22"/>
                <w:szCs w:val="22"/>
                <w:highlight w:val="none"/>
                <w:lang w:val="en-US" w:eastAsia="zh-CN"/>
              </w:rPr>
              <w:t>质疑联系人：王先生</w:t>
            </w:r>
          </w:p>
          <w:p w14:paraId="7CBC6FAE">
            <w:pPr>
              <w:keepNext w:val="0"/>
              <w:keepLines w:val="0"/>
              <w:pageBreakBefore w:val="0"/>
              <w:kinsoku/>
              <w:wordWrap/>
              <w:overflowPunct/>
              <w:topLinePunct w:val="0"/>
              <w:bidi w:val="0"/>
              <w:snapToGrid/>
              <w:spacing w:line="336" w:lineRule="auto"/>
              <w:rPr>
                <w:rFonts w:hint="default" w:ascii="宋体" w:hAnsi="宋体" w:eastAsia="宋体" w:cs="宋体"/>
                <w:bCs/>
                <w:color w:val="auto"/>
                <w:kern w:val="0"/>
                <w:sz w:val="22"/>
                <w:szCs w:val="22"/>
                <w:highlight w:val="none"/>
                <w:lang w:val="en-US" w:eastAsia="zh-CN"/>
              </w:rPr>
            </w:pPr>
            <w:r>
              <w:rPr>
                <w:rFonts w:hint="default" w:ascii="宋体" w:hAnsi="宋体" w:eastAsia="宋体" w:cs="宋体"/>
                <w:bCs/>
                <w:color w:val="auto"/>
                <w:kern w:val="0"/>
                <w:sz w:val="22"/>
                <w:szCs w:val="22"/>
                <w:highlight w:val="none"/>
                <w:lang w:val="en-US" w:eastAsia="zh-CN"/>
              </w:rPr>
              <w:t>质疑联系方式：0577-88917192</w:t>
            </w:r>
          </w:p>
        </w:tc>
      </w:tr>
      <w:tr w14:paraId="164E242F">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7F9CD6DB">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037" w:type="dxa"/>
            <w:tcBorders>
              <w:top w:val="single" w:color="auto" w:sz="4" w:space="0"/>
              <w:left w:val="single" w:color="auto" w:sz="4" w:space="0"/>
              <w:bottom w:val="single" w:color="auto" w:sz="4" w:space="0"/>
              <w:right w:val="single" w:color="auto" w:sz="4" w:space="0"/>
            </w:tcBorders>
            <w:noWrap/>
            <w:vAlign w:val="center"/>
          </w:tcPr>
          <w:p w14:paraId="1B3A8C35">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采购代理机构</w:t>
            </w:r>
          </w:p>
        </w:tc>
        <w:tc>
          <w:tcPr>
            <w:tcW w:w="7419" w:type="dxa"/>
            <w:tcBorders>
              <w:top w:val="single" w:color="auto" w:sz="4" w:space="0"/>
              <w:left w:val="single" w:color="auto" w:sz="4" w:space="0"/>
              <w:bottom w:val="single" w:color="auto" w:sz="4" w:space="0"/>
              <w:right w:val="single" w:color="auto" w:sz="4" w:space="0"/>
            </w:tcBorders>
            <w:noWrap/>
            <w:vAlign w:val="center"/>
          </w:tcPr>
          <w:p w14:paraId="3C925E18">
            <w:pPr>
              <w:keepNext w:val="0"/>
              <w:keepLines w:val="0"/>
              <w:pageBreakBefore w:val="0"/>
              <w:kinsoku/>
              <w:wordWrap/>
              <w:overflowPunct/>
              <w:topLinePunct w:val="0"/>
              <w:bidi w:val="0"/>
              <w:snapToGrid/>
              <w:spacing w:line="336" w:lineRule="auto"/>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rPr>
              <w:t>采购代理机构名称：</w:t>
            </w:r>
            <w:r>
              <w:rPr>
                <w:rFonts w:hint="eastAsia" w:ascii="宋体" w:hAnsi="宋体" w:cs="宋体"/>
                <w:bCs/>
                <w:color w:val="auto"/>
                <w:kern w:val="0"/>
                <w:sz w:val="22"/>
                <w:szCs w:val="22"/>
                <w:highlight w:val="none"/>
                <w:lang w:eastAsia="zh-CN"/>
              </w:rPr>
              <w:t>温州元信工程项目管理有限公司</w:t>
            </w:r>
          </w:p>
          <w:p w14:paraId="3F0B4EAD">
            <w:pPr>
              <w:keepNext w:val="0"/>
              <w:keepLines w:val="0"/>
              <w:pageBreakBefore w:val="0"/>
              <w:kinsoku/>
              <w:wordWrap/>
              <w:overflowPunct/>
              <w:topLinePunct w:val="0"/>
              <w:bidi w:val="0"/>
              <w:snapToGrid/>
              <w:spacing w:line="336" w:lineRule="auto"/>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rPr>
              <w:t>地 址：</w:t>
            </w:r>
            <w:r>
              <w:rPr>
                <w:rFonts w:hint="eastAsia" w:ascii="宋体" w:hAnsi="宋体" w:cs="宋体"/>
                <w:bCs/>
                <w:color w:val="auto"/>
                <w:kern w:val="0"/>
                <w:sz w:val="22"/>
                <w:szCs w:val="22"/>
                <w:highlight w:val="none"/>
                <w:lang w:eastAsia="zh-CN"/>
              </w:rPr>
              <w:t>温州市瓯海区兴海路1号联众大厦5楼</w:t>
            </w:r>
          </w:p>
          <w:p w14:paraId="0AA3CB50">
            <w:pPr>
              <w:keepNext w:val="0"/>
              <w:keepLines w:val="0"/>
              <w:pageBreakBefore w:val="0"/>
              <w:kinsoku/>
              <w:wordWrap/>
              <w:overflowPunct/>
              <w:topLinePunct w:val="0"/>
              <w:bidi w:val="0"/>
              <w:snapToGrid/>
              <w:spacing w:line="336" w:lineRule="auto"/>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项目</w:t>
            </w:r>
            <w:r>
              <w:rPr>
                <w:rFonts w:hint="eastAsia" w:ascii="宋体" w:hAnsi="宋体" w:eastAsia="宋体" w:cs="宋体"/>
                <w:bCs/>
                <w:color w:val="auto"/>
                <w:kern w:val="0"/>
                <w:sz w:val="22"/>
                <w:szCs w:val="22"/>
                <w:highlight w:val="none"/>
              </w:rPr>
              <w:t>联系人</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询问</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lang w:val="en-US" w:eastAsia="zh-CN"/>
              </w:rPr>
              <w:t>陈先生、吴先生</w:t>
            </w:r>
          </w:p>
          <w:p w14:paraId="4E1E7078">
            <w:pPr>
              <w:keepNext w:val="0"/>
              <w:keepLines w:val="0"/>
              <w:pageBreakBefore w:val="0"/>
              <w:kinsoku/>
              <w:wordWrap/>
              <w:overflowPunct/>
              <w:topLinePunct w:val="0"/>
              <w:bidi w:val="0"/>
              <w:snapToGrid/>
              <w:spacing w:line="336" w:lineRule="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项目联系方式（询问）</w:t>
            </w:r>
            <w:r>
              <w:rPr>
                <w:rFonts w:hint="eastAsia" w:ascii="宋体" w:hAnsi="宋体" w:eastAsia="宋体" w:cs="宋体"/>
                <w:bCs/>
                <w:color w:val="auto"/>
                <w:kern w:val="0"/>
                <w:sz w:val="22"/>
                <w:szCs w:val="22"/>
                <w:highlight w:val="none"/>
              </w:rPr>
              <w:t>：18367896522、13385770450</w:t>
            </w:r>
          </w:p>
          <w:p w14:paraId="589EBEF7">
            <w:pPr>
              <w:keepNext w:val="0"/>
              <w:keepLines w:val="0"/>
              <w:pageBreakBefore w:val="0"/>
              <w:kinsoku/>
              <w:wordWrap/>
              <w:overflowPunct/>
              <w:topLinePunct w:val="0"/>
              <w:bidi w:val="0"/>
              <w:snapToGrid/>
              <w:spacing w:line="336" w:lineRule="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质疑联系人：</w:t>
            </w:r>
            <w:r>
              <w:rPr>
                <w:rFonts w:hint="eastAsia" w:ascii="宋体" w:hAnsi="宋体" w:eastAsia="宋体" w:cs="宋体"/>
                <w:bCs/>
                <w:color w:val="auto"/>
                <w:kern w:val="0"/>
                <w:sz w:val="22"/>
                <w:szCs w:val="22"/>
                <w:highlight w:val="none"/>
                <w:lang w:val="en-US" w:eastAsia="zh-CN"/>
              </w:rPr>
              <w:t>胡先生</w:t>
            </w:r>
            <w:r>
              <w:rPr>
                <w:rFonts w:hint="eastAsia" w:ascii="宋体" w:hAnsi="宋体" w:eastAsia="宋体" w:cs="宋体"/>
                <w:bCs/>
                <w:color w:val="auto"/>
                <w:kern w:val="0"/>
                <w:sz w:val="22"/>
                <w:szCs w:val="22"/>
                <w:highlight w:val="none"/>
              </w:rPr>
              <w:t xml:space="preserve">             </w:t>
            </w:r>
          </w:p>
          <w:p w14:paraId="7D998F3C">
            <w:pPr>
              <w:keepNext w:val="0"/>
              <w:keepLines w:val="0"/>
              <w:pageBreakBefore w:val="0"/>
              <w:kinsoku/>
              <w:wordWrap/>
              <w:overflowPunct/>
              <w:topLinePunct w:val="0"/>
              <w:bidi w:val="0"/>
              <w:snapToGrid/>
              <w:spacing w:line="336" w:lineRule="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 xml:space="preserve">质疑联系方式：15858758581 </w:t>
            </w:r>
          </w:p>
        </w:tc>
      </w:tr>
      <w:tr w14:paraId="1400695C">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4139F8FB">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037" w:type="dxa"/>
            <w:tcBorders>
              <w:top w:val="single" w:color="auto" w:sz="4" w:space="0"/>
              <w:left w:val="single" w:color="auto" w:sz="4" w:space="0"/>
              <w:bottom w:val="single" w:color="auto" w:sz="4" w:space="0"/>
              <w:right w:val="single" w:color="auto" w:sz="4" w:space="0"/>
            </w:tcBorders>
            <w:noWrap/>
            <w:vAlign w:val="center"/>
          </w:tcPr>
          <w:p w14:paraId="14ECE3CE">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项目名称及编号</w:t>
            </w:r>
          </w:p>
        </w:tc>
        <w:tc>
          <w:tcPr>
            <w:tcW w:w="7419" w:type="dxa"/>
            <w:tcBorders>
              <w:top w:val="single" w:color="auto" w:sz="4" w:space="0"/>
              <w:left w:val="single" w:color="auto" w:sz="4" w:space="0"/>
              <w:bottom w:val="single" w:color="auto" w:sz="4" w:space="0"/>
              <w:right w:val="single" w:color="auto" w:sz="4" w:space="0"/>
            </w:tcBorders>
            <w:noWrap/>
            <w:vAlign w:val="center"/>
          </w:tcPr>
          <w:p w14:paraId="45394058">
            <w:pPr>
              <w:keepNext w:val="0"/>
              <w:keepLines w:val="0"/>
              <w:pageBreakBefore w:val="0"/>
              <w:kinsoku/>
              <w:wordWrap/>
              <w:overflowPunct/>
              <w:topLinePunct w:val="0"/>
              <w:bidi w:val="0"/>
              <w:snapToGrid/>
              <w:spacing w:line="336" w:lineRule="auto"/>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rPr>
              <w:t>项目名称：</w:t>
            </w:r>
            <w:r>
              <w:rPr>
                <w:rFonts w:hint="eastAsia" w:ascii="宋体" w:hAnsi="宋体" w:eastAsia="宋体" w:cs="宋体"/>
                <w:bCs/>
                <w:color w:val="auto"/>
                <w:kern w:val="0"/>
                <w:sz w:val="22"/>
                <w:szCs w:val="22"/>
                <w:highlight w:val="none"/>
                <w:lang w:eastAsia="zh-CN"/>
              </w:rPr>
              <w:t>交通基础设施硬件及业务系统运维</w:t>
            </w:r>
          </w:p>
          <w:p w14:paraId="4EC25568">
            <w:pPr>
              <w:keepNext w:val="0"/>
              <w:keepLines w:val="0"/>
              <w:pageBreakBefore w:val="0"/>
              <w:kinsoku/>
              <w:wordWrap/>
              <w:overflowPunct/>
              <w:topLinePunct w:val="0"/>
              <w:bidi w:val="0"/>
              <w:snapToGrid/>
              <w:spacing w:line="336" w:lineRule="auto"/>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rPr>
              <w:t>项目编号：</w:t>
            </w:r>
            <w:r>
              <w:rPr>
                <w:rFonts w:hint="eastAsia" w:ascii="宋体" w:hAnsi="宋体" w:cs="宋体"/>
                <w:bCs/>
                <w:color w:val="auto"/>
                <w:kern w:val="0"/>
                <w:sz w:val="22"/>
                <w:szCs w:val="22"/>
                <w:highlight w:val="none"/>
                <w:lang w:eastAsia="zh-CN"/>
              </w:rPr>
              <w:t>330300261740010000003-WZYX-X2026011602</w:t>
            </w:r>
          </w:p>
        </w:tc>
      </w:tr>
      <w:tr w14:paraId="69C1565A">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2D0EE862">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2037" w:type="dxa"/>
            <w:tcBorders>
              <w:top w:val="single" w:color="auto" w:sz="4" w:space="0"/>
              <w:left w:val="single" w:color="auto" w:sz="4" w:space="0"/>
              <w:bottom w:val="single" w:color="auto" w:sz="4" w:space="0"/>
              <w:right w:val="single" w:color="auto" w:sz="4" w:space="0"/>
            </w:tcBorders>
            <w:noWrap/>
            <w:vAlign w:val="center"/>
          </w:tcPr>
          <w:p w14:paraId="5E3BA785">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采购内容</w:t>
            </w:r>
            <w:r>
              <w:rPr>
                <w:rFonts w:hint="eastAsia" w:ascii="宋体" w:hAnsi="宋体" w:eastAsia="宋体" w:cs="宋体"/>
                <w:color w:val="auto"/>
                <w:kern w:val="0"/>
                <w:sz w:val="22"/>
                <w:szCs w:val="22"/>
                <w:highlight w:val="none"/>
                <w:lang w:val="en-US" w:eastAsia="zh-CN"/>
              </w:rPr>
              <w:t>及预算</w:t>
            </w:r>
          </w:p>
        </w:tc>
        <w:tc>
          <w:tcPr>
            <w:tcW w:w="7419" w:type="dxa"/>
            <w:tcBorders>
              <w:top w:val="single" w:color="auto" w:sz="4" w:space="0"/>
              <w:left w:val="single" w:color="auto" w:sz="4" w:space="0"/>
              <w:bottom w:val="single" w:color="auto" w:sz="4" w:space="0"/>
              <w:right w:val="single" w:color="auto" w:sz="4" w:space="0"/>
            </w:tcBorders>
            <w:noWrap/>
            <w:vAlign w:val="center"/>
          </w:tcPr>
          <w:p w14:paraId="0F124E4D">
            <w:pPr>
              <w:keepNext w:val="0"/>
              <w:keepLines w:val="0"/>
              <w:pageBreakBefore w:val="0"/>
              <w:widowControl/>
              <w:kinsoku/>
              <w:wordWrap/>
              <w:overflowPunct/>
              <w:topLinePunct w:val="0"/>
              <w:bidi w:val="0"/>
              <w:snapToGrid/>
              <w:spacing w:line="336" w:lineRule="auto"/>
              <w:ind w:right="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温州市交通运输局</w:t>
            </w:r>
            <w:r>
              <w:rPr>
                <w:rFonts w:hint="eastAsia" w:ascii="宋体" w:hAnsi="宋体" w:eastAsia="宋体" w:cs="宋体"/>
                <w:color w:val="auto"/>
                <w:sz w:val="22"/>
                <w:szCs w:val="22"/>
                <w:highlight w:val="none"/>
                <w:lang w:eastAsia="zh-CN"/>
              </w:rPr>
              <w:t>交通基础设施硬件及业务系统运维</w:t>
            </w:r>
            <w:r>
              <w:rPr>
                <w:rFonts w:hint="eastAsia" w:ascii="宋体" w:hAnsi="宋体" w:eastAsia="宋体" w:cs="宋体"/>
                <w:color w:val="auto"/>
                <w:sz w:val="22"/>
                <w:szCs w:val="22"/>
                <w:highlight w:val="none"/>
              </w:rPr>
              <w:t>服务，详见采购文件相关部分。</w:t>
            </w:r>
          </w:p>
          <w:p w14:paraId="2D420C20">
            <w:pPr>
              <w:keepNext w:val="0"/>
              <w:keepLines w:val="0"/>
              <w:pageBreakBefore w:val="0"/>
              <w:widowControl/>
              <w:kinsoku/>
              <w:wordWrap/>
              <w:overflowPunct/>
              <w:topLinePunct w:val="0"/>
              <w:bidi w:val="0"/>
              <w:snapToGrid/>
              <w:spacing w:line="336" w:lineRule="auto"/>
              <w:ind w:right="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项目采购预算：</w:t>
            </w:r>
            <w:r>
              <w:rPr>
                <w:rFonts w:hint="eastAsia" w:ascii="宋体" w:hAnsi="宋体" w:cs="宋体"/>
                <w:color w:val="auto"/>
                <w:sz w:val="22"/>
                <w:szCs w:val="22"/>
                <w:highlight w:val="none"/>
                <w:lang w:val="en-US" w:eastAsia="zh-CN"/>
              </w:rPr>
              <w:t>344.84</w:t>
            </w:r>
            <w:r>
              <w:rPr>
                <w:rFonts w:hint="eastAsia" w:ascii="宋体" w:hAnsi="宋体" w:eastAsia="宋体" w:cs="宋体"/>
                <w:color w:val="auto"/>
                <w:sz w:val="22"/>
                <w:szCs w:val="22"/>
                <w:highlight w:val="none"/>
              </w:rPr>
              <w:t>万元</w:t>
            </w:r>
            <w:r>
              <w:rPr>
                <w:rFonts w:hint="eastAsia" w:ascii="宋体" w:hAnsi="宋体" w:eastAsia="宋体" w:cs="宋体"/>
                <w:color w:val="auto"/>
                <w:sz w:val="22"/>
                <w:szCs w:val="22"/>
                <w:highlight w:val="none"/>
              </w:rPr>
              <w:t>。</w:t>
            </w:r>
          </w:p>
        </w:tc>
      </w:tr>
      <w:tr w14:paraId="750D64F2">
        <w:tblPrEx>
          <w:tblCellMar>
            <w:top w:w="0" w:type="dxa"/>
            <w:left w:w="108" w:type="dxa"/>
            <w:bottom w:w="0" w:type="dxa"/>
            <w:right w:w="108" w:type="dxa"/>
          </w:tblCellMar>
        </w:tblPrEx>
        <w:trPr>
          <w:trHeight w:val="629"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4CAE768D">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2037" w:type="dxa"/>
            <w:tcBorders>
              <w:top w:val="single" w:color="auto" w:sz="4" w:space="0"/>
              <w:left w:val="single" w:color="auto" w:sz="4" w:space="0"/>
              <w:bottom w:val="single" w:color="auto" w:sz="4" w:space="0"/>
              <w:right w:val="single" w:color="auto" w:sz="4" w:space="0"/>
            </w:tcBorders>
            <w:noWrap/>
            <w:vAlign w:val="center"/>
          </w:tcPr>
          <w:p w14:paraId="219485A0">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项目服务期</w:t>
            </w:r>
          </w:p>
        </w:tc>
        <w:tc>
          <w:tcPr>
            <w:tcW w:w="7419" w:type="dxa"/>
            <w:tcBorders>
              <w:top w:val="single" w:color="auto" w:sz="4" w:space="0"/>
              <w:left w:val="single" w:color="auto" w:sz="4" w:space="0"/>
              <w:bottom w:val="single" w:color="auto" w:sz="4" w:space="0"/>
              <w:right w:val="single" w:color="auto" w:sz="4" w:space="0"/>
            </w:tcBorders>
            <w:noWrap/>
            <w:vAlign w:val="center"/>
          </w:tcPr>
          <w:p w14:paraId="5CB4CD90">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一年</w:t>
            </w:r>
            <w:r>
              <w:rPr>
                <w:rFonts w:hint="eastAsia" w:ascii="宋体" w:hAnsi="宋体" w:cs="宋体"/>
                <w:color w:val="auto"/>
                <w:kern w:val="0"/>
                <w:sz w:val="22"/>
                <w:szCs w:val="22"/>
                <w:highlight w:val="none"/>
                <w:lang w:val="en-US" w:eastAsia="zh-CN"/>
              </w:rPr>
              <w:t>（不同子项目具体起止时间以采购需求为准）</w:t>
            </w:r>
            <w:r>
              <w:rPr>
                <w:rFonts w:hint="eastAsia" w:ascii="宋体" w:hAnsi="宋体" w:eastAsia="宋体" w:cs="宋体"/>
                <w:color w:val="auto"/>
                <w:kern w:val="0"/>
                <w:sz w:val="22"/>
                <w:szCs w:val="22"/>
                <w:highlight w:val="none"/>
              </w:rPr>
              <w:t>。</w:t>
            </w:r>
          </w:p>
        </w:tc>
      </w:tr>
      <w:tr w14:paraId="6C6978B0">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7A7DC614">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2037" w:type="dxa"/>
            <w:tcBorders>
              <w:top w:val="single" w:color="auto" w:sz="4" w:space="0"/>
              <w:left w:val="single" w:color="auto" w:sz="4" w:space="0"/>
              <w:bottom w:val="single" w:color="auto" w:sz="4" w:space="0"/>
              <w:right w:val="single" w:color="auto" w:sz="4" w:space="0"/>
            </w:tcBorders>
            <w:noWrap/>
            <w:vAlign w:val="center"/>
          </w:tcPr>
          <w:p w14:paraId="6C2B87E6">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投标人资格要求</w:t>
            </w:r>
          </w:p>
        </w:tc>
        <w:tc>
          <w:tcPr>
            <w:tcW w:w="7419" w:type="dxa"/>
            <w:tcBorders>
              <w:top w:val="single" w:color="auto" w:sz="4" w:space="0"/>
              <w:left w:val="single" w:color="auto" w:sz="4" w:space="0"/>
              <w:bottom w:val="single" w:color="auto" w:sz="4" w:space="0"/>
              <w:right w:val="single" w:color="auto" w:sz="4" w:space="0"/>
            </w:tcBorders>
            <w:noWrap/>
            <w:vAlign w:val="center"/>
          </w:tcPr>
          <w:p w14:paraId="023AF6F5">
            <w:pPr>
              <w:keepNext w:val="0"/>
              <w:keepLines w:val="0"/>
              <w:pageBreakBefore w:val="0"/>
              <w:widowControl/>
              <w:kinsoku/>
              <w:wordWrap/>
              <w:overflowPunct/>
              <w:topLinePunct w:val="0"/>
              <w:bidi w:val="0"/>
              <w:snapToGrid/>
              <w:spacing w:line="336"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1.一般资格条件：</w:t>
            </w:r>
          </w:p>
          <w:p w14:paraId="7C4373A7">
            <w:pPr>
              <w:keepNext w:val="0"/>
              <w:keepLines w:val="0"/>
              <w:pageBreakBefore w:val="0"/>
              <w:widowControl/>
              <w:kinsoku/>
              <w:wordWrap/>
              <w:overflowPunct/>
              <w:topLinePunct w:val="0"/>
              <w:bidi w:val="0"/>
              <w:snapToGrid/>
              <w:spacing w:line="336"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035BC64A">
            <w:pPr>
              <w:keepNext w:val="0"/>
              <w:keepLines w:val="0"/>
              <w:pageBreakBefore w:val="0"/>
              <w:widowControl/>
              <w:kinsoku/>
              <w:wordWrap/>
              <w:overflowPunct/>
              <w:topLinePunct w:val="0"/>
              <w:bidi w:val="0"/>
              <w:snapToGrid/>
              <w:spacing w:line="336"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（2）供应商未被列入失信被执行人名单、重大税收违法案件当事人名单、政府采购严重违法失信行为记录名单，信用信息以信用中国网站（www.creditchina.gov.cn）、中国政府采购网（www.ccgp.gov.cn）公布为准。</w:t>
            </w:r>
          </w:p>
          <w:p w14:paraId="478F8A75">
            <w:pPr>
              <w:keepNext w:val="0"/>
              <w:keepLines w:val="0"/>
              <w:pageBreakBefore w:val="0"/>
              <w:kinsoku/>
              <w:wordWrap/>
              <w:overflowPunct/>
              <w:topLinePunct w:val="0"/>
              <w:bidi w:val="0"/>
              <w:snapToGrid/>
              <w:spacing w:line="336"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zh-CN"/>
              </w:rPr>
              <w:t>2.</w:t>
            </w:r>
            <w:r>
              <w:rPr>
                <w:rFonts w:hint="eastAsia" w:ascii="宋体" w:hAnsi="宋体" w:eastAsia="宋体" w:cs="宋体"/>
                <w:color w:val="auto"/>
                <w:sz w:val="22"/>
                <w:szCs w:val="22"/>
                <w:highlight w:val="none"/>
              </w:rPr>
              <w:t>落实政府采购政策需满足的资格要求</w:t>
            </w:r>
            <w:r>
              <w:rPr>
                <w:rFonts w:hint="eastAsia" w:ascii="宋体" w:hAnsi="宋体" w:eastAsia="宋体" w:cs="宋体"/>
                <w:color w:val="auto"/>
                <w:sz w:val="22"/>
                <w:szCs w:val="22"/>
                <w:highlight w:val="none"/>
                <w:lang w:eastAsia="zh-CN"/>
              </w:rPr>
              <w:t>：</w:t>
            </w:r>
          </w:p>
          <w:p w14:paraId="19230EA6">
            <w:pPr>
              <w:pStyle w:val="15"/>
              <w:keepNext w:val="0"/>
              <w:keepLines w:val="0"/>
              <w:pageBreakBefore w:val="0"/>
              <w:kinsoku/>
              <w:wordWrap/>
              <w:overflowPunct/>
              <w:topLinePunct w:val="0"/>
              <w:bidi w:val="0"/>
              <w:snapToGrid/>
              <w:spacing w:line="336" w:lineRule="auto"/>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要求</w:t>
            </w:r>
            <w:r>
              <w:rPr>
                <w:rFonts w:hint="eastAsia" w:ascii="宋体" w:hAnsi="宋体" w:eastAsia="宋体" w:cs="宋体"/>
                <w:color w:val="auto"/>
                <w:sz w:val="22"/>
                <w:szCs w:val="22"/>
                <w:highlight w:val="none"/>
                <w:lang w:val="en-US" w:eastAsia="zh-CN"/>
              </w:rPr>
              <w:t>小微</w:t>
            </w:r>
            <w:r>
              <w:rPr>
                <w:rFonts w:hint="eastAsia" w:ascii="宋体" w:hAnsi="宋体" w:eastAsia="宋体" w:cs="宋体"/>
                <w:color w:val="auto"/>
                <w:sz w:val="22"/>
                <w:szCs w:val="22"/>
                <w:highlight w:val="none"/>
                <w:lang w:eastAsia="zh-CN"/>
              </w:rPr>
              <w:t>企业合同金额应当达到</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u w:val="single"/>
                <w:lang w:val="en-US" w:eastAsia="zh-CN"/>
              </w:rPr>
              <w:t>4</w:t>
            </w:r>
            <w:r>
              <w:rPr>
                <w:rFonts w:hint="eastAsia" w:ascii="宋体" w:hAnsi="宋体" w:cs="宋体"/>
                <w:color w:val="auto"/>
                <w:sz w:val="22"/>
                <w:szCs w:val="22"/>
                <w:highlight w:val="none"/>
                <w:u w:val="single"/>
                <w:lang w:val="en-US" w:eastAsia="zh-CN"/>
              </w:rPr>
              <w:t>1</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CN"/>
              </w:rPr>
              <w:t xml:space="preserve">，允许供应商通过以下方式实现： </w:t>
            </w:r>
          </w:p>
          <w:p w14:paraId="550473F5">
            <w:pPr>
              <w:pStyle w:val="15"/>
              <w:keepNext w:val="0"/>
              <w:keepLines w:val="0"/>
              <w:pageBreakBefore w:val="0"/>
              <w:kinsoku/>
              <w:wordWrap/>
              <w:overflowPunct/>
              <w:topLinePunct w:val="0"/>
              <w:bidi w:val="0"/>
              <w:snapToGrid/>
              <w:spacing w:line="336" w:lineRule="auto"/>
              <w:rPr>
                <w:rFonts w:hint="eastAsia" w:ascii="宋体" w:hAnsi="宋体" w:eastAsia="宋体" w:cs="宋体"/>
                <w:color w:val="auto"/>
                <w:sz w:val="22"/>
                <w:szCs w:val="22"/>
                <w:highlight w:val="none"/>
                <w:lang w:eastAsia="zh-CN"/>
              </w:rPr>
            </w:pPr>
            <w:r>
              <w:rPr>
                <w:rFonts w:hint="eastAsia" w:ascii="宋体" w:hAnsi="宋体" w:eastAsia="宋体" w:cs="宋体"/>
                <w:b/>
                <w:snapToGrid w:val="0"/>
                <w:color w:val="auto"/>
                <w:sz w:val="22"/>
                <w:szCs w:val="22"/>
                <w:highlight w:val="none"/>
              </w:rPr>
              <w:sym w:font="Wingdings" w:char="F0FE"/>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）联合体形式参加，提供联合协议和中小企业声明函;如果供应商本身提供所有标的均由</w:t>
            </w:r>
            <w:r>
              <w:rPr>
                <w:rFonts w:hint="eastAsia" w:ascii="宋体" w:hAnsi="宋体" w:eastAsia="宋体" w:cs="宋体"/>
                <w:color w:val="auto"/>
                <w:sz w:val="22"/>
                <w:szCs w:val="22"/>
                <w:highlight w:val="none"/>
                <w:lang w:val="en-US" w:eastAsia="zh-CN"/>
              </w:rPr>
              <w:t>小微企业</w:t>
            </w:r>
            <w:r>
              <w:rPr>
                <w:rFonts w:hint="eastAsia" w:ascii="宋体" w:hAnsi="宋体" w:eastAsia="宋体" w:cs="宋体"/>
                <w:color w:val="auto"/>
                <w:sz w:val="22"/>
                <w:szCs w:val="22"/>
                <w:highlight w:val="none"/>
                <w:lang w:eastAsia="zh-CN"/>
              </w:rPr>
              <w:t>承接，并相应达到了前述比例要求，视同符合了资格条件，无需再与其他</w:t>
            </w:r>
            <w:r>
              <w:rPr>
                <w:rFonts w:hint="eastAsia" w:ascii="宋体" w:hAnsi="宋体" w:eastAsia="宋体" w:cs="宋体"/>
                <w:color w:val="auto"/>
                <w:sz w:val="22"/>
                <w:szCs w:val="22"/>
                <w:highlight w:val="none"/>
                <w:lang w:val="en-US" w:eastAsia="zh-CN"/>
              </w:rPr>
              <w:t>小微</w:t>
            </w:r>
            <w:r>
              <w:rPr>
                <w:rFonts w:hint="eastAsia" w:ascii="宋体" w:hAnsi="宋体" w:eastAsia="宋体" w:cs="宋体"/>
                <w:color w:val="auto"/>
                <w:sz w:val="22"/>
                <w:szCs w:val="22"/>
                <w:highlight w:val="none"/>
                <w:lang w:eastAsia="zh-CN"/>
              </w:rPr>
              <w:t>企业组成联合体参加政府采购活动，无需提供联合协议；</w:t>
            </w:r>
          </w:p>
          <w:p w14:paraId="606D8023">
            <w:pPr>
              <w:pStyle w:val="15"/>
              <w:keepNext w:val="0"/>
              <w:keepLines w:val="0"/>
              <w:pageBreakBefore w:val="0"/>
              <w:kinsoku/>
              <w:wordWrap/>
              <w:overflowPunct/>
              <w:topLinePunct w:val="0"/>
              <w:bidi w:val="0"/>
              <w:snapToGrid/>
              <w:spacing w:line="336" w:lineRule="auto"/>
              <w:rPr>
                <w:rFonts w:hint="eastAsia" w:ascii="宋体" w:hAnsi="宋体" w:eastAsia="宋体" w:cs="宋体"/>
                <w:color w:val="auto"/>
                <w:sz w:val="22"/>
                <w:szCs w:val="22"/>
                <w:highlight w:val="none"/>
                <w:lang w:eastAsia="zh-CN"/>
              </w:rPr>
            </w:pPr>
            <w:r>
              <w:rPr>
                <w:rFonts w:hint="eastAsia" w:ascii="宋体" w:hAnsi="宋体" w:eastAsia="宋体" w:cs="宋体"/>
                <w:b/>
                <w:snapToGrid w:val="0"/>
                <w:color w:val="auto"/>
                <w:sz w:val="22"/>
                <w:szCs w:val="22"/>
                <w:highlight w:val="none"/>
              </w:rPr>
              <w:sym w:font="Wingdings" w:char="F0FE"/>
            </w:r>
            <w:r>
              <w:rPr>
                <w:rFonts w:hint="eastAsia" w:ascii="宋体" w:hAnsi="宋体" w:eastAsia="宋体" w:cs="宋体"/>
                <w:b/>
                <w:snapToGrid w:val="0"/>
                <w:color w:val="auto"/>
                <w:sz w:val="22"/>
                <w:szCs w:val="22"/>
                <w:highlight w:val="none"/>
                <w:lang w:eastAsia="zh-CN"/>
              </w:rPr>
              <w:t>（</w:t>
            </w:r>
            <w:r>
              <w:rPr>
                <w:rFonts w:hint="eastAsia" w:ascii="宋体" w:hAnsi="宋体" w:eastAsia="宋体" w:cs="宋体"/>
                <w:b/>
                <w:snapToGrid w:val="0"/>
                <w:color w:val="auto"/>
                <w:sz w:val="22"/>
                <w:szCs w:val="22"/>
                <w:highlight w:val="none"/>
                <w:lang w:val="en-US" w:eastAsia="zh-CN"/>
              </w:rPr>
              <w:t>2</w:t>
            </w:r>
            <w:r>
              <w:rPr>
                <w:rFonts w:hint="eastAsia" w:ascii="宋体" w:hAnsi="宋体" w:eastAsia="宋体" w:cs="宋体"/>
                <w:b/>
                <w:snapToGrid w:val="0"/>
                <w:color w:val="auto"/>
                <w:sz w:val="22"/>
                <w:szCs w:val="22"/>
                <w:highlight w:val="none"/>
                <w:lang w:eastAsia="zh-CN"/>
              </w:rPr>
              <w:t>）</w:t>
            </w:r>
            <w:r>
              <w:rPr>
                <w:rFonts w:hint="eastAsia" w:ascii="宋体" w:hAnsi="宋体" w:eastAsia="宋体" w:cs="宋体"/>
                <w:color w:val="auto"/>
                <w:sz w:val="22"/>
                <w:szCs w:val="22"/>
                <w:highlight w:val="none"/>
                <w:lang w:eastAsia="zh-CN"/>
              </w:rPr>
              <w:t>合同分包</w:t>
            </w:r>
            <w:r>
              <w:rPr>
                <w:rFonts w:hint="eastAsia" w:ascii="宋体" w:hAnsi="宋体" w:eastAsia="宋体" w:cs="宋体"/>
                <w:color w:val="auto"/>
                <w:sz w:val="22"/>
                <w:szCs w:val="22"/>
                <w:highlight w:val="none"/>
                <w:lang w:val="en-US" w:eastAsia="zh-CN"/>
              </w:rPr>
              <w:t>形式</w:t>
            </w:r>
            <w:r>
              <w:rPr>
                <w:rFonts w:hint="eastAsia" w:ascii="宋体" w:hAnsi="宋体" w:eastAsia="宋体" w:cs="宋体"/>
                <w:color w:val="auto"/>
                <w:sz w:val="22"/>
                <w:szCs w:val="22"/>
                <w:highlight w:val="none"/>
                <w:lang w:eastAsia="zh-CN"/>
              </w:rPr>
              <w:t>，提供分包意向协议和中小企业声明函，如果供应商本身提供所有标的均由</w:t>
            </w:r>
            <w:r>
              <w:rPr>
                <w:rFonts w:hint="eastAsia" w:ascii="宋体" w:hAnsi="宋体" w:eastAsia="宋体" w:cs="宋体"/>
                <w:color w:val="auto"/>
                <w:sz w:val="22"/>
                <w:szCs w:val="22"/>
                <w:highlight w:val="none"/>
                <w:lang w:val="en-US" w:eastAsia="zh-CN"/>
              </w:rPr>
              <w:t>小微</w:t>
            </w:r>
            <w:r>
              <w:rPr>
                <w:rFonts w:hint="eastAsia" w:ascii="宋体" w:hAnsi="宋体" w:eastAsia="宋体" w:cs="宋体"/>
                <w:color w:val="auto"/>
                <w:sz w:val="22"/>
                <w:szCs w:val="22"/>
                <w:highlight w:val="none"/>
                <w:lang w:eastAsia="zh-CN"/>
              </w:rPr>
              <w:t>企业承接，并相应达到了前述比例要求，视同符合了资格条件，无需再向</w:t>
            </w:r>
            <w:r>
              <w:rPr>
                <w:rFonts w:hint="eastAsia" w:ascii="宋体" w:hAnsi="宋体" w:eastAsia="宋体" w:cs="宋体"/>
                <w:color w:val="auto"/>
                <w:sz w:val="22"/>
                <w:szCs w:val="22"/>
                <w:highlight w:val="none"/>
                <w:lang w:val="en-US" w:eastAsia="zh-CN"/>
              </w:rPr>
              <w:t>小微</w:t>
            </w:r>
            <w:r>
              <w:rPr>
                <w:rFonts w:hint="eastAsia" w:ascii="宋体" w:hAnsi="宋体" w:eastAsia="宋体" w:cs="宋体"/>
                <w:color w:val="auto"/>
                <w:sz w:val="22"/>
                <w:szCs w:val="22"/>
                <w:highlight w:val="none"/>
                <w:lang w:eastAsia="zh-CN"/>
              </w:rPr>
              <w:t>企业分包，无需提供分包意向协议。</w:t>
            </w:r>
          </w:p>
          <w:p w14:paraId="2AEA050E">
            <w:pPr>
              <w:keepNext w:val="0"/>
              <w:keepLines w:val="0"/>
              <w:pageBreakBefore w:val="0"/>
              <w:widowControl/>
              <w:kinsoku/>
              <w:wordWrap/>
              <w:overflowPunct/>
              <w:topLinePunct w:val="0"/>
              <w:bidi w:val="0"/>
              <w:snapToGrid/>
              <w:spacing w:line="336"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3.特殊资格条件：无。</w:t>
            </w:r>
          </w:p>
        </w:tc>
      </w:tr>
      <w:tr w14:paraId="36E3A8BC">
        <w:tblPrEx>
          <w:tblCellMar>
            <w:top w:w="0" w:type="dxa"/>
            <w:left w:w="108" w:type="dxa"/>
            <w:bottom w:w="0" w:type="dxa"/>
            <w:right w:w="108" w:type="dxa"/>
          </w:tblCellMar>
        </w:tblPrEx>
        <w:trPr>
          <w:trHeight w:val="9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17A4DC36">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2037" w:type="dxa"/>
            <w:tcBorders>
              <w:top w:val="single" w:color="auto" w:sz="4" w:space="0"/>
              <w:left w:val="single" w:color="auto" w:sz="4" w:space="0"/>
              <w:bottom w:val="single" w:color="auto" w:sz="4" w:space="0"/>
              <w:right w:val="single" w:color="auto" w:sz="4" w:space="0"/>
            </w:tcBorders>
            <w:noWrap/>
            <w:vAlign w:val="center"/>
          </w:tcPr>
          <w:p w14:paraId="0FB919F1">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w:t>
            </w:r>
          </w:p>
          <w:p w14:paraId="2D30028B">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联合体投标</w:t>
            </w:r>
          </w:p>
        </w:tc>
        <w:tc>
          <w:tcPr>
            <w:tcW w:w="7419" w:type="dxa"/>
            <w:tcBorders>
              <w:top w:val="single" w:color="auto" w:sz="4" w:space="0"/>
              <w:left w:val="single" w:color="auto" w:sz="4" w:space="0"/>
              <w:bottom w:val="single" w:color="auto" w:sz="4" w:space="0"/>
              <w:right w:val="single" w:color="auto" w:sz="4" w:space="0"/>
            </w:tcBorders>
            <w:noWrap/>
            <w:vAlign w:val="center"/>
          </w:tcPr>
          <w:p w14:paraId="0AE334F9">
            <w:pPr>
              <w:keepNext w:val="0"/>
              <w:keepLines w:val="0"/>
              <w:pageBreakBefore w:val="0"/>
              <w:widowControl/>
              <w:kinsoku/>
              <w:wordWrap/>
              <w:overflowPunct/>
              <w:topLinePunct w:val="0"/>
              <w:bidi w:val="0"/>
              <w:snapToGrid/>
              <w:spacing w:line="336"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接受，应满足下列要求：</w:t>
            </w:r>
          </w:p>
          <w:p w14:paraId="46BEDF06">
            <w:pPr>
              <w:keepNext w:val="0"/>
              <w:keepLines w:val="0"/>
              <w:pageBreakBefore w:val="0"/>
              <w:widowControl/>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（1）需提供联合协议，明确双方各自责任与义务；</w:t>
            </w:r>
          </w:p>
        </w:tc>
      </w:tr>
      <w:tr w14:paraId="354080FE">
        <w:tblPrEx>
          <w:tblCellMar>
            <w:top w:w="0" w:type="dxa"/>
            <w:left w:w="108" w:type="dxa"/>
            <w:bottom w:w="0" w:type="dxa"/>
            <w:right w:w="108" w:type="dxa"/>
          </w:tblCellMar>
        </w:tblPrEx>
        <w:trPr>
          <w:trHeight w:val="9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19E34271">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2037" w:type="dxa"/>
            <w:tcBorders>
              <w:top w:val="single" w:color="auto" w:sz="4" w:space="0"/>
              <w:left w:val="single" w:color="auto" w:sz="4" w:space="0"/>
              <w:bottom w:val="single" w:color="auto" w:sz="4" w:space="0"/>
              <w:right w:val="single" w:color="auto" w:sz="4" w:space="0"/>
            </w:tcBorders>
            <w:noWrap/>
            <w:vAlign w:val="center"/>
          </w:tcPr>
          <w:p w14:paraId="1AEA13CF">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7419" w:type="dxa"/>
            <w:tcBorders>
              <w:top w:val="single" w:color="auto" w:sz="4" w:space="0"/>
              <w:left w:val="single" w:color="auto" w:sz="4" w:space="0"/>
              <w:bottom w:val="single" w:color="auto" w:sz="4" w:space="0"/>
              <w:right w:val="single" w:color="auto" w:sz="4" w:space="0"/>
            </w:tcBorders>
            <w:noWrap/>
            <w:vAlign w:val="center"/>
          </w:tcPr>
          <w:p w14:paraId="002BDE59">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w:t>
            </w:r>
          </w:p>
          <w:p w14:paraId="309C425E">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b/>
                <w:snapToGrid w:val="0"/>
                <w:color w:val="auto"/>
                <w:sz w:val="22"/>
                <w:szCs w:val="22"/>
                <w:highlight w:val="none"/>
              </w:rPr>
              <w:sym w:font="Wingdings" w:char="F0FE"/>
            </w:r>
            <w:r>
              <w:rPr>
                <w:rFonts w:hint="eastAsia" w:ascii="宋体" w:hAnsi="宋体" w:eastAsia="宋体" w:cs="宋体"/>
                <w:color w:val="auto"/>
                <w:kern w:val="0"/>
                <w:sz w:val="22"/>
                <w:szCs w:val="22"/>
                <w:highlight w:val="none"/>
              </w:rPr>
              <w:t>不组织，供应商自行前往项目现场进行踏勘。</w:t>
            </w:r>
          </w:p>
        </w:tc>
      </w:tr>
      <w:tr w14:paraId="7C061F6A">
        <w:tblPrEx>
          <w:tblCellMar>
            <w:top w:w="0" w:type="dxa"/>
            <w:left w:w="108" w:type="dxa"/>
            <w:bottom w:w="0" w:type="dxa"/>
            <w:right w:w="108" w:type="dxa"/>
          </w:tblCellMar>
        </w:tblPrEx>
        <w:trPr>
          <w:trHeight w:val="615"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499D130B">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2037" w:type="dxa"/>
            <w:tcBorders>
              <w:top w:val="single" w:color="auto" w:sz="4" w:space="0"/>
              <w:left w:val="single" w:color="auto" w:sz="4" w:space="0"/>
              <w:bottom w:val="single" w:color="auto" w:sz="4" w:space="0"/>
              <w:right w:val="single" w:color="auto" w:sz="4" w:space="0"/>
            </w:tcBorders>
            <w:noWrap/>
            <w:vAlign w:val="center"/>
          </w:tcPr>
          <w:p w14:paraId="5276CB5F">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7419" w:type="dxa"/>
            <w:tcBorders>
              <w:top w:val="single" w:color="auto" w:sz="4" w:space="0"/>
              <w:left w:val="single" w:color="auto" w:sz="4" w:space="0"/>
              <w:bottom w:val="single" w:color="auto" w:sz="4" w:space="0"/>
              <w:right w:val="single" w:color="auto" w:sz="4" w:space="0"/>
            </w:tcBorders>
            <w:noWrap/>
            <w:vAlign w:val="center"/>
          </w:tcPr>
          <w:p w14:paraId="20CC2176">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□召开</w:t>
            </w:r>
          </w:p>
          <w:p w14:paraId="26CD70FD">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b/>
                <w:snapToGrid w:val="0"/>
                <w:color w:val="auto"/>
                <w:sz w:val="22"/>
                <w:szCs w:val="22"/>
                <w:highlight w:val="none"/>
              </w:rPr>
              <w:sym w:font="Wingdings" w:char="F0FE"/>
            </w:r>
            <w:r>
              <w:rPr>
                <w:rFonts w:hint="eastAsia" w:ascii="宋体" w:hAnsi="宋体" w:eastAsia="宋体" w:cs="宋体"/>
                <w:color w:val="auto"/>
                <w:kern w:val="0"/>
                <w:sz w:val="22"/>
                <w:szCs w:val="22"/>
                <w:highlight w:val="none"/>
              </w:rPr>
              <w:t>不召开</w:t>
            </w:r>
          </w:p>
        </w:tc>
      </w:tr>
      <w:tr w14:paraId="3DB3ED92">
        <w:tblPrEx>
          <w:tblCellMar>
            <w:top w:w="0" w:type="dxa"/>
            <w:left w:w="108" w:type="dxa"/>
            <w:bottom w:w="0" w:type="dxa"/>
            <w:right w:w="108" w:type="dxa"/>
          </w:tblCellMar>
        </w:tblPrEx>
        <w:trPr>
          <w:trHeight w:val="66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363803B9">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2037" w:type="dxa"/>
            <w:tcBorders>
              <w:top w:val="single" w:color="auto" w:sz="4" w:space="0"/>
              <w:left w:val="single" w:color="auto" w:sz="4" w:space="0"/>
              <w:bottom w:val="single" w:color="auto" w:sz="4" w:space="0"/>
              <w:right w:val="single" w:color="auto" w:sz="4" w:space="0"/>
            </w:tcBorders>
            <w:noWrap/>
            <w:vAlign w:val="center"/>
          </w:tcPr>
          <w:p w14:paraId="15B4180C">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投标截止时间</w:t>
            </w:r>
          </w:p>
        </w:tc>
        <w:tc>
          <w:tcPr>
            <w:tcW w:w="7419" w:type="dxa"/>
            <w:tcBorders>
              <w:top w:val="single" w:color="auto" w:sz="4" w:space="0"/>
              <w:left w:val="single" w:color="auto" w:sz="4" w:space="0"/>
              <w:bottom w:val="single" w:color="auto" w:sz="4" w:space="0"/>
              <w:right w:val="single" w:color="auto" w:sz="4" w:space="0"/>
            </w:tcBorders>
            <w:noWrap/>
            <w:vAlign w:val="center"/>
          </w:tcPr>
          <w:p w14:paraId="73250B0E">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lang w:eastAsia="zh-CN"/>
              </w:rPr>
            </w:pPr>
            <w:r>
              <w:rPr>
                <w:rFonts w:hint="eastAsia" w:ascii="宋体" w:hAnsi="宋体" w:cs="宋体"/>
                <w:bCs/>
                <w:color w:val="auto"/>
                <w:kern w:val="0"/>
                <w:sz w:val="22"/>
                <w:szCs w:val="22"/>
                <w:highlight w:val="none"/>
                <w:lang w:eastAsia="zh-CN"/>
              </w:rPr>
              <w:t>2026年2月6日14时30分</w:t>
            </w:r>
          </w:p>
        </w:tc>
      </w:tr>
      <w:tr w14:paraId="210FEE05">
        <w:tblPrEx>
          <w:tblCellMar>
            <w:top w:w="0" w:type="dxa"/>
            <w:left w:w="108" w:type="dxa"/>
            <w:bottom w:w="0" w:type="dxa"/>
            <w:right w:w="108" w:type="dxa"/>
          </w:tblCellMar>
        </w:tblPrEx>
        <w:trPr>
          <w:trHeight w:val="68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5C9F1F46">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2037" w:type="dxa"/>
            <w:tcBorders>
              <w:top w:val="single" w:color="auto" w:sz="4" w:space="0"/>
              <w:left w:val="single" w:color="auto" w:sz="4" w:space="0"/>
              <w:bottom w:val="single" w:color="auto" w:sz="4" w:space="0"/>
              <w:right w:val="single" w:color="auto" w:sz="4" w:space="0"/>
            </w:tcBorders>
            <w:noWrap/>
            <w:vAlign w:val="center"/>
          </w:tcPr>
          <w:p w14:paraId="55CB0B96">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分包</w:t>
            </w:r>
          </w:p>
        </w:tc>
        <w:tc>
          <w:tcPr>
            <w:tcW w:w="7419" w:type="dxa"/>
            <w:tcBorders>
              <w:top w:val="single" w:color="auto" w:sz="4" w:space="0"/>
              <w:left w:val="single" w:color="auto" w:sz="4" w:space="0"/>
              <w:bottom w:val="single" w:color="auto" w:sz="4" w:space="0"/>
              <w:right w:val="single" w:color="auto" w:sz="4" w:space="0"/>
            </w:tcBorders>
            <w:noWrap/>
            <w:vAlign w:val="center"/>
          </w:tcPr>
          <w:p w14:paraId="6B5628E4">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允许企业合理分包，若分包需在投标文件内提供分包意向书，明确分包内容及金额比例。</w:t>
            </w:r>
          </w:p>
        </w:tc>
      </w:tr>
      <w:tr w14:paraId="674537CF">
        <w:tblPrEx>
          <w:tblCellMar>
            <w:top w:w="0" w:type="dxa"/>
            <w:left w:w="108" w:type="dxa"/>
            <w:bottom w:w="0" w:type="dxa"/>
            <w:right w:w="108" w:type="dxa"/>
          </w:tblCellMar>
        </w:tblPrEx>
        <w:trPr>
          <w:trHeight w:val="48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0947D50A">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w:t>
            </w:r>
          </w:p>
        </w:tc>
        <w:tc>
          <w:tcPr>
            <w:tcW w:w="2037" w:type="dxa"/>
            <w:tcBorders>
              <w:top w:val="single" w:color="auto" w:sz="4" w:space="0"/>
              <w:left w:val="single" w:color="auto" w:sz="4" w:space="0"/>
              <w:bottom w:val="single" w:color="auto" w:sz="4" w:space="0"/>
              <w:right w:val="single" w:color="auto" w:sz="4" w:space="0"/>
            </w:tcBorders>
            <w:noWrap/>
            <w:vAlign w:val="center"/>
          </w:tcPr>
          <w:p w14:paraId="3F9D14B4">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偏离</w:t>
            </w:r>
          </w:p>
        </w:tc>
        <w:tc>
          <w:tcPr>
            <w:tcW w:w="7419" w:type="dxa"/>
            <w:tcBorders>
              <w:top w:val="single" w:color="auto" w:sz="4" w:space="0"/>
              <w:left w:val="single" w:color="auto" w:sz="4" w:space="0"/>
              <w:bottom w:val="single" w:color="auto" w:sz="4" w:space="0"/>
              <w:right w:val="single" w:color="auto" w:sz="4" w:space="0"/>
            </w:tcBorders>
            <w:noWrap/>
            <w:vAlign w:val="center"/>
          </w:tcPr>
          <w:p w14:paraId="343CB629">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偏差允许幅度及其处理方法：允许细微偏差，不允许重大偏差。由评标委员会判断，细微偏差要求供应商在评审结束前予以澄清、说明或补正，不接受要求进行的，评标委员会有权做无效标处理，详见评标办法。</w:t>
            </w:r>
          </w:p>
        </w:tc>
      </w:tr>
      <w:tr w14:paraId="7DD135C1">
        <w:tblPrEx>
          <w:tblCellMar>
            <w:top w:w="0" w:type="dxa"/>
            <w:left w:w="108" w:type="dxa"/>
            <w:bottom w:w="0" w:type="dxa"/>
            <w:right w:w="108" w:type="dxa"/>
          </w:tblCellMar>
        </w:tblPrEx>
        <w:trPr>
          <w:trHeight w:val="62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5BF77E39">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w:t>
            </w:r>
          </w:p>
        </w:tc>
        <w:tc>
          <w:tcPr>
            <w:tcW w:w="2037" w:type="dxa"/>
            <w:tcBorders>
              <w:top w:val="single" w:color="auto" w:sz="4" w:space="0"/>
              <w:left w:val="single" w:color="auto" w:sz="4" w:space="0"/>
              <w:bottom w:val="single" w:color="auto" w:sz="4" w:space="0"/>
              <w:right w:val="single" w:color="auto" w:sz="4" w:space="0"/>
            </w:tcBorders>
            <w:noWrap/>
            <w:vAlign w:val="center"/>
          </w:tcPr>
          <w:p w14:paraId="0D38EB45">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投标文件有效期</w:t>
            </w:r>
          </w:p>
        </w:tc>
        <w:tc>
          <w:tcPr>
            <w:tcW w:w="7419" w:type="dxa"/>
            <w:tcBorders>
              <w:top w:val="single" w:color="auto" w:sz="4" w:space="0"/>
              <w:left w:val="single" w:color="auto" w:sz="4" w:space="0"/>
              <w:bottom w:val="single" w:color="auto" w:sz="4" w:space="0"/>
              <w:right w:val="single" w:color="auto" w:sz="4" w:space="0"/>
            </w:tcBorders>
            <w:noWrap/>
            <w:vAlign w:val="center"/>
          </w:tcPr>
          <w:p w14:paraId="22D3B99B">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投标文件自投标截止时间起生效，有效期</w:t>
            </w:r>
            <w:r>
              <w:rPr>
                <w:rFonts w:hint="eastAsia" w:ascii="宋体" w:hAnsi="宋体" w:eastAsia="宋体" w:cs="宋体"/>
                <w:color w:val="auto"/>
                <w:kern w:val="0"/>
                <w:sz w:val="22"/>
                <w:szCs w:val="22"/>
                <w:highlight w:val="none"/>
                <w:u w:val="single"/>
              </w:rPr>
              <w:t>90</w:t>
            </w:r>
            <w:r>
              <w:rPr>
                <w:rFonts w:hint="eastAsia" w:ascii="宋体" w:hAnsi="宋体" w:eastAsia="宋体" w:cs="宋体"/>
                <w:color w:val="auto"/>
                <w:kern w:val="0"/>
                <w:sz w:val="22"/>
                <w:szCs w:val="22"/>
                <w:highlight w:val="none"/>
              </w:rPr>
              <w:t>天。</w:t>
            </w:r>
          </w:p>
        </w:tc>
      </w:tr>
      <w:tr w14:paraId="439831CA">
        <w:tblPrEx>
          <w:tblCellMar>
            <w:top w:w="0" w:type="dxa"/>
            <w:left w:w="108" w:type="dxa"/>
            <w:bottom w:w="0" w:type="dxa"/>
            <w:right w:w="108" w:type="dxa"/>
          </w:tblCellMar>
        </w:tblPrEx>
        <w:trPr>
          <w:trHeight w:val="566"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2119FAA7">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2037" w:type="dxa"/>
            <w:tcBorders>
              <w:top w:val="single" w:color="auto" w:sz="4" w:space="0"/>
              <w:left w:val="single" w:color="auto" w:sz="4" w:space="0"/>
              <w:bottom w:val="single" w:color="auto" w:sz="4" w:space="0"/>
              <w:right w:val="single" w:color="auto" w:sz="4" w:space="0"/>
            </w:tcBorders>
            <w:noWrap/>
            <w:vAlign w:val="center"/>
          </w:tcPr>
          <w:p w14:paraId="384838F4">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p>
        </w:tc>
        <w:tc>
          <w:tcPr>
            <w:tcW w:w="7419" w:type="dxa"/>
            <w:tcBorders>
              <w:top w:val="single" w:color="auto" w:sz="4" w:space="0"/>
              <w:left w:val="single" w:color="auto" w:sz="4" w:space="0"/>
              <w:bottom w:val="single" w:color="auto" w:sz="4" w:space="0"/>
              <w:right w:val="single" w:color="auto" w:sz="4" w:space="0"/>
            </w:tcBorders>
            <w:noWrap/>
            <w:vAlign w:val="center"/>
          </w:tcPr>
          <w:p w14:paraId="7B128FE8">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无须提交。</w:t>
            </w:r>
          </w:p>
        </w:tc>
      </w:tr>
      <w:tr w14:paraId="41D82EE5">
        <w:tblPrEx>
          <w:tblCellMar>
            <w:top w:w="0" w:type="dxa"/>
            <w:left w:w="108" w:type="dxa"/>
            <w:bottom w:w="0" w:type="dxa"/>
            <w:right w:w="108" w:type="dxa"/>
          </w:tblCellMar>
        </w:tblPrEx>
        <w:trPr>
          <w:trHeight w:val="575"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22B88448">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15</w:t>
            </w:r>
          </w:p>
        </w:tc>
        <w:tc>
          <w:tcPr>
            <w:tcW w:w="2037" w:type="dxa"/>
            <w:tcBorders>
              <w:top w:val="single" w:color="auto" w:sz="4" w:space="0"/>
              <w:left w:val="single" w:color="auto" w:sz="4" w:space="0"/>
              <w:bottom w:val="single" w:color="auto" w:sz="4" w:space="0"/>
              <w:right w:val="single" w:color="auto" w:sz="4" w:space="0"/>
            </w:tcBorders>
            <w:noWrap/>
            <w:vAlign w:val="center"/>
          </w:tcPr>
          <w:p w14:paraId="0EEFFC3E">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投标文件的组成</w:t>
            </w:r>
          </w:p>
        </w:tc>
        <w:tc>
          <w:tcPr>
            <w:tcW w:w="7419" w:type="dxa"/>
            <w:tcBorders>
              <w:top w:val="single" w:color="auto" w:sz="4" w:space="0"/>
              <w:left w:val="single" w:color="auto" w:sz="4" w:space="0"/>
              <w:bottom w:val="single" w:color="auto" w:sz="4" w:space="0"/>
              <w:right w:val="single" w:color="auto" w:sz="4" w:space="0"/>
            </w:tcBorders>
            <w:noWrap/>
            <w:vAlign w:val="center"/>
          </w:tcPr>
          <w:p w14:paraId="69989065">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完整的投标文件由资格审查资料、商务技术文件、报价文件三个部分组成。</w:t>
            </w:r>
          </w:p>
        </w:tc>
      </w:tr>
      <w:tr w14:paraId="2E5626DE">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6ABE622B">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16</w:t>
            </w:r>
          </w:p>
        </w:tc>
        <w:tc>
          <w:tcPr>
            <w:tcW w:w="2037" w:type="dxa"/>
            <w:tcBorders>
              <w:top w:val="single" w:color="auto" w:sz="4" w:space="0"/>
              <w:left w:val="single" w:color="auto" w:sz="4" w:space="0"/>
              <w:bottom w:val="single" w:color="auto" w:sz="4" w:space="0"/>
              <w:right w:val="single" w:color="auto" w:sz="4" w:space="0"/>
            </w:tcBorders>
            <w:noWrap/>
            <w:vAlign w:val="center"/>
          </w:tcPr>
          <w:p w14:paraId="06C4A9AB">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投标文件的编制</w:t>
            </w:r>
          </w:p>
        </w:tc>
        <w:tc>
          <w:tcPr>
            <w:tcW w:w="7419" w:type="dxa"/>
            <w:tcBorders>
              <w:top w:val="single" w:color="auto" w:sz="4" w:space="0"/>
              <w:left w:val="single" w:color="auto" w:sz="4" w:space="0"/>
              <w:bottom w:val="single" w:color="auto" w:sz="4" w:space="0"/>
              <w:right w:val="single" w:color="auto" w:sz="4" w:space="0"/>
            </w:tcBorders>
            <w:noWrap/>
            <w:vAlign w:val="center"/>
          </w:tcPr>
          <w:p w14:paraId="703B075A">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供应商应先安装“政采云电子交易客户端”，并按照本采购文件和“政采云平台”的要求，通过“政采云电子交易客户端”编制并加密投标文件。</w:t>
            </w:r>
          </w:p>
        </w:tc>
      </w:tr>
      <w:tr w14:paraId="24B14CB6">
        <w:tblPrEx>
          <w:tblCellMar>
            <w:top w:w="0" w:type="dxa"/>
            <w:left w:w="108" w:type="dxa"/>
            <w:bottom w:w="0" w:type="dxa"/>
            <w:right w:w="108" w:type="dxa"/>
          </w:tblCellMar>
        </w:tblPrEx>
        <w:trPr>
          <w:trHeight w:val="635"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344BB7A6">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17</w:t>
            </w:r>
          </w:p>
        </w:tc>
        <w:tc>
          <w:tcPr>
            <w:tcW w:w="2037" w:type="dxa"/>
            <w:tcBorders>
              <w:top w:val="single" w:color="auto" w:sz="4" w:space="0"/>
              <w:left w:val="single" w:color="auto" w:sz="4" w:space="0"/>
              <w:bottom w:val="single" w:color="auto" w:sz="4" w:space="0"/>
              <w:right w:val="single" w:color="auto" w:sz="4" w:space="0"/>
            </w:tcBorders>
            <w:noWrap/>
            <w:vAlign w:val="center"/>
          </w:tcPr>
          <w:p w14:paraId="46335C1A">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签字或盖章要求</w:t>
            </w:r>
          </w:p>
        </w:tc>
        <w:tc>
          <w:tcPr>
            <w:tcW w:w="7419" w:type="dxa"/>
            <w:tcBorders>
              <w:top w:val="single" w:color="auto" w:sz="4" w:space="0"/>
              <w:left w:val="single" w:color="auto" w:sz="4" w:space="0"/>
              <w:bottom w:val="single" w:color="auto" w:sz="4" w:space="0"/>
              <w:right w:val="single" w:color="auto" w:sz="4" w:space="0"/>
            </w:tcBorders>
            <w:noWrap/>
            <w:vAlign w:val="center"/>
          </w:tcPr>
          <w:p w14:paraId="14207BEB">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投标文件的相应位置应：由投标人代表签字并加盖有效公章（电子签章）</w:t>
            </w:r>
          </w:p>
        </w:tc>
      </w:tr>
      <w:tr w14:paraId="70ED74BD">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0C8282FA">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18</w:t>
            </w:r>
          </w:p>
        </w:tc>
        <w:tc>
          <w:tcPr>
            <w:tcW w:w="2037" w:type="dxa"/>
            <w:tcBorders>
              <w:top w:val="single" w:color="auto" w:sz="4" w:space="0"/>
              <w:left w:val="single" w:color="auto" w:sz="4" w:space="0"/>
              <w:bottom w:val="single" w:color="auto" w:sz="4" w:space="0"/>
              <w:right w:val="single" w:color="auto" w:sz="4" w:space="0"/>
            </w:tcBorders>
            <w:noWrap/>
            <w:vAlign w:val="center"/>
          </w:tcPr>
          <w:p w14:paraId="4E45997C">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投标文件的形式、制作及组成</w:t>
            </w:r>
          </w:p>
        </w:tc>
        <w:tc>
          <w:tcPr>
            <w:tcW w:w="7419" w:type="dxa"/>
            <w:tcBorders>
              <w:top w:val="single" w:color="auto" w:sz="4" w:space="0"/>
              <w:left w:val="single" w:color="auto" w:sz="4" w:space="0"/>
              <w:bottom w:val="single" w:color="auto" w:sz="4" w:space="0"/>
              <w:right w:val="single" w:color="auto" w:sz="4" w:space="0"/>
            </w:tcBorders>
            <w:noWrap/>
            <w:vAlign w:val="center"/>
          </w:tcPr>
          <w:p w14:paraId="3C84FBB0">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本项目实行在线投标响应（电子投标）。</w:t>
            </w:r>
          </w:p>
          <w:p w14:paraId="0907F27A">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投标人须准备电子投标文件（包括“电子加密投标文件”和“备份投标文件”两类，在投标文件编制完成后同时生成）。</w:t>
            </w:r>
          </w:p>
          <w:p w14:paraId="3387D90E">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（1）“电子加密投标文件”是指通过“政采云电子交易客户端”完成投标文件编制后生成并加密的数据电文形式的投标文件。</w:t>
            </w:r>
          </w:p>
          <w:p w14:paraId="36AA0D12">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（2）“备份投标文件”是指与“电子加密投标文件”同时生成的数据电文形式的电子文件（备份标书），其他方式编制的备份投标文件视为无效备份投标文件。</w:t>
            </w:r>
          </w:p>
          <w:p w14:paraId="596B6406">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以上两类投标文件均由资格审查资料、商务技术文件、报价文件三部分组成。</w:t>
            </w:r>
          </w:p>
        </w:tc>
      </w:tr>
      <w:tr w14:paraId="21013E5A">
        <w:tblPrEx>
          <w:tblCellMar>
            <w:top w:w="0" w:type="dxa"/>
            <w:left w:w="108" w:type="dxa"/>
            <w:bottom w:w="0" w:type="dxa"/>
            <w:right w:w="108" w:type="dxa"/>
          </w:tblCellMar>
        </w:tblPrEx>
        <w:trPr>
          <w:trHeight w:val="525"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08291B25">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19</w:t>
            </w:r>
          </w:p>
        </w:tc>
        <w:tc>
          <w:tcPr>
            <w:tcW w:w="2037" w:type="dxa"/>
            <w:tcBorders>
              <w:top w:val="single" w:color="auto" w:sz="4" w:space="0"/>
              <w:left w:val="single" w:color="auto" w:sz="4" w:space="0"/>
              <w:bottom w:val="single" w:color="auto" w:sz="4" w:space="0"/>
              <w:right w:val="single" w:color="auto" w:sz="4" w:space="0"/>
            </w:tcBorders>
            <w:noWrap/>
            <w:vAlign w:val="center"/>
          </w:tcPr>
          <w:p w14:paraId="439D2220">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投标文件份数</w:t>
            </w:r>
          </w:p>
        </w:tc>
        <w:tc>
          <w:tcPr>
            <w:tcW w:w="7419" w:type="dxa"/>
            <w:tcBorders>
              <w:top w:val="single" w:color="auto" w:sz="4" w:space="0"/>
              <w:left w:val="single" w:color="auto" w:sz="4" w:space="0"/>
              <w:bottom w:val="single" w:color="auto" w:sz="4" w:space="0"/>
              <w:right w:val="single" w:color="auto" w:sz="4" w:space="0"/>
            </w:tcBorders>
            <w:noWrap/>
            <w:vAlign w:val="center"/>
          </w:tcPr>
          <w:p w14:paraId="229F77F9">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（1）“电子加密投标文件”：在线上传递交、一份。</w:t>
            </w:r>
          </w:p>
          <w:p w14:paraId="35C3003A">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sz w:val="22"/>
                <w:szCs w:val="22"/>
                <w:highlight w:val="none"/>
                <w:lang w:val="zh-CN"/>
              </w:rPr>
            </w:pPr>
            <w:r>
              <w:rPr>
                <w:rFonts w:hint="eastAsia" w:ascii="宋体" w:hAnsi="宋体" w:eastAsia="宋体" w:cs="宋体"/>
                <w:color w:val="auto"/>
                <w:kern w:val="0"/>
                <w:sz w:val="22"/>
                <w:szCs w:val="22"/>
                <w:highlight w:val="none"/>
                <w:lang w:val="zh-CN"/>
              </w:rPr>
              <w:t>（2）“备份投标文件”：以U盘存储，密封包装后（顺丰快递形式）在</w:t>
            </w:r>
            <w:r>
              <w:rPr>
                <w:rFonts w:hint="eastAsia" w:ascii="宋体" w:hAnsi="宋体" w:eastAsia="宋体" w:cs="宋体"/>
                <w:bCs/>
                <w:color w:val="auto"/>
                <w:kern w:val="0"/>
                <w:sz w:val="22"/>
                <w:szCs w:val="22"/>
                <w:highlight w:val="none"/>
              </w:rPr>
              <w:t>递交投标文件截止时间前</w:t>
            </w:r>
            <w:r>
              <w:rPr>
                <w:rFonts w:hint="eastAsia" w:ascii="宋体" w:hAnsi="宋体" w:eastAsia="宋体" w:cs="宋体"/>
                <w:color w:val="auto"/>
                <w:kern w:val="0"/>
                <w:sz w:val="22"/>
                <w:szCs w:val="22"/>
                <w:highlight w:val="none"/>
                <w:lang w:val="zh-CN"/>
              </w:rPr>
              <w:t>由采购代理机构签收，不少于一份，邮寄地址：</w:t>
            </w:r>
            <w:r>
              <w:rPr>
                <w:rFonts w:hint="eastAsia" w:ascii="宋体" w:hAnsi="宋体" w:cs="宋体"/>
                <w:color w:val="auto"/>
                <w:kern w:val="0"/>
                <w:sz w:val="22"/>
                <w:szCs w:val="22"/>
                <w:highlight w:val="none"/>
                <w:lang w:val="zh-CN"/>
              </w:rPr>
              <w:t>温州市瓯海区兴海路1号联众大厦5楼</w:t>
            </w:r>
            <w:r>
              <w:rPr>
                <w:rFonts w:hint="eastAsia" w:ascii="宋体" w:hAnsi="宋体" w:eastAsia="宋体" w:cs="宋体"/>
                <w:color w:val="auto"/>
                <w:kern w:val="0"/>
                <w:sz w:val="22"/>
                <w:szCs w:val="22"/>
                <w:highlight w:val="none"/>
                <w:lang w:val="zh-CN"/>
              </w:rPr>
              <w:t>。</w:t>
            </w:r>
          </w:p>
        </w:tc>
      </w:tr>
      <w:tr w14:paraId="2555CE0D">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415D34B4">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20</w:t>
            </w:r>
          </w:p>
        </w:tc>
        <w:tc>
          <w:tcPr>
            <w:tcW w:w="2037" w:type="dxa"/>
            <w:tcBorders>
              <w:top w:val="single" w:color="auto" w:sz="4" w:space="0"/>
              <w:left w:val="single" w:color="auto" w:sz="4" w:space="0"/>
              <w:bottom w:val="single" w:color="auto" w:sz="4" w:space="0"/>
              <w:right w:val="single" w:color="auto" w:sz="4" w:space="0"/>
            </w:tcBorders>
            <w:noWrap/>
            <w:vAlign w:val="center"/>
          </w:tcPr>
          <w:p w14:paraId="4D23E65C">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投标文件的上传和递交</w:t>
            </w:r>
          </w:p>
        </w:tc>
        <w:tc>
          <w:tcPr>
            <w:tcW w:w="7419" w:type="dxa"/>
            <w:tcBorders>
              <w:top w:val="single" w:color="auto" w:sz="4" w:space="0"/>
              <w:left w:val="single" w:color="auto" w:sz="4" w:space="0"/>
              <w:bottom w:val="single" w:color="auto" w:sz="4" w:space="0"/>
              <w:right w:val="single" w:color="auto" w:sz="4" w:space="0"/>
            </w:tcBorders>
            <w:noWrap/>
            <w:vAlign w:val="center"/>
          </w:tcPr>
          <w:p w14:paraId="5348323D">
            <w:pPr>
              <w:pStyle w:val="76"/>
              <w:keepNext w:val="0"/>
              <w:keepLines w:val="0"/>
              <w:pageBreakBefore w:val="0"/>
              <w:kinsoku/>
              <w:wordWrap/>
              <w:overflowPunct/>
              <w:topLinePunct w:val="0"/>
              <w:autoSpaceDE w:val="0"/>
              <w:autoSpaceDN w:val="0"/>
              <w:bidi w:val="0"/>
              <w:adjustRightInd w:val="0"/>
              <w:snapToGrid/>
              <w:spacing w:line="336"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（1）“电子加密投标文件”的上传、递交：</w:t>
            </w:r>
          </w:p>
          <w:p w14:paraId="3807E359">
            <w:pPr>
              <w:pStyle w:val="76"/>
              <w:keepNext w:val="0"/>
              <w:keepLines w:val="0"/>
              <w:pageBreakBefore w:val="0"/>
              <w:kinsoku/>
              <w:wordWrap/>
              <w:overflowPunct/>
              <w:topLinePunct w:val="0"/>
              <w:autoSpaceDE w:val="0"/>
              <w:autoSpaceDN w:val="0"/>
              <w:bidi w:val="0"/>
              <w:adjustRightInd w:val="0"/>
              <w:snapToGrid/>
              <w:spacing w:line="336"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a.投标人应在投标文件递交截止时间前将“电子加密投标文件”成功上传递交至“政采云平台”，否则投标无效。</w:t>
            </w:r>
          </w:p>
          <w:p w14:paraId="3F9E8565">
            <w:pPr>
              <w:pStyle w:val="76"/>
              <w:keepNext w:val="0"/>
              <w:keepLines w:val="0"/>
              <w:pageBreakBefore w:val="0"/>
              <w:kinsoku/>
              <w:wordWrap/>
              <w:overflowPunct/>
              <w:topLinePunct w:val="0"/>
              <w:autoSpaceDE w:val="0"/>
              <w:autoSpaceDN w:val="0"/>
              <w:bidi w:val="0"/>
              <w:adjustRightInd w:val="0"/>
              <w:snapToGrid/>
              <w:spacing w:line="336"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17D14A9">
            <w:pPr>
              <w:pStyle w:val="76"/>
              <w:keepNext w:val="0"/>
              <w:keepLines w:val="0"/>
              <w:pageBreakBefore w:val="0"/>
              <w:kinsoku/>
              <w:wordWrap/>
              <w:overflowPunct/>
              <w:topLinePunct w:val="0"/>
              <w:autoSpaceDE w:val="0"/>
              <w:autoSpaceDN w:val="0"/>
              <w:bidi w:val="0"/>
              <w:adjustRightInd w:val="0"/>
              <w:snapToGrid/>
              <w:spacing w:line="336"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（2）“备份投标文件”的密封包装、递交：</w:t>
            </w:r>
          </w:p>
          <w:p w14:paraId="60F798D2">
            <w:pPr>
              <w:pStyle w:val="76"/>
              <w:keepNext w:val="0"/>
              <w:keepLines w:val="0"/>
              <w:pageBreakBefore w:val="0"/>
              <w:kinsoku/>
              <w:wordWrap/>
              <w:overflowPunct/>
              <w:topLinePunct w:val="0"/>
              <w:autoSpaceDE w:val="0"/>
              <w:autoSpaceDN w:val="0"/>
              <w:bidi w:val="0"/>
              <w:adjustRightInd w:val="0"/>
              <w:snapToGrid/>
              <w:spacing w:line="336"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a.投标人在“政采云平台”完成“电子加密投标文件”的上传递交后，还可以（建议顺丰快递形式）在</w:t>
            </w:r>
            <w:r>
              <w:rPr>
                <w:rFonts w:hint="eastAsia" w:ascii="宋体" w:hAnsi="宋体" w:eastAsia="宋体" w:cs="宋体"/>
                <w:bCs/>
                <w:color w:val="auto"/>
                <w:sz w:val="22"/>
                <w:szCs w:val="22"/>
                <w:highlight w:val="none"/>
              </w:rPr>
              <w:t>递交投标文件截止时间前</w:t>
            </w:r>
            <w:r>
              <w:rPr>
                <w:rFonts w:hint="eastAsia" w:ascii="宋体" w:hAnsi="宋体" w:eastAsia="宋体" w:cs="宋体"/>
                <w:color w:val="auto"/>
                <w:sz w:val="22"/>
                <w:szCs w:val="22"/>
                <w:highlight w:val="none"/>
              </w:rPr>
              <w:t>递交以介质（U盘）存储的 “备份投标文件”（一份）；顺丰快递形式快递至采购代理机构地址（地址见上条，以送达时间为准）；</w:t>
            </w:r>
          </w:p>
          <w:p w14:paraId="2C475D50">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b.“备份投标文件”应当密封包装，并在包装上标注投标项目名称、投标单位名称并加盖公章。没有密封包装或者逾期邮寄送达至投标地点的“备份投标文件”将不予接收。</w:t>
            </w:r>
          </w:p>
          <w:p w14:paraId="2C6984B1">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c.通过“政采云平台”成功上传递交的“电子加密投标文件”已按时解密的，“备份投标文件”自动失效。投标文件递交截止时间前，投标人仅递交了“备份投标文件”而未将“电子加密投标文件”成功上传至“政采云平台”的，投标无效。</w:t>
            </w:r>
          </w:p>
          <w:p w14:paraId="4CFA439F">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d.投标人应加强U盘的包装与保护，因包装不当而造成“备份投标文件”损坏或不能在开评标现场设备上正确读取的责任由投标人自负。</w:t>
            </w:r>
          </w:p>
        </w:tc>
      </w:tr>
      <w:tr w14:paraId="54EABEC0">
        <w:tblPrEx>
          <w:tblCellMar>
            <w:top w:w="0" w:type="dxa"/>
            <w:left w:w="108" w:type="dxa"/>
            <w:bottom w:w="0" w:type="dxa"/>
            <w:right w:w="108" w:type="dxa"/>
          </w:tblCellMar>
        </w:tblPrEx>
        <w:trPr>
          <w:trHeight w:val="435"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06568A33">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21</w:t>
            </w:r>
          </w:p>
        </w:tc>
        <w:tc>
          <w:tcPr>
            <w:tcW w:w="2037" w:type="dxa"/>
            <w:tcBorders>
              <w:top w:val="single" w:color="auto" w:sz="4" w:space="0"/>
              <w:left w:val="single" w:color="auto" w:sz="4" w:space="0"/>
              <w:bottom w:val="single" w:color="auto" w:sz="4" w:space="0"/>
              <w:right w:val="single" w:color="auto" w:sz="4" w:space="0"/>
            </w:tcBorders>
            <w:noWrap/>
            <w:vAlign w:val="center"/>
          </w:tcPr>
          <w:p w14:paraId="753CB435">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电子加密投标文件的解密和异常情况处理</w:t>
            </w:r>
          </w:p>
        </w:tc>
        <w:tc>
          <w:tcPr>
            <w:tcW w:w="7419" w:type="dxa"/>
            <w:tcBorders>
              <w:top w:val="single" w:color="auto" w:sz="4" w:space="0"/>
              <w:left w:val="single" w:color="auto" w:sz="4" w:space="0"/>
              <w:bottom w:val="single" w:color="auto" w:sz="4" w:space="0"/>
              <w:right w:val="single" w:color="auto" w:sz="4" w:space="0"/>
            </w:tcBorders>
            <w:noWrap/>
            <w:vAlign w:val="center"/>
          </w:tcPr>
          <w:p w14:paraId="74598733">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（1）开标后，采购组织机构将向各投标人发出“电子加密投标文件”的解密通知，各投标人代表应当在接到解密通知后30分钟内自行完成“电子加密投标文件”的在线解密。</w:t>
            </w:r>
            <w:r>
              <w:rPr>
                <w:rFonts w:hint="eastAsia" w:ascii="宋体" w:hAnsi="宋体" w:eastAsia="宋体" w:cs="宋体"/>
                <w:color w:val="auto"/>
                <w:sz w:val="22"/>
                <w:szCs w:val="22"/>
                <w:highlight w:val="none"/>
              </w:rPr>
              <w:t>解密CA必须是上传并制作电子投标文件CA锁。</w:t>
            </w:r>
          </w:p>
          <w:p w14:paraId="7F224BA9">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通过“政采云平台”成功上传递交的“电子加密投标文件”无法按时解密，投标人如按规定递交了“备份投标文件”的，以“备份投标文件”为依据（由采购组织机构按“政采云平台”操作规范将“备份投标文件”上传至“政采云平台”，上传成功后，“电子加密投标文件”自动失效），否则视为投标文件撤回。</w:t>
            </w:r>
          </w:p>
          <w:p w14:paraId="20AB610B">
            <w:pPr>
              <w:keepNext w:val="0"/>
              <w:keepLines w:val="0"/>
              <w:pageBreakBefore w:val="0"/>
              <w:kinsoku/>
              <w:wordWrap/>
              <w:overflowPunct/>
              <w:topLinePunct w:val="0"/>
              <w:autoSpaceDE w:val="0"/>
              <w:autoSpaceDN w:val="0"/>
              <w:bidi w:val="0"/>
              <w:adjustRightInd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（3）投标文件递交截止时间前，投标人仅递交了“备份投标文件”而未将电子加密投标文件上传至“政采云平台”的，投标无效。</w:t>
            </w:r>
          </w:p>
        </w:tc>
      </w:tr>
      <w:tr w14:paraId="12194B89">
        <w:tblPrEx>
          <w:tblCellMar>
            <w:top w:w="0" w:type="dxa"/>
            <w:left w:w="108" w:type="dxa"/>
            <w:bottom w:w="0" w:type="dxa"/>
            <w:right w:w="108" w:type="dxa"/>
          </w:tblCellMar>
        </w:tblPrEx>
        <w:trPr>
          <w:trHeight w:val="9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0FC6BAB4">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22</w:t>
            </w:r>
          </w:p>
        </w:tc>
        <w:tc>
          <w:tcPr>
            <w:tcW w:w="2037" w:type="dxa"/>
            <w:tcBorders>
              <w:top w:val="single" w:color="auto" w:sz="4" w:space="0"/>
              <w:left w:val="single" w:color="auto" w:sz="4" w:space="0"/>
              <w:bottom w:val="single" w:color="auto" w:sz="4" w:space="0"/>
              <w:right w:val="single" w:color="auto" w:sz="4" w:space="0"/>
            </w:tcBorders>
            <w:noWrap/>
            <w:vAlign w:val="center"/>
          </w:tcPr>
          <w:p w14:paraId="3AB5535D">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递交投标</w:t>
            </w:r>
          </w:p>
          <w:p w14:paraId="631BF789">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文件地点</w:t>
            </w:r>
          </w:p>
        </w:tc>
        <w:tc>
          <w:tcPr>
            <w:tcW w:w="7419" w:type="dxa"/>
            <w:tcBorders>
              <w:top w:val="single" w:color="auto" w:sz="4" w:space="0"/>
              <w:left w:val="single" w:color="auto" w:sz="4" w:space="0"/>
              <w:bottom w:val="single" w:color="auto" w:sz="4" w:space="0"/>
              <w:right w:val="single" w:color="auto" w:sz="4" w:space="0"/>
            </w:tcBorders>
            <w:noWrap/>
            <w:vAlign w:val="center"/>
          </w:tcPr>
          <w:p w14:paraId="07A9B429">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政采云平台(www.zcygov.cn)在线提交</w:t>
            </w:r>
          </w:p>
        </w:tc>
      </w:tr>
      <w:tr w14:paraId="2E552588">
        <w:tblPrEx>
          <w:tblCellMar>
            <w:top w:w="0" w:type="dxa"/>
            <w:left w:w="108" w:type="dxa"/>
            <w:bottom w:w="0" w:type="dxa"/>
            <w:right w:w="108" w:type="dxa"/>
          </w:tblCellMar>
        </w:tblPrEx>
        <w:trPr>
          <w:trHeight w:val="9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410EA704">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23</w:t>
            </w:r>
          </w:p>
        </w:tc>
        <w:tc>
          <w:tcPr>
            <w:tcW w:w="2037" w:type="dxa"/>
            <w:tcBorders>
              <w:top w:val="single" w:color="auto" w:sz="4" w:space="0"/>
              <w:left w:val="single" w:color="auto" w:sz="4" w:space="0"/>
              <w:bottom w:val="single" w:color="auto" w:sz="4" w:space="0"/>
              <w:right w:val="single" w:color="auto" w:sz="4" w:space="0"/>
            </w:tcBorders>
            <w:noWrap/>
            <w:vAlign w:val="center"/>
          </w:tcPr>
          <w:p w14:paraId="22E9FB5C">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开标时间</w:t>
            </w:r>
          </w:p>
          <w:p w14:paraId="3C0D2382">
            <w:pPr>
              <w:keepNext w:val="0"/>
              <w:keepLines w:val="0"/>
              <w:pageBreakBefore w:val="0"/>
              <w:kinsoku/>
              <w:wordWrap/>
              <w:overflowPunct/>
              <w:topLinePunct w:val="0"/>
              <w:autoSpaceDE w:val="0"/>
              <w:autoSpaceDN w:val="0"/>
              <w:bidi w:val="0"/>
              <w:adjustRightInd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和评标地点</w:t>
            </w:r>
          </w:p>
        </w:tc>
        <w:tc>
          <w:tcPr>
            <w:tcW w:w="7419" w:type="dxa"/>
            <w:tcBorders>
              <w:top w:val="single" w:color="auto" w:sz="4" w:space="0"/>
              <w:left w:val="single" w:color="auto" w:sz="4" w:space="0"/>
              <w:bottom w:val="single" w:color="auto" w:sz="4" w:space="0"/>
              <w:right w:val="single" w:color="auto" w:sz="4" w:space="0"/>
            </w:tcBorders>
            <w:noWrap/>
            <w:vAlign w:val="center"/>
          </w:tcPr>
          <w:p w14:paraId="3202FD54">
            <w:pPr>
              <w:keepNext w:val="0"/>
              <w:keepLines w:val="0"/>
              <w:pageBreakBefore w:val="0"/>
              <w:kinsoku/>
              <w:wordWrap/>
              <w:overflowPunct/>
              <w:topLinePunct w:val="0"/>
              <w:bidi w:val="0"/>
              <w:snapToGrid/>
              <w:spacing w:line="336" w:lineRule="auto"/>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lang w:val="zh-CN"/>
              </w:rPr>
              <w:t>开标时间：</w:t>
            </w:r>
            <w:r>
              <w:rPr>
                <w:rFonts w:hint="eastAsia" w:ascii="宋体" w:hAnsi="宋体" w:cs="宋体"/>
                <w:color w:val="auto"/>
                <w:kern w:val="0"/>
                <w:sz w:val="22"/>
                <w:szCs w:val="22"/>
                <w:highlight w:val="none"/>
                <w:lang w:val="zh-CN"/>
              </w:rPr>
              <w:t>2026年2月6日14时30分</w:t>
            </w:r>
          </w:p>
          <w:p w14:paraId="22C69620">
            <w:pPr>
              <w:pStyle w:val="15"/>
              <w:keepNext w:val="0"/>
              <w:keepLines w:val="0"/>
              <w:pageBreakBefore w:val="0"/>
              <w:kinsoku/>
              <w:wordWrap/>
              <w:overflowPunct/>
              <w:topLinePunct w:val="0"/>
              <w:bidi w:val="0"/>
              <w:snapToGrid/>
              <w:spacing w:line="336"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开标地址：</w:t>
            </w:r>
            <w:r>
              <w:rPr>
                <w:rFonts w:hint="eastAsia" w:ascii="宋体" w:hAnsi="宋体" w:eastAsia="宋体" w:cs="宋体"/>
                <w:bCs/>
                <w:color w:val="auto"/>
                <w:sz w:val="22"/>
                <w:szCs w:val="22"/>
                <w:highlight w:val="none"/>
              </w:rPr>
              <w:t>政采云平台(www.zcygov.cn)在线开标</w:t>
            </w:r>
          </w:p>
          <w:p w14:paraId="2BE8E8F1">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zh-CN"/>
              </w:rPr>
              <w:t>评标地点：</w:t>
            </w:r>
            <w:r>
              <w:rPr>
                <w:rFonts w:hint="eastAsia" w:ascii="宋体" w:hAnsi="宋体" w:cs="宋体"/>
                <w:bCs/>
                <w:color w:val="auto"/>
                <w:kern w:val="0"/>
                <w:sz w:val="22"/>
                <w:szCs w:val="22"/>
                <w:highlight w:val="none"/>
                <w:lang w:eastAsia="zh-CN"/>
              </w:rPr>
              <w:t>温州市瓯海区兴海路1号联众大厦5楼</w:t>
            </w:r>
          </w:p>
        </w:tc>
      </w:tr>
      <w:tr w14:paraId="44E9A3FA">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5AC42D3C">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24</w:t>
            </w:r>
          </w:p>
        </w:tc>
        <w:tc>
          <w:tcPr>
            <w:tcW w:w="2037" w:type="dxa"/>
            <w:tcBorders>
              <w:top w:val="single" w:color="auto" w:sz="4" w:space="0"/>
              <w:left w:val="single" w:color="auto" w:sz="4" w:space="0"/>
              <w:bottom w:val="single" w:color="auto" w:sz="4" w:space="0"/>
              <w:right w:val="single" w:color="auto" w:sz="4" w:space="0"/>
            </w:tcBorders>
            <w:noWrap/>
            <w:vAlign w:val="center"/>
          </w:tcPr>
          <w:p w14:paraId="23154FFC">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w:t>
            </w:r>
          </w:p>
          <w:p w14:paraId="1A7AD413">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的组建</w:t>
            </w:r>
          </w:p>
        </w:tc>
        <w:tc>
          <w:tcPr>
            <w:tcW w:w="7419" w:type="dxa"/>
            <w:tcBorders>
              <w:top w:val="single" w:color="auto" w:sz="4" w:space="0"/>
              <w:left w:val="single" w:color="auto" w:sz="4" w:space="0"/>
              <w:bottom w:val="single" w:color="auto" w:sz="4" w:space="0"/>
              <w:right w:val="single" w:color="auto" w:sz="4" w:space="0"/>
            </w:tcBorders>
            <w:noWrap/>
            <w:vAlign w:val="center"/>
          </w:tcPr>
          <w:p w14:paraId="4F00A215">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bCs/>
                <w:color w:val="auto"/>
                <w:sz w:val="22"/>
                <w:szCs w:val="22"/>
                <w:highlight w:val="none"/>
              </w:rPr>
              <w:t>采购人按照有关法律、法规的规定组建评标委员会，评标委员会成员由采购人代表和有关技术、经济等方面的专家组成，成员人数为5人（含）以上单数，除采购人代表外的专家将在评标专家库中随机抽取产生。</w:t>
            </w:r>
          </w:p>
        </w:tc>
      </w:tr>
      <w:tr w14:paraId="6337030A">
        <w:tblPrEx>
          <w:tblCellMar>
            <w:top w:w="0" w:type="dxa"/>
            <w:left w:w="108" w:type="dxa"/>
            <w:bottom w:w="0" w:type="dxa"/>
            <w:right w:w="108" w:type="dxa"/>
          </w:tblCellMar>
        </w:tblPrEx>
        <w:trPr>
          <w:trHeight w:val="825"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09F91BA4">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25</w:t>
            </w:r>
          </w:p>
        </w:tc>
        <w:tc>
          <w:tcPr>
            <w:tcW w:w="2037" w:type="dxa"/>
            <w:tcBorders>
              <w:top w:val="single" w:color="auto" w:sz="4" w:space="0"/>
              <w:left w:val="single" w:color="auto" w:sz="4" w:space="0"/>
              <w:bottom w:val="single" w:color="auto" w:sz="4" w:space="0"/>
              <w:right w:val="single" w:color="auto" w:sz="4" w:space="0"/>
            </w:tcBorders>
            <w:noWrap/>
            <w:vAlign w:val="center"/>
          </w:tcPr>
          <w:p w14:paraId="52F1B0D9">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履约担保</w:t>
            </w:r>
          </w:p>
        </w:tc>
        <w:tc>
          <w:tcPr>
            <w:tcW w:w="7419" w:type="dxa"/>
            <w:tcBorders>
              <w:top w:val="single" w:color="auto" w:sz="4" w:space="0"/>
              <w:left w:val="single" w:color="auto" w:sz="4" w:space="0"/>
              <w:bottom w:val="single" w:color="auto" w:sz="4" w:space="0"/>
              <w:right w:val="single" w:color="auto" w:sz="4" w:space="0"/>
            </w:tcBorders>
            <w:noWrap/>
            <w:vAlign w:val="center"/>
          </w:tcPr>
          <w:p w14:paraId="44670487">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☑不需要</w:t>
            </w:r>
          </w:p>
          <w:p w14:paraId="4BF4C296">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sym w:font="Wingdings" w:char="00A8"/>
            </w:r>
            <w:r>
              <w:rPr>
                <w:rFonts w:hint="eastAsia" w:ascii="宋体" w:hAnsi="宋体" w:eastAsia="宋体" w:cs="宋体"/>
                <w:color w:val="auto"/>
                <w:kern w:val="0"/>
                <w:sz w:val="22"/>
                <w:szCs w:val="22"/>
                <w:highlight w:val="none"/>
              </w:rPr>
              <w:t>需要</w:t>
            </w:r>
          </w:p>
        </w:tc>
      </w:tr>
      <w:tr w14:paraId="46323439">
        <w:tblPrEx>
          <w:tblCellMar>
            <w:top w:w="0" w:type="dxa"/>
            <w:left w:w="108" w:type="dxa"/>
            <w:bottom w:w="0" w:type="dxa"/>
            <w:right w:w="108" w:type="dxa"/>
          </w:tblCellMar>
        </w:tblPrEx>
        <w:trPr>
          <w:trHeight w:val="468"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58440296">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26</w:t>
            </w:r>
          </w:p>
        </w:tc>
        <w:tc>
          <w:tcPr>
            <w:tcW w:w="2037" w:type="dxa"/>
            <w:tcBorders>
              <w:top w:val="single" w:color="auto" w:sz="4" w:space="0"/>
              <w:left w:val="single" w:color="auto" w:sz="4" w:space="0"/>
              <w:bottom w:val="single" w:color="auto" w:sz="4" w:space="0"/>
              <w:right w:val="single" w:color="auto" w:sz="4" w:space="0"/>
            </w:tcBorders>
            <w:noWrap/>
            <w:vAlign w:val="center"/>
          </w:tcPr>
          <w:p w14:paraId="5700D66E">
            <w:pPr>
              <w:keepNext w:val="0"/>
              <w:keepLines w:val="0"/>
              <w:pageBreakBefore w:val="0"/>
              <w:kinsoku/>
              <w:wordWrap/>
              <w:overflowPunct/>
              <w:topLinePunct w:val="0"/>
              <w:bidi w:val="0"/>
              <w:adjustRightInd w:val="0"/>
              <w:snapToGrid/>
              <w:spacing w:line="336" w:lineRule="auto"/>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政府采购扶持政策</w:t>
            </w:r>
          </w:p>
        </w:tc>
        <w:tc>
          <w:tcPr>
            <w:tcW w:w="7419" w:type="dxa"/>
            <w:tcBorders>
              <w:top w:val="single" w:color="auto" w:sz="4" w:space="0"/>
              <w:left w:val="single" w:color="auto" w:sz="4" w:space="0"/>
              <w:bottom w:val="single" w:color="auto" w:sz="4" w:space="0"/>
              <w:right w:val="single" w:color="auto" w:sz="4" w:space="0"/>
            </w:tcBorders>
            <w:noWrap/>
            <w:vAlign w:val="center"/>
          </w:tcPr>
          <w:p w14:paraId="4B7322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1.根据《国务院办公厅关于在政府采购中实施本国产品标准及相关政策的通知</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(国办发[2025]34号)，《财政部工业和信息化部关于贯彻落实&lt;国务院办公厅关于在政府采购中实施本国产品标准及相关政策的通知&gt;的意</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(财库[2025〕30号)的规定，本项目实施政府采购本国产品标准及相关政策。</w:t>
            </w:r>
          </w:p>
          <w:p w14:paraId="6A8803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rPr>
              <w:t>.本项目对符合财政扶持政策的中小企业（小型、微型）、监狱企业、残疾人福利性单位给予价格优惠扶持，价格优惠扶持见《第六部分评标原则及方法》。</w:t>
            </w:r>
          </w:p>
          <w:p w14:paraId="3819AE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3</w:t>
            </w:r>
            <w:r>
              <w:rPr>
                <w:rFonts w:hint="eastAsia" w:ascii="宋体" w:hAnsi="宋体" w:eastAsia="宋体" w:cs="宋体"/>
                <w:bCs/>
                <w:color w:val="auto"/>
                <w:sz w:val="22"/>
                <w:szCs w:val="22"/>
                <w:highlight w:val="none"/>
              </w:rPr>
              <w:t>.满足《政府采购促进中小企业发展管理办法》（财库[2020]46号）</w:t>
            </w:r>
            <w:r>
              <w:rPr>
                <w:rFonts w:hint="eastAsia" w:ascii="宋体" w:hAnsi="宋体" w:eastAsia="宋体" w:cs="宋体"/>
                <w:bCs/>
                <w:color w:val="auto"/>
                <w:sz w:val="22"/>
                <w:szCs w:val="22"/>
                <w:highlight w:val="none"/>
                <w:lang w:val="en-US" w:eastAsia="zh-CN"/>
              </w:rPr>
              <w:t>及</w:t>
            </w:r>
            <w:r>
              <w:rPr>
                <w:rFonts w:hint="eastAsia" w:ascii="宋体" w:hAnsi="宋体" w:cs="宋体"/>
                <w:bCs/>
                <w:color w:val="auto"/>
                <w:sz w:val="22"/>
                <w:highlight w:val="none"/>
              </w:rPr>
              <w:t>财政部关于进一步加大政府采购支持中小企业力度的通知（财库〔2022〕19号）文件</w:t>
            </w:r>
            <w:r>
              <w:rPr>
                <w:rFonts w:hint="eastAsia" w:ascii="宋体" w:hAnsi="宋体" w:eastAsia="宋体" w:cs="宋体"/>
                <w:bCs/>
                <w:color w:val="auto"/>
                <w:sz w:val="22"/>
                <w:szCs w:val="22"/>
                <w:highlight w:val="none"/>
              </w:rPr>
              <w:t>的规定的中小企业可享受优惠扶持。</w:t>
            </w:r>
          </w:p>
          <w:p w14:paraId="7DDDC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4</w:t>
            </w:r>
            <w:r>
              <w:rPr>
                <w:rFonts w:hint="eastAsia" w:ascii="宋体" w:hAnsi="宋体" w:eastAsia="宋体" w:cs="宋体"/>
                <w:bCs/>
                <w:color w:val="auto"/>
                <w:sz w:val="22"/>
                <w:szCs w:val="22"/>
                <w:highlight w:val="none"/>
              </w:rPr>
              <w:t>.满足关于政府采购支持监狱企业发展有关问题的通知（财库[2014]68号）的规定的供应商可享受优惠扶持。</w:t>
            </w:r>
          </w:p>
          <w:p w14:paraId="09C964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rPr>
              <w:t>.满足关于促进残疾人就业政府采购政策的通知（财库[2017]141号）的规定的供应商可享受优惠扶持。</w:t>
            </w:r>
          </w:p>
          <w:p w14:paraId="7FECB869">
            <w:pPr>
              <w:keepNext w:val="0"/>
              <w:keepLines w:val="0"/>
              <w:pageBreakBefore w:val="0"/>
              <w:kinsoku/>
              <w:wordWrap/>
              <w:overflowPunct/>
              <w:topLinePunct w:val="0"/>
              <w:bidi w:val="0"/>
              <w:snapToGrid/>
              <w:spacing w:line="336" w:lineRule="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14:paraId="759F561A">
            <w:pPr>
              <w:keepNext w:val="0"/>
              <w:keepLines w:val="0"/>
              <w:pageBreakBefore w:val="0"/>
              <w:kinsoku/>
              <w:wordWrap/>
              <w:overflowPunct/>
              <w:topLinePunct w:val="0"/>
              <w:bidi w:val="0"/>
              <w:snapToGrid/>
              <w:spacing w:line="336" w:lineRule="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lang w:eastAsia="zh-CN"/>
              </w:rPr>
              <w:t>本项目非预留部分（见项目分项报价表说明）小型、微型企业享受价格扣除优惠如下：</w:t>
            </w:r>
          </w:p>
          <w:p w14:paraId="37CC8DDB">
            <w:pPr>
              <w:keepNext w:val="0"/>
              <w:keepLines w:val="0"/>
              <w:pageBreakBefore w:val="0"/>
              <w:kinsoku/>
              <w:wordWrap/>
              <w:overflowPunct/>
              <w:topLinePunct w:val="0"/>
              <w:bidi w:val="0"/>
              <w:snapToGrid/>
              <w:spacing w:line="336" w:lineRule="auto"/>
              <w:rPr>
                <w:rFonts w:hint="eastAsia" w:ascii="宋体" w:hAnsi="宋体" w:eastAsia="宋体" w:cs="宋体"/>
                <w:bCs/>
                <w:color w:val="auto"/>
                <w:sz w:val="22"/>
                <w:szCs w:val="22"/>
                <w:highlight w:val="none"/>
                <w:lang w:eastAsia="zh-CN"/>
              </w:rPr>
            </w:pPr>
            <w:r>
              <w:rPr>
                <w:rFonts w:hint="eastAsia" w:ascii="宋体" w:hAnsi="宋体" w:eastAsia="宋体" w:cs="宋体"/>
                <w:color w:val="auto"/>
                <w:kern w:val="0"/>
                <w:sz w:val="22"/>
                <w:szCs w:val="22"/>
                <w:highlight w:val="none"/>
              </w:rPr>
              <w:t>☑</w:t>
            </w:r>
            <w:r>
              <w:rPr>
                <w:rFonts w:hint="eastAsia" w:ascii="宋体" w:hAnsi="宋体" w:eastAsia="宋体" w:cs="宋体"/>
                <w:bCs/>
                <w:color w:val="auto"/>
                <w:sz w:val="22"/>
                <w:szCs w:val="22"/>
                <w:highlight w:val="none"/>
                <w:lang w:eastAsia="zh-CN"/>
              </w:rPr>
              <w:t>对小型和微型企业的（非预留部分）投标报价给</w:t>
            </w:r>
            <w:r>
              <w:rPr>
                <w:rFonts w:hint="eastAsia" w:ascii="宋体" w:hAnsi="宋体" w:eastAsia="宋体" w:cs="宋体"/>
                <w:bCs/>
                <w:color w:val="auto"/>
                <w:sz w:val="22"/>
                <w:szCs w:val="22"/>
                <w:highlight w:val="none"/>
                <w:lang w:val="en-US" w:eastAsia="zh-CN"/>
              </w:rPr>
              <w:t>20</w:t>
            </w:r>
            <w:r>
              <w:rPr>
                <w:rFonts w:hint="eastAsia" w:ascii="宋体" w:hAnsi="宋体" w:eastAsia="宋体" w:cs="宋体"/>
                <w:bCs/>
                <w:color w:val="auto"/>
                <w:sz w:val="22"/>
                <w:szCs w:val="22"/>
                <w:highlight w:val="none"/>
                <w:lang w:eastAsia="zh-CN"/>
              </w:rPr>
              <w:t>%的扣除，用扣除后的价格参与评审。</w:t>
            </w:r>
          </w:p>
          <w:p w14:paraId="05651C61">
            <w:pPr>
              <w:keepNext w:val="0"/>
              <w:keepLines w:val="0"/>
              <w:pageBreakBefore w:val="0"/>
              <w:kinsoku/>
              <w:wordWrap/>
              <w:overflowPunct/>
              <w:topLinePunct w:val="0"/>
              <w:bidi w:val="0"/>
              <w:snapToGrid/>
              <w:spacing w:line="336" w:lineRule="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bCs/>
                <w:color w:val="auto"/>
                <w:sz w:val="22"/>
                <w:szCs w:val="22"/>
                <w:highlight w:val="none"/>
              </w:rPr>
              <w:t>对于联合协议约定小微企业的合同份额占到合同总金额30%以上的，对联合体的</w:t>
            </w:r>
            <w:r>
              <w:rPr>
                <w:rFonts w:hint="eastAsia" w:ascii="宋体" w:hAnsi="宋体" w:eastAsia="宋体" w:cs="宋体"/>
                <w:bCs/>
                <w:color w:val="auto"/>
                <w:sz w:val="22"/>
                <w:szCs w:val="22"/>
                <w:highlight w:val="none"/>
                <w:lang w:eastAsia="zh-CN"/>
              </w:rPr>
              <w:t>（非预留部分）投标报价</w:t>
            </w:r>
            <w:r>
              <w:rPr>
                <w:rFonts w:hint="eastAsia" w:ascii="宋体" w:hAnsi="宋体" w:eastAsia="宋体" w:cs="宋体"/>
                <w:bCs/>
                <w:color w:val="auto"/>
                <w:sz w:val="22"/>
                <w:szCs w:val="22"/>
                <w:highlight w:val="none"/>
              </w:rPr>
              <w:t>报价给予</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%的扣除，用扣除后的价格参加评审。</w:t>
            </w:r>
          </w:p>
          <w:p w14:paraId="16E3638A">
            <w:pPr>
              <w:keepNext w:val="0"/>
              <w:keepLines w:val="0"/>
              <w:pageBreakBefore w:val="0"/>
              <w:kinsoku/>
              <w:wordWrap/>
              <w:overflowPunct/>
              <w:topLinePunct w:val="0"/>
              <w:bidi w:val="0"/>
              <w:snapToGrid/>
              <w:spacing w:line="336"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rPr>
              <w:t>☑</w:t>
            </w:r>
            <w:r>
              <w:rPr>
                <w:rFonts w:hint="eastAsia" w:ascii="宋体" w:hAnsi="宋体" w:eastAsia="宋体" w:cs="宋体"/>
                <w:bCs/>
                <w:color w:val="auto"/>
                <w:sz w:val="22"/>
                <w:szCs w:val="22"/>
                <w:highlight w:val="none"/>
              </w:rPr>
              <w:t>对于大中型企业的分包意向协议约定小微企业的合同份额占到合同总金额30%以上的，对大中型企业的</w:t>
            </w:r>
            <w:r>
              <w:rPr>
                <w:rFonts w:hint="eastAsia" w:ascii="宋体" w:hAnsi="宋体" w:eastAsia="宋体" w:cs="宋体"/>
                <w:bCs/>
                <w:color w:val="auto"/>
                <w:sz w:val="22"/>
                <w:szCs w:val="22"/>
                <w:highlight w:val="none"/>
                <w:lang w:eastAsia="zh-CN"/>
              </w:rPr>
              <w:t>（非预留部分）投标</w:t>
            </w:r>
            <w:r>
              <w:rPr>
                <w:rFonts w:hint="eastAsia" w:ascii="宋体" w:hAnsi="宋体" w:eastAsia="宋体" w:cs="宋体"/>
                <w:bCs/>
                <w:color w:val="auto"/>
                <w:sz w:val="22"/>
                <w:szCs w:val="22"/>
                <w:highlight w:val="none"/>
              </w:rPr>
              <w:t>报价给予</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%的扣除，用扣除后的价格参加评审。</w:t>
            </w:r>
          </w:p>
        </w:tc>
      </w:tr>
      <w:tr w14:paraId="2C781E60">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681ECB5B">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27</w:t>
            </w:r>
          </w:p>
        </w:tc>
        <w:tc>
          <w:tcPr>
            <w:tcW w:w="2037" w:type="dxa"/>
            <w:tcBorders>
              <w:top w:val="single" w:color="auto" w:sz="4" w:space="0"/>
              <w:left w:val="single" w:color="auto" w:sz="4" w:space="0"/>
              <w:bottom w:val="single" w:color="auto" w:sz="4" w:space="0"/>
              <w:right w:val="single" w:color="auto" w:sz="4" w:space="0"/>
            </w:tcBorders>
            <w:noWrap/>
            <w:vAlign w:val="center"/>
          </w:tcPr>
          <w:p w14:paraId="3EB6CB3F">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投标人信用</w:t>
            </w:r>
          </w:p>
          <w:p w14:paraId="400CDAB0">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查询</w:t>
            </w:r>
          </w:p>
        </w:tc>
        <w:tc>
          <w:tcPr>
            <w:tcW w:w="7419" w:type="dxa"/>
            <w:tcBorders>
              <w:top w:val="single" w:color="auto" w:sz="4" w:space="0"/>
              <w:left w:val="single" w:color="auto" w:sz="4" w:space="0"/>
              <w:bottom w:val="single" w:color="auto" w:sz="4" w:space="0"/>
              <w:right w:val="single" w:color="auto" w:sz="4" w:space="0"/>
            </w:tcBorders>
            <w:noWrap/>
            <w:vAlign w:val="center"/>
          </w:tcPr>
          <w:p w14:paraId="7CA9FCBD">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（1）供应商信用信息查询的查询渠道：“信用中国”(</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w:t>
            </w:r>
          </w:p>
          <w:p w14:paraId="312A2E0D">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（2）供应商信用信息查询截止时点：</w:t>
            </w:r>
            <w:r>
              <w:rPr>
                <w:rFonts w:hint="eastAsia" w:ascii="宋体" w:hAnsi="宋体" w:eastAsia="宋体" w:cs="宋体"/>
                <w:color w:val="auto"/>
                <w:sz w:val="22"/>
                <w:szCs w:val="22"/>
                <w:highlight w:val="none"/>
                <w:lang w:val="en-US" w:eastAsia="zh-CN"/>
              </w:rPr>
              <w:t>公告发布至</w:t>
            </w:r>
            <w:r>
              <w:rPr>
                <w:rFonts w:hint="eastAsia" w:ascii="宋体" w:hAnsi="宋体" w:eastAsia="宋体" w:cs="宋体"/>
                <w:color w:val="auto"/>
                <w:sz w:val="22"/>
                <w:szCs w:val="22"/>
                <w:highlight w:val="none"/>
              </w:rPr>
              <w:t>投标文件递交截止时间。</w:t>
            </w:r>
          </w:p>
          <w:p w14:paraId="6F8FCB34">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（3）供应商信用信息查询记录和证据留存的具体方式：网页截图打印；</w:t>
            </w:r>
          </w:p>
          <w:p w14:paraId="6D4C9BBC">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p>
          <w:p w14:paraId="2B01BCCB">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①在“信用中国”具有负面记录：列入失信被执行人、重大税收违法案件当事人名单、政府采购严重违法失信行为名单；</w:t>
            </w:r>
          </w:p>
          <w:p w14:paraId="5D074A02">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②被“中国政府采购网”(www.ccgp.gov.cn)列入政府采购严重违法失信行为记录名单。</w:t>
            </w:r>
          </w:p>
          <w:p w14:paraId="2971C47F">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（5）具有以上（4）所述信息记录的供应商，其投标做无效投标处理</w:t>
            </w:r>
          </w:p>
          <w:p w14:paraId="6D2DCC85">
            <w:pPr>
              <w:keepNext w:val="0"/>
              <w:keepLines w:val="0"/>
              <w:pageBreakBefore w:val="0"/>
              <w:kinsoku/>
              <w:wordWrap/>
              <w:overflowPunct/>
              <w:topLinePunct w:val="0"/>
              <w:bidi w:val="0"/>
              <w:snapToGrid/>
              <w:spacing w:line="336" w:lineRule="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u w:val="single"/>
              </w:rPr>
              <w:t>（6）▲</w:t>
            </w:r>
            <w:r>
              <w:rPr>
                <w:rFonts w:hint="eastAsia" w:ascii="宋体" w:hAnsi="宋体" w:eastAsia="宋体" w:cs="宋体"/>
                <w:b/>
                <w:color w:val="auto"/>
                <w:sz w:val="22"/>
                <w:szCs w:val="22"/>
                <w:highlight w:val="none"/>
                <w:u w:val="single"/>
              </w:rPr>
              <w:t>关于</w:t>
            </w:r>
            <w:r>
              <w:rPr>
                <w:rFonts w:hint="eastAsia" w:ascii="宋体" w:hAnsi="宋体" w:eastAsia="宋体" w:cs="宋体"/>
                <w:b/>
                <w:bCs/>
                <w:color w:val="auto"/>
                <w:sz w:val="22"/>
                <w:szCs w:val="22"/>
                <w:highlight w:val="none"/>
                <w:u w:val="single"/>
              </w:rPr>
              <w:t>“信用中国”(www.creditchina.gov.cn) 信用记录网页截图相关说明</w:t>
            </w:r>
            <w:r>
              <w:rPr>
                <w:rFonts w:hint="eastAsia" w:ascii="宋体" w:hAnsi="宋体" w:eastAsia="宋体" w:cs="宋体"/>
                <w:bCs/>
                <w:color w:val="auto"/>
                <w:sz w:val="22"/>
                <w:szCs w:val="22"/>
                <w:highlight w:val="none"/>
              </w:rPr>
              <w:t>：</w:t>
            </w:r>
          </w:p>
          <w:p w14:paraId="7755D8BF">
            <w:pPr>
              <w:keepNext w:val="0"/>
              <w:keepLines w:val="0"/>
              <w:pageBreakBefore w:val="0"/>
              <w:kinsoku/>
              <w:wordWrap/>
              <w:overflowPunct/>
              <w:topLinePunct w:val="0"/>
              <w:bidi w:val="0"/>
              <w:snapToGrid/>
              <w:spacing w:line="336"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①若供应商查询页面“行政处罚”栏显示有行政处罚事项，须将所有行政处罚事项在“信用中国”网页上列出的明细一并打印，并附说明，是否属于“经营活动中的重大违法记录”。</w:t>
            </w:r>
          </w:p>
          <w:p w14:paraId="1BB96BFD">
            <w:pPr>
              <w:keepNext w:val="0"/>
              <w:keepLines w:val="0"/>
              <w:pageBreakBefore w:val="0"/>
              <w:kinsoku/>
              <w:wordWrap/>
              <w:overflowPunct/>
              <w:topLinePunct w:val="0"/>
              <w:bidi w:val="0"/>
              <w:snapToGrid/>
              <w:spacing w:line="336"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②若供应商在“信用中国”无数据，亦须将搜索结果页面打印，并附说明。</w:t>
            </w:r>
          </w:p>
          <w:p w14:paraId="416CC5A7">
            <w:pPr>
              <w:keepNext w:val="0"/>
              <w:keepLines w:val="0"/>
              <w:pageBreakBefore w:val="0"/>
              <w:kinsoku/>
              <w:wordWrap/>
              <w:overflowPunct/>
              <w:topLinePunct w:val="0"/>
              <w:bidi w:val="0"/>
              <w:snapToGrid/>
              <w:spacing w:line="336" w:lineRule="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（7）具体结果以开标当日采购人或采购代理机构对</w:t>
            </w:r>
            <w:r>
              <w:rPr>
                <w:rFonts w:hint="eastAsia" w:ascii="宋体" w:hAnsi="宋体" w:eastAsia="宋体" w:cs="宋体"/>
                <w:color w:val="auto"/>
                <w:kern w:val="0"/>
                <w:sz w:val="22"/>
                <w:szCs w:val="22"/>
                <w:highlight w:val="none"/>
              </w:rPr>
              <w:t>投标人信用查询网页的</w:t>
            </w:r>
            <w:r>
              <w:rPr>
                <w:rFonts w:hint="eastAsia" w:ascii="宋体" w:hAnsi="宋体" w:eastAsia="宋体" w:cs="宋体"/>
                <w:bCs/>
                <w:color w:val="auto"/>
                <w:sz w:val="22"/>
                <w:szCs w:val="22"/>
                <w:highlight w:val="none"/>
              </w:rPr>
              <w:t>查询结果为准。</w:t>
            </w:r>
          </w:p>
        </w:tc>
      </w:tr>
      <w:tr w14:paraId="188B1D0B">
        <w:tblPrEx>
          <w:tblCellMar>
            <w:top w:w="0" w:type="dxa"/>
            <w:left w:w="108" w:type="dxa"/>
            <w:bottom w:w="0" w:type="dxa"/>
            <w:right w:w="108" w:type="dxa"/>
          </w:tblCellMar>
        </w:tblPrEx>
        <w:trPr>
          <w:trHeight w:val="274"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1861FA8D">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28</w:t>
            </w:r>
          </w:p>
        </w:tc>
        <w:tc>
          <w:tcPr>
            <w:tcW w:w="2037" w:type="dxa"/>
            <w:tcBorders>
              <w:top w:val="single" w:color="auto" w:sz="4" w:space="0"/>
              <w:left w:val="single" w:color="auto" w:sz="4" w:space="0"/>
              <w:bottom w:val="single" w:color="auto" w:sz="4" w:space="0"/>
              <w:right w:val="single" w:color="auto" w:sz="4" w:space="0"/>
            </w:tcBorders>
            <w:noWrap/>
            <w:vAlign w:val="center"/>
          </w:tcPr>
          <w:p w14:paraId="1473B6CE">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合同备案</w:t>
            </w:r>
          </w:p>
        </w:tc>
        <w:tc>
          <w:tcPr>
            <w:tcW w:w="7419" w:type="dxa"/>
            <w:tcBorders>
              <w:top w:val="single" w:color="auto" w:sz="4" w:space="0"/>
              <w:left w:val="single" w:color="auto" w:sz="4" w:space="0"/>
              <w:bottom w:val="single" w:color="auto" w:sz="4" w:space="0"/>
              <w:right w:val="single" w:color="auto" w:sz="4" w:space="0"/>
            </w:tcBorders>
            <w:noWrap/>
            <w:vAlign w:val="center"/>
          </w:tcPr>
          <w:p w14:paraId="41E7FE50">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（1）中标人须在中标通知书发出之日起30日历天内与采购人签订合同。</w:t>
            </w:r>
          </w:p>
          <w:p w14:paraId="7224A388">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（2）中标人与采购人签订合同后，2日历天内将合同扫描件电子版发给采购代理机构邮箱：</w:t>
            </w:r>
            <w:r>
              <w:rPr>
                <w:rFonts w:hint="eastAsia" w:ascii="宋体" w:hAnsi="宋体" w:cs="宋体"/>
                <w:b/>
                <w:color w:val="auto"/>
                <w:sz w:val="22"/>
                <w:szCs w:val="22"/>
                <w:highlight w:val="none"/>
                <w:u w:val="single"/>
                <w:lang w:eastAsia="zh-CN"/>
              </w:rPr>
              <w:t>YXGC666@126.com</w:t>
            </w:r>
            <w:r>
              <w:rPr>
                <w:rFonts w:hint="eastAsia" w:ascii="宋体" w:hAnsi="宋体" w:eastAsia="宋体" w:cs="宋体"/>
                <w:color w:val="auto"/>
                <w:sz w:val="22"/>
                <w:szCs w:val="22"/>
                <w:highlight w:val="none"/>
              </w:rPr>
              <w:t>。</w:t>
            </w:r>
          </w:p>
        </w:tc>
      </w:tr>
      <w:tr w14:paraId="3C54DE3E">
        <w:tblPrEx>
          <w:tblCellMar>
            <w:top w:w="0" w:type="dxa"/>
            <w:left w:w="108" w:type="dxa"/>
            <w:bottom w:w="0" w:type="dxa"/>
            <w:right w:w="108" w:type="dxa"/>
          </w:tblCellMar>
        </w:tblPrEx>
        <w:trPr>
          <w:trHeight w:val="1626"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7AB1C5E2">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29</w:t>
            </w:r>
          </w:p>
        </w:tc>
        <w:tc>
          <w:tcPr>
            <w:tcW w:w="2037" w:type="dxa"/>
            <w:tcBorders>
              <w:top w:val="single" w:color="auto" w:sz="4" w:space="0"/>
              <w:left w:val="single" w:color="auto" w:sz="4" w:space="0"/>
              <w:bottom w:val="single" w:color="auto" w:sz="4" w:space="0"/>
              <w:right w:val="single" w:color="auto" w:sz="4" w:space="0"/>
            </w:tcBorders>
            <w:noWrap/>
            <w:vAlign w:val="center"/>
          </w:tcPr>
          <w:p w14:paraId="311200AF">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合同履约管理</w:t>
            </w:r>
          </w:p>
        </w:tc>
        <w:tc>
          <w:tcPr>
            <w:tcW w:w="7419" w:type="dxa"/>
            <w:tcBorders>
              <w:top w:val="single" w:color="auto" w:sz="4" w:space="0"/>
              <w:left w:val="single" w:color="auto" w:sz="4" w:space="0"/>
              <w:bottom w:val="single" w:color="auto" w:sz="4" w:space="0"/>
              <w:right w:val="single" w:color="auto" w:sz="4" w:space="0"/>
            </w:tcBorders>
            <w:noWrap/>
            <w:vAlign w:val="center"/>
          </w:tcPr>
          <w:p w14:paraId="526ECAEC">
            <w:pPr>
              <w:keepNext w:val="0"/>
              <w:keepLines w:val="0"/>
              <w:pageBreakBefore w:val="0"/>
              <w:kinsoku/>
              <w:wordWrap/>
              <w:overflowPunct/>
              <w:topLinePunct w:val="0"/>
              <w:bidi w:val="0"/>
              <w:snapToGrid/>
              <w:spacing w:line="336" w:lineRule="auto"/>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合同签订后，采购人依法加强对合同履约进行管理，并在中标单位服务、项目验收等重要关节，</w:t>
            </w:r>
            <w:r>
              <w:rPr>
                <w:rFonts w:hint="eastAsia" w:ascii="宋体" w:hAnsi="宋体" w:eastAsia="宋体" w:cs="宋体"/>
                <w:b w:val="0"/>
                <w:bCs/>
                <w:color w:val="auto"/>
                <w:sz w:val="22"/>
                <w:szCs w:val="22"/>
                <w:highlight w:val="none"/>
                <w:lang w:val="en-US" w:eastAsia="zh-CN"/>
              </w:rPr>
              <w:t>按照《温州市政府采购履约验收办法》相关要求进行项目验收，</w:t>
            </w:r>
            <w:r>
              <w:rPr>
                <w:rFonts w:hint="eastAsia" w:ascii="宋体" w:hAnsi="宋体" w:eastAsia="宋体" w:cs="宋体"/>
                <w:color w:val="auto"/>
                <w:sz w:val="22"/>
                <w:szCs w:val="22"/>
                <w:highlight w:val="none"/>
              </w:rPr>
              <w:t>如实填写《合同</w:t>
            </w:r>
            <w:r>
              <w:rPr>
                <w:rFonts w:hint="eastAsia" w:ascii="宋体" w:hAnsi="宋体" w:eastAsia="宋体" w:cs="宋体"/>
                <w:color w:val="auto"/>
                <w:sz w:val="22"/>
                <w:szCs w:val="22"/>
                <w:highlight w:val="none"/>
                <w:lang w:val="en-US" w:eastAsia="zh-CN"/>
              </w:rPr>
              <w:t>履约</w:t>
            </w:r>
            <w:r>
              <w:rPr>
                <w:rFonts w:hint="eastAsia" w:ascii="宋体" w:hAnsi="宋体" w:eastAsia="宋体" w:cs="宋体"/>
                <w:color w:val="auto"/>
                <w:sz w:val="22"/>
                <w:szCs w:val="22"/>
                <w:highlight w:val="none"/>
              </w:rPr>
              <w:t>验收报告》（或考核资料），并及时向同级财政部门报告验收过程中遇到的问题。</w:t>
            </w:r>
          </w:p>
        </w:tc>
      </w:tr>
      <w:tr w14:paraId="780610A2">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61831B1F">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30</w:t>
            </w:r>
          </w:p>
        </w:tc>
        <w:tc>
          <w:tcPr>
            <w:tcW w:w="2037" w:type="dxa"/>
            <w:tcBorders>
              <w:top w:val="single" w:color="auto" w:sz="4" w:space="0"/>
              <w:left w:val="single" w:color="auto" w:sz="4" w:space="0"/>
              <w:bottom w:val="single" w:color="auto" w:sz="4" w:space="0"/>
              <w:right w:val="single" w:color="auto" w:sz="4" w:space="0"/>
            </w:tcBorders>
            <w:noWrap/>
            <w:vAlign w:val="center"/>
          </w:tcPr>
          <w:p w14:paraId="72398BF0">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解释权</w:t>
            </w:r>
          </w:p>
        </w:tc>
        <w:tc>
          <w:tcPr>
            <w:tcW w:w="7419" w:type="dxa"/>
            <w:tcBorders>
              <w:top w:val="single" w:color="auto" w:sz="4" w:space="0"/>
              <w:left w:val="single" w:color="auto" w:sz="4" w:space="0"/>
              <w:bottom w:val="single" w:color="auto" w:sz="4" w:space="0"/>
              <w:right w:val="single" w:color="auto" w:sz="4" w:space="0"/>
            </w:tcBorders>
            <w:noWrap/>
            <w:vAlign w:val="center"/>
          </w:tcPr>
          <w:p w14:paraId="15FA208C">
            <w:pPr>
              <w:keepNext w:val="0"/>
              <w:keepLines w:val="0"/>
              <w:pageBreakBefore w:val="0"/>
              <w:kinsoku/>
              <w:wordWrap/>
              <w:overflowPunct/>
              <w:topLinePunct w:val="0"/>
              <w:bidi w:val="0"/>
              <w:snapToGrid/>
              <w:spacing w:line="336"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70C59174">
        <w:tblPrEx>
          <w:tblCellMar>
            <w:top w:w="0" w:type="dxa"/>
            <w:left w:w="108" w:type="dxa"/>
            <w:bottom w:w="0" w:type="dxa"/>
            <w:right w:w="108" w:type="dxa"/>
          </w:tblCellMar>
        </w:tblPrEx>
        <w:trPr>
          <w:trHeight w:val="456"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7E4C9B9B">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2037" w:type="dxa"/>
            <w:tcBorders>
              <w:top w:val="single" w:color="auto" w:sz="4" w:space="0"/>
              <w:left w:val="single" w:color="auto" w:sz="4" w:space="0"/>
              <w:bottom w:val="single" w:color="auto" w:sz="4" w:space="0"/>
              <w:right w:val="single" w:color="auto" w:sz="4" w:space="0"/>
            </w:tcBorders>
            <w:noWrap/>
            <w:vAlign w:val="center"/>
          </w:tcPr>
          <w:p w14:paraId="3ADC81A5">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采购代理服务费</w:t>
            </w:r>
          </w:p>
        </w:tc>
        <w:tc>
          <w:tcPr>
            <w:tcW w:w="7419" w:type="dxa"/>
            <w:tcBorders>
              <w:top w:val="single" w:color="auto" w:sz="4" w:space="0"/>
              <w:left w:val="single" w:color="auto" w:sz="4" w:space="0"/>
              <w:bottom w:val="single" w:color="auto" w:sz="4" w:space="0"/>
              <w:right w:val="single" w:color="auto" w:sz="4" w:space="0"/>
            </w:tcBorders>
            <w:noWrap/>
            <w:vAlign w:val="center"/>
          </w:tcPr>
          <w:p w14:paraId="182E1785">
            <w:pPr>
              <w:keepNext w:val="0"/>
              <w:keepLines w:val="0"/>
              <w:pageBreakBefore w:val="0"/>
              <w:numPr>
                <w:ilvl w:val="0"/>
                <w:numId w:val="0"/>
              </w:numPr>
              <w:kinsoku/>
              <w:wordWrap/>
              <w:overflowPunct/>
              <w:topLinePunct w:val="0"/>
              <w:bidi w:val="0"/>
              <w:snapToGrid/>
              <w:spacing w:line="336" w:lineRule="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Style w:val="262"/>
                <w:rFonts w:hint="eastAsia" w:ascii="宋体" w:hAnsi="宋体" w:eastAsia="宋体" w:cs="宋体"/>
                <w:color w:val="auto"/>
                <w:sz w:val="22"/>
                <w:szCs w:val="22"/>
                <w:highlight w:val="none"/>
              </w:rPr>
              <w:t>招标代理服务费按固定金额人民币</w:t>
            </w:r>
            <w:r>
              <w:rPr>
                <w:rStyle w:val="262"/>
                <w:rFonts w:hint="eastAsia" w:ascii="宋体" w:hAnsi="宋体" w:cs="宋体"/>
                <w:color w:val="auto"/>
                <w:sz w:val="22"/>
                <w:szCs w:val="22"/>
                <w:highlight w:val="none"/>
                <w:lang w:val="en-US" w:eastAsia="zh-CN"/>
              </w:rPr>
              <w:t>壹万柒仟叁佰</w:t>
            </w:r>
            <w:r>
              <w:rPr>
                <w:rStyle w:val="262"/>
                <w:rFonts w:hint="eastAsia" w:ascii="宋体" w:hAnsi="宋体" w:eastAsia="宋体" w:cs="宋体"/>
                <w:color w:val="auto"/>
                <w:sz w:val="22"/>
                <w:szCs w:val="22"/>
                <w:highlight w:val="none"/>
              </w:rPr>
              <w:t>元整收取，由中标人在领取中标通知书时向采购代理机构进行支付，该服务费须计入投标报价</w:t>
            </w:r>
            <w:r>
              <w:rPr>
                <w:rFonts w:hint="eastAsia" w:ascii="宋体" w:hAnsi="宋体" w:eastAsia="宋体" w:cs="宋体"/>
                <w:color w:val="auto"/>
                <w:sz w:val="22"/>
                <w:szCs w:val="22"/>
                <w:highlight w:val="none"/>
              </w:rPr>
              <w:t>。</w:t>
            </w:r>
          </w:p>
          <w:p w14:paraId="6A18A775">
            <w:pPr>
              <w:keepNext w:val="0"/>
              <w:keepLines w:val="0"/>
              <w:pageBreakBefore w:val="0"/>
              <w:numPr>
                <w:ilvl w:val="0"/>
                <w:numId w:val="0"/>
              </w:numPr>
              <w:kinsoku/>
              <w:wordWrap/>
              <w:overflowPunct/>
              <w:topLinePunct w:val="0"/>
              <w:bidi w:val="0"/>
              <w:snapToGrid/>
              <w:spacing w:line="336" w:lineRule="auto"/>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采购代理服务费可以是现金、支票或汇票。</w:t>
            </w:r>
          </w:p>
        </w:tc>
      </w:tr>
      <w:tr w14:paraId="343A882F">
        <w:tblPrEx>
          <w:tblCellMar>
            <w:top w:w="0" w:type="dxa"/>
            <w:left w:w="108" w:type="dxa"/>
            <w:bottom w:w="0" w:type="dxa"/>
            <w:right w:w="108" w:type="dxa"/>
          </w:tblCellMar>
        </w:tblPrEx>
        <w:trPr>
          <w:trHeight w:val="737"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7FD0F2F4">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5A3AB">
            <w:pPr>
              <w:keepNext w:val="0"/>
              <w:keepLines w:val="0"/>
              <w:pageBreakBefore w:val="0"/>
              <w:kinsoku/>
              <w:wordWrap/>
              <w:overflowPunct/>
              <w:topLinePunct w:val="0"/>
              <w:bidi w:val="0"/>
              <w:snapToGrid/>
              <w:spacing w:line="336"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联合体投标相关说明</w:t>
            </w:r>
          </w:p>
        </w:tc>
        <w:tc>
          <w:tcPr>
            <w:tcW w:w="74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907D3">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（1）供应商如为联合体，必须提供双方签章的联合协议，明确联合体牵头人和各方权利义务，并承诺就成交项目向采购人承担连带责任。</w:t>
            </w:r>
          </w:p>
          <w:p w14:paraId="78E80E8E">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（2）供应商如为联合体，联合体成员各方资格审查资料、企业证书、人员证书、业绩证明材料等复印件应由联合体成员各自盖章。</w:t>
            </w:r>
          </w:p>
          <w:p w14:paraId="5EE074BB">
            <w:pPr>
              <w:pStyle w:val="22"/>
              <w:keepNext w:val="0"/>
              <w:keepLines w:val="0"/>
              <w:pageBreakBefore w:val="0"/>
              <w:kinsoku/>
              <w:wordWrap/>
              <w:overflowPunct/>
              <w:topLinePunct w:val="0"/>
              <w:bidi w:val="0"/>
              <w:snapToGrid/>
              <w:spacing w:after="0"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（3）由同一专业的单位组成的联合体，按照资质等级较低的单位确定资质等级。</w:t>
            </w:r>
          </w:p>
          <w:p w14:paraId="0A4BBAFE">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（4）其他文件可由联合体牵头方盖章。</w:t>
            </w:r>
          </w:p>
          <w:p w14:paraId="1E9867C3">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（5）供应商若为联合体，电子投标工作由联合体牵头方的账号制作电子投标文件并提交。</w:t>
            </w:r>
          </w:p>
          <w:p w14:paraId="11AB2BAE">
            <w:pPr>
              <w:keepNext w:val="0"/>
              <w:keepLines w:val="0"/>
              <w:pageBreakBefore w:val="0"/>
              <w:kinsoku/>
              <w:wordWrap/>
              <w:overflowPunct/>
              <w:topLinePunct w:val="0"/>
              <w:bidi w:val="0"/>
              <w:snapToGrid/>
              <w:spacing w:line="33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（6）联合体各方不得再以自己名义单独或参加其他联合体在本项目中投标，否则各相关投标均无效。</w:t>
            </w:r>
          </w:p>
          <w:p w14:paraId="60C681B8">
            <w:pPr>
              <w:keepNext w:val="0"/>
              <w:keepLines w:val="0"/>
              <w:pageBreakBefore w:val="0"/>
              <w:kinsoku/>
              <w:wordWrap/>
              <w:overflowPunct/>
              <w:topLinePunct w:val="0"/>
              <w:bidi w:val="0"/>
              <w:snapToGrid/>
              <w:spacing w:line="336"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（7）中标后，联合体各方根据联合体协议约定承担的项目采购内容与项目采购人签订政府采购合同。</w:t>
            </w:r>
          </w:p>
        </w:tc>
      </w:tr>
      <w:tr w14:paraId="11084BDA">
        <w:tblPrEx>
          <w:tblCellMar>
            <w:top w:w="0" w:type="dxa"/>
            <w:left w:w="108" w:type="dxa"/>
            <w:bottom w:w="0" w:type="dxa"/>
            <w:right w:w="108" w:type="dxa"/>
          </w:tblCellMar>
        </w:tblPrEx>
        <w:trPr>
          <w:trHeight w:val="850" w:hRule="atLeast"/>
          <w:jc w:val="center"/>
        </w:trPr>
        <w:tc>
          <w:tcPr>
            <w:tcW w:w="667" w:type="dxa"/>
            <w:tcBorders>
              <w:top w:val="single" w:color="auto" w:sz="4" w:space="0"/>
              <w:left w:val="single" w:color="auto" w:sz="4" w:space="0"/>
              <w:bottom w:val="single" w:color="auto" w:sz="4" w:space="0"/>
              <w:right w:val="single" w:color="auto" w:sz="4" w:space="0"/>
            </w:tcBorders>
            <w:noWrap/>
            <w:vAlign w:val="center"/>
          </w:tcPr>
          <w:p w14:paraId="1252BD0F">
            <w:pPr>
              <w:keepNext w:val="0"/>
              <w:keepLines w:val="0"/>
              <w:pageBreakBefore w:val="0"/>
              <w:kinsoku/>
              <w:wordWrap/>
              <w:overflowPunct/>
              <w:topLinePunct w:val="0"/>
              <w:bidi w:val="0"/>
              <w:snapToGrid/>
              <w:spacing w:line="33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w:t>
            </w: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32FE8">
            <w:pPr>
              <w:keepNext w:val="0"/>
              <w:keepLines w:val="0"/>
              <w:pageBreakBefore w:val="0"/>
              <w:kinsoku/>
              <w:wordWrap/>
              <w:overflowPunct/>
              <w:topLinePunct w:val="0"/>
              <w:bidi w:val="0"/>
              <w:snapToGrid/>
              <w:spacing w:line="336" w:lineRule="auto"/>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项目类型及行业</w:t>
            </w:r>
          </w:p>
        </w:tc>
        <w:tc>
          <w:tcPr>
            <w:tcW w:w="74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13616">
            <w:pPr>
              <w:keepNext w:val="0"/>
              <w:keepLines w:val="0"/>
              <w:pageBreakBefore w:val="0"/>
              <w:kinsoku/>
              <w:wordWrap/>
              <w:overflowPunct/>
              <w:topLinePunct w:val="0"/>
              <w:bidi w:val="0"/>
              <w:snapToGrid/>
              <w:spacing w:line="336" w:lineRule="auto"/>
              <w:ind w:firstLine="110" w:firstLineChars="5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服务类  所属行业：软件和信息技术服务业</w:t>
            </w:r>
          </w:p>
        </w:tc>
      </w:tr>
    </w:tbl>
    <w:p w14:paraId="568AB36F">
      <w:pPr>
        <w:spacing w:line="500" w:lineRule="exact"/>
        <w:rPr>
          <w:rFonts w:ascii="宋体" w:hAnsi="宋体" w:cs="宋体"/>
          <w:b/>
          <w:bCs/>
          <w:color w:val="auto"/>
          <w:sz w:val="36"/>
          <w:szCs w:val="36"/>
          <w:highlight w:val="none"/>
        </w:rPr>
      </w:pPr>
    </w:p>
    <w:p w14:paraId="12CDD467">
      <w:pPr>
        <w:spacing w:line="500" w:lineRule="exact"/>
        <w:jc w:val="center"/>
        <w:rPr>
          <w:rFonts w:ascii="宋体" w:hAnsi="宋体" w:cs="宋体"/>
          <w:b/>
          <w:bCs/>
          <w:color w:val="auto"/>
          <w:sz w:val="36"/>
          <w:szCs w:val="36"/>
          <w:highlight w:val="none"/>
        </w:rPr>
      </w:pPr>
    </w:p>
    <w:p w14:paraId="5B2259A0">
      <w:pPr>
        <w:pStyle w:val="4"/>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36"/>
          <w:szCs w:val="36"/>
          <w:highlight w:val="none"/>
        </w:rPr>
        <w:br w:type="page"/>
      </w:r>
      <w:bookmarkStart w:id="3" w:name="_Toc32487"/>
      <w:bookmarkStart w:id="4" w:name="_Toc239145351"/>
      <w:bookmarkStart w:id="5" w:name="_Toc241404199"/>
      <w:bookmarkStart w:id="6" w:name="_Toc221374623"/>
      <w:bookmarkStart w:id="7" w:name="_Toc221356883"/>
      <w:bookmarkStart w:id="8" w:name="_Toc265529380"/>
      <w:bookmarkStart w:id="9" w:name="_Toc222114876"/>
      <w:bookmarkStart w:id="10" w:name="_Toc221423616"/>
      <w:bookmarkStart w:id="11" w:name="_Toc221356948"/>
      <w:bookmarkStart w:id="12" w:name="_Toc34508130"/>
      <w:bookmarkStart w:id="13" w:name="_Toc223715995"/>
      <w:bookmarkStart w:id="14" w:name="_Toc393699549"/>
      <w:r>
        <w:rPr>
          <w:rFonts w:hint="eastAsia" w:ascii="宋体" w:hAnsi="宋体" w:eastAsia="宋体" w:cs="宋体"/>
          <w:color w:val="auto"/>
          <w:sz w:val="24"/>
          <w:szCs w:val="24"/>
          <w:highlight w:val="none"/>
        </w:rPr>
        <w:t>一、  说明</w:t>
      </w:r>
      <w:bookmarkEnd w:id="3"/>
      <w:bookmarkEnd w:id="4"/>
      <w:bookmarkEnd w:id="5"/>
      <w:bookmarkEnd w:id="6"/>
      <w:bookmarkEnd w:id="7"/>
      <w:bookmarkEnd w:id="8"/>
      <w:bookmarkEnd w:id="9"/>
      <w:bookmarkEnd w:id="10"/>
      <w:bookmarkEnd w:id="11"/>
      <w:bookmarkEnd w:id="12"/>
      <w:bookmarkEnd w:id="13"/>
    </w:p>
    <w:p w14:paraId="514581DF">
      <w:pPr>
        <w:tabs>
          <w:tab w:val="left" w:pos="540"/>
          <w:tab w:val="left" w:pos="90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本次采购是按照《中华人民共和国政府采购法》、《中华人民共和国政府采购法实施条例》、《政府采购货物和服务招标投标管理办法》和《关于进一步规范政府采购活动的若干意见》等法律及有关法规组织和实施的。</w:t>
      </w:r>
    </w:p>
    <w:p w14:paraId="064E3CED">
      <w:pPr>
        <w:tabs>
          <w:tab w:val="left" w:pos="540"/>
          <w:tab w:val="left" w:pos="900"/>
        </w:tabs>
        <w:spacing w:line="460" w:lineRule="exact"/>
        <w:rPr>
          <w:rFonts w:ascii="宋体" w:hAnsi="宋体" w:cs="宋体"/>
          <w:b/>
          <w:color w:val="auto"/>
          <w:sz w:val="22"/>
          <w:szCs w:val="22"/>
          <w:highlight w:val="none"/>
        </w:rPr>
      </w:pPr>
      <w:r>
        <w:rPr>
          <w:rFonts w:hint="eastAsia" w:ascii="宋体" w:hAnsi="宋体" w:cs="宋体"/>
          <w:b/>
          <w:color w:val="auto"/>
          <w:sz w:val="22"/>
          <w:szCs w:val="22"/>
          <w:highlight w:val="none"/>
        </w:rPr>
        <w:t>2.合格投标人要求以采购公告对投标人资格条件要求的表述为准。</w:t>
      </w:r>
    </w:p>
    <w:p w14:paraId="37E6C422">
      <w:pPr>
        <w:tabs>
          <w:tab w:val="left" w:pos="540"/>
          <w:tab w:val="left" w:pos="90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3.投标人代表</w:t>
      </w:r>
    </w:p>
    <w:p w14:paraId="6CC5C40F">
      <w:pPr>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指全权代表投标人参加投标活动并签署投标文件的人。如果投标人代表不是法定代表人，须持有《法定代表人授权书》。</w:t>
      </w:r>
    </w:p>
    <w:p w14:paraId="74DFBCB4">
      <w:pPr>
        <w:tabs>
          <w:tab w:val="left" w:pos="540"/>
          <w:tab w:val="left" w:pos="90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4.投标费用</w:t>
      </w:r>
    </w:p>
    <w:p w14:paraId="0667954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4.1投标人应承担所有与准备和参加投标有关费用，不论投标的结果如何，采购人和采购代理机构均无义务和责任承担这些费用。</w:t>
      </w:r>
    </w:p>
    <w:p w14:paraId="31923AC8">
      <w:pPr>
        <w:spacing w:line="400" w:lineRule="exact"/>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5.优化政府采购金融服务</w:t>
      </w:r>
    </w:p>
    <w:p w14:paraId="1C126AA3">
      <w:pPr>
        <w:spacing w:line="400" w:lineRule="exact"/>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5.1各级财政部门要深入实施政府采购支持融资畅通工程，积极协同相关部门加快推广政采贷、履约保函等政府采购金融服务，创新优化金融服务模式，引入更多金融机构参与，做到线上与线下并举，实现全省全覆盖；各地搭建的政府采购相关金融服务平台应逐步与政采云金融服务平台进行整合，做到金融机构统一接入，供应商统一入口，数据统一标准，构建政府采购金融服务全省互联互通共享机制，实现全省一盘棋，切实缓解供应商资金难题。</w:t>
      </w:r>
    </w:p>
    <w:p w14:paraId="58B97486">
      <w:pPr>
        <w:spacing w:line="400" w:lineRule="exact"/>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5.2鼓励各金融机构与政采云平台合作，利用平台的业务协同和数据集合优势，积极开展政采贷、履约保函等金融服务。政采云平台应向金融机构提供有效增值服务，赋能金融机构推进线上普惠金融服务工作。鼓励金融机构推出有针对性的政府采购金融服务产品和优惠举措，满足供应商个性化金融服务需求。鼓励财政部门在进行财政专户资金竞争性存放和采购单位在进行公款竞争性存放中，将银行推进政采贷工作成效纳入综合评分指标体系。供应商申请政采贷，需要将采购合同收款变更开户行的，财政部门和采购单位应予以支持。供应商以银行、保险公司出具保函形式提交履约保证金的，采购单位不得拒收。鼓励金融机构按照相关要求，优化政采贷服务条件，有效满足企业流动性需求。</w:t>
      </w:r>
    </w:p>
    <w:p w14:paraId="695F2B0D">
      <w:pPr>
        <w:spacing w:line="400" w:lineRule="exact"/>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6.特别说明：</w:t>
      </w:r>
    </w:p>
    <w:p w14:paraId="17EBB910">
      <w:pPr>
        <w:spacing w:line="400" w:lineRule="exact"/>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6.1投标人应仔细阅读采购文件的所有内容，按照采购文件的要求提交投标文件，并对所提供的全部资料的真实性承担法律责任。</w:t>
      </w:r>
    </w:p>
    <w:p w14:paraId="5AFCBFCB">
      <w:pPr>
        <w:spacing w:line="400" w:lineRule="exact"/>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4A69812D">
      <w:pPr>
        <w:spacing w:line="400" w:lineRule="exact"/>
        <w:ind w:firstLine="464" w:firstLineChars="200"/>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非单一产品采购项目，采购人应当根据采购项目技术构成、产品价格比重等合理确定核心产品，并在采购文件中载明。多家投标人提供的核心产品品牌相同的，按前两款规定处理。</w:t>
      </w:r>
    </w:p>
    <w:p w14:paraId="7E580CF4">
      <w:pPr>
        <w:spacing w:line="400" w:lineRule="exact"/>
        <w:ind w:firstLine="464" w:firstLineChars="200"/>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注：所有核心产品品牌均相同按同品牌投标人计算。</w:t>
      </w:r>
    </w:p>
    <w:p w14:paraId="264331A0">
      <w:pPr>
        <w:spacing w:line="400" w:lineRule="exact"/>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55800AFE">
      <w:pPr>
        <w:spacing w:line="400" w:lineRule="exact"/>
        <w:rPr>
          <w:rFonts w:ascii="宋体" w:hAnsi="宋体" w:cs="宋体"/>
          <w:bCs/>
          <w:color w:val="auto"/>
          <w:spacing w:val="6"/>
          <w:sz w:val="22"/>
          <w:highlight w:val="none"/>
        </w:rPr>
      </w:pPr>
      <w:r>
        <w:rPr>
          <w:rFonts w:hint="eastAsia" w:ascii="宋体" w:hAnsi="宋体" w:cs="宋体"/>
          <w:bCs/>
          <w:color w:val="auto"/>
          <w:spacing w:val="6"/>
          <w:sz w:val="22"/>
          <w:szCs w:val="22"/>
          <w:highlight w:val="none"/>
        </w:rPr>
        <w:t>6.4投标人在投标活动中提供任何虚假材料，其投标无效，并报监管部门查处；中标后发现的，</w:t>
      </w:r>
      <w:r>
        <w:rPr>
          <w:rFonts w:hint="eastAsia" w:ascii="宋体" w:hAnsi="宋体" w:cs="宋体"/>
          <w:bCs/>
          <w:color w:val="auto"/>
          <w:spacing w:val="6"/>
          <w:sz w:val="22"/>
          <w:szCs w:val="22"/>
          <w:highlight w:val="none"/>
          <w:lang w:val="en-US" w:eastAsia="zh-CN"/>
        </w:rPr>
        <w:t>中标人须</w:t>
      </w:r>
      <w:r>
        <w:rPr>
          <w:rFonts w:hint="eastAsia" w:ascii="宋体" w:hAnsi="宋体" w:cs="宋体"/>
          <w:bCs/>
          <w:color w:val="auto"/>
          <w:spacing w:val="6"/>
          <w:sz w:val="22"/>
          <w:szCs w:val="22"/>
          <w:highlight w:val="none"/>
        </w:rPr>
        <w:t>双倍赔偿采购人，且民事赔偿并不免除违法投标人的行政与刑事责任。</w:t>
      </w:r>
    </w:p>
    <w:p w14:paraId="5FCAE205">
      <w:pPr>
        <w:spacing w:line="460" w:lineRule="exact"/>
        <w:rPr>
          <w:rFonts w:ascii="宋体" w:hAnsi="宋体" w:cs="宋体"/>
          <w:color w:val="auto"/>
          <w:sz w:val="22"/>
          <w:szCs w:val="22"/>
          <w:highlight w:val="none"/>
        </w:rPr>
      </w:pPr>
      <w:r>
        <w:rPr>
          <w:rFonts w:hint="eastAsia" w:ascii="宋体" w:hAnsi="宋体" w:cs="宋体"/>
          <w:bCs/>
          <w:color w:val="auto"/>
          <w:spacing w:val="6"/>
          <w:sz w:val="22"/>
          <w:szCs w:val="22"/>
          <w:highlight w:val="none"/>
        </w:rPr>
        <w:t>6.5</w:t>
      </w:r>
      <w:r>
        <w:rPr>
          <w:rFonts w:hint="eastAsia" w:ascii="宋体" w:hAnsi="宋体" w:cs="宋体"/>
          <w:bCs/>
          <w:color w:val="auto"/>
          <w:kern w:val="0"/>
          <w:sz w:val="22"/>
          <w:szCs w:val="22"/>
          <w:highlight w:val="none"/>
          <w:lang w:val="zh-CN"/>
        </w:rPr>
        <w:t>非浙江政府采购网注册的供应商或发生变更且未及时更新的供应商，应当在规定时间内按照《浙江省政府采购投标人注册及诚信管理暂行办法》（浙财采监字［2009］28号）的相关规定及时办理更新或供应商注册事项。一旦被确定为中标人的，在合同签订前按本办法的规定完成注册并成为正式注册供应商。</w:t>
      </w:r>
    </w:p>
    <w:p w14:paraId="30B68ED7">
      <w:pPr>
        <w:pStyle w:val="4"/>
        <w:spacing w:line="500" w:lineRule="exact"/>
        <w:jc w:val="center"/>
        <w:rPr>
          <w:rFonts w:ascii="宋体" w:hAnsi="宋体" w:eastAsia="宋体" w:cs="宋体"/>
          <w:color w:val="auto"/>
          <w:sz w:val="24"/>
          <w:szCs w:val="24"/>
          <w:highlight w:val="none"/>
        </w:rPr>
      </w:pPr>
      <w:bookmarkStart w:id="15" w:name="_Toc221356949"/>
      <w:bookmarkStart w:id="16" w:name="_Toc241404200"/>
      <w:bookmarkStart w:id="17" w:name="_Toc34508131"/>
      <w:bookmarkStart w:id="18" w:name="_Toc265529381"/>
      <w:bookmarkStart w:id="19" w:name="_Toc239145352"/>
      <w:bookmarkStart w:id="20" w:name="_Toc223715996"/>
      <w:bookmarkStart w:id="21" w:name="_Toc221423617"/>
      <w:bookmarkStart w:id="22" w:name="_Toc221356884"/>
      <w:bookmarkStart w:id="23" w:name="_Toc222114877"/>
      <w:bookmarkStart w:id="24" w:name="_Toc18856"/>
      <w:bookmarkStart w:id="25" w:name="_Toc221374624"/>
      <w:r>
        <w:rPr>
          <w:rFonts w:hint="eastAsia" w:ascii="宋体" w:hAnsi="宋体" w:eastAsia="宋体" w:cs="宋体"/>
          <w:color w:val="auto"/>
          <w:sz w:val="24"/>
          <w:szCs w:val="24"/>
          <w:highlight w:val="none"/>
        </w:rPr>
        <w:t>二、 采购文件</w:t>
      </w:r>
      <w:bookmarkEnd w:id="15"/>
      <w:bookmarkEnd w:id="16"/>
      <w:bookmarkEnd w:id="17"/>
      <w:bookmarkEnd w:id="18"/>
      <w:bookmarkEnd w:id="19"/>
      <w:bookmarkEnd w:id="20"/>
      <w:bookmarkEnd w:id="21"/>
      <w:bookmarkEnd w:id="22"/>
      <w:bookmarkEnd w:id="23"/>
      <w:bookmarkEnd w:id="24"/>
      <w:bookmarkEnd w:id="25"/>
    </w:p>
    <w:p w14:paraId="4C3CB6E4">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7.采购文件由采购文件目录所列内容及相关资料组成。</w:t>
      </w:r>
    </w:p>
    <w:p w14:paraId="12CCCBD3">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8.质疑</w:t>
      </w:r>
    </w:p>
    <w:p w14:paraId="6BD2E14B">
      <w:pPr>
        <w:tabs>
          <w:tab w:val="left" w:pos="540"/>
        </w:tabs>
        <w:spacing w:line="460" w:lineRule="exact"/>
        <w:rPr>
          <w:rFonts w:ascii="宋体" w:hAnsi="宋体" w:cs="宋体"/>
          <w:color w:val="auto"/>
          <w:spacing w:val="6"/>
          <w:sz w:val="22"/>
          <w:highlight w:val="none"/>
        </w:rPr>
      </w:pPr>
      <w:r>
        <w:rPr>
          <w:rFonts w:hint="eastAsia" w:ascii="宋体" w:hAnsi="宋体" w:cs="宋体"/>
          <w:color w:val="auto"/>
          <w:sz w:val="22"/>
          <w:szCs w:val="22"/>
          <w:highlight w:val="none"/>
        </w:rPr>
        <w:t>8.1</w:t>
      </w:r>
      <w:r>
        <w:rPr>
          <w:rFonts w:hint="eastAsia" w:ascii="宋体" w:hAnsi="宋体" w:cs="宋体"/>
          <w:color w:val="auto"/>
          <w:spacing w:val="6"/>
          <w:sz w:val="22"/>
          <w:highlight w:val="none"/>
        </w:rPr>
        <w:t>投标人认为采购文件、采购过程、中标或者成交结果使自己的权益受到损害的，可以在知道或者应知其权益受到损害之日起7个工作日内，以书面形式向采购人、采购代理机构提出质疑。逾期提出的，采购组织机构将不予受理、答复。</w:t>
      </w:r>
    </w:p>
    <w:p w14:paraId="294E2EA0">
      <w:pPr>
        <w:tabs>
          <w:tab w:val="left" w:pos="540"/>
        </w:tabs>
        <w:spacing w:line="460" w:lineRule="exact"/>
        <w:rPr>
          <w:rFonts w:ascii="宋体" w:hAnsi="宋体" w:cs="宋体"/>
          <w:color w:val="auto"/>
          <w:spacing w:val="6"/>
          <w:sz w:val="22"/>
          <w:highlight w:val="none"/>
        </w:rPr>
      </w:pPr>
      <w:r>
        <w:rPr>
          <w:rFonts w:hint="eastAsia" w:ascii="宋体" w:hAnsi="宋体" w:cs="宋体"/>
          <w:color w:val="auto"/>
          <w:spacing w:val="6"/>
          <w:sz w:val="22"/>
          <w:highlight w:val="none"/>
        </w:rPr>
        <w:t>8.2投标人提出质疑应当提交质疑函和必要的证明材料，质疑函范本请到“浙江政府采购网下载专区”下载，质疑函内容及签署等相关要求请参看《政府采购质疑和投诉办法》相关规定。</w:t>
      </w:r>
    </w:p>
    <w:p w14:paraId="3322735B">
      <w:pPr>
        <w:tabs>
          <w:tab w:val="left" w:pos="540"/>
        </w:tabs>
        <w:spacing w:line="460" w:lineRule="exact"/>
        <w:rPr>
          <w:rFonts w:ascii="宋体" w:hAnsi="宋体" w:cs="宋体"/>
          <w:bCs/>
          <w:color w:val="auto"/>
          <w:spacing w:val="6"/>
          <w:sz w:val="22"/>
          <w:highlight w:val="none"/>
        </w:rPr>
      </w:pPr>
      <w:r>
        <w:rPr>
          <w:rFonts w:hint="eastAsia" w:ascii="宋体" w:hAnsi="宋体" w:cs="宋体"/>
          <w:color w:val="auto"/>
          <w:spacing w:val="6"/>
          <w:sz w:val="22"/>
          <w:highlight w:val="none"/>
        </w:rPr>
        <w:t>8.3提出质疑的投标人应当是参与本项目采购活动的投标人。</w:t>
      </w:r>
      <w:r>
        <w:rPr>
          <w:rFonts w:hint="eastAsia" w:ascii="宋体" w:hAnsi="宋体" w:cs="宋体"/>
          <w:bCs/>
          <w:color w:val="auto"/>
          <w:spacing w:val="6"/>
          <w:sz w:val="22"/>
          <w:highlight w:val="none"/>
        </w:rPr>
        <w:t>投标人在法定质疑期内一次性提出针对同一采购程序环节的质疑。</w:t>
      </w:r>
    </w:p>
    <w:p w14:paraId="222EC1A8">
      <w:pPr>
        <w:tabs>
          <w:tab w:val="left" w:pos="540"/>
        </w:tabs>
        <w:spacing w:line="460" w:lineRule="exact"/>
        <w:rPr>
          <w:rFonts w:ascii="宋体" w:hAnsi="宋体" w:cs="宋体"/>
          <w:color w:val="auto"/>
          <w:spacing w:val="6"/>
          <w:sz w:val="22"/>
          <w:highlight w:val="none"/>
        </w:rPr>
      </w:pPr>
      <w:r>
        <w:rPr>
          <w:rFonts w:hint="eastAsia" w:ascii="宋体" w:hAnsi="宋体" w:cs="宋体"/>
          <w:bCs/>
          <w:color w:val="auto"/>
          <w:spacing w:val="6"/>
          <w:sz w:val="22"/>
          <w:highlight w:val="none"/>
        </w:rPr>
        <w:t>8.4</w:t>
      </w:r>
      <w:r>
        <w:rPr>
          <w:rFonts w:hint="eastAsia" w:ascii="宋体" w:hAnsi="宋体" w:cs="宋体"/>
          <w:color w:val="auto"/>
          <w:spacing w:val="6"/>
          <w:sz w:val="22"/>
          <w:highlight w:val="none"/>
        </w:rPr>
        <w:t>根据《政府采购质疑和投诉办法》第三十七条的规定，投诉人在全国范围12个月内三次以上投诉查无实据的，由财政部门列入不良行为记录名单。</w:t>
      </w:r>
    </w:p>
    <w:p w14:paraId="06A9C3BB">
      <w:pPr>
        <w:tabs>
          <w:tab w:val="left" w:pos="540"/>
        </w:tabs>
        <w:spacing w:line="460" w:lineRule="exact"/>
        <w:rPr>
          <w:rFonts w:ascii="宋体" w:hAnsi="宋体" w:cs="宋体"/>
          <w:color w:val="auto"/>
          <w:spacing w:val="6"/>
          <w:sz w:val="22"/>
          <w:highlight w:val="none"/>
        </w:rPr>
      </w:pPr>
      <w:r>
        <w:rPr>
          <w:rFonts w:hint="eastAsia" w:ascii="宋体" w:hAnsi="宋体" w:cs="宋体"/>
          <w:color w:val="auto"/>
          <w:spacing w:val="6"/>
          <w:sz w:val="22"/>
          <w:highlight w:val="none"/>
        </w:rPr>
        <w:t>9.投诉</w:t>
      </w:r>
    </w:p>
    <w:p w14:paraId="77E64E7C">
      <w:pPr>
        <w:tabs>
          <w:tab w:val="left" w:pos="540"/>
        </w:tabs>
        <w:spacing w:line="460" w:lineRule="exact"/>
        <w:rPr>
          <w:rFonts w:ascii="宋体" w:hAnsi="宋体" w:cs="宋体"/>
          <w:color w:val="auto"/>
          <w:sz w:val="22"/>
          <w:szCs w:val="22"/>
          <w:highlight w:val="none"/>
        </w:rPr>
      </w:pPr>
      <w:r>
        <w:rPr>
          <w:rFonts w:hint="eastAsia" w:ascii="宋体" w:hAnsi="宋体" w:cs="宋体"/>
          <w:color w:val="auto"/>
          <w:spacing w:val="6"/>
          <w:sz w:val="22"/>
          <w:highlight w:val="none"/>
        </w:rPr>
        <w:t>9.1质疑投标人对采购人、采购代理机构的答复不满意或者采购人、采购代理机构未在规定的时间内作出答复的，可以在答复期满后十五个工作日内向同级采购监督部门投诉。投诉书范本请到“浙江政府采购网下载专区”下载。</w:t>
      </w:r>
    </w:p>
    <w:p w14:paraId="3AA86D05">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10.采购文件的澄清或修改</w:t>
      </w:r>
    </w:p>
    <w:p w14:paraId="365C7EEA">
      <w:pPr>
        <w:spacing w:line="400" w:lineRule="exact"/>
        <w:rPr>
          <w:rFonts w:ascii="宋体" w:hAnsi="宋体" w:cs="宋体"/>
          <w:color w:val="auto"/>
          <w:spacing w:val="6"/>
          <w:sz w:val="22"/>
          <w:highlight w:val="none"/>
        </w:rPr>
      </w:pPr>
      <w:r>
        <w:rPr>
          <w:rFonts w:hint="eastAsia" w:ascii="宋体" w:hAnsi="宋体" w:cs="宋体"/>
          <w:color w:val="auto"/>
          <w:spacing w:val="6"/>
          <w:sz w:val="22"/>
          <w:highlight w:val="none"/>
        </w:rPr>
        <w:t>10.1采购人或者采购代理机构可以对已发出的采购文件进行必要的澄清或者修改。澄清或者修改在浙江政府采购网上发布公告，同时政采云系统会向所有已按采购文件规定方式获取采购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澄清或者修改的内容为采购文件的组成部分。</w:t>
      </w:r>
    </w:p>
    <w:p w14:paraId="2D721A65">
      <w:pPr>
        <w:spacing w:line="400" w:lineRule="exact"/>
        <w:rPr>
          <w:rFonts w:ascii="宋体" w:hAnsi="宋体" w:cs="宋体"/>
          <w:color w:val="auto"/>
          <w:spacing w:val="6"/>
          <w:sz w:val="22"/>
          <w:highlight w:val="none"/>
        </w:rPr>
      </w:pPr>
      <w:r>
        <w:rPr>
          <w:rFonts w:hint="eastAsia" w:ascii="宋体" w:hAnsi="宋体" w:cs="宋体"/>
          <w:color w:val="auto"/>
          <w:spacing w:val="6"/>
          <w:sz w:val="22"/>
          <w:highlight w:val="none"/>
        </w:rPr>
        <w:t>10.2澄清或者修改的内容可能影响投标文件编制的，采购人或者采购代理机构应当在投标截止时间至少15日前，以书面形式（</w:t>
      </w:r>
      <w:r>
        <w:rPr>
          <w:rFonts w:hint="eastAsia" w:ascii="宋体" w:hAnsi="宋体" w:cs="宋体"/>
          <w:bCs/>
          <w:color w:val="auto"/>
          <w:spacing w:val="6"/>
          <w:highlight w:val="none"/>
        </w:rPr>
        <w:t>在浙江政府采购网上发布公告</w:t>
      </w:r>
      <w:r>
        <w:rPr>
          <w:rFonts w:hint="eastAsia" w:ascii="宋体" w:hAnsi="宋体" w:cs="宋体"/>
          <w:color w:val="auto"/>
          <w:spacing w:val="6"/>
          <w:sz w:val="22"/>
          <w:highlight w:val="none"/>
        </w:rPr>
        <w:t>）通知所有获取采购文件的潜在投标人；不足15日的，采购人或者采购代理机构应当顺延提交投标文件的截止时间。</w:t>
      </w:r>
    </w:p>
    <w:p w14:paraId="256D0406">
      <w:pPr>
        <w:tabs>
          <w:tab w:val="left" w:pos="540"/>
        </w:tabs>
        <w:spacing w:line="460" w:lineRule="exact"/>
        <w:rPr>
          <w:rFonts w:ascii="宋体" w:hAnsi="宋体" w:cs="宋体"/>
          <w:color w:val="auto"/>
          <w:sz w:val="22"/>
          <w:szCs w:val="22"/>
          <w:highlight w:val="none"/>
        </w:rPr>
      </w:pPr>
      <w:r>
        <w:rPr>
          <w:rFonts w:hint="eastAsia" w:ascii="宋体" w:hAnsi="宋体" w:cs="宋体"/>
          <w:color w:val="auto"/>
          <w:spacing w:val="6"/>
          <w:sz w:val="22"/>
          <w:highlight w:val="none"/>
        </w:rPr>
        <w:t>10.3采购文件如有补充更正均见“政采云”（http://www.zcygov.cn）。投标人须在开标前一日自行查看是否有补充更正文件，并按补充更正文件要求投标，否则责任自负。</w:t>
      </w:r>
    </w:p>
    <w:p w14:paraId="7B375931">
      <w:pPr>
        <w:pStyle w:val="4"/>
        <w:spacing w:line="500" w:lineRule="exact"/>
        <w:jc w:val="center"/>
        <w:rPr>
          <w:rFonts w:ascii="宋体" w:hAnsi="宋体" w:eastAsia="宋体" w:cs="宋体"/>
          <w:color w:val="auto"/>
          <w:sz w:val="24"/>
          <w:szCs w:val="24"/>
          <w:highlight w:val="none"/>
        </w:rPr>
      </w:pPr>
      <w:bookmarkStart w:id="26" w:name="_Toc241404201"/>
      <w:bookmarkStart w:id="27" w:name="_Toc221374625"/>
      <w:bookmarkStart w:id="28" w:name="_Toc34508132"/>
      <w:bookmarkStart w:id="29" w:name="_Toc222114878"/>
      <w:bookmarkStart w:id="30" w:name="_Toc239145353"/>
      <w:bookmarkStart w:id="31" w:name="_Toc265529382"/>
      <w:bookmarkStart w:id="32" w:name="_Toc221423618"/>
      <w:bookmarkStart w:id="33" w:name="_Toc221356885"/>
      <w:bookmarkStart w:id="34" w:name="_Toc25589"/>
      <w:bookmarkStart w:id="35" w:name="_Toc223715997"/>
      <w:bookmarkStart w:id="36" w:name="_Toc221356950"/>
      <w:r>
        <w:rPr>
          <w:rFonts w:hint="eastAsia" w:ascii="宋体" w:hAnsi="宋体" w:eastAsia="宋体" w:cs="宋体"/>
          <w:color w:val="auto"/>
          <w:sz w:val="24"/>
          <w:szCs w:val="24"/>
          <w:highlight w:val="none"/>
        </w:rPr>
        <w:t>三、 投标文件的编制</w:t>
      </w:r>
      <w:bookmarkEnd w:id="26"/>
      <w:bookmarkEnd w:id="27"/>
      <w:bookmarkEnd w:id="28"/>
      <w:bookmarkEnd w:id="29"/>
      <w:bookmarkEnd w:id="30"/>
      <w:bookmarkEnd w:id="31"/>
      <w:bookmarkEnd w:id="32"/>
      <w:bookmarkEnd w:id="33"/>
      <w:bookmarkEnd w:id="34"/>
      <w:bookmarkEnd w:id="35"/>
      <w:bookmarkEnd w:id="36"/>
    </w:p>
    <w:p w14:paraId="680AFB69">
      <w:pPr>
        <w:spacing w:line="440" w:lineRule="exact"/>
        <w:rPr>
          <w:rFonts w:ascii="宋体" w:hAnsi="宋体" w:cs="宋体"/>
          <w:snapToGrid w:val="0"/>
          <w:color w:val="auto"/>
          <w:sz w:val="22"/>
          <w:szCs w:val="22"/>
          <w:highlight w:val="none"/>
        </w:rPr>
      </w:pPr>
      <w:bookmarkStart w:id="37" w:name="_Toc221356886"/>
      <w:r>
        <w:rPr>
          <w:rFonts w:hint="eastAsia" w:ascii="宋体" w:hAnsi="宋体" w:cs="宋体"/>
          <w:snapToGrid w:val="0"/>
          <w:color w:val="auto"/>
          <w:sz w:val="22"/>
          <w:szCs w:val="22"/>
          <w:highlight w:val="none"/>
        </w:rPr>
        <w:t>11. 投标文件的形式和效力</w:t>
      </w:r>
    </w:p>
    <w:p w14:paraId="57E86257">
      <w:pPr>
        <w:spacing w:line="44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11.1电子投标文件分为 “电子加密投标文件”和“备份投标文件”两类，在投标文件编制完成后同时生成。</w:t>
      </w:r>
    </w:p>
    <w:p w14:paraId="5474C6BD">
      <w:pPr>
        <w:spacing w:line="44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11.2“电子加密投标文件”是指通过“政采云电子交易客户端”完成投标文件编制后生成并加密的数据电文形式的投标文件。</w:t>
      </w:r>
    </w:p>
    <w:p w14:paraId="43C40282">
      <w:pPr>
        <w:spacing w:line="44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11.3“备份投标文件”是指与“电子加密投标文件”同时生成的数据电文形式的电子文件（备份标书），其他方式编制的备份投标文件视为无效备份投标文件。</w:t>
      </w:r>
    </w:p>
    <w:p w14:paraId="20FB8F9F">
      <w:pPr>
        <w:spacing w:line="44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11.4投标文件的启用，按先后顺位分别为“电子加密投标文件”、 “备份投标文件”。在下一顺位的投标文件启用时，前一顺位的投标文件自动失效。</w:t>
      </w:r>
    </w:p>
    <w:p w14:paraId="606E7DF2">
      <w:pPr>
        <w:spacing w:line="44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12. 投标文件的构成</w:t>
      </w:r>
    </w:p>
    <w:p w14:paraId="7E371F43">
      <w:pPr>
        <w:tabs>
          <w:tab w:val="left" w:pos="360"/>
        </w:tabs>
        <w:spacing w:line="460" w:lineRule="exact"/>
        <w:rPr>
          <w:rFonts w:ascii="宋体" w:hAnsi="宋体" w:cs="宋体"/>
          <w:color w:val="auto"/>
          <w:sz w:val="22"/>
          <w:szCs w:val="22"/>
          <w:highlight w:val="none"/>
        </w:rPr>
      </w:pPr>
      <w:r>
        <w:rPr>
          <w:rFonts w:hint="eastAsia" w:ascii="宋体" w:hAnsi="宋体" w:cs="宋体"/>
          <w:b/>
          <w:bCs/>
          <w:color w:val="auto"/>
          <w:sz w:val="22"/>
          <w:szCs w:val="22"/>
          <w:highlight w:val="none"/>
        </w:rPr>
        <w:t>12.1 投标文件包括资格审查资料、商务技术文件、报价文件三部分。</w:t>
      </w:r>
    </w:p>
    <w:p w14:paraId="10304526">
      <w:pPr>
        <w:spacing w:line="43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12.2 投标文件资格审查资料须包括下列部分：</w:t>
      </w:r>
    </w:p>
    <w:tbl>
      <w:tblPr>
        <w:tblStyle w:val="5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115"/>
      </w:tblGrid>
      <w:tr w14:paraId="66E1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noWrap/>
            <w:vAlign w:val="center"/>
          </w:tcPr>
          <w:p w14:paraId="7E5CFE64">
            <w:pPr>
              <w:overflowPunct w:val="0"/>
              <w:spacing w:line="43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9115" w:type="dxa"/>
            <w:noWrap/>
            <w:vAlign w:val="center"/>
          </w:tcPr>
          <w:p w14:paraId="23CDC442">
            <w:pPr>
              <w:overflowPunct w:val="0"/>
              <w:spacing w:line="43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内 容</w:t>
            </w:r>
          </w:p>
        </w:tc>
      </w:tr>
      <w:tr w14:paraId="452D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tcBorders>
              <w:top w:val="single" w:color="auto" w:sz="4" w:space="0"/>
              <w:left w:val="single" w:color="auto" w:sz="4" w:space="0"/>
              <w:bottom w:val="single" w:color="auto" w:sz="4" w:space="0"/>
              <w:right w:val="single" w:color="auto" w:sz="4" w:space="0"/>
            </w:tcBorders>
            <w:noWrap/>
            <w:vAlign w:val="center"/>
          </w:tcPr>
          <w:p w14:paraId="33C9AADA">
            <w:pPr>
              <w:overflowPunct w:val="0"/>
              <w:spacing w:line="430" w:lineRule="exact"/>
              <w:jc w:val="center"/>
              <w:rPr>
                <w:rFonts w:ascii="宋体" w:hAnsi="宋体" w:cs="宋体"/>
                <w:bCs/>
                <w:color w:val="auto"/>
                <w:sz w:val="22"/>
                <w:szCs w:val="22"/>
                <w:highlight w:val="none"/>
              </w:rPr>
            </w:pPr>
            <w:bookmarkStart w:id="38" w:name="_Hlk16667472"/>
            <w:r>
              <w:rPr>
                <w:rFonts w:hint="eastAsia" w:ascii="宋体" w:hAnsi="宋体" w:cs="宋体"/>
                <w:bCs/>
                <w:color w:val="auto"/>
                <w:sz w:val="22"/>
                <w:szCs w:val="22"/>
                <w:highlight w:val="none"/>
              </w:rPr>
              <w:t>1</w:t>
            </w:r>
          </w:p>
        </w:tc>
        <w:tc>
          <w:tcPr>
            <w:tcW w:w="9115" w:type="dxa"/>
            <w:tcBorders>
              <w:top w:val="single" w:color="auto" w:sz="4" w:space="0"/>
              <w:left w:val="single" w:color="auto" w:sz="4" w:space="0"/>
              <w:bottom w:val="single" w:color="auto" w:sz="4" w:space="0"/>
              <w:right w:val="single" w:color="auto" w:sz="4" w:space="0"/>
            </w:tcBorders>
            <w:noWrap/>
            <w:vAlign w:val="center"/>
          </w:tcPr>
          <w:p w14:paraId="11BDD94A">
            <w:pPr>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法定代表人（单位负责人）授权书和被授权人有效身份证明</w:t>
            </w:r>
          </w:p>
        </w:tc>
      </w:tr>
      <w:tr w14:paraId="6D67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tcBorders>
              <w:top w:val="single" w:color="auto" w:sz="4" w:space="0"/>
              <w:left w:val="single" w:color="auto" w:sz="4" w:space="0"/>
              <w:bottom w:val="single" w:color="auto" w:sz="4" w:space="0"/>
              <w:right w:val="single" w:color="auto" w:sz="4" w:space="0"/>
            </w:tcBorders>
            <w:noWrap/>
            <w:vAlign w:val="center"/>
          </w:tcPr>
          <w:p w14:paraId="07EAC27B">
            <w:pPr>
              <w:overflowPunct w:val="0"/>
              <w:spacing w:line="43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9115" w:type="dxa"/>
            <w:tcBorders>
              <w:top w:val="single" w:color="auto" w:sz="4" w:space="0"/>
              <w:left w:val="single" w:color="auto" w:sz="4" w:space="0"/>
              <w:bottom w:val="single" w:color="auto" w:sz="4" w:space="0"/>
              <w:right w:val="single" w:color="auto" w:sz="4" w:space="0"/>
            </w:tcBorders>
            <w:noWrap/>
            <w:vAlign w:val="center"/>
          </w:tcPr>
          <w:p w14:paraId="71F752EB">
            <w:pPr>
              <w:rPr>
                <w:rFonts w:ascii="宋体" w:hAnsi="宋体" w:cs="宋体"/>
                <w:color w:val="auto"/>
                <w:kern w:val="0"/>
                <w:sz w:val="22"/>
                <w:szCs w:val="22"/>
                <w:highlight w:val="none"/>
              </w:rPr>
            </w:pPr>
            <w:r>
              <w:rPr>
                <w:rFonts w:hint="eastAsia" w:ascii="新宋体" w:hAnsi="新宋体" w:eastAsia="新宋体" w:cs="新宋体"/>
                <w:color w:val="auto"/>
                <w:kern w:val="0"/>
                <w:sz w:val="22"/>
                <w:szCs w:val="22"/>
                <w:highlight w:val="none"/>
              </w:rPr>
              <w:t>联合</w:t>
            </w:r>
            <w:r>
              <w:rPr>
                <w:rFonts w:hint="eastAsia" w:ascii="新宋体" w:hAnsi="新宋体" w:eastAsia="新宋体" w:cs="新宋体"/>
                <w:color w:val="auto"/>
                <w:kern w:val="0"/>
                <w:sz w:val="22"/>
                <w:szCs w:val="22"/>
                <w:highlight w:val="none"/>
                <w:lang w:val="en-US" w:eastAsia="zh-CN"/>
              </w:rPr>
              <w:t>体</w:t>
            </w:r>
            <w:r>
              <w:rPr>
                <w:rFonts w:hint="eastAsia" w:ascii="新宋体" w:hAnsi="新宋体" w:eastAsia="新宋体" w:cs="新宋体"/>
                <w:color w:val="auto"/>
                <w:kern w:val="0"/>
                <w:sz w:val="22"/>
                <w:szCs w:val="22"/>
                <w:highlight w:val="none"/>
              </w:rPr>
              <w:t>协议（</w:t>
            </w:r>
            <w:r>
              <w:rPr>
                <w:rFonts w:hint="eastAsia" w:ascii="新宋体" w:hAnsi="新宋体" w:eastAsia="新宋体" w:cs="新宋体"/>
                <w:color w:val="auto"/>
                <w:kern w:val="0"/>
                <w:sz w:val="22"/>
                <w:szCs w:val="22"/>
                <w:highlight w:val="none"/>
                <w:lang w:eastAsia="zh-CN"/>
              </w:rPr>
              <w:t>符合</w:t>
            </w:r>
            <w:r>
              <w:rPr>
                <w:rFonts w:hint="eastAsia" w:ascii="仿宋" w:hAnsi="仿宋"/>
                <w:color w:val="auto"/>
                <w:sz w:val="22"/>
                <w:szCs w:val="22"/>
                <w:highlight w:val="none"/>
              </w:rPr>
              <w:t>落实政府采购政策需满足的资格要求</w:t>
            </w:r>
            <w:r>
              <w:rPr>
                <w:rFonts w:hint="eastAsia" w:ascii="仿宋" w:hAnsi="仿宋"/>
                <w:color w:val="auto"/>
                <w:sz w:val="22"/>
                <w:szCs w:val="22"/>
                <w:highlight w:val="none"/>
                <w:lang w:eastAsia="zh-CN"/>
              </w:rPr>
              <w:t>的</w:t>
            </w:r>
            <w:r>
              <w:rPr>
                <w:rFonts w:hint="eastAsia" w:ascii="新宋体" w:hAnsi="新宋体" w:eastAsia="新宋体" w:cs="新宋体"/>
                <w:color w:val="auto"/>
                <w:kern w:val="0"/>
                <w:sz w:val="22"/>
                <w:szCs w:val="22"/>
                <w:highlight w:val="none"/>
              </w:rPr>
              <w:t>非联合体</w:t>
            </w:r>
            <w:r>
              <w:rPr>
                <w:rFonts w:hint="eastAsia" w:ascii="新宋体" w:hAnsi="新宋体" w:eastAsia="新宋体" w:cs="新宋体"/>
                <w:color w:val="auto"/>
                <w:kern w:val="0"/>
                <w:sz w:val="22"/>
                <w:szCs w:val="22"/>
                <w:highlight w:val="none"/>
                <w:lang w:eastAsia="zh-CN"/>
              </w:rPr>
              <w:t>投标人</w:t>
            </w:r>
            <w:r>
              <w:rPr>
                <w:rFonts w:hint="eastAsia" w:ascii="新宋体" w:hAnsi="新宋体" w:eastAsia="新宋体" w:cs="新宋体"/>
                <w:color w:val="auto"/>
                <w:kern w:val="0"/>
                <w:sz w:val="22"/>
                <w:szCs w:val="22"/>
                <w:highlight w:val="none"/>
              </w:rPr>
              <w:t>无需提供）</w:t>
            </w:r>
          </w:p>
        </w:tc>
      </w:tr>
      <w:tr w14:paraId="715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tcBorders>
              <w:top w:val="single" w:color="auto" w:sz="4" w:space="0"/>
              <w:left w:val="single" w:color="auto" w:sz="4" w:space="0"/>
              <w:bottom w:val="single" w:color="auto" w:sz="4" w:space="0"/>
              <w:right w:val="single" w:color="auto" w:sz="4" w:space="0"/>
            </w:tcBorders>
            <w:noWrap/>
            <w:vAlign w:val="center"/>
          </w:tcPr>
          <w:p w14:paraId="750D0846">
            <w:pPr>
              <w:overflowPunct w:val="0"/>
              <w:spacing w:line="43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3</w:t>
            </w:r>
          </w:p>
        </w:tc>
        <w:tc>
          <w:tcPr>
            <w:tcW w:w="9115" w:type="dxa"/>
            <w:tcBorders>
              <w:top w:val="single" w:color="auto" w:sz="4" w:space="0"/>
              <w:left w:val="single" w:color="auto" w:sz="4" w:space="0"/>
              <w:bottom w:val="single" w:color="auto" w:sz="4" w:space="0"/>
              <w:right w:val="single" w:color="auto" w:sz="4" w:space="0"/>
            </w:tcBorders>
            <w:noWrap/>
            <w:vAlign w:val="center"/>
          </w:tcPr>
          <w:p w14:paraId="344CDDB8">
            <w:pPr>
              <w:rPr>
                <w:rFonts w:hint="eastAsia" w:ascii="新宋体" w:hAnsi="新宋体" w:eastAsia="新宋体" w:cs="新宋体"/>
                <w:color w:val="auto"/>
                <w:kern w:val="0"/>
                <w:sz w:val="22"/>
                <w:szCs w:val="22"/>
                <w:highlight w:val="none"/>
              </w:rPr>
            </w:pPr>
            <w:r>
              <w:rPr>
                <w:rFonts w:hint="eastAsia"/>
                <w:color w:val="auto"/>
                <w:highlight w:val="none"/>
                <w:lang w:eastAsia="zh-CN"/>
              </w:rPr>
              <w:t>分包意向协议</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kern w:val="0"/>
                <w:sz w:val="22"/>
                <w:szCs w:val="22"/>
                <w:highlight w:val="none"/>
                <w:lang w:eastAsia="zh-CN"/>
              </w:rPr>
              <w:t>符合</w:t>
            </w:r>
            <w:r>
              <w:rPr>
                <w:rFonts w:hint="eastAsia" w:ascii="仿宋" w:hAnsi="仿宋"/>
                <w:color w:val="auto"/>
                <w:sz w:val="22"/>
                <w:szCs w:val="22"/>
                <w:highlight w:val="none"/>
              </w:rPr>
              <w:t>落实政府采购政策需满足的资格要求</w:t>
            </w:r>
            <w:r>
              <w:rPr>
                <w:rFonts w:hint="eastAsia" w:ascii="仿宋" w:hAnsi="仿宋"/>
                <w:color w:val="auto"/>
                <w:sz w:val="22"/>
                <w:szCs w:val="22"/>
                <w:highlight w:val="none"/>
                <w:lang w:eastAsia="zh-CN"/>
              </w:rPr>
              <w:t>的</w:t>
            </w:r>
            <w:r>
              <w:rPr>
                <w:rFonts w:hint="eastAsia" w:ascii="仿宋" w:hAnsi="仿宋"/>
                <w:color w:val="auto"/>
                <w:sz w:val="22"/>
                <w:szCs w:val="22"/>
                <w:highlight w:val="none"/>
                <w:lang w:val="en-US" w:eastAsia="zh-CN"/>
              </w:rPr>
              <w:t>未分包</w:t>
            </w:r>
            <w:r>
              <w:rPr>
                <w:rFonts w:hint="eastAsia" w:ascii="新宋体" w:hAnsi="新宋体" w:eastAsia="新宋体" w:cs="新宋体"/>
                <w:color w:val="auto"/>
                <w:kern w:val="0"/>
                <w:sz w:val="22"/>
                <w:szCs w:val="22"/>
                <w:highlight w:val="none"/>
                <w:lang w:eastAsia="zh-CN"/>
              </w:rPr>
              <w:t>投标人</w:t>
            </w:r>
            <w:r>
              <w:rPr>
                <w:rFonts w:hint="eastAsia" w:ascii="新宋体" w:hAnsi="新宋体" w:eastAsia="新宋体" w:cs="新宋体"/>
                <w:color w:val="auto"/>
                <w:kern w:val="0"/>
                <w:sz w:val="22"/>
                <w:szCs w:val="22"/>
                <w:highlight w:val="none"/>
              </w:rPr>
              <w:t>无需提供）</w:t>
            </w:r>
          </w:p>
        </w:tc>
      </w:tr>
      <w:tr w14:paraId="40CE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39" w:type="dxa"/>
            <w:tcBorders>
              <w:top w:val="single" w:color="auto" w:sz="4" w:space="0"/>
              <w:left w:val="single" w:color="auto" w:sz="4" w:space="0"/>
              <w:bottom w:val="single" w:color="auto" w:sz="4" w:space="0"/>
              <w:right w:val="single" w:color="auto" w:sz="4" w:space="0"/>
            </w:tcBorders>
            <w:noWrap/>
            <w:vAlign w:val="center"/>
          </w:tcPr>
          <w:p w14:paraId="3AF77F22">
            <w:pPr>
              <w:overflowPunct w:val="0"/>
              <w:spacing w:line="43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4</w:t>
            </w:r>
          </w:p>
        </w:tc>
        <w:tc>
          <w:tcPr>
            <w:tcW w:w="9115" w:type="dxa"/>
            <w:tcBorders>
              <w:top w:val="single" w:color="auto" w:sz="4" w:space="0"/>
              <w:left w:val="single" w:color="auto" w:sz="4" w:space="0"/>
              <w:bottom w:val="single" w:color="auto" w:sz="4" w:space="0"/>
              <w:right w:val="single" w:color="auto" w:sz="4" w:space="0"/>
            </w:tcBorders>
            <w:noWrap/>
            <w:vAlign w:val="center"/>
          </w:tcPr>
          <w:p w14:paraId="12BF6BB4">
            <w:pPr>
              <w:autoSpaceDE w:val="0"/>
              <w:autoSpaceDN w:val="0"/>
              <w:adjustRightInd w:val="0"/>
              <w:spacing w:line="240" w:lineRule="auto"/>
              <w:rPr>
                <w:rFonts w:hint="eastAsia"/>
                <w:color w:val="auto"/>
                <w:highlight w:val="none"/>
                <w:lang w:eastAsia="zh-CN"/>
              </w:rPr>
            </w:pPr>
            <w:r>
              <w:rPr>
                <w:rFonts w:hint="eastAsia" w:ascii="宋体" w:hAnsi="宋体" w:cs="宋体"/>
                <w:color w:val="auto"/>
                <w:kern w:val="0"/>
                <w:sz w:val="22"/>
                <w:szCs w:val="22"/>
                <w:highlight w:val="none"/>
                <w:lang w:val="zh-CN"/>
              </w:rPr>
              <w:t>中小企业声明函（或监狱企业声明函、残疾人福利性单位声明函，联合体成员或意向分包单位均需提供）</w:t>
            </w:r>
          </w:p>
        </w:tc>
      </w:tr>
      <w:tr w14:paraId="629A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tcBorders>
              <w:top w:val="single" w:color="auto" w:sz="4" w:space="0"/>
              <w:left w:val="single" w:color="auto" w:sz="4" w:space="0"/>
              <w:bottom w:val="single" w:color="auto" w:sz="4" w:space="0"/>
              <w:right w:val="single" w:color="auto" w:sz="4" w:space="0"/>
            </w:tcBorders>
            <w:noWrap/>
            <w:vAlign w:val="center"/>
          </w:tcPr>
          <w:p w14:paraId="2C75D399">
            <w:pPr>
              <w:overflowPunct w:val="0"/>
              <w:spacing w:line="43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5</w:t>
            </w:r>
          </w:p>
        </w:tc>
        <w:tc>
          <w:tcPr>
            <w:tcW w:w="9115" w:type="dxa"/>
            <w:tcBorders>
              <w:top w:val="single" w:color="auto" w:sz="4" w:space="0"/>
              <w:left w:val="single" w:color="auto" w:sz="4" w:space="0"/>
              <w:bottom w:val="single" w:color="auto" w:sz="4" w:space="0"/>
              <w:right w:val="single" w:color="auto" w:sz="4" w:space="0"/>
            </w:tcBorders>
            <w:noWrap/>
            <w:vAlign w:val="center"/>
          </w:tcPr>
          <w:p w14:paraId="65CF959B">
            <w:pPr>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营业执照(或事业法人登记证书或其它工商等登记证明材料)</w:t>
            </w:r>
          </w:p>
        </w:tc>
      </w:tr>
      <w:tr w14:paraId="722C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tcBorders>
              <w:top w:val="single" w:color="auto" w:sz="4" w:space="0"/>
              <w:left w:val="single" w:color="auto" w:sz="4" w:space="0"/>
              <w:bottom w:val="single" w:color="auto" w:sz="4" w:space="0"/>
              <w:right w:val="single" w:color="auto" w:sz="4" w:space="0"/>
            </w:tcBorders>
            <w:noWrap/>
            <w:vAlign w:val="center"/>
          </w:tcPr>
          <w:p w14:paraId="7F9C2C5A">
            <w:pPr>
              <w:overflowPunct w:val="0"/>
              <w:spacing w:line="43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6</w:t>
            </w:r>
          </w:p>
        </w:tc>
        <w:tc>
          <w:tcPr>
            <w:tcW w:w="9115" w:type="dxa"/>
            <w:tcBorders>
              <w:top w:val="single" w:color="auto" w:sz="4" w:space="0"/>
              <w:left w:val="single" w:color="auto" w:sz="4" w:space="0"/>
              <w:bottom w:val="single" w:color="auto" w:sz="4" w:space="0"/>
              <w:right w:val="single" w:color="auto" w:sz="4" w:space="0"/>
            </w:tcBorders>
            <w:noWrap/>
            <w:vAlign w:val="center"/>
          </w:tcPr>
          <w:p w14:paraId="39F6DA2E">
            <w:pPr>
              <w:rPr>
                <w:rFonts w:ascii="宋体" w:hAnsi="宋体" w:cs="宋体"/>
                <w:bCs/>
                <w:color w:val="auto"/>
                <w:kern w:val="0"/>
                <w:sz w:val="22"/>
                <w:szCs w:val="22"/>
                <w:highlight w:val="none"/>
              </w:rPr>
            </w:pPr>
            <w:r>
              <w:rPr>
                <w:rFonts w:hint="eastAsia" w:ascii="新宋体" w:hAnsi="新宋体" w:eastAsia="新宋体" w:cs="宋体"/>
                <w:color w:val="auto"/>
                <w:kern w:val="0"/>
                <w:sz w:val="22"/>
                <w:szCs w:val="22"/>
                <w:highlight w:val="none"/>
              </w:rPr>
              <w:t>资格条件承诺函</w:t>
            </w:r>
          </w:p>
        </w:tc>
      </w:tr>
      <w:tr w14:paraId="368A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39" w:type="dxa"/>
            <w:tcBorders>
              <w:top w:val="single" w:color="auto" w:sz="4" w:space="0"/>
              <w:left w:val="single" w:color="auto" w:sz="4" w:space="0"/>
              <w:bottom w:val="single" w:color="auto" w:sz="4" w:space="0"/>
              <w:right w:val="single" w:color="auto" w:sz="4" w:space="0"/>
            </w:tcBorders>
            <w:noWrap/>
            <w:vAlign w:val="center"/>
          </w:tcPr>
          <w:p w14:paraId="6ABCA4A1">
            <w:pPr>
              <w:overflowPunct w:val="0"/>
              <w:spacing w:line="43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7</w:t>
            </w:r>
          </w:p>
        </w:tc>
        <w:tc>
          <w:tcPr>
            <w:tcW w:w="9115" w:type="dxa"/>
            <w:tcBorders>
              <w:top w:val="single" w:color="auto" w:sz="4" w:space="0"/>
              <w:left w:val="single" w:color="auto" w:sz="4" w:space="0"/>
              <w:bottom w:val="single" w:color="auto" w:sz="4" w:space="0"/>
              <w:right w:val="single" w:color="auto" w:sz="4" w:space="0"/>
            </w:tcBorders>
            <w:noWrap/>
            <w:vAlign w:val="center"/>
          </w:tcPr>
          <w:p w14:paraId="0F85AB71">
            <w:pPr>
              <w:rPr>
                <w:rFonts w:ascii="宋体" w:hAnsi="宋体" w:cs="宋体"/>
                <w:color w:val="auto"/>
                <w:kern w:val="0"/>
                <w:sz w:val="22"/>
                <w:szCs w:val="22"/>
                <w:highlight w:val="none"/>
              </w:rPr>
            </w:pPr>
            <w:r>
              <w:rPr>
                <w:rFonts w:hint="eastAsia" w:ascii="新宋体" w:hAnsi="新宋体" w:eastAsia="新宋体" w:cs="新宋体"/>
                <w:bCs/>
                <w:color w:val="auto"/>
                <w:sz w:val="22"/>
                <w:szCs w:val="22"/>
                <w:highlight w:val="none"/>
              </w:rPr>
              <w:t>申请材料真实性声明</w:t>
            </w:r>
          </w:p>
        </w:tc>
      </w:tr>
      <w:bookmarkEnd w:id="38"/>
    </w:tbl>
    <w:p w14:paraId="65A2D54F">
      <w:pPr>
        <w:spacing w:line="430" w:lineRule="exact"/>
        <w:rPr>
          <w:rFonts w:ascii="宋体" w:hAnsi="宋体" w:cs="宋体"/>
          <w:color w:val="auto"/>
          <w:sz w:val="22"/>
          <w:szCs w:val="22"/>
          <w:highlight w:val="none"/>
        </w:rPr>
      </w:pPr>
      <w:r>
        <w:rPr>
          <w:rFonts w:hint="eastAsia" w:ascii="宋体" w:hAnsi="宋体" w:cs="宋体"/>
          <w:b/>
          <w:bCs/>
          <w:color w:val="auto"/>
          <w:sz w:val="22"/>
          <w:szCs w:val="22"/>
          <w:highlight w:val="none"/>
        </w:rPr>
        <w:t>备注：</w:t>
      </w:r>
      <w:r>
        <w:rPr>
          <w:rFonts w:hint="eastAsia"/>
          <w:b/>
          <w:bCs/>
          <w:color w:val="auto"/>
          <w:sz w:val="22"/>
          <w:szCs w:val="22"/>
          <w:highlight w:val="none"/>
        </w:rPr>
        <w:t>如为联合体</w:t>
      </w:r>
      <w:r>
        <w:rPr>
          <w:rFonts w:hint="eastAsia"/>
          <w:b/>
          <w:bCs/>
          <w:color w:val="auto"/>
          <w:sz w:val="22"/>
          <w:szCs w:val="22"/>
          <w:highlight w:val="none"/>
          <w:lang w:val="en-US" w:eastAsia="zh-CN"/>
        </w:rPr>
        <w:t>或意向分包</w:t>
      </w:r>
      <w:r>
        <w:rPr>
          <w:rFonts w:hint="eastAsia"/>
          <w:b/>
          <w:bCs/>
          <w:color w:val="auto"/>
          <w:sz w:val="22"/>
          <w:szCs w:val="22"/>
          <w:highlight w:val="none"/>
        </w:rPr>
        <w:t>，则</w:t>
      </w:r>
      <w:r>
        <w:rPr>
          <w:rFonts w:hint="eastAsia"/>
          <w:b/>
          <w:bCs/>
          <w:color w:val="auto"/>
          <w:sz w:val="22"/>
          <w:szCs w:val="22"/>
          <w:highlight w:val="none"/>
          <w:lang w:val="en-US" w:eastAsia="zh-CN"/>
        </w:rPr>
        <w:t>5-7</w:t>
      </w:r>
      <w:r>
        <w:rPr>
          <w:rFonts w:hint="eastAsia"/>
          <w:b/>
          <w:bCs/>
          <w:color w:val="auto"/>
          <w:sz w:val="22"/>
          <w:szCs w:val="22"/>
          <w:highlight w:val="none"/>
        </w:rPr>
        <w:t>项资格审查材料联合体</w:t>
      </w:r>
      <w:r>
        <w:rPr>
          <w:rFonts w:hint="eastAsia"/>
          <w:b/>
          <w:bCs/>
          <w:color w:val="auto"/>
          <w:sz w:val="22"/>
          <w:szCs w:val="22"/>
          <w:highlight w:val="none"/>
          <w:lang w:val="en-US" w:eastAsia="zh-CN"/>
        </w:rPr>
        <w:t>或分包单位</w:t>
      </w:r>
      <w:r>
        <w:rPr>
          <w:rFonts w:hint="eastAsia"/>
          <w:b/>
          <w:bCs/>
          <w:color w:val="auto"/>
          <w:sz w:val="22"/>
          <w:szCs w:val="22"/>
          <w:highlight w:val="none"/>
        </w:rPr>
        <w:t>均须提供。</w:t>
      </w:r>
    </w:p>
    <w:p w14:paraId="002059E8">
      <w:pPr>
        <w:numPr>
          <w:ilvl w:val="0"/>
          <w:numId w:val="17"/>
        </w:numPr>
        <w:spacing w:line="430" w:lineRule="exact"/>
        <w:rPr>
          <w:rFonts w:ascii="宋体" w:hAnsi="宋体" w:cs="宋体"/>
          <w:color w:val="auto"/>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1E973D16">
      <w:pPr>
        <w:numPr>
          <w:ilvl w:val="0"/>
          <w:numId w:val="17"/>
        </w:numPr>
        <w:spacing w:line="430" w:lineRule="exact"/>
        <w:rPr>
          <w:rFonts w:ascii="宋体" w:hAnsi="宋体" w:cs="宋体"/>
          <w:color w:val="auto"/>
          <w:sz w:val="22"/>
          <w:szCs w:val="22"/>
          <w:highlight w:val="none"/>
        </w:rPr>
      </w:pPr>
      <w:r>
        <w:rPr>
          <w:rFonts w:hint="eastAsia" w:ascii="宋体" w:hAnsi="宋体" w:cs="宋体"/>
          <w:b/>
          <w:bCs/>
          <w:color w:val="auto"/>
          <w:szCs w:val="21"/>
          <w:highlight w:val="none"/>
          <w:u w:val="single"/>
        </w:rPr>
        <w:t>▲</w:t>
      </w:r>
      <w:r>
        <w:rPr>
          <w:rFonts w:hint="eastAsia" w:ascii="宋体" w:hAnsi="宋体" w:cs="宋体"/>
          <w:b/>
          <w:color w:val="auto"/>
          <w:sz w:val="22"/>
          <w:szCs w:val="22"/>
          <w:highlight w:val="none"/>
          <w:u w:val="single"/>
        </w:rPr>
        <w:t>以上所需的各种证书、证件、证明等若系扫描件，须加盖投标人有效的公章（电子签章）。</w:t>
      </w:r>
    </w:p>
    <w:p w14:paraId="225AB05F">
      <w:pPr>
        <w:numPr>
          <w:ilvl w:val="0"/>
          <w:numId w:val="17"/>
        </w:numPr>
        <w:spacing w:line="430" w:lineRule="exact"/>
        <w:rPr>
          <w:rFonts w:ascii="宋体" w:hAnsi="宋体" w:cs="宋体"/>
          <w:color w:val="auto"/>
          <w:sz w:val="22"/>
          <w:szCs w:val="22"/>
          <w:highlight w:val="none"/>
        </w:rPr>
      </w:pPr>
      <w:r>
        <w:rPr>
          <w:rFonts w:hint="eastAsia" w:ascii="宋体" w:hAnsi="宋体" w:cs="宋体"/>
          <w:color w:val="auto"/>
          <w:sz w:val="22"/>
          <w:szCs w:val="22"/>
          <w:highlight w:val="none"/>
        </w:rPr>
        <w:t>相关证书、报告等如遇年检或换证等特殊情况须按要求提供相应的证明材料。</w:t>
      </w:r>
    </w:p>
    <w:p w14:paraId="6A5DE16B">
      <w:pPr>
        <w:tabs>
          <w:tab w:val="left" w:pos="360"/>
        </w:tabs>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12.3 投标文件商务技术文件应包括下列部分：</w:t>
      </w:r>
    </w:p>
    <w:tbl>
      <w:tblPr>
        <w:tblStyle w:val="5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109"/>
      </w:tblGrid>
      <w:tr w14:paraId="0F05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B7A32B4">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9109" w:type="dxa"/>
            <w:noWrap/>
            <w:vAlign w:val="center"/>
          </w:tcPr>
          <w:p w14:paraId="7B07327C">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内容</w:t>
            </w:r>
          </w:p>
        </w:tc>
      </w:tr>
      <w:tr w14:paraId="2EAF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3B77F72E">
            <w:pPr>
              <w:jc w:val="center"/>
              <w:rPr>
                <w:rFonts w:ascii="宋体" w:hAnsi="宋体" w:cs="宋体"/>
                <w:b/>
                <w:color w:val="auto"/>
                <w:sz w:val="22"/>
                <w:szCs w:val="22"/>
                <w:highlight w:val="none"/>
              </w:rPr>
            </w:pPr>
            <w:r>
              <w:rPr>
                <w:rFonts w:hint="eastAsia" w:ascii="宋体" w:hAnsi="宋体" w:cs="宋体"/>
                <w:color w:val="auto"/>
                <w:sz w:val="22"/>
                <w:szCs w:val="22"/>
                <w:highlight w:val="none"/>
              </w:rPr>
              <w:t>1</w:t>
            </w:r>
          </w:p>
        </w:tc>
        <w:tc>
          <w:tcPr>
            <w:tcW w:w="9109" w:type="dxa"/>
            <w:noWrap/>
            <w:vAlign w:val="center"/>
          </w:tcPr>
          <w:p w14:paraId="37389AF3">
            <w:pPr>
              <w:jc w:val="left"/>
              <w:rPr>
                <w:rFonts w:ascii="宋体" w:hAnsi="宋体" w:cs="宋体"/>
                <w:b/>
                <w:color w:val="auto"/>
                <w:sz w:val="22"/>
                <w:szCs w:val="22"/>
                <w:highlight w:val="none"/>
              </w:rPr>
            </w:pPr>
            <w:r>
              <w:rPr>
                <w:rFonts w:hint="eastAsia" w:ascii="宋体" w:hAnsi="宋体" w:cs="宋体"/>
                <w:bCs/>
                <w:color w:val="auto"/>
                <w:sz w:val="22"/>
                <w:szCs w:val="22"/>
                <w:highlight w:val="none"/>
              </w:rPr>
              <w:t>针对评分细则，编制目录索引，注明评标细则项目所在投标文件页码，格式自拟</w:t>
            </w:r>
          </w:p>
        </w:tc>
      </w:tr>
      <w:tr w14:paraId="3610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AD7B44A">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109" w:type="dxa"/>
            <w:noWrap/>
            <w:vAlign w:val="center"/>
          </w:tcPr>
          <w:p w14:paraId="6FFDCEA4">
            <w:pPr>
              <w:rPr>
                <w:rFonts w:ascii="宋体" w:hAnsi="宋体" w:cs="宋体"/>
                <w:b/>
                <w:color w:val="auto"/>
                <w:sz w:val="22"/>
                <w:szCs w:val="22"/>
                <w:highlight w:val="none"/>
              </w:rPr>
            </w:pPr>
            <w:r>
              <w:rPr>
                <w:rFonts w:hint="eastAsia" w:ascii="宋体" w:hAnsi="宋体" w:cs="宋体"/>
                <w:color w:val="auto"/>
                <w:sz w:val="22"/>
                <w:szCs w:val="22"/>
                <w:highlight w:val="none"/>
              </w:rPr>
              <w:t>投标函</w:t>
            </w:r>
          </w:p>
        </w:tc>
      </w:tr>
      <w:tr w14:paraId="16AF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3A430F5">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9109" w:type="dxa"/>
            <w:noWrap/>
            <w:vAlign w:val="center"/>
          </w:tcPr>
          <w:p w14:paraId="7B112A88">
            <w:pPr>
              <w:rPr>
                <w:rFonts w:ascii="宋体" w:hAnsi="宋体" w:cs="宋体"/>
                <w:color w:val="auto"/>
                <w:sz w:val="22"/>
                <w:szCs w:val="22"/>
                <w:highlight w:val="none"/>
              </w:rPr>
            </w:pPr>
            <w:r>
              <w:rPr>
                <w:rFonts w:hint="eastAsia" w:ascii="宋体" w:hAnsi="宋体" w:cs="宋体"/>
                <w:color w:val="auto"/>
                <w:sz w:val="22"/>
                <w:szCs w:val="22"/>
                <w:highlight w:val="none"/>
              </w:rPr>
              <w:t>技术要求应答表、商务条款偏离表</w:t>
            </w:r>
          </w:p>
        </w:tc>
      </w:tr>
      <w:tr w14:paraId="3CD2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14F0CD5">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9109" w:type="dxa"/>
            <w:noWrap/>
            <w:vAlign w:val="center"/>
          </w:tcPr>
          <w:p w14:paraId="49AD4072">
            <w:pPr>
              <w:rPr>
                <w:rFonts w:ascii="宋体" w:hAnsi="宋体" w:cs="宋体"/>
                <w:color w:val="auto"/>
                <w:sz w:val="22"/>
                <w:szCs w:val="22"/>
                <w:highlight w:val="none"/>
              </w:rPr>
            </w:pPr>
            <w:r>
              <w:rPr>
                <w:rFonts w:hint="eastAsia" w:ascii="宋体" w:hAnsi="宋体" w:cs="宋体"/>
                <w:color w:val="auto"/>
                <w:sz w:val="22"/>
                <w:szCs w:val="22"/>
                <w:highlight w:val="none"/>
              </w:rPr>
              <w:t>投标人实力及</w:t>
            </w:r>
            <w:r>
              <w:rPr>
                <w:rFonts w:hint="eastAsia" w:ascii="宋体" w:hAnsi="宋体" w:cs="宋体"/>
                <w:color w:val="auto"/>
                <w:sz w:val="22"/>
                <w:szCs w:val="22"/>
                <w:highlight w:val="none"/>
                <w:lang w:val="en-US" w:eastAsia="zh-CN"/>
              </w:rPr>
              <w:t>同类项目</w:t>
            </w:r>
            <w:r>
              <w:rPr>
                <w:rFonts w:hint="eastAsia" w:ascii="宋体" w:hAnsi="宋体" w:cs="宋体"/>
                <w:color w:val="auto"/>
                <w:sz w:val="22"/>
                <w:szCs w:val="22"/>
                <w:highlight w:val="none"/>
              </w:rPr>
              <w:t>业绩证明材料</w:t>
            </w:r>
          </w:p>
        </w:tc>
      </w:tr>
      <w:tr w14:paraId="0D5C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5BE43D63">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9109" w:type="dxa"/>
            <w:noWrap/>
            <w:vAlign w:val="center"/>
          </w:tcPr>
          <w:p w14:paraId="7EFC4C56">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技术服务及力量保障</w:t>
            </w:r>
          </w:p>
        </w:tc>
      </w:tr>
      <w:tr w14:paraId="7D1E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187A903C">
            <w:pPr>
              <w:jc w:val="center"/>
              <w:rPr>
                <w:rFonts w:ascii="宋体" w:hAnsi="宋体" w:cs="宋体"/>
                <w:color w:val="auto"/>
                <w:sz w:val="22"/>
                <w:szCs w:val="22"/>
                <w:highlight w:val="none"/>
              </w:rPr>
            </w:pPr>
            <w:r>
              <w:rPr>
                <w:rFonts w:ascii="宋体" w:hAnsi="宋体" w:cs="宋体"/>
                <w:color w:val="auto"/>
                <w:sz w:val="22"/>
                <w:szCs w:val="22"/>
                <w:highlight w:val="none"/>
              </w:rPr>
              <w:t>6</w:t>
            </w:r>
          </w:p>
        </w:tc>
        <w:tc>
          <w:tcPr>
            <w:tcW w:w="9109" w:type="dxa"/>
            <w:noWrap/>
            <w:vAlign w:val="center"/>
          </w:tcPr>
          <w:p w14:paraId="291BA19A">
            <w:pPr>
              <w:rPr>
                <w:rFonts w:ascii="宋体" w:hAnsi="宋体" w:cs="宋体"/>
                <w:color w:val="auto"/>
                <w:sz w:val="22"/>
                <w:szCs w:val="22"/>
                <w:highlight w:val="none"/>
              </w:rPr>
            </w:pPr>
            <w:r>
              <w:rPr>
                <w:rFonts w:hint="eastAsia" w:ascii="宋体" w:hAnsi="宋体" w:cs="宋体"/>
                <w:color w:val="auto"/>
                <w:sz w:val="22"/>
                <w:szCs w:val="22"/>
                <w:highlight w:val="none"/>
              </w:rPr>
              <w:t>项目整体技术方案</w:t>
            </w:r>
          </w:p>
        </w:tc>
      </w:tr>
      <w:tr w14:paraId="51C3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6D27260A">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9109" w:type="dxa"/>
            <w:noWrap/>
            <w:vAlign w:val="center"/>
          </w:tcPr>
          <w:p w14:paraId="3DFF198B">
            <w:pPr>
              <w:rPr>
                <w:rFonts w:hint="eastAsia" w:ascii="宋体" w:hAnsi="宋体" w:cs="宋体"/>
                <w:color w:val="auto"/>
                <w:sz w:val="22"/>
                <w:szCs w:val="22"/>
                <w:highlight w:val="none"/>
              </w:rPr>
            </w:pPr>
            <w:r>
              <w:rPr>
                <w:rFonts w:hint="eastAsia" w:ascii="宋体" w:hAnsi="宋体" w:cs="宋体"/>
                <w:color w:val="auto"/>
                <w:sz w:val="22"/>
                <w:szCs w:val="22"/>
                <w:highlight w:val="none"/>
              </w:rPr>
              <w:t>根据</w:t>
            </w:r>
            <w:r>
              <w:rPr>
                <w:rFonts w:hint="eastAsia" w:ascii="宋体" w:hAnsi="宋体" w:cs="宋体"/>
                <w:color w:val="auto"/>
                <w:sz w:val="22"/>
                <w:szCs w:val="22"/>
                <w:highlight w:val="none"/>
                <w:lang w:val="en-US" w:eastAsia="zh-CN"/>
              </w:rPr>
              <w:t>采购</w:t>
            </w:r>
            <w:r>
              <w:rPr>
                <w:rFonts w:hint="eastAsia" w:ascii="宋体" w:hAnsi="宋体" w:cs="宋体"/>
                <w:color w:val="auto"/>
                <w:sz w:val="22"/>
                <w:szCs w:val="22"/>
                <w:highlight w:val="none"/>
              </w:rPr>
              <w:t>文件中的采购内容与技术要求、评标细则，需要提供的其它文件和资料。</w:t>
            </w:r>
          </w:p>
        </w:tc>
      </w:tr>
    </w:tbl>
    <w:p w14:paraId="48748C69">
      <w:pPr>
        <w:spacing w:line="430" w:lineRule="exact"/>
        <w:rPr>
          <w:rFonts w:ascii="宋体" w:hAnsi="宋体" w:cs="宋体"/>
          <w:b/>
          <w:color w:val="auto"/>
          <w:sz w:val="22"/>
          <w:szCs w:val="22"/>
          <w:highlight w:val="none"/>
        </w:rPr>
      </w:pPr>
      <w:r>
        <w:rPr>
          <w:rFonts w:hint="eastAsia" w:ascii="宋体" w:hAnsi="宋体" w:cs="宋体"/>
          <w:b/>
          <w:color w:val="auto"/>
          <w:sz w:val="22"/>
          <w:szCs w:val="22"/>
          <w:highlight w:val="none"/>
        </w:rPr>
        <w:t>备注：</w:t>
      </w:r>
    </w:p>
    <w:p w14:paraId="46E1807E">
      <w:pPr>
        <w:numPr>
          <w:ilvl w:val="0"/>
          <w:numId w:val="18"/>
        </w:numPr>
        <w:spacing w:line="430" w:lineRule="exact"/>
        <w:rPr>
          <w:rFonts w:ascii="宋体" w:hAnsi="宋体" w:cs="宋体"/>
          <w:color w:val="auto"/>
          <w:sz w:val="22"/>
          <w:szCs w:val="22"/>
          <w:highlight w:val="none"/>
        </w:rPr>
      </w:pPr>
      <w:r>
        <w:rPr>
          <w:rFonts w:hint="eastAsia" w:ascii="宋体" w:hAnsi="宋体" w:cs="宋体"/>
          <w:color w:val="auto"/>
          <w:sz w:val="22"/>
          <w:szCs w:val="22"/>
          <w:highlight w:val="none"/>
        </w:rPr>
        <w:t>投标人可根据采购文件中的采购内容及需求和商务技术文件评分细则，提供投标人认为需要提供的文件和资料。</w:t>
      </w:r>
    </w:p>
    <w:p w14:paraId="0A13434D">
      <w:pPr>
        <w:numPr>
          <w:ilvl w:val="0"/>
          <w:numId w:val="18"/>
        </w:numPr>
        <w:spacing w:line="430" w:lineRule="exact"/>
        <w:rPr>
          <w:rFonts w:ascii="宋体" w:hAnsi="宋体" w:cs="宋体"/>
          <w:color w:val="auto"/>
          <w:sz w:val="22"/>
          <w:szCs w:val="22"/>
          <w:highlight w:val="none"/>
        </w:rPr>
      </w:pPr>
      <w:r>
        <w:rPr>
          <w:rFonts w:hint="eastAsia" w:ascii="宋体" w:hAnsi="宋体" w:cs="宋体"/>
          <w:color w:val="auto"/>
          <w:sz w:val="22"/>
          <w:szCs w:val="22"/>
          <w:highlight w:val="none"/>
        </w:rPr>
        <w:t>投标文件中应承诺：投标人所提供的技术资料的所有权归采购人所有。如若发生第三方侵权事件，其侵权责任与采购人及采购代理机构无关，由投标人承担全部责任。侵权造成的所有相关费用，均由投标人支付，保证不伤害采购人的利益。</w:t>
      </w:r>
    </w:p>
    <w:p w14:paraId="1C1B8AA9">
      <w:pPr>
        <w:numPr>
          <w:ilvl w:val="0"/>
          <w:numId w:val="18"/>
        </w:numPr>
        <w:spacing w:line="430" w:lineRule="exact"/>
        <w:rPr>
          <w:rFonts w:ascii="宋体" w:hAnsi="宋体" w:cs="宋体"/>
          <w:color w:val="auto"/>
          <w:sz w:val="22"/>
          <w:szCs w:val="22"/>
          <w:highlight w:val="none"/>
        </w:rPr>
      </w:pPr>
      <w:r>
        <w:rPr>
          <w:rFonts w:hint="eastAsia" w:ascii="宋体" w:hAnsi="宋体" w:cs="宋体"/>
          <w:color w:val="auto"/>
          <w:sz w:val="22"/>
          <w:szCs w:val="22"/>
          <w:highlight w:val="none"/>
        </w:rPr>
        <w:t>以上所需的各种证书、证件、证明等若系扫描件，须加盖投标人有效的公章。</w:t>
      </w:r>
    </w:p>
    <w:p w14:paraId="655F25F7">
      <w:pPr>
        <w:numPr>
          <w:ilvl w:val="0"/>
          <w:numId w:val="18"/>
        </w:numPr>
        <w:spacing w:line="430" w:lineRule="exact"/>
        <w:rPr>
          <w:rFonts w:ascii="宋体" w:hAnsi="宋体" w:cs="宋体"/>
          <w:color w:val="auto"/>
          <w:sz w:val="22"/>
          <w:szCs w:val="22"/>
          <w:highlight w:val="none"/>
        </w:rPr>
      </w:pPr>
      <w:r>
        <w:rPr>
          <w:rFonts w:hint="eastAsia" w:ascii="宋体" w:hAnsi="宋体" w:cs="宋体"/>
          <w:color w:val="auto"/>
          <w:sz w:val="22"/>
          <w:szCs w:val="22"/>
          <w:highlight w:val="none"/>
        </w:rPr>
        <w:t>相关证书、报告等如遇年检或换证等特殊情况须按要求提供相应的证明材料。</w:t>
      </w:r>
    </w:p>
    <w:p w14:paraId="4F381D87">
      <w:pPr>
        <w:tabs>
          <w:tab w:val="left" w:pos="5355"/>
        </w:tabs>
        <w:spacing w:line="43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12.4 投标文件商务报价标应包括下列部分：</w:t>
      </w:r>
    </w:p>
    <w:bookmarkEnd w:id="37"/>
    <w:tbl>
      <w:tblPr>
        <w:tblStyle w:val="57"/>
        <w:tblW w:w="9854" w:type="dxa"/>
        <w:tblInd w:w="0" w:type="dxa"/>
        <w:tblLayout w:type="fixed"/>
        <w:tblCellMar>
          <w:top w:w="0" w:type="dxa"/>
          <w:left w:w="108" w:type="dxa"/>
          <w:bottom w:w="0" w:type="dxa"/>
          <w:right w:w="108" w:type="dxa"/>
        </w:tblCellMar>
      </w:tblPr>
      <w:tblGrid>
        <w:gridCol w:w="966"/>
        <w:gridCol w:w="8888"/>
      </w:tblGrid>
      <w:tr w14:paraId="5805E8DD">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14:paraId="25FB1CF3">
            <w:pPr>
              <w:autoSpaceDE w:val="0"/>
              <w:autoSpaceDN w:val="0"/>
              <w:adjustRightInd w:val="0"/>
              <w:spacing w:line="430" w:lineRule="atLeast"/>
              <w:jc w:val="center"/>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lang w:val="zh-CN"/>
              </w:rPr>
              <w:t>序号</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14:paraId="416AA087">
            <w:pPr>
              <w:autoSpaceDE w:val="0"/>
              <w:autoSpaceDN w:val="0"/>
              <w:adjustRightInd w:val="0"/>
              <w:spacing w:line="430" w:lineRule="atLeast"/>
              <w:jc w:val="center"/>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lang w:val="zh-CN"/>
              </w:rPr>
              <w:t>内容</w:t>
            </w:r>
          </w:p>
        </w:tc>
      </w:tr>
      <w:tr w14:paraId="0931CA4D">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14:paraId="0F559070">
            <w:pPr>
              <w:autoSpaceDE w:val="0"/>
              <w:autoSpaceDN w:val="0"/>
              <w:adjustRightInd w:val="0"/>
              <w:spacing w:line="430" w:lineRule="atLeast"/>
              <w:jc w:val="center"/>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14:paraId="4349A587">
            <w:pPr>
              <w:autoSpaceDE w:val="0"/>
              <w:autoSpaceDN w:val="0"/>
              <w:adjustRightInd w:val="0"/>
              <w:spacing w:line="430" w:lineRule="atLeast"/>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开标一览表</w:t>
            </w:r>
          </w:p>
        </w:tc>
      </w:tr>
      <w:tr w14:paraId="3DD227A3">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14:paraId="606C32F3">
            <w:pPr>
              <w:autoSpaceDE w:val="0"/>
              <w:autoSpaceDN w:val="0"/>
              <w:adjustRightInd w:val="0"/>
              <w:spacing w:line="430" w:lineRule="atLeas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14:paraId="2F0C12FB">
            <w:pPr>
              <w:autoSpaceDE w:val="0"/>
              <w:autoSpaceDN w:val="0"/>
              <w:adjustRightInd w:val="0"/>
              <w:spacing w:line="430" w:lineRule="atLeast"/>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投标分项报价表</w:t>
            </w:r>
          </w:p>
        </w:tc>
      </w:tr>
      <w:tr w14:paraId="1D237FB5">
        <w:tblPrEx>
          <w:tblCellMar>
            <w:top w:w="0" w:type="dxa"/>
            <w:left w:w="108" w:type="dxa"/>
            <w:bottom w:w="0" w:type="dxa"/>
            <w:right w:w="108" w:type="dxa"/>
          </w:tblCellMar>
        </w:tblPrEx>
        <w:trPr>
          <w:trHeight w:val="613"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14:paraId="0F549892">
            <w:pPr>
              <w:autoSpaceDE w:val="0"/>
              <w:autoSpaceDN w:val="0"/>
              <w:adjustRightInd w:val="0"/>
              <w:spacing w:line="430" w:lineRule="atLeas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14:paraId="5E0CB252">
            <w:pPr>
              <w:autoSpaceDE w:val="0"/>
              <w:autoSpaceDN w:val="0"/>
              <w:adjustRightInd w:val="0"/>
              <w:spacing w:line="240" w:lineRule="auto"/>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中小企业声明函（或监狱企业声明函、残疾人福利性单位声明函，联合体成员或意向分包单位均需提供）</w:t>
            </w:r>
          </w:p>
        </w:tc>
      </w:tr>
    </w:tbl>
    <w:p w14:paraId="27DBE85A">
      <w:pPr>
        <w:spacing w:line="440" w:lineRule="exact"/>
        <w:ind w:left="331" w:hanging="331" w:hangingChars="150"/>
        <w:rPr>
          <w:rFonts w:ascii="宋体" w:hAnsi="宋体" w:cs="宋体"/>
          <w:b/>
          <w:bCs/>
          <w:color w:val="auto"/>
          <w:sz w:val="22"/>
          <w:szCs w:val="22"/>
          <w:highlight w:val="none"/>
        </w:rPr>
      </w:pPr>
      <w:r>
        <w:rPr>
          <w:rFonts w:hint="eastAsia" w:ascii="宋体" w:hAnsi="宋体" w:cs="宋体"/>
          <w:b/>
          <w:bCs/>
          <w:color w:val="auto"/>
          <w:sz w:val="22"/>
          <w:szCs w:val="22"/>
          <w:highlight w:val="none"/>
        </w:rPr>
        <w:t>13.投标文件编制</w:t>
      </w:r>
    </w:p>
    <w:p w14:paraId="32ED7498">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13.1本项目通过“政采云平台（www.zcygov.cn）”实行在线投标响应（电子投标）。供应商应通过“政采云电子交易客户端”，并按照本采购文件和“政采云平台”的要求编制并加密投标文件。</w:t>
      </w:r>
    </w:p>
    <w:p w14:paraId="67179337">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13.2投标人应当按照本章节 “投标文件组成”规定的内容及顺序在“政采云电子交易客户端”编制投标文件。其中“资格审查资料”和“商务技术文件”中不得出现本项目投标报价，如因投标人原因提前泄露投标报价，是投标人的责任。</w:t>
      </w:r>
    </w:p>
    <w:p w14:paraId="49992C0C">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13.3本采购文件“第四部分 投标文件格式”中有提供格式的，投标人须参照格式进行编制（格式中要求提供相关证明材料的还需后附相关证明材料），并按格式要求在指定位置根据要求进行签章，否则视为未提供；本文件“第四部分 投标文件格式”未提供格式的，请各投标单位自行拟定格式，并加盖单位公章并由法定代表人或其授权代表签署（签字或盖章），否则视为未提供。</w:t>
      </w:r>
    </w:p>
    <w:p w14:paraId="234C2B59">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13.4投标文件内容不完整、编排混乱导致投标文件被误读、漏读或者查找不到相关内容的，是投标人的责任。</w:t>
      </w:r>
    </w:p>
    <w:p w14:paraId="7494AA6A">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13.5投标文件因字迹潦草或表达不清所引起的后果由投标人负责。</w:t>
      </w:r>
    </w:p>
    <w:p w14:paraId="16C271C9">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13.6 投标人没有按照本章节 “投标文件组成”要求提供全部资料，或者没有仔细阅读采购文件，或者没有对采购文件在各方面的要求作出实质性响应是投标人的风险，由此造成的一切后果由投标人自行承担。</w:t>
      </w:r>
    </w:p>
    <w:p w14:paraId="62E5BA3D">
      <w:pPr>
        <w:spacing w:line="440" w:lineRule="exact"/>
        <w:ind w:left="331" w:hanging="331" w:hangingChars="150"/>
        <w:rPr>
          <w:rFonts w:ascii="宋体" w:hAnsi="宋体" w:cs="宋体"/>
          <w:b/>
          <w:bCs/>
          <w:color w:val="auto"/>
          <w:sz w:val="22"/>
          <w:szCs w:val="22"/>
          <w:highlight w:val="none"/>
        </w:rPr>
      </w:pPr>
      <w:r>
        <w:rPr>
          <w:rFonts w:hint="eastAsia" w:ascii="宋体" w:hAnsi="宋体" w:cs="宋体"/>
          <w:b/>
          <w:bCs/>
          <w:color w:val="auto"/>
          <w:sz w:val="22"/>
          <w:szCs w:val="22"/>
          <w:highlight w:val="none"/>
        </w:rPr>
        <w:t>14.投标文件的签章</w:t>
      </w:r>
    </w:p>
    <w:p w14:paraId="151A9233">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14.1投标文件的签章要求：投标人须知前附表第17款；</w:t>
      </w:r>
    </w:p>
    <w:p w14:paraId="6CC3F826">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14.2投标文件应由投标人法定代表人或其授权代表签章，并时加盖投标人公章（电子签章）。</w:t>
      </w:r>
    </w:p>
    <w:p w14:paraId="2F6A1ED3">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14.3电子签章操作指南详见采购公告附件《供应商项目采购-电子招投标操作指南》。</w:t>
      </w:r>
    </w:p>
    <w:p w14:paraId="460DE285">
      <w:pPr>
        <w:spacing w:line="440" w:lineRule="exact"/>
        <w:ind w:left="331" w:hanging="331" w:hangingChars="150"/>
        <w:rPr>
          <w:rFonts w:ascii="宋体" w:hAnsi="宋体" w:cs="宋体"/>
          <w:b/>
          <w:bCs/>
          <w:color w:val="auto"/>
          <w:sz w:val="22"/>
          <w:szCs w:val="22"/>
          <w:highlight w:val="none"/>
        </w:rPr>
      </w:pPr>
      <w:r>
        <w:rPr>
          <w:rFonts w:hint="eastAsia" w:ascii="宋体" w:hAnsi="宋体" w:cs="宋体"/>
          <w:b/>
          <w:bCs/>
          <w:color w:val="auto"/>
          <w:sz w:val="22"/>
          <w:szCs w:val="22"/>
          <w:highlight w:val="none"/>
        </w:rPr>
        <w:t>15.投标文件的形式</w:t>
      </w:r>
    </w:p>
    <w:p w14:paraId="54BEBAFE">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15.1投标文件的形式：见投标人须知前附表第18款；</w:t>
      </w:r>
    </w:p>
    <w:p w14:paraId="7418AD6F">
      <w:pPr>
        <w:tabs>
          <w:tab w:val="left" w:pos="36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15.2“电子加密投标文件”：“电子加密投标文件”是指通过“政采云电子交易客户端”完成投标文件编制后生成并加密的数据电文形式的投标文件。</w:t>
      </w:r>
    </w:p>
    <w:p w14:paraId="5EF71DA1">
      <w:pPr>
        <w:tabs>
          <w:tab w:val="left" w:pos="360"/>
        </w:tabs>
        <w:spacing w:line="460" w:lineRule="exact"/>
        <w:rPr>
          <w:rFonts w:ascii="宋体" w:hAnsi="宋体" w:cs="宋体"/>
          <w:b/>
          <w:color w:val="auto"/>
          <w:sz w:val="24"/>
          <w:highlight w:val="none"/>
        </w:rPr>
      </w:pPr>
      <w:r>
        <w:rPr>
          <w:rFonts w:hint="eastAsia" w:ascii="宋体" w:hAnsi="宋体" w:cs="宋体"/>
          <w:color w:val="auto"/>
          <w:sz w:val="22"/>
          <w:szCs w:val="22"/>
          <w:highlight w:val="none"/>
        </w:rPr>
        <w:t>15.3“备份投标文件”：“备份投标文件”是指与“电子加密投标文件”同时生成的数据电文形式的电子文件（备份标书），其他方式编制的“备份投标文件”视为无效的“备份投标文件”。</w:t>
      </w:r>
    </w:p>
    <w:p w14:paraId="5FA25B9E">
      <w:pPr>
        <w:spacing w:line="440" w:lineRule="exact"/>
        <w:ind w:left="331" w:hanging="331" w:hangingChars="150"/>
        <w:rPr>
          <w:rFonts w:ascii="宋体" w:hAnsi="宋体" w:cs="宋体"/>
          <w:b/>
          <w:bCs/>
          <w:color w:val="auto"/>
          <w:sz w:val="22"/>
          <w:szCs w:val="22"/>
          <w:highlight w:val="none"/>
        </w:rPr>
      </w:pPr>
      <w:r>
        <w:rPr>
          <w:rFonts w:hint="eastAsia" w:ascii="宋体" w:hAnsi="宋体" w:cs="宋体"/>
          <w:b/>
          <w:bCs/>
          <w:color w:val="auto"/>
          <w:sz w:val="22"/>
          <w:szCs w:val="22"/>
          <w:highlight w:val="none"/>
        </w:rPr>
        <w:t>16.投标文件的份数</w:t>
      </w:r>
    </w:p>
    <w:p w14:paraId="63BB840F">
      <w:pPr>
        <w:tabs>
          <w:tab w:val="left" w:pos="5355"/>
        </w:tabs>
        <w:spacing w:line="430" w:lineRule="exact"/>
        <w:rPr>
          <w:rFonts w:ascii="宋体" w:hAnsi="宋体" w:cs="宋体"/>
          <w:color w:val="auto"/>
          <w:sz w:val="22"/>
          <w:szCs w:val="22"/>
          <w:highlight w:val="none"/>
        </w:rPr>
      </w:pPr>
      <w:r>
        <w:rPr>
          <w:rFonts w:hint="eastAsia" w:ascii="宋体" w:hAnsi="宋体" w:cs="宋体"/>
          <w:color w:val="auto"/>
          <w:sz w:val="22"/>
          <w:szCs w:val="22"/>
          <w:highlight w:val="none"/>
        </w:rPr>
        <w:t>16.1投标文件的份数：见投标人须知前附表第19款。</w:t>
      </w:r>
    </w:p>
    <w:p w14:paraId="37DACC9B">
      <w:pPr>
        <w:tabs>
          <w:tab w:val="left" w:pos="540"/>
        </w:tabs>
        <w:spacing w:line="460" w:lineRule="exact"/>
        <w:rPr>
          <w:rFonts w:ascii="宋体" w:hAnsi="宋体" w:cs="宋体"/>
          <w:color w:val="auto"/>
          <w:sz w:val="22"/>
          <w:szCs w:val="22"/>
          <w:highlight w:val="none"/>
        </w:rPr>
      </w:pPr>
      <w:r>
        <w:rPr>
          <w:rFonts w:hint="eastAsia" w:ascii="宋体" w:hAnsi="宋体" w:cs="宋体"/>
          <w:bCs/>
          <w:color w:val="auto"/>
          <w:sz w:val="22"/>
          <w:szCs w:val="22"/>
          <w:highlight w:val="none"/>
        </w:rPr>
        <w:t>17.投标报价</w:t>
      </w:r>
    </w:p>
    <w:p w14:paraId="1113A5B4">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17.1 投标人应报出本项目技术服务所包含的所有单价和总价，并且报出价格组成表，对于投标人价格组成表中未列出的项目或没有填写单价和总价的项目,在合同执行时采购人将不予支付,并认为这些项目费用已包括在投标报价内。</w:t>
      </w:r>
    </w:p>
    <w:p w14:paraId="109FA8C9">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17.2</w:t>
      </w:r>
      <w:r>
        <w:rPr>
          <w:rFonts w:hint="eastAsia" w:ascii="宋体" w:hAnsi="宋体" w:cs="宋体"/>
          <w:bCs/>
          <w:color w:val="auto"/>
          <w:sz w:val="22"/>
          <w:szCs w:val="22"/>
          <w:highlight w:val="none"/>
        </w:rPr>
        <w:t>本项目</w:t>
      </w:r>
      <w:r>
        <w:rPr>
          <w:rFonts w:hint="eastAsia" w:ascii="宋体" w:hAnsi="宋体" w:cs="宋体"/>
          <w:bCs/>
          <w:color w:val="auto"/>
          <w:kern w:val="0"/>
          <w:sz w:val="22"/>
          <w:szCs w:val="22"/>
          <w:highlight w:val="none"/>
          <w:lang w:val="zh-CN"/>
        </w:rPr>
        <w:t>投标报价是</w:t>
      </w:r>
      <w:r>
        <w:rPr>
          <w:rFonts w:hint="eastAsia" w:ascii="新宋体" w:hAnsi="新宋体" w:eastAsia="新宋体" w:cs="宋体"/>
          <w:bCs/>
          <w:color w:val="auto"/>
          <w:kern w:val="0"/>
          <w:sz w:val="22"/>
          <w:szCs w:val="22"/>
          <w:highlight w:val="none"/>
          <w:lang w:val="zh-CN"/>
        </w:rPr>
        <w:t>采购文件所确定的采购范围内全部工作内容的价格表现，包括提供所有承包服务所需的一切人员工资、奖金、福利、人员培训费、各种加班费、各种社会保险费、人员食宿费、体检费、交通费、管理费、税费、利润及所有故障件的维修、更换等完成合同所需的一切本身和不可或缺的所有工作开支、政策性文件规定及合同包含的所有风险、责任等各项全部费用</w:t>
      </w:r>
      <w:r>
        <w:rPr>
          <w:rFonts w:hint="eastAsia" w:ascii="宋体" w:hAnsi="宋体" w:cs="宋体"/>
          <w:bCs/>
          <w:color w:val="auto"/>
          <w:kern w:val="0"/>
          <w:sz w:val="22"/>
          <w:szCs w:val="22"/>
          <w:highlight w:val="none"/>
          <w:lang w:val="zh-CN"/>
        </w:rPr>
        <w:t>。供应商须充分考虑本项目的特殊性和不可预见性在内的所有为完成本项目及由此引起的费用等所需的各项应有费用。招标范围包含的所有内容的价格一次性包干（采购人提出的设计变更除外）。</w:t>
      </w:r>
    </w:p>
    <w:p w14:paraId="7A488FE8">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17.3 投标人须认真阅读、充分理解采购文件，如有疑问可在询疑截止时间前送达（或传真）采购代理机构，采购代理机构将会统一解答。任何因对本项目采购文件理解不清、产生歧义等由此产生的费用，视作以含在投标总价中。</w:t>
      </w:r>
    </w:p>
    <w:p w14:paraId="3997D2F9">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17.4 投标人必须按第三部分附件的开标一览表、投标分项报价表的内容填写单价、合价及其他事项，并由法定代表人或授权代表签署。</w:t>
      </w:r>
    </w:p>
    <w:p w14:paraId="3695614F">
      <w:pPr>
        <w:tabs>
          <w:tab w:val="left" w:pos="540"/>
        </w:tabs>
        <w:spacing w:line="460" w:lineRule="exact"/>
        <w:rPr>
          <w:rFonts w:ascii="宋体" w:hAnsi="宋体" w:cs="宋体"/>
          <w:b/>
          <w:color w:val="auto"/>
          <w:sz w:val="22"/>
          <w:szCs w:val="22"/>
          <w:highlight w:val="none"/>
        </w:rPr>
      </w:pPr>
      <w:r>
        <w:rPr>
          <w:rFonts w:hint="eastAsia" w:ascii="宋体" w:hAnsi="宋体" w:cs="宋体"/>
          <w:color w:val="auto"/>
          <w:sz w:val="22"/>
          <w:szCs w:val="22"/>
          <w:highlight w:val="none"/>
        </w:rPr>
        <w:t>17.5 所有投标报价均以人民币报价。</w:t>
      </w:r>
    </w:p>
    <w:p w14:paraId="28E57E7C">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17.6 采购人不接受任何选择报价，对每一项货物/服务只允许一个报价。</w:t>
      </w:r>
    </w:p>
    <w:p w14:paraId="2C98370F">
      <w:pPr>
        <w:tabs>
          <w:tab w:val="left" w:pos="540"/>
        </w:tabs>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17.7 采购人要求分类报价是为了方便评标，但在任何情况下不限制采购人以其认为最合适的条款、条件签订合同的权利。</w:t>
      </w:r>
    </w:p>
    <w:p w14:paraId="2BECAA92">
      <w:pPr>
        <w:tabs>
          <w:tab w:val="left" w:pos="54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17.8报价是成交的一个重要因素，但最低报价不是成交的唯一依据。</w:t>
      </w:r>
    </w:p>
    <w:p w14:paraId="5B2BB51D">
      <w:pPr>
        <w:tabs>
          <w:tab w:val="left" w:pos="-180"/>
          <w:tab w:val="left" w:pos="180"/>
          <w:tab w:val="left" w:pos="360"/>
        </w:tabs>
        <w:spacing w:line="440" w:lineRule="exact"/>
        <w:ind w:left="660" w:hanging="660" w:hangingChars="300"/>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12. </w:t>
      </w:r>
      <w:r>
        <w:rPr>
          <w:rFonts w:hint="eastAsia" w:ascii="宋体" w:hAnsi="宋体" w:cs="宋体"/>
          <w:b/>
          <w:bCs/>
          <w:color w:val="auto"/>
          <w:sz w:val="22"/>
          <w:szCs w:val="22"/>
          <w:highlight w:val="none"/>
        </w:rPr>
        <w:t>投标人如发生下列情况之一，将上报同级采购监督管理部门，追究其责任：</w:t>
      </w:r>
    </w:p>
    <w:p w14:paraId="611A9524">
      <w:pPr>
        <w:numPr>
          <w:ilvl w:val="0"/>
          <w:numId w:val="19"/>
        </w:numPr>
        <w:tabs>
          <w:tab w:val="clear" w:pos="420"/>
        </w:tabs>
        <w:spacing w:line="440" w:lineRule="exact"/>
        <w:ind w:left="720" w:hanging="720"/>
        <w:rPr>
          <w:rFonts w:ascii="宋体" w:hAnsi="宋体" w:cs="宋体"/>
          <w:color w:val="auto"/>
          <w:sz w:val="22"/>
          <w:szCs w:val="22"/>
          <w:highlight w:val="none"/>
        </w:rPr>
      </w:pPr>
      <w:r>
        <w:rPr>
          <w:rFonts w:hint="eastAsia" w:ascii="宋体" w:hAnsi="宋体" w:cs="宋体"/>
          <w:color w:val="auto"/>
          <w:sz w:val="22"/>
          <w:szCs w:val="22"/>
          <w:highlight w:val="none"/>
        </w:rPr>
        <w:t>投标人在采购文件规定的投标有效期内撤回投标；</w:t>
      </w:r>
    </w:p>
    <w:p w14:paraId="30743F8B">
      <w:pPr>
        <w:numPr>
          <w:ilvl w:val="0"/>
          <w:numId w:val="19"/>
        </w:numPr>
        <w:tabs>
          <w:tab w:val="clear" w:pos="420"/>
        </w:tabs>
        <w:spacing w:line="440" w:lineRule="exact"/>
        <w:ind w:left="720" w:hanging="720"/>
        <w:rPr>
          <w:rFonts w:ascii="宋体" w:hAnsi="宋体" w:cs="宋体"/>
          <w:color w:val="auto"/>
          <w:sz w:val="22"/>
          <w:szCs w:val="22"/>
          <w:highlight w:val="none"/>
        </w:rPr>
      </w:pPr>
      <w:r>
        <w:rPr>
          <w:rFonts w:hint="eastAsia" w:ascii="宋体" w:hAnsi="宋体" w:cs="宋体"/>
          <w:color w:val="auto"/>
          <w:sz w:val="22"/>
          <w:szCs w:val="22"/>
          <w:highlight w:val="none"/>
        </w:rPr>
        <w:t>中标人未按中标通知书中规定的时间与采购人签订合同；</w:t>
      </w:r>
    </w:p>
    <w:p w14:paraId="4A6410FE">
      <w:pPr>
        <w:numPr>
          <w:ilvl w:val="0"/>
          <w:numId w:val="19"/>
        </w:numPr>
        <w:tabs>
          <w:tab w:val="clear" w:pos="420"/>
        </w:tabs>
        <w:spacing w:line="440" w:lineRule="exact"/>
        <w:ind w:left="720" w:hanging="720"/>
        <w:rPr>
          <w:rFonts w:ascii="宋体" w:hAnsi="宋体" w:cs="宋体"/>
          <w:color w:val="auto"/>
          <w:sz w:val="22"/>
          <w:szCs w:val="22"/>
          <w:highlight w:val="none"/>
        </w:rPr>
      </w:pPr>
      <w:r>
        <w:rPr>
          <w:rFonts w:hint="eastAsia" w:ascii="宋体" w:hAnsi="宋体" w:cs="宋体"/>
          <w:color w:val="auto"/>
          <w:sz w:val="22"/>
          <w:szCs w:val="22"/>
          <w:highlight w:val="none"/>
        </w:rPr>
        <w:t>投标人在采购文件中提供虚假技术指标及参数，经评标委员会确认属实的。</w:t>
      </w:r>
    </w:p>
    <w:p w14:paraId="4408E9BD">
      <w:pPr>
        <w:numPr>
          <w:ilvl w:val="0"/>
          <w:numId w:val="19"/>
        </w:numPr>
        <w:tabs>
          <w:tab w:val="clear" w:pos="420"/>
        </w:tabs>
        <w:spacing w:line="440" w:lineRule="exact"/>
        <w:ind w:left="720" w:hanging="720"/>
        <w:rPr>
          <w:rFonts w:ascii="宋体" w:hAnsi="宋体" w:cs="宋体"/>
          <w:color w:val="auto"/>
          <w:sz w:val="22"/>
          <w:szCs w:val="22"/>
          <w:highlight w:val="none"/>
        </w:rPr>
      </w:pPr>
      <w:r>
        <w:rPr>
          <w:rFonts w:hint="eastAsia" w:ascii="宋体" w:hAnsi="宋体" w:cs="宋体"/>
          <w:color w:val="auto"/>
          <w:sz w:val="22"/>
          <w:szCs w:val="22"/>
          <w:highlight w:val="none"/>
        </w:rPr>
        <w:t>经同级采购监督管理部门审查认定投标人有违反有关法律法规的行为。</w:t>
      </w:r>
    </w:p>
    <w:p w14:paraId="45D09E06">
      <w:pPr>
        <w:tabs>
          <w:tab w:val="left" w:pos="-180"/>
          <w:tab w:val="left" w:pos="180"/>
          <w:tab w:val="left" w:pos="360"/>
        </w:tabs>
        <w:spacing w:line="440" w:lineRule="exact"/>
        <w:rPr>
          <w:rFonts w:ascii="宋体" w:hAnsi="宋体" w:cs="宋体"/>
          <w:b/>
          <w:bCs/>
          <w:color w:val="auto"/>
          <w:sz w:val="22"/>
          <w:szCs w:val="22"/>
          <w:highlight w:val="none"/>
        </w:rPr>
      </w:pPr>
      <w:bookmarkStart w:id="39" w:name="_Toc241404202"/>
      <w:bookmarkStart w:id="40" w:name="_Toc221423619"/>
      <w:bookmarkStart w:id="41" w:name="_Toc265529383"/>
      <w:bookmarkStart w:id="42" w:name="_Toc221356951"/>
      <w:bookmarkStart w:id="43" w:name="_Toc239145354"/>
      <w:bookmarkStart w:id="44" w:name="_Toc223715998"/>
      <w:bookmarkStart w:id="45" w:name="_Toc221356887"/>
      <w:bookmarkStart w:id="46" w:name="_Toc221374626"/>
      <w:bookmarkStart w:id="47" w:name="_Toc222114879"/>
      <w:r>
        <w:rPr>
          <w:rFonts w:hint="eastAsia" w:ascii="宋体" w:hAnsi="宋体" w:cs="宋体"/>
          <w:b/>
          <w:bCs/>
          <w:color w:val="auto"/>
          <w:sz w:val="22"/>
          <w:szCs w:val="22"/>
          <w:highlight w:val="none"/>
        </w:rPr>
        <w:t>19. 投标有效期</w:t>
      </w:r>
    </w:p>
    <w:p w14:paraId="1AE243AD">
      <w:pPr>
        <w:tabs>
          <w:tab w:val="left" w:pos="540"/>
          <w:tab w:val="left" w:pos="992"/>
        </w:tabs>
        <w:autoSpaceDE w:val="0"/>
        <w:autoSpaceDN w:val="0"/>
        <w:adjustRightInd w:val="0"/>
        <w:spacing w:line="460" w:lineRule="atLeast"/>
        <w:rPr>
          <w:rFonts w:ascii="宋体" w:hAnsi="宋体" w:cs="宋体"/>
          <w:color w:val="auto"/>
          <w:kern w:val="0"/>
          <w:sz w:val="22"/>
          <w:szCs w:val="22"/>
          <w:highlight w:val="none"/>
        </w:rPr>
      </w:pPr>
      <w:r>
        <w:rPr>
          <w:rFonts w:hint="eastAsia" w:ascii="宋体" w:hAnsi="宋体" w:cs="宋体"/>
          <w:color w:val="auto"/>
          <w:kern w:val="0"/>
          <w:sz w:val="22"/>
          <w:szCs w:val="22"/>
          <w:highlight w:val="none"/>
        </w:rPr>
        <w:t>19.1 自开标之日起 90天内投标应保持有效。投标有效期短于这个规定期限的投标将视为非响应性投标而予以拒绝。</w:t>
      </w:r>
    </w:p>
    <w:p w14:paraId="2BC16B47">
      <w:pPr>
        <w:spacing w:line="440" w:lineRule="exact"/>
        <w:rPr>
          <w:rFonts w:ascii="宋体" w:hAnsi="宋体" w:cs="宋体"/>
          <w:color w:val="auto"/>
          <w:sz w:val="22"/>
          <w:szCs w:val="22"/>
          <w:highlight w:val="none"/>
        </w:rPr>
      </w:pPr>
      <w:r>
        <w:rPr>
          <w:rFonts w:hint="eastAsia" w:ascii="宋体" w:hAnsi="宋体" w:cs="宋体"/>
          <w:color w:val="auto"/>
          <w:kern w:val="0"/>
          <w:sz w:val="22"/>
          <w:szCs w:val="22"/>
          <w:highlight w:val="none"/>
        </w:rPr>
        <w:t>19.2 特殊情况下，在原投标有效期截止前，采购人可与投标人协商延长投标有效期，这种要求和答复均以书面形式进行。投标人可拒绝接受延期要求。同意延长投标有效期的投标人不得修改投标文件。</w:t>
      </w:r>
    </w:p>
    <w:p w14:paraId="60E4C877">
      <w:pPr>
        <w:pStyle w:val="4"/>
        <w:spacing w:line="500" w:lineRule="exact"/>
        <w:jc w:val="center"/>
        <w:rPr>
          <w:rFonts w:ascii="宋体" w:hAnsi="宋体" w:eastAsia="宋体" w:cs="宋体"/>
          <w:color w:val="auto"/>
          <w:sz w:val="24"/>
          <w:szCs w:val="24"/>
          <w:highlight w:val="none"/>
        </w:rPr>
      </w:pPr>
      <w:bookmarkStart w:id="48" w:name="_Toc15247"/>
      <w:bookmarkStart w:id="49" w:name="_Toc34508133"/>
      <w:r>
        <w:rPr>
          <w:rFonts w:hint="eastAsia" w:ascii="宋体" w:hAnsi="宋体" w:eastAsia="宋体" w:cs="宋体"/>
          <w:color w:val="auto"/>
          <w:sz w:val="24"/>
          <w:szCs w:val="24"/>
          <w:highlight w:val="none"/>
        </w:rPr>
        <w:t>四、 投标文件的递交</w:t>
      </w:r>
      <w:bookmarkEnd w:id="39"/>
      <w:bookmarkEnd w:id="40"/>
      <w:bookmarkEnd w:id="41"/>
      <w:bookmarkEnd w:id="42"/>
      <w:bookmarkEnd w:id="43"/>
      <w:bookmarkEnd w:id="44"/>
      <w:bookmarkEnd w:id="45"/>
      <w:bookmarkEnd w:id="46"/>
      <w:bookmarkEnd w:id="47"/>
      <w:bookmarkEnd w:id="48"/>
      <w:bookmarkEnd w:id="49"/>
    </w:p>
    <w:p w14:paraId="26C06393">
      <w:pPr>
        <w:tabs>
          <w:tab w:val="left" w:pos="540"/>
        </w:tabs>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20. 投标文件的递交</w:t>
      </w:r>
    </w:p>
    <w:p w14:paraId="51AFBCE9">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20.1投标文件的上传、递交：见投标人须知前附表第20款。</w:t>
      </w:r>
    </w:p>
    <w:p w14:paraId="54A4408A">
      <w:pPr>
        <w:tabs>
          <w:tab w:val="left" w:pos="540"/>
        </w:tabs>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21. “电子加密投标文件”解密和异常情况处理。</w:t>
      </w:r>
    </w:p>
    <w:p w14:paraId="014D3B3A">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21.1“电子加密投标文件”解密：见投标人须知前附表第21款。</w:t>
      </w:r>
    </w:p>
    <w:p w14:paraId="3E8CA7CE">
      <w:pPr>
        <w:tabs>
          <w:tab w:val="left" w:pos="540"/>
        </w:tabs>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22. 投标文件的补充、修改或撤回</w:t>
      </w:r>
    </w:p>
    <w:p w14:paraId="0B3C5555">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22.1供应商应当在投标文件递交截止时间前完成投标文件的上传、递交，并可以补充、修改或者撤回投标文件。补充或者修改投标文件的，应当先行撤回原文件，补充、修改后重新上传、递交。投标文件递交截止时间前未完成上传、递交的，视为撤回投标文件。投标文件递交截止时间后递交的投标文件，“政采云平台”将予以拒收。</w:t>
      </w:r>
    </w:p>
    <w:p w14:paraId="221A21BD">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22.2投标文件递交截止时间后，投标人不得撤回、修改投标文件。</w:t>
      </w:r>
    </w:p>
    <w:p w14:paraId="6C19CD59">
      <w:pPr>
        <w:tabs>
          <w:tab w:val="left" w:pos="540"/>
        </w:tabs>
        <w:spacing w:line="460" w:lineRule="exact"/>
        <w:rPr>
          <w:rFonts w:ascii="宋体" w:hAnsi="宋体" w:cs="宋体"/>
          <w:bCs/>
          <w:color w:val="auto"/>
          <w:kern w:val="0"/>
          <w:sz w:val="22"/>
          <w:szCs w:val="22"/>
          <w:highlight w:val="none"/>
        </w:rPr>
      </w:pPr>
      <w:r>
        <w:rPr>
          <w:rFonts w:hint="eastAsia" w:ascii="宋体" w:hAnsi="宋体" w:cs="宋体"/>
          <w:b/>
          <w:bCs/>
          <w:color w:val="auto"/>
          <w:kern w:val="0"/>
          <w:sz w:val="22"/>
          <w:szCs w:val="22"/>
          <w:highlight w:val="none"/>
        </w:rPr>
        <w:t>23. 投标文件的备选方案</w:t>
      </w:r>
    </w:p>
    <w:p w14:paraId="259F9719">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23.1投标人不得递交任何的投标备选（替代）方案，否则其投标文件将作无效标处理。与“电子加密投标文件”同时生成的“备份投标文件”不是投标备选（替代）方案。</w:t>
      </w:r>
    </w:p>
    <w:p w14:paraId="3CCD850A">
      <w:pPr>
        <w:tabs>
          <w:tab w:val="left" w:pos="540"/>
        </w:tabs>
        <w:spacing w:line="460" w:lineRule="exact"/>
        <w:rPr>
          <w:rFonts w:ascii="宋体" w:hAnsi="宋体" w:cs="宋体"/>
          <w:b/>
          <w:color w:val="auto"/>
          <w:sz w:val="22"/>
          <w:szCs w:val="22"/>
          <w:highlight w:val="none"/>
        </w:rPr>
      </w:pPr>
    </w:p>
    <w:p w14:paraId="5AC9D592">
      <w:pPr>
        <w:pStyle w:val="4"/>
        <w:spacing w:line="500" w:lineRule="exact"/>
        <w:jc w:val="center"/>
        <w:rPr>
          <w:rFonts w:ascii="宋体" w:hAnsi="宋体" w:eastAsia="宋体" w:cs="宋体"/>
          <w:color w:val="auto"/>
          <w:sz w:val="24"/>
          <w:szCs w:val="24"/>
          <w:highlight w:val="none"/>
        </w:rPr>
      </w:pPr>
      <w:bookmarkStart w:id="50" w:name="_Toc239145355"/>
      <w:bookmarkStart w:id="51" w:name="_Toc222114880"/>
      <w:bookmarkStart w:id="52" w:name="_Toc221423620"/>
      <w:bookmarkStart w:id="53" w:name="_Toc16049"/>
      <w:bookmarkStart w:id="54" w:name="_Toc221374627"/>
      <w:bookmarkStart w:id="55" w:name="_Toc221356888"/>
      <w:bookmarkStart w:id="56" w:name="_Toc265529384"/>
      <w:bookmarkStart w:id="57" w:name="_Toc221356952"/>
      <w:bookmarkStart w:id="58" w:name="_Toc34508134"/>
      <w:bookmarkStart w:id="59" w:name="_Toc223715999"/>
      <w:bookmarkStart w:id="60" w:name="_Toc241404203"/>
      <w:r>
        <w:rPr>
          <w:rFonts w:hint="eastAsia" w:ascii="宋体" w:hAnsi="宋体" w:eastAsia="宋体" w:cs="宋体"/>
          <w:color w:val="auto"/>
          <w:sz w:val="24"/>
          <w:szCs w:val="24"/>
          <w:highlight w:val="none"/>
        </w:rPr>
        <w:t>五、 开标</w:t>
      </w:r>
      <w:bookmarkEnd w:id="50"/>
      <w:bookmarkEnd w:id="51"/>
      <w:bookmarkEnd w:id="52"/>
      <w:bookmarkEnd w:id="53"/>
      <w:bookmarkEnd w:id="54"/>
      <w:bookmarkEnd w:id="55"/>
      <w:bookmarkEnd w:id="56"/>
      <w:bookmarkEnd w:id="57"/>
      <w:bookmarkEnd w:id="58"/>
      <w:bookmarkEnd w:id="59"/>
      <w:bookmarkEnd w:id="60"/>
    </w:p>
    <w:p w14:paraId="657F9980">
      <w:pPr>
        <w:tabs>
          <w:tab w:val="left" w:pos="540"/>
        </w:tabs>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24. 开标形式</w:t>
      </w:r>
    </w:p>
    <w:p w14:paraId="79B1161F">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24.1 采购组织机构将按照采购文件规定的时间通过“政采云平台”组织开标、开启投标文件，所有供应商均应当准时在线参加。</w:t>
      </w:r>
    </w:p>
    <w:p w14:paraId="05D4B382">
      <w:pPr>
        <w:tabs>
          <w:tab w:val="left" w:pos="540"/>
        </w:tabs>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25. 开标准备</w:t>
      </w:r>
    </w:p>
    <w:p w14:paraId="5A844FCC">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25.1开标的准备工作由采购组织机构负责落实。</w:t>
      </w:r>
    </w:p>
    <w:p w14:paraId="26DB6142">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25.2采购组织机构将按照采购文件规定的时间通过“政采云平台”组织开标、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供应商自己承担。</w:t>
      </w:r>
    </w:p>
    <w:p w14:paraId="2EE92974">
      <w:pPr>
        <w:tabs>
          <w:tab w:val="left" w:pos="540"/>
        </w:tabs>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26.开标流程</w:t>
      </w:r>
    </w:p>
    <w:p w14:paraId="3014D34A">
      <w:pPr>
        <w:tabs>
          <w:tab w:val="left" w:pos="540"/>
        </w:tabs>
        <w:spacing w:line="460" w:lineRule="exact"/>
        <w:rPr>
          <w:rFonts w:hint="default"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rPr>
        <w:t>26.</w:t>
      </w:r>
      <w:r>
        <w:rPr>
          <w:rFonts w:hint="eastAsia" w:ascii="宋体" w:hAnsi="宋体" w:cs="宋体"/>
          <w:b/>
          <w:bCs/>
          <w:color w:val="auto"/>
          <w:kern w:val="0"/>
          <w:sz w:val="22"/>
          <w:szCs w:val="22"/>
          <w:highlight w:val="none"/>
          <w:lang w:val="en-US" w:eastAsia="zh-CN"/>
        </w:rPr>
        <w:t>1解密开标</w:t>
      </w:r>
    </w:p>
    <w:p w14:paraId="5A96A373">
      <w:pPr>
        <w:tabs>
          <w:tab w:val="left" w:pos="540"/>
        </w:tabs>
        <w:spacing w:line="460" w:lineRule="exac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（1）向各投标人发出电子加密投标文件【开始解密】通知，由</w:t>
      </w:r>
      <w:r>
        <w:rPr>
          <w:rFonts w:hint="eastAsia" w:ascii="宋体" w:hAnsi="宋体" w:cs="宋体"/>
          <w:b/>
          <w:bCs/>
          <w:color w:val="auto"/>
          <w:kern w:val="0"/>
          <w:sz w:val="22"/>
          <w:szCs w:val="22"/>
          <w:highlight w:val="none"/>
          <w:lang w:val="en-US" w:eastAsia="zh-CN"/>
        </w:rPr>
        <w:t>投标人</w:t>
      </w:r>
      <w:r>
        <w:rPr>
          <w:rFonts w:hint="eastAsia" w:ascii="宋体" w:hAnsi="宋体" w:cs="宋体"/>
          <w:b/>
          <w:bCs/>
          <w:color w:val="auto"/>
          <w:kern w:val="0"/>
          <w:sz w:val="22"/>
          <w:szCs w:val="22"/>
          <w:highlight w:val="none"/>
        </w:rPr>
        <w:t>按采购文件规定的时间内自行进行投标文件解密。投标人在规定的时间内（开标时间起半个小时内）无法完成已递交的“电子加密投标文件”解密的，如已按规定递交了备份投标文件的，将由采购组织机构按“政采云平台”操作规范将备份投标文件上传至“政采云平台”，上传成功后，“电子加密投标文件”自动失效；</w:t>
      </w:r>
    </w:p>
    <w:p w14:paraId="5B6E3A72">
      <w:pPr>
        <w:tabs>
          <w:tab w:val="left" w:pos="540"/>
        </w:tabs>
        <w:spacing w:line="460" w:lineRule="exac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（2）投标文件解密结束，各投标人签署《采购活动现场确认声明书》（见附件）后将扫描件发送至采购代理机构邮箱：</w:t>
      </w:r>
      <w:r>
        <w:rPr>
          <w:rFonts w:hint="eastAsia" w:ascii="宋体" w:hAnsi="宋体" w:cs="宋体"/>
          <w:b/>
          <w:color w:val="auto"/>
          <w:sz w:val="22"/>
          <w:szCs w:val="22"/>
          <w:highlight w:val="none"/>
          <w:u w:val="single"/>
          <w:lang w:eastAsia="zh-CN"/>
        </w:rPr>
        <w:t>YXGC666@126.com</w:t>
      </w:r>
      <w:r>
        <w:rPr>
          <w:rFonts w:hint="eastAsia" w:ascii="宋体" w:hAnsi="宋体" w:cs="宋体"/>
          <w:b/>
          <w:bCs/>
          <w:color w:val="auto"/>
          <w:kern w:val="0"/>
          <w:sz w:val="22"/>
          <w:szCs w:val="22"/>
          <w:highlight w:val="none"/>
        </w:rPr>
        <w:t>；</w:t>
      </w:r>
    </w:p>
    <w:p w14:paraId="745A1983">
      <w:pPr>
        <w:tabs>
          <w:tab w:val="left" w:pos="540"/>
        </w:tabs>
        <w:spacing w:line="460" w:lineRule="exact"/>
        <w:rPr>
          <w:rFonts w:hint="eastAsia" w:ascii="宋体" w:hAnsi="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rPr>
        <w:t>（3）开启投标文件，在“政采云平台”系统平台上公布开标一览表有关内容，</w:t>
      </w:r>
      <w:r>
        <w:rPr>
          <w:rFonts w:hint="eastAsia" w:ascii="宋体" w:hAnsi="宋体" w:cs="宋体"/>
          <w:b/>
          <w:bCs/>
          <w:color w:val="auto"/>
          <w:kern w:val="0"/>
          <w:sz w:val="22"/>
          <w:szCs w:val="22"/>
          <w:highlight w:val="none"/>
          <w:lang w:val="en-US" w:eastAsia="zh-CN"/>
        </w:rPr>
        <w:t>投标人在线确认。</w:t>
      </w:r>
    </w:p>
    <w:p w14:paraId="11772389">
      <w:pPr>
        <w:tabs>
          <w:tab w:val="left" w:pos="540"/>
        </w:tabs>
        <w:spacing w:line="460" w:lineRule="exact"/>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val="en-US" w:eastAsia="zh-CN"/>
        </w:rPr>
        <w:t>（4）由</w:t>
      </w:r>
      <w:r>
        <w:rPr>
          <w:rFonts w:hint="eastAsia" w:ascii="宋体" w:hAnsi="宋体" w:cs="宋体"/>
          <w:b/>
          <w:bCs/>
          <w:color w:val="auto"/>
          <w:kern w:val="0"/>
          <w:sz w:val="22"/>
          <w:szCs w:val="22"/>
          <w:highlight w:val="none"/>
        </w:rPr>
        <w:t>采购人或采购代理机构依法对投标人的资格进行审查</w:t>
      </w:r>
      <w:r>
        <w:rPr>
          <w:rFonts w:hint="eastAsia" w:ascii="宋体" w:hAnsi="宋体" w:cs="宋体"/>
          <w:b/>
          <w:bCs/>
          <w:color w:val="auto"/>
          <w:kern w:val="0"/>
          <w:sz w:val="22"/>
          <w:szCs w:val="22"/>
          <w:highlight w:val="none"/>
          <w:lang w:eastAsia="zh-CN"/>
        </w:rPr>
        <w:t>；</w:t>
      </w:r>
    </w:p>
    <w:p w14:paraId="4D24104B">
      <w:pPr>
        <w:tabs>
          <w:tab w:val="left" w:pos="540"/>
        </w:tabs>
        <w:spacing w:line="460" w:lineRule="exac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（4）资格审查通过的投标人的商务技术文件进入符合性审查、商务技术评审；</w:t>
      </w:r>
    </w:p>
    <w:p w14:paraId="6FD5F1D9">
      <w:pPr>
        <w:tabs>
          <w:tab w:val="left" w:pos="540"/>
        </w:tabs>
        <w:spacing w:line="460" w:lineRule="exact"/>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5</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商务技术评审完成后</w:t>
      </w:r>
      <w:r>
        <w:rPr>
          <w:rFonts w:hint="eastAsia" w:ascii="宋体" w:hAnsi="宋体" w:cs="宋体"/>
          <w:b/>
          <w:bCs/>
          <w:color w:val="auto"/>
          <w:kern w:val="0"/>
          <w:sz w:val="22"/>
          <w:szCs w:val="22"/>
          <w:highlight w:val="none"/>
        </w:rPr>
        <w:t>在“政采云平台”系统平台上公布符合性审查、商务技术评审无效供应商名称及理由；公布经商务技术评审后有效投标人的名单，同时公布其商务技术部分得分情况</w:t>
      </w:r>
      <w:r>
        <w:rPr>
          <w:rFonts w:hint="eastAsia" w:ascii="宋体" w:hAnsi="宋体" w:cs="宋体"/>
          <w:b/>
          <w:bCs/>
          <w:color w:val="auto"/>
          <w:kern w:val="0"/>
          <w:sz w:val="22"/>
          <w:szCs w:val="22"/>
          <w:highlight w:val="none"/>
          <w:lang w:eastAsia="zh-CN"/>
        </w:rPr>
        <w:t>；</w:t>
      </w:r>
    </w:p>
    <w:p w14:paraId="1B4AD7D3">
      <w:pPr>
        <w:tabs>
          <w:tab w:val="left" w:pos="540"/>
        </w:tabs>
        <w:spacing w:line="460" w:lineRule="exact"/>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rPr>
        <w:t>（</w:t>
      </w:r>
      <w:r>
        <w:rPr>
          <w:rFonts w:hint="eastAsia" w:ascii="宋体" w:hAnsi="宋体" w:cs="宋体"/>
          <w:b/>
          <w:bCs/>
          <w:color w:val="auto"/>
          <w:kern w:val="0"/>
          <w:sz w:val="22"/>
          <w:szCs w:val="22"/>
          <w:highlight w:val="none"/>
          <w:lang w:val="en-US" w:eastAsia="zh-CN"/>
        </w:rPr>
        <w:t>6</w:t>
      </w:r>
      <w:r>
        <w:rPr>
          <w:rFonts w:hint="eastAsia" w:ascii="宋体" w:hAnsi="宋体" w:cs="宋体"/>
          <w:b/>
          <w:bCs/>
          <w:color w:val="auto"/>
          <w:kern w:val="0"/>
          <w:sz w:val="22"/>
          <w:szCs w:val="22"/>
          <w:highlight w:val="none"/>
        </w:rPr>
        <w:t>）</w:t>
      </w:r>
      <w:r>
        <w:rPr>
          <w:rFonts w:hint="eastAsia" w:ascii="宋体" w:hAnsi="宋体" w:cs="宋体"/>
          <w:b/>
          <w:bCs/>
          <w:color w:val="auto"/>
          <w:kern w:val="0"/>
          <w:sz w:val="22"/>
          <w:szCs w:val="22"/>
          <w:highlight w:val="none"/>
          <w:lang w:val="en-US" w:eastAsia="zh-CN"/>
        </w:rPr>
        <w:t>报价评审</w:t>
      </w:r>
      <w:r>
        <w:rPr>
          <w:rFonts w:hint="eastAsia" w:ascii="宋体" w:hAnsi="宋体" w:cs="宋体"/>
          <w:b/>
          <w:bCs/>
          <w:color w:val="auto"/>
          <w:kern w:val="0"/>
          <w:sz w:val="22"/>
          <w:szCs w:val="22"/>
          <w:highlight w:val="none"/>
        </w:rPr>
        <w:t>通过符合性审查、商务技术文件评审有效投标人的报价文件，由评标委员会对报价的合理性、准确性等进行审查核实</w:t>
      </w:r>
      <w:r>
        <w:rPr>
          <w:rFonts w:hint="eastAsia" w:ascii="宋体" w:hAnsi="宋体" w:cs="宋体"/>
          <w:b/>
          <w:bCs/>
          <w:color w:val="auto"/>
          <w:kern w:val="0"/>
          <w:sz w:val="22"/>
          <w:szCs w:val="22"/>
          <w:highlight w:val="none"/>
          <w:lang w:eastAsia="zh-CN"/>
        </w:rPr>
        <w:t>；</w:t>
      </w:r>
    </w:p>
    <w:p w14:paraId="297EEB98">
      <w:pPr>
        <w:tabs>
          <w:tab w:val="left" w:pos="540"/>
        </w:tabs>
        <w:spacing w:line="460" w:lineRule="exac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w:t>
      </w:r>
      <w:r>
        <w:rPr>
          <w:rFonts w:hint="eastAsia" w:ascii="宋体" w:hAnsi="宋体" w:cs="宋体"/>
          <w:b/>
          <w:bCs/>
          <w:color w:val="auto"/>
          <w:kern w:val="0"/>
          <w:sz w:val="22"/>
          <w:szCs w:val="22"/>
          <w:highlight w:val="none"/>
          <w:lang w:val="en-US" w:eastAsia="zh-CN"/>
        </w:rPr>
        <w:t>7</w:t>
      </w:r>
      <w:r>
        <w:rPr>
          <w:rFonts w:hint="eastAsia" w:ascii="宋体" w:hAnsi="宋体" w:cs="宋体"/>
          <w:b/>
          <w:bCs/>
          <w:color w:val="auto"/>
          <w:kern w:val="0"/>
          <w:sz w:val="22"/>
          <w:szCs w:val="22"/>
          <w:highlight w:val="none"/>
        </w:rPr>
        <w:t>）评审结束后，在“政采云平台”系统平台上公布中标（成交）候选</w:t>
      </w:r>
      <w:r>
        <w:rPr>
          <w:rFonts w:hint="eastAsia" w:ascii="宋体" w:hAnsi="宋体" w:cs="宋体"/>
          <w:b/>
          <w:bCs/>
          <w:color w:val="auto"/>
          <w:kern w:val="0"/>
          <w:sz w:val="22"/>
          <w:szCs w:val="22"/>
          <w:highlight w:val="none"/>
          <w:lang w:val="en-US" w:eastAsia="zh-CN"/>
        </w:rPr>
        <w:t>人</w:t>
      </w:r>
      <w:r>
        <w:rPr>
          <w:rFonts w:hint="eastAsia" w:ascii="宋体" w:hAnsi="宋体" w:cs="宋体"/>
          <w:b/>
          <w:bCs/>
          <w:color w:val="auto"/>
          <w:kern w:val="0"/>
          <w:sz w:val="22"/>
          <w:szCs w:val="22"/>
          <w:highlight w:val="none"/>
        </w:rPr>
        <w:t>名单，及采购人最终确定中标</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成交</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人，发布中标（成交）结果公告</w:t>
      </w:r>
      <w:r>
        <w:rPr>
          <w:rFonts w:hint="eastAsia" w:ascii="宋体" w:hAnsi="宋体" w:cs="宋体"/>
          <w:b/>
          <w:bCs/>
          <w:color w:val="auto"/>
          <w:kern w:val="0"/>
          <w:sz w:val="22"/>
          <w:szCs w:val="22"/>
          <w:highlight w:val="none"/>
        </w:rPr>
        <w:t>等。</w:t>
      </w:r>
    </w:p>
    <w:p w14:paraId="7CC5D8A6">
      <w:pPr>
        <w:tabs>
          <w:tab w:val="left" w:pos="540"/>
        </w:tabs>
        <w:spacing w:line="460" w:lineRule="exac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特别说明：如遇“政采云平台”电子化开标或评审程序调整的，按调整后程序执行。</w:t>
      </w:r>
    </w:p>
    <w:p w14:paraId="2D8D19AC">
      <w:pPr>
        <w:tabs>
          <w:tab w:val="left" w:pos="540"/>
        </w:tabs>
        <w:spacing w:line="460" w:lineRule="exact"/>
        <w:rPr>
          <w:rFonts w:ascii="宋体" w:hAnsi="宋体" w:cs="宋体"/>
          <w:b/>
          <w:bCs/>
          <w:color w:val="auto"/>
          <w:kern w:val="0"/>
          <w:sz w:val="22"/>
          <w:szCs w:val="22"/>
          <w:highlight w:val="none"/>
        </w:rPr>
      </w:pPr>
      <w:bookmarkStart w:id="61" w:name="_Toc24550037"/>
      <w:bookmarkStart w:id="62" w:name="_Toc33194393"/>
      <w:r>
        <w:rPr>
          <w:rFonts w:hint="eastAsia" w:ascii="宋体" w:hAnsi="宋体" w:cs="宋体"/>
          <w:b/>
          <w:bCs/>
          <w:color w:val="auto"/>
          <w:kern w:val="0"/>
          <w:sz w:val="22"/>
          <w:szCs w:val="22"/>
          <w:highlight w:val="none"/>
        </w:rPr>
        <w:t>27. 投标人资格审查</w:t>
      </w:r>
      <w:bookmarkEnd w:id="61"/>
      <w:bookmarkEnd w:id="62"/>
    </w:p>
    <w:p w14:paraId="5A15738A">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27.1开标大会第一阶段结束后，采购人或采购代理机构首先依法对各投标人的资格进行审查，审查各投标人的资格是否满足采购文件的要求。采购人或采购代理机构对投标人所提交的资格审查材料仅负审核的责任。如发现投标人所提交的资格审查材料不合法或与事实不符，采购人可取消其中标资格并追究投标人的法律责任。</w:t>
      </w:r>
    </w:p>
    <w:p w14:paraId="17D0EF0C">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27.2投标人提交的资格审查材料无法证明其符合采购文件规定的“投标人资格要求”的，采购人或采购代理机构将对其作资格审查不通过处理（无效投标），并不再将其投标提交评标委员会进行后续评审。</w:t>
      </w:r>
    </w:p>
    <w:p w14:paraId="440E3A20">
      <w:pPr>
        <w:tabs>
          <w:tab w:val="left" w:pos="540"/>
        </w:tabs>
        <w:spacing w:line="460" w:lineRule="exact"/>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27.3单位负责人为同一人或者存在直接控股、管理关系的不同供应商参加同一合同项下的采购活动的，相关投标人均作资格无效处理。</w:t>
      </w:r>
    </w:p>
    <w:p w14:paraId="405AB460">
      <w:pPr>
        <w:pStyle w:val="4"/>
        <w:spacing w:line="500" w:lineRule="exact"/>
        <w:jc w:val="center"/>
        <w:rPr>
          <w:rFonts w:ascii="宋体" w:hAnsi="宋体" w:eastAsia="宋体" w:cs="宋体"/>
          <w:color w:val="auto"/>
          <w:sz w:val="24"/>
          <w:szCs w:val="24"/>
          <w:highlight w:val="none"/>
        </w:rPr>
      </w:pPr>
      <w:bookmarkStart w:id="63" w:name="_Toc24368"/>
      <w:bookmarkStart w:id="64" w:name="_Toc34508135"/>
      <w:bookmarkStart w:id="65" w:name="_Toc34221900"/>
      <w:r>
        <w:rPr>
          <w:rFonts w:hint="eastAsia" w:ascii="宋体" w:hAnsi="宋体" w:eastAsia="宋体" w:cs="宋体"/>
          <w:color w:val="auto"/>
          <w:sz w:val="24"/>
          <w:szCs w:val="24"/>
          <w:highlight w:val="none"/>
        </w:rPr>
        <w:t>六、 评  标</w:t>
      </w:r>
      <w:bookmarkEnd w:id="63"/>
      <w:bookmarkEnd w:id="64"/>
      <w:bookmarkEnd w:id="65"/>
    </w:p>
    <w:p w14:paraId="6E589AAC">
      <w:pPr>
        <w:spacing w:line="460" w:lineRule="exac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28. 评标委员会</w:t>
      </w:r>
    </w:p>
    <w:p w14:paraId="249B0748">
      <w:pPr>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采购人按照有关法律、法规的规定组建评标委员会，评标委员会成员由采购人代表和有关技术、经济等方面的专家组成，成员人数为5人（含）以上单数，除采购人代表外的专家将在评标专家库中随机抽取产生。</w:t>
      </w:r>
    </w:p>
    <w:p w14:paraId="4A12C781">
      <w:pPr>
        <w:spacing w:line="460" w:lineRule="exac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29. 评标过程的保密性</w:t>
      </w:r>
    </w:p>
    <w:p w14:paraId="10BFF09B">
      <w:pPr>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开标后直至向中标人授予合同时止，凡与评审有关的资料均不得向投标人及与评标无关人员透露。如果投标人在评标过程中试图向采购人和采购代理机构施加影响，其投标将被拒绝。</w:t>
      </w:r>
    </w:p>
    <w:p w14:paraId="782A117A">
      <w:pPr>
        <w:spacing w:line="460" w:lineRule="exac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30. 投标文件的初审（符合性检查）。</w:t>
      </w:r>
    </w:p>
    <w:p w14:paraId="05C1F520">
      <w:pPr>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评标委员会依据采购文件的规定，从投标文件中的有效性、完整性和对采购文件的响应程度进行审查，以确定是否对采购文件的实质性要求作出响应。</w:t>
      </w:r>
    </w:p>
    <w:p w14:paraId="40493B9D">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30.1▲</w:t>
      </w:r>
      <w:r>
        <w:rPr>
          <w:rFonts w:hint="eastAsia" w:ascii="宋体" w:hAnsi="宋体" w:cs="宋体"/>
          <w:b/>
          <w:bCs/>
          <w:color w:val="auto"/>
          <w:kern w:val="0"/>
          <w:sz w:val="22"/>
          <w:szCs w:val="22"/>
          <w:highlight w:val="none"/>
          <w:u w:val="single"/>
        </w:rPr>
        <w:t>投标人存在下列情况之一的，投标无效</w:t>
      </w:r>
      <w:r>
        <w:rPr>
          <w:rFonts w:hint="eastAsia" w:ascii="宋体" w:hAnsi="宋体" w:cs="宋体"/>
          <w:color w:val="auto"/>
          <w:kern w:val="0"/>
          <w:sz w:val="22"/>
          <w:szCs w:val="22"/>
          <w:highlight w:val="none"/>
        </w:rPr>
        <w:t>:</w:t>
      </w:r>
    </w:p>
    <w:p w14:paraId="5A8B749E">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1）投标文件未按采购文件要求签署、盖章的；</w:t>
      </w:r>
    </w:p>
    <w:p w14:paraId="671E50E5">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2）不具备采购文件中规定的资格要求的；</w:t>
      </w:r>
    </w:p>
    <w:p w14:paraId="7B9E69A2">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3）报价超过采购文件中规定的预算金额或者最高限价的；</w:t>
      </w:r>
    </w:p>
    <w:p w14:paraId="5B88B2C9">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4）投标文件含有采购人不能接受的附加条件的（包括采购文件中明确要求不得偏离的采购要求，存在负偏离的）；</w:t>
      </w:r>
    </w:p>
    <w:p w14:paraId="581293C9">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5）仅提交“备份投标文件”的；</w:t>
      </w:r>
    </w:p>
    <w:p w14:paraId="6544B7D1">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6）对关键条文的偏离、保留或反对，例如关于付款方式、完工期（服务期）、免费质保期、适用法律法规、标准、税费等其他内容；</w:t>
      </w:r>
    </w:p>
    <w:p w14:paraId="41027965">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7）存在串标、抬标或弄虚作假情况的；</w:t>
      </w:r>
    </w:p>
    <w:p w14:paraId="6208D1FF">
      <w:pPr>
        <w:spacing w:line="460" w:lineRule="exact"/>
        <w:ind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8）不同供应商的电子投标（响应）文件上传的IP地址、MAC地址、硬盘序列号等硬件信息相同且无法合理解释的；</w:t>
      </w:r>
    </w:p>
    <w:p w14:paraId="2A4B7025">
      <w:pPr>
        <w:spacing w:line="460" w:lineRule="exact"/>
        <w:ind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9）不同供应商的电子投标（响应）文件上传时的联系人或手机号信息相同且无法合理解释的；</w:t>
      </w:r>
    </w:p>
    <w:p w14:paraId="2ACBECDF">
      <w:pPr>
        <w:spacing w:line="460" w:lineRule="exact"/>
        <w:ind w:firstLine="440" w:firstLineChars="2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10）上传的电子投标（响应）文件若出现使用本项目其他投标（响应）供应商的数字证书加密的，或者加盖本项目其他投标（响应）供应商的电子印章的；</w:t>
      </w:r>
    </w:p>
    <w:p w14:paraId="396CBB98">
      <w:pPr>
        <w:spacing w:line="4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11）不同供应商的投标（响应）文件的内容存在三处（含）以上错误一致的；</w:t>
      </w:r>
    </w:p>
    <w:p w14:paraId="14ACCB54">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12）</w:t>
      </w:r>
      <w:r>
        <w:rPr>
          <w:rFonts w:hint="eastAsia" w:ascii="宋体" w:hAnsi="宋体" w:cs="宋体"/>
          <w:color w:val="auto"/>
          <w:kern w:val="0"/>
          <w:sz w:val="22"/>
          <w:szCs w:val="22"/>
          <w:highlight w:val="none"/>
        </w:rPr>
        <w:t>法律、法规和采购文件规定的其他无效情形（或出现重大偏差）。</w:t>
      </w:r>
    </w:p>
    <w:p w14:paraId="31E601DE">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30.2▲</w:t>
      </w:r>
      <w:r>
        <w:rPr>
          <w:rFonts w:hint="eastAsia" w:ascii="宋体" w:hAnsi="宋体" w:cs="宋体"/>
          <w:b/>
          <w:bCs/>
          <w:color w:val="auto"/>
          <w:kern w:val="0"/>
          <w:sz w:val="22"/>
          <w:szCs w:val="22"/>
          <w:highlight w:val="none"/>
          <w:u w:val="single"/>
        </w:rPr>
        <w:t>评标委员会发现投标文件有下列情形之一的属于重大偏差(评标委员会按少数服从多数原则认定),按照无效投标处理</w:t>
      </w:r>
      <w:r>
        <w:rPr>
          <w:rFonts w:hint="eastAsia" w:ascii="宋体" w:hAnsi="宋体" w:cs="宋体"/>
          <w:color w:val="auto"/>
          <w:kern w:val="0"/>
          <w:sz w:val="22"/>
          <w:szCs w:val="22"/>
          <w:highlight w:val="none"/>
        </w:rPr>
        <w:t>：</w:t>
      </w:r>
    </w:p>
    <w:p w14:paraId="6C90EFAA">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1）未按采购文件要求编制或字迹模糊、辨认不清的投标文件；</w:t>
      </w:r>
    </w:p>
    <w:p w14:paraId="17D3F8FB">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2）除30.1条款以外，出现其它明显不符合技术规格、技术标准的要求或不满足采购文件技术规格书中的主要参数的投标文件；</w:t>
      </w:r>
    </w:p>
    <w:p w14:paraId="2AD25F89">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3）除30.1条款以外，出现投标项目数量与采购文件对比出现较大偏差；商务报价明细表计算错误，出现较大差错；</w:t>
      </w:r>
    </w:p>
    <w:p w14:paraId="7BA00AD0">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4）除30.1条款以外，出现其它不符合采购文件中规定的实质性要求的投标文件，是否为偏离实质性要求由评标委员会认定。</w:t>
      </w:r>
    </w:p>
    <w:p w14:paraId="759AD671">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30.3</w:t>
      </w:r>
      <w:r>
        <w:rPr>
          <w:rFonts w:hint="eastAsia" w:ascii="宋体" w:hAnsi="宋体" w:cs="宋体"/>
          <w:b/>
          <w:bCs/>
          <w:color w:val="auto"/>
          <w:kern w:val="0"/>
          <w:sz w:val="22"/>
          <w:szCs w:val="22"/>
          <w:highlight w:val="none"/>
          <w:u w:val="single"/>
        </w:rPr>
        <w:t>有下列情形之一的，视为投标人串通投标，其投标无效</w:t>
      </w:r>
      <w:r>
        <w:rPr>
          <w:rFonts w:hint="eastAsia" w:ascii="宋体" w:hAnsi="宋体" w:cs="宋体"/>
          <w:color w:val="auto"/>
          <w:kern w:val="0"/>
          <w:sz w:val="22"/>
          <w:szCs w:val="22"/>
          <w:highlight w:val="none"/>
        </w:rPr>
        <w:t>：</w:t>
      </w:r>
    </w:p>
    <w:p w14:paraId="2B58976E">
      <w:pPr>
        <w:numPr>
          <w:ilvl w:val="0"/>
          <w:numId w:val="20"/>
        </w:num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不同投标人的投标文件由同一单位或者个人编制；</w:t>
      </w:r>
    </w:p>
    <w:p w14:paraId="722FB54A">
      <w:pPr>
        <w:numPr>
          <w:ilvl w:val="0"/>
          <w:numId w:val="20"/>
        </w:numPr>
        <w:spacing w:line="460" w:lineRule="exact"/>
        <w:ind w:left="0" w:leftChars="0"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不同投标人委托同一单位或者个人办理投标事宜；</w:t>
      </w:r>
    </w:p>
    <w:p w14:paraId="24EEC792">
      <w:pPr>
        <w:numPr>
          <w:ilvl w:val="0"/>
          <w:numId w:val="20"/>
        </w:numPr>
        <w:spacing w:line="460" w:lineRule="exact"/>
        <w:ind w:left="0" w:leftChars="0"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不同投标人的投标文件载明的项目管理成员或者联系人员为同一人；</w:t>
      </w:r>
    </w:p>
    <w:p w14:paraId="2199D48E">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4）不同投标人的投标文件异常一致或者投标报价呈规律性差异；</w:t>
      </w:r>
    </w:p>
    <w:p w14:paraId="6546DA7E">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5）不同投标人的投标文件相互混装；</w:t>
      </w:r>
    </w:p>
    <w:p w14:paraId="107B7DFB">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30.4在详细评标之前，评标委员会要审查每份投标文件是否实质上响应了采购文件的要求。实质上响应的投标应该是与采购文件要求的全部条款、条件和规格基本相符。没有重大偏离。</w:t>
      </w:r>
    </w:p>
    <w:p w14:paraId="40C80959">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30.5实质上没有响应采购文件要求的投标将被否决，投标人不得通过修正或撤消不合要求的偏离或保留从而使其投标成为实质上响应的投标。</w:t>
      </w:r>
    </w:p>
    <w:p w14:paraId="691A6E5C">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31.投标文件的澄清</w:t>
      </w:r>
    </w:p>
    <w:p w14:paraId="21980C73">
      <w:pPr>
        <w:spacing w:line="4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31.1</w:t>
      </w:r>
      <w:r>
        <w:rPr>
          <w:rFonts w:hint="eastAsia" w:ascii="宋体" w:hAnsi="宋体" w:cs="宋体"/>
          <w:b/>
          <w:bCs/>
          <w:color w:val="auto"/>
          <w:sz w:val="22"/>
          <w:szCs w:val="22"/>
          <w:highlight w:val="none"/>
        </w:rPr>
        <w:t>为有助于投标文件的审查、评价和比较，评标小组可以在“政采云平台”在线询标或其他有效形式要求投标人对同一份投标文件含义不明确或同类问题表述不一致的内容（采购文件其它地方有规定处理方法的除外）作必要的澄清或说明，投标人应采用在线回复或其他有效形式在询标规定时间内进行澄清或说明（需盖电子签章或实体公章），但不得超出投标文件的范围或改变投标文件的实质性内容。凡属于评标小组在评标中发现的计算错误并进行核实的修改不在此列。</w:t>
      </w:r>
    </w:p>
    <w:p w14:paraId="4204844A">
      <w:pPr>
        <w:spacing w:line="460" w:lineRule="exact"/>
        <w:rPr>
          <w:rFonts w:ascii="宋体" w:hAnsi="宋体" w:cs="宋体"/>
          <w:b/>
          <w:bCs/>
          <w:color w:val="auto"/>
          <w:sz w:val="22"/>
          <w:szCs w:val="22"/>
          <w:highlight w:val="none"/>
        </w:rPr>
      </w:pPr>
      <w:r>
        <w:rPr>
          <w:rFonts w:hint="eastAsia" w:ascii="宋体" w:hAnsi="宋体" w:cs="宋体"/>
          <w:color w:val="auto"/>
          <w:kern w:val="0"/>
          <w:sz w:val="22"/>
          <w:szCs w:val="22"/>
          <w:highlight w:val="none"/>
        </w:rPr>
        <w:t>31.2若投标文件中所提交的证书、证明等材料若出现已过有效期、时间或其他主要信息不明确，且投标人书面澄清（书面澄清仅限在投标文件递交截止时间前所提交投标文件及相关材料中未被评标委员会审查出的内容）亦不明确的，评审过程中将不予认可，不再寻求外部证据（外部证据包括投标人在澄清过程中申请补交的证明材料或网络查询结果等非投标文件本身内容）。</w:t>
      </w:r>
    </w:p>
    <w:p w14:paraId="0EF24E17">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31.3</w:t>
      </w:r>
      <w:r>
        <w:rPr>
          <w:rFonts w:hint="eastAsia" w:ascii="宋体" w:hAnsi="宋体" w:cs="宋体"/>
          <w:color w:val="auto"/>
          <w:sz w:val="22"/>
          <w:highlight w:val="none"/>
        </w:rPr>
        <w:t>投标文件报价出现前后不一致的，除采购文件另有规定外，按照下列规定修正</w:t>
      </w:r>
      <w:r>
        <w:rPr>
          <w:rFonts w:hint="eastAsia" w:ascii="宋体" w:hAnsi="宋体" w:cs="宋体"/>
          <w:color w:val="auto"/>
          <w:kern w:val="0"/>
          <w:sz w:val="22"/>
          <w:szCs w:val="22"/>
          <w:highlight w:val="none"/>
        </w:rPr>
        <w:t>：</w:t>
      </w:r>
    </w:p>
    <w:p w14:paraId="471FDFA7">
      <w:pPr>
        <w:spacing w:line="460" w:lineRule="exact"/>
        <w:ind w:firstLine="418" w:firstLineChars="190"/>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r>
        <w:rPr>
          <w:rFonts w:hint="eastAsia" w:ascii="宋体" w:hAnsi="宋体" w:cs="宋体"/>
          <w:color w:val="auto"/>
          <w:sz w:val="22"/>
          <w:highlight w:val="none"/>
        </w:rPr>
        <w:t>投标文件中开标一览表（报价表）内容与投标文件中相应内容不一致的，以开标一览表（报价表）为准</w:t>
      </w:r>
      <w:r>
        <w:rPr>
          <w:rFonts w:hint="eastAsia" w:ascii="宋体" w:hAnsi="宋体" w:cs="宋体"/>
          <w:color w:val="auto"/>
          <w:kern w:val="0"/>
          <w:sz w:val="22"/>
          <w:szCs w:val="22"/>
          <w:highlight w:val="none"/>
        </w:rPr>
        <w:t>。</w:t>
      </w:r>
    </w:p>
    <w:p w14:paraId="6F79EB00">
      <w:pPr>
        <w:spacing w:line="460" w:lineRule="exact"/>
        <w:ind w:firstLine="418" w:firstLineChars="190"/>
        <w:rPr>
          <w:rFonts w:ascii="宋体" w:hAnsi="宋体" w:cs="宋体"/>
          <w:color w:val="auto"/>
          <w:sz w:val="22"/>
          <w:highlight w:val="none"/>
        </w:rPr>
      </w:pPr>
      <w:r>
        <w:rPr>
          <w:rFonts w:hint="eastAsia" w:ascii="宋体" w:hAnsi="宋体" w:cs="宋体"/>
          <w:color w:val="auto"/>
          <w:kern w:val="0"/>
          <w:sz w:val="22"/>
          <w:szCs w:val="22"/>
          <w:highlight w:val="none"/>
        </w:rPr>
        <w:t>2）</w:t>
      </w:r>
      <w:r>
        <w:rPr>
          <w:rFonts w:hint="eastAsia" w:ascii="宋体" w:hAnsi="宋体" w:cs="宋体"/>
          <w:color w:val="auto"/>
          <w:sz w:val="22"/>
          <w:highlight w:val="none"/>
        </w:rPr>
        <w:t>大写金额和小写金额不一致的，以大写金额为准。</w:t>
      </w:r>
    </w:p>
    <w:p w14:paraId="458FD931">
      <w:pPr>
        <w:spacing w:line="46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3）单价金额小数点或者百分比有明显错位的，以开标一览表的总价为准，并修改单价。</w:t>
      </w:r>
    </w:p>
    <w:p w14:paraId="217D44F5">
      <w:pPr>
        <w:spacing w:line="46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4）总价金额与按单价汇总金额不一致的，以单价金额计算结果为准。</w:t>
      </w:r>
    </w:p>
    <w:p w14:paraId="636A6571">
      <w:pPr>
        <w:spacing w:line="46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5）</w:t>
      </w:r>
      <w:r>
        <w:rPr>
          <w:rFonts w:hint="eastAsia" w:ascii="新宋体" w:hAnsi="新宋体" w:eastAsia="新宋体" w:cs="新宋体"/>
          <w:color w:val="auto"/>
          <w:sz w:val="22"/>
          <w:szCs w:val="22"/>
          <w:highlight w:val="none"/>
        </w:rPr>
        <w:t>投标人在政采云</w:t>
      </w:r>
      <w:r>
        <w:rPr>
          <w:rFonts w:hint="eastAsia" w:ascii="宋体" w:hAnsi="宋体" w:cs="宋体"/>
          <w:color w:val="auto"/>
          <w:sz w:val="22"/>
          <w:szCs w:val="22"/>
          <w:highlight w:val="none"/>
        </w:rPr>
        <w:t>客户端填写的报价与以pdf格式上传文件中的报价不一致的，应以Pdf格式上传文件中的报价为准，修正客户端的报价。</w:t>
      </w:r>
    </w:p>
    <w:p w14:paraId="7319178F">
      <w:pPr>
        <w:spacing w:line="460" w:lineRule="exact"/>
        <w:ind w:firstLine="420" w:firstLineChars="190"/>
        <w:rPr>
          <w:rFonts w:ascii="宋体" w:hAnsi="宋体" w:cs="宋体"/>
          <w:color w:val="auto"/>
          <w:sz w:val="22"/>
          <w:highlight w:val="none"/>
        </w:rPr>
      </w:pPr>
      <w:r>
        <w:rPr>
          <w:rFonts w:hint="eastAsia" w:ascii="宋体" w:hAnsi="宋体" w:cs="宋体"/>
          <w:b/>
          <w:bCs/>
          <w:color w:val="auto"/>
          <w:sz w:val="22"/>
          <w:highlight w:val="none"/>
        </w:rPr>
        <w:t>同时出现两种以上不一致的，按照前款规定的顺序修正。修正后的报价按照本采购文件规定经投标人确认后产生约束力，投标人不确认的，其投标无效。</w:t>
      </w:r>
    </w:p>
    <w:p w14:paraId="4A0B6FE0">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31.4</w:t>
      </w:r>
      <w:r>
        <w:rPr>
          <w:rFonts w:hint="eastAsia" w:ascii="宋体" w:hAnsi="宋体" w:cs="宋体"/>
          <w:color w:val="auto"/>
          <w:kern w:val="0"/>
          <w:sz w:val="22"/>
          <w:szCs w:val="22"/>
          <w:highlight w:val="none"/>
        </w:rPr>
        <w:t>▲</w:t>
      </w:r>
      <w:r>
        <w:rPr>
          <w:rFonts w:hint="eastAsia" w:ascii="宋体" w:hAnsi="宋体" w:cs="宋体"/>
          <w:b/>
          <w:bCs/>
          <w:color w:val="auto"/>
          <w:kern w:val="0"/>
          <w:sz w:val="22"/>
          <w:szCs w:val="22"/>
          <w:highlight w:val="none"/>
          <w:u w:val="single"/>
        </w:rPr>
        <w:t>评标委员会认为投标人的报价明显低于其他通过符合性审查投标人的报价，有可能影响产品质量或者不能诚信履约的，将要求其在合理时间内在“政采云平台”上作出在线澄清并提供书面说明，必要时提交相关证明材料；投标人不能证明其报价合理性的，评标委员会应当将其作为无效投标处理</w:t>
      </w:r>
      <w:r>
        <w:rPr>
          <w:rFonts w:hint="eastAsia" w:ascii="宋体" w:hAnsi="宋体" w:cs="宋体"/>
          <w:color w:val="auto"/>
          <w:kern w:val="0"/>
          <w:sz w:val="22"/>
          <w:szCs w:val="22"/>
          <w:highlight w:val="none"/>
        </w:rPr>
        <w:t>。</w:t>
      </w:r>
    </w:p>
    <w:p w14:paraId="59C9689F">
      <w:pPr>
        <w:spacing w:line="4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31.5如果投标人代表拒绝按评标委员会要求在“政采云平台”作出在线回复且无其他有效回复方式的，评标委员会可以对其作出否决投标处理。</w:t>
      </w:r>
    </w:p>
    <w:p w14:paraId="25CDBEDA">
      <w:pPr>
        <w:spacing w:line="460" w:lineRule="exact"/>
        <w:rPr>
          <w:rFonts w:ascii="宋体" w:hAnsi="宋体" w:cs="宋体"/>
          <w:color w:val="auto"/>
          <w:kern w:val="0"/>
          <w:sz w:val="22"/>
          <w:szCs w:val="22"/>
          <w:highlight w:val="none"/>
        </w:rPr>
      </w:pPr>
      <w:r>
        <w:rPr>
          <w:rFonts w:hint="eastAsia" w:ascii="宋体" w:hAnsi="宋体" w:cs="宋体"/>
          <w:b/>
          <w:bCs/>
          <w:color w:val="auto"/>
          <w:sz w:val="22"/>
          <w:szCs w:val="22"/>
          <w:highlight w:val="none"/>
        </w:rPr>
        <w:t>31.6</w:t>
      </w:r>
      <w:r>
        <w:rPr>
          <w:rFonts w:hint="eastAsia" w:ascii="宋体" w:hAnsi="宋体" w:cs="宋体"/>
          <w:color w:val="auto"/>
          <w:sz w:val="22"/>
          <w:highlight w:val="none"/>
          <w:u w:val="single"/>
        </w:rPr>
        <w:t>经澄清后，若偏差仍存在，且不可接受，则投标文件将被认定为“没有实质性响应采购文件要求”，按无效投标处理，不再进入下一步评审。</w:t>
      </w:r>
    </w:p>
    <w:p w14:paraId="032D7C3D">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32.</w:t>
      </w:r>
      <w:r>
        <w:rPr>
          <w:rFonts w:hint="eastAsia" w:ascii="宋体" w:hAnsi="宋体" w:cs="宋体"/>
          <w:b/>
          <w:bCs/>
          <w:color w:val="auto"/>
          <w:sz w:val="22"/>
          <w:highlight w:val="none"/>
        </w:rPr>
        <w:t xml:space="preserve"> 评标原则和评标办法</w:t>
      </w:r>
    </w:p>
    <w:p w14:paraId="5C0D8E2B">
      <w:pPr>
        <w:pStyle w:val="29"/>
        <w:snapToGrid w:val="0"/>
        <w:spacing w:line="460" w:lineRule="exact"/>
        <w:rPr>
          <w:rFonts w:hAnsi="宋体" w:cs="宋体"/>
          <w:color w:val="auto"/>
          <w:sz w:val="22"/>
          <w:highlight w:val="none"/>
        </w:rPr>
      </w:pPr>
      <w:r>
        <w:rPr>
          <w:rFonts w:hint="eastAsia" w:hAnsi="宋体" w:cs="宋体"/>
          <w:color w:val="auto"/>
          <w:sz w:val="22"/>
          <w:highlight w:val="none"/>
        </w:rPr>
        <w:t>32.1评标委员会成员应当按照客观、公正、审慎的原则，根据采购文件规定的评标程序、评标方法和评标标准进行独立评审。采购文件内容违反国家有关强制性规定的，评标委员会应当停止评标并向采购人或者采购代理机构说明情况。</w:t>
      </w:r>
    </w:p>
    <w:p w14:paraId="09481F62">
      <w:pPr>
        <w:pStyle w:val="51"/>
        <w:spacing w:before="0" w:beforeAutospacing="0" w:after="0" w:afterAutospacing="0" w:line="460" w:lineRule="exact"/>
        <w:jc w:val="both"/>
        <w:rPr>
          <w:rFonts w:cs="宋体"/>
          <w:color w:val="auto"/>
          <w:sz w:val="22"/>
          <w:highlight w:val="none"/>
        </w:rPr>
      </w:pPr>
      <w:r>
        <w:rPr>
          <w:rFonts w:hint="eastAsia" w:cs="宋体"/>
          <w:color w:val="auto"/>
          <w:sz w:val="22"/>
          <w:highlight w:val="none"/>
        </w:rPr>
        <w:t>32.2评标中因评标委员会成员缺席、回避或者健康等特殊原因导致评标委员会组成不符合规定的，依法补足后继续评标。被更换的评标委员会成员所作出的评标意见无效。</w:t>
      </w:r>
    </w:p>
    <w:p w14:paraId="0A72808E">
      <w:pPr>
        <w:pStyle w:val="29"/>
        <w:snapToGrid w:val="0"/>
        <w:spacing w:line="460" w:lineRule="exact"/>
        <w:rPr>
          <w:rFonts w:hAnsi="宋体" w:cs="宋体"/>
          <w:color w:val="auto"/>
          <w:sz w:val="22"/>
          <w:highlight w:val="none"/>
        </w:rPr>
      </w:pPr>
      <w:r>
        <w:rPr>
          <w:rFonts w:hint="eastAsia" w:hAnsi="宋体" w:cs="宋体"/>
          <w:color w:val="auto"/>
          <w:sz w:val="22"/>
          <w:highlight w:val="none"/>
        </w:rPr>
        <w:t>32.3评标委员会成员对需要共同认定的事项存在争议的，应当按照少数服从多数的原则作出结论。持不同意见的评标委员会成员应当在评标报告上签署不同意见及理由，否则视为同意评标报告。</w:t>
      </w:r>
    </w:p>
    <w:p w14:paraId="09916970">
      <w:pPr>
        <w:pStyle w:val="29"/>
        <w:snapToGrid w:val="0"/>
        <w:spacing w:line="460" w:lineRule="exact"/>
        <w:rPr>
          <w:rFonts w:hAnsi="宋体" w:cs="宋体"/>
          <w:color w:val="auto"/>
          <w:sz w:val="22"/>
          <w:highlight w:val="none"/>
        </w:rPr>
      </w:pPr>
      <w:r>
        <w:rPr>
          <w:rFonts w:hint="eastAsia" w:hAnsi="宋体" w:cs="宋体"/>
          <w:color w:val="auto"/>
          <w:sz w:val="22"/>
          <w:highlight w:val="none"/>
        </w:rPr>
        <w:t>32.4本项目评标办法是综合评分法，具体评标内容及评分标准等详见第六部分“评标原则及方法”。</w:t>
      </w:r>
    </w:p>
    <w:p w14:paraId="6F3F7B2E">
      <w:pPr>
        <w:pStyle w:val="29"/>
        <w:snapToGrid w:val="0"/>
        <w:spacing w:line="460" w:lineRule="exact"/>
        <w:rPr>
          <w:rFonts w:hAnsi="宋体" w:cs="宋体"/>
          <w:b/>
          <w:color w:val="auto"/>
          <w:sz w:val="22"/>
          <w:highlight w:val="none"/>
        </w:rPr>
      </w:pPr>
      <w:r>
        <w:rPr>
          <w:rFonts w:hint="eastAsia" w:hAnsi="宋体" w:cs="宋体"/>
          <w:b/>
          <w:color w:val="auto"/>
          <w:sz w:val="22"/>
          <w:highlight w:val="none"/>
          <w:u w:val="single"/>
        </w:rPr>
        <w:t>32.5▲根据《中华人民共和国政府采购法》第三十六条规定：在招标采购中，符合专业条件的投标人或者对采购文件作实质响应的投标人不足三家的，此项目废标，应重新组织采购。</w:t>
      </w:r>
    </w:p>
    <w:p w14:paraId="3D959547">
      <w:pPr>
        <w:spacing w:line="460" w:lineRule="exact"/>
        <w:rPr>
          <w:rFonts w:ascii="宋体" w:hAnsi="宋体" w:cs="宋体"/>
          <w:color w:val="auto"/>
          <w:kern w:val="0"/>
          <w:sz w:val="22"/>
          <w:szCs w:val="22"/>
          <w:highlight w:val="none"/>
        </w:rPr>
      </w:pPr>
      <w:r>
        <w:rPr>
          <w:rFonts w:hint="eastAsia" w:ascii="宋体" w:hAnsi="宋体" w:cs="宋体"/>
          <w:color w:val="auto"/>
          <w:sz w:val="22"/>
          <w:highlight w:val="none"/>
        </w:rPr>
        <w:t>32.6评标过程中遇到特殊情况，由评标委员会遵循公开、公正原则，采取投票方式按照少数服从多数原则决定。</w:t>
      </w:r>
    </w:p>
    <w:p w14:paraId="7864EFBE">
      <w:pPr>
        <w:spacing w:line="460" w:lineRule="exact"/>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33.确定中标候选人</w:t>
      </w:r>
    </w:p>
    <w:p w14:paraId="66EF8F02">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33.1本次采购由评标委员会推荐中标候选人，采购人根据评标委员会的推荐结果进行最终确认。</w:t>
      </w:r>
    </w:p>
    <w:p w14:paraId="2D94C0DF">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33.2</w:t>
      </w:r>
      <w:r>
        <w:rPr>
          <w:rFonts w:hint="eastAsia" w:ascii="新宋体" w:hAnsi="新宋体" w:eastAsia="新宋体" w:cs="新宋体"/>
          <w:color w:val="auto"/>
          <w:sz w:val="22"/>
          <w:szCs w:val="22"/>
          <w:highlight w:val="none"/>
        </w:rPr>
        <w:t>评标委员会依据法律、法规及采购文件有关规定在有效标中按投标人的最终得分（</w:t>
      </w:r>
      <w:r>
        <w:rPr>
          <w:rFonts w:hint="eastAsia" w:cs="宋体"/>
          <w:color w:val="auto"/>
          <w:sz w:val="22"/>
          <w:szCs w:val="22"/>
          <w:highlight w:val="none"/>
        </w:rPr>
        <w:t>即</w:t>
      </w:r>
      <w:r>
        <w:rPr>
          <w:rFonts w:hint="eastAsia" w:cs="宋体"/>
          <w:color w:val="auto"/>
          <w:sz w:val="22"/>
          <w:szCs w:val="22"/>
          <w:highlight w:val="none"/>
          <w:lang w:val="en-US" w:eastAsia="zh-CN"/>
        </w:rPr>
        <w:t>商务</w:t>
      </w:r>
      <w:r>
        <w:rPr>
          <w:rFonts w:hint="eastAsia" w:cs="宋体"/>
          <w:color w:val="auto"/>
          <w:sz w:val="22"/>
          <w:szCs w:val="22"/>
          <w:highlight w:val="none"/>
        </w:rPr>
        <w:t>技术分与</w:t>
      </w:r>
      <w:r>
        <w:rPr>
          <w:rFonts w:hint="eastAsia" w:cs="宋体"/>
          <w:color w:val="auto"/>
          <w:sz w:val="22"/>
          <w:szCs w:val="22"/>
          <w:highlight w:val="none"/>
          <w:lang w:val="en-US" w:eastAsia="zh-CN"/>
        </w:rPr>
        <w:t>报价</w:t>
      </w:r>
      <w:r>
        <w:rPr>
          <w:rFonts w:hint="eastAsia" w:cs="宋体"/>
          <w:color w:val="auto"/>
          <w:sz w:val="22"/>
          <w:szCs w:val="22"/>
          <w:highlight w:val="none"/>
        </w:rPr>
        <w:t>分之和</w:t>
      </w:r>
      <w:r>
        <w:rPr>
          <w:rFonts w:hint="eastAsia" w:ascii="新宋体" w:hAnsi="新宋体" w:eastAsia="新宋体" w:cs="新宋体"/>
          <w:color w:val="auto"/>
          <w:sz w:val="22"/>
          <w:szCs w:val="22"/>
          <w:highlight w:val="none"/>
        </w:rPr>
        <w:t>）高低进行排序，得分前二名的投标人推荐为中标候选人与备选中标人（得分相同投标报价低的排序前位；得分且投标报价相同的并列，投标文件满足采购文件全部实质性要求，且按照评审因素的量化指标评审得分最高的投标人为中标候选人）</w:t>
      </w:r>
      <w:r>
        <w:rPr>
          <w:rFonts w:hint="eastAsia" w:ascii="新宋体" w:hAnsi="新宋体" w:eastAsia="新宋体" w:cs="新宋体"/>
          <w:color w:val="auto"/>
          <w:kern w:val="0"/>
          <w:sz w:val="22"/>
          <w:szCs w:val="22"/>
          <w:highlight w:val="none"/>
        </w:rPr>
        <w:t>。</w:t>
      </w:r>
    </w:p>
    <w:p w14:paraId="1BA9A449">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33.3若出现以下情形之一，采购人可视具体情况确定是否由备选中标人为中标人或重新组织采购：</w:t>
      </w:r>
    </w:p>
    <w:p w14:paraId="5A8ACFA0">
      <w:pPr>
        <w:spacing w:line="46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1）中标候选人放弃中标资格；</w:t>
      </w:r>
    </w:p>
    <w:p w14:paraId="6AF8A3EE">
      <w:pPr>
        <w:spacing w:line="46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2）中标候选人因不可抗力提出不能履行合同；</w:t>
      </w:r>
    </w:p>
    <w:p w14:paraId="791AF235">
      <w:pPr>
        <w:spacing w:line="46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3）中标候选人未能在规定时间内与采购单位签订合同；</w:t>
      </w:r>
    </w:p>
    <w:p w14:paraId="520F5B00">
      <w:pPr>
        <w:spacing w:line="46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4）经质疑，采购人审查后，中标候选人确实在本次采购活动中存在违法违规行为或其他原因使质疑成立的。</w:t>
      </w:r>
    </w:p>
    <w:p w14:paraId="72E9D337">
      <w:pPr>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33.4采购人、采购代理机构及评标委员会对未中标的供应商不作解释。同时根据政府采购法实施条例第四十条规定，本项目不对供应商公布详细的评审情况。</w:t>
      </w:r>
    </w:p>
    <w:p w14:paraId="41384918">
      <w:pPr>
        <w:tabs>
          <w:tab w:val="left" w:pos="1365"/>
        </w:tabs>
        <w:spacing w:line="460" w:lineRule="exact"/>
        <w:ind w:left="550" w:hanging="550" w:hangingChars="250"/>
        <w:rPr>
          <w:rFonts w:ascii="宋体" w:hAnsi="宋体" w:cs="宋体"/>
          <w:bCs/>
          <w:color w:val="auto"/>
          <w:sz w:val="22"/>
          <w:szCs w:val="22"/>
          <w:highlight w:val="none"/>
        </w:rPr>
      </w:pPr>
      <w:r>
        <w:rPr>
          <w:rFonts w:hint="eastAsia" w:ascii="新宋体" w:hAnsi="新宋体" w:eastAsia="新宋体" w:cs="新宋体"/>
          <w:color w:val="auto"/>
          <w:kern w:val="0"/>
          <w:sz w:val="22"/>
          <w:szCs w:val="22"/>
          <w:highlight w:val="none"/>
        </w:rPr>
        <w:t>34. 评标细则详见“评标原则及方法”</w:t>
      </w:r>
      <w:r>
        <w:rPr>
          <w:rFonts w:hint="eastAsia" w:ascii="新宋体" w:hAnsi="新宋体" w:eastAsia="新宋体" w:cs="新宋体"/>
          <w:bCs/>
          <w:color w:val="auto"/>
          <w:sz w:val="22"/>
          <w:szCs w:val="22"/>
          <w:highlight w:val="none"/>
        </w:rPr>
        <w:t>。</w:t>
      </w:r>
    </w:p>
    <w:p w14:paraId="5C8C5DF5">
      <w:pPr>
        <w:spacing w:line="460" w:lineRule="exac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35. 可中止电子交易活动的情形</w:t>
      </w:r>
    </w:p>
    <w:p w14:paraId="10EAEB2F">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35.1采购过程中出现以下情形，导致电子交易平台无法正常运行，或者无法保证电子交易的公平、公正和安全时，采购组织机构可中止电子交易活动：</w:t>
      </w:r>
    </w:p>
    <w:p w14:paraId="3A229149">
      <w:pPr>
        <w:numPr>
          <w:ilvl w:val="2"/>
          <w:numId w:val="21"/>
        </w:numPr>
        <w:tabs>
          <w:tab w:val="left" w:pos="993"/>
        </w:tabs>
        <w:spacing w:line="460" w:lineRule="exact"/>
        <w:ind w:left="993" w:hanging="426"/>
        <w:rPr>
          <w:rFonts w:ascii="宋体" w:hAnsi="宋体" w:cs="宋体"/>
          <w:color w:val="auto"/>
          <w:kern w:val="0"/>
          <w:sz w:val="22"/>
          <w:szCs w:val="22"/>
          <w:highlight w:val="none"/>
        </w:rPr>
      </w:pPr>
      <w:r>
        <w:rPr>
          <w:rFonts w:hint="eastAsia" w:ascii="宋体" w:hAnsi="宋体" w:cs="宋体"/>
          <w:color w:val="auto"/>
          <w:kern w:val="0"/>
          <w:sz w:val="22"/>
          <w:szCs w:val="22"/>
          <w:highlight w:val="none"/>
        </w:rPr>
        <w:t>电子交易平台发生故障而无法登录访问的；</w:t>
      </w:r>
    </w:p>
    <w:p w14:paraId="743E715F">
      <w:pPr>
        <w:numPr>
          <w:ilvl w:val="2"/>
          <w:numId w:val="21"/>
        </w:numPr>
        <w:tabs>
          <w:tab w:val="left" w:pos="993"/>
        </w:tabs>
        <w:spacing w:line="460" w:lineRule="exact"/>
        <w:ind w:left="993" w:hanging="426"/>
        <w:rPr>
          <w:rFonts w:ascii="宋体" w:hAnsi="宋体" w:cs="宋体"/>
          <w:color w:val="auto"/>
          <w:kern w:val="0"/>
          <w:sz w:val="22"/>
          <w:szCs w:val="22"/>
          <w:highlight w:val="none"/>
        </w:rPr>
      </w:pPr>
      <w:r>
        <w:rPr>
          <w:rFonts w:hint="eastAsia" w:ascii="宋体" w:hAnsi="宋体" w:cs="宋体"/>
          <w:color w:val="auto"/>
          <w:kern w:val="0"/>
          <w:sz w:val="22"/>
          <w:szCs w:val="22"/>
          <w:highlight w:val="none"/>
        </w:rPr>
        <w:t>电子交易平台应用或数据库出现错误，不能进行正常操作的；</w:t>
      </w:r>
    </w:p>
    <w:p w14:paraId="51389DFB">
      <w:pPr>
        <w:numPr>
          <w:ilvl w:val="2"/>
          <w:numId w:val="21"/>
        </w:numPr>
        <w:tabs>
          <w:tab w:val="left" w:pos="993"/>
        </w:tabs>
        <w:spacing w:line="460" w:lineRule="exact"/>
        <w:ind w:left="993" w:hanging="426"/>
        <w:rPr>
          <w:rFonts w:ascii="宋体" w:hAnsi="宋体" w:cs="宋体"/>
          <w:color w:val="auto"/>
          <w:kern w:val="0"/>
          <w:sz w:val="22"/>
          <w:szCs w:val="22"/>
          <w:highlight w:val="none"/>
        </w:rPr>
      </w:pPr>
      <w:r>
        <w:rPr>
          <w:rFonts w:hint="eastAsia" w:ascii="宋体" w:hAnsi="宋体" w:cs="宋体"/>
          <w:color w:val="auto"/>
          <w:kern w:val="0"/>
          <w:sz w:val="22"/>
          <w:szCs w:val="22"/>
          <w:highlight w:val="none"/>
        </w:rPr>
        <w:t>电子交易平台发现严重安全漏洞，有潜在泄密危险的；</w:t>
      </w:r>
    </w:p>
    <w:p w14:paraId="3D94DBAA">
      <w:pPr>
        <w:numPr>
          <w:ilvl w:val="2"/>
          <w:numId w:val="21"/>
        </w:numPr>
        <w:tabs>
          <w:tab w:val="left" w:pos="993"/>
        </w:tabs>
        <w:spacing w:line="460" w:lineRule="exact"/>
        <w:ind w:left="993" w:hanging="426"/>
        <w:rPr>
          <w:rFonts w:ascii="宋体" w:hAnsi="宋体" w:cs="宋体"/>
          <w:color w:val="auto"/>
          <w:kern w:val="0"/>
          <w:sz w:val="22"/>
          <w:szCs w:val="22"/>
          <w:highlight w:val="none"/>
        </w:rPr>
      </w:pPr>
      <w:r>
        <w:rPr>
          <w:rFonts w:hint="eastAsia" w:ascii="宋体" w:hAnsi="宋体" w:cs="宋体"/>
          <w:color w:val="auto"/>
          <w:kern w:val="0"/>
          <w:sz w:val="22"/>
          <w:szCs w:val="22"/>
          <w:highlight w:val="none"/>
        </w:rPr>
        <w:t>病毒发作导致不能进行正常操作的；</w:t>
      </w:r>
    </w:p>
    <w:p w14:paraId="183B2766">
      <w:pPr>
        <w:numPr>
          <w:ilvl w:val="2"/>
          <w:numId w:val="21"/>
        </w:numPr>
        <w:tabs>
          <w:tab w:val="left" w:pos="993"/>
        </w:tabs>
        <w:spacing w:line="460" w:lineRule="exact"/>
        <w:ind w:left="993" w:hanging="426"/>
        <w:rPr>
          <w:rFonts w:ascii="宋体" w:hAnsi="宋体" w:cs="宋体"/>
          <w:color w:val="auto"/>
          <w:kern w:val="0"/>
          <w:sz w:val="22"/>
          <w:szCs w:val="22"/>
          <w:highlight w:val="none"/>
        </w:rPr>
      </w:pPr>
      <w:r>
        <w:rPr>
          <w:rFonts w:hint="eastAsia" w:ascii="宋体" w:hAnsi="宋体" w:cs="宋体"/>
          <w:color w:val="auto"/>
          <w:kern w:val="0"/>
          <w:sz w:val="22"/>
          <w:szCs w:val="22"/>
          <w:highlight w:val="none"/>
        </w:rPr>
        <w:t>其他无法保证电子交易的公平、公正和安全的情况。</w:t>
      </w:r>
    </w:p>
    <w:p w14:paraId="7B394A60">
      <w:pPr>
        <w:spacing w:line="4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35.2出现前款规定情形，不影响采购公平、公正性的，采购组织机构可以待上述情形消除后继续组织电子交易活动；影响或可能影响采购公平、公正性的，应当重新采购。</w:t>
      </w:r>
    </w:p>
    <w:p w14:paraId="622F7987">
      <w:pPr>
        <w:pStyle w:val="4"/>
        <w:spacing w:line="500" w:lineRule="exact"/>
        <w:jc w:val="center"/>
        <w:rPr>
          <w:rFonts w:ascii="宋体" w:hAnsi="宋体" w:eastAsia="宋体" w:cs="宋体"/>
          <w:color w:val="auto"/>
          <w:sz w:val="24"/>
          <w:szCs w:val="24"/>
          <w:highlight w:val="none"/>
        </w:rPr>
      </w:pPr>
      <w:bookmarkStart w:id="66" w:name="_Toc34508136"/>
      <w:bookmarkStart w:id="67" w:name="_Toc306613654"/>
      <w:bookmarkStart w:id="68" w:name="_Toc34221901"/>
      <w:bookmarkStart w:id="69" w:name="_Toc26864"/>
      <w:r>
        <w:rPr>
          <w:rFonts w:hint="eastAsia" w:ascii="宋体" w:hAnsi="宋体" w:eastAsia="宋体" w:cs="宋体"/>
          <w:color w:val="auto"/>
          <w:sz w:val="24"/>
          <w:szCs w:val="24"/>
          <w:highlight w:val="none"/>
        </w:rPr>
        <w:t>七、 授予合同</w:t>
      </w:r>
      <w:bookmarkEnd w:id="66"/>
      <w:bookmarkEnd w:id="67"/>
      <w:bookmarkEnd w:id="68"/>
      <w:bookmarkEnd w:id="69"/>
    </w:p>
    <w:p w14:paraId="6C2BD222">
      <w:pPr>
        <w:tabs>
          <w:tab w:val="left" w:pos="540"/>
        </w:tabs>
        <w:spacing w:line="44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36. 确定中标人</w:t>
      </w:r>
    </w:p>
    <w:p w14:paraId="1C5D71DF">
      <w:pPr>
        <w:tabs>
          <w:tab w:val="left" w:pos="54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36.1采购人自收到评标报告之日起5个工作日内，在评标报告确定的中标候选人名单中按顺序确定中标人。</w:t>
      </w:r>
    </w:p>
    <w:p w14:paraId="21BE8580">
      <w:pPr>
        <w:tabs>
          <w:tab w:val="left" w:pos="54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36.2中标人确定之日起2个工作日内，在“政采云”平台上公示中标结果，中标公告期限为1个工作日；</w:t>
      </w:r>
    </w:p>
    <w:p w14:paraId="13529DBA">
      <w:pPr>
        <w:tabs>
          <w:tab w:val="left" w:pos="54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36.3在公告中标结果的同时，采购人向中标人发出中标通知书。</w:t>
      </w:r>
    </w:p>
    <w:p w14:paraId="53B46F1C">
      <w:pPr>
        <w:tabs>
          <w:tab w:val="left" w:pos="540"/>
        </w:tabs>
        <w:spacing w:line="440" w:lineRule="exact"/>
        <w:rPr>
          <w:rFonts w:ascii="宋体" w:hAnsi="宋体" w:cs="宋体"/>
          <w:color w:val="auto"/>
          <w:kern w:val="0"/>
          <w:sz w:val="22"/>
          <w:szCs w:val="22"/>
          <w:highlight w:val="none"/>
        </w:rPr>
      </w:pPr>
      <w:r>
        <w:rPr>
          <w:rFonts w:hint="eastAsia" w:ascii="新宋体" w:hAnsi="新宋体" w:eastAsia="新宋体" w:cs="新宋体"/>
          <w:color w:val="auto"/>
          <w:sz w:val="22"/>
          <w:szCs w:val="22"/>
          <w:highlight w:val="none"/>
        </w:rPr>
        <w:t>36.4各投标人对评标结果如有异议，可在中标结果公示之日起7个工作日内以书面形式向采购人进行署名投诉或提出质疑，但需对投诉或质疑内容的真实性承担法律责任。</w:t>
      </w:r>
    </w:p>
    <w:p w14:paraId="12D1500C">
      <w:pPr>
        <w:tabs>
          <w:tab w:val="left" w:pos="540"/>
        </w:tabs>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37. 签订合同</w:t>
      </w:r>
    </w:p>
    <w:p w14:paraId="47211E2B">
      <w:pPr>
        <w:tabs>
          <w:tab w:val="left" w:pos="54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37.1公示期结束后，中标投标人须在5个工作日内主动联系采购人或采购机构领取中标通知书。中标投标人应当在中标通知书发出之日起7日内与采购人签订合同。中标投标人未经采购人许可，在规定时间内未到采购人处与采购人签订合同，则视为拒签合同。</w:t>
      </w:r>
    </w:p>
    <w:p w14:paraId="4EDD4A01">
      <w:pPr>
        <w:tabs>
          <w:tab w:val="left" w:pos="54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37.2采购文件、中标投标人的投标文件及投标修改文件、评标过程中有关澄清文件及经双方签字的询标纪要（承诺）和中标通知书均作为合同附件。</w:t>
      </w:r>
    </w:p>
    <w:p w14:paraId="27700BC3">
      <w:pPr>
        <w:tabs>
          <w:tab w:val="left" w:pos="54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37.3拒签合同的责任</w:t>
      </w:r>
    </w:p>
    <w:p w14:paraId="703B1254">
      <w:pPr>
        <w:tabs>
          <w:tab w:val="left" w:pos="64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37.4中标投标人在规定时间内（30日历天）借故否认已经承诺的条件、拒签合同，以投标违约处理，并赔偿采购人由此造成的直接经济损失；采购人重新组织采购的，所需费用由原中标投标人承担。</w:t>
      </w:r>
    </w:p>
    <w:p w14:paraId="070F3154">
      <w:pPr>
        <w:pStyle w:val="658"/>
        <w:spacing w:line="500" w:lineRule="exact"/>
        <w:ind w:firstLine="442"/>
        <w:jc w:val="center"/>
        <w:rPr>
          <w:rFonts w:hAnsi="宋体" w:cs="宋体"/>
          <w:b/>
          <w:color w:val="auto"/>
          <w:sz w:val="24"/>
          <w:highlight w:val="none"/>
        </w:rPr>
      </w:pPr>
      <w:r>
        <w:rPr>
          <w:rFonts w:hint="eastAsia" w:hAnsi="宋体" w:cs="宋体"/>
          <w:b/>
          <w:bCs/>
          <w:color w:val="auto"/>
          <w:sz w:val="22"/>
          <w:szCs w:val="22"/>
          <w:highlight w:val="none"/>
        </w:rPr>
        <w:br w:type="page"/>
      </w:r>
      <w:r>
        <w:rPr>
          <w:rFonts w:hint="eastAsia" w:hAnsi="宋体" w:cs="宋体"/>
          <w:b/>
          <w:color w:val="auto"/>
          <w:sz w:val="24"/>
          <w:highlight w:val="none"/>
        </w:rPr>
        <w:t>采购活动现场确认声明书</w:t>
      </w:r>
    </w:p>
    <w:p w14:paraId="072FD3F4">
      <w:pPr>
        <w:pStyle w:val="658"/>
        <w:spacing w:line="500" w:lineRule="exact"/>
        <w:ind w:firstLine="0" w:firstLineChars="0"/>
        <w:rPr>
          <w:rFonts w:hAnsi="宋体" w:cs="宋体"/>
          <w:b/>
          <w:color w:val="auto"/>
          <w:sz w:val="22"/>
          <w:szCs w:val="22"/>
          <w:highlight w:val="none"/>
        </w:rPr>
      </w:pPr>
      <w:r>
        <w:rPr>
          <w:rFonts w:hint="eastAsia" w:hAnsi="宋体" w:cs="宋体"/>
          <w:b/>
          <w:bCs/>
          <w:color w:val="auto"/>
          <w:sz w:val="22"/>
          <w:szCs w:val="22"/>
          <w:highlight w:val="none"/>
          <w:lang w:eastAsia="zh-CN"/>
        </w:rPr>
        <w:t>温州元信工程项目管理有限公司</w:t>
      </w:r>
      <w:r>
        <w:rPr>
          <w:rFonts w:hint="eastAsia" w:hAnsi="宋体" w:cs="宋体"/>
          <w:b/>
          <w:color w:val="auto"/>
          <w:kern w:val="0"/>
          <w:sz w:val="22"/>
          <w:szCs w:val="22"/>
          <w:highlight w:val="none"/>
        </w:rPr>
        <w:t>：</w:t>
      </w:r>
    </w:p>
    <w:p w14:paraId="3ADCCFBB">
      <w:pPr>
        <w:pStyle w:val="658"/>
        <w:spacing w:line="480" w:lineRule="exact"/>
        <w:ind w:firstLine="464"/>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（单位）</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（姓名）</w:t>
      </w:r>
      <w:r>
        <w:rPr>
          <w:rFonts w:hint="eastAsia" w:hAnsi="宋体" w:cs="宋体"/>
          <w:color w:val="auto"/>
          <w:spacing w:val="6"/>
          <w:sz w:val="22"/>
          <w:szCs w:val="22"/>
          <w:highlight w:val="none"/>
        </w:rPr>
        <w:t xml:space="preserve">合法授权参加项目（编号：）采购活动，经与本单位法人代表（负责人）联系确认，现就有关公平竞争事项郑重声明如下： </w:t>
      </w:r>
    </w:p>
    <w:p w14:paraId="0D671F00">
      <w:pPr>
        <w:pStyle w:val="596"/>
        <w:widowControl/>
        <w:numPr>
          <w:ilvl w:val="0"/>
          <w:numId w:val="22"/>
        </w:numPr>
        <w:snapToGrid w:val="0"/>
        <w:spacing w:line="480" w:lineRule="exact"/>
        <w:ind w:firstLine="415" w:firstLineChars="189"/>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本单位与采购人之间 □不存在利害关系 □存在下列利害关系：</w:t>
      </w:r>
    </w:p>
    <w:p w14:paraId="65FC0B6E">
      <w:pPr>
        <w:pStyle w:val="658"/>
        <w:spacing w:line="480" w:lineRule="exact"/>
        <w:ind w:firstLine="440"/>
        <w:rPr>
          <w:rFonts w:hAnsi="宋体" w:cs="宋体"/>
          <w:color w:val="auto"/>
          <w:kern w:val="0"/>
          <w:sz w:val="22"/>
          <w:szCs w:val="22"/>
          <w:highlight w:val="none"/>
        </w:rPr>
      </w:pPr>
      <w:r>
        <w:rPr>
          <w:rFonts w:hint="eastAsia" w:hAnsi="宋体" w:cs="宋体"/>
          <w:color w:val="auto"/>
          <w:kern w:val="0"/>
          <w:sz w:val="22"/>
          <w:szCs w:val="22"/>
          <w:highlight w:val="none"/>
        </w:rPr>
        <w:t xml:space="preserve">  A.投资关系    B.行政隶属关系    C.业务指导关系</w:t>
      </w:r>
    </w:p>
    <w:p w14:paraId="19292FAB">
      <w:pPr>
        <w:pStyle w:val="658"/>
        <w:spacing w:line="480" w:lineRule="exact"/>
        <w:ind w:firstLine="440"/>
        <w:rPr>
          <w:rFonts w:hAnsi="宋体" w:cs="宋体"/>
          <w:color w:val="auto"/>
          <w:kern w:val="0"/>
          <w:sz w:val="22"/>
          <w:szCs w:val="22"/>
          <w:highlight w:val="none"/>
        </w:rPr>
      </w:pPr>
      <w:r>
        <w:rPr>
          <w:rFonts w:hint="eastAsia" w:hAnsi="宋体" w:cs="宋体"/>
          <w:color w:val="auto"/>
          <w:kern w:val="0"/>
          <w:sz w:val="22"/>
          <w:szCs w:val="22"/>
          <w:highlight w:val="none"/>
        </w:rPr>
        <w:t xml:space="preserve">  D.其他可能影响采购公正的利害关系（如有，请如实说明）</w:t>
      </w:r>
      <w:r>
        <w:rPr>
          <w:rFonts w:hint="eastAsia" w:hAnsi="宋体" w:cs="宋体"/>
          <w:color w:val="auto"/>
          <w:kern w:val="0"/>
          <w:sz w:val="22"/>
          <w:szCs w:val="22"/>
          <w:highlight w:val="none"/>
          <w:u w:val="single"/>
        </w:rPr>
        <w:t xml:space="preserve">                 </w:t>
      </w:r>
      <w:r>
        <w:rPr>
          <w:rFonts w:hint="eastAsia" w:hAnsi="宋体" w:cs="宋体"/>
          <w:color w:val="auto"/>
          <w:kern w:val="0"/>
          <w:sz w:val="22"/>
          <w:szCs w:val="22"/>
          <w:highlight w:val="none"/>
        </w:rPr>
        <w:t>。</w:t>
      </w:r>
    </w:p>
    <w:p w14:paraId="52998DFC">
      <w:pPr>
        <w:pStyle w:val="596"/>
        <w:widowControl/>
        <w:snapToGrid w:val="0"/>
        <w:spacing w:line="480" w:lineRule="exact"/>
        <w:rPr>
          <w:rFonts w:ascii="宋体" w:hAnsi="宋体" w:cs="宋体"/>
          <w:color w:val="auto"/>
          <w:kern w:val="0"/>
          <w:sz w:val="22"/>
          <w:szCs w:val="22"/>
          <w:highlight w:val="none"/>
        </w:rPr>
      </w:pPr>
      <w:r>
        <w:rPr>
          <w:rFonts w:hint="eastAsia" w:ascii="宋体" w:hAnsi="宋体" w:cs="宋体"/>
          <w:color w:val="auto"/>
          <w:spacing w:val="6"/>
          <w:sz w:val="22"/>
          <w:szCs w:val="22"/>
          <w:highlight w:val="none"/>
        </w:rPr>
        <w:t xml:space="preserve">  二、</w:t>
      </w:r>
      <w:r>
        <w:rPr>
          <w:rFonts w:hint="eastAsia"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hint="eastAsia" w:ascii="宋体" w:hAnsi="宋体" w:cs="宋体"/>
          <w:color w:val="auto"/>
          <w:kern w:val="0"/>
          <w:sz w:val="22"/>
          <w:szCs w:val="22"/>
          <w:highlight w:val="none"/>
          <w:u w:val="single"/>
        </w:rPr>
        <w:t xml:space="preserve">           （供应商名称）</w:t>
      </w:r>
      <w:r>
        <w:rPr>
          <w:rFonts w:hint="eastAsia" w:ascii="宋体" w:hAnsi="宋体" w:cs="宋体"/>
          <w:color w:val="auto"/>
          <w:kern w:val="0"/>
          <w:sz w:val="22"/>
          <w:szCs w:val="22"/>
          <w:highlight w:val="none"/>
        </w:rPr>
        <w:t>之间存在下列利害关系：</w:t>
      </w:r>
    </w:p>
    <w:p w14:paraId="3CD49C9C">
      <w:pPr>
        <w:pStyle w:val="658"/>
        <w:spacing w:line="480" w:lineRule="exact"/>
        <w:ind w:firstLine="440"/>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5B5FE4CA">
      <w:pPr>
        <w:pStyle w:val="658"/>
        <w:spacing w:line="480" w:lineRule="exact"/>
        <w:ind w:firstLine="440"/>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2D90C0FF">
      <w:pPr>
        <w:pStyle w:val="658"/>
        <w:spacing w:line="480" w:lineRule="exact"/>
        <w:ind w:firstLine="440"/>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14A8AD53">
      <w:pPr>
        <w:pStyle w:val="658"/>
        <w:spacing w:line="480" w:lineRule="exact"/>
        <w:ind w:firstLine="440"/>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75CFAB3B">
      <w:pPr>
        <w:pStyle w:val="658"/>
        <w:spacing w:line="480" w:lineRule="exact"/>
        <w:ind w:firstLine="440"/>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40BDBC19">
      <w:pPr>
        <w:pStyle w:val="658"/>
        <w:spacing w:line="480" w:lineRule="exact"/>
        <w:ind w:firstLine="440"/>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1D03A90C">
      <w:pPr>
        <w:pStyle w:val="658"/>
        <w:spacing w:line="480" w:lineRule="exact"/>
        <w:ind w:firstLine="440"/>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0379DA08">
      <w:pPr>
        <w:pStyle w:val="658"/>
        <w:spacing w:line="480" w:lineRule="exact"/>
        <w:ind w:firstLine="440"/>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752752C1">
      <w:pPr>
        <w:pStyle w:val="658"/>
        <w:spacing w:line="480" w:lineRule="exact"/>
        <w:ind w:firstLine="440"/>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kern w:val="0"/>
          <w:sz w:val="22"/>
          <w:szCs w:val="22"/>
          <w:highlight w:val="none"/>
        </w:rPr>
        <w:t>。</w:t>
      </w:r>
    </w:p>
    <w:p w14:paraId="018691A5">
      <w:pPr>
        <w:pStyle w:val="596"/>
        <w:widowControl/>
        <w:numPr>
          <w:ilvl w:val="0"/>
          <w:numId w:val="23"/>
        </w:numPr>
        <w:snapToGrid w:val="0"/>
        <w:spacing w:line="480" w:lineRule="exact"/>
        <w:ind w:firstLine="415" w:firstLineChars="189"/>
        <w:rPr>
          <w:rFonts w:ascii="宋体" w:hAnsi="宋体" w:cs="宋体"/>
          <w:color w:val="auto"/>
          <w:kern w:val="0"/>
          <w:sz w:val="22"/>
          <w:szCs w:val="22"/>
          <w:highlight w:val="none"/>
        </w:rPr>
      </w:pP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严格遵守法律法规和现场纪律。</w:t>
      </w:r>
    </w:p>
    <w:p w14:paraId="064064D0">
      <w:pPr>
        <w:pStyle w:val="596"/>
        <w:widowControl/>
        <w:numPr>
          <w:ilvl w:val="0"/>
          <w:numId w:val="23"/>
        </w:numPr>
        <w:snapToGrid w:val="0"/>
        <w:spacing w:line="480" w:lineRule="exact"/>
        <w:ind w:firstLine="415" w:firstLineChars="189"/>
        <w:rPr>
          <w:rFonts w:ascii="宋体" w:hAnsi="宋体" w:cs="宋体"/>
          <w:color w:val="auto"/>
          <w:kern w:val="0"/>
          <w:sz w:val="22"/>
          <w:szCs w:val="22"/>
          <w:highlight w:val="none"/>
        </w:rPr>
      </w:pPr>
      <w:r>
        <w:rPr>
          <w:rFonts w:hint="eastAsia" w:ascii="宋体" w:hAnsi="宋体" w:cs="宋体"/>
          <w:color w:val="auto"/>
          <w:kern w:val="0"/>
          <w:sz w:val="22"/>
          <w:szCs w:val="22"/>
          <w:highlight w:val="none"/>
        </w:rPr>
        <w:t>我发现供应商</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之间存在或可能存在上述第二条第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项利害关系。</w:t>
      </w:r>
    </w:p>
    <w:p w14:paraId="153304AD">
      <w:pPr>
        <w:pStyle w:val="658"/>
        <w:spacing w:line="500" w:lineRule="exact"/>
        <w:ind w:firstLine="440"/>
        <w:rPr>
          <w:rFonts w:hAnsi="宋体" w:cs="宋体"/>
          <w:color w:val="auto"/>
          <w:sz w:val="22"/>
          <w:szCs w:val="22"/>
          <w:highlight w:val="none"/>
        </w:rPr>
      </w:pPr>
    </w:p>
    <w:p w14:paraId="5B333AF0">
      <w:pPr>
        <w:pStyle w:val="658"/>
        <w:spacing w:line="500" w:lineRule="exact"/>
        <w:ind w:firstLine="440"/>
        <w:rPr>
          <w:rFonts w:hAnsi="宋体" w:cs="宋体"/>
          <w:color w:val="auto"/>
          <w:sz w:val="22"/>
          <w:szCs w:val="22"/>
          <w:highlight w:val="none"/>
          <w:u w:val="single"/>
        </w:rPr>
      </w:pPr>
      <w:r>
        <w:rPr>
          <w:rFonts w:hint="eastAsia" w:hAnsi="宋体" w:cs="宋体"/>
          <w:color w:val="auto"/>
          <w:sz w:val="22"/>
          <w:szCs w:val="22"/>
          <w:highlight w:val="none"/>
        </w:rPr>
        <w:t>投标人代表签字：</w:t>
      </w:r>
    </w:p>
    <w:p w14:paraId="12547C5C">
      <w:pPr>
        <w:spacing w:line="44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p>
    <w:p w14:paraId="0B87C90A">
      <w:pPr>
        <w:spacing w:line="440" w:lineRule="exact"/>
        <w:jc w:val="right"/>
        <w:rPr>
          <w:rFonts w:ascii="宋体" w:hAnsi="宋体" w:cs="宋体"/>
          <w:color w:val="auto"/>
          <w:sz w:val="22"/>
          <w:szCs w:val="22"/>
          <w:highlight w:val="none"/>
        </w:rPr>
      </w:pPr>
    </w:p>
    <w:p w14:paraId="77712C39">
      <w:pPr>
        <w:spacing w:line="440" w:lineRule="exact"/>
        <w:jc w:val="right"/>
        <w:rPr>
          <w:rFonts w:ascii="宋体" w:hAnsi="宋体" w:cs="宋体"/>
          <w:b/>
          <w:bCs/>
          <w:color w:val="auto"/>
          <w:sz w:val="22"/>
          <w:szCs w:val="22"/>
          <w:highlight w:val="none"/>
        </w:rPr>
      </w:pPr>
      <w:r>
        <w:rPr>
          <w:rFonts w:hint="eastAsia" w:ascii="宋体" w:hAnsi="宋体" w:cs="宋体"/>
          <w:color w:val="auto"/>
          <w:sz w:val="22"/>
          <w:szCs w:val="22"/>
          <w:highlight w:val="none"/>
        </w:rPr>
        <w:t xml:space="preserve"> 年  月  日</w:t>
      </w:r>
    </w:p>
    <w:p w14:paraId="09AF1A51">
      <w:pPr>
        <w:spacing w:line="440" w:lineRule="exact"/>
        <w:rPr>
          <w:rFonts w:ascii="宋体" w:hAnsi="宋体" w:cs="宋体"/>
          <w:b/>
          <w:bCs/>
          <w:color w:val="auto"/>
          <w:sz w:val="22"/>
          <w:szCs w:val="22"/>
          <w:highlight w:val="none"/>
        </w:rPr>
      </w:pPr>
    </w:p>
    <w:p w14:paraId="7E2AE7A5">
      <w:pPr>
        <w:pStyle w:val="53"/>
        <w:rPr>
          <w:rFonts w:ascii="宋体" w:hAnsi="宋体" w:cs="宋体"/>
          <w:color w:val="auto"/>
          <w:kern w:val="2"/>
          <w:sz w:val="36"/>
          <w:szCs w:val="36"/>
          <w:highlight w:val="none"/>
        </w:rPr>
      </w:pPr>
      <w:r>
        <w:rPr>
          <w:rFonts w:hint="eastAsia" w:ascii="宋体" w:hAnsi="宋体" w:cs="宋体"/>
          <w:b w:val="0"/>
          <w:bCs w:val="0"/>
          <w:color w:val="auto"/>
          <w:sz w:val="22"/>
          <w:szCs w:val="22"/>
          <w:highlight w:val="none"/>
        </w:rPr>
        <w:br w:type="page"/>
      </w:r>
      <w:bookmarkStart w:id="70" w:name="_Toc495955195"/>
      <w:bookmarkStart w:id="71" w:name="_Toc3874"/>
      <w:bookmarkStart w:id="72" w:name="_Toc34508137"/>
      <w:r>
        <w:rPr>
          <w:rFonts w:hint="eastAsia" w:ascii="宋体" w:hAnsi="宋体" w:cs="宋体"/>
          <w:color w:val="auto"/>
          <w:kern w:val="2"/>
          <w:sz w:val="36"/>
          <w:szCs w:val="36"/>
          <w:highlight w:val="none"/>
        </w:rPr>
        <w:t>第二部分   政府采购政策功能相关说明</w:t>
      </w:r>
      <w:bookmarkEnd w:id="70"/>
      <w:bookmarkEnd w:id="71"/>
      <w:bookmarkEnd w:id="72"/>
    </w:p>
    <w:p w14:paraId="5B0EF598">
      <w:pPr>
        <w:jc w:val="left"/>
        <w:rPr>
          <w:rFonts w:ascii="宋体" w:hAnsi="宋体" w:cs="宋体"/>
          <w:b/>
          <w:color w:val="auto"/>
          <w:sz w:val="22"/>
          <w:highlight w:val="none"/>
        </w:rPr>
      </w:pPr>
    </w:p>
    <w:p w14:paraId="0AA3F6B5">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小、微企业（含监狱企业、残疾人福利性单位）扶持政策说明</w:t>
      </w:r>
    </w:p>
    <w:p w14:paraId="79229D77">
      <w:pPr>
        <w:spacing w:line="440" w:lineRule="atLeast"/>
        <w:jc w:val="left"/>
        <w:rPr>
          <w:rFonts w:ascii="宋体" w:hAnsi="宋体" w:cs="宋体"/>
          <w:b/>
          <w:bCs/>
          <w:color w:val="auto"/>
          <w:sz w:val="22"/>
          <w:highlight w:val="none"/>
        </w:rPr>
      </w:pPr>
      <w:r>
        <w:rPr>
          <w:rFonts w:hint="eastAsia" w:ascii="宋体" w:hAnsi="宋体" w:cs="宋体"/>
          <w:b/>
          <w:bCs/>
          <w:color w:val="auto"/>
          <w:sz w:val="22"/>
          <w:highlight w:val="none"/>
        </w:rPr>
        <w:t>1.文件依据</w:t>
      </w:r>
    </w:p>
    <w:p w14:paraId="33284BC5">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（1）关于印发《政府采购促进中小企业发展管理办法》的通知（财库[2020]46号）及财政部关于进一步加大政府采购支持中小企业力度的通知（财库〔2022〕19号）文件。</w:t>
      </w:r>
    </w:p>
    <w:p w14:paraId="3FEA86AB">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（2）浙江省财政厅《关于开展政府采购投标人网上注册登记和诚信管理工作的通知》（浙财采监〔2010〕8号)</w:t>
      </w:r>
    </w:p>
    <w:p w14:paraId="6A429D4B">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（3）《工业和信息化部、国家统计局、国家发展和改革委员会、财政部关于印发中小企业划型标准规定的通知》（工信部联企业[2011]300号）</w:t>
      </w:r>
    </w:p>
    <w:p w14:paraId="3B2FB32D">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（4）财政部、司法部《关于政府采购支持监狱企业发展有关问题的通知》（财库〔2014〕68号）</w:t>
      </w:r>
    </w:p>
    <w:p w14:paraId="4D0671FE">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（5）《财政部 民政部 中国残疾人联合会关于促进残疾人就业政府采购政策的通知》（财库〔2017〕 141号）</w:t>
      </w:r>
    </w:p>
    <w:p w14:paraId="3393821E">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（6）《浙江省财政厅  浙江省经济和信息化委员会关于简化中小企业类别确认流程有关事项的通知》（浙财采监〔2018〕2号)</w:t>
      </w:r>
    </w:p>
    <w:p w14:paraId="1A163901">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（7）《浙江省财政厅关于进一步发挥政府采购政策功能全力推动经济稳进提质的通知》（浙财采监〔2022〕3号）</w:t>
      </w:r>
    </w:p>
    <w:p w14:paraId="211812B8">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（8）《浙江省财政厅关于进一步加大政府采购支持中小企业力度 助力扎实稳住经济的通知》（浙财采监〔2022〕8号）</w:t>
      </w:r>
    </w:p>
    <w:p w14:paraId="390ED61C">
      <w:pPr>
        <w:spacing w:line="440" w:lineRule="atLeast"/>
        <w:jc w:val="left"/>
        <w:rPr>
          <w:rFonts w:ascii="宋体" w:hAnsi="宋体" w:cs="宋体"/>
          <w:b/>
          <w:bCs/>
          <w:color w:val="auto"/>
          <w:sz w:val="22"/>
          <w:highlight w:val="none"/>
        </w:rPr>
      </w:pPr>
      <w:r>
        <w:rPr>
          <w:rFonts w:hint="eastAsia" w:ascii="宋体" w:hAnsi="宋体" w:cs="宋体"/>
          <w:b/>
          <w:bCs/>
          <w:color w:val="auto"/>
          <w:sz w:val="22"/>
          <w:highlight w:val="none"/>
        </w:rPr>
        <w:t>2.供应商提供的货物、工程或者服务符合下列情形的，享受中小企业扶持政策：</w:t>
      </w:r>
    </w:p>
    <w:p w14:paraId="6D71B44B">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（1）在货物采购项目中，货物由中小企业制造，即货物由中小企业生产且使用该中小企业商号或者注册商标；</w:t>
      </w:r>
    </w:p>
    <w:p w14:paraId="26EDF6F2">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（2）在工程采购项目中，工程由中小企业承建，即工程施工单位为中小企业；</w:t>
      </w:r>
    </w:p>
    <w:p w14:paraId="1249EA60">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（3）在服务采购项目中，服务由中小企业承接，即提供服务的人员为中小企业依照《中华人民共和国劳动合同法》订立劳动合同的从业人员。</w:t>
      </w:r>
    </w:p>
    <w:p w14:paraId="5313EC71">
      <w:pPr>
        <w:spacing w:line="440" w:lineRule="atLeast"/>
        <w:jc w:val="left"/>
        <w:rPr>
          <w:rFonts w:ascii="宋体" w:hAnsi="宋体" w:cs="宋体"/>
          <w:b/>
          <w:bCs/>
          <w:color w:val="auto"/>
          <w:sz w:val="22"/>
          <w:highlight w:val="none"/>
        </w:rPr>
      </w:pPr>
      <w:r>
        <w:rPr>
          <w:rFonts w:hint="eastAsia" w:ascii="宋体" w:hAnsi="宋体" w:cs="宋体"/>
          <w:b/>
          <w:bCs/>
          <w:color w:val="auto"/>
          <w:sz w:val="22"/>
          <w:highlight w:val="none"/>
        </w:rPr>
        <w:t>3.小微企业（含监狱企业、残疾人福利性单位）评审扶持政策</w:t>
      </w:r>
    </w:p>
    <w:p w14:paraId="37A8317C">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（1）本项目对小型企业和微型企业（含监狱企业、残疾人福利性单位）的投标报价给予</w:t>
      </w:r>
      <w:r>
        <w:rPr>
          <w:rFonts w:hint="eastAsia" w:ascii="宋体" w:hAnsi="宋体" w:cs="宋体"/>
          <w:bCs/>
          <w:color w:val="auto"/>
          <w:sz w:val="22"/>
          <w:highlight w:val="none"/>
          <w:lang w:val="en-US" w:eastAsia="zh-CN"/>
        </w:rPr>
        <w:t>2</w:t>
      </w:r>
      <w:r>
        <w:rPr>
          <w:rFonts w:hint="eastAsia" w:ascii="宋体" w:hAnsi="宋体" w:cs="宋体"/>
          <w:bCs/>
          <w:color w:val="auto"/>
          <w:sz w:val="22"/>
          <w:highlight w:val="none"/>
        </w:rPr>
        <w:t>0%的扣除，用扣除后的价格参与评审。</w:t>
      </w:r>
    </w:p>
    <w:p w14:paraId="78CE6A46">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（2）在货物采购项目中，供应商提供的货物既有中小企业制造货物，也有大型企业制造货物的，不享受中小企业扶持政策。</w:t>
      </w:r>
    </w:p>
    <w:p w14:paraId="24BB0364">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（3）以联合体形式参加政府采购活动，联合体各方均为中小企业的，联合体视同中小企业。其中，联合体各方均为小微企业的，联合体视同小微企业。</w:t>
      </w:r>
    </w:p>
    <w:p w14:paraId="24F88F81">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（4）对于联合体协议或者分包意向协议约定小微企业合同份额占到合同总金额30%以上的，对其投标报价给予</w:t>
      </w:r>
      <w:r>
        <w:rPr>
          <w:rFonts w:hint="eastAsia" w:ascii="宋体" w:hAnsi="宋体" w:cs="宋体"/>
          <w:bCs/>
          <w:color w:val="auto"/>
          <w:sz w:val="22"/>
          <w:highlight w:val="none"/>
          <w:lang w:val="en-US" w:eastAsia="zh-CN"/>
        </w:rPr>
        <w:t>6</w:t>
      </w:r>
      <w:r>
        <w:rPr>
          <w:rFonts w:hint="eastAsia" w:ascii="宋体" w:hAnsi="宋体" w:cs="宋体"/>
          <w:bCs/>
          <w:color w:val="auto"/>
          <w:sz w:val="22"/>
          <w:highlight w:val="none"/>
        </w:rPr>
        <w:t>%的扣除，用扣除后的价格参与评审。</w:t>
      </w:r>
    </w:p>
    <w:p w14:paraId="4728DCF8">
      <w:pPr>
        <w:spacing w:line="440" w:lineRule="atLeast"/>
        <w:jc w:val="left"/>
        <w:rPr>
          <w:rFonts w:ascii="宋体" w:hAnsi="宋体" w:cs="宋体"/>
          <w:b/>
          <w:bCs/>
          <w:color w:val="auto"/>
          <w:sz w:val="22"/>
          <w:highlight w:val="none"/>
        </w:rPr>
      </w:pPr>
      <w:r>
        <w:rPr>
          <w:rFonts w:hint="eastAsia" w:ascii="宋体" w:hAnsi="宋体" w:cs="宋体"/>
          <w:b/>
          <w:bCs/>
          <w:color w:val="auto"/>
          <w:sz w:val="22"/>
          <w:highlight w:val="none"/>
          <w:u w:val="single"/>
        </w:rPr>
        <w:t>4.享受小微企业价格扣除应提供以下证明材料（投标文件报价文件中，不提供的不享受价格扣除）</w:t>
      </w:r>
      <w:r>
        <w:rPr>
          <w:rFonts w:hint="eastAsia" w:ascii="宋体" w:hAnsi="宋体" w:cs="宋体"/>
          <w:b/>
          <w:bCs/>
          <w:color w:val="auto"/>
          <w:sz w:val="22"/>
          <w:highlight w:val="none"/>
        </w:rPr>
        <w:t>：</w:t>
      </w:r>
    </w:p>
    <w:p w14:paraId="7F12EFE3">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（1）《中小企业声明函》（原件，加盖投标人公章，格式见附件1）</w:t>
      </w:r>
    </w:p>
    <w:p w14:paraId="55999304">
      <w:pPr>
        <w:spacing w:line="440" w:lineRule="atLeast"/>
        <w:jc w:val="left"/>
        <w:rPr>
          <w:rFonts w:ascii="宋体" w:hAnsi="宋体" w:cs="宋体"/>
          <w:bCs/>
          <w:color w:val="auto"/>
          <w:sz w:val="22"/>
          <w:highlight w:val="none"/>
        </w:rPr>
      </w:pPr>
      <w:r>
        <w:rPr>
          <w:rFonts w:hint="eastAsia" w:ascii="宋体" w:hAnsi="宋体" w:cs="宋体"/>
          <w:bCs/>
          <w:color w:val="auto"/>
          <w:sz w:val="22"/>
          <w:highlight w:val="none"/>
        </w:rPr>
        <w:t>5.</w:t>
      </w:r>
      <w:r>
        <w:rPr>
          <w:rFonts w:hint="eastAsia" w:ascii="宋体" w:hAnsi="宋体" w:cs="宋体"/>
          <w:b/>
          <w:bCs/>
          <w:color w:val="auto"/>
          <w:sz w:val="22"/>
          <w:highlight w:val="none"/>
          <w:u w:val="single"/>
        </w:rPr>
        <w:t>享受监狱企业价格扣除应提供以下证明材料（投标文件报价文件中，不提供的不享受价格扣除）</w:t>
      </w:r>
      <w:r>
        <w:rPr>
          <w:rFonts w:hint="eastAsia" w:ascii="宋体" w:hAnsi="宋体" w:cs="宋体"/>
          <w:bCs/>
          <w:color w:val="auto"/>
          <w:sz w:val="22"/>
          <w:highlight w:val="none"/>
        </w:rPr>
        <w:t>：</w:t>
      </w:r>
    </w:p>
    <w:p w14:paraId="40A2BD2F">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监狱企业参加政府采购活动时，应当提供由省级以上监狱管理局、戒毒管理局(含新疆生产建设兵团)出具的属于监狱企业的证明文件（原件或复印件加盖公章）。在政府采购活动中，监狱企业视同小型、微型企业，享受评审中价格扣除政策。</w:t>
      </w:r>
    </w:p>
    <w:p w14:paraId="0EC069FE">
      <w:pPr>
        <w:spacing w:line="440" w:lineRule="atLeast"/>
        <w:jc w:val="left"/>
        <w:rPr>
          <w:rFonts w:ascii="宋体" w:hAnsi="宋体" w:cs="宋体"/>
          <w:bCs/>
          <w:color w:val="auto"/>
          <w:sz w:val="22"/>
          <w:highlight w:val="none"/>
        </w:rPr>
      </w:pPr>
      <w:r>
        <w:rPr>
          <w:rFonts w:hint="eastAsia" w:ascii="宋体" w:hAnsi="宋体" w:cs="宋体"/>
          <w:bCs/>
          <w:color w:val="auto"/>
          <w:sz w:val="22"/>
          <w:highlight w:val="none"/>
        </w:rPr>
        <w:t>6.</w:t>
      </w:r>
      <w:r>
        <w:rPr>
          <w:rFonts w:hint="eastAsia" w:ascii="宋体" w:hAnsi="宋体" w:cs="宋体"/>
          <w:b/>
          <w:bCs/>
          <w:color w:val="auto"/>
          <w:sz w:val="22"/>
          <w:highlight w:val="none"/>
          <w:u w:val="single"/>
        </w:rPr>
        <w:t>享受残疾人福利性单位格扣除应提供以下证明材料（投标文件报价文件中，不提供的不享受价格扣除）</w:t>
      </w:r>
      <w:r>
        <w:rPr>
          <w:rFonts w:hint="eastAsia" w:ascii="宋体" w:hAnsi="宋体" w:cs="宋体"/>
          <w:bCs/>
          <w:color w:val="auto"/>
          <w:sz w:val="22"/>
          <w:highlight w:val="none"/>
        </w:rPr>
        <w:t>：</w:t>
      </w:r>
    </w:p>
    <w:p w14:paraId="366945F4">
      <w:pPr>
        <w:spacing w:line="440" w:lineRule="atLeas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（1）残疾人福利性单位声明函（附件2）；</w:t>
      </w:r>
    </w:p>
    <w:p w14:paraId="78CE2616">
      <w:pPr>
        <w:spacing w:line="440" w:lineRule="atLeast"/>
        <w:jc w:val="left"/>
        <w:rPr>
          <w:rFonts w:ascii="宋体" w:hAnsi="宋体" w:cs="宋体"/>
          <w:bCs/>
          <w:color w:val="auto"/>
          <w:sz w:val="22"/>
          <w:highlight w:val="none"/>
        </w:rPr>
      </w:pPr>
      <w:r>
        <w:rPr>
          <w:rFonts w:hint="eastAsia" w:ascii="宋体" w:hAnsi="宋体" w:cs="宋体"/>
          <w:bCs/>
          <w:color w:val="auto"/>
          <w:sz w:val="22"/>
          <w:highlight w:val="none"/>
        </w:rPr>
        <w:t>7.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扣除。</w:t>
      </w:r>
    </w:p>
    <w:p w14:paraId="781B805E">
      <w:pPr>
        <w:spacing w:line="440" w:lineRule="atLeast"/>
        <w:jc w:val="left"/>
        <w:rPr>
          <w:rFonts w:ascii="宋体" w:hAnsi="宋体" w:cs="宋体"/>
          <w:b/>
          <w:color w:val="auto"/>
          <w:sz w:val="22"/>
          <w:highlight w:val="none"/>
        </w:rPr>
      </w:pPr>
      <w:r>
        <w:rPr>
          <w:rFonts w:hint="eastAsia" w:ascii="宋体" w:hAnsi="宋体" w:cs="宋体"/>
          <w:b/>
          <w:color w:val="auto"/>
          <w:sz w:val="22"/>
          <w:highlight w:val="none"/>
        </w:rPr>
        <w:t>8.享受扶持政策获得政府采购合同的，小微企业不得将合同分包给大中型企业，中型企业不得将合同分包给大型企业。</w:t>
      </w:r>
    </w:p>
    <w:p w14:paraId="08BF60AD">
      <w:pPr>
        <w:spacing w:line="440" w:lineRule="atLeast"/>
        <w:jc w:val="left"/>
        <w:rPr>
          <w:rFonts w:ascii="宋体" w:hAnsi="宋体" w:cs="宋体"/>
          <w:b/>
          <w:color w:val="auto"/>
          <w:sz w:val="22"/>
          <w:highlight w:val="none"/>
        </w:rPr>
      </w:pPr>
    </w:p>
    <w:p w14:paraId="0B889925">
      <w:pPr>
        <w:spacing w:line="440" w:lineRule="atLeast"/>
        <w:jc w:val="left"/>
        <w:rPr>
          <w:rFonts w:ascii="宋体" w:hAnsi="宋体" w:cs="宋体"/>
          <w:b/>
          <w:color w:val="auto"/>
          <w:sz w:val="22"/>
          <w:highlight w:val="none"/>
        </w:rPr>
      </w:pPr>
    </w:p>
    <w:p w14:paraId="0294E8F3">
      <w:pPr>
        <w:spacing w:line="440" w:lineRule="atLeast"/>
        <w:jc w:val="left"/>
        <w:rPr>
          <w:rFonts w:ascii="宋体" w:hAnsi="宋体" w:cs="宋体"/>
          <w:b/>
          <w:color w:val="auto"/>
          <w:sz w:val="22"/>
          <w:highlight w:val="none"/>
        </w:rPr>
      </w:pPr>
    </w:p>
    <w:p w14:paraId="521D66CF">
      <w:pPr>
        <w:spacing w:line="440" w:lineRule="atLeast"/>
        <w:jc w:val="left"/>
        <w:rPr>
          <w:rFonts w:ascii="宋体" w:hAnsi="宋体" w:cs="宋体"/>
          <w:b/>
          <w:color w:val="auto"/>
          <w:sz w:val="22"/>
          <w:highlight w:val="none"/>
        </w:rPr>
      </w:pPr>
    </w:p>
    <w:p w14:paraId="2DE7327D">
      <w:pPr>
        <w:spacing w:line="440" w:lineRule="atLeast"/>
        <w:jc w:val="left"/>
        <w:rPr>
          <w:rFonts w:ascii="宋体" w:hAnsi="宋体" w:cs="宋体"/>
          <w:b/>
          <w:color w:val="auto"/>
          <w:sz w:val="22"/>
          <w:highlight w:val="none"/>
        </w:rPr>
      </w:pPr>
    </w:p>
    <w:p w14:paraId="78A7D0AD">
      <w:pPr>
        <w:pStyle w:val="15"/>
        <w:rPr>
          <w:rFonts w:ascii="宋体" w:hAnsi="宋体" w:cs="宋体"/>
          <w:b/>
          <w:color w:val="auto"/>
          <w:sz w:val="22"/>
          <w:highlight w:val="none"/>
        </w:rPr>
      </w:pPr>
    </w:p>
    <w:p w14:paraId="62AB81B8">
      <w:pPr>
        <w:rPr>
          <w:rFonts w:ascii="宋体" w:hAnsi="宋体" w:cs="宋体"/>
          <w:b/>
          <w:color w:val="auto"/>
          <w:sz w:val="22"/>
          <w:highlight w:val="none"/>
        </w:rPr>
      </w:pPr>
    </w:p>
    <w:p w14:paraId="2EA3ACC6">
      <w:pPr>
        <w:pStyle w:val="15"/>
        <w:rPr>
          <w:rFonts w:ascii="宋体" w:hAnsi="宋体" w:cs="宋体"/>
          <w:b/>
          <w:color w:val="auto"/>
          <w:sz w:val="22"/>
          <w:highlight w:val="none"/>
        </w:rPr>
      </w:pPr>
    </w:p>
    <w:p w14:paraId="4AABFE3F">
      <w:pPr>
        <w:rPr>
          <w:rFonts w:ascii="宋体" w:hAnsi="宋体" w:cs="宋体"/>
          <w:b/>
          <w:color w:val="auto"/>
          <w:sz w:val="22"/>
          <w:highlight w:val="none"/>
        </w:rPr>
      </w:pPr>
    </w:p>
    <w:p w14:paraId="601D7C9C">
      <w:pPr>
        <w:pStyle w:val="15"/>
        <w:rPr>
          <w:rFonts w:ascii="宋体" w:hAnsi="宋体" w:cs="宋体"/>
          <w:b/>
          <w:color w:val="auto"/>
          <w:sz w:val="22"/>
          <w:highlight w:val="none"/>
        </w:rPr>
      </w:pPr>
    </w:p>
    <w:p w14:paraId="62B6CABB">
      <w:pPr>
        <w:rPr>
          <w:rFonts w:ascii="宋体" w:hAnsi="宋体" w:cs="宋体"/>
          <w:b/>
          <w:color w:val="auto"/>
          <w:sz w:val="22"/>
          <w:highlight w:val="none"/>
        </w:rPr>
      </w:pPr>
    </w:p>
    <w:p w14:paraId="565B0765">
      <w:pPr>
        <w:pStyle w:val="15"/>
        <w:rPr>
          <w:rFonts w:ascii="宋体" w:hAnsi="宋体" w:cs="宋体"/>
          <w:b/>
          <w:color w:val="auto"/>
          <w:sz w:val="22"/>
          <w:highlight w:val="none"/>
        </w:rPr>
      </w:pPr>
    </w:p>
    <w:p w14:paraId="2901F1AB">
      <w:pPr>
        <w:rPr>
          <w:rFonts w:ascii="宋体" w:hAnsi="宋体" w:cs="宋体"/>
          <w:b/>
          <w:color w:val="auto"/>
          <w:sz w:val="22"/>
          <w:highlight w:val="none"/>
        </w:rPr>
      </w:pPr>
    </w:p>
    <w:p w14:paraId="47B52AC1">
      <w:pPr>
        <w:pStyle w:val="15"/>
        <w:rPr>
          <w:rFonts w:ascii="宋体" w:hAnsi="宋体" w:cs="宋体"/>
          <w:b/>
          <w:color w:val="auto"/>
          <w:sz w:val="22"/>
          <w:highlight w:val="none"/>
        </w:rPr>
      </w:pPr>
    </w:p>
    <w:p w14:paraId="29EB3B00">
      <w:pPr>
        <w:rPr>
          <w:rFonts w:ascii="宋体" w:hAnsi="宋体" w:cs="宋体"/>
          <w:b/>
          <w:color w:val="auto"/>
          <w:sz w:val="22"/>
          <w:highlight w:val="none"/>
        </w:rPr>
      </w:pPr>
    </w:p>
    <w:p w14:paraId="75C6A1A7">
      <w:pPr>
        <w:pStyle w:val="15"/>
        <w:rPr>
          <w:rFonts w:ascii="宋体" w:hAnsi="宋体" w:cs="宋体"/>
          <w:b/>
          <w:color w:val="auto"/>
          <w:sz w:val="22"/>
          <w:highlight w:val="none"/>
        </w:rPr>
      </w:pPr>
    </w:p>
    <w:p w14:paraId="218B6476">
      <w:pPr>
        <w:rPr>
          <w:rFonts w:ascii="宋体" w:hAnsi="宋体" w:cs="宋体"/>
          <w:b/>
          <w:color w:val="auto"/>
          <w:sz w:val="22"/>
          <w:highlight w:val="none"/>
        </w:rPr>
      </w:pPr>
    </w:p>
    <w:p w14:paraId="3F3AD202">
      <w:pPr>
        <w:pStyle w:val="15"/>
        <w:rPr>
          <w:rFonts w:ascii="宋体" w:hAnsi="宋体" w:cs="宋体"/>
          <w:b/>
          <w:color w:val="auto"/>
          <w:sz w:val="22"/>
          <w:highlight w:val="none"/>
        </w:rPr>
      </w:pPr>
    </w:p>
    <w:p w14:paraId="0FEEE8B6"/>
    <w:p w14:paraId="14AAFE88">
      <w:pPr>
        <w:rPr>
          <w:rFonts w:ascii="宋体" w:hAnsi="宋体" w:cs="宋体"/>
          <w:b/>
          <w:color w:val="auto"/>
          <w:sz w:val="22"/>
          <w:highlight w:val="none"/>
        </w:rPr>
      </w:pPr>
    </w:p>
    <w:p w14:paraId="3B50D7CB">
      <w:pPr>
        <w:pStyle w:val="15"/>
        <w:rPr>
          <w:rFonts w:ascii="宋体" w:hAnsi="宋体" w:cs="宋体"/>
          <w:b/>
          <w:color w:val="auto"/>
          <w:sz w:val="22"/>
          <w:highlight w:val="none"/>
        </w:rPr>
      </w:pPr>
    </w:p>
    <w:p w14:paraId="1C2F0EC3">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关于落实在政府采购中实施本国产品标准及相关政策的通知</w:t>
      </w:r>
    </w:p>
    <w:p w14:paraId="103E03F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Cs/>
          <w:color w:val="auto"/>
          <w:sz w:val="22"/>
          <w:szCs w:val="22"/>
          <w:highlight w:val="none"/>
          <w:lang w:val="en-US" w:eastAsia="zh-CN"/>
        </w:rPr>
      </w:pPr>
    </w:p>
    <w:p w14:paraId="561C043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根据《国务院办公厅关于在政府采购中实施本国产品标准及相关政策的通知</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(国办发[2025]34号)，《财政部工业和信息化部关于贯彻落实&lt;国务院办公厅关于在政府采购中实施本国产品标准及相关政策的通知&gt;的意</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(财库[2025〕30号)的规定，从2026年1月1日开始实施政府采购本国产品标准及相关政策。</w:t>
      </w:r>
    </w:p>
    <w:p w14:paraId="4FB8AC8D">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本国产品标准的适用范围：</w:t>
      </w:r>
    </w:p>
    <w:p w14:paraId="147ED32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F19E4F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对本国产品的支持政策：</w:t>
      </w:r>
    </w:p>
    <w:p w14:paraId="335FC2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政府采购活动中既有本国产品又有非本国产品参与竞争的，依法对本国产品给予价格评审优惠，对本国产品的报价给予20%的价格扣除，用扣除后的价格参与评审。</w:t>
      </w:r>
    </w:p>
    <w:p w14:paraId="6A55BD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6E70B4C">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政策执行要求：</w:t>
      </w:r>
    </w:p>
    <w:p w14:paraId="7BF08A8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（一）产品在中国境内生产的组件成本核算规则。产品在中国境内生产的组件成本，按照《中国境内生产的组件成本核算基本规则》（见附件4）计算。</w:t>
      </w:r>
    </w:p>
    <w:p w14:paraId="42F0B65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　　（二）有关证明文件。采购人、采购代理机构应当在采购文件中明确要求供应商对其提供的产品出具《关于符合本国产品标准的声明函》（样式见附件5，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4976865">
      <w:pPr>
        <w:rPr>
          <w:color w:val="auto"/>
          <w:highlight w:val="none"/>
        </w:rPr>
      </w:pPr>
    </w:p>
    <w:p w14:paraId="543C67B5">
      <w:pPr>
        <w:widowControl/>
        <w:spacing w:before="100" w:beforeAutospacing="1" w:after="100" w:afterAutospacing="1" w:line="440" w:lineRule="atLeast"/>
        <w:jc w:val="left"/>
        <w:rPr>
          <w:rFonts w:hint="eastAsia" w:ascii="宋体" w:hAnsi="宋体" w:cs="宋体"/>
          <w:b/>
          <w:color w:val="auto"/>
          <w:sz w:val="24"/>
          <w:highlight w:val="none"/>
        </w:rPr>
      </w:pPr>
    </w:p>
    <w:p w14:paraId="46149170">
      <w:pPr>
        <w:widowControl/>
        <w:spacing w:before="100" w:beforeAutospacing="1" w:after="100" w:afterAutospacing="1" w:line="440" w:lineRule="atLeast"/>
        <w:jc w:val="left"/>
        <w:rPr>
          <w:rFonts w:hint="eastAsia" w:ascii="宋体" w:hAnsi="宋体" w:cs="宋体"/>
          <w:b/>
          <w:color w:val="auto"/>
          <w:sz w:val="24"/>
          <w:highlight w:val="none"/>
        </w:rPr>
      </w:pPr>
    </w:p>
    <w:p w14:paraId="20F9D0BA">
      <w:pPr>
        <w:widowControl/>
        <w:spacing w:before="100" w:beforeAutospacing="1" w:after="100" w:afterAutospacing="1" w:line="440" w:lineRule="atLeast"/>
        <w:jc w:val="left"/>
        <w:rPr>
          <w:rFonts w:hint="eastAsia" w:ascii="宋体" w:hAnsi="宋体" w:cs="宋体"/>
          <w:b/>
          <w:color w:val="auto"/>
          <w:sz w:val="24"/>
          <w:highlight w:val="none"/>
        </w:rPr>
      </w:pPr>
    </w:p>
    <w:p w14:paraId="15541AD2">
      <w:pPr>
        <w:widowControl/>
        <w:spacing w:before="100" w:beforeAutospacing="1" w:after="100" w:afterAutospacing="1" w:line="440" w:lineRule="atLeast"/>
        <w:jc w:val="left"/>
        <w:rPr>
          <w:rFonts w:hint="eastAsia" w:ascii="宋体" w:hAnsi="宋体" w:cs="宋体"/>
          <w:b/>
          <w:color w:val="auto"/>
          <w:sz w:val="24"/>
          <w:highlight w:val="none"/>
        </w:rPr>
      </w:pPr>
    </w:p>
    <w:p w14:paraId="0E7311F6">
      <w:pPr>
        <w:widowControl/>
        <w:spacing w:before="100" w:beforeAutospacing="1" w:after="100" w:afterAutospacing="1" w:line="440" w:lineRule="atLeast"/>
        <w:jc w:val="left"/>
        <w:rPr>
          <w:rFonts w:ascii="宋体" w:hAnsi="宋体" w:cs="宋体"/>
          <w:b/>
          <w:color w:val="auto"/>
          <w:sz w:val="24"/>
          <w:highlight w:val="none"/>
        </w:rPr>
      </w:pPr>
      <w:r>
        <w:rPr>
          <w:rFonts w:hint="eastAsia" w:ascii="宋体" w:hAnsi="宋体" w:cs="宋体"/>
          <w:b/>
          <w:color w:val="auto"/>
          <w:sz w:val="24"/>
          <w:highlight w:val="none"/>
        </w:rPr>
        <w:t>附件1：</w:t>
      </w:r>
    </w:p>
    <w:p w14:paraId="2996130C">
      <w:pPr>
        <w:widowControl/>
        <w:spacing w:before="100" w:beforeAutospacing="1" w:after="100" w:afterAutospacing="1" w:line="440" w:lineRule="atLeast"/>
        <w:jc w:val="center"/>
        <w:rPr>
          <w:rFonts w:ascii="宋体" w:hAnsi="宋体" w:cs="宋体"/>
          <w:b/>
          <w:color w:val="auto"/>
          <w:sz w:val="24"/>
          <w:highlight w:val="none"/>
        </w:rPr>
      </w:pPr>
      <w:r>
        <w:rPr>
          <w:rFonts w:hint="eastAsia" w:ascii="宋体" w:hAnsi="宋体" w:cs="宋体"/>
          <w:b/>
          <w:bCs/>
          <w:color w:val="auto"/>
          <w:sz w:val="24"/>
          <w:highlight w:val="none"/>
        </w:rPr>
        <w:t>中小企业声明函（工程、服务）</w:t>
      </w:r>
    </w:p>
    <w:p w14:paraId="3CB5375B">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本公司（联合体）郑重声明，根据《政府采购促进中小企业发展管理办法》（财库﹝2020﹞46 号）的规定，本公司（联合体）参加 </w:t>
      </w:r>
      <w:r>
        <w:rPr>
          <w:rFonts w:hint="eastAsia" w:ascii="宋体" w:hAnsi="宋体" w:cs="宋体"/>
          <w:bCs/>
          <w:color w:val="auto"/>
          <w:sz w:val="22"/>
          <w:szCs w:val="22"/>
          <w:highlight w:val="none"/>
          <w:u w:val="single"/>
        </w:rPr>
        <w:t>（单位名称）</w:t>
      </w:r>
      <w:r>
        <w:rPr>
          <w:rFonts w:hint="eastAsia" w:ascii="宋体" w:hAnsi="宋体" w:cs="宋体"/>
          <w:bCs/>
          <w:color w:val="auto"/>
          <w:sz w:val="22"/>
          <w:szCs w:val="22"/>
          <w:highlight w:val="none"/>
        </w:rPr>
        <w:t xml:space="preserve"> 的</w:t>
      </w:r>
      <w:r>
        <w:rPr>
          <w:rFonts w:hint="eastAsia" w:ascii="宋体" w:hAnsi="宋体" w:cs="宋体"/>
          <w:bCs/>
          <w:color w:val="auto"/>
          <w:sz w:val="22"/>
          <w:szCs w:val="22"/>
          <w:highlight w:val="none"/>
          <w:u w:val="single"/>
        </w:rPr>
        <w:t xml:space="preserve"> （项目名称） </w:t>
      </w:r>
      <w:r>
        <w:rPr>
          <w:rFonts w:hint="eastAsia" w:ascii="宋体" w:hAnsi="宋体" w:cs="宋体"/>
          <w:bCs/>
          <w:color w:val="auto"/>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C637A24">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Cs/>
          <w:color w:val="auto"/>
          <w:sz w:val="22"/>
          <w:szCs w:val="22"/>
          <w:highlight w:val="none"/>
          <w:u w:val="single"/>
        </w:rPr>
        <w:t>（标的名称）</w:t>
      </w:r>
      <w:r>
        <w:rPr>
          <w:rFonts w:hint="eastAsia" w:ascii="宋体" w:hAnsi="宋体" w:cs="宋体"/>
          <w:bCs/>
          <w:color w:val="auto"/>
          <w:sz w:val="22"/>
          <w:szCs w:val="22"/>
          <w:highlight w:val="none"/>
        </w:rPr>
        <w:t xml:space="preserve"> ，属于</w:t>
      </w:r>
      <w:r>
        <w:rPr>
          <w:rFonts w:hint="eastAsia" w:ascii="宋体" w:hAnsi="宋体" w:cs="宋体"/>
          <w:bCs/>
          <w:color w:val="auto"/>
          <w:sz w:val="22"/>
          <w:szCs w:val="22"/>
          <w:highlight w:val="none"/>
          <w:u w:val="single"/>
        </w:rPr>
        <w:t xml:space="preserve"> （采购文件中明确的所属行业）</w:t>
      </w:r>
      <w:r>
        <w:rPr>
          <w:rFonts w:hint="eastAsia" w:ascii="宋体" w:hAnsi="宋体" w:cs="宋体"/>
          <w:bCs/>
          <w:color w:val="auto"/>
          <w:sz w:val="22"/>
          <w:szCs w:val="22"/>
          <w:highlight w:val="none"/>
        </w:rPr>
        <w:t>行业 ；承建（承接）企业为</w:t>
      </w:r>
      <w:r>
        <w:rPr>
          <w:rFonts w:hint="eastAsia" w:ascii="宋体" w:hAnsi="宋体" w:cs="宋体"/>
          <w:bCs/>
          <w:color w:val="auto"/>
          <w:sz w:val="22"/>
          <w:szCs w:val="22"/>
          <w:highlight w:val="none"/>
          <w:u w:val="single"/>
        </w:rPr>
        <w:t xml:space="preserve"> （企业名称） </w:t>
      </w:r>
      <w:r>
        <w:rPr>
          <w:rFonts w:hint="eastAsia" w:ascii="宋体" w:hAnsi="宋体" w:cs="宋体"/>
          <w:bCs/>
          <w:color w:val="auto"/>
          <w:sz w:val="22"/>
          <w:szCs w:val="22"/>
          <w:highlight w:val="none"/>
        </w:rPr>
        <w:t>，从业人员人，营业收入为万元，资产总额为万元</w:t>
      </w:r>
      <w:r>
        <w:rPr>
          <w:rFonts w:hint="eastAsia" w:ascii="宋体" w:hAnsi="宋体" w:cs="宋体"/>
          <w:bCs/>
          <w:color w:val="auto"/>
          <w:sz w:val="22"/>
          <w:szCs w:val="22"/>
          <w:highlight w:val="none"/>
          <w:vertAlign w:val="superscript"/>
        </w:rPr>
        <w:t>1</w:t>
      </w:r>
      <w:r>
        <w:rPr>
          <w:rFonts w:hint="eastAsia" w:ascii="宋体" w:hAnsi="宋体" w:cs="宋体"/>
          <w:bCs/>
          <w:color w:val="auto"/>
          <w:sz w:val="22"/>
          <w:szCs w:val="22"/>
          <w:highlight w:val="none"/>
        </w:rPr>
        <w:t>，属于</w:t>
      </w:r>
      <w:r>
        <w:rPr>
          <w:rFonts w:hint="eastAsia" w:ascii="宋体" w:hAnsi="宋体" w:cs="宋体"/>
          <w:bCs/>
          <w:color w:val="auto"/>
          <w:sz w:val="22"/>
          <w:szCs w:val="22"/>
          <w:highlight w:val="none"/>
          <w:u w:val="single"/>
        </w:rPr>
        <w:t>（中型企业、小型企业、微型企业）</w:t>
      </w:r>
      <w:r>
        <w:rPr>
          <w:rFonts w:hint="eastAsia" w:ascii="宋体" w:hAnsi="宋体" w:cs="宋体"/>
          <w:bCs/>
          <w:color w:val="auto"/>
          <w:sz w:val="22"/>
          <w:szCs w:val="22"/>
          <w:highlight w:val="none"/>
        </w:rPr>
        <w:t>；</w:t>
      </w:r>
    </w:p>
    <w:p w14:paraId="77D347E0">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Cs/>
          <w:color w:val="auto"/>
          <w:sz w:val="22"/>
          <w:szCs w:val="22"/>
          <w:highlight w:val="none"/>
          <w:u w:val="single"/>
        </w:rPr>
        <w:t xml:space="preserve">（标的名称） </w:t>
      </w:r>
      <w:r>
        <w:rPr>
          <w:rFonts w:hint="eastAsia" w:ascii="宋体" w:hAnsi="宋体" w:cs="宋体"/>
          <w:bCs/>
          <w:color w:val="auto"/>
          <w:sz w:val="22"/>
          <w:szCs w:val="22"/>
          <w:highlight w:val="none"/>
        </w:rPr>
        <w:t>，属于</w:t>
      </w:r>
      <w:r>
        <w:rPr>
          <w:rFonts w:hint="eastAsia" w:ascii="宋体" w:hAnsi="宋体" w:cs="宋体"/>
          <w:bCs/>
          <w:color w:val="auto"/>
          <w:sz w:val="22"/>
          <w:szCs w:val="22"/>
          <w:highlight w:val="none"/>
          <w:u w:val="single"/>
        </w:rPr>
        <w:t xml:space="preserve"> （采购文件中明确的所属行业）</w:t>
      </w:r>
      <w:r>
        <w:rPr>
          <w:rFonts w:hint="eastAsia" w:ascii="宋体" w:hAnsi="宋体" w:cs="宋体"/>
          <w:bCs/>
          <w:color w:val="auto"/>
          <w:sz w:val="22"/>
          <w:szCs w:val="22"/>
          <w:highlight w:val="none"/>
        </w:rPr>
        <w:t>行业 ；承建（承接）企业为</w:t>
      </w:r>
      <w:r>
        <w:rPr>
          <w:rFonts w:hint="eastAsia" w:ascii="宋体" w:hAnsi="宋体" w:cs="宋体"/>
          <w:bCs/>
          <w:color w:val="auto"/>
          <w:sz w:val="22"/>
          <w:szCs w:val="22"/>
          <w:highlight w:val="none"/>
          <w:u w:val="single"/>
        </w:rPr>
        <w:t xml:space="preserve">（企业名称） </w:t>
      </w:r>
      <w:r>
        <w:rPr>
          <w:rFonts w:hint="eastAsia" w:ascii="宋体" w:hAnsi="宋体" w:cs="宋体"/>
          <w:bCs/>
          <w:color w:val="auto"/>
          <w:sz w:val="22"/>
          <w:szCs w:val="22"/>
          <w:highlight w:val="none"/>
        </w:rPr>
        <w:t>，从业人员人，营业收入为万元，资产总额为万元，属于 （中型企业、小型企业、微型企业） ；</w:t>
      </w:r>
    </w:p>
    <w:p w14:paraId="29715EBB">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w:t>
      </w:r>
    </w:p>
    <w:p w14:paraId="7C496E6A">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以上企业，不属于大企业的分支机构，不存在控股股东为大企业的情形，也不存在与大企业的负责人为同一人的情形。</w:t>
      </w:r>
    </w:p>
    <w:p w14:paraId="36184B43">
      <w:pPr>
        <w:widowControl/>
        <w:tabs>
          <w:tab w:val="left" w:pos="312"/>
        </w:tabs>
        <w:spacing w:line="500" w:lineRule="atLeast"/>
        <w:ind w:firstLine="440" w:firstLineChars="200"/>
        <w:jc w:val="left"/>
        <w:rPr>
          <w:rFonts w:ascii="宋体" w:hAnsi="宋体" w:cs="宋体"/>
          <w:bCs/>
          <w:color w:val="auto"/>
          <w:sz w:val="22"/>
          <w:szCs w:val="22"/>
          <w:highlight w:val="none"/>
        </w:rPr>
      </w:pPr>
      <w:r>
        <w:rPr>
          <w:rFonts w:hint="eastAsia" w:ascii="宋体" w:hAnsi="宋体" w:cs="宋体"/>
          <w:bCs/>
          <w:color w:val="auto"/>
          <w:sz w:val="22"/>
          <w:szCs w:val="22"/>
          <w:highlight w:val="none"/>
        </w:rPr>
        <w:t>本企业对上述声明内容的真实性负责。如有虚假，将依法承担相应责任。</w:t>
      </w:r>
    </w:p>
    <w:p w14:paraId="6E134B11">
      <w:pPr>
        <w:widowControl/>
        <w:spacing w:line="500" w:lineRule="atLeast"/>
        <w:ind w:firstLine="5669" w:firstLineChars="2577"/>
        <w:jc w:val="left"/>
        <w:rPr>
          <w:rFonts w:ascii="宋体" w:hAnsi="宋体" w:cs="宋体"/>
          <w:bCs/>
          <w:color w:val="auto"/>
          <w:sz w:val="22"/>
          <w:szCs w:val="22"/>
          <w:highlight w:val="none"/>
        </w:rPr>
      </w:pPr>
      <w:r>
        <w:rPr>
          <w:rFonts w:hint="eastAsia" w:ascii="宋体" w:hAnsi="宋体" w:cs="宋体"/>
          <w:bCs/>
          <w:color w:val="auto"/>
          <w:sz w:val="22"/>
          <w:szCs w:val="22"/>
          <w:highlight w:val="none"/>
        </w:rPr>
        <w:t>企业名称（盖章）：</w:t>
      </w:r>
    </w:p>
    <w:p w14:paraId="4EB07545">
      <w:pPr>
        <w:widowControl/>
        <w:spacing w:line="500" w:lineRule="atLeast"/>
        <w:ind w:firstLine="5669" w:firstLineChars="2577"/>
        <w:jc w:val="left"/>
        <w:rPr>
          <w:rFonts w:ascii="宋体" w:hAnsi="宋体" w:cs="宋体"/>
          <w:bCs/>
          <w:color w:val="auto"/>
          <w:sz w:val="22"/>
          <w:szCs w:val="22"/>
          <w:highlight w:val="none"/>
        </w:rPr>
      </w:pPr>
      <w:r>
        <w:rPr>
          <w:rFonts w:hint="eastAsia" w:ascii="宋体" w:hAnsi="宋体" w:cs="宋体"/>
          <w:bCs/>
          <w:color w:val="auto"/>
          <w:sz w:val="22"/>
          <w:szCs w:val="22"/>
          <w:highlight w:val="none"/>
        </w:rPr>
        <w:t>日 期：</w:t>
      </w:r>
    </w:p>
    <w:p w14:paraId="500E39E7">
      <w:pPr>
        <w:widowControl/>
        <w:tabs>
          <w:tab w:val="left" w:pos="312"/>
        </w:tabs>
        <w:spacing w:before="100" w:beforeAutospacing="1" w:after="100" w:afterAutospacing="1" w:line="440" w:lineRule="atLeast"/>
        <w:jc w:val="left"/>
        <w:rPr>
          <w:rFonts w:ascii="宋体" w:hAnsi="宋体" w:cs="宋体"/>
          <w:bCs/>
          <w:color w:val="auto"/>
          <w:sz w:val="18"/>
          <w:szCs w:val="18"/>
          <w:highlight w:val="none"/>
        </w:rPr>
      </w:pPr>
    </w:p>
    <w:p w14:paraId="4D6DFB6B">
      <w:pPr>
        <w:widowControl/>
        <w:tabs>
          <w:tab w:val="left" w:pos="312"/>
        </w:tabs>
        <w:spacing w:before="100" w:beforeAutospacing="1" w:after="100" w:afterAutospacing="1" w:line="440" w:lineRule="atLeast"/>
        <w:jc w:val="left"/>
        <w:rPr>
          <w:rFonts w:ascii="宋体" w:hAnsi="宋体" w:cs="宋体"/>
          <w:bCs/>
          <w:color w:val="auto"/>
          <w:sz w:val="18"/>
          <w:szCs w:val="18"/>
          <w:highlight w:val="none"/>
        </w:rPr>
      </w:pPr>
    </w:p>
    <w:p w14:paraId="3C895861">
      <w:pPr>
        <w:widowControl/>
        <w:tabs>
          <w:tab w:val="left" w:pos="312"/>
        </w:tabs>
        <w:spacing w:before="100" w:beforeAutospacing="1" w:after="100" w:afterAutospacing="1" w:line="440" w:lineRule="atLeast"/>
        <w:jc w:val="left"/>
        <w:rPr>
          <w:rFonts w:ascii="宋体" w:hAnsi="宋体" w:cs="宋体"/>
          <w:bCs/>
          <w:color w:val="auto"/>
          <w:sz w:val="18"/>
          <w:szCs w:val="18"/>
          <w:highlight w:val="none"/>
        </w:rPr>
      </w:pPr>
    </w:p>
    <w:p w14:paraId="4BDD0FBA">
      <w:pPr>
        <w:widowControl/>
        <w:tabs>
          <w:tab w:val="left" w:pos="312"/>
        </w:tabs>
        <w:spacing w:before="100" w:beforeAutospacing="1" w:after="100" w:afterAutospacing="1" w:line="440" w:lineRule="atLeast"/>
        <w:jc w:val="left"/>
        <w:rPr>
          <w:rFonts w:ascii="宋体" w:hAnsi="宋体" w:cs="宋体"/>
          <w:bCs/>
          <w:color w:val="auto"/>
          <w:sz w:val="18"/>
          <w:szCs w:val="18"/>
          <w:highlight w:val="none"/>
        </w:rPr>
      </w:pPr>
    </w:p>
    <w:p w14:paraId="7F127E94">
      <w:pPr>
        <w:widowControl/>
        <w:spacing w:before="100" w:beforeAutospacing="1" w:after="100" w:afterAutospacing="1" w:line="440" w:lineRule="atLeast"/>
        <w:jc w:val="left"/>
        <w:rPr>
          <w:rFonts w:ascii="宋体" w:hAnsi="宋体" w:cs="宋体"/>
          <w:b/>
          <w:color w:val="auto"/>
          <w:sz w:val="24"/>
          <w:highlight w:val="none"/>
        </w:rPr>
      </w:pPr>
      <w:r>
        <w:rPr>
          <w:rFonts w:hint="eastAsia" w:ascii="宋体" w:hAnsi="宋体" w:cs="宋体"/>
          <w:bCs/>
          <w:color w:val="auto"/>
          <w:sz w:val="18"/>
          <w:szCs w:val="18"/>
          <w:highlight w:val="none"/>
        </w:rPr>
        <w:t>注1.从业人员、营业收入、资产总额填报上一年度数据，无上一年度数据的新成立企业可不填报。</w:t>
      </w:r>
    </w:p>
    <w:p w14:paraId="17F7B566">
      <w:pPr>
        <w:widowControl/>
        <w:spacing w:before="100" w:beforeAutospacing="1" w:after="100" w:afterAutospacing="1" w:line="440" w:lineRule="atLeast"/>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附件2</w:t>
      </w:r>
    </w:p>
    <w:p w14:paraId="3E209E32">
      <w:pPr>
        <w:widowControl/>
        <w:spacing w:before="100" w:beforeAutospacing="1" w:after="100" w:afterAutospacing="1" w:line="440" w:lineRule="atLeast"/>
        <w:jc w:val="center"/>
        <w:rPr>
          <w:rFonts w:ascii="宋体" w:hAnsi="宋体" w:cs="宋体"/>
          <w:b/>
          <w:bCs/>
          <w:color w:val="auto"/>
          <w:sz w:val="24"/>
          <w:highlight w:val="none"/>
        </w:rPr>
      </w:pPr>
      <w:bookmarkStart w:id="73" w:name="OLE_LINK14"/>
      <w:bookmarkStart w:id="74" w:name="OLE_LINK13"/>
      <w:r>
        <w:rPr>
          <w:rFonts w:hint="eastAsia" w:ascii="宋体" w:hAnsi="宋体" w:cs="宋体"/>
          <w:b/>
          <w:bCs/>
          <w:color w:val="auto"/>
          <w:sz w:val="24"/>
          <w:highlight w:val="none"/>
        </w:rPr>
        <w:t>残疾人福利性单位声明函</w:t>
      </w:r>
    </w:p>
    <w:bookmarkEnd w:id="73"/>
    <w:bookmarkEnd w:id="74"/>
    <w:p w14:paraId="224676DD">
      <w:pPr>
        <w:spacing w:line="588" w:lineRule="exact"/>
        <w:rPr>
          <w:rFonts w:ascii="宋体" w:hAnsi="宋体" w:cs="宋体"/>
          <w:b/>
          <w:color w:val="auto"/>
          <w:spacing w:val="6"/>
          <w:sz w:val="30"/>
          <w:szCs w:val="30"/>
          <w:highlight w:val="none"/>
        </w:rPr>
      </w:pPr>
    </w:p>
    <w:p w14:paraId="579FD24B">
      <w:pPr>
        <w:spacing w:line="588"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cs="宋体"/>
          <w:color w:val="auto"/>
          <w:sz w:val="22"/>
          <w:szCs w:val="22"/>
          <w:highlight w:val="none"/>
        </w:rPr>
        <w:t>〔2017〕 141</w:t>
      </w:r>
      <w:r>
        <w:rPr>
          <w:rFonts w:hint="eastAsia" w:ascii="宋体" w:hAnsi="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B8817F">
      <w:pPr>
        <w:spacing w:line="588"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36C4E4A1">
      <w:pPr>
        <w:spacing w:line="588" w:lineRule="exact"/>
        <w:ind w:firstLine="464" w:firstLineChars="200"/>
        <w:rPr>
          <w:rFonts w:ascii="宋体" w:hAnsi="宋体" w:cs="宋体"/>
          <w:color w:val="auto"/>
          <w:spacing w:val="6"/>
          <w:sz w:val="22"/>
          <w:szCs w:val="22"/>
          <w:highlight w:val="none"/>
        </w:rPr>
      </w:pPr>
    </w:p>
    <w:p w14:paraId="76F83C86">
      <w:pPr>
        <w:tabs>
          <w:tab w:val="left" w:pos="4860"/>
        </w:tabs>
        <w:spacing w:line="588" w:lineRule="exact"/>
        <w:ind w:right="1560" w:firstLine="464" w:firstLineChars="200"/>
        <w:rPr>
          <w:rFonts w:ascii="宋体" w:hAnsi="宋体" w:cs="宋体"/>
          <w:color w:val="auto"/>
          <w:spacing w:val="6"/>
          <w:sz w:val="22"/>
          <w:szCs w:val="22"/>
          <w:highlight w:val="none"/>
        </w:rPr>
      </w:pPr>
    </w:p>
    <w:p w14:paraId="3C6AFA06">
      <w:pPr>
        <w:tabs>
          <w:tab w:val="left" w:pos="4860"/>
        </w:tabs>
        <w:spacing w:line="588" w:lineRule="exact"/>
        <w:ind w:right="1560"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投标人全称（盖章）：</w:t>
      </w:r>
    </w:p>
    <w:p w14:paraId="6A8668C0">
      <w:pPr>
        <w:tabs>
          <w:tab w:val="left" w:pos="4860"/>
        </w:tabs>
        <w:spacing w:line="588" w:lineRule="exact"/>
        <w:ind w:right="1560"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日  期：</w:t>
      </w:r>
    </w:p>
    <w:p w14:paraId="62625B79">
      <w:pPr>
        <w:tabs>
          <w:tab w:val="left" w:pos="4860"/>
        </w:tabs>
        <w:spacing w:line="588" w:lineRule="exact"/>
        <w:ind w:right="1560" w:firstLine="464" w:firstLineChars="200"/>
        <w:jc w:val="center"/>
        <w:rPr>
          <w:rFonts w:ascii="宋体" w:hAnsi="宋体" w:cs="宋体"/>
          <w:color w:val="auto"/>
          <w:spacing w:val="6"/>
          <w:sz w:val="22"/>
          <w:szCs w:val="22"/>
          <w:highlight w:val="none"/>
        </w:rPr>
      </w:pPr>
    </w:p>
    <w:p w14:paraId="668F2492">
      <w:pPr>
        <w:tabs>
          <w:tab w:val="left" w:pos="4860"/>
        </w:tabs>
        <w:spacing w:line="588" w:lineRule="exact"/>
        <w:ind w:right="1560" w:firstLine="464" w:firstLineChars="200"/>
        <w:jc w:val="center"/>
        <w:rPr>
          <w:rFonts w:ascii="宋体" w:hAnsi="宋体" w:cs="宋体"/>
          <w:color w:val="auto"/>
          <w:spacing w:val="6"/>
          <w:sz w:val="22"/>
          <w:szCs w:val="22"/>
          <w:highlight w:val="none"/>
        </w:rPr>
      </w:pPr>
    </w:p>
    <w:p w14:paraId="05415242">
      <w:pPr>
        <w:tabs>
          <w:tab w:val="left" w:pos="4860"/>
        </w:tabs>
        <w:spacing w:line="588" w:lineRule="exact"/>
        <w:ind w:right="1560"/>
        <w:jc w:val="left"/>
        <w:rPr>
          <w:rFonts w:ascii="宋体" w:hAnsi="宋体" w:cs="宋体"/>
          <w:b/>
          <w:color w:val="auto"/>
          <w:sz w:val="22"/>
          <w:szCs w:val="22"/>
          <w:highlight w:val="none"/>
        </w:rPr>
      </w:pPr>
      <w:r>
        <w:rPr>
          <w:rFonts w:hint="eastAsia" w:ascii="宋体" w:hAnsi="宋体" w:cs="宋体"/>
          <w:b/>
          <w:color w:val="auto"/>
          <w:sz w:val="22"/>
          <w:szCs w:val="22"/>
          <w:highlight w:val="none"/>
        </w:rPr>
        <w:t>备注说明：</w:t>
      </w:r>
    </w:p>
    <w:p w14:paraId="4D7B29C1">
      <w:pPr>
        <w:numPr>
          <w:ilvl w:val="2"/>
          <w:numId w:val="24"/>
        </w:numPr>
        <w:tabs>
          <w:tab w:val="left" w:pos="0"/>
        </w:tabs>
        <w:spacing w:line="588" w:lineRule="exact"/>
        <w:ind w:left="0" w:right="114" w:firstLine="0"/>
        <w:jc w:val="left"/>
        <w:rPr>
          <w:rFonts w:ascii="宋体" w:hAnsi="宋体" w:cs="宋体"/>
          <w:color w:val="auto"/>
          <w:sz w:val="22"/>
          <w:szCs w:val="22"/>
          <w:highlight w:val="none"/>
        </w:rPr>
      </w:pPr>
      <w:r>
        <w:rPr>
          <w:rFonts w:hint="eastAsia" w:ascii="宋体" w:hAnsi="宋体" w:cs="宋体"/>
          <w:color w:val="auto"/>
          <w:sz w:val="22"/>
          <w:szCs w:val="22"/>
          <w:highlight w:val="none"/>
        </w:rPr>
        <w:t>如中标，将在中标公示中将此残疾人福利性单位声明函予以公示，接受社会监督。</w:t>
      </w:r>
    </w:p>
    <w:p w14:paraId="30BEF9BC">
      <w:pPr>
        <w:numPr>
          <w:ilvl w:val="2"/>
          <w:numId w:val="24"/>
        </w:numPr>
        <w:tabs>
          <w:tab w:val="left" w:pos="0"/>
        </w:tabs>
        <w:spacing w:line="588" w:lineRule="exact"/>
        <w:ind w:left="0" w:right="114" w:firstLine="0"/>
        <w:jc w:val="left"/>
        <w:rPr>
          <w:rFonts w:ascii="宋体" w:hAnsi="宋体" w:cs="宋体"/>
          <w:color w:val="auto"/>
          <w:sz w:val="22"/>
          <w:szCs w:val="22"/>
          <w:highlight w:val="none"/>
        </w:rPr>
      </w:pPr>
      <w:r>
        <w:rPr>
          <w:rFonts w:hint="eastAsia" w:ascii="宋体" w:hAnsi="宋体" w:cs="宋体"/>
          <w:color w:val="auto"/>
          <w:sz w:val="22"/>
          <w:szCs w:val="22"/>
          <w:highlight w:val="none"/>
        </w:rPr>
        <w:t>投标人提供的《残疾人福利性单位声明函》与事实不符的，依照《政府采购法》第七十七条第一款的规定追究法律责任。</w:t>
      </w:r>
    </w:p>
    <w:p w14:paraId="7DCC97D4">
      <w:pPr>
        <w:rPr>
          <w:color w:val="auto"/>
          <w:highlight w:val="none"/>
        </w:rPr>
      </w:pPr>
    </w:p>
    <w:p w14:paraId="39EBE902">
      <w:pPr>
        <w:rPr>
          <w:rFonts w:ascii="宋体" w:hAnsi="宋体" w:cs="宋体"/>
          <w:color w:val="auto"/>
          <w:sz w:val="22"/>
          <w:szCs w:val="22"/>
          <w:highlight w:val="none"/>
        </w:rPr>
      </w:pPr>
      <w:r>
        <w:rPr>
          <w:rFonts w:ascii="宋体" w:hAnsi="宋体" w:cs="宋体"/>
          <w:color w:val="auto"/>
          <w:sz w:val="22"/>
          <w:szCs w:val="22"/>
          <w:highlight w:val="none"/>
        </w:rPr>
        <w:br w:type="page"/>
      </w:r>
    </w:p>
    <w:p w14:paraId="71840F2E">
      <w:pPr>
        <w:widowControl/>
        <w:spacing w:before="100" w:beforeAutospacing="1" w:after="100" w:afterAutospacing="1" w:line="440" w:lineRule="atLeast"/>
        <w:rPr>
          <w:rFonts w:ascii="宋体" w:hAnsi="宋体" w:cs="宋体"/>
          <w:b/>
          <w:bCs/>
          <w:color w:val="auto"/>
          <w:sz w:val="24"/>
          <w:highlight w:val="none"/>
        </w:rPr>
      </w:pPr>
      <w:r>
        <w:rPr>
          <w:rFonts w:hint="eastAsia" w:ascii="宋体" w:hAnsi="宋体" w:cs="宋体"/>
          <w:b/>
          <w:bCs/>
          <w:color w:val="auto"/>
          <w:sz w:val="24"/>
          <w:highlight w:val="none"/>
        </w:rPr>
        <w:t>附件3</w:t>
      </w:r>
    </w:p>
    <w:p w14:paraId="3831DD42">
      <w:pPr>
        <w:widowControl/>
        <w:spacing w:before="100" w:beforeAutospacing="1" w:after="100" w:afterAutospacing="1" w:line="440" w:lineRule="atLeast"/>
        <w:jc w:val="center"/>
        <w:rPr>
          <w:rFonts w:hint="eastAsia" w:ascii="宋体" w:hAnsi="宋体" w:cs="宋体"/>
          <w:b/>
          <w:bCs/>
          <w:color w:val="auto"/>
          <w:sz w:val="24"/>
          <w:highlight w:val="none"/>
        </w:rPr>
      </w:pPr>
      <w:r>
        <w:rPr>
          <w:rFonts w:hint="eastAsia" w:ascii="宋体" w:hAnsi="宋体" w:cs="宋体"/>
          <w:b/>
          <w:bCs/>
          <w:color w:val="auto"/>
          <w:sz w:val="24"/>
          <w:highlight w:val="none"/>
        </w:rPr>
        <w:t>《统计上大中小微型企业划分办法（2017）》</w:t>
      </w:r>
    </w:p>
    <w:p w14:paraId="4E437DC7">
      <w:pPr>
        <w:spacing w:line="588"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52FBCFFC">
      <w:pPr>
        <w:spacing w:line="588"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二、本办法适用对象为在中华人民共和国境内依法设立的各种组织形式的法人企业或单位。个体工商户参照本办法进行划分。</w:t>
      </w:r>
    </w:p>
    <w:p w14:paraId="6A7085A3">
      <w:pPr>
        <w:spacing w:line="588"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263DE1B">
      <w:pPr>
        <w:spacing w:line="588"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四、本办法按照行业门类、大类、中类和组合类别，依据从业人员、营业收入、资产总额等指标或替代指标，将我国的企业划分为大型、中型、小型、微型等四种类型。具体划分标准见附表。</w:t>
      </w:r>
    </w:p>
    <w:p w14:paraId="6CBF8938">
      <w:pPr>
        <w:spacing w:line="588"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五、企业划分由政府综合统计部门根据统计年报每年确定一次，定报统计原则上不进行调整。</w:t>
      </w:r>
    </w:p>
    <w:p w14:paraId="0E886DB0">
      <w:pPr>
        <w:spacing w:line="588"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六、本办法自印发之日起执行，国家统计局2011年印发的《统计上大中小微型企业划分办法》（国统字〔2011〕75号）同时废止。</w:t>
      </w:r>
    </w:p>
    <w:p w14:paraId="09452CB3">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57"/>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7F7B729">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5A8F3A37">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1671F6A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52D9F50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3544539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F034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17E2E9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nil"/>
              <w:bottom w:val="single" w:color="auto" w:sz="4" w:space="0"/>
              <w:right w:val="nil"/>
            </w:tcBorders>
            <w:shd w:val="clear" w:color="auto" w:fill="auto"/>
            <w:vAlign w:val="center"/>
          </w:tcPr>
          <w:p w14:paraId="636ED4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3113F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A539BB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shd w:val="clear" w:color="auto" w:fill="auto"/>
            <w:vAlign w:val="center"/>
          </w:tcPr>
          <w:p w14:paraId="6F56B1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6AE7BB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52F766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shd w:val="clear" w:color="auto" w:fill="auto"/>
            <w:vAlign w:val="center"/>
          </w:tcPr>
          <w:p w14:paraId="308717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tcBorders>
              <w:top w:val="nil"/>
              <w:left w:val="nil"/>
              <w:bottom w:val="single" w:color="auto" w:sz="4" w:space="0"/>
              <w:right w:val="single" w:color="auto" w:sz="4" w:space="0"/>
            </w:tcBorders>
            <w:shd w:val="clear" w:color="auto" w:fill="auto"/>
            <w:vAlign w:val="center"/>
          </w:tcPr>
          <w:p w14:paraId="644752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tcBorders>
              <w:top w:val="nil"/>
              <w:left w:val="nil"/>
              <w:bottom w:val="single" w:color="auto" w:sz="4" w:space="0"/>
              <w:right w:val="nil"/>
            </w:tcBorders>
            <w:shd w:val="clear" w:color="auto" w:fill="auto"/>
            <w:vAlign w:val="center"/>
          </w:tcPr>
          <w:p w14:paraId="1361FF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A39769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EB36FD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w:t>
            </w:r>
          </w:p>
        </w:tc>
        <w:tc>
          <w:tcPr>
            <w:tcW w:w="1369" w:type="dxa"/>
            <w:tcBorders>
              <w:top w:val="nil"/>
              <w:left w:val="nil"/>
              <w:bottom w:val="nil"/>
              <w:right w:val="single" w:color="auto" w:sz="4" w:space="0"/>
            </w:tcBorders>
            <w:shd w:val="clear" w:color="auto" w:fill="auto"/>
            <w:vAlign w:val="center"/>
          </w:tcPr>
          <w:p w14:paraId="36E8C4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6F3D57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4B111D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shd w:val="clear" w:color="auto" w:fill="auto"/>
            <w:vAlign w:val="center"/>
          </w:tcPr>
          <w:p w14:paraId="3E8D04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shd w:val="clear" w:color="auto" w:fill="auto"/>
            <w:vAlign w:val="center"/>
          </w:tcPr>
          <w:p w14:paraId="714A27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tcBorders>
              <w:top w:val="nil"/>
              <w:left w:val="nil"/>
              <w:bottom w:val="nil"/>
              <w:right w:val="nil"/>
            </w:tcBorders>
            <w:shd w:val="clear" w:color="auto" w:fill="auto"/>
            <w:vAlign w:val="center"/>
          </w:tcPr>
          <w:p w14:paraId="43AC06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EEA7F9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0179D7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141B597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5C3F61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70FF5E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shd w:val="clear" w:color="auto" w:fill="auto"/>
            <w:vAlign w:val="center"/>
          </w:tcPr>
          <w:p w14:paraId="03060D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shd w:val="clear" w:color="auto" w:fill="auto"/>
            <w:vAlign w:val="center"/>
          </w:tcPr>
          <w:p w14:paraId="1704E2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tcBorders>
              <w:top w:val="nil"/>
              <w:left w:val="nil"/>
              <w:bottom w:val="single" w:color="auto" w:sz="4" w:space="0"/>
              <w:right w:val="nil"/>
            </w:tcBorders>
            <w:shd w:val="clear" w:color="auto" w:fill="auto"/>
            <w:vAlign w:val="center"/>
          </w:tcPr>
          <w:p w14:paraId="31530D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CC60B6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9FFECE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shd w:val="clear" w:color="auto" w:fill="auto"/>
            <w:vAlign w:val="center"/>
          </w:tcPr>
          <w:p w14:paraId="3E3B08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shd w:val="clear" w:color="auto" w:fill="auto"/>
            <w:vAlign w:val="center"/>
          </w:tcPr>
          <w:p w14:paraId="0708ED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shd w:val="clear" w:color="auto" w:fill="auto"/>
            <w:vAlign w:val="center"/>
          </w:tcPr>
          <w:p w14:paraId="64A544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shd w:val="clear" w:color="auto" w:fill="auto"/>
            <w:vAlign w:val="center"/>
          </w:tcPr>
          <w:p w14:paraId="608AD4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shd w:val="clear" w:color="auto" w:fill="auto"/>
            <w:vAlign w:val="center"/>
          </w:tcPr>
          <w:p w14:paraId="3D22CC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tcBorders>
              <w:top w:val="nil"/>
              <w:left w:val="nil"/>
              <w:bottom w:val="nil"/>
              <w:right w:val="nil"/>
            </w:tcBorders>
            <w:shd w:val="clear" w:color="auto" w:fill="auto"/>
            <w:vAlign w:val="center"/>
          </w:tcPr>
          <w:p w14:paraId="550189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BB1A3F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563F869">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0E0047E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shd w:val="clear" w:color="auto" w:fill="auto"/>
            <w:vAlign w:val="center"/>
          </w:tcPr>
          <w:p w14:paraId="414F30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083FFA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shd w:val="clear" w:color="auto" w:fill="auto"/>
            <w:vAlign w:val="center"/>
          </w:tcPr>
          <w:p w14:paraId="1765C9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shd w:val="clear" w:color="auto" w:fill="auto"/>
            <w:vAlign w:val="center"/>
          </w:tcPr>
          <w:p w14:paraId="5C4252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tcBorders>
              <w:top w:val="nil"/>
              <w:left w:val="nil"/>
              <w:bottom w:val="single" w:color="auto" w:sz="4" w:space="0"/>
              <w:right w:val="nil"/>
            </w:tcBorders>
            <w:shd w:val="clear" w:color="auto" w:fill="auto"/>
            <w:vAlign w:val="center"/>
          </w:tcPr>
          <w:p w14:paraId="15399D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727500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20BD4A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shd w:val="clear" w:color="auto" w:fill="auto"/>
            <w:vAlign w:val="center"/>
          </w:tcPr>
          <w:p w14:paraId="1FAE84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491410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59C27B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shd w:val="clear" w:color="auto" w:fill="auto"/>
            <w:vAlign w:val="center"/>
          </w:tcPr>
          <w:p w14:paraId="44FDB7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shd w:val="clear" w:color="auto" w:fill="auto"/>
            <w:vAlign w:val="center"/>
          </w:tcPr>
          <w:p w14:paraId="7A7BD1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tcBorders>
              <w:top w:val="nil"/>
              <w:left w:val="nil"/>
              <w:bottom w:val="nil"/>
              <w:right w:val="nil"/>
            </w:tcBorders>
            <w:shd w:val="clear" w:color="auto" w:fill="auto"/>
            <w:vAlign w:val="center"/>
          </w:tcPr>
          <w:p w14:paraId="32E189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353981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0B18C2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5F29440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7DC8A0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49A843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shd w:val="clear" w:color="auto" w:fill="auto"/>
            <w:vAlign w:val="center"/>
          </w:tcPr>
          <w:p w14:paraId="584CB7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shd w:val="clear" w:color="auto" w:fill="auto"/>
            <w:vAlign w:val="center"/>
          </w:tcPr>
          <w:p w14:paraId="42F31DB2">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right w:val="nil"/>
            </w:tcBorders>
            <w:shd w:val="clear" w:color="auto" w:fill="auto"/>
            <w:vAlign w:val="center"/>
          </w:tcPr>
          <w:p w14:paraId="2DFEDF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057F26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5123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shd w:val="clear" w:color="auto" w:fill="auto"/>
            <w:vAlign w:val="center"/>
          </w:tcPr>
          <w:p w14:paraId="6E72BA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33803B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5F2CFC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126EF4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shd w:val="clear" w:color="auto" w:fill="auto"/>
            <w:vAlign w:val="center"/>
          </w:tcPr>
          <w:p w14:paraId="6A8D534F">
            <w:pPr>
              <w:widowControl/>
              <w:ind w:left="-1" w:leftChars="-1" w:hanging="1"/>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10≤X＜50</w:t>
            </w:r>
          </w:p>
        </w:tc>
        <w:tc>
          <w:tcPr>
            <w:tcW w:w="992" w:type="dxa"/>
            <w:tcBorders>
              <w:top w:val="nil"/>
              <w:left w:val="nil"/>
              <w:bottom w:val="nil"/>
              <w:right w:val="nil"/>
            </w:tcBorders>
            <w:shd w:val="clear" w:color="auto" w:fill="auto"/>
            <w:vAlign w:val="center"/>
          </w:tcPr>
          <w:p w14:paraId="5FB53E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9972E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3FDD8D6">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08020F9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438DDD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122355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shd w:val="clear" w:color="auto" w:fill="auto"/>
            <w:vAlign w:val="center"/>
          </w:tcPr>
          <w:p w14:paraId="5C9099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tcBorders>
              <w:top w:val="nil"/>
              <w:left w:val="nil"/>
              <w:bottom w:val="single" w:color="auto" w:sz="4" w:space="0"/>
              <w:right w:val="single" w:color="auto" w:sz="4" w:space="0"/>
            </w:tcBorders>
            <w:shd w:val="clear" w:color="auto" w:fill="auto"/>
            <w:vAlign w:val="center"/>
          </w:tcPr>
          <w:p w14:paraId="133CBD46">
            <w:pPr>
              <w:widowControl/>
              <w:ind w:left="-1" w:leftChars="-1" w:hanging="1"/>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100≤Y＜500</w:t>
            </w:r>
          </w:p>
        </w:tc>
        <w:tc>
          <w:tcPr>
            <w:tcW w:w="992" w:type="dxa"/>
            <w:tcBorders>
              <w:top w:val="nil"/>
              <w:left w:val="nil"/>
              <w:bottom w:val="single" w:color="auto" w:sz="4" w:space="0"/>
              <w:right w:val="nil"/>
            </w:tcBorders>
            <w:shd w:val="clear" w:color="auto" w:fill="auto"/>
            <w:vAlign w:val="center"/>
          </w:tcPr>
          <w:p w14:paraId="441D83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8EE0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ED1ECE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w:t>
            </w:r>
          </w:p>
        </w:tc>
        <w:tc>
          <w:tcPr>
            <w:tcW w:w="1369" w:type="dxa"/>
            <w:tcBorders>
              <w:top w:val="nil"/>
              <w:left w:val="nil"/>
              <w:bottom w:val="nil"/>
              <w:right w:val="single" w:color="auto" w:sz="4" w:space="0"/>
            </w:tcBorders>
            <w:shd w:val="clear" w:color="auto" w:fill="auto"/>
            <w:vAlign w:val="center"/>
          </w:tcPr>
          <w:p w14:paraId="57E6BC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32F5BD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0D11D1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shd w:val="clear" w:color="auto" w:fill="auto"/>
            <w:vAlign w:val="center"/>
          </w:tcPr>
          <w:p w14:paraId="157580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shd w:val="clear" w:color="auto" w:fill="auto"/>
            <w:vAlign w:val="center"/>
          </w:tcPr>
          <w:p w14:paraId="71D26C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tcBorders>
              <w:top w:val="nil"/>
              <w:left w:val="nil"/>
              <w:bottom w:val="nil"/>
              <w:right w:val="nil"/>
            </w:tcBorders>
            <w:shd w:val="clear" w:color="auto" w:fill="auto"/>
            <w:vAlign w:val="center"/>
          </w:tcPr>
          <w:p w14:paraId="2126A6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2EB87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F0C42B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5A675AE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40CC14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7B9A29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shd w:val="clear" w:color="auto" w:fill="auto"/>
            <w:vAlign w:val="center"/>
          </w:tcPr>
          <w:p w14:paraId="7CDDBD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shd w:val="clear" w:color="auto" w:fill="auto"/>
            <w:vAlign w:val="center"/>
          </w:tcPr>
          <w:p w14:paraId="4DD99F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tcBorders>
              <w:top w:val="nil"/>
              <w:left w:val="nil"/>
              <w:bottom w:val="single" w:color="auto" w:sz="4" w:space="0"/>
              <w:right w:val="nil"/>
            </w:tcBorders>
            <w:shd w:val="clear" w:color="auto" w:fill="auto"/>
            <w:vAlign w:val="center"/>
          </w:tcPr>
          <w:p w14:paraId="48CBAD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AB272D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D445B8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shd w:val="clear" w:color="auto" w:fill="auto"/>
            <w:vAlign w:val="center"/>
          </w:tcPr>
          <w:p w14:paraId="026605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4D7432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5AFBF6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shd w:val="clear" w:color="auto" w:fill="auto"/>
            <w:vAlign w:val="center"/>
          </w:tcPr>
          <w:p w14:paraId="4106689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shd w:val="clear" w:color="auto" w:fill="auto"/>
            <w:vAlign w:val="center"/>
          </w:tcPr>
          <w:p w14:paraId="53813B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tcBorders>
              <w:top w:val="nil"/>
              <w:left w:val="nil"/>
              <w:bottom w:val="nil"/>
              <w:right w:val="nil"/>
            </w:tcBorders>
            <w:shd w:val="clear" w:color="auto" w:fill="auto"/>
            <w:vAlign w:val="center"/>
          </w:tcPr>
          <w:p w14:paraId="0139EE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29F9D0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EB6C5F">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3FD3733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5F526D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3F7A4A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shd w:val="clear" w:color="auto" w:fill="auto"/>
            <w:vAlign w:val="center"/>
          </w:tcPr>
          <w:p w14:paraId="4622B0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shd w:val="clear" w:color="auto" w:fill="auto"/>
            <w:vAlign w:val="center"/>
          </w:tcPr>
          <w:p w14:paraId="5334F4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tcBorders>
              <w:top w:val="nil"/>
              <w:left w:val="nil"/>
              <w:bottom w:val="single" w:color="auto" w:sz="4" w:space="0"/>
              <w:right w:val="nil"/>
            </w:tcBorders>
            <w:shd w:val="clear" w:color="auto" w:fill="auto"/>
            <w:vAlign w:val="center"/>
          </w:tcPr>
          <w:p w14:paraId="6E62AE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4B5EB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047575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shd w:val="clear" w:color="auto" w:fill="auto"/>
            <w:vAlign w:val="center"/>
          </w:tcPr>
          <w:p w14:paraId="12A338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42209A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1813AE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shd w:val="clear" w:color="auto" w:fill="auto"/>
            <w:vAlign w:val="center"/>
          </w:tcPr>
          <w:p w14:paraId="122ACC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shd w:val="clear" w:color="auto" w:fill="auto"/>
            <w:vAlign w:val="center"/>
          </w:tcPr>
          <w:p w14:paraId="365BB7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tcBorders>
              <w:top w:val="nil"/>
              <w:left w:val="nil"/>
              <w:bottom w:val="nil"/>
              <w:right w:val="nil"/>
            </w:tcBorders>
            <w:shd w:val="clear" w:color="auto" w:fill="auto"/>
            <w:vAlign w:val="center"/>
          </w:tcPr>
          <w:p w14:paraId="00D5DB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4A3A53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25946BC">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4CC7D92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456F76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0D4B3B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shd w:val="clear" w:color="auto" w:fill="auto"/>
            <w:vAlign w:val="center"/>
          </w:tcPr>
          <w:p w14:paraId="4C4DE6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shd w:val="clear" w:color="auto" w:fill="auto"/>
            <w:vAlign w:val="center"/>
          </w:tcPr>
          <w:p w14:paraId="6C8F94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tcBorders>
              <w:top w:val="nil"/>
              <w:left w:val="nil"/>
              <w:bottom w:val="single" w:color="auto" w:sz="4" w:space="0"/>
              <w:right w:val="nil"/>
            </w:tcBorders>
            <w:shd w:val="clear" w:color="auto" w:fill="auto"/>
            <w:vAlign w:val="center"/>
          </w:tcPr>
          <w:p w14:paraId="7AB22D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53AD2C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64845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shd w:val="clear" w:color="auto" w:fill="auto"/>
            <w:vAlign w:val="center"/>
          </w:tcPr>
          <w:p w14:paraId="538B78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40BACB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0E4783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2E6B1B30">
            <w:pPr>
              <w:widowControl/>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100≤X＜300</w:t>
            </w:r>
          </w:p>
        </w:tc>
        <w:tc>
          <w:tcPr>
            <w:tcW w:w="1426" w:type="dxa"/>
            <w:tcBorders>
              <w:top w:val="nil"/>
              <w:left w:val="nil"/>
              <w:bottom w:val="nil"/>
              <w:right w:val="single" w:color="auto" w:sz="4" w:space="0"/>
            </w:tcBorders>
            <w:shd w:val="clear" w:color="auto" w:fill="auto"/>
            <w:vAlign w:val="center"/>
          </w:tcPr>
          <w:p w14:paraId="4B2941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nil"/>
              <w:right w:val="nil"/>
            </w:tcBorders>
            <w:shd w:val="clear" w:color="auto" w:fill="auto"/>
            <w:vAlign w:val="center"/>
          </w:tcPr>
          <w:p w14:paraId="04CC2F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3E50F0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B48276F">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7ABC77A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5FA238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2B6E1C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shd w:val="clear" w:color="auto" w:fill="auto"/>
            <w:vAlign w:val="center"/>
          </w:tcPr>
          <w:p w14:paraId="131748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shd w:val="clear" w:color="auto" w:fill="auto"/>
            <w:vAlign w:val="center"/>
          </w:tcPr>
          <w:p w14:paraId="4D0652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tcBorders>
              <w:top w:val="nil"/>
              <w:left w:val="nil"/>
              <w:bottom w:val="single" w:color="auto" w:sz="4" w:space="0"/>
              <w:right w:val="nil"/>
            </w:tcBorders>
            <w:shd w:val="clear" w:color="auto" w:fill="auto"/>
            <w:vAlign w:val="center"/>
          </w:tcPr>
          <w:p w14:paraId="39D17A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F8DF02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C07997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shd w:val="clear" w:color="auto" w:fill="auto"/>
            <w:vAlign w:val="center"/>
          </w:tcPr>
          <w:p w14:paraId="43664D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6A5891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7A7375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71692581">
            <w:pPr>
              <w:widowControl/>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100≤X＜300</w:t>
            </w:r>
          </w:p>
        </w:tc>
        <w:tc>
          <w:tcPr>
            <w:tcW w:w="1426" w:type="dxa"/>
            <w:tcBorders>
              <w:top w:val="nil"/>
              <w:left w:val="nil"/>
              <w:bottom w:val="nil"/>
              <w:right w:val="single" w:color="auto" w:sz="4" w:space="0"/>
            </w:tcBorders>
            <w:shd w:val="clear" w:color="auto" w:fill="auto"/>
            <w:vAlign w:val="center"/>
          </w:tcPr>
          <w:p w14:paraId="578A16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nil"/>
              <w:right w:val="nil"/>
            </w:tcBorders>
            <w:shd w:val="clear" w:color="auto" w:fill="auto"/>
            <w:vAlign w:val="center"/>
          </w:tcPr>
          <w:p w14:paraId="021712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8F1CF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1A2D42F">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1A3103A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366247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0811D8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shd w:val="clear" w:color="auto" w:fill="auto"/>
            <w:vAlign w:val="center"/>
          </w:tcPr>
          <w:p w14:paraId="4E39CB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shd w:val="clear" w:color="auto" w:fill="auto"/>
            <w:vAlign w:val="center"/>
          </w:tcPr>
          <w:p w14:paraId="08F1E7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tcBorders>
              <w:top w:val="nil"/>
              <w:left w:val="nil"/>
              <w:bottom w:val="single" w:color="auto" w:sz="4" w:space="0"/>
              <w:right w:val="nil"/>
            </w:tcBorders>
            <w:shd w:val="clear" w:color="auto" w:fill="auto"/>
            <w:vAlign w:val="center"/>
          </w:tcPr>
          <w:p w14:paraId="487BDA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78A9F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0B1BFC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w:t>
            </w:r>
          </w:p>
        </w:tc>
        <w:tc>
          <w:tcPr>
            <w:tcW w:w="1369" w:type="dxa"/>
            <w:tcBorders>
              <w:top w:val="nil"/>
              <w:left w:val="nil"/>
              <w:bottom w:val="nil"/>
              <w:right w:val="single" w:color="auto" w:sz="4" w:space="0"/>
            </w:tcBorders>
            <w:shd w:val="clear" w:color="auto" w:fill="auto"/>
            <w:vAlign w:val="center"/>
          </w:tcPr>
          <w:p w14:paraId="6B03D8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002F89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68ACEB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shd w:val="clear" w:color="auto" w:fill="auto"/>
            <w:vAlign w:val="center"/>
          </w:tcPr>
          <w:p w14:paraId="129B55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shd w:val="clear" w:color="auto" w:fill="auto"/>
            <w:vAlign w:val="center"/>
          </w:tcPr>
          <w:p w14:paraId="2D3158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nil"/>
              <w:right w:val="nil"/>
            </w:tcBorders>
            <w:shd w:val="clear" w:color="auto" w:fill="auto"/>
            <w:vAlign w:val="center"/>
          </w:tcPr>
          <w:p w14:paraId="35278C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84CFE2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69FCFD2">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079A92E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4C4FEA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10DCAE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shd w:val="clear" w:color="auto" w:fill="auto"/>
            <w:vAlign w:val="center"/>
          </w:tcPr>
          <w:p w14:paraId="533DF9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tcBorders>
              <w:top w:val="nil"/>
              <w:left w:val="nil"/>
              <w:bottom w:val="single" w:color="auto" w:sz="4" w:space="0"/>
              <w:right w:val="single" w:color="auto" w:sz="4" w:space="0"/>
            </w:tcBorders>
            <w:shd w:val="clear" w:color="auto" w:fill="auto"/>
            <w:vAlign w:val="center"/>
          </w:tcPr>
          <w:p w14:paraId="099C46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tcBorders>
              <w:top w:val="nil"/>
              <w:left w:val="nil"/>
              <w:bottom w:val="single" w:color="auto" w:sz="4" w:space="0"/>
              <w:right w:val="nil"/>
            </w:tcBorders>
            <w:shd w:val="clear" w:color="auto" w:fill="auto"/>
            <w:vAlign w:val="center"/>
          </w:tcPr>
          <w:p w14:paraId="541300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74EC3B">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6A8FF541">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shd w:val="clear" w:color="auto" w:fill="auto"/>
            <w:vAlign w:val="center"/>
          </w:tcPr>
          <w:p w14:paraId="2987DD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70A722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746700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5094C8A0">
            <w:pPr>
              <w:widowControl/>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100≤X＜300</w:t>
            </w:r>
          </w:p>
        </w:tc>
        <w:tc>
          <w:tcPr>
            <w:tcW w:w="1426" w:type="dxa"/>
            <w:tcBorders>
              <w:top w:val="nil"/>
              <w:left w:val="nil"/>
              <w:bottom w:val="nil"/>
              <w:right w:val="single" w:color="auto" w:sz="4" w:space="0"/>
            </w:tcBorders>
            <w:shd w:val="clear" w:color="auto" w:fill="auto"/>
            <w:vAlign w:val="center"/>
          </w:tcPr>
          <w:p w14:paraId="29B2A8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nil"/>
              <w:right w:val="nil"/>
            </w:tcBorders>
            <w:shd w:val="clear" w:color="auto" w:fill="auto"/>
            <w:vAlign w:val="center"/>
          </w:tcPr>
          <w:p w14:paraId="14EA69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D9A9CD">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05DD014E">
            <w:pPr>
              <w:widowControl/>
              <w:jc w:val="left"/>
              <w:rPr>
                <w:rFonts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2E4656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2F9FBF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53359F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shd w:val="clear" w:color="auto" w:fill="auto"/>
            <w:vAlign w:val="center"/>
          </w:tcPr>
          <w:p w14:paraId="530609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shd w:val="clear" w:color="auto" w:fill="auto"/>
            <w:vAlign w:val="center"/>
          </w:tcPr>
          <w:p w14:paraId="191F6E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tcBorders>
              <w:top w:val="nil"/>
              <w:left w:val="nil"/>
              <w:bottom w:val="single" w:color="auto" w:sz="4" w:space="0"/>
              <w:right w:val="nil"/>
            </w:tcBorders>
            <w:shd w:val="clear" w:color="auto" w:fill="auto"/>
            <w:vAlign w:val="center"/>
          </w:tcPr>
          <w:p w14:paraId="77D124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2B2AC8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8E9E8B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shd w:val="clear" w:color="auto" w:fill="auto"/>
            <w:vAlign w:val="center"/>
          </w:tcPr>
          <w:p w14:paraId="3DB4E7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shd w:val="clear" w:color="auto" w:fill="auto"/>
            <w:vAlign w:val="center"/>
          </w:tcPr>
          <w:p w14:paraId="2CA3D5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shd w:val="clear" w:color="auto" w:fill="auto"/>
            <w:vAlign w:val="center"/>
          </w:tcPr>
          <w:p w14:paraId="02CDA4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shd w:val="clear" w:color="auto" w:fill="auto"/>
            <w:vAlign w:val="center"/>
          </w:tcPr>
          <w:p w14:paraId="45F163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tcBorders>
              <w:top w:val="nil"/>
              <w:left w:val="nil"/>
              <w:bottom w:val="nil"/>
              <w:right w:val="single" w:color="auto" w:sz="4" w:space="0"/>
            </w:tcBorders>
            <w:shd w:val="clear" w:color="auto" w:fill="auto"/>
            <w:vAlign w:val="center"/>
          </w:tcPr>
          <w:p w14:paraId="207BC1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tcBorders>
              <w:top w:val="nil"/>
              <w:left w:val="nil"/>
              <w:bottom w:val="nil"/>
              <w:right w:val="nil"/>
            </w:tcBorders>
            <w:shd w:val="clear" w:color="auto" w:fill="auto"/>
            <w:vAlign w:val="center"/>
          </w:tcPr>
          <w:p w14:paraId="0A06A1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514924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78F1DCB">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182B1AE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shd w:val="clear" w:color="auto" w:fill="auto"/>
            <w:vAlign w:val="center"/>
          </w:tcPr>
          <w:p w14:paraId="5F77E5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548B2F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shd w:val="clear" w:color="auto" w:fill="auto"/>
            <w:vAlign w:val="center"/>
          </w:tcPr>
          <w:p w14:paraId="70E801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shd w:val="clear" w:color="auto" w:fill="auto"/>
            <w:vAlign w:val="center"/>
          </w:tcPr>
          <w:p w14:paraId="51ECED8E">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2000≤Z＜5000</w:t>
            </w:r>
          </w:p>
        </w:tc>
        <w:tc>
          <w:tcPr>
            <w:tcW w:w="992" w:type="dxa"/>
            <w:tcBorders>
              <w:top w:val="nil"/>
              <w:left w:val="nil"/>
              <w:bottom w:val="single" w:color="auto" w:sz="4" w:space="0"/>
              <w:right w:val="nil"/>
            </w:tcBorders>
            <w:shd w:val="clear" w:color="auto" w:fill="auto"/>
            <w:vAlign w:val="center"/>
          </w:tcPr>
          <w:p w14:paraId="318D13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DD89706">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B8046A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shd w:val="clear" w:color="auto" w:fill="auto"/>
            <w:vAlign w:val="center"/>
          </w:tcPr>
          <w:p w14:paraId="3F840D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079E39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64959D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shd w:val="clear" w:color="auto" w:fill="auto"/>
            <w:vAlign w:val="center"/>
          </w:tcPr>
          <w:p w14:paraId="08C53E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shd w:val="clear" w:color="auto" w:fill="auto"/>
            <w:vAlign w:val="center"/>
          </w:tcPr>
          <w:p w14:paraId="785F9D6E">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100≤X＜300</w:t>
            </w:r>
          </w:p>
        </w:tc>
        <w:tc>
          <w:tcPr>
            <w:tcW w:w="992" w:type="dxa"/>
            <w:tcBorders>
              <w:top w:val="nil"/>
              <w:left w:val="nil"/>
              <w:bottom w:val="nil"/>
              <w:right w:val="nil"/>
            </w:tcBorders>
            <w:shd w:val="clear" w:color="auto" w:fill="auto"/>
            <w:vAlign w:val="center"/>
          </w:tcPr>
          <w:p w14:paraId="167CEE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4AD36B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02B1DC5">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2713B4F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shd w:val="clear" w:color="auto" w:fill="auto"/>
            <w:vAlign w:val="center"/>
          </w:tcPr>
          <w:p w14:paraId="6B524F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560A71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shd w:val="clear" w:color="auto" w:fill="auto"/>
            <w:vAlign w:val="center"/>
          </w:tcPr>
          <w:p w14:paraId="39CC3D9A">
            <w:pPr>
              <w:widowControl/>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1000≤Y＜5000</w:t>
            </w:r>
          </w:p>
        </w:tc>
        <w:tc>
          <w:tcPr>
            <w:tcW w:w="1426" w:type="dxa"/>
            <w:tcBorders>
              <w:top w:val="nil"/>
              <w:left w:val="nil"/>
              <w:bottom w:val="single" w:color="auto" w:sz="4" w:space="0"/>
              <w:right w:val="single" w:color="auto" w:sz="4" w:space="0"/>
            </w:tcBorders>
            <w:shd w:val="clear" w:color="auto" w:fill="auto"/>
            <w:vAlign w:val="center"/>
          </w:tcPr>
          <w:p w14:paraId="1E7CF5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tcBorders>
              <w:top w:val="nil"/>
              <w:left w:val="nil"/>
              <w:bottom w:val="single" w:color="auto" w:sz="4" w:space="0"/>
              <w:right w:val="nil"/>
            </w:tcBorders>
            <w:shd w:val="clear" w:color="auto" w:fill="auto"/>
            <w:vAlign w:val="center"/>
          </w:tcPr>
          <w:p w14:paraId="64146C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B01C0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B70A3E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shd w:val="clear" w:color="auto" w:fill="auto"/>
            <w:vAlign w:val="center"/>
          </w:tcPr>
          <w:p w14:paraId="6A2E3C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shd w:val="clear" w:color="auto" w:fill="auto"/>
            <w:vAlign w:val="center"/>
          </w:tcPr>
          <w:p w14:paraId="32E3A2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shd w:val="clear" w:color="auto" w:fill="auto"/>
            <w:vAlign w:val="center"/>
          </w:tcPr>
          <w:p w14:paraId="59E2A2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shd w:val="clear" w:color="auto" w:fill="auto"/>
            <w:vAlign w:val="center"/>
          </w:tcPr>
          <w:p w14:paraId="203C4A2F">
            <w:pPr>
              <w:widowControl/>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100≤X＜300</w:t>
            </w:r>
          </w:p>
        </w:tc>
        <w:tc>
          <w:tcPr>
            <w:tcW w:w="1426" w:type="dxa"/>
            <w:tcBorders>
              <w:top w:val="nil"/>
              <w:left w:val="nil"/>
              <w:bottom w:val="nil"/>
              <w:right w:val="single" w:color="auto" w:sz="4" w:space="0"/>
            </w:tcBorders>
            <w:shd w:val="clear" w:color="auto" w:fill="auto"/>
            <w:vAlign w:val="center"/>
          </w:tcPr>
          <w:p w14:paraId="38A21F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nil"/>
              <w:right w:val="nil"/>
            </w:tcBorders>
            <w:shd w:val="clear" w:color="auto" w:fill="auto"/>
            <w:vAlign w:val="center"/>
          </w:tcPr>
          <w:p w14:paraId="38F8E2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2A5A4F9">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48ADE76">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shd w:val="clear" w:color="auto" w:fill="auto"/>
            <w:vAlign w:val="center"/>
          </w:tcPr>
          <w:p w14:paraId="6D64DE2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shd w:val="clear" w:color="auto" w:fill="auto"/>
            <w:vAlign w:val="center"/>
          </w:tcPr>
          <w:p w14:paraId="745917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shd w:val="clear" w:color="auto" w:fill="auto"/>
            <w:vAlign w:val="center"/>
          </w:tcPr>
          <w:p w14:paraId="22A6B9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shd w:val="clear" w:color="auto" w:fill="auto"/>
            <w:vAlign w:val="center"/>
          </w:tcPr>
          <w:p w14:paraId="116CF4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tcBorders>
              <w:top w:val="nil"/>
              <w:left w:val="nil"/>
              <w:bottom w:val="single" w:color="auto" w:sz="4" w:space="0"/>
              <w:right w:val="single" w:color="auto" w:sz="4" w:space="0"/>
            </w:tcBorders>
            <w:shd w:val="clear" w:color="auto" w:fill="auto"/>
            <w:vAlign w:val="center"/>
          </w:tcPr>
          <w:p w14:paraId="140581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tcBorders>
              <w:top w:val="nil"/>
              <w:left w:val="nil"/>
              <w:bottom w:val="single" w:color="auto" w:sz="4" w:space="0"/>
              <w:right w:val="nil"/>
            </w:tcBorders>
            <w:shd w:val="clear" w:color="auto" w:fill="auto"/>
            <w:vAlign w:val="center"/>
          </w:tcPr>
          <w:p w14:paraId="34A8E0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A21AAE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2E0E747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w:t>
            </w:r>
          </w:p>
        </w:tc>
        <w:tc>
          <w:tcPr>
            <w:tcW w:w="1369" w:type="dxa"/>
            <w:tcBorders>
              <w:top w:val="nil"/>
              <w:left w:val="nil"/>
              <w:bottom w:val="single" w:color="auto" w:sz="4" w:space="0"/>
              <w:right w:val="single" w:color="auto" w:sz="4" w:space="0"/>
            </w:tcBorders>
            <w:shd w:val="clear" w:color="auto" w:fill="auto"/>
            <w:vAlign w:val="center"/>
          </w:tcPr>
          <w:p w14:paraId="0546C7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single" w:color="auto" w:sz="4" w:space="0"/>
              <w:right w:val="single" w:color="auto" w:sz="4" w:space="0"/>
            </w:tcBorders>
            <w:shd w:val="clear" w:color="auto" w:fill="auto"/>
            <w:vAlign w:val="center"/>
          </w:tcPr>
          <w:p w14:paraId="20CA06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single" w:color="auto" w:sz="4" w:space="0"/>
              <w:right w:val="single" w:color="auto" w:sz="4" w:space="0"/>
            </w:tcBorders>
            <w:shd w:val="clear" w:color="auto" w:fill="auto"/>
            <w:vAlign w:val="center"/>
          </w:tcPr>
          <w:p w14:paraId="01FD56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single" w:color="auto" w:sz="4" w:space="0"/>
              <w:right w:val="single" w:color="auto" w:sz="4" w:space="0"/>
            </w:tcBorders>
            <w:shd w:val="clear" w:color="auto" w:fill="auto"/>
            <w:vAlign w:val="center"/>
          </w:tcPr>
          <w:p w14:paraId="13CB1B07">
            <w:pPr>
              <w:widowControl/>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100≤X＜300</w:t>
            </w:r>
          </w:p>
        </w:tc>
        <w:tc>
          <w:tcPr>
            <w:tcW w:w="1426" w:type="dxa"/>
            <w:tcBorders>
              <w:top w:val="nil"/>
              <w:left w:val="nil"/>
              <w:bottom w:val="single" w:color="auto" w:sz="4" w:space="0"/>
              <w:right w:val="single" w:color="auto" w:sz="4" w:space="0"/>
            </w:tcBorders>
            <w:shd w:val="clear" w:color="auto" w:fill="auto"/>
            <w:vAlign w:val="center"/>
          </w:tcPr>
          <w:p w14:paraId="226AB5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single" w:color="auto" w:sz="4" w:space="0"/>
              <w:right w:val="nil"/>
            </w:tcBorders>
            <w:shd w:val="clear" w:color="auto" w:fill="auto"/>
            <w:vAlign w:val="center"/>
          </w:tcPr>
          <w:p w14:paraId="613770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67D217A">
      <w:pP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说明：</w:t>
      </w:r>
    </w:p>
    <w:p w14:paraId="4E2ADE29">
      <w:pP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1.大型、中型和小型企业须同时满足所列指标的下限，否则下划一档；微型企业只须满足所列指标中的一项即可。</w:t>
      </w:r>
    </w:p>
    <w:p w14:paraId="215DDC97">
      <w:pP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942A1A4">
      <w:pP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DEEAB86">
      <w:pPr>
        <w:spacing w:line="360" w:lineRule="auto"/>
        <w:ind w:right="-21" w:rightChars="-10" w:firstLine="480" w:firstLineChars="200"/>
        <w:rPr>
          <w:rFonts w:ascii="宋体" w:hAnsi="宋体" w:cs="宋体"/>
          <w:color w:val="auto"/>
          <w:sz w:val="24"/>
          <w:highlight w:val="none"/>
        </w:rPr>
      </w:pPr>
    </w:p>
    <w:p w14:paraId="1F00A740">
      <w:pPr>
        <w:spacing w:line="588" w:lineRule="exact"/>
        <w:ind w:firstLine="464" w:firstLineChars="200"/>
        <w:jc w:val="right"/>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国家统计局</w:t>
      </w:r>
    </w:p>
    <w:p w14:paraId="3745E02F">
      <w:pPr>
        <w:spacing w:line="588" w:lineRule="exact"/>
        <w:ind w:firstLine="464" w:firstLineChars="200"/>
        <w:jc w:val="right"/>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2017年12月28日</w:t>
      </w:r>
    </w:p>
    <w:p w14:paraId="0E81082F">
      <w:pPr>
        <w:spacing w:line="588" w:lineRule="exact"/>
        <w:ind w:firstLine="464" w:firstLineChars="200"/>
        <w:rPr>
          <w:rFonts w:hint="eastAsia" w:ascii="宋体" w:hAnsi="宋体" w:eastAsia="宋体" w:cs="宋体"/>
          <w:color w:val="auto"/>
          <w:spacing w:val="6"/>
          <w:sz w:val="22"/>
          <w:szCs w:val="22"/>
          <w:highlight w:val="none"/>
        </w:rPr>
      </w:pPr>
    </w:p>
    <w:p w14:paraId="2B0B33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5A9994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03CEA3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10B244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0F6EC0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52B5C66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42B415E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4A0401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48ACB5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725B16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4AC1DA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4FCF78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pPr>
    </w:p>
    <w:p w14:paraId="65F113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t>附件4</w:t>
      </w:r>
    </w:p>
    <w:p w14:paraId="2EF3DD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t>中国境内生产的组件成本核算基本规则</w:t>
      </w:r>
    </w:p>
    <w:p w14:paraId="3AE629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3523A2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一、产品的一级组件是指直接组成产品的组件。产品的二级组件是指直接组成产品一级组件的组件。一级组件不可分解的，视同二级组件。</w:t>
      </w:r>
    </w:p>
    <w:p w14:paraId="56D835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二、二级组件在中国境内生产的，其全部成本计入中国境内生产的组件成本；二级组件不在中国境内生产的，其成本不计入中国境内生产的组件成本。</w:t>
      </w:r>
    </w:p>
    <w:p w14:paraId="3BC708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三、产品总成本和组件成本以相关会计核算数据、采购合同、进货记录等为基础进行计算。</w:t>
      </w:r>
    </w:p>
    <w:p w14:paraId="268BD7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四、需要对成本核算规则予以进一步明确的其他有关事项，由财政部会同有关部门另行规定。</w:t>
      </w:r>
    </w:p>
    <w:p w14:paraId="75DEA3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w:t>
      </w: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t>附件5</w:t>
      </w:r>
    </w:p>
    <w:p w14:paraId="64AFCD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kern w:val="0"/>
          <w:sz w:val="21"/>
          <w:szCs w:val="21"/>
          <w:highlight w:val="none"/>
          <w:shd w:val="clear" w:color="auto" w:fill="FFFFFF"/>
          <w:lang w:val="en-US" w:eastAsia="zh-CN"/>
        </w:rPr>
        <w:t>关于符合本国产品标准的声明函</w:t>
      </w:r>
    </w:p>
    <w:p w14:paraId="5CC342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本公司（单位）郑重声明，根据《国务院办公厅关于在政府采购中实施本国产品标准及相关政策的通知》（国办发〔2025〕34号）的规定，本公司（单位）提供的以下产品属于本国产品。具体情况如下：</w:t>
      </w:r>
    </w:p>
    <w:p w14:paraId="18B65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1.（产品名称1）</w:t>
      </w:r>
      <w:r>
        <w:rPr>
          <w:rFonts w:hint="eastAsia" w:ascii="微软雅黑" w:hAnsi="微软雅黑" w:eastAsia="微软雅黑" w:cs="微软雅黑"/>
          <w:i w:val="0"/>
          <w:iCs w:val="0"/>
          <w:caps w:val="0"/>
          <w:color w:val="auto"/>
          <w:spacing w:val="0"/>
          <w:kern w:val="0"/>
          <w:sz w:val="21"/>
          <w:szCs w:val="21"/>
          <w:highlight w:val="none"/>
          <w:shd w:val="clear" w:color="auto" w:fill="FFFFFF"/>
          <w:vertAlign w:val="superscript"/>
          <w:lang w:val="en-US" w:eastAsia="zh-CN"/>
        </w:rPr>
        <w:t>1</w:t>
      </w: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，生产厂为（厂名）</w:t>
      </w:r>
      <w:r>
        <w:rPr>
          <w:rFonts w:hint="eastAsia" w:ascii="微软雅黑" w:hAnsi="微软雅黑" w:eastAsia="微软雅黑" w:cs="微软雅黑"/>
          <w:i w:val="0"/>
          <w:iCs w:val="0"/>
          <w:caps w:val="0"/>
          <w:color w:val="auto"/>
          <w:spacing w:val="0"/>
          <w:kern w:val="0"/>
          <w:sz w:val="21"/>
          <w:szCs w:val="21"/>
          <w:highlight w:val="none"/>
          <w:shd w:val="clear" w:color="auto" w:fill="FFFFFF"/>
          <w:vertAlign w:val="superscript"/>
          <w:lang w:val="en-US" w:eastAsia="zh-CN"/>
        </w:rPr>
        <w:t>2</w:t>
      </w: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，厂址为（生产厂址）。（产品名称1）的中国境内生产的组件成本占比≥（规定比例）</w:t>
      </w:r>
      <w:r>
        <w:rPr>
          <w:rFonts w:hint="eastAsia" w:ascii="微软雅黑" w:hAnsi="微软雅黑" w:eastAsia="微软雅黑" w:cs="微软雅黑"/>
          <w:i w:val="0"/>
          <w:iCs w:val="0"/>
          <w:caps w:val="0"/>
          <w:color w:val="auto"/>
          <w:spacing w:val="0"/>
          <w:kern w:val="0"/>
          <w:sz w:val="21"/>
          <w:szCs w:val="21"/>
          <w:highlight w:val="none"/>
          <w:shd w:val="clear" w:color="auto" w:fill="FFFFFF"/>
          <w:vertAlign w:val="superscript"/>
          <w:lang w:val="en-US" w:eastAsia="zh-CN"/>
        </w:rPr>
        <w:t>3</w:t>
      </w: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。（产品名称1）的（关键组件）4在中国境内生产。（产品名称1）的（关键工序）5在中国境内完成。</w:t>
      </w:r>
    </w:p>
    <w:p w14:paraId="5F8DFB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2.（产品名称2），生产厂为（厂名），厂址为（生产厂址）。（产品名称2）的中国境内生产的组件成本占比≥（规定比例）。（产品名称2）的（关键组件）在中国境内生产。（产品名称2）的（关键工序）在中国境内完成。</w:t>
      </w:r>
    </w:p>
    <w:p w14:paraId="34C23BF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w:t>
      </w:r>
    </w:p>
    <w:p w14:paraId="36F8D5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本公司（单位）对上述声明内容的真实性负责。如有虚假，愿承担相应法律责任。</w:t>
      </w:r>
    </w:p>
    <w:p w14:paraId="336AEF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righ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公司（单位）名称（盖章）：　        </w:t>
      </w:r>
    </w:p>
    <w:p w14:paraId="4B29EA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righ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日期：　     年　  月　  日         </w:t>
      </w:r>
    </w:p>
    <w:p w14:paraId="6E9089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__________________</w:t>
      </w:r>
    </w:p>
    <w:p w14:paraId="3CB84F5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1.产品如有型号，请在“产品名称”栏一并填写。</w:t>
      </w:r>
    </w:p>
    <w:p w14:paraId="5E5C02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2.生产厂名与厂址应与生产厂营业执照载明的相关信息保持一致。</w:t>
      </w:r>
    </w:p>
    <w:p w14:paraId="1667D8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3.该产品的中国境内生产的组件成本占比相关要求实施前，“规定比例”栏可不填，下同。</w:t>
      </w:r>
    </w:p>
    <w:p w14:paraId="309C420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4.该产品的关键组件要求实施前，“关键组件”栏可不填，下同。</w:t>
      </w:r>
    </w:p>
    <w:p w14:paraId="07AEA7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6" w:afterAutospacing="0" w:line="432" w:lineRule="atLeast"/>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color="auto" w:fill="FFFFFF"/>
          <w:lang w:val="en-US" w:eastAsia="zh-CN"/>
        </w:rPr>
        <w:t>　　5.该产品的关键工序要求实施前，“关键工序”栏可不填，下同。</w:t>
      </w:r>
    </w:p>
    <w:p w14:paraId="387C79B8">
      <w:pPr>
        <w:pStyle w:val="53"/>
        <w:rPr>
          <w:rFonts w:ascii="宋体" w:hAnsi="宋体" w:cs="宋体"/>
          <w:color w:val="auto"/>
          <w:kern w:val="2"/>
          <w:sz w:val="36"/>
          <w:szCs w:val="36"/>
          <w:highlight w:val="none"/>
        </w:rPr>
      </w:pPr>
      <w:r>
        <w:rPr>
          <w:rFonts w:hint="eastAsia" w:ascii="宋体" w:hAnsi="宋体" w:cs="宋体"/>
          <w:color w:val="auto"/>
          <w:sz w:val="22"/>
          <w:szCs w:val="22"/>
          <w:highlight w:val="none"/>
        </w:rPr>
        <w:br w:type="page"/>
      </w:r>
      <w:bookmarkStart w:id="75" w:name="_Toc9491"/>
      <w:bookmarkStart w:id="76" w:name="_Toc682"/>
      <w:r>
        <w:rPr>
          <w:rFonts w:hint="eastAsia" w:ascii="宋体" w:hAnsi="宋体" w:cs="宋体"/>
          <w:color w:val="auto"/>
          <w:kern w:val="2"/>
          <w:sz w:val="36"/>
          <w:szCs w:val="36"/>
          <w:highlight w:val="none"/>
        </w:rPr>
        <w:t>第三部分   合同条款及格式</w:t>
      </w:r>
      <w:bookmarkEnd w:id="75"/>
      <w:bookmarkEnd w:id="76"/>
    </w:p>
    <w:p w14:paraId="317FE369">
      <w:pPr>
        <w:rPr>
          <w:rFonts w:ascii="宋体" w:hAnsi="宋体" w:cs="宋体"/>
          <w:color w:val="auto"/>
          <w:highlight w:val="none"/>
        </w:rPr>
      </w:pPr>
    </w:p>
    <w:p w14:paraId="35CFEEB0">
      <w:pPr>
        <w:spacing w:line="240" w:lineRule="auto"/>
        <w:ind w:firstLine="0" w:firstLineChars="0"/>
        <w:rPr>
          <w:rFonts w:ascii="宋体" w:hAnsi="宋体" w:cs="宋体"/>
          <w:color w:val="auto"/>
          <w:kern w:val="0"/>
          <w:sz w:val="22"/>
          <w:szCs w:val="22"/>
          <w:highlight w:val="none"/>
          <w:lang w:val="zh-CN"/>
        </w:rPr>
      </w:pPr>
      <w:bookmarkStart w:id="77" w:name="_Toc239145358"/>
      <w:bookmarkStart w:id="78" w:name="_Toc179632628"/>
      <w:bookmarkStart w:id="79" w:name="_Toc246996253"/>
      <w:bookmarkStart w:id="80" w:name="_Toc152042388"/>
      <w:bookmarkStart w:id="81" w:name="_Toc152045610"/>
      <w:bookmarkStart w:id="82" w:name="_Toc246996996"/>
      <w:bookmarkStart w:id="83" w:name="_Toc265529387"/>
      <w:bookmarkStart w:id="84" w:name="_Toc223716002"/>
      <w:bookmarkStart w:id="85" w:name="_Toc222114883"/>
      <w:bookmarkStart w:id="86" w:name="_Toc144974578"/>
      <w:bookmarkStart w:id="87" w:name="_Toc221356891"/>
      <w:bookmarkStart w:id="88" w:name="_Toc221356955"/>
      <w:bookmarkStart w:id="89" w:name="_Toc247085768"/>
      <w:bookmarkStart w:id="90" w:name="_Toc296602498"/>
      <w:bookmarkStart w:id="91" w:name="_Toc241404206"/>
      <w:bookmarkStart w:id="92" w:name="_Toc221374630"/>
      <w:bookmarkStart w:id="93" w:name="_Toc221423623"/>
      <w:r>
        <w:rPr>
          <w:rFonts w:hint="eastAsia" w:ascii="新宋体" w:hAnsi="新宋体" w:eastAsia="新宋体" w:cs="新宋体"/>
          <w:color w:val="auto"/>
          <w:sz w:val="22"/>
          <w:szCs w:val="22"/>
          <w:highlight w:val="none"/>
        </w:rPr>
        <w:t>说明：如甲、乙双方同意，合同格式也可以按照其他形式。但合同主要条款的相关内容应与本章节要求的内容相符。</w:t>
      </w:r>
      <w:r>
        <w:rPr>
          <w:rFonts w:hint="eastAsia" w:ascii="宋体" w:hAnsi="宋体" w:cs="宋体"/>
          <w:color w:val="auto"/>
          <w:kern w:val="0"/>
          <w:sz w:val="22"/>
          <w:szCs w:val="22"/>
          <w:highlight w:val="none"/>
          <w:lang w:val="zh-CN"/>
        </w:rPr>
        <w:t>本合同作为示范文本，</w:t>
      </w:r>
      <w:r>
        <w:t>正式合同实质性条款不得与招标文件有冲突，如标的、价款、履行方式等</w:t>
      </w:r>
      <w:r>
        <w:rPr>
          <w:rFonts w:hint="eastAsia"/>
          <w:lang w:eastAsia="zh-CN"/>
        </w:rPr>
        <w:t>，</w:t>
      </w:r>
      <w:r>
        <w:rPr>
          <w:rFonts w:hint="eastAsia" w:ascii="宋体" w:hAnsi="宋体" w:cs="宋体"/>
          <w:color w:val="auto"/>
          <w:kern w:val="0"/>
          <w:sz w:val="22"/>
          <w:szCs w:val="22"/>
          <w:highlight w:val="none"/>
          <w:lang w:val="zh-CN"/>
        </w:rPr>
        <w:t>具体以成交人与采购人所签定正式合同为准。</w:t>
      </w:r>
    </w:p>
    <w:p w14:paraId="0A411C7E">
      <w:pPr>
        <w:pStyle w:val="77"/>
        <w:ind w:firstLine="210"/>
        <w:rPr>
          <w:color w:val="auto"/>
          <w:highlight w:val="none"/>
        </w:rPr>
      </w:pPr>
    </w:p>
    <w:p w14:paraId="1DFE1706">
      <w:pPr>
        <w:spacing w:before="120" w:beforeLines="50" w:after="120" w:afterLines="50" w:line="500" w:lineRule="exact"/>
        <w:jc w:val="center"/>
        <w:rPr>
          <w:b/>
          <w:color w:val="auto"/>
          <w:sz w:val="36"/>
          <w:szCs w:val="36"/>
          <w:highlight w:val="none"/>
        </w:rPr>
      </w:pPr>
    </w:p>
    <w:p w14:paraId="4C4DFB94">
      <w:pPr>
        <w:spacing w:before="120" w:beforeLines="50" w:after="120" w:afterLines="50" w:line="500" w:lineRule="exact"/>
        <w:jc w:val="center"/>
        <w:rPr>
          <w:b/>
          <w:color w:val="auto"/>
          <w:sz w:val="36"/>
          <w:szCs w:val="36"/>
          <w:highlight w:val="none"/>
        </w:rPr>
      </w:pPr>
    </w:p>
    <w:p w14:paraId="61B57E3B">
      <w:pPr>
        <w:pStyle w:val="76"/>
        <w:rPr>
          <w:color w:val="auto"/>
          <w:highlight w:val="none"/>
        </w:rPr>
      </w:pPr>
    </w:p>
    <w:p w14:paraId="34830F50">
      <w:pPr>
        <w:spacing w:before="120" w:beforeLines="50" w:after="120" w:afterLines="50" w:line="500" w:lineRule="exact"/>
        <w:jc w:val="center"/>
        <w:rPr>
          <w:b/>
          <w:color w:val="auto"/>
          <w:sz w:val="36"/>
          <w:szCs w:val="36"/>
          <w:highlight w:val="none"/>
        </w:rPr>
      </w:pPr>
      <w:r>
        <w:rPr>
          <w:rFonts w:hint="eastAsia"/>
          <w:b/>
          <w:color w:val="auto"/>
          <w:sz w:val="36"/>
          <w:szCs w:val="36"/>
          <w:highlight w:val="none"/>
          <w:lang w:eastAsia="zh-CN"/>
        </w:rPr>
        <w:t>交通基础设施硬件及业务系统运维</w:t>
      </w:r>
      <w:r>
        <w:rPr>
          <w:rFonts w:hint="eastAsia"/>
          <w:b/>
          <w:color w:val="auto"/>
          <w:sz w:val="36"/>
          <w:szCs w:val="36"/>
          <w:highlight w:val="none"/>
        </w:rPr>
        <w:t>项目合同</w:t>
      </w:r>
    </w:p>
    <w:p w14:paraId="3FB53AAF">
      <w:pPr>
        <w:autoSpaceDE w:val="0"/>
        <w:autoSpaceDN w:val="0"/>
        <w:spacing w:line="440" w:lineRule="exact"/>
        <w:jc w:val="center"/>
        <w:textAlignment w:val="bottom"/>
        <w:rPr>
          <w:rFonts w:ascii="宋体" w:hAnsi="宋体" w:cs="Arial"/>
          <w:color w:val="auto"/>
          <w:sz w:val="22"/>
          <w:szCs w:val="22"/>
          <w:highlight w:val="none"/>
        </w:rPr>
      </w:pPr>
    </w:p>
    <w:p w14:paraId="08BF9337">
      <w:pPr>
        <w:autoSpaceDE w:val="0"/>
        <w:autoSpaceDN w:val="0"/>
        <w:spacing w:line="440" w:lineRule="exact"/>
        <w:jc w:val="center"/>
        <w:textAlignment w:val="bottom"/>
        <w:rPr>
          <w:rFonts w:ascii="宋体" w:hAnsi="宋体" w:cs="Arial"/>
          <w:color w:val="auto"/>
          <w:sz w:val="22"/>
          <w:szCs w:val="22"/>
          <w:highlight w:val="none"/>
        </w:rPr>
      </w:pPr>
    </w:p>
    <w:p w14:paraId="415ADE1E">
      <w:pPr>
        <w:autoSpaceDE w:val="0"/>
        <w:autoSpaceDN w:val="0"/>
        <w:spacing w:line="440" w:lineRule="exact"/>
        <w:textAlignment w:val="bottom"/>
        <w:rPr>
          <w:rFonts w:ascii="宋体" w:hAnsi="宋体" w:cs="Arial"/>
          <w:color w:val="auto"/>
          <w:sz w:val="22"/>
          <w:szCs w:val="22"/>
          <w:highlight w:val="none"/>
          <w:u w:val="single"/>
        </w:rPr>
      </w:pP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项目名称：</w:t>
      </w:r>
    </w:p>
    <w:p w14:paraId="5F9B66D4">
      <w:pPr>
        <w:autoSpaceDE w:val="0"/>
        <w:autoSpaceDN w:val="0"/>
        <w:spacing w:line="440" w:lineRule="exact"/>
        <w:textAlignment w:val="bottom"/>
        <w:rPr>
          <w:rFonts w:ascii="宋体" w:hAnsi="宋体" w:cs="Arial"/>
          <w:color w:val="auto"/>
          <w:sz w:val="22"/>
          <w:szCs w:val="22"/>
          <w:highlight w:val="none"/>
          <w:u w:val="single"/>
        </w:rPr>
      </w:pPr>
    </w:p>
    <w:p w14:paraId="4905B715">
      <w:pPr>
        <w:autoSpaceDE w:val="0"/>
        <w:autoSpaceDN w:val="0"/>
        <w:spacing w:line="440" w:lineRule="exact"/>
        <w:ind w:firstLine="1650" w:firstLineChars="750"/>
        <w:textAlignment w:val="bottom"/>
        <w:rPr>
          <w:rFonts w:ascii="宋体" w:hAnsi="宋体" w:cs="Arial"/>
          <w:color w:val="auto"/>
          <w:sz w:val="22"/>
          <w:szCs w:val="22"/>
          <w:highlight w:val="none"/>
          <w:u w:val="single"/>
        </w:rPr>
      </w:pPr>
      <w:r>
        <w:rPr>
          <w:rFonts w:ascii="宋体" w:hAnsi="宋体" w:cs="Arial"/>
          <w:color w:val="auto"/>
          <w:sz w:val="22"/>
          <w:szCs w:val="22"/>
          <w:highlight w:val="none"/>
        </w:rPr>
        <w:t>项目编号</w:t>
      </w:r>
      <w:r>
        <w:rPr>
          <w:rFonts w:hint="eastAsia" w:ascii="宋体" w:hAnsi="宋体" w:cs="Arial"/>
          <w:color w:val="auto"/>
          <w:sz w:val="22"/>
          <w:szCs w:val="22"/>
          <w:highlight w:val="none"/>
        </w:rPr>
        <w:t>：</w:t>
      </w:r>
    </w:p>
    <w:p w14:paraId="73103CD8">
      <w:pPr>
        <w:autoSpaceDE w:val="0"/>
        <w:autoSpaceDN w:val="0"/>
        <w:spacing w:line="440" w:lineRule="exact"/>
        <w:textAlignment w:val="bottom"/>
        <w:rPr>
          <w:rFonts w:ascii="宋体" w:hAnsi="宋体" w:cs="Arial"/>
          <w:color w:val="auto"/>
          <w:sz w:val="22"/>
          <w:szCs w:val="22"/>
          <w:highlight w:val="none"/>
          <w:u w:val="single"/>
        </w:rPr>
      </w:pPr>
    </w:p>
    <w:p w14:paraId="055A8351">
      <w:pPr>
        <w:autoSpaceDE w:val="0"/>
        <w:autoSpaceDN w:val="0"/>
        <w:spacing w:line="440" w:lineRule="exact"/>
        <w:textAlignment w:val="bottom"/>
        <w:rPr>
          <w:rFonts w:ascii="宋体" w:hAnsi="宋体" w:cs="Arial"/>
          <w:color w:val="auto"/>
          <w:sz w:val="22"/>
          <w:szCs w:val="22"/>
          <w:highlight w:val="none"/>
        </w:rPr>
      </w:pP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合同编号：</w:t>
      </w:r>
    </w:p>
    <w:p w14:paraId="10D82E93">
      <w:pPr>
        <w:autoSpaceDE w:val="0"/>
        <w:autoSpaceDN w:val="0"/>
        <w:spacing w:line="440" w:lineRule="exact"/>
        <w:textAlignment w:val="bottom"/>
        <w:rPr>
          <w:rFonts w:ascii="宋体" w:hAnsi="宋体" w:cs="Arial"/>
          <w:color w:val="auto"/>
          <w:sz w:val="22"/>
          <w:szCs w:val="22"/>
          <w:highlight w:val="none"/>
        </w:rPr>
      </w:pPr>
    </w:p>
    <w:p w14:paraId="5BE949F5">
      <w:pPr>
        <w:autoSpaceDE w:val="0"/>
        <w:autoSpaceDN w:val="0"/>
        <w:spacing w:line="440" w:lineRule="exact"/>
        <w:textAlignment w:val="bottom"/>
        <w:rPr>
          <w:rFonts w:ascii="宋体" w:hAnsi="宋体" w:cs="Arial"/>
          <w:color w:val="auto"/>
          <w:sz w:val="22"/>
          <w:szCs w:val="22"/>
          <w:highlight w:val="none"/>
        </w:rPr>
      </w:pPr>
    </w:p>
    <w:p w14:paraId="3EEDE7FE">
      <w:pPr>
        <w:autoSpaceDE w:val="0"/>
        <w:autoSpaceDN w:val="0"/>
        <w:spacing w:line="440" w:lineRule="exact"/>
        <w:textAlignment w:val="bottom"/>
        <w:rPr>
          <w:rFonts w:ascii="宋体" w:hAnsi="宋体" w:cs="Arial"/>
          <w:color w:val="auto"/>
          <w:sz w:val="22"/>
          <w:szCs w:val="22"/>
          <w:highlight w:val="none"/>
        </w:rPr>
      </w:pPr>
    </w:p>
    <w:p w14:paraId="2E7E6F61">
      <w:pPr>
        <w:autoSpaceDE w:val="0"/>
        <w:autoSpaceDN w:val="0"/>
        <w:spacing w:line="440" w:lineRule="exact"/>
        <w:textAlignment w:val="bottom"/>
        <w:rPr>
          <w:rFonts w:ascii="宋体" w:hAnsi="宋体" w:cs="Arial"/>
          <w:color w:val="auto"/>
          <w:sz w:val="22"/>
          <w:szCs w:val="22"/>
          <w:highlight w:val="none"/>
        </w:rPr>
      </w:pPr>
    </w:p>
    <w:p w14:paraId="5A892F11">
      <w:pPr>
        <w:autoSpaceDE w:val="0"/>
        <w:autoSpaceDN w:val="0"/>
        <w:spacing w:line="440" w:lineRule="exact"/>
        <w:textAlignment w:val="bottom"/>
        <w:rPr>
          <w:rFonts w:ascii="宋体" w:hAnsi="宋体" w:cs="Arial"/>
          <w:color w:val="auto"/>
          <w:sz w:val="22"/>
          <w:szCs w:val="22"/>
          <w:highlight w:val="none"/>
          <w:u w:val="single"/>
        </w:rPr>
      </w:pP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甲    方：</w:t>
      </w:r>
    </w:p>
    <w:p w14:paraId="41620B6B">
      <w:pPr>
        <w:autoSpaceDE w:val="0"/>
        <w:autoSpaceDN w:val="0"/>
        <w:spacing w:line="440" w:lineRule="exact"/>
        <w:textAlignment w:val="bottom"/>
        <w:rPr>
          <w:rFonts w:ascii="宋体" w:hAnsi="宋体" w:cs="Arial"/>
          <w:color w:val="auto"/>
          <w:sz w:val="22"/>
          <w:szCs w:val="22"/>
          <w:highlight w:val="none"/>
        </w:rPr>
      </w:pP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乙    方：</w:t>
      </w:r>
    </w:p>
    <w:p w14:paraId="2B110822">
      <w:pPr>
        <w:spacing w:line="440" w:lineRule="exact"/>
        <w:rPr>
          <w:rFonts w:ascii="宋体" w:hAnsi="宋体" w:cs="Arial"/>
          <w:color w:val="auto"/>
          <w:sz w:val="22"/>
          <w:szCs w:val="22"/>
          <w:highlight w:val="none"/>
          <w:u w:val="single"/>
        </w:rPr>
      </w:pP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ab/>
      </w:r>
      <w:r>
        <w:rPr>
          <w:rFonts w:hint="eastAsia" w:ascii="宋体" w:hAnsi="宋体" w:cs="Arial"/>
          <w:color w:val="auto"/>
          <w:sz w:val="22"/>
          <w:szCs w:val="22"/>
          <w:highlight w:val="none"/>
        </w:rPr>
        <w:t>签署日期：</w:t>
      </w:r>
    </w:p>
    <w:p w14:paraId="678DE6B6">
      <w:pPr>
        <w:tabs>
          <w:tab w:val="left" w:pos="720"/>
        </w:tabs>
        <w:spacing w:line="360" w:lineRule="auto"/>
        <w:jc w:val="center"/>
        <w:rPr>
          <w:rFonts w:ascii="宋体" w:hAnsi="宋体" w:cs="宋体"/>
          <w:b/>
          <w:color w:val="auto"/>
          <w:sz w:val="72"/>
          <w:szCs w:val="72"/>
          <w:highlight w:val="none"/>
        </w:rPr>
      </w:pPr>
    </w:p>
    <w:p w14:paraId="15B406D7">
      <w:pPr>
        <w:tabs>
          <w:tab w:val="left" w:pos="720"/>
        </w:tabs>
        <w:spacing w:line="360" w:lineRule="auto"/>
        <w:jc w:val="center"/>
        <w:rPr>
          <w:rFonts w:ascii="宋体" w:hAnsi="宋体" w:cs="宋体"/>
          <w:b/>
          <w:color w:val="auto"/>
          <w:sz w:val="72"/>
          <w:szCs w:val="72"/>
          <w:highlight w:val="none"/>
        </w:rPr>
      </w:pPr>
    </w:p>
    <w:p w14:paraId="559FF5C9">
      <w:pPr>
        <w:keepNext w:val="0"/>
        <w:keepLines w:val="0"/>
        <w:pageBreakBefore w:val="0"/>
        <w:widowControl/>
        <w:kinsoku/>
        <w:wordWrap/>
        <w:overflowPunct/>
        <w:topLinePunct w:val="0"/>
        <w:bidi w:val="0"/>
        <w:spacing w:line="360" w:lineRule="auto"/>
        <w:ind w:right="-874" w:rightChars="-416"/>
        <w:jc w:val="left"/>
        <w:textAlignment w:val="auto"/>
        <w:rPr>
          <w:rFonts w:hint="eastAsia" w:ascii="新宋体" w:hAnsi="新宋体" w:eastAsia="新宋体"/>
          <w:b/>
          <w:bCs/>
          <w:color w:val="auto"/>
          <w:kern w:val="0"/>
          <w:sz w:val="22"/>
          <w:szCs w:val="22"/>
          <w:highlight w:val="none"/>
        </w:rPr>
      </w:pPr>
    </w:p>
    <w:p w14:paraId="08273751">
      <w:pPr>
        <w:keepNext w:val="0"/>
        <w:keepLines w:val="0"/>
        <w:pageBreakBefore w:val="0"/>
        <w:widowControl/>
        <w:kinsoku/>
        <w:wordWrap/>
        <w:overflowPunct/>
        <w:topLinePunct w:val="0"/>
        <w:bidi w:val="0"/>
        <w:spacing w:line="360" w:lineRule="auto"/>
        <w:ind w:right="-874" w:rightChars="-416"/>
        <w:jc w:val="left"/>
        <w:textAlignment w:val="auto"/>
        <w:rPr>
          <w:rFonts w:hint="eastAsia" w:ascii="新宋体" w:hAnsi="新宋体" w:eastAsia="新宋体"/>
          <w:b/>
          <w:bCs/>
          <w:color w:val="auto"/>
          <w:kern w:val="0"/>
          <w:sz w:val="22"/>
          <w:szCs w:val="22"/>
          <w:highlight w:val="none"/>
        </w:rPr>
      </w:pPr>
    </w:p>
    <w:p w14:paraId="1CF4E77C">
      <w:pPr>
        <w:keepNext w:val="0"/>
        <w:keepLines w:val="0"/>
        <w:pageBreakBefore w:val="0"/>
        <w:widowControl/>
        <w:kinsoku/>
        <w:wordWrap/>
        <w:overflowPunct/>
        <w:topLinePunct w:val="0"/>
        <w:bidi w:val="0"/>
        <w:spacing w:line="360" w:lineRule="auto"/>
        <w:ind w:right="-874" w:rightChars="-416"/>
        <w:jc w:val="left"/>
        <w:textAlignment w:val="auto"/>
        <w:rPr>
          <w:rFonts w:hint="eastAsia" w:ascii="新宋体" w:hAnsi="新宋体" w:eastAsia="新宋体"/>
          <w:b/>
          <w:bCs/>
          <w:color w:val="auto"/>
          <w:kern w:val="0"/>
          <w:sz w:val="22"/>
          <w:szCs w:val="22"/>
          <w:highlight w:val="none"/>
        </w:rPr>
      </w:pPr>
    </w:p>
    <w:p w14:paraId="276DDD7B">
      <w:pPr>
        <w:keepNext w:val="0"/>
        <w:keepLines w:val="0"/>
        <w:pageBreakBefore w:val="0"/>
        <w:widowControl/>
        <w:kinsoku/>
        <w:wordWrap/>
        <w:overflowPunct/>
        <w:topLinePunct w:val="0"/>
        <w:bidi w:val="0"/>
        <w:spacing w:line="360" w:lineRule="auto"/>
        <w:ind w:right="-874" w:rightChars="-416"/>
        <w:jc w:val="left"/>
        <w:textAlignment w:val="auto"/>
        <w:rPr>
          <w:rFonts w:hint="default" w:ascii="新宋体" w:hAnsi="新宋体" w:eastAsia="新宋体"/>
          <w:b/>
          <w:bCs/>
          <w:color w:val="auto"/>
          <w:kern w:val="0"/>
          <w:sz w:val="22"/>
          <w:szCs w:val="22"/>
          <w:highlight w:val="none"/>
          <w:lang w:val="en-US" w:eastAsia="zh-CN"/>
        </w:rPr>
      </w:pPr>
      <w:r>
        <w:rPr>
          <w:rFonts w:hint="eastAsia" w:ascii="新宋体" w:hAnsi="新宋体" w:eastAsia="新宋体"/>
          <w:b/>
          <w:bCs/>
          <w:color w:val="auto"/>
          <w:kern w:val="0"/>
          <w:sz w:val="22"/>
          <w:szCs w:val="22"/>
          <w:highlight w:val="none"/>
        </w:rPr>
        <w:t>甲方(采购单位)：</w:t>
      </w:r>
      <w:r>
        <w:rPr>
          <w:rFonts w:hint="eastAsia" w:ascii="新宋体" w:hAnsi="新宋体" w:eastAsia="新宋体"/>
          <w:b w:val="0"/>
          <w:bCs w:val="0"/>
          <w:color w:val="auto"/>
          <w:kern w:val="0"/>
          <w:sz w:val="22"/>
          <w:szCs w:val="22"/>
          <w:highlight w:val="none"/>
          <w:lang w:val="en-US" w:eastAsia="zh-CN"/>
        </w:rPr>
        <w:t>温州市交通运输局</w:t>
      </w:r>
    </w:p>
    <w:p w14:paraId="585FD0D3">
      <w:pPr>
        <w:keepNext w:val="0"/>
        <w:keepLines w:val="0"/>
        <w:pageBreakBefore w:val="0"/>
        <w:kinsoku/>
        <w:wordWrap/>
        <w:overflowPunct/>
        <w:topLinePunct w:val="0"/>
        <w:bidi w:val="0"/>
        <w:snapToGrid w:val="0"/>
        <w:spacing w:line="360" w:lineRule="auto"/>
        <w:textAlignment w:val="auto"/>
        <w:rPr>
          <w:rFonts w:ascii="新宋体" w:hAnsi="新宋体" w:eastAsia="新宋体"/>
          <w:color w:val="auto"/>
          <w:sz w:val="22"/>
          <w:szCs w:val="22"/>
          <w:highlight w:val="none"/>
        </w:rPr>
      </w:pPr>
      <w:r>
        <w:rPr>
          <w:rFonts w:hint="eastAsia" w:ascii="新宋体" w:hAnsi="新宋体" w:eastAsia="新宋体"/>
          <w:b/>
          <w:bCs/>
          <w:color w:val="auto"/>
          <w:kern w:val="0"/>
          <w:sz w:val="22"/>
          <w:szCs w:val="22"/>
          <w:highlight w:val="none"/>
        </w:rPr>
        <w:t>乙方(中标供应商)：</w:t>
      </w:r>
    </w:p>
    <w:p w14:paraId="528B0121">
      <w:pPr>
        <w:keepNext w:val="0"/>
        <w:keepLines w:val="0"/>
        <w:pageBreakBefore w:val="0"/>
        <w:kinsoku/>
        <w:wordWrap/>
        <w:overflowPunct/>
        <w:topLinePunct w:val="0"/>
        <w:autoSpaceDE w:val="0"/>
        <w:autoSpaceDN w:val="0"/>
        <w:bidi w:val="0"/>
        <w:spacing w:line="360" w:lineRule="auto"/>
        <w:ind w:firstLine="440" w:firstLineChars="200"/>
        <w:textAlignment w:val="auto"/>
        <w:rPr>
          <w:rFonts w:ascii="新宋体" w:hAnsi="新宋体" w:eastAsia="新宋体" w:cs="新宋体"/>
          <w:color w:val="auto"/>
          <w:sz w:val="22"/>
          <w:szCs w:val="22"/>
          <w:highlight w:val="none"/>
        </w:rPr>
      </w:pPr>
    </w:p>
    <w:p w14:paraId="0F7C19DB">
      <w:pPr>
        <w:keepNext w:val="0"/>
        <w:keepLines w:val="0"/>
        <w:pageBreakBefore w:val="0"/>
        <w:kinsoku/>
        <w:wordWrap/>
        <w:overflowPunct/>
        <w:topLinePunct w:val="0"/>
        <w:autoSpaceDE w:val="0"/>
        <w:autoSpaceDN w:val="0"/>
        <w:bidi w:val="0"/>
        <w:spacing w:line="360" w:lineRule="auto"/>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甲、乙双方根据《中华人民共和国民法典》等法律、法规的规定,在平等自愿、互惠互利的前提下，经双方友好协商，现就</w:t>
      </w:r>
      <w:r>
        <w:rPr>
          <w:rFonts w:hint="eastAsia" w:ascii="新宋体" w:hAnsi="新宋体" w:eastAsia="新宋体" w:cs="新宋体"/>
          <w:color w:val="auto"/>
          <w:spacing w:val="6"/>
          <w:sz w:val="22"/>
          <w:szCs w:val="22"/>
          <w:highlight w:val="none"/>
          <w:lang w:eastAsia="zh-CN"/>
        </w:rPr>
        <w:t>交通基础设施硬件及业务系统运维</w:t>
      </w:r>
      <w:r>
        <w:rPr>
          <w:rFonts w:hint="eastAsia" w:ascii="新宋体" w:hAnsi="新宋体" w:eastAsia="新宋体" w:cs="新宋体"/>
          <w:color w:val="auto"/>
          <w:sz w:val="22"/>
          <w:szCs w:val="22"/>
          <w:highlight w:val="none"/>
        </w:rPr>
        <w:t>服务事宜达成一致，签订本合同并共同遵守。</w:t>
      </w:r>
    </w:p>
    <w:p w14:paraId="3991DD69">
      <w:pPr>
        <w:keepNext w:val="0"/>
        <w:keepLines w:val="0"/>
        <w:pageBreakBefore w:val="0"/>
        <w:kinsoku/>
        <w:wordWrap/>
        <w:overflowPunct/>
        <w:topLinePunct w:val="0"/>
        <w:bidi w:val="0"/>
        <w:spacing w:line="360" w:lineRule="auto"/>
        <w:textAlignment w:val="auto"/>
        <w:outlineLvl w:val="1"/>
        <w:rPr>
          <w:rFonts w:ascii="新宋体" w:hAnsi="新宋体" w:eastAsia="新宋体" w:cs="新宋体"/>
          <w:b/>
          <w:color w:val="auto"/>
          <w:sz w:val="22"/>
          <w:szCs w:val="22"/>
          <w:highlight w:val="none"/>
        </w:rPr>
      </w:pPr>
      <w:bookmarkStart w:id="94" w:name="_Toc32213"/>
      <w:r>
        <w:rPr>
          <w:rFonts w:hint="eastAsia" w:ascii="新宋体" w:hAnsi="新宋体" w:eastAsia="新宋体" w:cs="新宋体"/>
          <w:b/>
          <w:color w:val="auto"/>
          <w:sz w:val="22"/>
          <w:szCs w:val="22"/>
          <w:highlight w:val="none"/>
        </w:rPr>
        <w:t>一、合同概况</w:t>
      </w:r>
      <w:bookmarkEnd w:id="94"/>
    </w:p>
    <w:p w14:paraId="59194462">
      <w:pPr>
        <w:keepNext w:val="0"/>
        <w:keepLines w:val="0"/>
        <w:pageBreakBefore w:val="0"/>
        <w:numPr>
          <w:ilvl w:val="0"/>
          <w:numId w:val="0"/>
        </w:numPr>
        <w:kinsoku/>
        <w:wordWrap/>
        <w:overflowPunct/>
        <w:topLinePunct w:val="0"/>
        <w:bidi w:val="0"/>
        <w:spacing w:line="360" w:lineRule="auto"/>
        <w:ind w:leftChars="200"/>
        <w:textAlignment w:val="auto"/>
        <w:rPr>
          <w:rFonts w:ascii="新宋体" w:hAnsi="新宋体" w:eastAsia="新宋体" w:cs="新宋体"/>
          <w:b/>
          <w:bCs/>
          <w:color w:val="auto"/>
          <w:spacing w:val="6"/>
          <w:sz w:val="22"/>
          <w:szCs w:val="22"/>
          <w:highlight w:val="none"/>
        </w:rPr>
      </w:pPr>
      <w:r>
        <w:rPr>
          <w:rFonts w:hint="eastAsia" w:ascii="新宋体" w:hAnsi="新宋体" w:eastAsia="新宋体" w:cs="新宋体"/>
          <w:b/>
          <w:bCs/>
          <w:color w:val="auto"/>
          <w:spacing w:val="6"/>
          <w:sz w:val="22"/>
          <w:szCs w:val="22"/>
          <w:highlight w:val="none"/>
          <w:lang w:val="en-US" w:eastAsia="zh-CN"/>
        </w:rPr>
        <w:t>1、</w:t>
      </w:r>
      <w:r>
        <w:rPr>
          <w:rFonts w:hint="eastAsia" w:ascii="新宋体" w:hAnsi="新宋体" w:eastAsia="新宋体" w:cs="新宋体"/>
          <w:b/>
          <w:bCs/>
          <w:color w:val="auto"/>
          <w:spacing w:val="6"/>
          <w:sz w:val="22"/>
          <w:szCs w:val="22"/>
          <w:highlight w:val="none"/>
        </w:rPr>
        <w:t>局中心机房维保</w:t>
      </w:r>
      <w:r>
        <w:rPr>
          <w:rFonts w:hint="eastAsia" w:ascii="新宋体" w:hAnsi="新宋体" w:eastAsia="新宋体" w:cs="新宋体"/>
          <w:b/>
          <w:bCs/>
          <w:color w:val="auto"/>
          <w:spacing w:val="6"/>
          <w:sz w:val="22"/>
          <w:szCs w:val="22"/>
          <w:highlight w:val="none"/>
          <w:lang w:val="en-US" w:eastAsia="zh-CN"/>
        </w:rPr>
        <w:t>及机柜租赁</w:t>
      </w:r>
    </w:p>
    <w:p w14:paraId="79FAE48F">
      <w:pPr>
        <w:keepNext w:val="0"/>
        <w:keepLines w:val="0"/>
        <w:pageBreakBefore w:val="0"/>
        <w:numPr>
          <w:ilvl w:val="0"/>
          <w:numId w:val="0"/>
        </w:numPr>
        <w:kinsoku/>
        <w:wordWrap/>
        <w:overflowPunct/>
        <w:topLinePunct w:val="0"/>
        <w:bidi w:val="0"/>
        <w:spacing w:line="360" w:lineRule="auto"/>
        <w:ind w:firstLine="464" w:firstLineChars="200"/>
        <w:textAlignment w:val="auto"/>
        <w:rPr>
          <w:rFonts w:hint="default"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rPr>
        <w:t>①基础环境、主机和数据库运维；②安全及应急响应服务；③重保值守服务；④资产与漏洞全生命周期管理服务；⑤全职人员驻场服务</w:t>
      </w:r>
      <w:r>
        <w:rPr>
          <w:rFonts w:hint="eastAsia" w:ascii="新宋体" w:hAnsi="新宋体" w:eastAsia="新宋体" w:cs="新宋体"/>
          <w:color w:val="auto"/>
          <w:spacing w:val="6"/>
          <w:sz w:val="22"/>
          <w:szCs w:val="22"/>
          <w:highlight w:val="none"/>
          <w:lang w:eastAsia="zh-CN"/>
        </w:rPr>
        <w:t>；</w:t>
      </w:r>
      <w:r>
        <w:rPr>
          <w:rFonts w:hint="eastAsia" w:ascii="新宋体" w:hAnsi="新宋体" w:eastAsia="新宋体" w:cs="新宋体"/>
          <w:color w:val="auto"/>
          <w:spacing w:val="6"/>
          <w:sz w:val="22"/>
          <w:szCs w:val="22"/>
          <w:highlight w:val="none"/>
          <w:lang w:val="en-US" w:eastAsia="zh-CN"/>
        </w:rPr>
        <w:t>⑥机柜租赁。</w:t>
      </w:r>
    </w:p>
    <w:p w14:paraId="13DB5DC5">
      <w:pPr>
        <w:pStyle w:val="76"/>
        <w:keepNext w:val="0"/>
        <w:keepLines w:val="0"/>
        <w:pageBreakBefore w:val="0"/>
        <w:numPr>
          <w:ilvl w:val="0"/>
          <w:numId w:val="0"/>
        </w:numPr>
        <w:kinsoku/>
        <w:wordWrap/>
        <w:overflowPunct/>
        <w:topLinePunct w:val="0"/>
        <w:bidi w:val="0"/>
        <w:spacing w:line="360" w:lineRule="auto"/>
        <w:textAlignment w:val="auto"/>
        <w:rPr>
          <w:rFonts w:hint="default" w:eastAsia="宋体"/>
          <w:sz w:val="22"/>
          <w:szCs w:val="22"/>
          <w:lang w:val="en-US" w:eastAsia="zh-CN"/>
        </w:rPr>
      </w:pPr>
    </w:p>
    <w:p w14:paraId="3819380E">
      <w:pPr>
        <w:keepNext w:val="0"/>
        <w:keepLines w:val="0"/>
        <w:pageBreakBefore w:val="0"/>
        <w:numPr>
          <w:ilvl w:val="0"/>
          <w:numId w:val="0"/>
        </w:numPr>
        <w:kinsoku/>
        <w:wordWrap/>
        <w:overflowPunct/>
        <w:topLinePunct w:val="0"/>
        <w:bidi w:val="0"/>
        <w:spacing w:line="360" w:lineRule="auto"/>
        <w:ind w:leftChars="200"/>
        <w:textAlignment w:val="auto"/>
        <w:rPr>
          <w:rFonts w:ascii="新宋体" w:hAnsi="新宋体" w:eastAsia="新宋体" w:cs="新宋体"/>
          <w:b/>
          <w:bCs/>
          <w:color w:val="auto"/>
          <w:spacing w:val="6"/>
          <w:sz w:val="22"/>
          <w:szCs w:val="22"/>
          <w:highlight w:val="none"/>
        </w:rPr>
      </w:pPr>
      <w:r>
        <w:rPr>
          <w:rFonts w:hint="eastAsia" w:ascii="新宋体" w:hAnsi="新宋体" w:eastAsia="新宋体" w:cs="新宋体"/>
          <w:b/>
          <w:bCs/>
          <w:color w:val="auto"/>
          <w:spacing w:val="6"/>
          <w:sz w:val="22"/>
          <w:szCs w:val="22"/>
          <w:highlight w:val="none"/>
          <w:lang w:val="en-US" w:eastAsia="zh-CN"/>
        </w:rPr>
        <w:t>2、物联感知设备及平台</w:t>
      </w:r>
      <w:r>
        <w:rPr>
          <w:rFonts w:hint="eastAsia" w:ascii="新宋体" w:hAnsi="新宋体" w:eastAsia="新宋体" w:cs="新宋体"/>
          <w:b/>
          <w:bCs/>
          <w:color w:val="auto"/>
          <w:spacing w:val="6"/>
          <w:sz w:val="22"/>
          <w:szCs w:val="22"/>
          <w:highlight w:val="none"/>
        </w:rPr>
        <w:t>运维</w:t>
      </w:r>
    </w:p>
    <w:p w14:paraId="6A2F2113">
      <w:pPr>
        <w:keepNext w:val="0"/>
        <w:keepLines w:val="0"/>
        <w:pageBreakBefore w:val="0"/>
        <w:kinsoku/>
        <w:wordWrap/>
        <w:overflowPunct/>
        <w:topLinePunct w:val="0"/>
        <w:bidi w:val="0"/>
        <w:spacing w:line="360" w:lineRule="auto"/>
        <w:ind w:firstLine="420"/>
        <w:textAlignment w:val="auto"/>
        <w:rPr>
          <w:rFonts w:hint="eastAsia"/>
          <w:color w:val="auto"/>
          <w:sz w:val="22"/>
          <w:szCs w:val="22"/>
          <w:highlight w:val="none"/>
        </w:rPr>
      </w:pPr>
      <w:r>
        <w:rPr>
          <w:rStyle w:val="731"/>
          <w:rFonts w:hint="default" w:ascii="新宋体" w:hAnsi="新宋体" w:eastAsia="新宋体" w:cs="新宋体"/>
          <w:color w:val="auto"/>
          <w:sz w:val="22"/>
          <w:szCs w:val="22"/>
          <w:highlight w:val="none"/>
          <w:lang w:val="en-US" w:eastAsia="zh-CN"/>
        </w:rPr>
        <w:t>物联感知设备及平台运维</w:t>
      </w:r>
      <w:r>
        <w:rPr>
          <w:rStyle w:val="731"/>
          <w:rFonts w:hint="default" w:ascii="新宋体" w:hAnsi="新宋体" w:eastAsia="新宋体" w:cs="新宋体"/>
          <w:color w:val="auto"/>
          <w:sz w:val="22"/>
          <w:szCs w:val="22"/>
          <w:highlight w:val="none"/>
        </w:rPr>
        <w:t>是由市交通视频整合平台及港航港口监测设备维保维护、智慧公路应急指挥与信息服务系统路网监测前端维护</w:t>
      </w:r>
      <w:r>
        <w:rPr>
          <w:rStyle w:val="731"/>
          <w:rFonts w:hint="eastAsia" w:ascii="新宋体" w:hAnsi="新宋体" w:eastAsia="新宋体" w:cs="新宋体"/>
          <w:color w:val="auto"/>
          <w:sz w:val="22"/>
          <w:szCs w:val="22"/>
          <w:highlight w:val="none"/>
          <w:lang w:eastAsia="zh-CN"/>
        </w:rPr>
        <w:t>、</w:t>
      </w:r>
      <w:r>
        <w:rPr>
          <w:rStyle w:val="731"/>
          <w:rFonts w:hint="default" w:ascii="新宋体" w:hAnsi="新宋体" w:eastAsia="新宋体" w:cs="新宋体"/>
          <w:color w:val="auto"/>
          <w:sz w:val="22"/>
          <w:szCs w:val="22"/>
          <w:highlight w:val="none"/>
        </w:rPr>
        <w:t>交通基础支撑项目运维</w:t>
      </w:r>
      <w:r>
        <w:rPr>
          <w:rStyle w:val="731"/>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交通重点区域基础感知设施提升和短信平台短信服务</w:t>
      </w:r>
      <w:r>
        <w:rPr>
          <w:rStyle w:val="731"/>
          <w:rFonts w:hint="default" w:ascii="新宋体" w:hAnsi="新宋体" w:eastAsia="新宋体" w:cs="新宋体"/>
          <w:color w:val="auto"/>
          <w:sz w:val="22"/>
          <w:szCs w:val="22"/>
          <w:highlight w:val="none"/>
        </w:rPr>
        <w:t>等部分组成的，主要是对视频平台的运维及</w:t>
      </w:r>
      <w:r>
        <w:rPr>
          <w:rStyle w:val="731"/>
          <w:rFonts w:hint="default" w:ascii="新宋体" w:hAnsi="新宋体" w:eastAsia="新宋体" w:cs="新宋体"/>
          <w:color w:val="auto"/>
          <w:sz w:val="22"/>
          <w:szCs w:val="22"/>
          <w:highlight w:val="none"/>
          <w:lang w:val="en-US" w:eastAsia="zh-CN"/>
        </w:rPr>
        <w:t>物联感知设备维护</w:t>
      </w:r>
      <w:r>
        <w:rPr>
          <w:rStyle w:val="731"/>
          <w:rFonts w:hint="default" w:ascii="新宋体" w:hAnsi="新宋体" w:eastAsia="新宋体" w:cs="新宋体"/>
          <w:color w:val="auto"/>
          <w:sz w:val="22"/>
          <w:szCs w:val="22"/>
          <w:highlight w:val="none"/>
        </w:rPr>
        <w:t>的运维</w:t>
      </w:r>
      <w:r>
        <w:rPr>
          <w:rFonts w:hint="eastAsia" w:ascii="新宋体" w:hAnsi="新宋体" w:eastAsia="新宋体" w:cs="新宋体"/>
          <w:color w:val="auto"/>
          <w:sz w:val="22"/>
          <w:szCs w:val="22"/>
          <w:highlight w:val="none"/>
        </w:rPr>
        <w:t>。</w:t>
      </w:r>
    </w:p>
    <w:p w14:paraId="501F8420">
      <w:pPr>
        <w:keepNext w:val="0"/>
        <w:keepLines w:val="0"/>
        <w:pageBreakBefore w:val="0"/>
        <w:kinsoku/>
        <w:wordWrap/>
        <w:overflowPunct/>
        <w:topLinePunct w:val="0"/>
        <w:autoSpaceDE w:val="0"/>
        <w:bidi w:val="0"/>
        <w:snapToGrid/>
        <w:spacing w:line="360" w:lineRule="auto"/>
        <w:ind w:firstLine="440"/>
        <w:textAlignment w:val="auto"/>
        <w:rPr>
          <w:rFonts w:hint="eastAsia" w:ascii="宋体" w:hAnsi="宋体" w:eastAsia="宋体" w:cs="宋体"/>
          <w:bCs/>
          <w:color w:val="auto"/>
          <w:kern w:val="0"/>
          <w:sz w:val="22"/>
          <w:szCs w:val="22"/>
          <w:highlight w:val="none"/>
          <w:lang w:val="en-US" w:eastAsia="zh-CN" w:bidi="ar-SA"/>
        </w:rPr>
      </w:pPr>
      <w:r>
        <w:rPr>
          <w:rFonts w:hint="eastAsia" w:ascii="新宋体" w:hAnsi="新宋体" w:eastAsia="新宋体" w:cs="新宋体"/>
          <w:b/>
          <w:bCs/>
          <w:color w:val="auto"/>
          <w:spacing w:val="6"/>
          <w:sz w:val="22"/>
          <w:szCs w:val="22"/>
          <w:highlight w:val="none"/>
          <w:lang w:val="en-US" w:eastAsia="zh-CN"/>
        </w:rPr>
        <w:t>3、</w:t>
      </w:r>
      <w:r>
        <w:rPr>
          <w:rFonts w:hint="eastAsia" w:ascii="新宋体" w:hAnsi="新宋体" w:eastAsia="新宋体" w:cs="新宋体"/>
          <w:b/>
          <w:bCs/>
          <w:color w:val="auto"/>
          <w:spacing w:val="6"/>
          <w:sz w:val="22"/>
          <w:szCs w:val="22"/>
          <w:highlight w:val="none"/>
        </w:rPr>
        <w:t>业务系统运维</w:t>
      </w:r>
    </w:p>
    <w:p w14:paraId="457D82F5">
      <w:pPr>
        <w:pStyle w:val="76"/>
        <w:keepNext w:val="0"/>
        <w:keepLines w:val="0"/>
        <w:pageBreakBefore w:val="0"/>
        <w:numPr>
          <w:ilvl w:val="0"/>
          <w:numId w:val="0"/>
        </w:numPr>
        <w:kinsoku/>
        <w:wordWrap/>
        <w:overflowPunct/>
        <w:topLinePunct w:val="0"/>
        <w:bidi w:val="0"/>
        <w:spacing w:line="360" w:lineRule="auto"/>
        <w:ind w:leftChars="0" w:firstLine="660" w:firstLineChars="300"/>
        <w:textAlignment w:val="auto"/>
        <w:rPr>
          <w:rFonts w:hint="eastAsia" w:cs="宋体"/>
          <w:color w:val="auto"/>
          <w:sz w:val="22"/>
          <w:szCs w:val="22"/>
          <w:highlight w:val="none"/>
          <w:lang w:val="en-US" w:eastAsia="zh-CN"/>
        </w:rPr>
      </w:pPr>
      <w:r>
        <w:rPr>
          <w:rFonts w:hint="eastAsia" w:ascii="宋体" w:hAnsi="宋体" w:eastAsia="宋体" w:cs="宋体"/>
          <w:bCs/>
          <w:color w:val="auto"/>
          <w:kern w:val="0"/>
          <w:sz w:val="22"/>
          <w:szCs w:val="22"/>
          <w:highlight w:val="none"/>
          <w:lang w:val="zh-CN" w:eastAsia="zh-CN" w:bidi="ar-SA"/>
        </w:rPr>
        <w:t>业务信息系统运维包含互联网+交通综合执法、网约车申报系统与出租车（网约车）监管系统、市区道路交通运行指数系统、温州港引航管理信息平台、浙江交通运输审批服务平台本地化运维</w:t>
      </w:r>
      <w:r>
        <w:rPr>
          <w:rFonts w:hint="eastAsia" w:ascii="宋体" w:hAnsi="宋体" w:eastAsia="宋体" w:cs="宋体"/>
          <w:bCs/>
          <w:color w:val="auto"/>
          <w:kern w:val="0"/>
          <w:sz w:val="22"/>
          <w:szCs w:val="22"/>
          <w:highlight w:val="none"/>
          <w:lang w:val="en-US" w:eastAsia="zh-CN" w:bidi="ar-SA"/>
        </w:rPr>
        <w:t>、</w:t>
      </w:r>
      <w:r>
        <w:rPr>
          <w:rFonts w:hint="eastAsia" w:ascii="宋体" w:hAnsi="宋体" w:eastAsia="宋体" w:cs="宋体"/>
          <w:bCs/>
          <w:color w:val="auto"/>
          <w:kern w:val="0"/>
          <w:sz w:val="22"/>
          <w:szCs w:val="22"/>
          <w:highlight w:val="none"/>
          <w:lang w:val="zh-CN" w:eastAsia="zh-CN" w:bidi="ar-SA"/>
        </w:rPr>
        <w:t>交通重点区域非现场数字化监管系统、</w:t>
      </w:r>
      <w:r>
        <w:rPr>
          <w:rFonts w:hint="eastAsia" w:ascii="宋体" w:hAnsi="宋体" w:eastAsia="宋体" w:cs="宋体"/>
          <w:bCs/>
          <w:color w:val="auto"/>
          <w:kern w:val="0"/>
          <w:sz w:val="22"/>
          <w:szCs w:val="22"/>
          <w:highlight w:val="none"/>
          <w:lang w:val="en-US" w:eastAsia="zh-CN" w:bidi="ar-SA"/>
        </w:rPr>
        <w:t>温州</w:t>
      </w:r>
      <w:r>
        <w:rPr>
          <w:rFonts w:hint="eastAsia" w:cs="宋体"/>
          <w:color w:val="auto"/>
          <w:sz w:val="22"/>
          <w:szCs w:val="22"/>
          <w:highlight w:val="none"/>
          <w:lang w:val="en-US" w:eastAsia="zh-CN"/>
        </w:rPr>
        <w:t>巡游车移动端应用（数字交通综合执法与服务应用）和</w:t>
      </w:r>
      <w:r>
        <w:rPr>
          <w:rFonts w:hint="default" w:cs="宋体"/>
          <w:color w:val="auto"/>
          <w:sz w:val="22"/>
          <w:szCs w:val="22"/>
          <w:highlight w:val="none"/>
          <w:lang w:val="en-US" w:eastAsia="zh-CN"/>
        </w:rPr>
        <w:t>瓯江数字港航服务于管理平台</w:t>
      </w:r>
      <w:r>
        <w:rPr>
          <w:rFonts w:hint="eastAsia" w:cs="宋体"/>
          <w:color w:val="auto"/>
          <w:sz w:val="22"/>
          <w:szCs w:val="22"/>
          <w:highlight w:val="none"/>
          <w:lang w:val="en-US" w:eastAsia="zh-CN"/>
        </w:rPr>
        <w:t>（数字交通综合执法与服务应用）等8个软件平台组成。</w:t>
      </w:r>
    </w:p>
    <w:p w14:paraId="6EB9EA4A">
      <w:pPr>
        <w:keepNext w:val="0"/>
        <w:keepLines w:val="0"/>
        <w:pageBreakBefore w:val="0"/>
        <w:kinsoku/>
        <w:wordWrap/>
        <w:overflowPunct/>
        <w:topLinePunct w:val="0"/>
        <w:bidi w:val="0"/>
        <w:spacing w:line="360" w:lineRule="auto"/>
        <w:ind w:firstLine="420"/>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b/>
          <w:bCs/>
          <w:color w:val="auto"/>
          <w:spacing w:val="6"/>
          <w:sz w:val="22"/>
          <w:szCs w:val="22"/>
          <w:highlight w:val="none"/>
          <w:lang w:val="en-US" w:eastAsia="zh-CN"/>
        </w:rPr>
        <w:t>4、</w:t>
      </w:r>
      <w:r>
        <w:rPr>
          <w:rFonts w:hint="eastAsia" w:ascii="新宋体" w:hAnsi="新宋体" w:eastAsia="新宋体" w:cs="新宋体"/>
          <w:b/>
          <w:bCs/>
          <w:color w:val="auto"/>
          <w:spacing w:val="6"/>
          <w:sz w:val="22"/>
          <w:szCs w:val="22"/>
          <w:highlight w:val="none"/>
        </w:rPr>
        <w:t>合同总价</w:t>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6"/>
          <w:sz w:val="22"/>
          <w:szCs w:val="22"/>
          <w:highlight w:val="none"/>
          <w:u w:val="single"/>
        </w:rPr>
        <w:t>￥</w:t>
      </w:r>
      <w:r>
        <w:rPr>
          <w:rFonts w:hint="eastAsia" w:ascii="新宋体" w:hAnsi="新宋体" w:eastAsia="新宋体" w:cs="新宋体"/>
          <w:color w:val="auto"/>
          <w:spacing w:val="6"/>
          <w:sz w:val="22"/>
          <w:szCs w:val="22"/>
          <w:highlight w:val="none"/>
        </w:rPr>
        <w:t>元（大写：人民币元整）。</w:t>
      </w:r>
    </w:p>
    <w:p w14:paraId="453EA350">
      <w:pPr>
        <w:keepNext w:val="0"/>
        <w:keepLines w:val="0"/>
        <w:pageBreakBefore w:val="0"/>
        <w:kinsoku/>
        <w:wordWrap/>
        <w:overflowPunct/>
        <w:topLinePunct w:val="0"/>
        <w:bidi w:val="0"/>
        <w:spacing w:line="360" w:lineRule="auto"/>
        <w:ind w:firstLine="420"/>
        <w:textAlignment w:val="auto"/>
        <w:rPr>
          <w:rFonts w:hint="eastAsia" w:ascii="新宋体" w:hAnsi="新宋体" w:eastAsia="新宋体" w:cs="新宋体"/>
          <w:b/>
          <w:bCs/>
          <w:color w:val="auto"/>
          <w:spacing w:val="6"/>
          <w:sz w:val="22"/>
          <w:szCs w:val="22"/>
          <w:highlight w:val="none"/>
        </w:rPr>
      </w:pPr>
      <w:r>
        <w:rPr>
          <w:rFonts w:hint="eastAsia" w:ascii="新宋体" w:hAnsi="新宋体" w:eastAsia="新宋体" w:cs="新宋体"/>
          <w:b/>
          <w:bCs/>
          <w:color w:val="auto"/>
          <w:spacing w:val="6"/>
          <w:sz w:val="22"/>
          <w:szCs w:val="22"/>
          <w:highlight w:val="none"/>
          <w:lang w:val="en-US" w:eastAsia="zh-CN"/>
        </w:rPr>
        <w:t>5、</w:t>
      </w:r>
      <w:r>
        <w:rPr>
          <w:rFonts w:hint="eastAsia" w:ascii="新宋体" w:hAnsi="新宋体" w:eastAsia="新宋体" w:cs="新宋体"/>
          <w:b/>
          <w:bCs/>
          <w:color w:val="auto"/>
          <w:spacing w:val="6"/>
          <w:sz w:val="22"/>
          <w:szCs w:val="22"/>
          <w:highlight w:val="none"/>
        </w:rPr>
        <w:t>项目期限：</w:t>
      </w:r>
    </w:p>
    <w:p w14:paraId="406FDFAD">
      <w:pPr>
        <w:keepNext w:val="0"/>
        <w:keepLines w:val="0"/>
        <w:pageBreakBefore w:val="0"/>
        <w:numPr>
          <w:ilvl w:val="0"/>
          <w:numId w:val="25"/>
        </w:numPr>
        <w:kinsoku/>
        <w:wordWrap/>
        <w:overflowPunct/>
        <w:topLinePunct w:val="0"/>
        <w:bidi w:val="0"/>
        <w:spacing w:line="360" w:lineRule="auto"/>
        <w:ind w:firstLine="420"/>
        <w:textAlignment w:val="auto"/>
        <w:rPr>
          <w:rFonts w:hint="eastAsia" w:ascii="新宋体" w:hAnsi="新宋体" w:eastAsia="新宋体" w:cs="新宋体"/>
          <w:color w:val="auto"/>
          <w:spacing w:val="6"/>
          <w:sz w:val="22"/>
          <w:szCs w:val="22"/>
          <w:highlight w:val="none"/>
        </w:rPr>
      </w:pPr>
      <w:r>
        <w:rPr>
          <w:rFonts w:hint="eastAsia" w:ascii="宋体" w:hAnsi="宋体" w:cs="宋体"/>
          <w:bCs/>
          <w:color w:val="auto"/>
          <w:kern w:val="0"/>
          <w:sz w:val="22"/>
          <w:szCs w:val="22"/>
          <w:highlight w:val="none"/>
          <w:lang w:val="en-US" w:eastAsia="zh-CN" w:bidi="ar-SA"/>
        </w:rPr>
        <w:t>局中心机房维保、</w:t>
      </w:r>
      <w:r>
        <w:rPr>
          <w:rStyle w:val="731"/>
          <w:rFonts w:hint="default" w:ascii="新宋体" w:hAnsi="新宋体" w:eastAsia="新宋体" w:cs="新宋体"/>
          <w:color w:val="auto"/>
          <w:sz w:val="22"/>
          <w:szCs w:val="22"/>
          <w:highlight w:val="none"/>
        </w:rPr>
        <w:t>市交通视频整合平台及港航港口监测设备维保维护</w:t>
      </w:r>
      <w:r>
        <w:rPr>
          <w:rStyle w:val="731"/>
          <w:rFonts w:hint="eastAsia" w:ascii="新宋体" w:hAnsi="新宋体" w:eastAsia="新宋体" w:cs="新宋体"/>
          <w:color w:val="auto"/>
          <w:sz w:val="22"/>
          <w:szCs w:val="22"/>
          <w:highlight w:val="none"/>
          <w:lang w:eastAsia="zh-CN"/>
        </w:rPr>
        <w:t>、</w:t>
      </w:r>
      <w:r>
        <w:rPr>
          <w:rStyle w:val="731"/>
          <w:rFonts w:hint="default" w:ascii="新宋体" w:hAnsi="新宋体" w:eastAsia="新宋体" w:cs="新宋体"/>
          <w:color w:val="auto"/>
          <w:sz w:val="22"/>
          <w:szCs w:val="22"/>
          <w:highlight w:val="none"/>
        </w:rPr>
        <w:t>智慧公路应急指挥与信息服务系统路网监测前端维护</w:t>
      </w:r>
      <w:r>
        <w:rPr>
          <w:rStyle w:val="731"/>
          <w:rFonts w:hint="eastAsia" w:ascii="新宋体" w:hAnsi="新宋体" w:eastAsia="新宋体" w:cs="新宋体"/>
          <w:color w:val="auto"/>
          <w:sz w:val="22"/>
          <w:szCs w:val="22"/>
          <w:highlight w:val="none"/>
          <w:lang w:eastAsia="zh-CN"/>
        </w:rPr>
        <w:t>、</w:t>
      </w:r>
      <w:r>
        <w:rPr>
          <w:rFonts w:hint="eastAsia" w:ascii="宋体" w:hAnsi="宋体" w:eastAsia="宋体" w:cs="宋体"/>
          <w:bCs/>
          <w:color w:val="auto"/>
          <w:kern w:val="0"/>
          <w:sz w:val="22"/>
          <w:szCs w:val="22"/>
          <w:highlight w:val="none"/>
          <w:lang w:val="zh-CN" w:eastAsia="zh-CN" w:bidi="ar-SA"/>
        </w:rPr>
        <w:t>网约车申报系统与出租车（网约车）监管系统、市区道路交通运行指数系统、温州港引航管理信息平台、浙江交通运输审批服务平台本地化运维</w:t>
      </w:r>
      <w:r>
        <w:rPr>
          <w:rFonts w:hint="eastAsia" w:ascii="宋体" w:hAnsi="宋体" w:cs="宋体"/>
          <w:bCs/>
          <w:color w:val="auto"/>
          <w:kern w:val="0"/>
          <w:sz w:val="22"/>
          <w:szCs w:val="22"/>
          <w:highlight w:val="none"/>
          <w:lang w:val="en-US" w:eastAsia="zh-CN" w:bidi="ar-SA"/>
        </w:rPr>
        <w:t>和短信平台服务等8个子项目维护期为</w:t>
      </w:r>
      <w:r>
        <w:rPr>
          <w:rFonts w:hint="eastAsia" w:ascii="新宋体" w:hAnsi="新宋体" w:eastAsia="新宋体" w:cs="新宋体"/>
          <w:color w:val="auto"/>
          <w:spacing w:val="6"/>
          <w:sz w:val="22"/>
          <w:szCs w:val="22"/>
          <w:highlight w:val="none"/>
          <w:lang w:eastAsia="zh-CN"/>
        </w:rPr>
        <w:t>202</w:t>
      </w:r>
      <w:r>
        <w:rPr>
          <w:rFonts w:hint="eastAsia" w:ascii="新宋体" w:hAnsi="新宋体" w:eastAsia="新宋体" w:cs="新宋体"/>
          <w:color w:val="auto"/>
          <w:spacing w:val="6"/>
          <w:sz w:val="22"/>
          <w:szCs w:val="22"/>
          <w:highlight w:val="none"/>
          <w:lang w:val="en-US" w:eastAsia="zh-CN"/>
        </w:rPr>
        <w:t>6</w:t>
      </w:r>
      <w:r>
        <w:rPr>
          <w:rFonts w:hint="eastAsia" w:ascii="新宋体" w:hAnsi="新宋体" w:eastAsia="新宋体" w:cs="新宋体"/>
          <w:color w:val="auto"/>
          <w:spacing w:val="6"/>
          <w:sz w:val="22"/>
          <w:szCs w:val="22"/>
          <w:highlight w:val="none"/>
        </w:rPr>
        <w:t>年1月1日起至</w:t>
      </w:r>
      <w:r>
        <w:rPr>
          <w:rFonts w:hint="eastAsia" w:ascii="新宋体" w:hAnsi="新宋体" w:eastAsia="新宋体" w:cs="新宋体"/>
          <w:color w:val="auto"/>
          <w:spacing w:val="6"/>
          <w:sz w:val="22"/>
          <w:szCs w:val="22"/>
          <w:highlight w:val="none"/>
          <w:lang w:eastAsia="zh-CN"/>
        </w:rPr>
        <w:t>202</w:t>
      </w:r>
      <w:r>
        <w:rPr>
          <w:rFonts w:hint="eastAsia" w:ascii="新宋体" w:hAnsi="新宋体" w:eastAsia="新宋体" w:cs="新宋体"/>
          <w:color w:val="auto"/>
          <w:spacing w:val="6"/>
          <w:sz w:val="22"/>
          <w:szCs w:val="22"/>
          <w:highlight w:val="none"/>
          <w:lang w:val="en-US" w:eastAsia="zh-CN"/>
        </w:rPr>
        <w:t>6</w:t>
      </w:r>
      <w:r>
        <w:rPr>
          <w:rFonts w:hint="eastAsia" w:ascii="新宋体" w:hAnsi="新宋体" w:eastAsia="新宋体" w:cs="新宋体"/>
          <w:color w:val="auto"/>
          <w:spacing w:val="6"/>
          <w:sz w:val="22"/>
          <w:szCs w:val="22"/>
          <w:highlight w:val="none"/>
        </w:rPr>
        <w:t>年12月31日止。</w:t>
      </w:r>
      <w:r>
        <w:rPr>
          <w:rFonts w:hint="eastAsia" w:ascii="新宋体" w:hAnsi="新宋体" w:eastAsia="新宋体" w:cs="新宋体"/>
          <w:color w:val="auto"/>
          <w:kern w:val="2"/>
          <w:sz w:val="22"/>
          <w:szCs w:val="22"/>
          <w:highlight w:val="none"/>
          <w:lang w:val="en-US" w:eastAsia="zh-CN" w:bidi="ar-SA"/>
        </w:rPr>
        <w:t>本项目资金来源为省拨资金，根据财政资金统筹管理要求，款项将在上级财政资金实际下达后按规定支付。若本合同约定的付款时间与财政资金下达时间不一致，以财政资金下达的时间为准，甲方不承担逾期付款责任。自2026年1月1日至甲乙双方合同签订之日的运维费用由乙方支付（合同金额÷365）×实际服务天数）。</w:t>
      </w:r>
    </w:p>
    <w:p w14:paraId="6DEAE290">
      <w:pPr>
        <w:pStyle w:val="76"/>
        <w:keepNext w:val="0"/>
        <w:keepLines w:val="0"/>
        <w:pageBreakBefore w:val="0"/>
        <w:numPr>
          <w:ilvl w:val="0"/>
          <w:numId w:val="25"/>
        </w:numPr>
        <w:kinsoku/>
        <w:wordWrap/>
        <w:overflowPunct/>
        <w:topLinePunct w:val="0"/>
        <w:bidi w:val="0"/>
        <w:spacing w:line="360" w:lineRule="auto"/>
        <w:ind w:left="0" w:leftChars="0" w:firstLine="420" w:firstLineChars="0"/>
        <w:textAlignment w:val="auto"/>
        <w:rPr>
          <w:rFonts w:hint="eastAsia"/>
          <w:color w:val="auto"/>
          <w:sz w:val="22"/>
          <w:szCs w:val="22"/>
          <w:lang w:val="en-US" w:eastAsia="zh-CN"/>
        </w:rPr>
      </w:pPr>
      <w:r>
        <w:rPr>
          <w:rFonts w:hint="eastAsia"/>
          <w:color w:val="auto"/>
          <w:sz w:val="22"/>
          <w:szCs w:val="22"/>
          <w:lang w:val="en-US" w:eastAsia="zh-CN"/>
        </w:rPr>
        <w:t>温州巡游车移动端应用和瓯江数字港航服务于管理平台等2个子项目，运维期为2026年10月31日至2027年12月31日，运维期14个月。</w:t>
      </w:r>
    </w:p>
    <w:p w14:paraId="43627F13">
      <w:pPr>
        <w:pStyle w:val="76"/>
        <w:keepNext w:val="0"/>
        <w:keepLines w:val="0"/>
        <w:pageBreakBefore w:val="0"/>
        <w:numPr>
          <w:ilvl w:val="0"/>
          <w:numId w:val="25"/>
        </w:numPr>
        <w:kinsoku/>
        <w:wordWrap/>
        <w:overflowPunct/>
        <w:topLinePunct w:val="0"/>
        <w:bidi w:val="0"/>
        <w:spacing w:line="360" w:lineRule="auto"/>
        <w:ind w:left="0" w:leftChars="0" w:firstLine="420" w:firstLineChars="0"/>
        <w:textAlignment w:val="auto"/>
        <w:rPr>
          <w:rFonts w:hint="default"/>
          <w:sz w:val="22"/>
          <w:szCs w:val="22"/>
          <w:lang w:val="en-US" w:eastAsia="zh-CN"/>
        </w:rPr>
      </w:pPr>
      <w:r>
        <w:rPr>
          <w:rFonts w:hint="eastAsia" w:ascii="宋体" w:hAnsi="宋体" w:eastAsia="宋体" w:cs="宋体"/>
          <w:bCs/>
          <w:color w:val="auto"/>
          <w:kern w:val="0"/>
          <w:sz w:val="22"/>
          <w:szCs w:val="22"/>
          <w:highlight w:val="none"/>
          <w:lang w:val="zh-CN" w:eastAsia="zh-CN" w:bidi="ar-SA"/>
        </w:rPr>
        <w:t>互联网+交通综合执法</w:t>
      </w:r>
      <w:r>
        <w:rPr>
          <w:rFonts w:hint="eastAsia" w:cs="宋体"/>
          <w:bCs/>
          <w:color w:val="auto"/>
          <w:kern w:val="0"/>
          <w:sz w:val="22"/>
          <w:szCs w:val="22"/>
          <w:highlight w:val="none"/>
          <w:lang w:val="zh-CN" w:eastAsia="zh-CN" w:bidi="ar-SA"/>
        </w:rPr>
        <w:t>、</w:t>
      </w:r>
      <w:r>
        <w:rPr>
          <w:rFonts w:hint="eastAsia" w:ascii="宋体" w:hAnsi="宋体" w:eastAsia="宋体" w:cs="宋体"/>
          <w:bCs/>
          <w:color w:val="auto"/>
          <w:kern w:val="0"/>
          <w:sz w:val="22"/>
          <w:szCs w:val="22"/>
          <w:highlight w:val="none"/>
          <w:lang w:val="zh-CN" w:eastAsia="zh-CN" w:bidi="ar-SA"/>
        </w:rPr>
        <w:t>交通重点区域非现场数字化监管系统</w:t>
      </w:r>
      <w:r>
        <w:rPr>
          <w:rFonts w:hint="eastAsia" w:cs="宋体"/>
          <w:bCs/>
          <w:color w:val="auto"/>
          <w:kern w:val="0"/>
          <w:sz w:val="22"/>
          <w:szCs w:val="22"/>
          <w:highlight w:val="none"/>
          <w:lang w:val="zh-CN" w:eastAsia="zh-CN" w:bidi="ar-SA"/>
        </w:rPr>
        <w:t>、</w:t>
      </w:r>
      <w:r>
        <w:rPr>
          <w:rFonts w:hint="eastAsia" w:ascii="新宋体" w:hAnsi="新宋体" w:eastAsia="新宋体" w:cs="新宋体"/>
          <w:color w:val="auto"/>
          <w:sz w:val="22"/>
          <w:szCs w:val="22"/>
          <w:highlight w:val="none"/>
          <w:lang w:val="en-US" w:eastAsia="zh-CN"/>
        </w:rPr>
        <w:t>交通重点区域基础感知设施提升等3个子项目</w:t>
      </w:r>
      <w:r>
        <w:rPr>
          <w:rFonts w:hint="eastAsia" w:cs="宋体"/>
          <w:bCs/>
          <w:color w:val="auto"/>
          <w:kern w:val="0"/>
          <w:sz w:val="22"/>
          <w:szCs w:val="22"/>
          <w:highlight w:val="none"/>
          <w:lang w:val="zh-CN" w:eastAsia="zh-CN" w:bidi="ar-SA"/>
        </w:rPr>
        <w:t>，</w:t>
      </w:r>
      <w:r>
        <w:rPr>
          <w:rFonts w:hint="eastAsia" w:cs="宋体"/>
          <w:bCs/>
          <w:color w:val="auto"/>
          <w:kern w:val="0"/>
          <w:sz w:val="22"/>
          <w:szCs w:val="22"/>
          <w:highlight w:val="none"/>
          <w:lang w:val="en-US" w:eastAsia="zh-CN" w:bidi="ar-SA"/>
        </w:rPr>
        <w:t>运维期</w:t>
      </w:r>
      <w:r>
        <w:rPr>
          <w:rFonts w:ascii="宋体" w:hAnsi="宋体" w:eastAsia="宋体" w:cs="宋体"/>
          <w:sz w:val="22"/>
          <w:szCs w:val="22"/>
        </w:rPr>
        <w:t>限</w:t>
      </w:r>
      <w:r>
        <w:rPr>
          <w:rFonts w:hint="eastAsia" w:ascii="宋体" w:hAnsi="宋体" w:eastAsia="宋体" w:cs="宋体"/>
          <w:sz w:val="22"/>
          <w:szCs w:val="22"/>
          <w:lang w:val="en-US" w:eastAsia="zh-CN"/>
        </w:rPr>
        <w:t>为</w:t>
      </w:r>
      <w:r>
        <w:rPr>
          <w:rFonts w:ascii="宋体" w:hAnsi="宋体" w:eastAsia="宋体" w:cs="宋体"/>
          <w:sz w:val="22"/>
          <w:szCs w:val="22"/>
        </w:rPr>
        <w:t>合同签订之日起计算，为期一整年</w:t>
      </w:r>
      <w:r>
        <w:rPr>
          <w:rFonts w:hint="eastAsia" w:ascii="宋体" w:hAnsi="宋体" w:eastAsia="宋体" w:cs="宋体"/>
          <w:sz w:val="22"/>
          <w:szCs w:val="22"/>
          <w:lang w:eastAsia="zh-CN"/>
        </w:rPr>
        <w:t>。</w:t>
      </w:r>
    </w:p>
    <w:p w14:paraId="7A9151BD">
      <w:pPr>
        <w:pStyle w:val="76"/>
        <w:keepNext w:val="0"/>
        <w:keepLines w:val="0"/>
        <w:pageBreakBefore w:val="0"/>
        <w:numPr>
          <w:ilvl w:val="0"/>
          <w:numId w:val="25"/>
        </w:numPr>
        <w:kinsoku/>
        <w:wordWrap/>
        <w:overflowPunct/>
        <w:topLinePunct w:val="0"/>
        <w:bidi w:val="0"/>
        <w:spacing w:line="360" w:lineRule="auto"/>
        <w:ind w:left="0" w:leftChars="0" w:firstLine="420" w:firstLineChars="0"/>
        <w:textAlignment w:val="auto"/>
        <w:rPr>
          <w:rFonts w:hint="default"/>
          <w:sz w:val="22"/>
          <w:szCs w:val="22"/>
          <w:lang w:val="en-US" w:eastAsia="zh-CN"/>
        </w:rPr>
      </w:pPr>
      <w:r>
        <w:rPr>
          <w:rStyle w:val="731"/>
          <w:rFonts w:hint="default" w:ascii="新宋体" w:hAnsi="新宋体" w:eastAsia="新宋体" w:cs="新宋体"/>
          <w:color w:val="auto"/>
          <w:sz w:val="22"/>
          <w:szCs w:val="22"/>
          <w:highlight w:val="none"/>
        </w:rPr>
        <w:t>交通基础支撑项目</w:t>
      </w:r>
      <w:r>
        <w:rPr>
          <w:rStyle w:val="731"/>
          <w:rFonts w:hint="eastAsia" w:ascii="新宋体" w:hAnsi="新宋体" w:eastAsia="新宋体" w:cs="新宋体"/>
          <w:color w:val="auto"/>
          <w:sz w:val="22"/>
          <w:szCs w:val="22"/>
          <w:highlight w:val="none"/>
          <w:lang w:eastAsia="zh-CN"/>
        </w:rPr>
        <w:t>，</w:t>
      </w:r>
      <w:r>
        <w:rPr>
          <w:rStyle w:val="731"/>
          <w:rFonts w:hint="eastAsia" w:ascii="新宋体" w:hAnsi="新宋体" w:eastAsia="新宋体" w:cs="新宋体"/>
          <w:color w:val="auto"/>
          <w:sz w:val="22"/>
          <w:szCs w:val="22"/>
          <w:highlight w:val="none"/>
          <w:lang w:val="en-US" w:eastAsia="zh-CN"/>
        </w:rPr>
        <w:t>运维期为2026年11月1日至2027年12月31日。</w:t>
      </w:r>
    </w:p>
    <w:p w14:paraId="29A9ECB4">
      <w:pPr>
        <w:pStyle w:val="76"/>
        <w:keepNext w:val="0"/>
        <w:keepLines w:val="0"/>
        <w:pageBreakBefore w:val="0"/>
        <w:numPr>
          <w:ilvl w:val="0"/>
          <w:numId w:val="25"/>
        </w:numPr>
        <w:kinsoku/>
        <w:wordWrap/>
        <w:overflowPunct/>
        <w:topLinePunct w:val="0"/>
        <w:bidi w:val="0"/>
        <w:spacing w:line="360" w:lineRule="auto"/>
        <w:ind w:left="0" w:leftChars="0" w:firstLine="420" w:firstLineChars="0"/>
        <w:textAlignment w:val="auto"/>
        <w:rPr>
          <w:rFonts w:hint="default"/>
          <w:color w:val="auto"/>
          <w:sz w:val="22"/>
          <w:szCs w:val="22"/>
          <w:lang w:val="en-US" w:eastAsia="zh-CN"/>
        </w:rPr>
      </w:pPr>
      <w:r>
        <w:rPr>
          <w:rFonts w:hint="default"/>
          <w:sz w:val="22"/>
          <w:szCs w:val="22"/>
          <w:lang w:val="en-US" w:eastAsia="zh-CN"/>
        </w:rPr>
        <w:t>局中心机房机柜租</w:t>
      </w:r>
      <w:r>
        <w:rPr>
          <w:rFonts w:hint="default"/>
          <w:color w:val="auto"/>
          <w:sz w:val="22"/>
          <w:szCs w:val="22"/>
          <w:lang w:val="en-US" w:eastAsia="zh-CN"/>
        </w:rPr>
        <w:t>赁</w:t>
      </w:r>
      <w:r>
        <w:rPr>
          <w:rFonts w:hint="eastAsia"/>
          <w:color w:val="auto"/>
          <w:sz w:val="22"/>
          <w:szCs w:val="22"/>
          <w:lang w:val="en-US" w:eastAsia="zh-CN"/>
        </w:rPr>
        <w:t>，</w:t>
      </w:r>
      <w:r>
        <w:rPr>
          <w:rFonts w:hint="default"/>
          <w:color w:val="auto"/>
          <w:sz w:val="22"/>
          <w:szCs w:val="22"/>
          <w:lang w:val="en-US" w:eastAsia="zh-CN"/>
        </w:rPr>
        <w:t>2026年5月1日至12月31日</w:t>
      </w:r>
    </w:p>
    <w:p w14:paraId="67FD3A4E">
      <w:pPr>
        <w:keepNext w:val="0"/>
        <w:keepLines w:val="0"/>
        <w:pageBreakBefore w:val="0"/>
        <w:numPr>
          <w:ilvl w:val="0"/>
          <w:numId w:val="25"/>
        </w:numPr>
        <w:kinsoku/>
        <w:wordWrap/>
        <w:overflowPunct/>
        <w:topLinePunct w:val="0"/>
        <w:bidi w:val="0"/>
        <w:spacing w:line="360" w:lineRule="auto"/>
        <w:ind w:left="0" w:leftChars="0" w:firstLine="420" w:firstLineChars="0"/>
        <w:textAlignment w:val="auto"/>
        <w:rPr>
          <w:rFonts w:ascii="宋体" w:hAnsi="宋体" w:eastAsia="宋体" w:cs="宋体"/>
          <w:color w:val="auto"/>
          <w:sz w:val="22"/>
          <w:szCs w:val="22"/>
        </w:rPr>
      </w:pPr>
      <w:r>
        <w:rPr>
          <w:rFonts w:ascii="宋体" w:hAnsi="宋体" w:eastAsia="宋体" w:cs="宋体"/>
          <w:color w:val="auto"/>
          <w:sz w:val="22"/>
          <w:szCs w:val="22"/>
        </w:rPr>
        <w:t>若甲方下一年度同类运维项目招标工作因不可归责于乙方的原因未能按时开展，乙方应自本合同约定服务期届满之日起延续运维服务至该项目招标完成并签订新服务合同之日</w:t>
      </w:r>
      <w:r>
        <w:rPr>
          <w:rFonts w:hint="eastAsia" w:cs="宋体"/>
          <w:color w:val="auto"/>
          <w:sz w:val="22"/>
          <w:szCs w:val="22"/>
          <w:lang w:val="en-US" w:eastAsia="zh-CN"/>
        </w:rPr>
        <w:t>止</w:t>
      </w:r>
      <w:r>
        <w:rPr>
          <w:rFonts w:ascii="宋体" w:hAnsi="宋体" w:eastAsia="宋体" w:cs="宋体"/>
          <w:color w:val="auto"/>
          <w:sz w:val="22"/>
          <w:szCs w:val="22"/>
        </w:rPr>
        <w:t>，延续服务产生的费用总额不得超过本合同总金额的10%。</w:t>
      </w:r>
    </w:p>
    <w:p w14:paraId="0D631238">
      <w:pPr>
        <w:pStyle w:val="76"/>
        <w:keepNext w:val="0"/>
        <w:keepLines w:val="0"/>
        <w:pageBreakBefore w:val="0"/>
        <w:numPr>
          <w:ilvl w:val="0"/>
          <w:numId w:val="0"/>
        </w:numPr>
        <w:kinsoku/>
        <w:wordWrap/>
        <w:overflowPunct/>
        <w:topLinePunct w:val="0"/>
        <w:bidi w:val="0"/>
        <w:spacing w:line="360" w:lineRule="auto"/>
        <w:textAlignment w:val="auto"/>
        <w:rPr>
          <w:color w:val="auto"/>
          <w:sz w:val="22"/>
          <w:szCs w:val="22"/>
        </w:rPr>
      </w:pPr>
    </w:p>
    <w:p w14:paraId="0CC1D8B1">
      <w:pPr>
        <w:keepNext w:val="0"/>
        <w:keepLines w:val="0"/>
        <w:pageBreakBefore w:val="0"/>
        <w:numPr>
          <w:ilvl w:val="0"/>
          <w:numId w:val="26"/>
        </w:numPr>
        <w:kinsoku/>
        <w:wordWrap/>
        <w:overflowPunct/>
        <w:topLinePunct w:val="0"/>
        <w:bidi w:val="0"/>
        <w:spacing w:line="360" w:lineRule="auto"/>
        <w:textAlignment w:val="auto"/>
        <w:outlineLvl w:val="1"/>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服务规范</w:t>
      </w:r>
    </w:p>
    <w:p w14:paraId="683744AB">
      <w:pPr>
        <w:keepNext w:val="0"/>
        <w:keepLines w:val="0"/>
        <w:pageBreakBefore w:val="0"/>
        <w:kinsoku/>
        <w:wordWrap/>
        <w:overflowPunct/>
        <w:topLinePunct w:val="0"/>
        <w:bidi w:val="0"/>
        <w:adjustRightInd w:val="0"/>
        <w:spacing w:line="360" w:lineRule="auto"/>
        <w:ind w:firstLine="440" w:firstLineChars="200"/>
        <w:textAlignment w:val="auto"/>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以甲方项目采购文件及乙方投标文件两者取高标准约定如下：</w:t>
      </w:r>
    </w:p>
    <w:p w14:paraId="2564C88E">
      <w:pPr>
        <w:keepNext w:val="0"/>
        <w:keepLines w:val="0"/>
        <w:pageBreakBefore w:val="0"/>
        <w:kinsoku/>
        <w:wordWrap/>
        <w:overflowPunct/>
        <w:topLinePunct w:val="0"/>
        <w:bidi w:val="0"/>
        <w:adjustRightInd w:val="0"/>
        <w:spacing w:line="360" w:lineRule="auto"/>
        <w:ind w:firstLine="440" w:firstLineChars="200"/>
        <w:textAlignment w:val="auto"/>
        <w:rPr>
          <w:rFonts w:hint="eastAsia" w:ascii="新宋体" w:hAnsi="新宋体" w:eastAsia="新宋体" w:cs="新宋体"/>
          <w:bCs/>
          <w:color w:val="auto"/>
          <w:kern w:val="0"/>
          <w:sz w:val="22"/>
          <w:szCs w:val="22"/>
          <w:highlight w:val="none"/>
          <w:u w:val="single"/>
        </w:rPr>
      </w:pPr>
      <w:r>
        <w:rPr>
          <w:rFonts w:hint="eastAsia" w:ascii="新宋体" w:hAnsi="新宋体" w:eastAsia="新宋体" w:cs="新宋体"/>
          <w:bCs/>
          <w:color w:val="auto"/>
          <w:kern w:val="0"/>
          <w:sz w:val="22"/>
          <w:szCs w:val="22"/>
          <w:highlight w:val="none"/>
          <w:u w:val="single"/>
        </w:rPr>
        <w:t>服务规范以甲方项目采购文件为准。</w:t>
      </w:r>
    </w:p>
    <w:p w14:paraId="3E1D84E9">
      <w:pPr>
        <w:pStyle w:val="76"/>
        <w:keepNext w:val="0"/>
        <w:keepLines w:val="0"/>
        <w:pageBreakBefore w:val="0"/>
        <w:kinsoku/>
        <w:wordWrap/>
        <w:overflowPunct/>
        <w:topLinePunct w:val="0"/>
        <w:bidi w:val="0"/>
        <w:spacing w:line="360" w:lineRule="auto"/>
        <w:ind w:firstLine="440" w:firstLineChars="200"/>
        <w:textAlignment w:val="auto"/>
        <w:rPr>
          <w:rFonts w:hint="default" w:eastAsia="新宋体"/>
          <w:color w:val="auto"/>
          <w:sz w:val="22"/>
          <w:szCs w:val="22"/>
          <w:lang w:val="en-US" w:eastAsia="zh-CN"/>
        </w:rPr>
      </w:pPr>
      <w:r>
        <w:rPr>
          <w:rFonts w:hint="eastAsia" w:ascii="新宋体" w:hAnsi="新宋体" w:eastAsia="新宋体" w:cs="新宋体"/>
          <w:color w:val="auto"/>
          <w:kern w:val="2"/>
          <w:sz w:val="22"/>
          <w:szCs w:val="22"/>
          <w:highlight w:val="none"/>
          <w:lang w:val="en-US" w:eastAsia="zh-CN" w:bidi="ar-SA"/>
        </w:rPr>
        <w:t>本项目验收工作还须严格参照《关于印发温州市市本级党政机关信息化项目建设管理办法的通知》（温政办〔2021〕19号）中关于项目验收的其他相关规定执行；若本项目约定的验收标准、流程等与该文件要求</w:t>
      </w:r>
      <w:r>
        <w:rPr>
          <w:rFonts w:hint="eastAsia" w:ascii="新宋体" w:hAnsi="新宋体" w:cs="新宋体"/>
          <w:color w:val="auto"/>
          <w:kern w:val="2"/>
          <w:sz w:val="22"/>
          <w:szCs w:val="22"/>
          <w:highlight w:val="none"/>
          <w:lang w:val="en-US" w:eastAsia="zh-CN" w:bidi="ar-SA"/>
        </w:rPr>
        <w:t>有冲突时</w:t>
      </w:r>
      <w:r>
        <w:rPr>
          <w:rFonts w:hint="eastAsia" w:ascii="新宋体" w:hAnsi="新宋体" w:eastAsia="新宋体" w:cs="新宋体"/>
          <w:color w:val="auto"/>
          <w:kern w:val="2"/>
          <w:sz w:val="22"/>
          <w:szCs w:val="22"/>
          <w:highlight w:val="none"/>
          <w:lang w:val="en-US" w:eastAsia="zh-CN" w:bidi="ar-SA"/>
        </w:rPr>
        <w:t>，以该文件相关规定为准。</w:t>
      </w:r>
    </w:p>
    <w:p w14:paraId="13C749CF">
      <w:pPr>
        <w:keepNext w:val="0"/>
        <w:keepLines w:val="0"/>
        <w:pageBreakBefore w:val="0"/>
        <w:numPr>
          <w:ilvl w:val="0"/>
          <w:numId w:val="26"/>
        </w:numPr>
        <w:kinsoku/>
        <w:wordWrap/>
        <w:overflowPunct/>
        <w:topLinePunct w:val="0"/>
        <w:bidi w:val="0"/>
        <w:adjustRightInd w:val="0"/>
        <w:spacing w:line="360" w:lineRule="auto"/>
        <w:ind w:left="0" w:leftChars="0" w:firstLine="0" w:firstLineChars="0"/>
        <w:textAlignment w:val="auto"/>
        <w:rPr>
          <w:rFonts w:hint="eastAsia" w:ascii="新宋体" w:hAnsi="新宋体" w:eastAsia="新宋体" w:cs="新宋体"/>
          <w:b/>
          <w:color w:val="auto"/>
          <w:kern w:val="0"/>
          <w:sz w:val="22"/>
          <w:szCs w:val="22"/>
          <w:highlight w:val="none"/>
          <w:lang w:val="en-US" w:eastAsia="zh-CN"/>
        </w:rPr>
      </w:pPr>
      <w:r>
        <w:rPr>
          <w:rFonts w:hint="eastAsia" w:ascii="新宋体" w:hAnsi="新宋体" w:eastAsia="新宋体" w:cs="新宋体"/>
          <w:b/>
          <w:color w:val="auto"/>
          <w:kern w:val="0"/>
          <w:sz w:val="22"/>
          <w:szCs w:val="22"/>
          <w:highlight w:val="none"/>
          <w:lang w:val="en-US" w:eastAsia="zh-CN"/>
        </w:rPr>
        <w:t>合同价款支付条款</w:t>
      </w:r>
    </w:p>
    <w:p w14:paraId="44269A7C">
      <w:pPr>
        <w:keepNext w:val="0"/>
        <w:keepLines w:val="0"/>
        <w:pageBreakBefore w:val="0"/>
        <w:widowControl/>
        <w:suppressLineNumbers w:val="0"/>
        <w:kinsoku/>
        <w:wordWrap/>
        <w:overflowPunct/>
        <w:topLinePunct w:val="0"/>
        <w:bidi w:val="0"/>
        <w:spacing w:line="360" w:lineRule="auto"/>
        <w:jc w:val="left"/>
        <w:textAlignment w:val="auto"/>
        <w:rPr>
          <w:sz w:val="22"/>
          <w:szCs w:val="22"/>
        </w:rPr>
      </w:pPr>
      <w:r>
        <w:rPr>
          <w:rFonts w:hint="eastAsia"/>
          <w:b/>
          <w:bCs/>
          <w:sz w:val="22"/>
          <w:szCs w:val="22"/>
          <w:lang w:val="en-US" w:eastAsia="zh-CN"/>
        </w:rPr>
        <w:t>（一）</w:t>
      </w:r>
      <w:r>
        <w:rPr>
          <w:rFonts w:ascii="宋体" w:hAnsi="宋体" w:eastAsia="宋体" w:cs="宋体"/>
          <w:b/>
          <w:bCs/>
          <w:kern w:val="0"/>
          <w:sz w:val="22"/>
          <w:szCs w:val="22"/>
          <w:lang w:val="en-US" w:eastAsia="zh-CN"/>
        </w:rPr>
        <w:t>项目分组及支付原则</w:t>
      </w:r>
    </w:p>
    <w:p w14:paraId="0266E08C">
      <w:pPr>
        <w:keepNext w:val="0"/>
        <w:keepLines w:val="0"/>
        <w:pageBreakBefore w:val="0"/>
        <w:widowControl/>
        <w:suppressLineNumbers w:val="0"/>
        <w:kinsoku/>
        <w:wordWrap/>
        <w:overflowPunct/>
        <w:topLinePunct w:val="0"/>
        <w:bidi w:val="0"/>
        <w:spacing w:line="360" w:lineRule="auto"/>
        <w:ind w:firstLine="440" w:firstLineChars="200"/>
        <w:jc w:val="left"/>
        <w:textAlignment w:val="auto"/>
        <w:rPr>
          <w:rFonts w:ascii="宋体" w:hAnsi="宋体" w:eastAsia="宋体" w:cs="宋体"/>
          <w:kern w:val="0"/>
          <w:sz w:val="22"/>
          <w:szCs w:val="22"/>
          <w:lang w:val="en-US" w:eastAsia="zh-CN"/>
        </w:rPr>
      </w:pPr>
      <w:r>
        <w:rPr>
          <w:rFonts w:ascii="宋体" w:hAnsi="宋体" w:eastAsia="宋体" w:cs="宋体"/>
          <w:kern w:val="0"/>
          <w:sz w:val="22"/>
          <w:szCs w:val="22"/>
          <w:lang w:val="en-US" w:eastAsia="zh-CN"/>
        </w:rPr>
        <w:t>本合同项下所有子项目价款，按服务周期及约定节点分批次支付，各批次支付金额根据对应子项目的合同金额占比拆分核算，甲方在收到乙方开具的合规增值税发票后</w:t>
      </w:r>
      <w:r>
        <w:rPr>
          <w:rFonts w:hint="eastAsia" w:ascii="宋体" w:hAnsi="宋体" w:eastAsia="宋体" w:cs="宋体"/>
          <w:kern w:val="0"/>
          <w:sz w:val="22"/>
          <w:szCs w:val="22"/>
          <w:lang w:val="en-US" w:eastAsia="zh-CN"/>
        </w:rPr>
        <w:t>7</w:t>
      </w:r>
      <w:r>
        <w:rPr>
          <w:rFonts w:ascii="宋体" w:hAnsi="宋体" w:eastAsia="宋体" w:cs="宋体"/>
          <w:kern w:val="0"/>
          <w:sz w:val="22"/>
          <w:szCs w:val="22"/>
          <w:lang w:val="en-US" w:eastAsia="zh-CN"/>
        </w:rPr>
        <w:t>个工作日内完成付款。</w:t>
      </w:r>
    </w:p>
    <w:p w14:paraId="D12DE456">
      <w:pPr>
        <w:keepNext w:val="0"/>
        <w:keepLines w:val="0"/>
        <w:pageBreakBefore w:val="0"/>
        <w:widowControl/>
        <w:suppressLineNumbers w:val="0"/>
        <w:kinsoku/>
        <w:wordWrap/>
        <w:overflowPunct/>
        <w:topLinePunct w:val="0"/>
        <w:bidi w:val="0"/>
        <w:spacing w:line="360" w:lineRule="auto"/>
        <w:ind w:firstLine="440" w:firstLineChars="200"/>
        <w:jc w:val="left"/>
        <w:textAlignment w:val="auto"/>
        <w:rPr>
          <w:rFonts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合同价款已包括乙方提供服务时需要甲方支付的所有费用，甲方不再额外支付任何费用。</w:t>
      </w:r>
    </w:p>
    <w:p w14:paraId="64EC2B98">
      <w:pPr>
        <w:pStyle w:val="76"/>
        <w:keepNext w:val="0"/>
        <w:keepLines w:val="0"/>
        <w:pageBreakBefore w:val="0"/>
        <w:kinsoku/>
        <w:wordWrap/>
        <w:overflowPunct/>
        <w:topLinePunct w:val="0"/>
        <w:bidi w:val="0"/>
        <w:spacing w:line="360" w:lineRule="auto"/>
        <w:textAlignment w:val="auto"/>
        <w:rPr>
          <w:rFonts w:hint="default"/>
          <w:sz w:val="22"/>
          <w:szCs w:val="22"/>
          <w:lang w:val="en-US"/>
        </w:rPr>
      </w:pPr>
      <w:r>
        <w:rPr>
          <w:rFonts w:hint="eastAsia" w:ascii="宋体" w:hAnsi="宋体" w:eastAsia="宋体" w:cs="宋体"/>
          <w:b/>
          <w:bCs/>
          <w:kern w:val="0"/>
          <w:sz w:val="22"/>
          <w:szCs w:val="22"/>
          <w:lang w:val="en-US" w:eastAsia="zh-CN"/>
        </w:rPr>
        <w:t>（二）第一批次支付</w:t>
      </w:r>
    </w:p>
    <w:p w14:paraId="7CAE457A">
      <w:pPr>
        <w:pStyle w:val="76"/>
        <w:keepNext w:val="0"/>
        <w:keepLines w:val="0"/>
        <w:pageBreakBefore w:val="0"/>
        <w:numPr>
          <w:ilvl w:val="0"/>
          <w:numId w:val="0"/>
        </w:numPr>
        <w:kinsoku/>
        <w:wordWrap/>
        <w:overflowPunct/>
        <w:topLinePunct w:val="0"/>
        <w:bidi w:val="0"/>
        <w:spacing w:line="360" w:lineRule="auto"/>
        <w:ind w:left="0" w:leftChars="0" w:firstLine="442" w:firstLineChars="200"/>
        <w:textAlignment w:val="auto"/>
        <w:rPr>
          <w:rFonts w:hint="default"/>
          <w:sz w:val="22"/>
          <w:szCs w:val="22"/>
          <w:lang w:val="en-US" w:eastAsia="zh-CN"/>
        </w:rPr>
      </w:pPr>
      <w:r>
        <w:rPr>
          <w:rFonts w:hint="eastAsia"/>
          <w:b/>
          <w:bCs/>
          <w:sz w:val="22"/>
          <w:szCs w:val="22"/>
          <w:lang w:val="en-US" w:eastAsia="zh-CN"/>
        </w:rPr>
        <w:t>1、覆盖范围：</w:t>
      </w:r>
      <w:r>
        <w:rPr>
          <w:rFonts w:hint="eastAsia" w:ascii="宋体" w:hAnsi="宋体" w:cs="宋体"/>
          <w:bCs/>
          <w:color w:val="auto"/>
          <w:kern w:val="0"/>
          <w:sz w:val="22"/>
          <w:szCs w:val="22"/>
          <w:highlight w:val="none"/>
          <w:lang w:val="en-US" w:eastAsia="zh-CN" w:bidi="ar-SA"/>
        </w:rPr>
        <w:t>局中心机房维保、</w:t>
      </w:r>
      <w:r>
        <w:rPr>
          <w:rStyle w:val="731"/>
          <w:rFonts w:hint="default" w:ascii="新宋体" w:hAnsi="新宋体" w:eastAsia="新宋体" w:cs="新宋体"/>
          <w:color w:val="auto"/>
          <w:sz w:val="22"/>
          <w:szCs w:val="22"/>
          <w:highlight w:val="none"/>
        </w:rPr>
        <w:t>市交通视频整合平台及港航港口监测设备维保维护</w:t>
      </w:r>
      <w:r>
        <w:rPr>
          <w:rStyle w:val="731"/>
          <w:rFonts w:hint="eastAsia" w:ascii="新宋体" w:hAnsi="新宋体" w:eastAsia="新宋体" w:cs="新宋体"/>
          <w:color w:val="auto"/>
          <w:sz w:val="22"/>
          <w:szCs w:val="22"/>
          <w:highlight w:val="none"/>
          <w:lang w:eastAsia="zh-CN"/>
        </w:rPr>
        <w:t>、</w:t>
      </w:r>
      <w:r>
        <w:rPr>
          <w:rStyle w:val="731"/>
          <w:rFonts w:hint="default" w:ascii="新宋体" w:hAnsi="新宋体" w:eastAsia="新宋体" w:cs="新宋体"/>
          <w:color w:val="auto"/>
          <w:sz w:val="22"/>
          <w:szCs w:val="22"/>
          <w:highlight w:val="none"/>
        </w:rPr>
        <w:t>智慧公路应急指挥与信息服务系统路网监测前端维护</w:t>
      </w:r>
      <w:r>
        <w:rPr>
          <w:rStyle w:val="731"/>
          <w:rFonts w:hint="eastAsia" w:ascii="新宋体" w:hAnsi="新宋体" w:eastAsia="新宋体" w:cs="新宋体"/>
          <w:color w:val="auto"/>
          <w:sz w:val="22"/>
          <w:szCs w:val="22"/>
          <w:highlight w:val="none"/>
          <w:lang w:eastAsia="zh-CN"/>
        </w:rPr>
        <w:t>、</w:t>
      </w:r>
      <w:r>
        <w:rPr>
          <w:rFonts w:hint="eastAsia" w:ascii="宋体" w:hAnsi="宋体" w:eastAsia="宋体" w:cs="宋体"/>
          <w:bCs/>
          <w:color w:val="auto"/>
          <w:kern w:val="0"/>
          <w:sz w:val="22"/>
          <w:szCs w:val="22"/>
          <w:highlight w:val="none"/>
          <w:lang w:val="zh-CN" w:eastAsia="zh-CN" w:bidi="ar-SA"/>
        </w:rPr>
        <w:t>网约车申报系统与出租车（网约车）监管系统、市区道路交通运行指数系统、温州港引航管理信息平台、浙江交通运输审批服务平台本地化运维</w:t>
      </w:r>
      <w:r>
        <w:rPr>
          <w:rFonts w:hint="eastAsia" w:ascii="宋体" w:hAnsi="宋体" w:cs="宋体"/>
          <w:bCs/>
          <w:color w:val="auto"/>
          <w:kern w:val="0"/>
          <w:sz w:val="22"/>
          <w:szCs w:val="22"/>
          <w:highlight w:val="none"/>
          <w:lang w:val="en-US" w:eastAsia="zh-CN" w:bidi="ar-SA"/>
        </w:rPr>
        <w:t>和短信平台服务等8个子项目</w:t>
      </w:r>
      <w:r>
        <w:rPr>
          <w:rFonts w:hint="eastAsia" w:ascii="新宋体" w:hAnsi="新宋体" w:eastAsia="新宋体" w:cs="新宋体"/>
          <w:color w:val="auto"/>
          <w:spacing w:val="6"/>
          <w:sz w:val="22"/>
          <w:szCs w:val="22"/>
          <w:highlight w:val="none"/>
          <w:lang w:eastAsia="zh-CN"/>
        </w:rPr>
        <w:t>；</w:t>
      </w:r>
      <w:r>
        <w:rPr>
          <w:rFonts w:hint="default"/>
          <w:sz w:val="22"/>
          <w:szCs w:val="22"/>
          <w:lang w:val="en-US" w:eastAsia="zh-CN"/>
        </w:rPr>
        <w:t>局中心机房机柜租赁</w:t>
      </w:r>
      <w:r>
        <w:rPr>
          <w:rFonts w:hint="eastAsia"/>
          <w:sz w:val="22"/>
          <w:szCs w:val="22"/>
          <w:lang w:val="en-US" w:eastAsia="zh-CN"/>
        </w:rPr>
        <w:t>；</w:t>
      </w:r>
      <w:r>
        <w:rPr>
          <w:rFonts w:hint="eastAsia" w:ascii="宋体" w:hAnsi="宋体" w:eastAsia="宋体" w:cs="宋体"/>
          <w:bCs/>
          <w:color w:val="auto"/>
          <w:kern w:val="0"/>
          <w:sz w:val="22"/>
          <w:szCs w:val="22"/>
          <w:highlight w:val="none"/>
          <w:lang w:val="zh-CN" w:eastAsia="zh-CN" w:bidi="ar-SA"/>
        </w:rPr>
        <w:t>互联网+交通综合执法</w:t>
      </w:r>
      <w:r>
        <w:rPr>
          <w:rFonts w:hint="eastAsia" w:cs="宋体"/>
          <w:bCs/>
          <w:color w:val="auto"/>
          <w:kern w:val="0"/>
          <w:sz w:val="22"/>
          <w:szCs w:val="22"/>
          <w:highlight w:val="none"/>
          <w:lang w:val="zh-CN" w:eastAsia="zh-CN" w:bidi="ar-SA"/>
        </w:rPr>
        <w:t>、</w:t>
      </w:r>
      <w:r>
        <w:rPr>
          <w:rFonts w:hint="eastAsia" w:ascii="宋体" w:hAnsi="宋体" w:eastAsia="宋体" w:cs="宋体"/>
          <w:bCs/>
          <w:color w:val="auto"/>
          <w:kern w:val="0"/>
          <w:sz w:val="22"/>
          <w:szCs w:val="22"/>
          <w:highlight w:val="none"/>
          <w:lang w:val="zh-CN" w:eastAsia="zh-CN" w:bidi="ar-SA"/>
        </w:rPr>
        <w:t>交通重点区域非现场数字化监管系统</w:t>
      </w:r>
      <w:r>
        <w:rPr>
          <w:rFonts w:hint="eastAsia" w:cs="宋体"/>
          <w:bCs/>
          <w:color w:val="auto"/>
          <w:kern w:val="0"/>
          <w:sz w:val="22"/>
          <w:szCs w:val="22"/>
          <w:highlight w:val="none"/>
          <w:lang w:val="zh-CN" w:eastAsia="zh-CN" w:bidi="ar-SA"/>
        </w:rPr>
        <w:t>、</w:t>
      </w:r>
      <w:r>
        <w:rPr>
          <w:rFonts w:hint="eastAsia" w:ascii="新宋体" w:hAnsi="新宋体" w:eastAsia="新宋体" w:cs="新宋体"/>
          <w:color w:val="auto"/>
          <w:sz w:val="22"/>
          <w:szCs w:val="22"/>
          <w:highlight w:val="none"/>
          <w:lang w:val="en-US" w:eastAsia="zh-CN"/>
        </w:rPr>
        <w:t>交通重点区域基础感知设施提升等3个子项目</w:t>
      </w:r>
      <w:r>
        <w:rPr>
          <w:rFonts w:hint="eastAsia" w:ascii="宋体" w:hAnsi="宋体" w:eastAsia="宋体" w:cs="宋体"/>
          <w:sz w:val="22"/>
          <w:szCs w:val="22"/>
          <w:lang w:eastAsia="zh-CN"/>
        </w:rPr>
        <w:t>。</w:t>
      </w:r>
    </w:p>
    <w:p w14:paraId="07C3B2DE">
      <w:pPr>
        <w:pStyle w:val="76"/>
        <w:keepNext w:val="0"/>
        <w:keepLines w:val="0"/>
        <w:pageBreakBefore w:val="0"/>
        <w:numPr>
          <w:ilvl w:val="0"/>
          <w:numId w:val="0"/>
        </w:numPr>
        <w:kinsoku/>
        <w:wordWrap/>
        <w:overflowPunct/>
        <w:topLinePunct w:val="0"/>
        <w:bidi w:val="0"/>
        <w:spacing w:line="360" w:lineRule="auto"/>
        <w:ind w:firstLine="488"/>
        <w:textAlignment w:val="auto"/>
        <w:rPr>
          <w:rFonts w:ascii="宋体" w:hAnsi="宋体" w:eastAsia="宋体" w:cs="宋体"/>
          <w:b/>
          <w:bCs/>
          <w:sz w:val="22"/>
          <w:szCs w:val="22"/>
        </w:rPr>
      </w:pPr>
      <w:r>
        <w:rPr>
          <w:rFonts w:hint="eastAsia" w:ascii="新宋体" w:hAnsi="新宋体" w:eastAsia="新宋体" w:cs="新宋体"/>
          <w:b/>
          <w:bCs/>
          <w:color w:val="auto"/>
          <w:spacing w:val="6"/>
          <w:sz w:val="22"/>
          <w:szCs w:val="22"/>
          <w:highlight w:val="none"/>
          <w:lang w:val="en-US" w:eastAsia="zh-CN"/>
        </w:rPr>
        <w:t>2、</w:t>
      </w:r>
      <w:r>
        <w:rPr>
          <w:rFonts w:ascii="宋体" w:hAnsi="宋体" w:eastAsia="宋体" w:cs="宋体"/>
          <w:b/>
          <w:bCs/>
          <w:sz w:val="22"/>
          <w:szCs w:val="22"/>
        </w:rPr>
        <w:t>支付比例及节点</w:t>
      </w:r>
    </w:p>
    <w:p w14:paraId="3C8138DC">
      <w:pPr>
        <w:pStyle w:val="76"/>
        <w:keepNext w:val="0"/>
        <w:keepLines w:val="0"/>
        <w:pageBreakBefore w:val="0"/>
        <w:numPr>
          <w:ilvl w:val="0"/>
          <w:numId w:val="0"/>
        </w:numPr>
        <w:kinsoku/>
        <w:wordWrap/>
        <w:overflowPunct/>
        <w:topLinePunct w:val="0"/>
        <w:bidi w:val="0"/>
        <w:spacing w:line="360" w:lineRule="auto"/>
        <w:ind w:firstLine="488"/>
        <w:textAlignment w:val="auto"/>
        <w:rPr>
          <w:rFonts w:ascii="宋体" w:hAnsi="宋体" w:eastAsia="宋体" w:cs="宋体"/>
          <w:sz w:val="22"/>
          <w:szCs w:val="22"/>
        </w:rPr>
      </w:pPr>
      <w:r>
        <w:rPr>
          <w:rFonts w:ascii="宋体" w:hAnsi="宋体" w:eastAsia="宋体" w:cs="宋体"/>
          <w:sz w:val="22"/>
          <w:szCs w:val="22"/>
        </w:rPr>
        <w:t>①</w:t>
      </w:r>
      <w:r>
        <w:rPr>
          <w:rStyle w:val="60"/>
          <w:rFonts w:ascii="宋体" w:hAnsi="宋体" w:eastAsia="宋体" w:cs="宋体"/>
          <w:b/>
          <w:bCs/>
          <w:color w:val="1F2329"/>
          <w:sz w:val="22"/>
          <w:szCs w:val="22"/>
        </w:rPr>
        <w:t>预付款（</w:t>
      </w:r>
      <w:r>
        <w:rPr>
          <w:rStyle w:val="60"/>
          <w:rFonts w:hint="eastAsia" w:ascii="宋体" w:hAnsi="宋体" w:eastAsia="宋体" w:cs="宋体"/>
          <w:b/>
          <w:bCs/>
          <w:color w:val="1F2329"/>
          <w:sz w:val="22"/>
          <w:szCs w:val="22"/>
          <w:lang w:val="en-US" w:eastAsia="zh-CN"/>
        </w:rPr>
        <w:t>5</w:t>
      </w:r>
      <w:r>
        <w:rPr>
          <w:rStyle w:val="60"/>
          <w:rFonts w:ascii="宋体" w:hAnsi="宋体" w:eastAsia="宋体" w:cs="宋体"/>
          <w:b/>
          <w:bCs/>
          <w:color w:val="1F2329"/>
          <w:sz w:val="22"/>
          <w:szCs w:val="22"/>
        </w:rPr>
        <w:t>0%）</w:t>
      </w:r>
      <w:r>
        <w:rPr>
          <w:rFonts w:ascii="宋体" w:hAnsi="宋体" w:eastAsia="宋体" w:cs="宋体"/>
          <w:sz w:val="22"/>
          <w:szCs w:val="22"/>
        </w:rPr>
        <w:t>：合同生效且乙方</w:t>
      </w:r>
      <w:r>
        <w:rPr>
          <w:rFonts w:ascii="宋体" w:hAnsi="宋体" w:eastAsia="宋体" w:cs="宋体"/>
          <w:kern w:val="0"/>
          <w:sz w:val="22"/>
          <w:szCs w:val="22"/>
          <w:lang w:val="en-US" w:eastAsia="zh-CN"/>
        </w:rPr>
        <w:t>开具的合规增值税发票后</w:t>
      </w:r>
      <w:r>
        <w:rPr>
          <w:rFonts w:hint="eastAsia" w:ascii="宋体" w:hAnsi="宋体" w:eastAsia="宋体" w:cs="宋体"/>
          <w:kern w:val="0"/>
          <w:sz w:val="22"/>
          <w:szCs w:val="22"/>
          <w:lang w:val="en-US" w:eastAsia="zh-CN"/>
        </w:rPr>
        <w:t>7</w:t>
      </w:r>
      <w:r>
        <w:rPr>
          <w:rFonts w:ascii="宋体" w:hAnsi="宋体" w:eastAsia="宋体" w:cs="宋体"/>
          <w:kern w:val="0"/>
          <w:sz w:val="22"/>
          <w:szCs w:val="22"/>
          <w:lang w:val="en-US" w:eastAsia="zh-CN"/>
        </w:rPr>
        <w:t>个工作日内</w:t>
      </w:r>
      <w:r>
        <w:rPr>
          <w:rFonts w:ascii="宋体" w:hAnsi="宋体" w:eastAsia="宋体" w:cs="宋体"/>
          <w:sz w:val="22"/>
          <w:szCs w:val="22"/>
        </w:rPr>
        <w:t>，甲方支付该批次所有子项目投标分项报价总额的50%；</w:t>
      </w:r>
    </w:p>
    <w:p w14:paraId="58E1B47A">
      <w:pPr>
        <w:pStyle w:val="76"/>
        <w:keepNext w:val="0"/>
        <w:keepLines w:val="0"/>
        <w:pageBreakBefore w:val="0"/>
        <w:numPr>
          <w:ilvl w:val="0"/>
          <w:numId w:val="0"/>
        </w:numPr>
        <w:kinsoku/>
        <w:wordWrap/>
        <w:overflowPunct/>
        <w:topLinePunct w:val="0"/>
        <w:bidi w:val="0"/>
        <w:spacing w:line="360" w:lineRule="auto"/>
        <w:ind w:firstLine="488"/>
        <w:textAlignment w:val="auto"/>
        <w:rPr>
          <w:rFonts w:ascii="宋体" w:hAnsi="宋体" w:eastAsia="宋体" w:cs="宋体"/>
          <w:sz w:val="22"/>
          <w:szCs w:val="22"/>
        </w:rPr>
      </w:pPr>
      <w:r>
        <w:rPr>
          <w:rFonts w:ascii="宋体" w:hAnsi="宋体" w:eastAsia="宋体" w:cs="宋体"/>
          <w:sz w:val="22"/>
          <w:szCs w:val="22"/>
        </w:rPr>
        <w:t>②</w:t>
      </w:r>
      <w:r>
        <w:rPr>
          <w:rStyle w:val="60"/>
          <w:rFonts w:ascii="宋体" w:hAnsi="宋体" w:eastAsia="宋体" w:cs="宋体"/>
          <w:b/>
          <w:bCs/>
          <w:color w:val="1F2329"/>
          <w:sz w:val="22"/>
          <w:szCs w:val="22"/>
        </w:rPr>
        <w:t>进度款（40%）</w:t>
      </w:r>
      <w:r>
        <w:rPr>
          <w:rFonts w:ascii="宋体" w:hAnsi="宋体" w:eastAsia="宋体" w:cs="宋体"/>
          <w:sz w:val="22"/>
          <w:szCs w:val="22"/>
        </w:rPr>
        <w:t>：</w:t>
      </w:r>
      <w:r>
        <w:rPr>
          <w:rFonts w:hint="eastAsia" w:ascii="宋体" w:hAnsi="宋体" w:eastAsia="宋体" w:cs="宋体"/>
          <w:sz w:val="22"/>
          <w:szCs w:val="22"/>
          <w:lang w:val="en-US" w:eastAsia="zh-CN"/>
        </w:rPr>
        <w:t>服务期至</w:t>
      </w:r>
      <w:r>
        <w:rPr>
          <w:rFonts w:ascii="宋体" w:hAnsi="宋体" w:eastAsia="宋体" w:cs="宋体"/>
          <w:sz w:val="22"/>
          <w:szCs w:val="22"/>
        </w:rPr>
        <w:t>2026年</w:t>
      </w:r>
      <w:r>
        <w:rPr>
          <w:rFonts w:hint="eastAsia" w:cs="宋体"/>
          <w:sz w:val="22"/>
          <w:szCs w:val="22"/>
          <w:lang w:val="en-US" w:eastAsia="zh-CN"/>
        </w:rPr>
        <w:t>7</w:t>
      </w:r>
      <w:r>
        <w:rPr>
          <w:rFonts w:ascii="宋体" w:hAnsi="宋体" w:eastAsia="宋体" w:cs="宋体"/>
          <w:sz w:val="22"/>
          <w:szCs w:val="22"/>
        </w:rPr>
        <w:t>月30日</w:t>
      </w:r>
      <w:r>
        <w:rPr>
          <w:rFonts w:hint="eastAsia" w:ascii="宋体" w:hAnsi="宋体" w:eastAsia="宋体" w:cs="宋体"/>
          <w:sz w:val="22"/>
          <w:szCs w:val="22"/>
          <w:lang w:val="en-US" w:eastAsia="zh-CN"/>
        </w:rPr>
        <w:t>后</w:t>
      </w:r>
      <w:r>
        <w:rPr>
          <w:rFonts w:ascii="宋体" w:hAnsi="宋体" w:eastAsia="宋体" w:cs="宋体"/>
          <w:sz w:val="22"/>
          <w:szCs w:val="22"/>
        </w:rPr>
        <w:t>，且乙方</w:t>
      </w:r>
      <w:r>
        <w:rPr>
          <w:rFonts w:ascii="宋体" w:hAnsi="宋体" w:eastAsia="宋体" w:cs="宋体"/>
          <w:kern w:val="0"/>
          <w:sz w:val="22"/>
          <w:szCs w:val="22"/>
          <w:lang w:val="en-US" w:eastAsia="zh-CN"/>
        </w:rPr>
        <w:t>开具的合规增值税发票后</w:t>
      </w:r>
      <w:r>
        <w:rPr>
          <w:rFonts w:hint="eastAsia" w:ascii="宋体" w:hAnsi="宋体" w:eastAsia="宋体" w:cs="宋体"/>
          <w:kern w:val="0"/>
          <w:sz w:val="22"/>
          <w:szCs w:val="22"/>
          <w:lang w:val="en-US" w:eastAsia="zh-CN"/>
        </w:rPr>
        <w:t>7</w:t>
      </w:r>
      <w:r>
        <w:rPr>
          <w:rFonts w:ascii="宋体" w:hAnsi="宋体" w:eastAsia="宋体" w:cs="宋体"/>
          <w:kern w:val="0"/>
          <w:sz w:val="22"/>
          <w:szCs w:val="22"/>
          <w:lang w:val="en-US" w:eastAsia="zh-CN"/>
        </w:rPr>
        <w:t>个工作日内</w:t>
      </w:r>
      <w:r>
        <w:rPr>
          <w:rFonts w:ascii="宋体" w:hAnsi="宋体" w:eastAsia="宋体" w:cs="宋体"/>
          <w:sz w:val="22"/>
          <w:szCs w:val="22"/>
        </w:rPr>
        <w:t>，甲方支付该批次所有子项目合同总金额的40%；</w:t>
      </w:r>
    </w:p>
    <w:p w14:paraId="006440E1">
      <w:pPr>
        <w:pStyle w:val="76"/>
        <w:keepNext w:val="0"/>
        <w:keepLines w:val="0"/>
        <w:pageBreakBefore w:val="0"/>
        <w:numPr>
          <w:ilvl w:val="0"/>
          <w:numId w:val="0"/>
        </w:numPr>
        <w:kinsoku/>
        <w:wordWrap/>
        <w:overflowPunct/>
        <w:topLinePunct w:val="0"/>
        <w:bidi w:val="0"/>
        <w:spacing w:line="360" w:lineRule="auto"/>
        <w:ind w:firstLine="488"/>
        <w:textAlignment w:val="auto"/>
        <w:rPr>
          <w:rFonts w:ascii="宋体" w:hAnsi="宋体" w:eastAsia="宋体" w:cs="宋体"/>
          <w:sz w:val="22"/>
          <w:szCs w:val="22"/>
        </w:rPr>
      </w:pPr>
      <w:r>
        <w:rPr>
          <w:rFonts w:ascii="宋体" w:hAnsi="宋体" w:eastAsia="宋体" w:cs="宋体"/>
          <w:sz w:val="22"/>
          <w:szCs w:val="22"/>
        </w:rPr>
        <w:t>③</w:t>
      </w:r>
      <w:r>
        <w:rPr>
          <w:rStyle w:val="60"/>
          <w:rFonts w:ascii="宋体" w:hAnsi="宋体" w:eastAsia="宋体" w:cs="宋体"/>
          <w:b/>
          <w:bCs/>
          <w:color w:val="1F2329"/>
          <w:sz w:val="22"/>
          <w:szCs w:val="22"/>
        </w:rPr>
        <w:t>尾款（</w:t>
      </w:r>
      <w:r>
        <w:rPr>
          <w:rStyle w:val="60"/>
          <w:rFonts w:hint="eastAsia" w:ascii="宋体" w:hAnsi="宋体" w:eastAsia="宋体" w:cs="宋体"/>
          <w:b/>
          <w:bCs/>
          <w:color w:val="1F2329"/>
          <w:sz w:val="22"/>
          <w:szCs w:val="22"/>
          <w:lang w:val="en-US" w:eastAsia="zh-CN"/>
        </w:rPr>
        <w:t>1</w:t>
      </w:r>
      <w:r>
        <w:rPr>
          <w:rStyle w:val="60"/>
          <w:rFonts w:ascii="宋体" w:hAnsi="宋体" w:eastAsia="宋体" w:cs="宋体"/>
          <w:b/>
          <w:bCs/>
          <w:color w:val="1F2329"/>
          <w:sz w:val="22"/>
          <w:szCs w:val="22"/>
        </w:rPr>
        <w:t>0%）</w:t>
      </w:r>
      <w:r>
        <w:rPr>
          <w:rFonts w:ascii="宋体" w:hAnsi="宋体" w:eastAsia="宋体" w:cs="宋体"/>
          <w:sz w:val="22"/>
          <w:szCs w:val="22"/>
        </w:rPr>
        <w:t>：该批次子项目完成分项验收（验收时间为2026年11月1日后），且乙方</w:t>
      </w:r>
      <w:r>
        <w:rPr>
          <w:rFonts w:ascii="宋体" w:hAnsi="宋体" w:eastAsia="宋体" w:cs="宋体"/>
          <w:kern w:val="0"/>
          <w:sz w:val="22"/>
          <w:szCs w:val="22"/>
          <w:lang w:val="en-US" w:eastAsia="zh-CN"/>
        </w:rPr>
        <w:t>开具的合规增值税发票后</w:t>
      </w:r>
      <w:r>
        <w:rPr>
          <w:rFonts w:hint="eastAsia" w:ascii="宋体" w:hAnsi="宋体" w:eastAsia="宋体" w:cs="宋体"/>
          <w:kern w:val="0"/>
          <w:sz w:val="22"/>
          <w:szCs w:val="22"/>
          <w:lang w:val="en-US" w:eastAsia="zh-CN"/>
        </w:rPr>
        <w:t>7</w:t>
      </w:r>
      <w:r>
        <w:rPr>
          <w:rFonts w:ascii="宋体" w:hAnsi="宋体" w:eastAsia="宋体" w:cs="宋体"/>
          <w:kern w:val="0"/>
          <w:sz w:val="22"/>
          <w:szCs w:val="22"/>
          <w:lang w:val="en-US" w:eastAsia="zh-CN"/>
        </w:rPr>
        <w:t>个工作日内</w:t>
      </w:r>
      <w:r>
        <w:rPr>
          <w:rFonts w:ascii="宋体" w:hAnsi="宋体" w:eastAsia="宋体" w:cs="宋体"/>
          <w:sz w:val="22"/>
          <w:szCs w:val="22"/>
        </w:rPr>
        <w:t>，甲方支付该批次所有子项目投标分项报价总额的10%。</w:t>
      </w:r>
    </w:p>
    <w:p w14:paraId="09BF0693">
      <w:pPr>
        <w:pStyle w:val="76"/>
        <w:keepNext w:val="0"/>
        <w:keepLines w:val="0"/>
        <w:pageBreakBefore w:val="0"/>
        <w:numPr>
          <w:ilvl w:val="0"/>
          <w:numId w:val="0"/>
        </w:numPr>
        <w:kinsoku/>
        <w:wordWrap/>
        <w:overflowPunct/>
        <w:topLinePunct w:val="0"/>
        <w:bidi w:val="0"/>
        <w:spacing w:line="360" w:lineRule="auto"/>
        <w:ind w:firstLine="488"/>
        <w:textAlignment w:val="auto"/>
        <w:rPr>
          <w:rFonts w:hint="eastAsia" w:ascii="宋体" w:hAnsi="宋体" w:eastAsia="宋体" w:cs="宋体"/>
          <w:b/>
          <w:bCs/>
          <w:kern w:val="0"/>
          <w:sz w:val="22"/>
          <w:szCs w:val="22"/>
          <w:lang w:val="en-US" w:eastAsia="zh-CN"/>
        </w:rPr>
      </w:pPr>
      <w:r>
        <w:rPr>
          <w:rFonts w:hint="eastAsia" w:ascii="宋体" w:hAnsi="宋体" w:eastAsia="宋体" w:cs="宋体"/>
          <w:b/>
          <w:bCs/>
          <w:sz w:val="22"/>
          <w:szCs w:val="22"/>
          <w:lang w:val="en-US" w:eastAsia="zh-CN"/>
        </w:rPr>
        <w:t>（三）</w:t>
      </w:r>
      <w:r>
        <w:rPr>
          <w:rFonts w:hint="eastAsia" w:ascii="宋体" w:hAnsi="宋体" w:eastAsia="宋体" w:cs="宋体"/>
          <w:b/>
          <w:bCs/>
          <w:kern w:val="0"/>
          <w:sz w:val="22"/>
          <w:szCs w:val="22"/>
          <w:lang w:val="en-US" w:eastAsia="zh-CN"/>
        </w:rPr>
        <w:t>第</w:t>
      </w:r>
      <w:r>
        <w:rPr>
          <w:rFonts w:hint="eastAsia" w:cs="宋体"/>
          <w:b/>
          <w:bCs/>
          <w:kern w:val="0"/>
          <w:sz w:val="22"/>
          <w:szCs w:val="22"/>
          <w:lang w:val="en-US" w:eastAsia="zh-CN"/>
        </w:rPr>
        <w:t>二</w:t>
      </w:r>
      <w:r>
        <w:rPr>
          <w:rFonts w:hint="eastAsia" w:ascii="宋体" w:hAnsi="宋体" w:eastAsia="宋体" w:cs="宋体"/>
          <w:b/>
          <w:bCs/>
          <w:kern w:val="0"/>
          <w:sz w:val="22"/>
          <w:szCs w:val="22"/>
          <w:lang w:val="en-US" w:eastAsia="zh-CN"/>
        </w:rPr>
        <w:t>批次支付</w:t>
      </w:r>
    </w:p>
    <w:p w14:paraId="7A9AC342">
      <w:pPr>
        <w:pStyle w:val="76"/>
        <w:keepNext w:val="0"/>
        <w:keepLines w:val="0"/>
        <w:pageBreakBefore w:val="0"/>
        <w:numPr>
          <w:ilvl w:val="0"/>
          <w:numId w:val="0"/>
        </w:numPr>
        <w:kinsoku/>
        <w:wordWrap/>
        <w:overflowPunct/>
        <w:topLinePunct w:val="0"/>
        <w:bidi w:val="0"/>
        <w:spacing w:line="360" w:lineRule="auto"/>
        <w:ind w:firstLine="488"/>
        <w:textAlignment w:val="auto"/>
        <w:rPr>
          <w:rStyle w:val="731"/>
          <w:rFonts w:hint="default" w:ascii="新宋体" w:hAnsi="新宋体" w:eastAsia="新宋体" w:cs="新宋体"/>
          <w:color w:val="auto"/>
          <w:sz w:val="22"/>
          <w:szCs w:val="22"/>
          <w:highlight w:val="none"/>
          <w:lang w:val="en-US" w:eastAsia="zh-CN"/>
        </w:rPr>
      </w:pPr>
      <w:r>
        <w:rPr>
          <w:rFonts w:hint="eastAsia" w:cs="宋体"/>
          <w:b/>
          <w:bCs/>
          <w:kern w:val="0"/>
          <w:sz w:val="22"/>
          <w:szCs w:val="22"/>
          <w:lang w:val="en-US" w:eastAsia="zh-CN"/>
        </w:rPr>
        <w:t>1、</w:t>
      </w:r>
      <w:r>
        <w:rPr>
          <w:rFonts w:hint="eastAsia"/>
          <w:b/>
          <w:bCs/>
          <w:sz w:val="22"/>
          <w:szCs w:val="22"/>
          <w:lang w:val="en-US" w:eastAsia="zh-CN"/>
        </w:rPr>
        <w:t>覆盖范围：</w:t>
      </w:r>
      <w:r>
        <w:rPr>
          <w:rFonts w:hint="eastAsia"/>
          <w:sz w:val="22"/>
          <w:szCs w:val="22"/>
          <w:lang w:val="en-US" w:eastAsia="zh-CN"/>
        </w:rPr>
        <w:t>温州巡游车移动端应用和瓯江数字港航服务于管理平台等2个子项目，运维期为2026年10月31日至2027年12月31日，运维期14个月；</w:t>
      </w:r>
      <w:r>
        <w:rPr>
          <w:rStyle w:val="731"/>
          <w:rFonts w:hint="default" w:ascii="新宋体" w:hAnsi="新宋体" w:eastAsia="新宋体" w:cs="新宋体"/>
          <w:color w:val="auto"/>
          <w:sz w:val="22"/>
          <w:szCs w:val="22"/>
          <w:highlight w:val="none"/>
        </w:rPr>
        <w:t>交通基础支撑项目</w:t>
      </w:r>
      <w:r>
        <w:rPr>
          <w:rStyle w:val="731"/>
          <w:rFonts w:hint="eastAsia" w:ascii="新宋体" w:hAnsi="新宋体" w:eastAsia="新宋体" w:cs="新宋体"/>
          <w:color w:val="auto"/>
          <w:sz w:val="22"/>
          <w:szCs w:val="22"/>
          <w:highlight w:val="none"/>
          <w:lang w:eastAsia="zh-CN"/>
        </w:rPr>
        <w:t>，</w:t>
      </w:r>
      <w:r>
        <w:rPr>
          <w:rStyle w:val="731"/>
          <w:rFonts w:hint="eastAsia" w:ascii="新宋体" w:hAnsi="新宋体" w:eastAsia="新宋体" w:cs="新宋体"/>
          <w:color w:val="auto"/>
          <w:sz w:val="22"/>
          <w:szCs w:val="22"/>
          <w:highlight w:val="none"/>
          <w:lang w:val="en-US" w:eastAsia="zh-CN"/>
        </w:rPr>
        <w:t>运维期为2026年11月1日至2027年12月31日。</w:t>
      </w:r>
    </w:p>
    <w:p w14:paraId="5882C614">
      <w:pPr>
        <w:pStyle w:val="76"/>
        <w:keepNext w:val="0"/>
        <w:keepLines w:val="0"/>
        <w:pageBreakBefore w:val="0"/>
        <w:numPr>
          <w:ilvl w:val="0"/>
          <w:numId w:val="0"/>
        </w:numPr>
        <w:kinsoku/>
        <w:wordWrap/>
        <w:overflowPunct/>
        <w:topLinePunct w:val="0"/>
        <w:bidi w:val="0"/>
        <w:spacing w:line="360" w:lineRule="auto"/>
        <w:ind w:firstLine="488"/>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2、支付比例及节点</w:t>
      </w:r>
    </w:p>
    <w:p w14:paraId="63B989A3">
      <w:pPr>
        <w:pStyle w:val="76"/>
        <w:keepNext w:val="0"/>
        <w:keepLines w:val="0"/>
        <w:pageBreakBefore w:val="0"/>
        <w:numPr>
          <w:ilvl w:val="0"/>
          <w:numId w:val="0"/>
        </w:numPr>
        <w:kinsoku/>
        <w:wordWrap/>
        <w:overflowPunct/>
        <w:topLinePunct w:val="0"/>
        <w:bidi w:val="0"/>
        <w:spacing w:line="360" w:lineRule="auto"/>
        <w:ind w:firstLine="488"/>
        <w:textAlignment w:val="auto"/>
        <w:rPr>
          <w:rFonts w:ascii="宋体" w:hAnsi="宋体" w:eastAsia="宋体" w:cs="宋体"/>
          <w:sz w:val="22"/>
          <w:szCs w:val="22"/>
        </w:rPr>
      </w:pPr>
      <w:r>
        <w:rPr>
          <w:rFonts w:ascii="宋体" w:hAnsi="宋体" w:eastAsia="宋体" w:cs="宋体"/>
          <w:sz w:val="22"/>
          <w:szCs w:val="22"/>
        </w:rPr>
        <w:t>①</w:t>
      </w:r>
      <w:r>
        <w:rPr>
          <w:rStyle w:val="60"/>
          <w:rFonts w:ascii="宋体" w:hAnsi="宋体" w:eastAsia="宋体" w:cs="宋体"/>
          <w:b/>
          <w:bCs/>
          <w:color w:val="1F2329"/>
          <w:sz w:val="22"/>
          <w:szCs w:val="22"/>
        </w:rPr>
        <w:t>第一笔款（50%）</w:t>
      </w:r>
      <w:r>
        <w:rPr>
          <w:rFonts w:ascii="宋体" w:hAnsi="宋体" w:eastAsia="宋体" w:cs="宋体"/>
          <w:sz w:val="22"/>
          <w:szCs w:val="22"/>
        </w:rPr>
        <w:t>：与第一批次子项目的尾款同步支付，金额为该批次所有子项目合同总金额的50%；</w:t>
      </w:r>
    </w:p>
    <w:p w14:paraId="156D10F3">
      <w:pPr>
        <w:pStyle w:val="76"/>
        <w:keepNext w:val="0"/>
        <w:keepLines w:val="0"/>
        <w:pageBreakBefore w:val="0"/>
        <w:numPr>
          <w:ilvl w:val="0"/>
          <w:numId w:val="0"/>
        </w:numPr>
        <w:kinsoku/>
        <w:wordWrap/>
        <w:overflowPunct/>
        <w:topLinePunct w:val="0"/>
        <w:bidi w:val="0"/>
        <w:spacing w:line="360" w:lineRule="auto"/>
        <w:ind w:firstLine="488"/>
        <w:textAlignment w:val="auto"/>
        <w:rPr>
          <w:rFonts w:hint="default" w:ascii="宋体" w:hAnsi="宋体" w:eastAsia="宋体" w:cs="宋体"/>
          <w:sz w:val="22"/>
          <w:szCs w:val="22"/>
          <w:lang w:val="en-US" w:eastAsia="zh-CN"/>
        </w:rPr>
      </w:pPr>
      <w:r>
        <w:rPr>
          <w:rFonts w:ascii="宋体" w:hAnsi="宋体" w:eastAsia="宋体" w:cs="宋体"/>
          <w:sz w:val="22"/>
          <w:szCs w:val="22"/>
        </w:rPr>
        <w:t>②</w:t>
      </w:r>
      <w:r>
        <w:rPr>
          <w:rStyle w:val="60"/>
          <w:rFonts w:ascii="宋体" w:hAnsi="宋体" w:eastAsia="宋体" w:cs="宋体"/>
          <w:b/>
          <w:bCs/>
          <w:color w:val="1F2329"/>
          <w:sz w:val="22"/>
          <w:szCs w:val="22"/>
        </w:rPr>
        <w:t>第二笔款（50%）</w:t>
      </w:r>
      <w:r>
        <w:rPr>
          <w:rFonts w:ascii="宋体" w:hAnsi="宋体" w:eastAsia="宋体" w:cs="宋体"/>
          <w:sz w:val="22"/>
          <w:szCs w:val="22"/>
        </w:rPr>
        <w:t>：该批次子项目完成分项验收（验收时间为2027年11月1日后），且乙方</w:t>
      </w:r>
      <w:r>
        <w:rPr>
          <w:rFonts w:ascii="宋体" w:hAnsi="宋体" w:eastAsia="宋体" w:cs="宋体"/>
          <w:kern w:val="0"/>
          <w:sz w:val="22"/>
          <w:szCs w:val="22"/>
          <w:lang w:val="en-US" w:eastAsia="zh-CN"/>
        </w:rPr>
        <w:t>开具的合规增值税发票后</w:t>
      </w:r>
      <w:r>
        <w:rPr>
          <w:rFonts w:hint="eastAsia" w:ascii="宋体" w:hAnsi="宋体" w:eastAsia="宋体" w:cs="宋体"/>
          <w:kern w:val="0"/>
          <w:sz w:val="22"/>
          <w:szCs w:val="22"/>
          <w:lang w:val="en-US" w:eastAsia="zh-CN"/>
        </w:rPr>
        <w:t>7</w:t>
      </w:r>
      <w:r>
        <w:rPr>
          <w:rFonts w:ascii="宋体" w:hAnsi="宋体" w:eastAsia="宋体" w:cs="宋体"/>
          <w:kern w:val="0"/>
          <w:sz w:val="22"/>
          <w:szCs w:val="22"/>
          <w:lang w:val="en-US" w:eastAsia="zh-CN"/>
        </w:rPr>
        <w:t>个工作日内</w:t>
      </w:r>
      <w:r>
        <w:rPr>
          <w:rFonts w:ascii="宋体" w:hAnsi="宋体" w:eastAsia="宋体" w:cs="宋体"/>
          <w:sz w:val="22"/>
          <w:szCs w:val="22"/>
        </w:rPr>
        <w:t>，甲方支付该批次所有子项目合同总金额的50%。</w:t>
      </w:r>
    </w:p>
    <w:p w14:paraId="6A66E7F6">
      <w:pPr>
        <w:keepNext w:val="0"/>
        <w:keepLines w:val="0"/>
        <w:pageBreakBefore w:val="0"/>
        <w:kinsoku/>
        <w:wordWrap/>
        <w:overflowPunct/>
        <w:topLinePunct w:val="0"/>
        <w:bidi w:val="0"/>
        <w:adjustRightInd w:val="0"/>
        <w:spacing w:line="360" w:lineRule="auto"/>
        <w:textAlignment w:val="auto"/>
        <w:rPr>
          <w:rFonts w:ascii="新宋体" w:hAnsi="新宋体" w:eastAsia="新宋体" w:cs="新宋体"/>
          <w:b/>
          <w:color w:val="auto"/>
          <w:kern w:val="0"/>
          <w:sz w:val="22"/>
          <w:szCs w:val="22"/>
          <w:highlight w:val="none"/>
        </w:rPr>
      </w:pPr>
      <w:bookmarkStart w:id="95" w:name="_Toc20110"/>
      <w:r>
        <w:rPr>
          <w:rFonts w:hint="eastAsia" w:ascii="新宋体" w:hAnsi="新宋体" w:eastAsia="新宋体" w:cs="新宋体"/>
          <w:b/>
          <w:color w:val="auto"/>
          <w:kern w:val="0"/>
          <w:sz w:val="22"/>
          <w:szCs w:val="22"/>
          <w:highlight w:val="none"/>
        </w:rPr>
        <w:t>四、权利和义务</w:t>
      </w:r>
      <w:bookmarkEnd w:id="95"/>
    </w:p>
    <w:p w14:paraId="5EC9575D">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1.乙方派驻人员的就餐费用由乙方负责提供。</w:t>
      </w:r>
    </w:p>
    <w:p w14:paraId="37C27601">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2.乙方需落实机房网络安全管理和运维相关制度，如因乙方管理及运维不当出现网络安全事件，由乙方承担全部责任。</w:t>
      </w:r>
    </w:p>
    <w:p w14:paraId="17679B44">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3.乙方派驻员工实施甲方安排的维保服务产生的交通费用，由乙方负责。</w:t>
      </w:r>
    </w:p>
    <w:p w14:paraId="5188AE27">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4.乙方要加强技术人员的管理与培训，并保证常驻技术人员的稳定性，未经甲方允许不得擅自更换技术人员。若甲方人发现常驻技术人员不合格，有权要求更换，乙方应在收到甲方的书面通知7个日历日内完成更换。</w:t>
      </w:r>
    </w:p>
    <w:p w14:paraId="4F3936FD">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5.运维及管理期间，乙方应严格按照甲方制订的操作规范和规章制度，对所管理的系统及设备进行规范操作和精心维护及必要维修，保证系统及设备的正常运行，达到甲方提出的系统及设备的考核指标要求。并接受甲方定期和不定期考核。</w:t>
      </w:r>
    </w:p>
    <w:p w14:paraId="102F30FC">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6.若乙方未履行本合同以上各项所规定之职责，由此产生的一切损失，甲方有权向乙方要求相应的赔偿。</w:t>
      </w:r>
    </w:p>
    <w:p w14:paraId="43579A3C">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7.甲乙双方中任何一方如有严重违约行为发生，另一方均有权以书面形式终止本合同，违约方承担由此产生的一切后果。</w:t>
      </w:r>
    </w:p>
    <w:p w14:paraId="6F49CD27">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8.乙方应按甲方要求提供服务。若发现服务未及时响应或工作失误造成损失和恶劣影响的，按每次扣除合同金额的1%，达到10次及以上，甲方有权提前终止服务合作，不支付服务费用。造成经济损失的，应予以赔偿。情节严重的，将予追究法律责任。</w:t>
      </w:r>
    </w:p>
    <w:p w14:paraId="718ACC17">
      <w:pPr>
        <w:keepNext w:val="0"/>
        <w:keepLines w:val="0"/>
        <w:pageBreakBefore w:val="0"/>
        <w:kinsoku/>
        <w:wordWrap/>
        <w:overflowPunct/>
        <w:topLinePunct w:val="0"/>
        <w:bidi w:val="0"/>
        <w:spacing w:line="360" w:lineRule="auto"/>
        <w:textAlignment w:val="auto"/>
        <w:outlineLvl w:val="1"/>
        <w:rPr>
          <w:rFonts w:ascii="新宋体" w:hAnsi="新宋体" w:eastAsia="新宋体" w:cs="新宋体"/>
          <w:b/>
          <w:color w:val="auto"/>
          <w:sz w:val="22"/>
          <w:szCs w:val="22"/>
          <w:highlight w:val="none"/>
        </w:rPr>
      </w:pPr>
      <w:bookmarkStart w:id="96" w:name="_Toc28173"/>
      <w:r>
        <w:rPr>
          <w:rFonts w:hint="eastAsia" w:ascii="新宋体" w:hAnsi="新宋体" w:eastAsia="新宋体" w:cs="新宋体"/>
          <w:b/>
          <w:color w:val="auto"/>
          <w:sz w:val="22"/>
          <w:szCs w:val="22"/>
          <w:highlight w:val="none"/>
        </w:rPr>
        <w:t>五、免责条款</w:t>
      </w:r>
      <w:bookmarkEnd w:id="96"/>
    </w:p>
    <w:p w14:paraId="1D564905">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1.双方的任何一方由于不可抗力的原因不能履行合同时，应以书面形式及时向对方通报不能履行或不能完全履行的理由，并应在15个日历日内提供有关主管部门的证明。在发生不可抗力的情况下，应允许延期履行、部分履行或者不履行合同，并可以免除责任。</w:t>
      </w:r>
    </w:p>
    <w:p w14:paraId="35849F5E">
      <w:pPr>
        <w:keepNext w:val="0"/>
        <w:keepLines w:val="0"/>
        <w:pageBreakBefore w:val="0"/>
        <w:kinsoku/>
        <w:wordWrap/>
        <w:overflowPunct/>
        <w:topLinePunct w:val="0"/>
        <w:bidi w:val="0"/>
        <w:spacing w:line="360" w:lineRule="auto"/>
        <w:ind w:firstLine="444"/>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2.本合同中，不可抗力是指不能预见、不能避免并不能克服的客观情况，包括：战争、火灾、洪水、台风、地震、大面积传播突发性传染性疾病、政策变化或其它人力不可抗拒之事件。</w:t>
      </w:r>
    </w:p>
    <w:p w14:paraId="765C8DC8">
      <w:pPr>
        <w:keepNext w:val="0"/>
        <w:keepLines w:val="0"/>
        <w:pageBreakBefore w:val="0"/>
        <w:kinsoku/>
        <w:wordWrap/>
        <w:overflowPunct/>
        <w:topLinePunct w:val="0"/>
        <w:bidi w:val="0"/>
        <w:spacing w:line="360" w:lineRule="auto"/>
        <w:textAlignment w:val="auto"/>
        <w:outlineLvl w:val="1"/>
        <w:rPr>
          <w:rFonts w:ascii="新宋体" w:hAnsi="新宋体" w:eastAsia="新宋体" w:cs="新宋体"/>
          <w:b/>
          <w:color w:val="auto"/>
          <w:sz w:val="22"/>
          <w:szCs w:val="22"/>
          <w:highlight w:val="none"/>
        </w:rPr>
      </w:pPr>
      <w:bookmarkStart w:id="97" w:name="_Toc2686"/>
      <w:r>
        <w:rPr>
          <w:rFonts w:hint="eastAsia" w:ascii="新宋体" w:hAnsi="新宋体" w:eastAsia="新宋体" w:cs="新宋体"/>
          <w:b/>
          <w:color w:val="auto"/>
          <w:sz w:val="22"/>
          <w:szCs w:val="22"/>
          <w:highlight w:val="none"/>
        </w:rPr>
        <w:t>六、不可抗力</w:t>
      </w:r>
      <w:bookmarkEnd w:id="97"/>
    </w:p>
    <w:p w14:paraId="5711C1E7">
      <w:pPr>
        <w:keepNext w:val="0"/>
        <w:keepLines w:val="0"/>
        <w:pageBreakBefore w:val="0"/>
        <w:kinsoku/>
        <w:wordWrap/>
        <w:overflowPunct/>
        <w:topLinePunct w:val="0"/>
        <w:bidi w:val="0"/>
        <w:spacing w:line="360" w:lineRule="auto"/>
        <w:ind w:firstLine="464" w:firstLineChars="200"/>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如果双方中任何一方由于战争、严重火灾、水灾、破坏性台风和地震以及其它经双方同意属不可抗力的事故，致使合同履行受阻时，履行合同期限应予延长，延长时限相当于事故所影响的时间，或双方协商解决。</w:t>
      </w:r>
    </w:p>
    <w:p w14:paraId="23878299">
      <w:pPr>
        <w:pStyle w:val="76"/>
        <w:keepNext w:val="0"/>
        <w:keepLines w:val="0"/>
        <w:pageBreakBefore w:val="0"/>
        <w:numPr>
          <w:ilvl w:val="0"/>
          <w:numId w:val="27"/>
        </w:numPr>
        <w:kinsoku/>
        <w:wordWrap/>
        <w:overflowPunct/>
        <w:topLinePunct w:val="0"/>
        <w:bidi w:val="0"/>
        <w:spacing w:line="360" w:lineRule="auto"/>
        <w:textAlignment w:val="auto"/>
        <w:rPr>
          <w:rFonts w:ascii="新宋体" w:hAnsi="新宋体" w:eastAsia="新宋体" w:cs="新宋体"/>
          <w:b/>
          <w:color w:val="auto"/>
          <w:kern w:val="2"/>
          <w:sz w:val="22"/>
          <w:szCs w:val="22"/>
          <w:highlight w:val="none"/>
          <w:lang w:val="en-US"/>
        </w:rPr>
      </w:pPr>
      <w:r>
        <w:rPr>
          <w:rFonts w:hint="eastAsia" w:ascii="新宋体" w:hAnsi="新宋体" w:eastAsia="新宋体" w:cs="新宋体"/>
          <w:b/>
          <w:color w:val="auto"/>
          <w:kern w:val="2"/>
          <w:sz w:val="22"/>
          <w:szCs w:val="22"/>
          <w:highlight w:val="none"/>
          <w:lang w:val="en-US"/>
        </w:rPr>
        <w:t>争议的解决</w:t>
      </w:r>
    </w:p>
    <w:p w14:paraId="1C28872E">
      <w:pPr>
        <w:keepNext w:val="0"/>
        <w:keepLines w:val="0"/>
        <w:pageBreakBefore w:val="0"/>
        <w:kinsoku/>
        <w:wordWrap/>
        <w:overflowPunct/>
        <w:topLinePunct w:val="0"/>
        <w:bidi w:val="0"/>
        <w:spacing w:line="360" w:lineRule="auto"/>
        <w:ind w:firstLine="464" w:firstLineChars="200"/>
        <w:textAlignment w:val="auto"/>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合同未尽事宜，应双方友好协调解决。如通过协商还不能解决的，可向甲方所在地人民法院起诉。在诉讼期间，除正在进行诉讼的部分外，本合同其他部分应继续履行。</w:t>
      </w:r>
    </w:p>
    <w:p w14:paraId="12552CFB">
      <w:pPr>
        <w:pStyle w:val="76"/>
        <w:keepNext w:val="0"/>
        <w:keepLines w:val="0"/>
        <w:pageBreakBefore w:val="0"/>
        <w:numPr>
          <w:ilvl w:val="0"/>
          <w:numId w:val="27"/>
        </w:numPr>
        <w:kinsoku/>
        <w:wordWrap/>
        <w:overflowPunct/>
        <w:topLinePunct w:val="0"/>
        <w:bidi w:val="0"/>
        <w:spacing w:line="360" w:lineRule="auto"/>
        <w:textAlignment w:val="auto"/>
        <w:rPr>
          <w:rFonts w:ascii="新宋体" w:hAnsi="新宋体" w:eastAsia="新宋体" w:cs="新宋体"/>
          <w:b/>
          <w:color w:val="auto"/>
          <w:kern w:val="2"/>
          <w:sz w:val="22"/>
          <w:szCs w:val="22"/>
          <w:highlight w:val="none"/>
          <w:lang w:val="en-US"/>
        </w:rPr>
      </w:pPr>
      <w:r>
        <w:rPr>
          <w:rFonts w:hint="eastAsia" w:ascii="新宋体" w:hAnsi="新宋体" w:eastAsia="新宋体" w:cs="新宋体"/>
          <w:b/>
          <w:color w:val="auto"/>
          <w:kern w:val="2"/>
          <w:sz w:val="22"/>
          <w:szCs w:val="22"/>
          <w:highlight w:val="none"/>
          <w:lang w:val="en-US"/>
        </w:rPr>
        <w:t>合同生效及终止</w:t>
      </w:r>
    </w:p>
    <w:p w14:paraId="1091AFD3">
      <w:pPr>
        <w:pStyle w:val="735"/>
        <w:keepNext w:val="0"/>
        <w:keepLines w:val="0"/>
        <w:pageBreakBefore w:val="0"/>
        <w:numPr>
          <w:ilvl w:val="0"/>
          <w:numId w:val="28"/>
        </w:numPr>
        <w:tabs>
          <w:tab w:val="left" w:pos="1227"/>
        </w:tabs>
        <w:kinsoku/>
        <w:wordWrap/>
        <w:overflowPunct/>
        <w:topLinePunct w:val="0"/>
        <w:bidi w:val="0"/>
        <w:spacing w:line="360" w:lineRule="auto"/>
        <w:ind w:firstLine="66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合同生效：本合同自甲乙双方盖章之日起生效。</w:t>
      </w:r>
    </w:p>
    <w:p w14:paraId="2822B7A1">
      <w:pPr>
        <w:pStyle w:val="735"/>
        <w:keepNext w:val="0"/>
        <w:keepLines w:val="0"/>
        <w:pageBreakBefore w:val="0"/>
        <w:numPr>
          <w:ilvl w:val="0"/>
          <w:numId w:val="28"/>
        </w:numPr>
        <w:tabs>
          <w:tab w:val="left" w:pos="1227"/>
        </w:tabs>
        <w:kinsoku/>
        <w:wordWrap/>
        <w:overflowPunct/>
        <w:topLinePunct w:val="0"/>
        <w:bidi w:val="0"/>
        <w:spacing w:line="360" w:lineRule="auto"/>
        <w:ind w:firstLine="660"/>
        <w:textAlignment w:val="auto"/>
        <w:rPr>
          <w:rFonts w:ascii="新宋体" w:hAnsi="新宋体" w:eastAsia="新宋体" w:cs="新宋体"/>
          <w:color w:val="auto"/>
          <w:sz w:val="22"/>
          <w:szCs w:val="22"/>
          <w:highlight w:val="none"/>
        </w:rPr>
      </w:pPr>
      <w:bookmarkStart w:id="98" w:name="bookmark25"/>
      <w:bookmarkEnd w:id="98"/>
      <w:r>
        <w:rPr>
          <w:rFonts w:hint="eastAsia" w:ascii="新宋体" w:hAnsi="新宋体" w:eastAsia="新宋体" w:cs="新宋体"/>
          <w:color w:val="auto"/>
          <w:sz w:val="22"/>
          <w:szCs w:val="22"/>
          <w:highlight w:val="none"/>
        </w:rPr>
        <w:t>合同终止：本合同出现以下情况时终止。</w:t>
      </w:r>
    </w:p>
    <w:p w14:paraId="2DD14316">
      <w:pPr>
        <w:pStyle w:val="735"/>
        <w:keepNext w:val="0"/>
        <w:keepLines w:val="0"/>
        <w:pageBreakBefore w:val="0"/>
        <w:tabs>
          <w:tab w:val="left" w:pos="898"/>
        </w:tabs>
        <w:kinsoku/>
        <w:wordWrap/>
        <w:overflowPunct/>
        <w:topLinePunct w:val="0"/>
        <w:bidi w:val="0"/>
        <w:spacing w:line="360" w:lineRule="auto"/>
        <w:ind w:firstLine="540"/>
        <w:textAlignment w:val="auto"/>
        <w:rPr>
          <w:rFonts w:ascii="新宋体" w:hAnsi="新宋体" w:eastAsia="新宋体" w:cs="新宋体"/>
          <w:color w:val="auto"/>
          <w:sz w:val="22"/>
          <w:szCs w:val="22"/>
          <w:highlight w:val="none"/>
          <w:lang w:eastAsia="zh-CN"/>
        </w:rPr>
      </w:pPr>
      <w:bookmarkStart w:id="99" w:name="bookmark26"/>
      <w:r>
        <w:rPr>
          <w:rFonts w:hint="eastAsia" w:ascii="新宋体" w:hAnsi="新宋体" w:eastAsia="新宋体" w:cs="新宋体"/>
          <w:color w:val="auto"/>
          <w:sz w:val="22"/>
          <w:szCs w:val="22"/>
          <w:highlight w:val="none"/>
        </w:rPr>
        <w:t>1</w:t>
      </w:r>
      <w:bookmarkEnd w:id="99"/>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期限届满时自行终止</w:t>
      </w:r>
      <w:r>
        <w:rPr>
          <w:rFonts w:hint="eastAsia" w:ascii="新宋体" w:hAnsi="新宋体" w:eastAsia="新宋体" w:cs="新宋体"/>
          <w:color w:val="auto"/>
          <w:sz w:val="22"/>
          <w:szCs w:val="22"/>
          <w:highlight w:val="none"/>
          <w:lang w:val="en-US" w:eastAsia="zh-CN"/>
        </w:rPr>
        <w:t>；</w:t>
      </w:r>
    </w:p>
    <w:p w14:paraId="522ED3A1">
      <w:pPr>
        <w:pStyle w:val="735"/>
        <w:keepNext w:val="0"/>
        <w:keepLines w:val="0"/>
        <w:pageBreakBefore w:val="0"/>
        <w:tabs>
          <w:tab w:val="left" w:pos="884"/>
        </w:tabs>
        <w:kinsoku/>
        <w:wordWrap/>
        <w:overflowPunct/>
        <w:topLinePunct w:val="0"/>
        <w:bidi w:val="0"/>
        <w:spacing w:line="360" w:lineRule="auto"/>
        <w:ind w:firstLine="540"/>
        <w:textAlignment w:val="auto"/>
        <w:rPr>
          <w:rFonts w:ascii="新宋体" w:hAnsi="新宋体" w:eastAsia="新宋体" w:cs="新宋体"/>
          <w:color w:val="auto"/>
          <w:sz w:val="22"/>
          <w:szCs w:val="22"/>
          <w:highlight w:val="none"/>
          <w:lang w:eastAsia="zh-CN"/>
        </w:rPr>
      </w:pPr>
      <w:bookmarkStart w:id="100" w:name="bookmark27"/>
      <w:r>
        <w:rPr>
          <w:rFonts w:hint="eastAsia" w:ascii="新宋体" w:hAnsi="新宋体" w:eastAsia="新宋体" w:cs="新宋体"/>
          <w:color w:val="auto"/>
          <w:sz w:val="22"/>
          <w:szCs w:val="22"/>
          <w:highlight w:val="none"/>
        </w:rPr>
        <w:t>2</w:t>
      </w:r>
      <w:bookmarkEnd w:id="100"/>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乙方在签定合同15日内，未能按照投标文件的要求，甲方有权单方终止合同</w:t>
      </w:r>
      <w:r>
        <w:rPr>
          <w:rFonts w:hint="eastAsia" w:ascii="新宋体" w:hAnsi="新宋体" w:eastAsia="新宋体" w:cs="新宋体"/>
          <w:color w:val="auto"/>
          <w:sz w:val="22"/>
          <w:szCs w:val="22"/>
          <w:highlight w:val="none"/>
          <w:lang w:eastAsia="zh-CN"/>
        </w:rPr>
        <w:t>；</w:t>
      </w:r>
    </w:p>
    <w:p w14:paraId="7AD1E420">
      <w:pPr>
        <w:pStyle w:val="735"/>
        <w:keepNext w:val="0"/>
        <w:keepLines w:val="0"/>
        <w:pageBreakBefore w:val="0"/>
        <w:tabs>
          <w:tab w:val="left" w:pos="906"/>
        </w:tabs>
        <w:kinsoku/>
        <w:wordWrap/>
        <w:overflowPunct/>
        <w:topLinePunct w:val="0"/>
        <w:bidi w:val="0"/>
        <w:spacing w:line="360" w:lineRule="auto"/>
        <w:ind w:firstLine="540"/>
        <w:textAlignment w:val="auto"/>
        <w:rPr>
          <w:rFonts w:ascii="新宋体" w:hAnsi="新宋体" w:eastAsia="新宋体" w:cs="新宋体"/>
          <w:color w:val="auto"/>
          <w:sz w:val="22"/>
          <w:szCs w:val="22"/>
          <w:highlight w:val="none"/>
          <w:lang w:eastAsia="zh-CN"/>
        </w:rPr>
      </w:pPr>
      <w:bookmarkStart w:id="101" w:name="bookmark28"/>
      <w:r>
        <w:rPr>
          <w:rFonts w:hint="eastAsia" w:ascii="新宋体" w:hAnsi="新宋体" w:eastAsia="新宋体" w:cs="新宋体"/>
          <w:color w:val="auto"/>
          <w:sz w:val="22"/>
          <w:szCs w:val="22"/>
          <w:highlight w:val="none"/>
        </w:rPr>
        <w:t>3</w:t>
      </w:r>
      <w:bookmarkEnd w:id="101"/>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ab/>
      </w:r>
      <w:r>
        <w:rPr>
          <w:rFonts w:hint="eastAsia" w:ascii="新宋体" w:hAnsi="新宋体" w:cs="新宋体"/>
          <w:color w:val="auto"/>
          <w:sz w:val="22"/>
          <w:szCs w:val="22"/>
          <w:highlight w:val="none"/>
          <w:lang w:eastAsia="zh-CN"/>
        </w:rPr>
        <w:t>乙方</w:t>
      </w:r>
      <w:r>
        <w:rPr>
          <w:rFonts w:hint="eastAsia" w:ascii="新宋体" w:hAnsi="新宋体" w:eastAsia="新宋体" w:cs="新宋体"/>
          <w:color w:val="auto"/>
          <w:sz w:val="22"/>
          <w:szCs w:val="22"/>
          <w:highlight w:val="none"/>
        </w:rPr>
        <w:t>有以下行为之一的</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甲方有权单方终止合同：</w:t>
      </w:r>
      <w:bookmarkStart w:id="102" w:name="bookmark29"/>
      <w:bookmarkEnd w:id="102"/>
    </w:p>
    <w:p w14:paraId="5F6D8985">
      <w:pPr>
        <w:pStyle w:val="735"/>
        <w:keepNext w:val="0"/>
        <w:keepLines w:val="0"/>
        <w:pageBreakBefore w:val="0"/>
        <w:numPr>
          <w:ilvl w:val="0"/>
          <w:numId w:val="29"/>
        </w:numPr>
        <w:tabs>
          <w:tab w:val="left" w:pos="1126"/>
        </w:tabs>
        <w:kinsoku/>
        <w:wordWrap/>
        <w:overflowPunct/>
        <w:topLinePunct w:val="0"/>
        <w:bidi w:val="0"/>
        <w:spacing w:line="360" w:lineRule="auto"/>
        <w:ind w:firstLine="658"/>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违反管理规定，造成重大伤亡或重大损失。</w:t>
      </w:r>
    </w:p>
    <w:p w14:paraId="7CBC0773">
      <w:pPr>
        <w:pStyle w:val="735"/>
        <w:keepNext w:val="0"/>
        <w:keepLines w:val="0"/>
        <w:pageBreakBefore w:val="0"/>
        <w:numPr>
          <w:ilvl w:val="0"/>
          <w:numId w:val="29"/>
        </w:numPr>
        <w:tabs>
          <w:tab w:val="left" w:pos="1126"/>
        </w:tabs>
        <w:kinsoku/>
        <w:wordWrap/>
        <w:overflowPunct/>
        <w:topLinePunct w:val="0"/>
        <w:bidi w:val="0"/>
        <w:spacing w:line="360" w:lineRule="auto"/>
        <w:ind w:firstLine="658"/>
        <w:textAlignment w:val="auto"/>
        <w:rPr>
          <w:rFonts w:ascii="新宋体" w:hAnsi="新宋体" w:eastAsia="新宋体" w:cs="新宋体"/>
          <w:color w:val="auto"/>
          <w:sz w:val="22"/>
          <w:szCs w:val="22"/>
          <w:highlight w:val="none"/>
        </w:rPr>
      </w:pPr>
      <w:bookmarkStart w:id="103" w:name="bookmark30"/>
      <w:bookmarkEnd w:id="103"/>
      <w:r>
        <w:rPr>
          <w:rFonts w:hint="eastAsia" w:ascii="新宋体" w:hAnsi="新宋体" w:eastAsia="新宋体" w:cs="新宋体"/>
          <w:color w:val="auto"/>
          <w:sz w:val="22"/>
          <w:szCs w:val="22"/>
          <w:highlight w:val="none"/>
        </w:rPr>
        <w:t>因管理不善造成恶劣影响。</w:t>
      </w:r>
    </w:p>
    <w:p w14:paraId="0E9180F8">
      <w:pPr>
        <w:pStyle w:val="735"/>
        <w:keepNext w:val="0"/>
        <w:keepLines w:val="0"/>
        <w:pageBreakBefore w:val="0"/>
        <w:numPr>
          <w:ilvl w:val="0"/>
          <w:numId w:val="29"/>
        </w:numPr>
        <w:tabs>
          <w:tab w:val="left" w:pos="1126"/>
        </w:tabs>
        <w:kinsoku/>
        <w:wordWrap/>
        <w:overflowPunct/>
        <w:topLinePunct w:val="0"/>
        <w:bidi w:val="0"/>
        <w:spacing w:line="360" w:lineRule="auto"/>
        <w:ind w:firstLine="658"/>
        <w:textAlignment w:val="auto"/>
        <w:rPr>
          <w:rFonts w:ascii="新宋体" w:hAnsi="新宋体" w:eastAsia="新宋体" w:cs="新宋体"/>
          <w:color w:val="auto"/>
          <w:sz w:val="22"/>
          <w:szCs w:val="22"/>
          <w:highlight w:val="none"/>
        </w:rPr>
      </w:pPr>
      <w:bookmarkStart w:id="104" w:name="bookmark31"/>
      <w:bookmarkEnd w:id="104"/>
      <w:r>
        <w:rPr>
          <w:rFonts w:hint="eastAsia" w:ascii="新宋体" w:hAnsi="新宋体" w:eastAsia="新宋体" w:cs="新宋体"/>
          <w:color w:val="auto"/>
          <w:sz w:val="22"/>
          <w:szCs w:val="22"/>
          <w:highlight w:val="none"/>
        </w:rPr>
        <w:t>擅自将合同</w:t>
      </w:r>
      <w:r>
        <w:rPr>
          <w:rFonts w:hint="eastAsia" w:ascii="新宋体" w:hAnsi="新宋体" w:cs="新宋体"/>
          <w:color w:val="auto"/>
          <w:sz w:val="22"/>
          <w:szCs w:val="22"/>
          <w:highlight w:val="none"/>
          <w:lang w:eastAsia="zh-CN"/>
        </w:rPr>
        <w:t>全部或部分</w:t>
      </w:r>
      <w:r>
        <w:rPr>
          <w:rFonts w:hint="eastAsia" w:ascii="新宋体" w:hAnsi="新宋体" w:eastAsia="新宋体" w:cs="新宋体"/>
          <w:color w:val="auto"/>
          <w:sz w:val="22"/>
          <w:szCs w:val="22"/>
          <w:highlight w:val="none"/>
        </w:rPr>
        <w:t>转包给第三者。</w:t>
      </w:r>
    </w:p>
    <w:p w14:paraId="35EE992B">
      <w:pPr>
        <w:pStyle w:val="735"/>
        <w:keepNext w:val="0"/>
        <w:keepLines w:val="0"/>
        <w:pageBreakBefore w:val="0"/>
        <w:numPr>
          <w:ilvl w:val="0"/>
          <w:numId w:val="29"/>
        </w:numPr>
        <w:tabs>
          <w:tab w:val="left" w:pos="1126"/>
        </w:tabs>
        <w:kinsoku/>
        <w:wordWrap/>
        <w:overflowPunct/>
        <w:topLinePunct w:val="0"/>
        <w:bidi w:val="0"/>
        <w:spacing w:line="360" w:lineRule="auto"/>
        <w:ind w:firstLine="658"/>
        <w:textAlignment w:val="auto"/>
        <w:rPr>
          <w:rFonts w:ascii="新宋体" w:hAnsi="新宋体" w:eastAsia="新宋体" w:cs="新宋体"/>
          <w:b/>
          <w:color w:val="auto"/>
          <w:sz w:val="22"/>
          <w:szCs w:val="22"/>
          <w:highlight w:val="none"/>
          <w:lang w:val="en-US"/>
        </w:rPr>
      </w:pPr>
      <w:bookmarkStart w:id="105" w:name="bookmark32"/>
      <w:bookmarkEnd w:id="105"/>
      <w:r>
        <w:rPr>
          <w:rFonts w:hint="eastAsia" w:ascii="新宋体" w:hAnsi="新宋体" w:eastAsia="新宋体" w:cs="新宋体"/>
          <w:color w:val="auto"/>
          <w:sz w:val="22"/>
          <w:szCs w:val="22"/>
          <w:highlight w:val="none"/>
        </w:rPr>
        <w:t>违反劳动法或其他相关法律法规，造成恶劣影响。</w:t>
      </w:r>
      <w:bookmarkStart w:id="106" w:name="bookmark33"/>
      <w:bookmarkEnd w:id="106"/>
    </w:p>
    <w:p w14:paraId="31F10AC3">
      <w:pPr>
        <w:pStyle w:val="735"/>
        <w:keepNext w:val="0"/>
        <w:keepLines w:val="0"/>
        <w:pageBreakBefore w:val="0"/>
        <w:numPr>
          <w:ilvl w:val="0"/>
          <w:numId w:val="29"/>
        </w:numPr>
        <w:tabs>
          <w:tab w:val="left" w:pos="1126"/>
        </w:tabs>
        <w:kinsoku/>
        <w:wordWrap/>
        <w:overflowPunct/>
        <w:topLinePunct w:val="0"/>
        <w:bidi w:val="0"/>
        <w:spacing w:line="360" w:lineRule="auto"/>
        <w:ind w:firstLine="658"/>
        <w:textAlignment w:val="auto"/>
        <w:rPr>
          <w:rFonts w:ascii="新宋体" w:hAnsi="新宋体" w:eastAsia="新宋体" w:cs="新宋体"/>
          <w:b/>
          <w:color w:val="auto"/>
          <w:sz w:val="22"/>
          <w:szCs w:val="22"/>
          <w:highlight w:val="none"/>
          <w:lang w:val="en-US"/>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投标</w:t>
      </w:r>
      <w:r>
        <w:rPr>
          <w:rFonts w:hint="eastAsia" w:ascii="新宋体" w:hAnsi="新宋体" w:eastAsia="新宋体" w:cs="新宋体"/>
          <w:color w:val="auto"/>
          <w:sz w:val="22"/>
          <w:szCs w:val="22"/>
          <w:highlight w:val="none"/>
        </w:rPr>
        <w:t>文件》承诺项目未落实到位的，弄虚作假及其他不正当行为。</w:t>
      </w:r>
    </w:p>
    <w:p w14:paraId="0C386B57">
      <w:pPr>
        <w:pStyle w:val="53"/>
        <w:keepNext w:val="0"/>
        <w:keepLines w:val="0"/>
        <w:pageBreakBefore w:val="0"/>
        <w:kinsoku/>
        <w:wordWrap/>
        <w:overflowPunct/>
        <w:topLinePunct w:val="0"/>
        <w:bidi w:val="0"/>
        <w:spacing w:before="0" w:after="0" w:line="360" w:lineRule="auto"/>
        <w:jc w:val="left"/>
        <w:textAlignment w:val="auto"/>
        <w:rPr>
          <w:rFonts w:ascii="新宋体" w:hAnsi="新宋体" w:eastAsia="新宋体" w:cs="新宋体"/>
          <w:bCs w:val="0"/>
          <w:color w:val="auto"/>
          <w:sz w:val="22"/>
          <w:szCs w:val="22"/>
          <w:highlight w:val="none"/>
        </w:rPr>
      </w:pPr>
      <w:r>
        <w:rPr>
          <w:rFonts w:hint="eastAsia" w:ascii="新宋体" w:hAnsi="新宋体" w:eastAsia="新宋体" w:cs="新宋体"/>
          <w:bCs w:val="0"/>
          <w:color w:val="auto"/>
          <w:sz w:val="22"/>
          <w:szCs w:val="22"/>
          <w:highlight w:val="none"/>
          <w:lang w:val="en-US" w:eastAsia="zh-CN"/>
        </w:rPr>
        <w:t>九</w:t>
      </w:r>
      <w:r>
        <w:rPr>
          <w:rFonts w:hint="eastAsia" w:ascii="新宋体" w:hAnsi="新宋体" w:eastAsia="新宋体" w:cs="新宋体"/>
          <w:bCs w:val="0"/>
          <w:color w:val="auto"/>
          <w:sz w:val="22"/>
          <w:szCs w:val="22"/>
          <w:highlight w:val="none"/>
        </w:rPr>
        <w:t>、保密</w:t>
      </w:r>
    </w:p>
    <w:p w14:paraId="2415B1C1">
      <w:pPr>
        <w:keepNext w:val="0"/>
        <w:keepLines w:val="0"/>
        <w:pageBreakBefore w:val="0"/>
        <w:kinsoku/>
        <w:wordWrap/>
        <w:overflowPunct/>
        <w:topLinePunct w:val="0"/>
        <w:bidi w:val="0"/>
        <w:spacing w:line="360" w:lineRule="auto"/>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详见附件一安全保密协议。</w:t>
      </w:r>
    </w:p>
    <w:p w14:paraId="75B1EEA6">
      <w:pPr>
        <w:pStyle w:val="76"/>
        <w:keepNext w:val="0"/>
        <w:keepLines w:val="0"/>
        <w:pageBreakBefore w:val="0"/>
        <w:kinsoku/>
        <w:wordWrap/>
        <w:overflowPunct/>
        <w:topLinePunct w:val="0"/>
        <w:bidi w:val="0"/>
        <w:spacing w:line="360" w:lineRule="auto"/>
        <w:textAlignment w:val="auto"/>
        <w:rPr>
          <w:rFonts w:hint="eastAsia" w:ascii="新宋体" w:hAnsi="新宋体" w:eastAsia="新宋体" w:cs="新宋体"/>
          <w:color w:val="auto"/>
          <w:sz w:val="22"/>
          <w:szCs w:val="22"/>
          <w:highlight w:val="none"/>
        </w:rPr>
      </w:pPr>
    </w:p>
    <w:p w14:paraId="436E7999">
      <w:pPr>
        <w:pStyle w:val="76"/>
        <w:keepNext w:val="0"/>
        <w:keepLines w:val="0"/>
        <w:pageBreakBefore w:val="0"/>
        <w:kinsoku/>
        <w:wordWrap/>
        <w:overflowPunct/>
        <w:topLinePunct w:val="0"/>
        <w:bidi w:val="0"/>
        <w:spacing w:line="360" w:lineRule="auto"/>
        <w:textAlignment w:val="auto"/>
        <w:rPr>
          <w:rFonts w:hint="eastAsia" w:ascii="新宋体" w:hAnsi="新宋体" w:eastAsia="新宋体" w:cs="新宋体"/>
          <w:color w:val="auto"/>
          <w:sz w:val="22"/>
          <w:szCs w:val="22"/>
          <w:highlight w:val="none"/>
        </w:rPr>
      </w:pPr>
    </w:p>
    <w:p w14:paraId="77D6ED81">
      <w:pPr>
        <w:pStyle w:val="76"/>
        <w:keepNext w:val="0"/>
        <w:keepLines w:val="0"/>
        <w:pageBreakBefore w:val="0"/>
        <w:kinsoku/>
        <w:wordWrap/>
        <w:overflowPunct/>
        <w:topLinePunct w:val="0"/>
        <w:bidi w:val="0"/>
        <w:spacing w:line="360" w:lineRule="auto"/>
        <w:textAlignment w:val="auto"/>
        <w:rPr>
          <w:rFonts w:hint="eastAsia" w:ascii="新宋体" w:hAnsi="新宋体" w:eastAsia="新宋体" w:cs="新宋体"/>
          <w:color w:val="auto"/>
          <w:sz w:val="22"/>
          <w:szCs w:val="22"/>
          <w:highlight w:val="none"/>
        </w:rPr>
      </w:pPr>
    </w:p>
    <w:p w14:paraId="0875231D">
      <w:pPr>
        <w:pStyle w:val="735"/>
        <w:keepNext w:val="0"/>
        <w:keepLines w:val="0"/>
        <w:pageBreakBefore w:val="0"/>
        <w:tabs>
          <w:tab w:val="left" w:pos="884"/>
        </w:tabs>
        <w:kinsoku/>
        <w:wordWrap/>
        <w:overflowPunct/>
        <w:topLinePunct w:val="0"/>
        <w:bidi w:val="0"/>
        <w:spacing w:line="360" w:lineRule="auto"/>
        <w:ind w:firstLine="540"/>
        <w:textAlignment w:val="auto"/>
        <w:rPr>
          <w:rFonts w:hint="eastAsia" w:ascii="新宋体" w:hAnsi="新宋体" w:eastAsia="新宋体" w:cs="新宋体"/>
          <w:color w:val="auto"/>
          <w:sz w:val="22"/>
          <w:szCs w:val="22"/>
          <w:highlight w:val="none"/>
          <w:lang w:eastAsia="zh-CN"/>
        </w:rPr>
      </w:pPr>
    </w:p>
    <w:p w14:paraId="56CD5077">
      <w:pPr>
        <w:pStyle w:val="29"/>
        <w:tabs>
          <w:tab w:val="left" w:pos="7935"/>
        </w:tabs>
        <w:snapToGrid w:val="0"/>
        <w:spacing w:line="400" w:lineRule="exact"/>
        <w:rPr>
          <w:rFonts w:hAnsi="宋体" w:cs="Arial"/>
          <w:color w:val="auto"/>
          <w:sz w:val="22"/>
          <w:szCs w:val="22"/>
          <w:highlight w:val="none"/>
        </w:rPr>
      </w:pPr>
      <w:r>
        <w:rPr>
          <w:rFonts w:hint="eastAsia" w:hAnsi="宋体" w:cs="Arial"/>
          <w:color w:val="auto"/>
          <w:sz w:val="22"/>
          <w:szCs w:val="22"/>
          <w:highlight w:val="none"/>
        </w:rPr>
        <w:t>甲方：                                                 乙方：</w:t>
      </w:r>
      <w:r>
        <w:rPr>
          <w:rFonts w:hint="eastAsia" w:hAnsi="宋体" w:cs="Arial"/>
          <w:color w:val="auto"/>
          <w:sz w:val="22"/>
          <w:szCs w:val="22"/>
          <w:highlight w:val="none"/>
        </w:rPr>
        <w:tab/>
      </w:r>
    </w:p>
    <w:p w14:paraId="39EA8E9D">
      <w:pPr>
        <w:pStyle w:val="29"/>
        <w:snapToGrid w:val="0"/>
        <w:spacing w:line="400" w:lineRule="exact"/>
        <w:rPr>
          <w:rFonts w:hAnsi="宋体" w:cs="Arial"/>
          <w:color w:val="auto"/>
          <w:sz w:val="22"/>
          <w:szCs w:val="22"/>
          <w:highlight w:val="none"/>
        </w:rPr>
      </w:pPr>
      <w:r>
        <w:rPr>
          <w:rFonts w:hint="eastAsia" w:hAnsi="宋体" w:cs="Arial"/>
          <w:color w:val="auto"/>
          <w:sz w:val="22"/>
          <w:szCs w:val="22"/>
          <w:highlight w:val="none"/>
        </w:rPr>
        <w:t>（盖章）                                              （盖章）</w:t>
      </w:r>
    </w:p>
    <w:p w14:paraId="152A8334">
      <w:pPr>
        <w:pStyle w:val="29"/>
        <w:snapToGrid w:val="0"/>
        <w:spacing w:line="400" w:lineRule="exact"/>
        <w:rPr>
          <w:rFonts w:hAnsi="宋体" w:cs="Arial"/>
          <w:color w:val="auto"/>
          <w:sz w:val="22"/>
          <w:szCs w:val="22"/>
          <w:highlight w:val="none"/>
        </w:rPr>
      </w:pPr>
      <w:r>
        <w:rPr>
          <w:rFonts w:hint="eastAsia" w:hAnsi="宋体" w:cs="Arial"/>
          <w:color w:val="auto"/>
          <w:sz w:val="22"/>
          <w:szCs w:val="22"/>
          <w:highlight w:val="none"/>
        </w:rPr>
        <w:t>授权代表（签字）：                                     授权代表（签字）：</w:t>
      </w:r>
    </w:p>
    <w:p w14:paraId="20E23918">
      <w:pPr>
        <w:pStyle w:val="29"/>
        <w:snapToGrid w:val="0"/>
        <w:spacing w:line="400" w:lineRule="exact"/>
        <w:rPr>
          <w:rFonts w:hAnsi="宋体" w:cs="Arial"/>
          <w:color w:val="auto"/>
          <w:sz w:val="22"/>
          <w:szCs w:val="22"/>
          <w:highlight w:val="none"/>
        </w:rPr>
      </w:pPr>
      <w:r>
        <w:rPr>
          <w:rFonts w:hint="eastAsia" w:hAnsi="宋体" w:cs="Arial"/>
          <w:color w:val="auto"/>
          <w:sz w:val="22"/>
          <w:szCs w:val="22"/>
          <w:highlight w:val="none"/>
        </w:rPr>
        <w:t>地址：                                                 地址：</w:t>
      </w:r>
    </w:p>
    <w:p w14:paraId="3CD87CB8">
      <w:pPr>
        <w:pStyle w:val="76"/>
        <w:rPr>
          <w:rFonts w:hint="eastAsia" w:ascii="新宋体" w:hAnsi="新宋体" w:eastAsia="新宋体" w:cs="新宋体"/>
          <w:color w:val="auto"/>
          <w:sz w:val="22"/>
          <w:szCs w:val="22"/>
          <w:highlight w:val="none"/>
        </w:rPr>
      </w:pPr>
    </w:p>
    <w:p w14:paraId="1222B084">
      <w:pPr>
        <w:pStyle w:val="76"/>
        <w:rPr>
          <w:rFonts w:hint="eastAsia" w:ascii="新宋体" w:hAnsi="新宋体" w:eastAsia="新宋体" w:cs="新宋体"/>
          <w:color w:val="auto"/>
          <w:sz w:val="22"/>
          <w:szCs w:val="22"/>
          <w:highlight w:val="none"/>
        </w:rPr>
      </w:pPr>
    </w:p>
    <w:p w14:paraId="7FCD2024">
      <w:pPr>
        <w:pStyle w:val="76"/>
        <w:rPr>
          <w:rFonts w:hint="eastAsia" w:ascii="新宋体" w:hAnsi="新宋体" w:eastAsia="新宋体" w:cs="新宋体"/>
          <w:color w:val="auto"/>
          <w:sz w:val="22"/>
          <w:szCs w:val="22"/>
          <w:highlight w:val="none"/>
        </w:rPr>
      </w:pPr>
    </w:p>
    <w:p w14:paraId="783709C4">
      <w:pPr>
        <w:pStyle w:val="76"/>
        <w:rPr>
          <w:rFonts w:hint="eastAsia" w:ascii="新宋体" w:hAnsi="新宋体" w:eastAsia="新宋体" w:cs="新宋体"/>
          <w:color w:val="auto"/>
          <w:sz w:val="22"/>
          <w:szCs w:val="22"/>
          <w:highlight w:val="none"/>
        </w:rPr>
      </w:pPr>
    </w:p>
    <w:p w14:paraId="0F95FEF3">
      <w:pPr>
        <w:pStyle w:val="76"/>
        <w:rPr>
          <w:rFonts w:hint="eastAsia" w:ascii="新宋体" w:hAnsi="新宋体" w:eastAsia="新宋体" w:cs="新宋体"/>
          <w:color w:val="auto"/>
          <w:sz w:val="22"/>
          <w:szCs w:val="22"/>
          <w:highlight w:val="none"/>
        </w:rPr>
      </w:pPr>
    </w:p>
    <w:p w14:paraId="15C4B944">
      <w:pPr>
        <w:spacing w:line="440" w:lineRule="exact"/>
      </w:pPr>
    </w:p>
    <w:p w14:paraId="637101E4">
      <w:pPr>
        <w:spacing w:line="440" w:lineRule="exact"/>
        <w:rPr>
          <w:rFonts w:ascii="新宋体" w:hAnsi="新宋体" w:eastAsia="新宋体" w:cs="新宋体"/>
          <w:b/>
          <w:bCs/>
          <w:color w:val="auto"/>
          <w:sz w:val="22"/>
          <w:szCs w:val="22"/>
          <w:highlight w:val="none"/>
        </w:rPr>
      </w:pPr>
      <w:r>
        <w:rPr>
          <w:rFonts w:hint="eastAsia" w:hAnsi="新宋体" w:eastAsia="新宋体" w:cs="新宋体"/>
          <w:b/>
          <w:bCs/>
          <w:color w:val="auto"/>
          <w:sz w:val="22"/>
          <w:szCs w:val="22"/>
          <w:highlight w:val="none"/>
          <w:lang w:eastAsia="zh-CN"/>
        </w:rPr>
        <w:br w:type="page"/>
      </w:r>
      <w:r>
        <w:rPr>
          <w:rFonts w:hint="eastAsia" w:ascii="新宋体" w:hAnsi="新宋体" w:eastAsia="新宋体" w:cs="新宋体"/>
          <w:b/>
          <w:bCs/>
          <w:color w:val="auto"/>
          <w:sz w:val="22"/>
          <w:szCs w:val="22"/>
          <w:highlight w:val="none"/>
        </w:rPr>
        <w:t>附件一：安全保密协议</w:t>
      </w:r>
    </w:p>
    <w:p w14:paraId="7A93F39E">
      <w:pPr>
        <w:pStyle w:val="76"/>
        <w:spacing w:line="440" w:lineRule="exact"/>
        <w:rPr>
          <w:rFonts w:ascii="新宋体" w:hAnsi="新宋体" w:eastAsia="新宋体" w:cs="新宋体"/>
          <w:b/>
          <w:bCs/>
          <w:color w:val="auto"/>
          <w:sz w:val="22"/>
          <w:highlight w:val="none"/>
          <w:lang w:val="en-US"/>
        </w:rPr>
      </w:pPr>
    </w:p>
    <w:p w14:paraId="5C93AF3B">
      <w:pPr>
        <w:pStyle w:val="76"/>
        <w:spacing w:line="440" w:lineRule="exact"/>
        <w:jc w:val="center"/>
        <w:rPr>
          <w:rFonts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交通基础设施硬件及业务系统运维</w:t>
      </w:r>
      <w:r>
        <w:rPr>
          <w:rFonts w:hint="eastAsia" w:ascii="新宋体" w:hAnsi="新宋体" w:eastAsia="新宋体" w:cs="新宋体"/>
          <w:color w:val="auto"/>
          <w:sz w:val="22"/>
          <w:highlight w:val="none"/>
        </w:rPr>
        <w:t>项目</w:t>
      </w:r>
    </w:p>
    <w:p w14:paraId="7CFAA9B7">
      <w:pPr>
        <w:spacing w:line="44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安全保密协议</w:t>
      </w:r>
    </w:p>
    <w:p w14:paraId="1ADACD06">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甲方：温州市交通运输局</w:t>
      </w:r>
    </w:p>
    <w:p w14:paraId="2E1FD8C1">
      <w:pPr>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w:t>
      </w:r>
    </w:p>
    <w:p w14:paraId="74294F11">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交通基础设施硬件及业务系统运维</w:t>
      </w:r>
      <w:r>
        <w:rPr>
          <w:rFonts w:hint="eastAsia" w:ascii="新宋体" w:hAnsi="新宋体" w:eastAsia="新宋体" w:cs="新宋体"/>
          <w:color w:val="auto"/>
          <w:sz w:val="22"/>
          <w:szCs w:val="22"/>
          <w:highlight w:val="none"/>
        </w:rPr>
        <w:t>项目（以下简称“项目”），项目实施过程中涉及到技术信息以及技术资料的安全性，经双方协商一致，为确保相应工作涉及的技术信息和技术资源不被泄露，并防止上述保密信息被滥用，甲乙双方达成如下协议：</w:t>
      </w:r>
    </w:p>
    <w:p w14:paraId="3B485764">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一、甲乙双方作为相关工作的承担或参与单位，其工作任务依据相关工作的有关任务书确定，本协议仅涉及承担或参与该相关工作过程中及以后的保密责任。</w:t>
      </w:r>
    </w:p>
    <w:p w14:paraId="1FDE8114">
      <w:pPr>
        <w:spacing w:line="440" w:lineRule="exact"/>
        <w:ind w:firstLine="442" w:firstLineChars="200"/>
        <w:rPr>
          <w:rFonts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二、</w:t>
      </w:r>
      <w:r>
        <w:rPr>
          <w:rFonts w:hint="eastAsia" w:ascii="新宋体" w:hAnsi="新宋体" w:eastAsia="新宋体" w:cs="新宋体"/>
          <w:color w:val="auto"/>
          <w:sz w:val="22"/>
          <w:szCs w:val="22"/>
          <w:highlight w:val="none"/>
        </w:rPr>
        <w:t>本协议涉及保密的技术信息和技术资料（以下简称“保密信息”）包括但不限于：</w:t>
      </w:r>
    </w:p>
    <w:p w14:paraId="5DF613B6">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项目合同中涉及的技术信息和技术资料。甲方的技术方案、数据库、源程序、目标程序、技术文档、计算机系统的漏洞信息等信息；甲方应用系统内容、数据存储和传输、系统测试及试运行期间的客户资料等信息；甲方现有的网络拓扑结构及其相关资料，包括网络参数、设备配置、IP地址规划、命名规则等；甲方现有安全机制及规划目标、所有系统的应急方案、应用系统接口程序与文档等信息。以及有关会议文件，纪要和决定等；</w:t>
      </w:r>
    </w:p>
    <w:p w14:paraId="4EF86012">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2．甲乙双方之间工作往来的沟通记录、录音、传真，信函，电子邮件等；</w:t>
      </w:r>
    </w:p>
    <w:p w14:paraId="4BEFE9B3">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3．项目工作实施过程中产生的新的技术信息和技术资料；</w:t>
      </w:r>
    </w:p>
    <w:p w14:paraId="2A3523C9">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4．项目工作实施过程中各有关当事人拥有的知识产权，已经公开的知识产权信息除外；</w:t>
      </w:r>
    </w:p>
    <w:p w14:paraId="49B74C37">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5．经甲乙双方在该项目工作实施过程中确认的需要保密的其他信息。</w:t>
      </w:r>
    </w:p>
    <w:p w14:paraId="2B14F422">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6.甲方计算机终端中的文件信息和各种资料。</w:t>
      </w:r>
    </w:p>
    <w:p w14:paraId="3A4597BF">
      <w:pPr>
        <w:spacing w:line="440" w:lineRule="exact"/>
        <w:ind w:firstLine="442" w:firstLineChars="200"/>
        <w:rPr>
          <w:rFonts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三、</w:t>
      </w:r>
      <w:r>
        <w:rPr>
          <w:rFonts w:hint="eastAsia" w:ascii="新宋体" w:hAnsi="新宋体" w:eastAsia="新宋体" w:cs="新宋体"/>
          <w:color w:val="auto"/>
          <w:sz w:val="22"/>
          <w:szCs w:val="22"/>
          <w:highlight w:val="none"/>
        </w:rPr>
        <w:t>甲方责任：</w:t>
      </w:r>
    </w:p>
    <w:p w14:paraId="41C77478">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1．甲方根据项目实施的需要，向乙方提供相应所需的技术信息和技术资料；</w:t>
      </w:r>
    </w:p>
    <w:p w14:paraId="327BAFF6">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2．甲方在以书面形式向乙方提供技术信息时，可以进行登记或备案；</w:t>
      </w:r>
    </w:p>
    <w:p w14:paraId="26EC8C33">
      <w:pPr>
        <w:spacing w:line="44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3．对不再需要保密或者已经公开的保密信息，甲方应及时通知乙方。</w:t>
      </w:r>
    </w:p>
    <w:p w14:paraId="4CA397E9">
      <w:pPr>
        <w:spacing w:line="440" w:lineRule="exact"/>
        <w:ind w:firstLine="435"/>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四、</w:t>
      </w:r>
      <w:r>
        <w:rPr>
          <w:rFonts w:hint="eastAsia" w:ascii="新宋体" w:hAnsi="新宋体" w:eastAsia="新宋体" w:cs="新宋体"/>
          <w:color w:val="auto"/>
          <w:sz w:val="22"/>
          <w:szCs w:val="22"/>
          <w:highlight w:val="none"/>
        </w:rPr>
        <w:t>乙方责任：</w:t>
      </w:r>
    </w:p>
    <w:p w14:paraId="676C204F">
      <w:pPr>
        <w:spacing w:line="44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1．乙方应仅将甲方批露的保密信息只用于对甲方的项目工作中。</w:t>
      </w:r>
    </w:p>
    <w:p w14:paraId="2F995C4C">
      <w:pPr>
        <w:spacing w:line="44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2.乙方对从甲方获得的涉及相关工作的保密信息负有保密责任，未经甲方同意不得提供给任何第三方，包括</w:t>
      </w:r>
      <w:r>
        <w:rPr>
          <w:rFonts w:hint="eastAsia" w:ascii="新宋体" w:hAnsi="新宋体" w:cs="新宋体"/>
          <w:color w:val="auto"/>
          <w:sz w:val="22"/>
          <w:szCs w:val="22"/>
          <w:highlight w:val="none"/>
          <w:lang w:eastAsia="zh-CN"/>
        </w:rPr>
        <w:t>但不限于</w:t>
      </w:r>
      <w:r>
        <w:rPr>
          <w:rFonts w:hint="eastAsia" w:ascii="新宋体" w:hAnsi="新宋体" w:eastAsia="新宋体" w:cs="新宋体"/>
          <w:color w:val="auto"/>
          <w:sz w:val="22"/>
          <w:szCs w:val="22"/>
          <w:highlight w:val="none"/>
        </w:rPr>
        <w:t>乙方的分支机构、子公司、委托顾问方或接受咨询方</w:t>
      </w:r>
      <w:r>
        <w:rPr>
          <w:rFonts w:hint="eastAsia" w:ascii="新宋体" w:hAnsi="新宋体" w:cs="新宋体"/>
          <w:color w:val="auto"/>
          <w:sz w:val="22"/>
          <w:szCs w:val="22"/>
          <w:highlight w:val="none"/>
          <w:lang w:eastAsia="zh-CN"/>
        </w:rPr>
        <w:t>等</w:t>
      </w:r>
      <w:r>
        <w:rPr>
          <w:rFonts w:hint="eastAsia" w:ascii="新宋体" w:hAnsi="新宋体" w:eastAsia="新宋体" w:cs="新宋体"/>
          <w:color w:val="auto"/>
          <w:sz w:val="22"/>
          <w:szCs w:val="22"/>
          <w:highlight w:val="none"/>
        </w:rPr>
        <w:t>；</w:t>
      </w:r>
    </w:p>
    <w:p w14:paraId="26F26E3D">
      <w:pPr>
        <w:spacing w:line="44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为承担本协议约定的保密责任，必须按国家有关保密法律法规的要求，采取有效的保密措施，妥善保管有关的文件和资料，保证资料的安全，严防泄密和丢失，对应用系统数据和用户信息进行有效加密存储和传输。未经甲方事先的书面许可，不对其复制，传输和仿造等；</w:t>
      </w:r>
    </w:p>
    <w:p w14:paraId="67A9376C">
      <w:pPr>
        <w:spacing w:line="44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4．乙方应对有关人员进行有效管理，规范遵守项目保密要求，以确保本协议的履行，包括乙方在职员工或</w:t>
      </w:r>
      <w:r>
        <w:rPr>
          <w:rFonts w:hint="eastAsia" w:ascii="新宋体" w:hAnsi="新宋体" w:cs="新宋体"/>
          <w:color w:val="auto"/>
          <w:sz w:val="22"/>
          <w:szCs w:val="22"/>
          <w:highlight w:val="none"/>
          <w:lang w:eastAsia="zh-CN"/>
        </w:rPr>
        <w:t>接触过保密信息</w:t>
      </w:r>
      <w:r>
        <w:rPr>
          <w:rFonts w:hint="eastAsia" w:ascii="新宋体" w:hAnsi="新宋体" w:eastAsia="新宋体" w:cs="新宋体"/>
          <w:color w:val="auto"/>
          <w:sz w:val="22"/>
          <w:szCs w:val="22"/>
          <w:highlight w:val="none"/>
        </w:rPr>
        <w:t>的</w:t>
      </w:r>
      <w:r>
        <w:rPr>
          <w:rFonts w:hint="eastAsia" w:ascii="新宋体" w:hAnsi="新宋体" w:cs="新宋体"/>
          <w:color w:val="auto"/>
          <w:sz w:val="22"/>
          <w:szCs w:val="22"/>
          <w:highlight w:val="none"/>
          <w:lang w:eastAsia="zh-CN"/>
        </w:rPr>
        <w:t>所有</w:t>
      </w:r>
      <w:r>
        <w:rPr>
          <w:rFonts w:hint="eastAsia" w:ascii="新宋体" w:hAnsi="新宋体" w:eastAsia="新宋体" w:cs="新宋体"/>
          <w:color w:val="auto"/>
          <w:sz w:val="22"/>
          <w:szCs w:val="22"/>
          <w:highlight w:val="none"/>
        </w:rPr>
        <w:t>离职员工；</w:t>
      </w:r>
    </w:p>
    <w:p w14:paraId="27F3AA65">
      <w:pPr>
        <w:spacing w:line="44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5．在本协议约定的保密期限内，乙方如发现有关保密信息被泄露，应及时通知甲方，并采取积极的措施避免损失的扩大；</w:t>
      </w:r>
    </w:p>
    <w:p w14:paraId="06709F79">
      <w:pPr>
        <w:spacing w:line="44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6.项目完成后，乙方不得保留任何与该项目有关的数据</w:t>
      </w:r>
      <w:r>
        <w:rPr>
          <w:rFonts w:hint="eastAsia" w:ascii="新宋体" w:hAnsi="新宋体" w:cs="新宋体"/>
          <w:color w:val="auto"/>
          <w:sz w:val="22"/>
          <w:szCs w:val="22"/>
          <w:highlight w:val="none"/>
          <w:lang w:eastAsia="zh-CN"/>
        </w:rPr>
        <w:t>、信息、文件等</w:t>
      </w:r>
      <w:r>
        <w:rPr>
          <w:rFonts w:hint="eastAsia" w:ascii="新宋体" w:hAnsi="新宋体" w:eastAsia="新宋体" w:cs="新宋体"/>
          <w:color w:val="auto"/>
          <w:sz w:val="22"/>
          <w:szCs w:val="22"/>
          <w:highlight w:val="none"/>
        </w:rPr>
        <w:t>以及基于该项目产生的任何成果；</w:t>
      </w:r>
    </w:p>
    <w:p w14:paraId="69D89214">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7.制定企业内部的网络和数据安全管理制度；</w:t>
      </w:r>
    </w:p>
    <w:p w14:paraId="11834628">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8.无条件接受甲方的监督评估。</w:t>
      </w:r>
    </w:p>
    <w:p w14:paraId="334767FE">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9.乙方需对派驻人员和参与本项目相关人员做好背调工作，并签订安全保密协议，提交甲方备案。</w:t>
      </w:r>
    </w:p>
    <w:p w14:paraId="78E9BC96">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10.乙方需无条件配合甲方完成信息系统网络安全及信息保密等整改工作，直至满足要求。</w:t>
      </w:r>
    </w:p>
    <w:p w14:paraId="22FA206A">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五、</w:t>
      </w:r>
      <w:r>
        <w:rPr>
          <w:rFonts w:hint="eastAsia" w:ascii="新宋体" w:hAnsi="新宋体" w:eastAsia="新宋体" w:cs="新宋体"/>
          <w:color w:val="auto"/>
          <w:sz w:val="22"/>
          <w:szCs w:val="22"/>
          <w:highlight w:val="none"/>
        </w:rPr>
        <w:t>违约条款：乙方违反规定，有下列行为之一的，甲方有权对因此造成的损失追究责任；构成犯罪的，由司法机关追究其刑事责任：</w:t>
      </w:r>
    </w:p>
    <w:p w14:paraId="09D4D916">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1.擅自向第三方提供或者转让项目资料的；</w:t>
      </w:r>
    </w:p>
    <w:p w14:paraId="7FDFE03C">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2.未经甲方许可使用项目资料的；</w:t>
      </w:r>
    </w:p>
    <w:p w14:paraId="327E5D1B">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3.工程完成后，乙方未经甲方许可保留项目资料的；</w:t>
      </w:r>
    </w:p>
    <w:p w14:paraId="076DFA5B">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4.对项目资料</w:t>
      </w:r>
      <w:r>
        <w:rPr>
          <w:rFonts w:hint="eastAsia" w:ascii="新宋体" w:hAnsi="新宋体" w:cs="新宋体"/>
          <w:color w:val="auto"/>
          <w:sz w:val="22"/>
          <w:szCs w:val="22"/>
          <w:highlight w:val="none"/>
          <w:lang w:eastAsia="zh-CN"/>
        </w:rPr>
        <w:t>、有关信息</w:t>
      </w:r>
      <w:r>
        <w:rPr>
          <w:rFonts w:hint="eastAsia" w:ascii="新宋体" w:hAnsi="新宋体" w:eastAsia="新宋体" w:cs="新宋体"/>
          <w:color w:val="auto"/>
          <w:sz w:val="22"/>
          <w:szCs w:val="22"/>
          <w:highlight w:val="none"/>
        </w:rPr>
        <w:t>保管不当，造成数据</w:t>
      </w:r>
      <w:r>
        <w:rPr>
          <w:rFonts w:hint="eastAsia" w:ascii="新宋体" w:hAnsi="新宋体" w:cs="新宋体"/>
          <w:color w:val="auto"/>
          <w:sz w:val="22"/>
          <w:szCs w:val="22"/>
          <w:highlight w:val="none"/>
          <w:lang w:eastAsia="zh-CN"/>
        </w:rPr>
        <w:t>、信息</w:t>
      </w:r>
      <w:r>
        <w:rPr>
          <w:rFonts w:hint="eastAsia" w:ascii="新宋体" w:hAnsi="新宋体" w:eastAsia="新宋体" w:cs="新宋体"/>
          <w:color w:val="auto"/>
          <w:sz w:val="22"/>
          <w:szCs w:val="22"/>
          <w:highlight w:val="none"/>
        </w:rPr>
        <w:t>全部或者部分丢失、被窃的。</w:t>
      </w:r>
    </w:p>
    <w:p w14:paraId="47129D75">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六</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t>法律责任：</w:t>
      </w:r>
    </w:p>
    <w:p w14:paraId="0CC36F62">
      <w:pPr>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乙方在进行项目维护时违反有关保密规定的，依照《中华人民共和国保守国家秘密法》等有关法律法规的规定处理。甲方有权对因此造成的损失追究责任</w:t>
      </w:r>
      <w:r>
        <w:rPr>
          <w:rFonts w:hint="eastAsia" w:ascii="新宋体" w:hAnsi="新宋体" w:cs="新宋体"/>
          <w:color w:val="auto"/>
          <w:sz w:val="22"/>
          <w:szCs w:val="22"/>
          <w:highlight w:val="none"/>
          <w:lang w:eastAsia="zh-CN"/>
        </w:rPr>
        <w:t>，乙方应赔偿给甲方造成的全部损失</w:t>
      </w:r>
      <w:r>
        <w:rPr>
          <w:rFonts w:hint="eastAsia" w:ascii="新宋体" w:hAnsi="新宋体" w:eastAsia="新宋体" w:cs="新宋体"/>
          <w:color w:val="auto"/>
          <w:sz w:val="22"/>
          <w:szCs w:val="22"/>
          <w:highlight w:val="none"/>
        </w:rPr>
        <w:t>；构成犯罪的，由司法机关追究其刑事责任。</w:t>
      </w:r>
    </w:p>
    <w:p w14:paraId="48FC15C4">
      <w:pPr>
        <w:pStyle w:val="15"/>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七、保密期限：乙方对因实施本项目而知悉的甲方保密信息负有保密义务，即使项目合作终止，乙方仍需对甲方的保密信息进行保密，直至该技术信息在同行业中已成为公开信息后方可解除保密义务。</w:t>
      </w:r>
    </w:p>
    <w:p w14:paraId="2D5BC7FE">
      <w:pPr>
        <w:pStyle w:val="735"/>
        <w:tabs>
          <w:tab w:val="left" w:pos="884"/>
        </w:tabs>
        <w:spacing w:line="440" w:lineRule="exact"/>
        <w:ind w:firstLine="540"/>
        <w:rPr>
          <w:rFonts w:hint="eastAsia" w:ascii="新宋体" w:hAnsi="新宋体" w:eastAsia="新宋体" w:cs="新宋体"/>
          <w:color w:val="auto"/>
          <w:sz w:val="22"/>
          <w:szCs w:val="22"/>
          <w:highlight w:val="none"/>
          <w:lang w:eastAsia="zh-CN"/>
        </w:rPr>
      </w:pPr>
    </w:p>
    <w:p w14:paraId="D0E6F4F9">
      <w:pPr>
        <w:pStyle w:val="735"/>
        <w:tabs>
          <w:tab w:val="left" w:pos="884"/>
        </w:tabs>
        <w:spacing w:line="440" w:lineRule="exact"/>
        <w:ind w:firstLine="0"/>
        <w:rPr>
          <w:rFonts w:hint="eastAsia" w:ascii="新宋体" w:hAnsi="新宋体" w:eastAsia="新宋体" w:cs="新宋体"/>
          <w:color w:val="auto"/>
          <w:sz w:val="22"/>
          <w:szCs w:val="22"/>
          <w:highlight w:val="none"/>
          <w:lang w:eastAsia="zh-CN"/>
        </w:rPr>
      </w:pPr>
    </w:p>
    <w:p w14:paraId="70C74184">
      <w:pPr>
        <w:pStyle w:val="29"/>
        <w:tabs>
          <w:tab w:val="left" w:pos="7935"/>
        </w:tabs>
        <w:snapToGrid w:val="0"/>
        <w:spacing w:line="400" w:lineRule="exact"/>
        <w:rPr>
          <w:rFonts w:hAnsi="宋体" w:cs="Arial"/>
          <w:color w:val="auto"/>
          <w:sz w:val="22"/>
          <w:szCs w:val="22"/>
          <w:highlight w:val="none"/>
        </w:rPr>
      </w:pPr>
      <w:r>
        <w:rPr>
          <w:rFonts w:hint="eastAsia" w:hAnsi="宋体" w:cs="Arial"/>
          <w:color w:val="auto"/>
          <w:sz w:val="22"/>
          <w:szCs w:val="22"/>
          <w:highlight w:val="none"/>
        </w:rPr>
        <w:t>甲方：                                                 乙方：</w:t>
      </w:r>
      <w:r>
        <w:rPr>
          <w:rFonts w:hint="eastAsia" w:hAnsi="宋体" w:cs="Arial"/>
          <w:color w:val="auto"/>
          <w:sz w:val="22"/>
          <w:szCs w:val="22"/>
          <w:highlight w:val="none"/>
        </w:rPr>
        <w:tab/>
      </w:r>
    </w:p>
    <w:p w14:paraId="4EE3372F">
      <w:pPr>
        <w:pStyle w:val="29"/>
        <w:snapToGrid w:val="0"/>
        <w:spacing w:line="400" w:lineRule="exact"/>
        <w:rPr>
          <w:rFonts w:hAnsi="宋体" w:cs="Arial"/>
          <w:color w:val="auto"/>
          <w:sz w:val="22"/>
          <w:szCs w:val="22"/>
          <w:highlight w:val="none"/>
        </w:rPr>
      </w:pPr>
      <w:r>
        <w:rPr>
          <w:rFonts w:hint="eastAsia" w:hAnsi="宋体" w:cs="Arial"/>
          <w:color w:val="auto"/>
          <w:sz w:val="22"/>
          <w:szCs w:val="22"/>
          <w:highlight w:val="none"/>
        </w:rPr>
        <w:t>（盖章）                                              （盖章）</w:t>
      </w:r>
    </w:p>
    <w:p w14:paraId="24F4344E">
      <w:pPr>
        <w:pStyle w:val="29"/>
        <w:snapToGrid w:val="0"/>
        <w:spacing w:line="400" w:lineRule="exact"/>
        <w:rPr>
          <w:rFonts w:hAnsi="宋体" w:cs="Arial"/>
          <w:color w:val="auto"/>
          <w:sz w:val="22"/>
          <w:szCs w:val="22"/>
          <w:highlight w:val="none"/>
        </w:rPr>
      </w:pPr>
      <w:r>
        <w:rPr>
          <w:rFonts w:hint="eastAsia" w:hAnsi="宋体" w:cs="Arial"/>
          <w:color w:val="auto"/>
          <w:sz w:val="22"/>
          <w:szCs w:val="22"/>
          <w:highlight w:val="none"/>
        </w:rPr>
        <w:t>授权代表（签字）：                                     授权代表（签字）：</w:t>
      </w:r>
    </w:p>
    <w:p w14:paraId="3BC8F3F2">
      <w:pPr>
        <w:pStyle w:val="29"/>
        <w:snapToGrid w:val="0"/>
        <w:spacing w:line="400" w:lineRule="exact"/>
        <w:rPr>
          <w:rFonts w:hAnsi="宋体" w:cs="Arial"/>
          <w:color w:val="auto"/>
          <w:sz w:val="22"/>
          <w:szCs w:val="22"/>
          <w:highlight w:val="none"/>
        </w:rPr>
      </w:pPr>
      <w:r>
        <w:rPr>
          <w:rFonts w:hint="eastAsia" w:hAnsi="宋体" w:cs="Arial"/>
          <w:color w:val="auto"/>
          <w:sz w:val="22"/>
          <w:szCs w:val="22"/>
          <w:highlight w:val="none"/>
        </w:rPr>
        <w:t>地址：                                                 地址：</w:t>
      </w:r>
    </w:p>
    <w:p w14:paraId="09C8EA91">
      <w:pPr>
        <w:pStyle w:val="3"/>
      </w:pPr>
      <w:bookmarkStart w:id="107" w:name="_Toc9325"/>
      <w:bookmarkStart w:id="108" w:name="_Toc5314"/>
      <w:bookmarkStart w:id="109" w:name="_Toc21106"/>
      <w:bookmarkStart w:id="110" w:name="_Toc29422"/>
    </w:p>
    <w:p w14:paraId="55BFFFC6">
      <w:pPr>
        <w:pStyle w:val="3"/>
        <w:rPr>
          <w:rFonts w:ascii="宋体" w:hAnsi="宋体" w:eastAsia="宋体" w:cs="宋体"/>
          <w:bCs w:val="0"/>
          <w:color w:val="auto"/>
          <w:sz w:val="36"/>
          <w:szCs w:val="36"/>
          <w:highlight w:val="none"/>
        </w:rPr>
      </w:pPr>
      <w:r>
        <w:rPr>
          <w:rFonts w:hint="default" w:ascii="宋体" w:hAnsi="宋体" w:eastAsia="宋体" w:cs="宋体"/>
          <w:bCs w:val="0"/>
          <w:color w:val="auto"/>
          <w:sz w:val="36"/>
          <w:szCs w:val="36"/>
          <w:highlight w:val="none"/>
          <w:lang w:val="en-US"/>
        </w:rPr>
        <w:br w:type="page"/>
      </w:r>
      <w:r>
        <w:rPr>
          <w:rFonts w:hint="eastAsia" w:ascii="宋体" w:hAnsi="宋体" w:eastAsia="宋体" w:cs="宋体"/>
          <w:bCs w:val="0"/>
          <w:color w:val="auto"/>
          <w:sz w:val="36"/>
          <w:szCs w:val="36"/>
          <w:highlight w:val="none"/>
        </w:rPr>
        <w:t>第四部分   投标文件格式</w:t>
      </w:r>
      <w:bookmarkEnd w:id="107"/>
      <w:bookmarkEnd w:id="108"/>
      <w:bookmarkEnd w:id="109"/>
      <w:bookmarkEnd w:id="110"/>
    </w:p>
    <w:p w14:paraId="00CD3409">
      <w:pPr>
        <w:spacing w:before="120" w:beforeLines="50" w:after="120" w:afterLines="50"/>
        <w:rPr>
          <w:rFonts w:ascii="宋体" w:hAnsi="宋体" w:cs="宋体"/>
          <w:color w:val="auto"/>
          <w:sz w:val="22"/>
          <w:szCs w:val="22"/>
          <w:highlight w:val="none"/>
        </w:rPr>
      </w:pPr>
      <w:r>
        <w:rPr>
          <w:rFonts w:hint="eastAsia" w:ascii="宋体" w:hAnsi="宋体" w:cs="宋体"/>
          <w:color w:val="auto"/>
          <w:sz w:val="22"/>
          <w:szCs w:val="22"/>
          <w:highlight w:val="none"/>
        </w:rPr>
        <w:t>（资格审查资料封面，供参考）</w:t>
      </w:r>
    </w:p>
    <w:p w14:paraId="325FAD93">
      <w:pPr>
        <w:rPr>
          <w:rFonts w:ascii="宋体" w:hAnsi="宋体" w:cs="宋体"/>
          <w:color w:val="auto"/>
          <w:highlight w:val="none"/>
        </w:rPr>
      </w:pPr>
    </w:p>
    <w:p w14:paraId="61BEC969">
      <w:pPr>
        <w:rPr>
          <w:rFonts w:ascii="宋体" w:hAnsi="宋体" w:cs="宋体"/>
          <w:color w:val="auto"/>
          <w:highlight w:val="none"/>
        </w:rPr>
      </w:pPr>
    </w:p>
    <w:p w14:paraId="507BD469">
      <w:pPr>
        <w:rPr>
          <w:rFonts w:ascii="宋体" w:hAnsi="宋体" w:cs="宋体"/>
          <w:color w:val="auto"/>
          <w:highlight w:val="none"/>
        </w:rPr>
      </w:pPr>
    </w:p>
    <w:p w14:paraId="103D5F4F">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投标文件</w:t>
      </w:r>
    </w:p>
    <w:p w14:paraId="02ED135C">
      <w:pPr>
        <w:rPr>
          <w:rFonts w:hint="eastAsia" w:ascii="宋体" w:hAnsi="宋体" w:cs="宋体"/>
          <w:color w:val="auto"/>
          <w:sz w:val="28"/>
          <w:szCs w:val="28"/>
          <w:highlight w:val="none"/>
        </w:rPr>
      </w:pPr>
    </w:p>
    <w:p w14:paraId="4A71186C">
      <w:pPr>
        <w:rPr>
          <w:rFonts w:hint="eastAsia" w:ascii="宋体" w:hAnsi="宋体" w:cs="宋体"/>
          <w:color w:val="auto"/>
          <w:sz w:val="28"/>
          <w:szCs w:val="28"/>
          <w:highlight w:val="none"/>
        </w:rPr>
      </w:pPr>
    </w:p>
    <w:p w14:paraId="3D9FC686">
      <w:pPr>
        <w:pStyle w:val="55"/>
        <w:ind w:firstLine="281"/>
        <w:rPr>
          <w:rFonts w:hint="eastAsia" w:ascii="宋体" w:hAnsi="宋体" w:cs="宋体"/>
          <w:color w:val="auto"/>
          <w:sz w:val="28"/>
          <w:szCs w:val="28"/>
          <w:highlight w:val="none"/>
        </w:rPr>
      </w:pPr>
    </w:p>
    <w:p w14:paraId="32035101">
      <w:pPr>
        <w:pStyle w:val="55"/>
        <w:ind w:firstLine="281"/>
        <w:rPr>
          <w:rFonts w:hint="eastAsia" w:ascii="宋体" w:hAnsi="宋体" w:cs="宋体"/>
          <w:color w:val="auto"/>
          <w:sz w:val="28"/>
          <w:szCs w:val="28"/>
          <w:highlight w:val="none"/>
        </w:rPr>
      </w:pPr>
    </w:p>
    <w:p w14:paraId="1F28FF05">
      <w:pPr>
        <w:rPr>
          <w:rFonts w:hint="eastAsia" w:ascii="宋体" w:hAnsi="宋体" w:cs="宋体"/>
          <w:color w:val="auto"/>
          <w:sz w:val="28"/>
          <w:szCs w:val="28"/>
          <w:highlight w:val="none"/>
        </w:rPr>
      </w:pPr>
    </w:p>
    <w:p w14:paraId="6B7F51B5">
      <w:pPr>
        <w:rPr>
          <w:rFonts w:hint="eastAsia" w:ascii="宋体" w:hAnsi="宋体" w:cs="宋体"/>
          <w:color w:val="auto"/>
          <w:sz w:val="28"/>
          <w:szCs w:val="28"/>
          <w:highlight w:val="none"/>
        </w:rPr>
      </w:pPr>
    </w:p>
    <w:p w14:paraId="5FC7E8B1">
      <w:pPr>
        <w:jc w:val="center"/>
      </w:pPr>
    </w:p>
    <w:p w14:paraId="3D940D84">
      <w:pPr>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资格审查资料</w:t>
      </w:r>
    </w:p>
    <w:p w14:paraId="284187F3">
      <w:pPr>
        <w:spacing w:line="360" w:lineRule="auto"/>
        <w:rPr>
          <w:rFonts w:hint="eastAsia" w:ascii="宋体" w:hAnsi="宋体" w:cs="宋体"/>
          <w:color w:val="auto"/>
          <w:szCs w:val="21"/>
          <w:highlight w:val="none"/>
        </w:rPr>
      </w:pPr>
    </w:p>
    <w:p w14:paraId="7D12D336">
      <w:pPr>
        <w:spacing w:line="360" w:lineRule="auto"/>
        <w:rPr>
          <w:rFonts w:hint="eastAsia" w:ascii="宋体" w:hAnsi="宋体" w:cs="宋体"/>
          <w:color w:val="auto"/>
          <w:szCs w:val="21"/>
          <w:highlight w:val="none"/>
        </w:rPr>
      </w:pPr>
    </w:p>
    <w:p w14:paraId="29FFE18E">
      <w:pPr>
        <w:spacing w:line="360" w:lineRule="auto"/>
        <w:rPr>
          <w:rFonts w:hint="eastAsia" w:ascii="宋体" w:hAnsi="宋体" w:cs="宋体"/>
          <w:color w:val="auto"/>
          <w:szCs w:val="21"/>
          <w:highlight w:val="none"/>
        </w:rPr>
      </w:pPr>
    </w:p>
    <w:p w14:paraId="53123EE5">
      <w:pPr>
        <w:spacing w:line="360" w:lineRule="auto"/>
        <w:rPr>
          <w:rFonts w:hint="eastAsia" w:ascii="宋体" w:hAnsi="宋体" w:cs="宋体"/>
          <w:color w:val="auto"/>
          <w:szCs w:val="21"/>
          <w:highlight w:val="none"/>
        </w:rPr>
      </w:pPr>
    </w:p>
    <w:p w14:paraId="337ABA58">
      <w:pPr>
        <w:spacing w:line="360" w:lineRule="auto"/>
        <w:rPr>
          <w:rFonts w:hint="eastAsia" w:ascii="宋体" w:hAnsi="宋体" w:cs="宋体"/>
          <w:color w:val="auto"/>
          <w:szCs w:val="21"/>
          <w:highlight w:val="none"/>
        </w:rPr>
      </w:pPr>
    </w:p>
    <w:p w14:paraId="086FB0B9">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25001235">
      <w:pPr>
        <w:rPr>
          <w:rFonts w:hint="eastAsia" w:ascii="宋体" w:hAnsi="宋体" w:cs="宋体"/>
          <w:color w:val="auto"/>
          <w:sz w:val="28"/>
          <w:szCs w:val="28"/>
          <w:highlight w:val="none"/>
          <w:u w:val="single"/>
        </w:rPr>
      </w:pPr>
    </w:p>
    <w:p w14:paraId="28743388">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4DBC6CE9">
      <w:pPr>
        <w:rPr>
          <w:rFonts w:hint="eastAsia" w:ascii="宋体" w:hAnsi="宋体" w:cs="宋体"/>
          <w:color w:val="auto"/>
          <w:sz w:val="28"/>
          <w:szCs w:val="28"/>
          <w:highlight w:val="none"/>
        </w:rPr>
      </w:pPr>
    </w:p>
    <w:p w14:paraId="61EC0326">
      <w:pPr>
        <w:overflowPunct w:val="0"/>
        <w:spacing w:line="380" w:lineRule="exact"/>
        <w:ind w:firstLine="2738" w:firstLineChars="978"/>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38C47E7B">
      <w:pPr>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0D19B02F">
      <w:pPr>
        <w:jc w:val="center"/>
        <w:rPr>
          <w:rFonts w:ascii="宋体" w:hAnsi="宋体" w:cs="宋体"/>
          <w:b/>
          <w:bCs/>
          <w:color w:val="auto"/>
          <w:sz w:val="52"/>
          <w:szCs w:val="52"/>
          <w:highlight w:val="none"/>
        </w:rPr>
      </w:pPr>
      <w:bookmarkStart w:id="111" w:name="_Toc504034734"/>
      <w:bookmarkStart w:id="112" w:name="_Toc465107614"/>
      <w:r>
        <w:rPr>
          <w:rFonts w:hint="eastAsia" w:ascii="宋体" w:hAnsi="宋体" w:cs="宋体"/>
          <w:b/>
          <w:bCs/>
          <w:color w:val="auto"/>
          <w:sz w:val="52"/>
          <w:szCs w:val="52"/>
          <w:highlight w:val="none"/>
        </w:rPr>
        <w:t>目    录</w:t>
      </w:r>
    </w:p>
    <w:p w14:paraId="13B7C423">
      <w:pPr>
        <w:pStyle w:val="15"/>
        <w:spacing w:line="480" w:lineRule="auto"/>
        <w:rPr>
          <w:color w:val="auto"/>
          <w:highlight w:val="none"/>
        </w:rPr>
      </w:pPr>
    </w:p>
    <w:p w14:paraId="7B37D860">
      <w:pPr>
        <w:pStyle w:val="15"/>
        <w:spacing w:line="480" w:lineRule="auto"/>
        <w:rPr>
          <w:color w:val="auto"/>
          <w:highlight w:val="none"/>
        </w:rPr>
      </w:pPr>
    </w:p>
    <w:p w14:paraId="2856DEE3">
      <w:pPr>
        <w:pStyle w:val="15"/>
        <w:spacing w:line="480" w:lineRule="auto"/>
        <w:rPr>
          <w:rFonts w:hint="eastAsia"/>
          <w:color w:val="auto"/>
          <w:highlight w:val="none"/>
        </w:rPr>
      </w:pPr>
      <w:r>
        <w:rPr>
          <w:rFonts w:hint="eastAsia"/>
          <w:color w:val="auto"/>
          <w:highlight w:val="none"/>
        </w:rPr>
        <w:t>一、法定代表人（单位负责人）授权书和被授权人有效身份证明</w:t>
      </w:r>
    </w:p>
    <w:p w14:paraId="66297F95">
      <w:pPr>
        <w:pStyle w:val="15"/>
        <w:spacing w:line="480" w:lineRule="auto"/>
        <w:rPr>
          <w:rFonts w:hint="eastAsia"/>
          <w:color w:val="auto"/>
          <w:highlight w:val="none"/>
        </w:rPr>
      </w:pPr>
      <w:r>
        <w:rPr>
          <w:rFonts w:hint="eastAsia"/>
          <w:color w:val="auto"/>
          <w:highlight w:val="none"/>
          <w:lang w:eastAsia="zh-CN"/>
        </w:rPr>
        <w:t>二、</w:t>
      </w:r>
      <w:r>
        <w:rPr>
          <w:rFonts w:hint="eastAsia"/>
          <w:color w:val="auto"/>
          <w:highlight w:val="none"/>
        </w:rPr>
        <w:t>联合协议（符合落实政府采购政策需满足的资格要求的非联合体投标人无需提供）</w:t>
      </w:r>
    </w:p>
    <w:p w14:paraId="2DB8D017">
      <w:pPr>
        <w:pStyle w:val="15"/>
        <w:spacing w:line="480" w:lineRule="auto"/>
        <w:rPr>
          <w:rFonts w:hint="eastAsia"/>
          <w:color w:val="auto"/>
          <w:highlight w:val="none"/>
        </w:rPr>
      </w:pPr>
      <w:r>
        <w:rPr>
          <w:rFonts w:hint="eastAsia"/>
          <w:color w:val="auto"/>
          <w:highlight w:val="none"/>
          <w:lang w:eastAsia="zh-CN"/>
        </w:rPr>
        <w:t>三、</w:t>
      </w:r>
      <w:r>
        <w:rPr>
          <w:rFonts w:hint="eastAsia"/>
          <w:color w:val="auto"/>
          <w:highlight w:val="none"/>
        </w:rPr>
        <w:t>分包意向协议（符合落实政府采购政策需满足的资格要求的</w:t>
      </w:r>
      <w:r>
        <w:rPr>
          <w:rFonts w:hint="eastAsia"/>
          <w:color w:val="auto"/>
          <w:highlight w:val="none"/>
          <w:lang w:val="en-US" w:eastAsia="zh-CN"/>
        </w:rPr>
        <w:t>未分包</w:t>
      </w:r>
      <w:r>
        <w:rPr>
          <w:rFonts w:hint="eastAsia"/>
          <w:color w:val="auto"/>
          <w:highlight w:val="none"/>
        </w:rPr>
        <w:t>投标人无需提供）</w:t>
      </w:r>
    </w:p>
    <w:p w14:paraId="587B2956">
      <w:pPr>
        <w:pStyle w:val="15"/>
        <w:spacing w:line="480" w:lineRule="auto"/>
        <w:rPr>
          <w:rFonts w:hint="eastAsia"/>
          <w:color w:val="auto"/>
          <w:highlight w:val="none"/>
        </w:rPr>
      </w:pPr>
      <w:r>
        <w:rPr>
          <w:rFonts w:hint="eastAsia"/>
          <w:color w:val="auto"/>
          <w:highlight w:val="none"/>
          <w:lang w:eastAsia="zh-CN"/>
        </w:rPr>
        <w:t>四、</w:t>
      </w:r>
      <w:r>
        <w:rPr>
          <w:rFonts w:hint="eastAsia"/>
          <w:color w:val="auto"/>
          <w:highlight w:val="none"/>
        </w:rPr>
        <w:t>中小企业声明函（或监狱企业声明函、残疾人福利性单位声明函，联合体成员或意向分包单位均需提供）</w:t>
      </w:r>
    </w:p>
    <w:p w14:paraId="394660E8">
      <w:pPr>
        <w:pStyle w:val="15"/>
        <w:spacing w:line="480" w:lineRule="auto"/>
        <w:rPr>
          <w:rFonts w:hint="eastAsia"/>
          <w:color w:val="auto"/>
          <w:highlight w:val="none"/>
        </w:rPr>
      </w:pPr>
      <w:r>
        <w:rPr>
          <w:rFonts w:hint="eastAsia"/>
          <w:color w:val="auto"/>
          <w:highlight w:val="none"/>
          <w:lang w:eastAsia="zh-CN"/>
        </w:rPr>
        <w:t>五、</w:t>
      </w:r>
      <w:r>
        <w:rPr>
          <w:rFonts w:hint="eastAsia"/>
          <w:color w:val="auto"/>
          <w:highlight w:val="none"/>
        </w:rPr>
        <w:t>营业执照(或事业法人登记证书或其它工商等登记证明材料)</w:t>
      </w:r>
    </w:p>
    <w:p w14:paraId="59514454">
      <w:pPr>
        <w:pStyle w:val="15"/>
        <w:spacing w:line="480" w:lineRule="auto"/>
        <w:rPr>
          <w:rFonts w:hint="eastAsia"/>
          <w:color w:val="auto"/>
          <w:highlight w:val="none"/>
        </w:rPr>
      </w:pPr>
      <w:r>
        <w:rPr>
          <w:rFonts w:hint="eastAsia"/>
          <w:color w:val="auto"/>
          <w:highlight w:val="none"/>
          <w:lang w:eastAsia="zh-CN"/>
        </w:rPr>
        <w:t>六、</w:t>
      </w:r>
      <w:r>
        <w:rPr>
          <w:rFonts w:hint="eastAsia"/>
          <w:color w:val="auto"/>
          <w:highlight w:val="none"/>
        </w:rPr>
        <w:t>资格条件承诺函</w:t>
      </w:r>
    </w:p>
    <w:p w14:paraId="6358475E">
      <w:pPr>
        <w:pStyle w:val="15"/>
        <w:spacing w:line="480" w:lineRule="auto"/>
        <w:rPr>
          <w:color w:val="auto"/>
          <w:highlight w:val="none"/>
        </w:rPr>
      </w:pPr>
      <w:r>
        <w:rPr>
          <w:rFonts w:hint="eastAsia"/>
          <w:color w:val="auto"/>
          <w:highlight w:val="none"/>
          <w:lang w:eastAsia="zh-CN"/>
        </w:rPr>
        <w:t>七、</w:t>
      </w:r>
      <w:r>
        <w:rPr>
          <w:rFonts w:hint="eastAsia"/>
          <w:color w:val="auto"/>
          <w:highlight w:val="none"/>
        </w:rPr>
        <w:t>申请材料真实性声明</w:t>
      </w:r>
    </w:p>
    <w:p w14:paraId="66283A24">
      <w:pPr>
        <w:pStyle w:val="15"/>
        <w:spacing w:line="480" w:lineRule="auto"/>
        <w:rPr>
          <w:color w:val="auto"/>
          <w:highlight w:val="none"/>
        </w:rPr>
      </w:pPr>
    </w:p>
    <w:p w14:paraId="7C79AF76">
      <w:pPr>
        <w:pStyle w:val="15"/>
        <w:spacing w:line="480" w:lineRule="auto"/>
        <w:rPr>
          <w:color w:val="auto"/>
          <w:highlight w:val="none"/>
        </w:rPr>
      </w:pPr>
    </w:p>
    <w:p w14:paraId="2ED5E9A4">
      <w:pPr>
        <w:pStyle w:val="15"/>
        <w:spacing w:line="480" w:lineRule="auto"/>
        <w:rPr>
          <w:b/>
          <w:bCs/>
          <w:color w:val="auto"/>
          <w:highlight w:val="none"/>
        </w:rPr>
      </w:pPr>
      <w:r>
        <w:rPr>
          <w:rFonts w:hint="eastAsia"/>
          <w:b/>
          <w:bCs/>
          <w:color w:val="auto"/>
          <w:highlight w:val="none"/>
        </w:rPr>
        <w:t>注：如为联合体</w:t>
      </w:r>
      <w:r>
        <w:rPr>
          <w:rFonts w:hint="eastAsia"/>
          <w:b/>
          <w:bCs/>
          <w:color w:val="auto"/>
          <w:highlight w:val="none"/>
          <w:lang w:eastAsia="zh-CN"/>
        </w:rPr>
        <w:t>或意向分包的</w:t>
      </w:r>
      <w:r>
        <w:rPr>
          <w:rFonts w:hint="eastAsia"/>
          <w:b/>
          <w:bCs/>
          <w:color w:val="auto"/>
          <w:highlight w:val="none"/>
        </w:rPr>
        <w:t>，则</w:t>
      </w:r>
      <w:r>
        <w:rPr>
          <w:rFonts w:hint="eastAsia"/>
          <w:b/>
          <w:bCs/>
          <w:color w:val="auto"/>
          <w:highlight w:val="none"/>
          <w:lang w:val="en-US" w:eastAsia="zh-CN"/>
        </w:rPr>
        <w:t>5</w:t>
      </w:r>
      <w:r>
        <w:rPr>
          <w:rFonts w:hint="eastAsia"/>
          <w:b/>
          <w:bCs/>
          <w:color w:val="auto"/>
          <w:highlight w:val="none"/>
        </w:rPr>
        <w:t>-</w:t>
      </w:r>
      <w:r>
        <w:rPr>
          <w:rFonts w:hint="eastAsia"/>
          <w:b/>
          <w:bCs/>
          <w:color w:val="auto"/>
          <w:highlight w:val="none"/>
          <w:lang w:val="en-US" w:eastAsia="zh-CN"/>
        </w:rPr>
        <w:t>7</w:t>
      </w:r>
      <w:r>
        <w:rPr>
          <w:rFonts w:hint="eastAsia"/>
          <w:b/>
          <w:bCs/>
          <w:color w:val="auto"/>
          <w:highlight w:val="none"/>
        </w:rPr>
        <w:t>项资格审查材料联合体双方</w:t>
      </w:r>
      <w:r>
        <w:rPr>
          <w:rFonts w:hint="eastAsia"/>
          <w:b/>
          <w:bCs/>
          <w:color w:val="auto"/>
          <w:highlight w:val="none"/>
          <w:lang w:eastAsia="zh-CN"/>
        </w:rPr>
        <w:t>或意向分包单位</w:t>
      </w:r>
      <w:r>
        <w:rPr>
          <w:rFonts w:hint="eastAsia"/>
          <w:b/>
          <w:bCs/>
          <w:color w:val="auto"/>
          <w:highlight w:val="none"/>
        </w:rPr>
        <w:t>均须提供。</w:t>
      </w:r>
    </w:p>
    <w:p w14:paraId="4C3B7698">
      <w:pPr>
        <w:pStyle w:val="3"/>
        <w:spacing w:line="360" w:lineRule="auto"/>
        <w:ind w:left="420"/>
        <w:jc w:val="left"/>
        <w:rPr>
          <w:rFonts w:ascii="宋体" w:hAnsi="宋体" w:eastAsia="宋体" w:cs="宋体"/>
          <w:b w:val="0"/>
          <w:color w:val="auto"/>
          <w:sz w:val="22"/>
          <w:szCs w:val="22"/>
          <w:highlight w:val="none"/>
        </w:rPr>
      </w:pPr>
    </w:p>
    <w:p w14:paraId="6703D076">
      <w:pPr>
        <w:pStyle w:val="3"/>
        <w:spacing w:line="360" w:lineRule="auto"/>
        <w:ind w:left="420"/>
        <w:jc w:val="left"/>
        <w:rPr>
          <w:rFonts w:ascii="宋体" w:hAnsi="宋体" w:eastAsia="宋体" w:cs="宋体"/>
          <w:b w:val="0"/>
          <w:color w:val="auto"/>
          <w:sz w:val="22"/>
          <w:szCs w:val="22"/>
          <w:highlight w:val="none"/>
        </w:rPr>
      </w:pPr>
    </w:p>
    <w:p w14:paraId="45874B12">
      <w:pPr>
        <w:pStyle w:val="3"/>
        <w:spacing w:line="360" w:lineRule="auto"/>
        <w:ind w:left="420"/>
        <w:jc w:val="left"/>
        <w:rPr>
          <w:rFonts w:ascii="宋体" w:hAnsi="宋体" w:eastAsia="宋体" w:cs="宋体"/>
          <w:b w:val="0"/>
          <w:color w:val="auto"/>
          <w:sz w:val="22"/>
          <w:szCs w:val="22"/>
          <w:highlight w:val="none"/>
        </w:rPr>
      </w:pPr>
    </w:p>
    <w:p w14:paraId="722A9133">
      <w:pPr>
        <w:pStyle w:val="3"/>
        <w:spacing w:line="360" w:lineRule="auto"/>
        <w:ind w:left="420"/>
        <w:rPr>
          <w:rFonts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br w:type="page"/>
      </w:r>
    </w:p>
    <w:p w14:paraId="19EF579B">
      <w:pPr>
        <w:widowControl/>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法定代表人授权书</w:t>
      </w:r>
    </w:p>
    <w:p w14:paraId="6F944872">
      <w:pPr>
        <w:spacing w:line="420" w:lineRule="exact"/>
        <w:rPr>
          <w:rFonts w:ascii="宋体" w:hAnsi="宋体" w:cs="宋体"/>
          <w:b/>
          <w:color w:val="auto"/>
          <w:sz w:val="22"/>
          <w:szCs w:val="22"/>
          <w:highlight w:val="none"/>
        </w:rPr>
      </w:pPr>
    </w:p>
    <w:p w14:paraId="44409214">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温州市交通运输局:</w:t>
      </w:r>
    </w:p>
    <w:p w14:paraId="5D1E9C6D">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温州元信工程项目管理有限公司</w:t>
      </w:r>
      <w:r>
        <w:rPr>
          <w:rFonts w:hint="eastAsia" w:ascii="宋体" w:hAnsi="宋体" w:cs="宋体"/>
          <w:color w:val="auto"/>
          <w:sz w:val="22"/>
          <w:szCs w:val="22"/>
          <w:highlight w:val="none"/>
        </w:rPr>
        <w:t>：</w:t>
      </w:r>
    </w:p>
    <w:p w14:paraId="378CA0F7">
      <w:pPr>
        <w:spacing w:line="460" w:lineRule="exact"/>
        <w:rPr>
          <w:rFonts w:ascii="宋体" w:hAnsi="宋体" w:cs="宋体"/>
          <w:color w:val="auto"/>
          <w:sz w:val="22"/>
          <w:szCs w:val="22"/>
          <w:highlight w:val="none"/>
          <w:u w:val="single"/>
        </w:rPr>
      </w:pPr>
    </w:p>
    <w:p w14:paraId="01CDCB79">
      <w:pPr>
        <w:spacing w:line="46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（全权代表姓名）为全权代表，参加贵</w:t>
      </w:r>
      <w:r>
        <w:rPr>
          <w:rFonts w:hint="eastAsia" w:ascii="宋体" w:hAnsi="宋体" w:cs="宋体"/>
          <w:color w:val="auto"/>
          <w:sz w:val="22"/>
          <w:szCs w:val="22"/>
          <w:highlight w:val="none"/>
          <w:lang w:val="en-US" w:eastAsia="zh-CN"/>
        </w:rPr>
        <w:t>方</w:t>
      </w:r>
      <w:r>
        <w:rPr>
          <w:rFonts w:hint="eastAsia" w:ascii="宋体" w:hAnsi="宋体" w:cs="宋体"/>
          <w:color w:val="auto"/>
          <w:sz w:val="22"/>
          <w:szCs w:val="22"/>
          <w:highlight w:val="none"/>
        </w:rPr>
        <w:t>组织的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（采购项目名称、编号）的采购活动，全权代表我方处理采购活动中的一切事宜。</w:t>
      </w:r>
    </w:p>
    <w:p w14:paraId="4C906123">
      <w:pPr>
        <w:spacing w:line="460" w:lineRule="exact"/>
        <w:ind w:firstLine="2955"/>
        <w:rPr>
          <w:rFonts w:ascii="宋体" w:hAnsi="宋体" w:cs="宋体"/>
          <w:color w:val="auto"/>
          <w:sz w:val="22"/>
          <w:szCs w:val="22"/>
          <w:highlight w:val="none"/>
        </w:rPr>
      </w:pPr>
    </w:p>
    <w:p w14:paraId="4635BA8B">
      <w:pPr>
        <w:spacing w:line="460" w:lineRule="exact"/>
        <w:ind w:firstLine="2955"/>
        <w:rPr>
          <w:rFonts w:ascii="宋体" w:hAnsi="宋体" w:cs="宋体"/>
          <w:color w:val="auto"/>
          <w:sz w:val="22"/>
          <w:szCs w:val="22"/>
          <w:highlight w:val="none"/>
        </w:rPr>
      </w:pPr>
    </w:p>
    <w:p w14:paraId="3C6A6F90">
      <w:pPr>
        <w:spacing w:line="460" w:lineRule="exact"/>
        <w:ind w:firstLine="3971" w:firstLineChars="1805"/>
        <w:rPr>
          <w:rFonts w:ascii="宋体" w:hAnsi="宋体" w:cs="宋体"/>
          <w:color w:val="auto"/>
          <w:sz w:val="22"/>
          <w:szCs w:val="22"/>
          <w:highlight w:val="none"/>
        </w:rPr>
      </w:pPr>
      <w:r>
        <w:rPr>
          <w:rFonts w:hint="eastAsia" w:ascii="宋体" w:hAnsi="宋体" w:cs="宋体"/>
          <w:color w:val="auto"/>
          <w:sz w:val="22"/>
          <w:szCs w:val="22"/>
          <w:highlight w:val="none"/>
        </w:rPr>
        <w:t>法定代表人 (签字或盖章)：</w:t>
      </w:r>
    </w:p>
    <w:p w14:paraId="48338E7D">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投标人全称（公章）：</w:t>
      </w:r>
    </w:p>
    <w:p w14:paraId="22CBC9AB">
      <w:pPr>
        <w:spacing w:line="46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49057ECF">
      <w:pPr>
        <w:spacing w:line="460" w:lineRule="exact"/>
        <w:rPr>
          <w:rFonts w:ascii="宋体" w:hAnsi="宋体" w:cs="宋体"/>
          <w:color w:val="auto"/>
          <w:sz w:val="22"/>
          <w:szCs w:val="22"/>
          <w:highlight w:val="none"/>
        </w:rPr>
      </w:pPr>
    </w:p>
    <w:p w14:paraId="5C4158C9">
      <w:pPr>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14:paraId="1DF9C403">
      <w:pPr>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14:paraId="2FB44667">
      <w:pPr>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6AB59170">
      <w:pPr>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详细通讯地址：</w:t>
      </w:r>
    </w:p>
    <w:p w14:paraId="4FA0A050">
      <w:pPr>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电话：</w:t>
      </w:r>
    </w:p>
    <w:p w14:paraId="7C4EE02F">
      <w:pPr>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传真：</w:t>
      </w:r>
    </w:p>
    <w:p w14:paraId="7DFDED12">
      <w:pPr>
        <w:spacing w:line="4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邮政编码:</w:t>
      </w:r>
    </w:p>
    <w:tbl>
      <w:tblPr>
        <w:tblStyle w:val="57"/>
        <w:tblW w:w="4864"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tblGrid>
      <w:tr w14:paraId="1244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864" w:type="dxa"/>
            <w:noWrap/>
            <w:vAlign w:val="center"/>
          </w:tcPr>
          <w:p w14:paraId="011AE3BA">
            <w:pPr>
              <w:spacing w:line="3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投标人代表身份证扫描件</w:t>
            </w:r>
          </w:p>
          <w:p w14:paraId="391B7D82">
            <w:pPr>
              <w:spacing w:line="380" w:lineRule="exact"/>
              <w:jc w:val="center"/>
              <w:rPr>
                <w:rFonts w:ascii="宋体" w:hAnsi="宋体" w:cs="宋体"/>
                <w:b/>
                <w:bCs/>
                <w:color w:val="auto"/>
                <w:sz w:val="28"/>
                <w:highlight w:val="none"/>
              </w:rPr>
            </w:pPr>
          </w:p>
        </w:tc>
      </w:tr>
    </w:tbl>
    <w:p w14:paraId="25BE3ED5">
      <w:pPr>
        <w:autoSpaceDE w:val="0"/>
        <w:autoSpaceDN w:val="0"/>
        <w:jc w:val="center"/>
        <w:rPr>
          <w:rFonts w:hint="eastAsia" w:ascii="宋体" w:hAnsi="宋体" w:eastAsia="宋体" w:cs="宋体"/>
          <w:b/>
          <w:color w:val="auto"/>
          <w:kern w:val="0"/>
          <w:sz w:val="28"/>
          <w:szCs w:val="28"/>
          <w:highlight w:val="none"/>
          <w:lang w:val="zh-CN"/>
        </w:rPr>
      </w:pPr>
      <w:r>
        <w:rPr>
          <w:rFonts w:hint="eastAsia" w:ascii="宋体" w:hAnsi="宋体" w:cs="宋体"/>
          <w:color w:val="auto"/>
          <w:sz w:val="22"/>
          <w:szCs w:val="22"/>
          <w:highlight w:val="none"/>
        </w:rPr>
        <w:br w:type="page"/>
      </w:r>
      <w:bookmarkStart w:id="113" w:name="_Toc23773"/>
      <w:r>
        <w:rPr>
          <w:rFonts w:hint="eastAsia" w:ascii="宋体" w:hAnsi="宋体" w:eastAsia="宋体" w:cs="宋体"/>
          <w:b/>
          <w:color w:val="auto"/>
          <w:kern w:val="0"/>
          <w:sz w:val="28"/>
          <w:szCs w:val="28"/>
          <w:highlight w:val="none"/>
          <w:lang w:val="zh-CN"/>
        </w:rPr>
        <w:t>联合协议</w:t>
      </w:r>
    </w:p>
    <w:p w14:paraId="0277E3A6">
      <w:pPr>
        <w:widowControl/>
        <w:spacing w:line="360" w:lineRule="auto"/>
        <w:ind w:firstLine="442" w:firstLineChars="200"/>
        <w:jc w:val="lef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（以联合体形式投标的，提供联合协议；本项目不接受联合体投标或者投标人不以联合体形式投标的，则不需要提供）</w:t>
      </w:r>
    </w:p>
    <w:p w14:paraId="36747CA4">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u w:val="single"/>
        </w:rPr>
        <w:t>（联合体所有成员名称）</w:t>
      </w:r>
      <w:r>
        <w:rPr>
          <w:rFonts w:hint="eastAsia" w:ascii="新宋体" w:hAnsi="新宋体" w:eastAsia="新宋体" w:cs="新宋体"/>
          <w:color w:val="auto"/>
          <w:kern w:val="0"/>
          <w:sz w:val="22"/>
          <w:szCs w:val="22"/>
          <w:highlight w:val="none"/>
        </w:rPr>
        <w:t>自愿</w:t>
      </w:r>
      <w:r>
        <w:rPr>
          <w:rFonts w:hint="eastAsia" w:ascii="新宋体" w:hAnsi="新宋体" w:eastAsia="新宋体" w:cs="新宋体"/>
          <w:color w:val="auto"/>
          <w:kern w:val="0"/>
          <w:sz w:val="22"/>
          <w:szCs w:val="22"/>
          <w:highlight w:val="none"/>
          <w:lang w:val="zh-CN"/>
        </w:rPr>
        <w:t>组成一个联合体，以一个投标人的身份</w:t>
      </w:r>
      <w:r>
        <w:rPr>
          <w:rFonts w:hint="eastAsia" w:ascii="新宋体" w:hAnsi="新宋体" w:eastAsia="新宋体" w:cs="新宋体"/>
          <w:color w:val="auto"/>
          <w:kern w:val="0"/>
          <w:sz w:val="22"/>
          <w:szCs w:val="22"/>
          <w:highlight w:val="none"/>
        </w:rPr>
        <w:t>参加</w:t>
      </w:r>
      <w:r>
        <w:rPr>
          <w:rFonts w:hint="eastAsia" w:ascii="新宋体" w:hAnsi="新宋体" w:eastAsia="新宋体" w:cs="新宋体"/>
          <w:color w:val="auto"/>
          <w:sz w:val="22"/>
          <w:szCs w:val="22"/>
          <w:highlight w:val="none"/>
        </w:rPr>
        <w:t>（项目名称）【项目编号：   】</w:t>
      </w:r>
      <w:r>
        <w:rPr>
          <w:rFonts w:hint="eastAsia" w:ascii="新宋体" w:hAnsi="新宋体" w:eastAsia="新宋体" w:cs="新宋体"/>
          <w:color w:val="auto"/>
          <w:kern w:val="0"/>
          <w:sz w:val="22"/>
          <w:szCs w:val="22"/>
          <w:highlight w:val="none"/>
          <w:lang w:val="zh-CN"/>
        </w:rPr>
        <w:t xml:space="preserve">投标。 </w:t>
      </w:r>
    </w:p>
    <w:p w14:paraId="276D4B70">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一、各方一致决定，</w:t>
      </w:r>
      <w:r>
        <w:rPr>
          <w:rFonts w:hint="eastAsia" w:ascii="新宋体" w:hAnsi="新宋体" w:eastAsia="新宋体" w:cs="新宋体"/>
          <w:color w:val="auto"/>
          <w:kern w:val="0"/>
          <w:sz w:val="22"/>
          <w:szCs w:val="22"/>
          <w:highlight w:val="none"/>
          <w:u w:val="single"/>
        </w:rPr>
        <w:t>（某联合体成员名称）</w:t>
      </w:r>
      <w:r>
        <w:rPr>
          <w:rFonts w:hint="eastAsia" w:ascii="新宋体" w:hAnsi="新宋体" w:eastAsia="新宋体" w:cs="新宋体"/>
          <w:color w:val="auto"/>
          <w:kern w:val="0"/>
          <w:sz w:val="22"/>
          <w:szCs w:val="22"/>
          <w:highlight w:val="none"/>
        </w:rPr>
        <w:t>为联合体</w:t>
      </w:r>
      <w:r>
        <w:rPr>
          <w:rFonts w:hint="eastAsia" w:ascii="新宋体" w:hAnsi="新宋体" w:eastAsia="新宋体" w:cs="新宋体"/>
          <w:color w:val="auto"/>
          <w:kern w:val="0"/>
          <w:sz w:val="22"/>
          <w:szCs w:val="22"/>
          <w:highlight w:val="none"/>
          <w:lang w:val="zh-CN"/>
        </w:rPr>
        <w:t>牵头人</w:t>
      </w:r>
      <w:r>
        <w:rPr>
          <w:rFonts w:hint="eastAsia" w:ascii="新宋体" w:hAnsi="新宋体" w:eastAsia="新宋体" w:cs="新宋体"/>
          <w:color w:val="auto"/>
          <w:sz w:val="22"/>
          <w:szCs w:val="22"/>
          <w:highlight w:val="none"/>
        </w:rPr>
        <w:t>，代表所有联合体成员负责投标和合同实施阶段的主办、协调工作</w:t>
      </w:r>
      <w:r>
        <w:rPr>
          <w:rFonts w:hint="eastAsia" w:ascii="新宋体" w:hAnsi="新宋体" w:eastAsia="新宋体" w:cs="新宋体"/>
          <w:color w:val="auto"/>
          <w:kern w:val="0"/>
          <w:sz w:val="22"/>
          <w:szCs w:val="22"/>
          <w:highlight w:val="none"/>
          <w:lang w:val="zh-CN"/>
        </w:rPr>
        <w:t>。</w:t>
      </w:r>
    </w:p>
    <w:p w14:paraId="4E087140">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二、</w:t>
      </w:r>
      <w:r>
        <w:rPr>
          <w:rFonts w:hint="eastAsia" w:ascii="新宋体" w:hAnsi="新宋体" w:eastAsia="新宋体" w:cs="新宋体"/>
          <w:color w:val="auto"/>
          <w:sz w:val="22"/>
          <w:szCs w:val="22"/>
          <w:highlight w:val="none"/>
        </w:rPr>
        <w:t>所有联合体成员各方签署授权书，授权书载明的</w:t>
      </w:r>
      <w:r>
        <w:rPr>
          <w:rFonts w:hint="eastAsia" w:ascii="新宋体" w:hAnsi="新宋体" w:eastAsia="新宋体" w:cs="新宋体"/>
          <w:color w:val="auto"/>
          <w:kern w:val="0"/>
          <w:sz w:val="22"/>
          <w:szCs w:val="22"/>
          <w:highlight w:val="none"/>
          <w:lang w:val="zh-CN"/>
        </w:rPr>
        <w:t>授权代表根据招标文件规定及投标内容而对采购人、采购代理机构所作的任何合法承诺，包括书面澄清及相应等均对联合投标各方产生约束力。</w:t>
      </w:r>
    </w:p>
    <w:p w14:paraId="7A779C29">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三、本次联合</w:t>
      </w:r>
      <w:r>
        <w:rPr>
          <w:rFonts w:hint="eastAsia" w:ascii="新宋体" w:hAnsi="新宋体" w:eastAsia="新宋体" w:cs="新宋体"/>
          <w:color w:val="auto"/>
          <w:kern w:val="0"/>
          <w:sz w:val="22"/>
          <w:szCs w:val="22"/>
          <w:highlight w:val="none"/>
        </w:rPr>
        <w:t>投标</w:t>
      </w:r>
      <w:r>
        <w:rPr>
          <w:rFonts w:hint="eastAsia" w:ascii="新宋体" w:hAnsi="新宋体" w:eastAsia="新宋体" w:cs="新宋体"/>
          <w:color w:val="auto"/>
          <w:kern w:val="0"/>
          <w:sz w:val="22"/>
          <w:szCs w:val="22"/>
          <w:highlight w:val="none"/>
          <w:lang w:val="zh-CN"/>
        </w:rPr>
        <w:t>中，分工和合同份额如下：</w:t>
      </w:r>
    </w:p>
    <w:tbl>
      <w:tblPr>
        <w:tblStyle w:val="5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2431"/>
        <w:gridCol w:w="2454"/>
        <w:gridCol w:w="2455"/>
      </w:tblGrid>
      <w:tr w14:paraId="2FC5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14" w:type="dxa"/>
            <w:vAlign w:val="center"/>
          </w:tcPr>
          <w:p w14:paraId="12F96273">
            <w:pPr>
              <w:snapToGrid w:val="0"/>
              <w:ind w:firstLine="0"/>
              <w:jc w:val="both"/>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联合体成员名称</w:t>
            </w:r>
          </w:p>
        </w:tc>
        <w:tc>
          <w:tcPr>
            <w:tcW w:w="2431" w:type="dxa"/>
            <w:vAlign w:val="center"/>
          </w:tcPr>
          <w:p w14:paraId="2A686996">
            <w:pPr>
              <w:snapToGrid w:val="0"/>
              <w:ind w:firstLine="0"/>
              <w:jc w:val="both"/>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承担的工作和义务</w:t>
            </w:r>
          </w:p>
        </w:tc>
        <w:tc>
          <w:tcPr>
            <w:tcW w:w="2454" w:type="dxa"/>
            <w:vAlign w:val="center"/>
          </w:tcPr>
          <w:p w14:paraId="56B3956E">
            <w:pPr>
              <w:snapToGrid w:val="0"/>
              <w:ind w:firstLine="0"/>
              <w:jc w:val="both"/>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承担的合同份额（该成员工作内容占合同总金额的比例）</w:t>
            </w:r>
          </w:p>
        </w:tc>
        <w:tc>
          <w:tcPr>
            <w:tcW w:w="2455" w:type="dxa"/>
            <w:vAlign w:val="center"/>
          </w:tcPr>
          <w:p w14:paraId="2BBE00CA">
            <w:pPr>
              <w:snapToGrid w:val="0"/>
              <w:ind w:firstLine="0"/>
              <w:jc w:val="both"/>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企业划型（大型、中型、小型、微型）</w:t>
            </w:r>
          </w:p>
        </w:tc>
      </w:tr>
      <w:tr w14:paraId="016A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14" w:type="dxa"/>
            <w:vAlign w:val="center"/>
          </w:tcPr>
          <w:p w14:paraId="26176D1A">
            <w:pPr>
              <w:snapToGrid w:val="0"/>
              <w:ind w:firstLine="480"/>
              <w:jc w:val="center"/>
              <w:rPr>
                <w:rFonts w:hint="eastAsia" w:ascii="新宋体" w:hAnsi="新宋体" w:eastAsia="新宋体" w:cs="新宋体"/>
                <w:color w:val="auto"/>
                <w:kern w:val="0"/>
                <w:sz w:val="22"/>
                <w:szCs w:val="22"/>
                <w:highlight w:val="none"/>
                <w:lang w:val="zh-CN"/>
              </w:rPr>
            </w:pPr>
          </w:p>
        </w:tc>
        <w:tc>
          <w:tcPr>
            <w:tcW w:w="2431" w:type="dxa"/>
            <w:vAlign w:val="center"/>
          </w:tcPr>
          <w:p w14:paraId="6E7C326F">
            <w:pPr>
              <w:snapToGrid w:val="0"/>
              <w:ind w:firstLine="480"/>
              <w:jc w:val="center"/>
              <w:rPr>
                <w:rFonts w:hint="eastAsia" w:ascii="新宋体" w:hAnsi="新宋体" w:eastAsia="新宋体" w:cs="新宋体"/>
                <w:color w:val="auto"/>
                <w:kern w:val="0"/>
                <w:sz w:val="22"/>
                <w:szCs w:val="22"/>
                <w:highlight w:val="none"/>
                <w:lang w:val="zh-CN"/>
              </w:rPr>
            </w:pPr>
          </w:p>
        </w:tc>
        <w:tc>
          <w:tcPr>
            <w:tcW w:w="2454" w:type="dxa"/>
            <w:vAlign w:val="center"/>
          </w:tcPr>
          <w:p w14:paraId="4581A528">
            <w:pPr>
              <w:snapToGrid w:val="0"/>
              <w:ind w:firstLine="480"/>
              <w:jc w:val="center"/>
              <w:rPr>
                <w:rFonts w:hint="eastAsia" w:ascii="新宋体" w:hAnsi="新宋体" w:eastAsia="新宋体" w:cs="新宋体"/>
                <w:color w:val="auto"/>
                <w:kern w:val="0"/>
                <w:sz w:val="22"/>
                <w:szCs w:val="22"/>
                <w:highlight w:val="none"/>
                <w:lang w:val="zh-CN"/>
              </w:rPr>
            </w:pPr>
          </w:p>
        </w:tc>
        <w:tc>
          <w:tcPr>
            <w:tcW w:w="2455" w:type="dxa"/>
            <w:vAlign w:val="center"/>
          </w:tcPr>
          <w:p w14:paraId="64582B0E">
            <w:pPr>
              <w:snapToGrid w:val="0"/>
              <w:ind w:firstLine="480"/>
              <w:jc w:val="center"/>
              <w:rPr>
                <w:rFonts w:hint="eastAsia" w:ascii="新宋体" w:hAnsi="新宋体" w:eastAsia="新宋体" w:cs="新宋体"/>
                <w:color w:val="auto"/>
                <w:kern w:val="0"/>
                <w:sz w:val="22"/>
                <w:szCs w:val="22"/>
                <w:highlight w:val="none"/>
                <w:lang w:val="zh-CN"/>
              </w:rPr>
            </w:pPr>
          </w:p>
        </w:tc>
      </w:tr>
      <w:tr w14:paraId="486E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14" w:type="dxa"/>
            <w:vAlign w:val="center"/>
          </w:tcPr>
          <w:p w14:paraId="11F0EBC3">
            <w:pPr>
              <w:snapToGrid w:val="0"/>
              <w:ind w:firstLine="48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w:t>
            </w:r>
          </w:p>
        </w:tc>
        <w:tc>
          <w:tcPr>
            <w:tcW w:w="2431" w:type="dxa"/>
            <w:vAlign w:val="center"/>
          </w:tcPr>
          <w:p w14:paraId="042702BD">
            <w:pPr>
              <w:snapToGrid w:val="0"/>
              <w:ind w:firstLine="480"/>
              <w:jc w:val="center"/>
              <w:rPr>
                <w:rFonts w:hint="eastAsia" w:ascii="新宋体" w:hAnsi="新宋体" w:eastAsia="新宋体" w:cs="新宋体"/>
                <w:color w:val="auto"/>
                <w:kern w:val="0"/>
                <w:sz w:val="22"/>
                <w:szCs w:val="22"/>
                <w:highlight w:val="none"/>
                <w:lang w:val="zh-CN"/>
              </w:rPr>
            </w:pPr>
          </w:p>
        </w:tc>
        <w:tc>
          <w:tcPr>
            <w:tcW w:w="2454" w:type="dxa"/>
            <w:vAlign w:val="center"/>
          </w:tcPr>
          <w:p w14:paraId="103FBE2D">
            <w:pPr>
              <w:snapToGrid w:val="0"/>
              <w:ind w:firstLine="480"/>
              <w:jc w:val="center"/>
              <w:rPr>
                <w:rFonts w:hint="eastAsia" w:ascii="新宋体" w:hAnsi="新宋体" w:eastAsia="新宋体" w:cs="新宋体"/>
                <w:color w:val="auto"/>
                <w:kern w:val="0"/>
                <w:sz w:val="22"/>
                <w:szCs w:val="22"/>
                <w:highlight w:val="none"/>
                <w:lang w:val="zh-CN"/>
              </w:rPr>
            </w:pPr>
          </w:p>
        </w:tc>
        <w:tc>
          <w:tcPr>
            <w:tcW w:w="2455" w:type="dxa"/>
            <w:vAlign w:val="center"/>
          </w:tcPr>
          <w:p w14:paraId="285F3B8D">
            <w:pPr>
              <w:snapToGrid w:val="0"/>
              <w:ind w:firstLine="480"/>
              <w:jc w:val="center"/>
              <w:rPr>
                <w:rFonts w:hint="eastAsia" w:ascii="新宋体" w:hAnsi="新宋体" w:eastAsia="新宋体" w:cs="新宋体"/>
                <w:color w:val="auto"/>
                <w:kern w:val="0"/>
                <w:sz w:val="22"/>
                <w:szCs w:val="22"/>
                <w:highlight w:val="none"/>
                <w:lang w:val="zh-CN"/>
              </w:rPr>
            </w:pPr>
          </w:p>
        </w:tc>
      </w:tr>
    </w:tbl>
    <w:p w14:paraId="07ADEDB8">
      <w:pPr>
        <w:pStyle w:val="133"/>
        <w:snapToGrid w:val="0"/>
        <w:spacing w:before="0"/>
        <w:ind w:firstLine="480"/>
        <w:rPr>
          <w:rFonts w:hint="eastAsia" w:ascii="新宋体" w:hAnsi="新宋体" w:eastAsia="新宋体" w:cs="新宋体"/>
          <w:b/>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注：</w:t>
      </w:r>
      <w:r>
        <w:rPr>
          <w:rFonts w:hint="eastAsia" w:ascii="新宋体" w:hAnsi="新宋体" w:eastAsia="新宋体" w:cs="新宋体"/>
          <w:b/>
          <w:color w:val="auto"/>
          <w:kern w:val="0"/>
          <w:sz w:val="22"/>
          <w:szCs w:val="22"/>
          <w:highlight w:val="none"/>
          <w:lang w:val="zh-CN"/>
        </w:rPr>
        <w:t>联合体成员为中小</w:t>
      </w:r>
      <w:r>
        <w:rPr>
          <w:rFonts w:hint="eastAsia" w:ascii="新宋体" w:hAnsi="新宋体" w:eastAsia="新宋体" w:cs="新宋体"/>
          <w:b/>
          <w:color w:val="auto"/>
          <w:kern w:val="0"/>
          <w:sz w:val="22"/>
          <w:szCs w:val="22"/>
          <w:highlight w:val="none"/>
          <w:lang w:val="en-US" w:eastAsia="zh-CN"/>
        </w:rPr>
        <w:t>微</w:t>
      </w:r>
      <w:r>
        <w:rPr>
          <w:rFonts w:hint="eastAsia" w:ascii="新宋体" w:hAnsi="新宋体" w:eastAsia="新宋体" w:cs="新宋体"/>
          <w:b/>
          <w:color w:val="auto"/>
          <w:kern w:val="0"/>
          <w:sz w:val="22"/>
          <w:szCs w:val="22"/>
          <w:highlight w:val="none"/>
          <w:lang w:val="zh-CN"/>
        </w:rPr>
        <w:t>企业的，应提供联合体成员的</w:t>
      </w:r>
      <w:r>
        <w:rPr>
          <w:rFonts w:hint="eastAsia" w:ascii="新宋体" w:hAnsi="新宋体" w:eastAsia="新宋体" w:cs="新宋体"/>
          <w:b/>
          <w:color w:val="auto"/>
          <w:sz w:val="22"/>
          <w:szCs w:val="22"/>
          <w:highlight w:val="none"/>
        </w:rPr>
        <w:t>中小企业声明函（格式按附件5）；未提供的视为非中小</w:t>
      </w:r>
      <w:r>
        <w:rPr>
          <w:rFonts w:hint="eastAsia" w:ascii="新宋体" w:hAnsi="新宋体" w:eastAsia="新宋体" w:cs="新宋体"/>
          <w:b/>
          <w:color w:val="auto"/>
          <w:sz w:val="22"/>
          <w:szCs w:val="22"/>
          <w:highlight w:val="none"/>
          <w:lang w:val="en-US" w:eastAsia="zh-CN"/>
        </w:rPr>
        <w:t>微</w:t>
      </w:r>
      <w:r>
        <w:rPr>
          <w:rFonts w:hint="eastAsia" w:ascii="新宋体" w:hAnsi="新宋体" w:eastAsia="新宋体" w:cs="新宋体"/>
          <w:b/>
          <w:color w:val="auto"/>
          <w:sz w:val="22"/>
          <w:szCs w:val="22"/>
          <w:highlight w:val="none"/>
        </w:rPr>
        <w:t>企业。</w:t>
      </w:r>
    </w:p>
    <w:p w14:paraId="10F994C2">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五、如果中标，</w:t>
      </w:r>
      <w:r>
        <w:rPr>
          <w:rFonts w:hint="eastAsia" w:ascii="新宋体" w:hAnsi="新宋体" w:eastAsia="新宋体" w:cs="新宋体"/>
          <w:color w:val="auto"/>
          <w:sz w:val="22"/>
          <w:szCs w:val="22"/>
          <w:highlight w:val="none"/>
        </w:rPr>
        <w:t>联合体各成员方共同与采购人签订合同，并就采购合同约定的事项对采购人承担连带责任。</w:t>
      </w:r>
    </w:p>
    <w:p w14:paraId="592E9AAC">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六、有关本次联合投标的其他事宜：</w:t>
      </w:r>
    </w:p>
    <w:p w14:paraId="5BF7DBD0">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1、联合体各方不再单独参加或者与其他供应商另外组成联合体参加同一合同项下的政府采购活动。</w:t>
      </w:r>
    </w:p>
    <w:p w14:paraId="53514334">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2、联合体中有同类资质的各方按照联合体分工承担相同工作的，按照资质等级较低的供应商确定资质等级。</w:t>
      </w:r>
    </w:p>
    <w:p w14:paraId="66F36E42">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3、本协议提交采购人、采购代理机构后，联合体各方不得以任何形式对上述内容进行修改或撤销。</w:t>
      </w:r>
    </w:p>
    <w:p w14:paraId="4D9A2847">
      <w:pPr>
        <w:snapToGrid w:val="0"/>
        <w:spacing w:line="360" w:lineRule="auto"/>
        <w:ind w:firstLine="4620" w:firstLineChars="21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联合体成员名称(电子签名/公章)：</w:t>
      </w:r>
    </w:p>
    <w:p w14:paraId="42AB511A">
      <w:pPr>
        <w:snapToGrid w:val="0"/>
        <w:spacing w:line="360" w:lineRule="auto"/>
        <w:ind w:firstLine="4620" w:firstLineChars="21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联合体成员名称(电子签名/公章)：</w:t>
      </w:r>
    </w:p>
    <w:p w14:paraId="2AC0A35E">
      <w:pPr>
        <w:snapToGrid w:val="0"/>
        <w:spacing w:line="360" w:lineRule="auto"/>
        <w:ind w:right="96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 xml:space="preserve">                   ……</w:t>
      </w:r>
    </w:p>
    <w:p w14:paraId="03AB7BC8">
      <w:pPr>
        <w:snapToGrid w:val="0"/>
        <w:spacing w:line="360" w:lineRule="auto"/>
        <w:ind w:right="480" w:firstLine="4620" w:firstLineChars="21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日期：  年  月   日</w:t>
      </w:r>
    </w:p>
    <w:p w14:paraId="2FE549FA">
      <w:pPr>
        <w:spacing w:line="360" w:lineRule="auto"/>
        <w:ind w:right="4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注：按本格式和要求提供。</w:t>
      </w:r>
    </w:p>
    <w:p w14:paraId="2E8F963D">
      <w:pPr>
        <w:autoSpaceDE w:val="0"/>
        <w:autoSpaceDN w:val="0"/>
        <w:jc w:val="center"/>
        <w:rPr>
          <w:rFonts w:ascii="宋体" w:hAnsi="宋体" w:cs="宋体"/>
          <w:b/>
          <w:color w:val="auto"/>
          <w:spacing w:val="6"/>
          <w:sz w:val="32"/>
          <w:szCs w:val="32"/>
          <w:highlight w:val="none"/>
        </w:rPr>
      </w:pPr>
    </w:p>
    <w:p w14:paraId="7022BC3E">
      <w:pPr>
        <w:autoSpaceDE w:val="0"/>
        <w:autoSpaceDN w:val="0"/>
        <w:jc w:val="center"/>
        <w:rPr>
          <w:rFonts w:ascii="宋体" w:hAnsi="宋体" w:cs="宋体"/>
          <w:b/>
          <w:color w:val="auto"/>
          <w:spacing w:val="6"/>
          <w:sz w:val="32"/>
          <w:szCs w:val="32"/>
          <w:highlight w:val="none"/>
        </w:rPr>
      </w:pPr>
    </w:p>
    <w:p w14:paraId="681E324C">
      <w:pPr>
        <w:autoSpaceDE w:val="0"/>
        <w:autoSpaceDN w:val="0"/>
        <w:jc w:val="center"/>
        <w:rPr>
          <w:rFonts w:ascii="宋体" w:hAnsi="宋体" w:cs="宋体"/>
          <w:b/>
          <w:color w:val="auto"/>
          <w:spacing w:val="6"/>
          <w:sz w:val="32"/>
          <w:szCs w:val="32"/>
          <w:highlight w:val="none"/>
        </w:rPr>
      </w:pPr>
    </w:p>
    <w:p w14:paraId="3A4F4EDF">
      <w:pPr>
        <w:autoSpaceDE w:val="0"/>
        <w:autoSpaceDN w:val="0"/>
        <w:jc w:val="center"/>
        <w:rPr>
          <w:rFonts w:ascii="宋体" w:hAnsi="宋体" w:cs="宋体"/>
          <w:b/>
          <w:color w:val="auto"/>
          <w:spacing w:val="6"/>
          <w:sz w:val="32"/>
          <w:szCs w:val="32"/>
          <w:highlight w:val="none"/>
        </w:rPr>
      </w:pPr>
    </w:p>
    <w:p w14:paraId="1B2ABE53">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708FCD86">
      <w:pPr>
        <w:autoSpaceDE w:val="0"/>
        <w:autoSpaceDN w:val="0"/>
        <w:jc w:val="center"/>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分包意向协议</w:t>
      </w:r>
    </w:p>
    <w:p w14:paraId="060DA4BA">
      <w:pPr>
        <w:widowControl/>
        <w:spacing w:line="360" w:lineRule="auto"/>
        <w:ind w:firstLine="110" w:firstLineChars="5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新宋体"/>
          <w:b/>
          <w:color w:val="auto"/>
          <w:sz w:val="22"/>
          <w:szCs w:val="22"/>
          <w:highlight w:val="none"/>
        </w:rPr>
        <w:t>中标后以分包方式履行合同的，提供分包意向协议；采购人不同意分包或者投标人中标后不以分包方式履行合同的，则不需要提供。</w:t>
      </w:r>
      <w:r>
        <w:rPr>
          <w:rFonts w:hint="eastAsia" w:ascii="新宋体" w:hAnsi="新宋体" w:eastAsia="新宋体" w:cs="新宋体"/>
          <w:color w:val="auto"/>
          <w:sz w:val="22"/>
          <w:szCs w:val="22"/>
          <w:highlight w:val="none"/>
        </w:rPr>
        <w:t>）</w:t>
      </w:r>
    </w:p>
    <w:p w14:paraId="3DC9B305">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u w:val="single"/>
        </w:rPr>
        <w:t>（投标人名称）</w:t>
      </w:r>
      <w:r>
        <w:rPr>
          <w:rFonts w:hint="eastAsia" w:ascii="新宋体" w:hAnsi="新宋体" w:eastAsia="新宋体" w:cs="新宋体"/>
          <w:color w:val="auto"/>
          <w:kern w:val="0"/>
          <w:sz w:val="22"/>
          <w:szCs w:val="22"/>
          <w:highlight w:val="none"/>
          <w:lang w:val="zh-CN"/>
        </w:rPr>
        <w:t>若成为</w:t>
      </w:r>
      <w:r>
        <w:rPr>
          <w:rFonts w:hint="eastAsia" w:ascii="新宋体" w:hAnsi="新宋体" w:eastAsia="新宋体" w:cs="新宋体"/>
          <w:color w:val="auto"/>
          <w:sz w:val="22"/>
          <w:szCs w:val="22"/>
          <w:highlight w:val="none"/>
        </w:rPr>
        <w:t>（项目名称）【项目编号：     】</w:t>
      </w:r>
      <w:r>
        <w:rPr>
          <w:rFonts w:hint="eastAsia" w:ascii="新宋体" w:hAnsi="新宋体" w:eastAsia="新宋体" w:cs="新宋体"/>
          <w:color w:val="auto"/>
          <w:kern w:val="0"/>
          <w:sz w:val="22"/>
          <w:szCs w:val="22"/>
          <w:highlight w:val="none"/>
          <w:lang w:val="zh-CN"/>
        </w:rPr>
        <w:t>的中标供应商，将依法采取分包方式履行合同。</w:t>
      </w:r>
      <w:r>
        <w:rPr>
          <w:rFonts w:hint="eastAsia" w:ascii="新宋体" w:hAnsi="新宋体" w:eastAsia="新宋体" w:cs="新宋体"/>
          <w:color w:val="auto"/>
          <w:kern w:val="0"/>
          <w:sz w:val="22"/>
          <w:szCs w:val="22"/>
          <w:highlight w:val="none"/>
          <w:u w:val="single"/>
        </w:rPr>
        <w:t>（投标人名称）</w:t>
      </w:r>
      <w:r>
        <w:rPr>
          <w:rFonts w:hint="eastAsia" w:ascii="新宋体" w:hAnsi="新宋体" w:eastAsia="新宋体" w:cs="新宋体"/>
          <w:color w:val="auto"/>
          <w:kern w:val="0"/>
          <w:sz w:val="22"/>
          <w:szCs w:val="22"/>
          <w:highlight w:val="none"/>
        </w:rPr>
        <w:t>与</w:t>
      </w:r>
      <w:r>
        <w:rPr>
          <w:rFonts w:hint="eastAsia" w:ascii="新宋体" w:hAnsi="新宋体" w:eastAsia="新宋体" w:cs="新宋体"/>
          <w:color w:val="auto"/>
          <w:kern w:val="0"/>
          <w:sz w:val="22"/>
          <w:szCs w:val="22"/>
          <w:highlight w:val="none"/>
          <w:u w:val="single"/>
        </w:rPr>
        <w:t>（所有分包供应商名称）</w:t>
      </w:r>
      <w:r>
        <w:rPr>
          <w:rFonts w:hint="eastAsia" w:ascii="新宋体" w:hAnsi="新宋体" w:eastAsia="新宋体" w:cs="新宋体"/>
          <w:color w:val="auto"/>
          <w:kern w:val="0"/>
          <w:sz w:val="22"/>
          <w:szCs w:val="22"/>
          <w:highlight w:val="none"/>
        </w:rPr>
        <w:t>达成分包意向协议</w:t>
      </w:r>
      <w:r>
        <w:rPr>
          <w:rFonts w:hint="eastAsia" w:ascii="新宋体" w:hAnsi="新宋体" w:eastAsia="新宋体" w:cs="新宋体"/>
          <w:color w:val="auto"/>
          <w:kern w:val="0"/>
          <w:sz w:val="22"/>
          <w:szCs w:val="22"/>
          <w:highlight w:val="none"/>
          <w:lang w:val="zh-CN"/>
        </w:rPr>
        <w:t xml:space="preserve">。 </w:t>
      </w:r>
    </w:p>
    <w:p w14:paraId="26211F0E">
      <w:pPr>
        <w:snapToGrid w:val="0"/>
        <w:spacing w:line="360" w:lineRule="auto"/>
        <w:ind w:firstLine="576"/>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b/>
          <w:color w:val="auto"/>
          <w:kern w:val="0"/>
          <w:sz w:val="22"/>
          <w:szCs w:val="22"/>
          <w:highlight w:val="none"/>
        </w:rPr>
        <w:t>一、</w:t>
      </w:r>
      <w:r>
        <w:rPr>
          <w:rFonts w:hint="eastAsia" w:ascii="新宋体" w:hAnsi="新宋体" w:eastAsia="新宋体" w:cs="新宋体"/>
          <w:b/>
          <w:color w:val="auto"/>
          <w:kern w:val="0"/>
          <w:sz w:val="22"/>
          <w:szCs w:val="22"/>
          <w:highlight w:val="none"/>
          <w:lang w:val="zh-CN"/>
        </w:rPr>
        <w:t>分包内容和合同份额</w:t>
      </w:r>
    </w:p>
    <w:tbl>
      <w:tblPr>
        <w:tblStyle w:val="5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166"/>
        <w:gridCol w:w="3467"/>
        <w:gridCol w:w="2215"/>
      </w:tblGrid>
      <w:tr w14:paraId="20A7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854" w:type="dxa"/>
            <w:gridSpan w:val="4"/>
            <w:vAlign w:val="center"/>
          </w:tcPr>
          <w:p w14:paraId="0AC6A181">
            <w:pPr>
              <w:snapToGrid w:val="0"/>
              <w:jc w:val="center"/>
              <w:rPr>
                <w:rFonts w:hint="eastAsia" w:ascii="新宋体" w:hAnsi="新宋体" w:eastAsia="新宋体" w:cs="新宋体"/>
                <w:b/>
                <w:color w:val="auto"/>
                <w:kern w:val="0"/>
                <w:sz w:val="22"/>
                <w:szCs w:val="22"/>
                <w:highlight w:val="none"/>
                <w:lang w:val="zh-CN"/>
              </w:rPr>
            </w:pPr>
            <w:r>
              <w:rPr>
                <w:rFonts w:hint="eastAsia" w:ascii="新宋体" w:hAnsi="新宋体" w:eastAsia="新宋体" w:cs="新宋体"/>
                <w:color w:val="auto"/>
                <w:kern w:val="0"/>
                <w:sz w:val="22"/>
                <w:szCs w:val="22"/>
                <w:highlight w:val="none"/>
              </w:rPr>
              <w:t>投标人</w:t>
            </w:r>
            <w:r>
              <w:rPr>
                <w:rFonts w:hint="eastAsia" w:ascii="新宋体" w:hAnsi="新宋体" w:eastAsia="新宋体" w:cs="新宋体"/>
                <w:b/>
                <w:color w:val="auto"/>
                <w:kern w:val="0"/>
                <w:sz w:val="22"/>
                <w:szCs w:val="22"/>
                <w:highlight w:val="none"/>
                <w:lang w:val="zh-CN"/>
              </w:rPr>
              <w:t>自身情况</w:t>
            </w:r>
          </w:p>
        </w:tc>
      </w:tr>
      <w:tr w14:paraId="72EB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06" w:type="dxa"/>
            <w:vAlign w:val="center"/>
          </w:tcPr>
          <w:p w14:paraId="7528E91F">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投标人</w:t>
            </w:r>
            <w:r>
              <w:rPr>
                <w:rFonts w:hint="eastAsia" w:ascii="新宋体" w:hAnsi="新宋体" w:eastAsia="新宋体" w:cs="新宋体"/>
                <w:color w:val="auto"/>
                <w:kern w:val="0"/>
                <w:sz w:val="22"/>
                <w:szCs w:val="22"/>
                <w:highlight w:val="none"/>
                <w:lang w:val="zh-CN"/>
              </w:rPr>
              <w:t>名称</w:t>
            </w:r>
          </w:p>
        </w:tc>
        <w:tc>
          <w:tcPr>
            <w:tcW w:w="2166" w:type="dxa"/>
            <w:vAlign w:val="center"/>
          </w:tcPr>
          <w:p w14:paraId="3606B6DA">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投标人</w:t>
            </w:r>
            <w:r>
              <w:rPr>
                <w:rFonts w:hint="eastAsia" w:ascii="新宋体" w:hAnsi="新宋体" w:eastAsia="新宋体" w:cs="新宋体"/>
                <w:color w:val="auto"/>
                <w:kern w:val="0"/>
                <w:sz w:val="22"/>
                <w:szCs w:val="22"/>
                <w:highlight w:val="none"/>
                <w:lang w:val="zh-CN"/>
              </w:rPr>
              <w:t>自身承担的工作内容</w:t>
            </w:r>
          </w:p>
        </w:tc>
        <w:tc>
          <w:tcPr>
            <w:tcW w:w="3467" w:type="dxa"/>
            <w:vAlign w:val="center"/>
          </w:tcPr>
          <w:p w14:paraId="1210BABF">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自身承担的合同份额</w:t>
            </w:r>
          </w:p>
          <w:p w14:paraId="19E3AAC5">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（该工作内容占合同金额的比例）</w:t>
            </w:r>
          </w:p>
        </w:tc>
        <w:tc>
          <w:tcPr>
            <w:tcW w:w="2215" w:type="dxa"/>
            <w:vAlign w:val="center"/>
          </w:tcPr>
          <w:p w14:paraId="3801EC76">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企业划型</w:t>
            </w:r>
          </w:p>
          <w:p w14:paraId="43BA722E">
            <w:pPr>
              <w:pStyle w:val="742"/>
              <w:spacing w:line="240" w:lineRule="auto"/>
              <w:ind w:firstLine="0" w:firstLineChars="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（填：大型、中型、小型、微型）</w:t>
            </w:r>
          </w:p>
        </w:tc>
      </w:tr>
      <w:tr w14:paraId="0233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06" w:type="dxa"/>
            <w:vAlign w:val="center"/>
          </w:tcPr>
          <w:p w14:paraId="0B36B87E">
            <w:pPr>
              <w:snapToGrid w:val="0"/>
              <w:jc w:val="center"/>
              <w:rPr>
                <w:rFonts w:hint="eastAsia" w:ascii="新宋体" w:hAnsi="新宋体" w:eastAsia="新宋体" w:cs="新宋体"/>
                <w:color w:val="auto"/>
                <w:kern w:val="0"/>
                <w:sz w:val="22"/>
                <w:szCs w:val="22"/>
                <w:highlight w:val="none"/>
                <w:lang w:val="zh-CN"/>
              </w:rPr>
            </w:pPr>
          </w:p>
        </w:tc>
        <w:tc>
          <w:tcPr>
            <w:tcW w:w="2166" w:type="dxa"/>
            <w:vAlign w:val="center"/>
          </w:tcPr>
          <w:p w14:paraId="73638B99">
            <w:pPr>
              <w:snapToGrid w:val="0"/>
              <w:jc w:val="center"/>
              <w:rPr>
                <w:rFonts w:hint="eastAsia" w:ascii="新宋体" w:hAnsi="新宋体" w:eastAsia="新宋体" w:cs="新宋体"/>
                <w:color w:val="auto"/>
                <w:kern w:val="0"/>
                <w:sz w:val="22"/>
                <w:szCs w:val="22"/>
                <w:highlight w:val="none"/>
                <w:lang w:val="zh-CN"/>
              </w:rPr>
            </w:pPr>
          </w:p>
        </w:tc>
        <w:tc>
          <w:tcPr>
            <w:tcW w:w="3467" w:type="dxa"/>
            <w:vAlign w:val="center"/>
          </w:tcPr>
          <w:p w14:paraId="36EC8035">
            <w:pPr>
              <w:snapToGrid w:val="0"/>
              <w:jc w:val="center"/>
              <w:rPr>
                <w:rFonts w:hint="eastAsia" w:ascii="新宋体" w:hAnsi="新宋体" w:eastAsia="新宋体" w:cs="新宋体"/>
                <w:color w:val="auto"/>
                <w:kern w:val="0"/>
                <w:sz w:val="22"/>
                <w:szCs w:val="22"/>
                <w:highlight w:val="none"/>
                <w:lang w:val="zh-CN"/>
              </w:rPr>
            </w:pPr>
          </w:p>
        </w:tc>
        <w:tc>
          <w:tcPr>
            <w:tcW w:w="2215" w:type="dxa"/>
            <w:vAlign w:val="center"/>
          </w:tcPr>
          <w:p w14:paraId="30244804">
            <w:pPr>
              <w:snapToGrid w:val="0"/>
              <w:jc w:val="center"/>
              <w:rPr>
                <w:rFonts w:hint="eastAsia" w:ascii="新宋体" w:hAnsi="新宋体" w:eastAsia="新宋体" w:cs="新宋体"/>
                <w:color w:val="auto"/>
                <w:kern w:val="0"/>
                <w:sz w:val="22"/>
                <w:szCs w:val="22"/>
                <w:highlight w:val="none"/>
                <w:lang w:val="zh-CN"/>
              </w:rPr>
            </w:pPr>
          </w:p>
        </w:tc>
      </w:tr>
      <w:tr w14:paraId="465F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854" w:type="dxa"/>
            <w:gridSpan w:val="4"/>
            <w:vAlign w:val="center"/>
          </w:tcPr>
          <w:p w14:paraId="6B7E317F">
            <w:pPr>
              <w:snapToGrid w:val="0"/>
              <w:jc w:val="center"/>
              <w:rPr>
                <w:rFonts w:hint="eastAsia" w:ascii="新宋体" w:hAnsi="新宋体" w:eastAsia="新宋体" w:cs="新宋体"/>
                <w:b/>
                <w:color w:val="auto"/>
                <w:kern w:val="0"/>
                <w:sz w:val="22"/>
                <w:szCs w:val="22"/>
                <w:highlight w:val="none"/>
                <w:lang w:val="zh-CN"/>
              </w:rPr>
            </w:pPr>
            <w:r>
              <w:rPr>
                <w:rFonts w:hint="eastAsia" w:ascii="新宋体" w:hAnsi="新宋体" w:eastAsia="新宋体" w:cs="新宋体"/>
                <w:b/>
                <w:color w:val="auto"/>
                <w:kern w:val="0"/>
                <w:sz w:val="22"/>
                <w:szCs w:val="22"/>
                <w:highlight w:val="none"/>
                <w:lang w:val="zh-CN"/>
              </w:rPr>
              <w:t>分包供应商情况</w:t>
            </w:r>
          </w:p>
        </w:tc>
      </w:tr>
      <w:tr w14:paraId="08F9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06" w:type="dxa"/>
            <w:vAlign w:val="center"/>
          </w:tcPr>
          <w:p w14:paraId="29933386">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分包供应商名称</w:t>
            </w:r>
          </w:p>
        </w:tc>
        <w:tc>
          <w:tcPr>
            <w:tcW w:w="2166" w:type="dxa"/>
            <w:vAlign w:val="center"/>
          </w:tcPr>
          <w:p w14:paraId="322C9EEE">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分包供应商承担的工作内容</w:t>
            </w:r>
          </w:p>
        </w:tc>
        <w:tc>
          <w:tcPr>
            <w:tcW w:w="3467" w:type="dxa"/>
            <w:vAlign w:val="center"/>
          </w:tcPr>
          <w:p w14:paraId="58F9E09F">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分包供应商承担的合同份额</w:t>
            </w:r>
          </w:p>
          <w:p w14:paraId="2A4A9F05">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（该工作内容占合同金额的比例）</w:t>
            </w:r>
          </w:p>
        </w:tc>
        <w:tc>
          <w:tcPr>
            <w:tcW w:w="2215" w:type="dxa"/>
            <w:vAlign w:val="center"/>
          </w:tcPr>
          <w:p w14:paraId="5125AFC3">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企业划型</w:t>
            </w:r>
          </w:p>
          <w:p w14:paraId="73B6F742">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（填：大型、中型、小型、微型）</w:t>
            </w:r>
          </w:p>
        </w:tc>
      </w:tr>
      <w:tr w14:paraId="6959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006" w:type="dxa"/>
            <w:vAlign w:val="center"/>
          </w:tcPr>
          <w:p w14:paraId="3B0ECBDD">
            <w:pPr>
              <w:snapToGrid w:val="0"/>
              <w:jc w:val="center"/>
              <w:rPr>
                <w:rFonts w:hint="eastAsia" w:ascii="新宋体" w:hAnsi="新宋体" w:eastAsia="新宋体" w:cs="新宋体"/>
                <w:color w:val="auto"/>
                <w:kern w:val="0"/>
                <w:sz w:val="22"/>
                <w:szCs w:val="22"/>
                <w:highlight w:val="none"/>
                <w:lang w:val="zh-CN"/>
              </w:rPr>
            </w:pPr>
          </w:p>
        </w:tc>
        <w:tc>
          <w:tcPr>
            <w:tcW w:w="2166" w:type="dxa"/>
            <w:vAlign w:val="center"/>
          </w:tcPr>
          <w:p w14:paraId="77615D57">
            <w:pPr>
              <w:snapToGrid w:val="0"/>
              <w:jc w:val="center"/>
              <w:rPr>
                <w:rFonts w:hint="eastAsia" w:ascii="新宋体" w:hAnsi="新宋体" w:eastAsia="新宋体" w:cs="新宋体"/>
                <w:color w:val="auto"/>
                <w:kern w:val="0"/>
                <w:sz w:val="22"/>
                <w:szCs w:val="22"/>
                <w:highlight w:val="none"/>
                <w:lang w:val="zh-CN"/>
              </w:rPr>
            </w:pPr>
          </w:p>
        </w:tc>
        <w:tc>
          <w:tcPr>
            <w:tcW w:w="3467" w:type="dxa"/>
            <w:vAlign w:val="center"/>
          </w:tcPr>
          <w:p w14:paraId="4A91F5BA">
            <w:pPr>
              <w:snapToGrid w:val="0"/>
              <w:jc w:val="center"/>
              <w:rPr>
                <w:rFonts w:hint="eastAsia" w:ascii="新宋体" w:hAnsi="新宋体" w:eastAsia="新宋体" w:cs="新宋体"/>
                <w:color w:val="auto"/>
                <w:kern w:val="0"/>
                <w:sz w:val="22"/>
                <w:szCs w:val="22"/>
                <w:highlight w:val="none"/>
                <w:lang w:val="zh-CN"/>
              </w:rPr>
            </w:pPr>
          </w:p>
        </w:tc>
        <w:tc>
          <w:tcPr>
            <w:tcW w:w="2215" w:type="dxa"/>
            <w:vAlign w:val="center"/>
          </w:tcPr>
          <w:p w14:paraId="152BCAF9">
            <w:pPr>
              <w:snapToGrid w:val="0"/>
              <w:jc w:val="center"/>
              <w:rPr>
                <w:rFonts w:hint="eastAsia" w:ascii="新宋体" w:hAnsi="新宋体" w:eastAsia="新宋体" w:cs="新宋体"/>
                <w:color w:val="auto"/>
                <w:kern w:val="0"/>
                <w:sz w:val="22"/>
                <w:szCs w:val="22"/>
                <w:highlight w:val="none"/>
                <w:lang w:val="zh-CN"/>
              </w:rPr>
            </w:pPr>
          </w:p>
        </w:tc>
      </w:tr>
      <w:tr w14:paraId="483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06" w:type="dxa"/>
            <w:vAlign w:val="center"/>
          </w:tcPr>
          <w:p w14:paraId="2C5B94E4">
            <w:pPr>
              <w:snapToGri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w:t>
            </w:r>
          </w:p>
        </w:tc>
        <w:tc>
          <w:tcPr>
            <w:tcW w:w="2166" w:type="dxa"/>
            <w:vAlign w:val="center"/>
          </w:tcPr>
          <w:p w14:paraId="372387AF">
            <w:pPr>
              <w:snapToGrid w:val="0"/>
              <w:jc w:val="center"/>
              <w:rPr>
                <w:rFonts w:hint="eastAsia" w:ascii="新宋体" w:hAnsi="新宋体" w:eastAsia="新宋体" w:cs="新宋体"/>
                <w:color w:val="auto"/>
                <w:kern w:val="0"/>
                <w:sz w:val="22"/>
                <w:szCs w:val="22"/>
                <w:highlight w:val="none"/>
                <w:lang w:val="zh-CN"/>
              </w:rPr>
            </w:pPr>
          </w:p>
        </w:tc>
        <w:tc>
          <w:tcPr>
            <w:tcW w:w="3467" w:type="dxa"/>
            <w:vAlign w:val="center"/>
          </w:tcPr>
          <w:p w14:paraId="2A5918DE">
            <w:pPr>
              <w:snapToGrid w:val="0"/>
              <w:jc w:val="center"/>
              <w:rPr>
                <w:rFonts w:hint="eastAsia" w:ascii="新宋体" w:hAnsi="新宋体" w:eastAsia="新宋体" w:cs="新宋体"/>
                <w:color w:val="auto"/>
                <w:kern w:val="0"/>
                <w:sz w:val="22"/>
                <w:szCs w:val="22"/>
                <w:highlight w:val="none"/>
                <w:lang w:val="zh-CN"/>
              </w:rPr>
            </w:pPr>
          </w:p>
        </w:tc>
        <w:tc>
          <w:tcPr>
            <w:tcW w:w="2215" w:type="dxa"/>
            <w:vAlign w:val="center"/>
          </w:tcPr>
          <w:p w14:paraId="4F125713">
            <w:pPr>
              <w:snapToGrid w:val="0"/>
              <w:jc w:val="center"/>
              <w:rPr>
                <w:rFonts w:hint="eastAsia" w:ascii="新宋体" w:hAnsi="新宋体" w:eastAsia="新宋体" w:cs="新宋体"/>
                <w:color w:val="auto"/>
                <w:kern w:val="0"/>
                <w:sz w:val="22"/>
                <w:szCs w:val="22"/>
                <w:highlight w:val="none"/>
                <w:lang w:val="zh-CN"/>
              </w:rPr>
            </w:pPr>
          </w:p>
        </w:tc>
      </w:tr>
    </w:tbl>
    <w:p w14:paraId="620F5D4F">
      <w:pPr>
        <w:pStyle w:val="133"/>
        <w:snapToGrid w:val="0"/>
        <w:spacing w:before="0"/>
        <w:ind w:firstLine="482"/>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b/>
          <w:color w:val="auto"/>
          <w:kern w:val="0"/>
          <w:sz w:val="22"/>
          <w:szCs w:val="22"/>
          <w:highlight w:val="none"/>
          <w:lang w:val="zh-CN"/>
        </w:rPr>
        <w:t>分包供应商为中小</w:t>
      </w:r>
      <w:r>
        <w:rPr>
          <w:rFonts w:hint="eastAsia" w:ascii="新宋体" w:hAnsi="新宋体" w:eastAsia="新宋体" w:cs="新宋体"/>
          <w:b/>
          <w:color w:val="auto"/>
          <w:kern w:val="0"/>
          <w:sz w:val="22"/>
          <w:szCs w:val="22"/>
          <w:highlight w:val="none"/>
          <w:lang w:val="en-US" w:eastAsia="zh-CN"/>
        </w:rPr>
        <w:t>微</w:t>
      </w:r>
      <w:r>
        <w:rPr>
          <w:rFonts w:hint="eastAsia" w:ascii="新宋体" w:hAnsi="新宋体" w:eastAsia="新宋体" w:cs="新宋体"/>
          <w:b/>
          <w:color w:val="auto"/>
          <w:kern w:val="0"/>
          <w:sz w:val="22"/>
          <w:szCs w:val="22"/>
          <w:highlight w:val="none"/>
          <w:lang w:val="zh-CN"/>
        </w:rPr>
        <w:t>企业的，应提供分包供应商的</w:t>
      </w:r>
      <w:r>
        <w:rPr>
          <w:rFonts w:hint="eastAsia" w:ascii="新宋体" w:hAnsi="新宋体" w:eastAsia="新宋体" w:cs="新宋体"/>
          <w:b/>
          <w:color w:val="auto"/>
          <w:sz w:val="22"/>
          <w:szCs w:val="22"/>
          <w:highlight w:val="none"/>
        </w:rPr>
        <w:t>中小企业声明函（附件5）；未提供的视为非中小</w:t>
      </w:r>
      <w:r>
        <w:rPr>
          <w:rFonts w:hint="eastAsia" w:ascii="新宋体" w:hAnsi="新宋体" w:eastAsia="新宋体" w:cs="新宋体"/>
          <w:b/>
          <w:color w:val="auto"/>
          <w:sz w:val="22"/>
          <w:szCs w:val="22"/>
          <w:highlight w:val="none"/>
          <w:lang w:val="en-US" w:eastAsia="zh-CN"/>
        </w:rPr>
        <w:t>微</w:t>
      </w:r>
      <w:r>
        <w:rPr>
          <w:rFonts w:hint="eastAsia" w:ascii="新宋体" w:hAnsi="新宋体" w:eastAsia="新宋体" w:cs="新宋体"/>
          <w:b/>
          <w:color w:val="auto"/>
          <w:sz w:val="22"/>
          <w:szCs w:val="22"/>
          <w:highlight w:val="none"/>
        </w:rPr>
        <w:t>企业。</w:t>
      </w:r>
    </w:p>
    <w:p w14:paraId="57720B19">
      <w:pPr>
        <w:snapToGrid w:val="0"/>
        <w:spacing w:line="360" w:lineRule="auto"/>
        <w:ind w:firstLine="576"/>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lang w:val="zh-CN"/>
        </w:rPr>
        <w:t>、分包工作履行期限、地点、方式</w:t>
      </w:r>
    </w:p>
    <w:p w14:paraId="184567E2">
      <w:pPr>
        <w:snapToGrid w:val="0"/>
        <w:spacing w:line="360" w:lineRule="auto"/>
        <w:ind w:firstLine="576"/>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rPr>
        <w:t xml:space="preserve">                                                                                  </w:t>
      </w:r>
    </w:p>
    <w:p w14:paraId="45A62CAE">
      <w:pPr>
        <w:snapToGrid w:val="0"/>
        <w:spacing w:line="360" w:lineRule="auto"/>
        <w:ind w:firstLine="576"/>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三</w:t>
      </w:r>
      <w:r>
        <w:rPr>
          <w:rFonts w:hint="eastAsia" w:ascii="宋体" w:hAnsi="宋体" w:cs="宋体"/>
          <w:color w:val="auto"/>
          <w:kern w:val="0"/>
          <w:sz w:val="22"/>
          <w:szCs w:val="22"/>
          <w:highlight w:val="none"/>
          <w:lang w:val="zh-CN"/>
        </w:rPr>
        <w:t>、质量</w:t>
      </w:r>
    </w:p>
    <w:p w14:paraId="5BC44F14">
      <w:pPr>
        <w:snapToGrid w:val="0"/>
        <w:spacing w:line="360" w:lineRule="auto"/>
        <w:ind w:firstLine="576"/>
        <w:rPr>
          <w:rFonts w:ascii="宋体" w:hAnsi="宋体" w:cs="宋体"/>
          <w:color w:val="auto"/>
          <w:kern w:val="0"/>
          <w:sz w:val="22"/>
          <w:szCs w:val="22"/>
          <w:highlight w:val="none"/>
          <w:lang w:val="zh-CN"/>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rPr>
        <w:t xml:space="preserve">                                                                                       </w:t>
      </w:r>
    </w:p>
    <w:p w14:paraId="16436898">
      <w:pPr>
        <w:snapToGrid w:val="0"/>
        <w:spacing w:line="360" w:lineRule="auto"/>
        <w:ind w:firstLine="576"/>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lang w:val="zh-CN"/>
        </w:rPr>
        <w:t>、价款或者报酬</w:t>
      </w:r>
    </w:p>
    <w:p w14:paraId="5F72466D">
      <w:pPr>
        <w:snapToGrid w:val="0"/>
        <w:spacing w:line="360" w:lineRule="auto"/>
        <w:ind w:left="573" w:leftChars="273"/>
        <w:rPr>
          <w:rFonts w:ascii="宋体" w:hAnsi="宋体" w:cs="宋体"/>
          <w:color w:val="auto"/>
          <w:kern w:val="0"/>
          <w:sz w:val="22"/>
          <w:szCs w:val="22"/>
          <w:highlight w:val="none"/>
          <w:lang w:val="zh-CN"/>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rPr>
        <w:t xml:space="preserve">                                                                                     </w:t>
      </w:r>
    </w:p>
    <w:p w14:paraId="40EFCF43">
      <w:pPr>
        <w:snapToGrid w:val="0"/>
        <w:spacing w:line="360" w:lineRule="auto"/>
        <w:ind w:left="573" w:leftChars="273"/>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lang w:val="zh-CN"/>
        </w:rPr>
        <w:t>、违约责任</w:t>
      </w:r>
    </w:p>
    <w:p w14:paraId="5330A42E">
      <w:pPr>
        <w:snapToGrid w:val="0"/>
        <w:spacing w:line="360" w:lineRule="auto"/>
        <w:ind w:firstLine="576"/>
        <w:rPr>
          <w:rFonts w:ascii="宋体" w:hAnsi="宋体" w:cs="宋体"/>
          <w:color w:val="auto"/>
          <w:kern w:val="0"/>
          <w:sz w:val="22"/>
          <w:szCs w:val="22"/>
          <w:highlight w:val="none"/>
          <w:lang w:val="zh-CN"/>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rPr>
        <w:t xml:space="preserve">                                                                                     </w:t>
      </w:r>
    </w:p>
    <w:p w14:paraId="4F8B3FE0">
      <w:pPr>
        <w:snapToGrid w:val="0"/>
        <w:spacing w:line="360" w:lineRule="auto"/>
        <w:ind w:firstLine="576"/>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六</w:t>
      </w:r>
      <w:r>
        <w:rPr>
          <w:rFonts w:hint="eastAsia" w:ascii="宋体" w:hAnsi="宋体" w:cs="宋体"/>
          <w:color w:val="auto"/>
          <w:kern w:val="0"/>
          <w:sz w:val="22"/>
          <w:szCs w:val="22"/>
          <w:highlight w:val="none"/>
          <w:lang w:val="zh-CN"/>
        </w:rPr>
        <w:t>、争议解决的办法</w:t>
      </w:r>
    </w:p>
    <w:p w14:paraId="28690AD9">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rPr>
        <w:t xml:space="preserve"> </w:t>
      </w:r>
    </w:p>
    <w:p w14:paraId="011BACCE">
      <w:pPr>
        <w:snapToGrid w:val="0"/>
        <w:spacing w:line="360" w:lineRule="auto"/>
        <w:ind w:firstLine="576"/>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七、其他</w:t>
      </w:r>
    </w:p>
    <w:p w14:paraId="488DE55F">
      <w:pPr>
        <w:snapToGrid w:val="0"/>
        <w:spacing w:line="360" w:lineRule="auto"/>
        <w:ind w:left="5338" w:leftChars="342" w:hanging="4620" w:hangingChars="2100"/>
        <w:jc w:val="left"/>
        <w:rPr>
          <w:rFonts w:hint="eastAsia" w:ascii="新宋体" w:hAnsi="新宋体" w:eastAsia="新宋体" w:cs="新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w:t>
      </w:r>
    </w:p>
    <w:p w14:paraId="403466DB">
      <w:pPr>
        <w:snapToGrid w:val="0"/>
        <w:spacing w:line="360" w:lineRule="auto"/>
        <w:ind w:left="5338" w:leftChars="342" w:hanging="4620" w:hangingChars="2100"/>
        <w:jc w:val="lef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中小企业合同金额达到%，小微企业合同金额达到%</w:t>
      </w:r>
      <w:r>
        <w:rPr>
          <w:rFonts w:hint="eastAsia" w:ascii="新宋体" w:hAnsi="新宋体" w:eastAsia="新宋体" w:cs="新宋体"/>
          <w:color w:val="auto"/>
          <w:kern w:val="0"/>
          <w:sz w:val="22"/>
          <w:szCs w:val="22"/>
          <w:highlight w:val="none"/>
          <w:lang w:val="zh-CN"/>
        </w:rPr>
        <w:t xml:space="preserve"> 。  </w:t>
      </w:r>
    </w:p>
    <w:p w14:paraId="342CBC36">
      <w:pPr>
        <w:snapToGrid w:val="0"/>
        <w:spacing w:line="360" w:lineRule="auto"/>
        <w:ind w:left="5338" w:leftChars="342" w:hanging="4620" w:hangingChars="2100"/>
        <w:jc w:val="lef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 xml:space="preserve">                                     </w:t>
      </w:r>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color w:val="auto"/>
          <w:kern w:val="0"/>
          <w:sz w:val="22"/>
          <w:szCs w:val="22"/>
          <w:highlight w:val="none"/>
          <w:lang w:val="zh-CN"/>
        </w:rPr>
        <w:t xml:space="preserve"> 投标人名称(电子签名)：</w:t>
      </w:r>
    </w:p>
    <w:p w14:paraId="1B367413">
      <w:pPr>
        <w:snapToGrid w:val="0"/>
        <w:spacing w:line="360" w:lineRule="auto"/>
        <w:ind w:left="5707" w:leftChars="2508" w:hanging="440" w:hangingChars="200"/>
        <w:jc w:val="lef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分包供应商名称(电子签名/公章)：</w:t>
      </w:r>
    </w:p>
    <w:p w14:paraId="6C1AE77D">
      <w:pPr>
        <w:snapToGrid w:val="0"/>
        <w:spacing w:line="360" w:lineRule="auto"/>
        <w:ind w:firstLine="4840" w:firstLineChars="2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zh-CN"/>
        </w:rPr>
        <w:t>……</w:t>
      </w:r>
    </w:p>
    <w:p w14:paraId="183B9D4F">
      <w:pPr>
        <w:snapToGrid w:val="0"/>
        <w:spacing w:line="360" w:lineRule="auto"/>
        <w:ind w:left="5338" w:leftChars="342" w:hanging="4620" w:hangingChars="2100"/>
        <w:jc w:val="lef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 xml:space="preserve">                                      日期：  年  月   日</w:t>
      </w:r>
    </w:p>
    <w:p w14:paraId="43FF3723">
      <w:pPr>
        <w:spacing w:line="360" w:lineRule="auto"/>
        <w:ind w:right="4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注：按本格式和要求提供。</w:t>
      </w:r>
    </w:p>
    <w:p w14:paraId="2BF4445B">
      <w:pPr>
        <w:rPr>
          <w:rFonts w:hint="eastAsia" w:ascii="宋体" w:hAnsi="宋体" w:cs="宋体"/>
          <w:color w:val="auto"/>
          <w:sz w:val="22"/>
          <w:szCs w:val="22"/>
          <w:highlight w:val="none"/>
        </w:rPr>
      </w:pPr>
      <w:r>
        <w:rPr>
          <w:rFonts w:hint="eastAsia" w:ascii="新宋体" w:hAnsi="新宋体" w:eastAsia="新宋体" w:cs="新宋体"/>
          <w:b w:val="0"/>
          <w:color w:val="auto"/>
          <w:spacing w:val="0"/>
          <w:sz w:val="22"/>
          <w:szCs w:val="22"/>
          <w:highlight w:val="none"/>
        </w:rPr>
        <w:t>如需享受中小企业优惠政策的，还需提供意向分包单位中小企业声明函。</w:t>
      </w:r>
    </w:p>
    <w:p w14:paraId="2F816412">
      <w:pPr>
        <w:rPr>
          <w:rFonts w:hint="eastAsia" w:ascii="新宋体" w:hAnsi="新宋体" w:eastAsia="新宋体" w:cs="新宋体"/>
          <w:color w:val="auto"/>
          <w:kern w:val="0"/>
          <w:sz w:val="28"/>
          <w:szCs w:val="28"/>
          <w:highlight w:val="none"/>
        </w:rPr>
      </w:pPr>
      <w:r>
        <w:rPr>
          <w:rFonts w:hint="eastAsia" w:ascii="新宋体" w:hAnsi="新宋体" w:eastAsia="新宋体" w:cs="新宋体"/>
          <w:color w:val="auto"/>
          <w:kern w:val="0"/>
          <w:sz w:val="28"/>
          <w:szCs w:val="28"/>
          <w:highlight w:val="none"/>
        </w:rPr>
        <w:br w:type="page"/>
      </w:r>
    </w:p>
    <w:p w14:paraId="5DA7002C">
      <w:pPr>
        <w:bidi w:val="0"/>
        <w:jc w:val="center"/>
        <w:rPr>
          <w:rFonts w:hint="eastAsia"/>
          <w:b/>
          <w:bCs/>
          <w:color w:val="auto"/>
          <w:sz w:val="32"/>
          <w:szCs w:val="32"/>
          <w:highlight w:val="none"/>
          <w:lang w:val="en-US" w:eastAsia="zh-CN"/>
        </w:rPr>
      </w:pPr>
      <w:bookmarkStart w:id="114" w:name="_Toc32256"/>
      <w:bookmarkStart w:id="115" w:name="_Toc22171"/>
      <w:r>
        <w:rPr>
          <w:rFonts w:hint="eastAsia"/>
          <w:b/>
          <w:bCs/>
          <w:color w:val="auto"/>
          <w:sz w:val="32"/>
          <w:szCs w:val="32"/>
          <w:highlight w:val="none"/>
          <w:lang w:val="en-US" w:eastAsia="zh-CN"/>
        </w:rPr>
        <w:t>资格条件承诺函</w:t>
      </w:r>
      <w:bookmarkEnd w:id="113"/>
      <w:bookmarkEnd w:id="114"/>
      <w:bookmarkEnd w:id="115"/>
    </w:p>
    <w:p w14:paraId="4E826049">
      <w:pPr>
        <w:spacing w:line="440" w:lineRule="exact"/>
        <w:ind w:right="-153" w:rightChars="-73"/>
        <w:rPr>
          <w:rFonts w:ascii="宋体" w:hAnsi="宋体" w:cs="宋体"/>
          <w:color w:val="auto"/>
          <w:sz w:val="22"/>
          <w:szCs w:val="22"/>
          <w:highlight w:val="none"/>
        </w:rPr>
      </w:pPr>
    </w:p>
    <w:p w14:paraId="10B807E5">
      <w:pPr>
        <w:spacing w:line="420" w:lineRule="exact"/>
        <w:rPr>
          <w:rFonts w:ascii="宋体" w:hAnsi="宋体"/>
          <w:color w:val="auto"/>
          <w:sz w:val="22"/>
          <w:szCs w:val="22"/>
          <w:highlight w:val="none"/>
        </w:rPr>
      </w:pPr>
      <w:r>
        <w:rPr>
          <w:rFonts w:hint="eastAsia" w:ascii="宋体" w:hAnsi="宋体"/>
          <w:color w:val="auto"/>
          <w:sz w:val="22"/>
          <w:szCs w:val="22"/>
          <w:highlight w:val="none"/>
        </w:rPr>
        <w:t>温州市交通运输局</w:t>
      </w:r>
    </w:p>
    <w:p w14:paraId="32CB9A18">
      <w:pPr>
        <w:spacing w:line="420" w:lineRule="exact"/>
        <w:rPr>
          <w:rFonts w:ascii="新宋体" w:hAnsi="新宋体" w:eastAsia="新宋体" w:cs="新宋体"/>
          <w:color w:val="auto"/>
          <w:sz w:val="22"/>
          <w:szCs w:val="22"/>
          <w:highlight w:val="none"/>
        </w:rPr>
      </w:pPr>
      <w:r>
        <w:rPr>
          <w:rFonts w:hint="eastAsia" w:ascii="宋体" w:hAnsi="宋体"/>
          <w:color w:val="auto"/>
          <w:sz w:val="22"/>
          <w:szCs w:val="22"/>
          <w:highlight w:val="none"/>
          <w:lang w:eastAsia="zh-CN"/>
        </w:rPr>
        <w:t>温州元信工程项目管理有限公司</w:t>
      </w:r>
      <w:r>
        <w:rPr>
          <w:rFonts w:hint="eastAsia" w:ascii="宋体" w:hAnsi="宋体"/>
          <w:color w:val="auto"/>
          <w:sz w:val="22"/>
          <w:szCs w:val="22"/>
          <w:highlight w:val="none"/>
        </w:rPr>
        <w:t>：</w:t>
      </w:r>
    </w:p>
    <w:p w14:paraId="0C79BBFF">
      <w:pPr>
        <w:shd w:val="clear" w:color="auto" w:fill="FFFFFF"/>
        <w:snapToGrid w:val="0"/>
        <w:spacing w:line="440" w:lineRule="exact"/>
        <w:rPr>
          <w:rFonts w:ascii="宋体" w:hAnsi="宋体" w:cs="宋体"/>
          <w:color w:val="auto"/>
          <w:sz w:val="22"/>
          <w:szCs w:val="22"/>
          <w:highlight w:val="none"/>
        </w:rPr>
      </w:pPr>
    </w:p>
    <w:p w14:paraId="0D870F54">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我方参与（采购项目名称、编号）项目投标，现郑重承诺：</w:t>
      </w:r>
    </w:p>
    <w:p w14:paraId="323AE4C0">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1.我方符合《中华人民共和国政府采购法》第二十二条规定的资格条件，即</w:t>
      </w:r>
    </w:p>
    <w:p w14:paraId="7E643555">
      <w:pPr>
        <w:widowControl/>
        <w:snapToGrid w:val="0"/>
        <w:spacing w:line="440" w:lineRule="exact"/>
        <w:ind w:left="420" w:left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0AB04D36">
      <w:pPr>
        <w:widowControl/>
        <w:snapToGrid w:val="0"/>
        <w:spacing w:line="440" w:lineRule="exact"/>
        <w:ind w:left="420" w:left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4DB811C1">
      <w:pPr>
        <w:widowControl/>
        <w:snapToGrid w:val="0"/>
        <w:spacing w:line="440" w:lineRule="exact"/>
        <w:ind w:left="420" w:left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（3）我方具有履行合同所必需的设备和专业技术能力；</w:t>
      </w:r>
    </w:p>
    <w:p w14:paraId="6B0DC641">
      <w:pPr>
        <w:widowControl/>
        <w:snapToGrid w:val="0"/>
        <w:spacing w:line="440" w:lineRule="exact"/>
        <w:ind w:left="420" w:left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6E122CC6">
      <w:pPr>
        <w:widowControl/>
        <w:snapToGrid w:val="0"/>
        <w:spacing w:line="440" w:lineRule="exact"/>
        <w:ind w:left="970" w:leftChars="200" w:hanging="550" w:hangingChars="25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CDE546E">
      <w:pPr>
        <w:widowControl/>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rFonts w:hint="eastAsia"/>
          <w:color w:val="auto"/>
          <w:highlight w:val="none"/>
        </w:rPr>
        <w:fldChar w:fldCharType="begin"/>
      </w:r>
      <w:r>
        <w:rPr>
          <w:color w:val="auto"/>
          <w:highlight w:val="none"/>
        </w:rPr>
        <w:instrText xml:space="preserve"> HYPERLINK "http://www.creditchina.gov.cn）、" </w:instrText>
      </w:r>
      <w:r>
        <w:rPr>
          <w:rFonts w:hint="eastAsia"/>
          <w:color w:val="auto"/>
          <w:highlight w:val="none"/>
        </w:rPr>
        <w:fldChar w:fldCharType="separate"/>
      </w:r>
      <w:r>
        <w:rPr>
          <w:rStyle w:val="69"/>
          <w:rFonts w:hint="eastAsia" w:ascii="宋体" w:hAnsi="宋体" w:cs="宋体"/>
          <w:color w:val="auto"/>
          <w:kern w:val="0"/>
          <w:sz w:val="22"/>
          <w:szCs w:val="22"/>
          <w:highlight w:val="none"/>
        </w:rPr>
        <w:t>www.creditchina.gov.cn）、</w:t>
      </w:r>
      <w:r>
        <w:rPr>
          <w:rStyle w:val="69"/>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43114FE5">
      <w:pPr>
        <w:widowControl/>
        <w:snapToGrid w:val="0"/>
        <w:spacing w:line="44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3.单位、法定代表人（单位负责人）、本项目被授权人及本项目负责人在参加本项目前三年内（以法院判决书生效日期为准）均无行贿犯罪记录。</w:t>
      </w:r>
    </w:p>
    <w:p w14:paraId="19B18886">
      <w:pPr>
        <w:widowControl/>
        <w:snapToGrid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rPr>
        <w:t>不存在以下情况：</w:t>
      </w:r>
    </w:p>
    <w:p w14:paraId="34F4A006">
      <w:pPr>
        <w:widowControl/>
        <w:snapToGrid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单位负责人为同一人或者存在直接控股、管理关系的不同供应商参加同一合同项下的政府采购活动的；</w:t>
      </w:r>
    </w:p>
    <w:p w14:paraId="4FF0AC10">
      <w:pPr>
        <w:widowControl/>
        <w:snapToGrid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为采购项目提供整体设计、规范编制或者项目管理、监理、检测等服务后再参加该采购项目的其他采购活动的。</w:t>
      </w:r>
    </w:p>
    <w:p w14:paraId="1275C074">
      <w:pPr>
        <w:widowControl/>
        <w:snapToGrid w:val="0"/>
        <w:spacing w:line="440" w:lineRule="exact"/>
        <w:ind w:left="210" w:leftChars="1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我方任何资格（投标/中标/签订合同）</w:t>
      </w:r>
      <w:r>
        <w:rPr>
          <w:rFonts w:hint="eastAsia" w:ascii="宋体" w:hAnsi="宋体" w:cs="宋体"/>
          <w:color w:val="auto"/>
          <w:sz w:val="22"/>
          <w:szCs w:val="22"/>
          <w:highlight w:val="none"/>
        </w:rPr>
        <w:t>及其他任何形式的处理。</w:t>
      </w:r>
    </w:p>
    <w:p w14:paraId="4AB51840">
      <w:pPr>
        <w:widowControl/>
        <w:snapToGrid w:val="0"/>
        <w:spacing w:line="440" w:lineRule="exact"/>
        <w:ind w:firstLine="440" w:firstLineChars="200"/>
        <w:jc w:val="left"/>
        <w:rPr>
          <w:rFonts w:ascii="宋体" w:hAnsi="宋体" w:cs="宋体"/>
          <w:color w:val="auto"/>
          <w:kern w:val="0"/>
          <w:sz w:val="22"/>
          <w:szCs w:val="22"/>
          <w:highlight w:val="none"/>
        </w:rPr>
      </w:pPr>
    </w:p>
    <w:p w14:paraId="7B33A490">
      <w:pPr>
        <w:pStyle w:val="29"/>
        <w:spacing w:line="600" w:lineRule="exact"/>
        <w:rPr>
          <w:rFonts w:hAnsi="宋体" w:cs="宋体"/>
          <w:color w:val="auto"/>
          <w:sz w:val="22"/>
          <w:szCs w:val="22"/>
          <w:highlight w:val="none"/>
        </w:rPr>
      </w:pPr>
    </w:p>
    <w:p w14:paraId="625B48BF">
      <w:pPr>
        <w:spacing w:line="40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7889017">
      <w:pPr>
        <w:spacing w:line="40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投标人代表（签名或盖章）：</w:t>
      </w:r>
    </w:p>
    <w:p w14:paraId="1C1BDE48">
      <w:pPr>
        <w:spacing w:line="40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6D68E641">
      <w:pPr>
        <w:spacing w:line="380" w:lineRule="exact"/>
        <w:ind w:left="-358" w:leftChars="-171" w:hanging="1"/>
        <w:jc w:val="center"/>
        <w:rPr>
          <w:rFonts w:ascii="宋体" w:hAnsi="宋体" w:cs="宋体"/>
          <w:bCs/>
          <w:color w:val="auto"/>
          <w:sz w:val="22"/>
          <w:szCs w:val="22"/>
          <w:highlight w:val="none"/>
        </w:rPr>
      </w:pPr>
    </w:p>
    <w:p w14:paraId="65489F5D">
      <w:pPr>
        <w:spacing w:line="380" w:lineRule="exact"/>
        <w:ind w:left="-359" w:leftChars="-171"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rPr>
        <w:t>注：</w:t>
      </w:r>
      <w:r>
        <w:rPr>
          <w:rFonts w:hint="eastAsia" w:ascii="宋体" w:hAnsi="宋体" w:cs="宋体"/>
          <w:b/>
          <w:bCs/>
          <w:color w:val="auto"/>
          <w:sz w:val="22"/>
          <w:szCs w:val="22"/>
          <w:highlight w:val="none"/>
          <w:u w:val="single"/>
        </w:rPr>
        <w:t>▲不提交本承诺书按无效标处理</w:t>
      </w:r>
      <w:r>
        <w:rPr>
          <w:rFonts w:hint="eastAsia" w:ascii="宋体" w:hAnsi="宋体" w:cs="宋体"/>
          <w:b/>
          <w:bCs/>
          <w:color w:val="auto"/>
          <w:sz w:val="22"/>
          <w:szCs w:val="22"/>
          <w:highlight w:val="none"/>
          <w:u w:val="single"/>
          <w:lang w:eastAsia="zh-CN"/>
        </w:rPr>
        <w:t>，</w:t>
      </w:r>
      <w:r>
        <w:rPr>
          <w:rFonts w:hint="eastAsia" w:ascii="宋体" w:hAnsi="宋体" w:cs="宋体"/>
          <w:b/>
          <w:bCs/>
          <w:color w:val="auto"/>
          <w:sz w:val="22"/>
          <w:szCs w:val="22"/>
          <w:highlight w:val="none"/>
          <w:u w:val="single"/>
        </w:rPr>
        <w:t>（如为联合体</w:t>
      </w:r>
      <w:r>
        <w:rPr>
          <w:rFonts w:hint="eastAsia" w:ascii="宋体" w:hAnsi="宋体" w:cs="宋体"/>
          <w:b/>
          <w:bCs/>
          <w:color w:val="auto"/>
          <w:sz w:val="22"/>
          <w:szCs w:val="22"/>
          <w:highlight w:val="none"/>
          <w:u w:val="single"/>
          <w:lang w:val="en-US" w:eastAsia="zh-CN"/>
        </w:rPr>
        <w:t>或意向分包</w:t>
      </w:r>
      <w:r>
        <w:rPr>
          <w:rFonts w:hint="eastAsia" w:ascii="宋体" w:hAnsi="宋体" w:cs="宋体"/>
          <w:b/>
          <w:bCs/>
          <w:color w:val="auto"/>
          <w:sz w:val="22"/>
          <w:szCs w:val="22"/>
          <w:highlight w:val="none"/>
          <w:u w:val="single"/>
        </w:rPr>
        <w:t>，联合体</w:t>
      </w:r>
      <w:r>
        <w:rPr>
          <w:rFonts w:hint="eastAsia" w:ascii="宋体" w:hAnsi="宋体" w:cs="宋体"/>
          <w:b/>
          <w:bCs/>
          <w:color w:val="auto"/>
          <w:sz w:val="22"/>
          <w:szCs w:val="22"/>
          <w:highlight w:val="none"/>
          <w:u w:val="single"/>
          <w:lang w:val="en-US" w:eastAsia="zh-CN"/>
        </w:rPr>
        <w:t>或分包单位</w:t>
      </w:r>
      <w:r>
        <w:rPr>
          <w:rFonts w:hint="eastAsia" w:ascii="宋体" w:hAnsi="宋体" w:cs="宋体"/>
          <w:b/>
          <w:bCs/>
          <w:color w:val="auto"/>
          <w:sz w:val="22"/>
          <w:szCs w:val="22"/>
          <w:highlight w:val="none"/>
          <w:u w:val="single"/>
        </w:rPr>
        <w:t>均需提供）。</w:t>
      </w:r>
    </w:p>
    <w:p w14:paraId="290E8412">
      <w:pPr>
        <w:widowControl/>
        <w:adjustRightInd w:val="0"/>
        <w:snapToGrid w:val="0"/>
        <w:spacing w:line="360" w:lineRule="auto"/>
        <w:jc w:val="center"/>
        <w:rPr>
          <w:rFonts w:ascii="宋体" w:hAnsi="宋体" w:eastAsia="宋体" w:cs="宋体"/>
          <w:b/>
          <w:color w:val="auto"/>
          <w:kern w:val="0"/>
          <w:sz w:val="32"/>
          <w:szCs w:val="32"/>
          <w:highlight w:val="none"/>
          <w:lang w:val="en-US" w:eastAsia="zh-CN" w:bidi="ar-SA"/>
        </w:rPr>
      </w:pPr>
      <w:r>
        <w:rPr>
          <w:rFonts w:hint="eastAsia" w:ascii="新宋体" w:hAnsi="新宋体" w:eastAsia="新宋体" w:cs="新宋体"/>
          <w:b/>
          <w:color w:val="auto"/>
          <w:kern w:val="0"/>
          <w:sz w:val="28"/>
          <w:szCs w:val="28"/>
          <w:highlight w:val="none"/>
        </w:rPr>
        <w:br w:type="page"/>
      </w:r>
      <w:r>
        <w:rPr>
          <w:rFonts w:hint="eastAsia" w:ascii="宋体" w:hAnsi="宋体" w:eastAsia="宋体" w:cs="宋体"/>
          <w:b/>
          <w:color w:val="auto"/>
          <w:kern w:val="0"/>
          <w:sz w:val="32"/>
          <w:szCs w:val="32"/>
          <w:highlight w:val="none"/>
          <w:lang w:val="en-US" w:eastAsia="zh-CN" w:bidi="ar-SA"/>
        </w:rPr>
        <w:t>申请材料真实性声明</w:t>
      </w:r>
    </w:p>
    <w:p w14:paraId="273ACCBF">
      <w:pPr>
        <w:widowControl/>
        <w:adjustRightInd w:val="0"/>
        <w:snapToGrid w:val="0"/>
        <w:spacing w:line="360" w:lineRule="auto"/>
        <w:jc w:val="center"/>
        <w:rPr>
          <w:rFonts w:ascii="新宋体" w:hAnsi="新宋体" w:eastAsia="新宋体" w:cs="新宋体"/>
          <w:b/>
          <w:color w:val="auto"/>
          <w:kern w:val="0"/>
          <w:sz w:val="28"/>
          <w:szCs w:val="28"/>
          <w:highlight w:val="none"/>
        </w:rPr>
      </w:pPr>
    </w:p>
    <w:p w14:paraId="2DDE6C68">
      <w:pPr>
        <w:spacing w:line="42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温州市交通运输局</w:t>
      </w:r>
    </w:p>
    <w:p w14:paraId="60831246">
      <w:pPr>
        <w:spacing w:line="460" w:lineRule="exact"/>
        <w:rPr>
          <w:rFonts w:ascii="新宋体" w:hAnsi="新宋体" w:eastAsia="新宋体" w:cs="新宋体"/>
          <w:color w:val="auto"/>
          <w:sz w:val="22"/>
          <w:szCs w:val="22"/>
          <w:highlight w:val="none"/>
        </w:rPr>
      </w:pPr>
      <w:r>
        <w:rPr>
          <w:rFonts w:hint="eastAsia" w:ascii="宋体" w:hAnsi="宋体"/>
          <w:color w:val="auto"/>
          <w:sz w:val="22"/>
          <w:szCs w:val="22"/>
          <w:highlight w:val="none"/>
          <w:lang w:eastAsia="zh-CN"/>
        </w:rPr>
        <w:t>温州元信工程项目管理有限公司</w:t>
      </w:r>
      <w:r>
        <w:rPr>
          <w:rFonts w:hint="eastAsia" w:ascii="宋体" w:hAnsi="宋体"/>
          <w:color w:val="auto"/>
          <w:sz w:val="22"/>
          <w:szCs w:val="22"/>
          <w:highlight w:val="none"/>
        </w:rPr>
        <w:t>：</w:t>
      </w:r>
    </w:p>
    <w:p w14:paraId="2B59F0DF">
      <w:pPr>
        <w:widowControl/>
        <w:adjustRightInd w:val="0"/>
        <w:snapToGrid w:val="0"/>
        <w:spacing w:line="360" w:lineRule="auto"/>
        <w:jc w:val="left"/>
        <w:rPr>
          <w:rFonts w:ascii="新宋体" w:hAnsi="新宋体" w:eastAsia="新宋体" w:cs="新宋体"/>
          <w:color w:val="auto"/>
          <w:kern w:val="0"/>
          <w:sz w:val="22"/>
          <w:szCs w:val="22"/>
          <w:highlight w:val="none"/>
        </w:rPr>
      </w:pPr>
    </w:p>
    <w:p w14:paraId="42CC4970">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我单位此次响应参与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（采购项目名称、编号）招投标活动</w:t>
      </w:r>
      <w:r>
        <w:rPr>
          <w:rFonts w:hint="eastAsia" w:ascii="新宋体" w:hAnsi="新宋体" w:eastAsia="新宋体" w:cs="新宋体"/>
          <w:color w:val="auto"/>
          <w:kern w:val="0"/>
          <w:sz w:val="22"/>
          <w:szCs w:val="22"/>
          <w:highlight w:val="none"/>
        </w:rPr>
        <w:t>所提交的全部材料均真实、合法。如有不实之处，愿负相应的法律责任，并承担由此产生的一切后果。</w:t>
      </w:r>
    </w:p>
    <w:p w14:paraId="517AF1F3">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p>
    <w:p w14:paraId="72E8A4C2">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p>
    <w:p w14:paraId="6D333024">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特此声明。</w:t>
      </w:r>
    </w:p>
    <w:p w14:paraId="173185A6">
      <w:pPr>
        <w:spacing w:line="40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66F7B539">
      <w:pPr>
        <w:spacing w:line="40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投标人代表（签名或盖章）：</w:t>
      </w:r>
    </w:p>
    <w:p w14:paraId="5D6948D5">
      <w:pPr>
        <w:spacing w:line="40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441233AA">
      <w:pPr>
        <w:widowControl/>
        <w:adjustRightInd w:val="0"/>
        <w:snapToGrid w:val="0"/>
        <w:spacing w:line="360" w:lineRule="auto"/>
        <w:ind w:firstLine="440" w:firstLineChars="200"/>
        <w:jc w:val="left"/>
        <w:rPr>
          <w:rFonts w:ascii="宋体" w:hAnsi="宋体" w:cs="宋体"/>
          <w:color w:val="auto"/>
          <w:kern w:val="0"/>
          <w:sz w:val="22"/>
          <w:szCs w:val="22"/>
          <w:highlight w:val="none"/>
        </w:rPr>
      </w:pPr>
    </w:p>
    <w:p w14:paraId="4C5BEC2C">
      <w:pPr>
        <w:spacing w:line="360" w:lineRule="auto"/>
        <w:rPr>
          <w:rFonts w:ascii="宋体" w:hAnsi="宋体" w:cs="宋体"/>
          <w:color w:val="auto"/>
          <w:sz w:val="22"/>
          <w:highlight w:val="none"/>
        </w:rPr>
      </w:pPr>
    </w:p>
    <w:p w14:paraId="43584F93">
      <w:pPr>
        <w:spacing w:line="360" w:lineRule="auto"/>
        <w:rPr>
          <w:rFonts w:ascii="宋体" w:hAnsi="宋体" w:cs="宋体"/>
          <w:color w:val="auto"/>
          <w:sz w:val="22"/>
          <w:highlight w:val="none"/>
        </w:rPr>
      </w:pPr>
    </w:p>
    <w:p w14:paraId="47EE3BEB">
      <w:pPr>
        <w:spacing w:line="380" w:lineRule="exact"/>
        <w:ind w:left="-359" w:leftChars="-171"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rPr>
        <w:t>注：</w:t>
      </w:r>
      <w:r>
        <w:rPr>
          <w:rFonts w:hint="eastAsia" w:ascii="宋体" w:hAnsi="宋体" w:cs="宋体"/>
          <w:b/>
          <w:bCs/>
          <w:color w:val="auto"/>
          <w:sz w:val="22"/>
          <w:szCs w:val="22"/>
          <w:highlight w:val="none"/>
          <w:u w:val="single"/>
        </w:rPr>
        <w:t>▲不提交本承诺书按无效标处理</w:t>
      </w:r>
      <w:r>
        <w:rPr>
          <w:rFonts w:hint="eastAsia" w:ascii="宋体" w:hAnsi="宋体" w:cs="宋体"/>
          <w:b/>
          <w:bCs/>
          <w:color w:val="auto"/>
          <w:sz w:val="22"/>
          <w:szCs w:val="22"/>
          <w:highlight w:val="none"/>
          <w:u w:val="single"/>
          <w:lang w:eastAsia="zh-CN"/>
        </w:rPr>
        <w:t>，</w:t>
      </w:r>
      <w:r>
        <w:rPr>
          <w:rFonts w:hint="eastAsia" w:ascii="宋体" w:hAnsi="宋体" w:cs="宋体"/>
          <w:b/>
          <w:bCs/>
          <w:color w:val="auto"/>
          <w:sz w:val="22"/>
          <w:szCs w:val="22"/>
          <w:highlight w:val="none"/>
          <w:u w:val="single"/>
        </w:rPr>
        <w:t>（如为联合体</w:t>
      </w:r>
      <w:r>
        <w:rPr>
          <w:rFonts w:hint="eastAsia" w:ascii="宋体" w:hAnsi="宋体" w:cs="宋体"/>
          <w:b/>
          <w:bCs/>
          <w:color w:val="auto"/>
          <w:sz w:val="22"/>
          <w:szCs w:val="22"/>
          <w:highlight w:val="none"/>
          <w:u w:val="single"/>
          <w:lang w:val="en-US" w:eastAsia="zh-CN"/>
        </w:rPr>
        <w:t>或意向分包</w:t>
      </w:r>
      <w:r>
        <w:rPr>
          <w:rFonts w:hint="eastAsia" w:ascii="宋体" w:hAnsi="宋体" w:cs="宋体"/>
          <w:b/>
          <w:bCs/>
          <w:color w:val="auto"/>
          <w:sz w:val="22"/>
          <w:szCs w:val="22"/>
          <w:highlight w:val="none"/>
          <w:u w:val="single"/>
        </w:rPr>
        <w:t>，联合体</w:t>
      </w:r>
      <w:r>
        <w:rPr>
          <w:rFonts w:hint="eastAsia" w:ascii="宋体" w:hAnsi="宋体" w:cs="宋体"/>
          <w:b/>
          <w:bCs/>
          <w:color w:val="auto"/>
          <w:sz w:val="22"/>
          <w:szCs w:val="22"/>
          <w:highlight w:val="none"/>
          <w:u w:val="single"/>
          <w:lang w:val="en-US" w:eastAsia="zh-CN"/>
        </w:rPr>
        <w:t>或分包单位</w:t>
      </w:r>
      <w:r>
        <w:rPr>
          <w:rFonts w:hint="eastAsia" w:ascii="宋体" w:hAnsi="宋体" w:cs="宋体"/>
          <w:b/>
          <w:bCs/>
          <w:color w:val="auto"/>
          <w:sz w:val="22"/>
          <w:szCs w:val="22"/>
          <w:highlight w:val="none"/>
          <w:u w:val="single"/>
        </w:rPr>
        <w:t>均需提供）。</w:t>
      </w:r>
    </w:p>
    <w:p w14:paraId="28124B7C">
      <w:pPr>
        <w:spacing w:line="440" w:lineRule="exact"/>
        <w:rPr>
          <w:rFonts w:ascii="宋体" w:hAnsi="宋体"/>
          <w:color w:val="auto"/>
          <w:sz w:val="22"/>
          <w:szCs w:val="22"/>
          <w:highlight w:val="none"/>
          <w:u w:val="single"/>
        </w:rPr>
      </w:pPr>
    </w:p>
    <w:p w14:paraId="089CC058">
      <w:pPr>
        <w:pStyle w:val="55"/>
        <w:ind w:firstLine="221"/>
        <w:rPr>
          <w:rFonts w:ascii="宋体" w:hAnsi="宋体"/>
          <w:color w:val="auto"/>
          <w:sz w:val="22"/>
          <w:szCs w:val="22"/>
          <w:highlight w:val="none"/>
          <w:u w:val="single"/>
        </w:rPr>
      </w:pPr>
    </w:p>
    <w:p w14:paraId="4624F0B0">
      <w:pPr>
        <w:pStyle w:val="55"/>
        <w:ind w:firstLine="321"/>
        <w:rPr>
          <w:rFonts w:ascii="宋体" w:hAnsi="宋体" w:cs="宋体"/>
          <w:color w:val="auto"/>
          <w:highlight w:val="none"/>
        </w:rPr>
      </w:pPr>
    </w:p>
    <w:p w14:paraId="7AAF5412">
      <w:pPr>
        <w:pStyle w:val="3"/>
        <w:jc w:val="left"/>
        <w:rPr>
          <w:rFonts w:ascii="宋体" w:hAnsi="宋体" w:eastAsia="宋体" w:cs="宋体"/>
          <w:b w:val="0"/>
          <w:color w:val="auto"/>
          <w:szCs w:val="21"/>
          <w:highlight w:val="none"/>
        </w:rPr>
      </w:pPr>
      <w:r>
        <w:rPr>
          <w:rFonts w:hint="eastAsia" w:ascii="宋体" w:hAnsi="宋体" w:eastAsia="宋体" w:cs="宋体"/>
          <w:b w:val="0"/>
          <w:color w:val="auto"/>
          <w:szCs w:val="21"/>
          <w:highlight w:val="none"/>
        </w:rPr>
        <w:br w:type="page"/>
      </w:r>
    </w:p>
    <w:p w14:paraId="683214E4">
      <w:pPr>
        <w:spacing w:before="120" w:beforeLines="50" w:after="120" w:afterLines="50"/>
        <w:rPr>
          <w:rFonts w:ascii="宋体" w:hAnsi="宋体" w:cs="宋体"/>
          <w:color w:val="auto"/>
          <w:sz w:val="22"/>
          <w:szCs w:val="22"/>
          <w:highlight w:val="none"/>
        </w:rPr>
      </w:pPr>
      <w:r>
        <w:rPr>
          <w:rFonts w:hint="eastAsia" w:ascii="宋体" w:hAnsi="宋体" w:cs="宋体"/>
          <w:color w:val="auto"/>
          <w:sz w:val="22"/>
          <w:szCs w:val="22"/>
          <w:highlight w:val="none"/>
        </w:rPr>
        <w:t>（商务技术文件封面，供参考）</w:t>
      </w:r>
      <w:bookmarkEnd w:id="111"/>
      <w:bookmarkEnd w:id="112"/>
    </w:p>
    <w:p w14:paraId="49F34D0C">
      <w:pPr>
        <w:rPr>
          <w:rFonts w:ascii="宋体" w:hAnsi="宋体" w:cs="宋体"/>
          <w:color w:val="auto"/>
          <w:highlight w:val="none"/>
        </w:rPr>
      </w:pPr>
    </w:p>
    <w:p w14:paraId="1A042426">
      <w:pPr>
        <w:rPr>
          <w:rFonts w:ascii="宋体" w:hAnsi="宋体" w:cs="宋体"/>
          <w:color w:val="auto"/>
          <w:highlight w:val="none"/>
        </w:rPr>
      </w:pPr>
    </w:p>
    <w:p w14:paraId="32179084">
      <w:pPr>
        <w:rPr>
          <w:rFonts w:ascii="宋体" w:hAnsi="宋体" w:cs="宋体"/>
          <w:color w:val="auto"/>
          <w:highlight w:val="none"/>
        </w:rPr>
      </w:pPr>
    </w:p>
    <w:p w14:paraId="7D04C86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投标文件</w:t>
      </w:r>
    </w:p>
    <w:p w14:paraId="10EADF6C">
      <w:pPr>
        <w:rPr>
          <w:rFonts w:hint="eastAsia" w:ascii="宋体" w:hAnsi="宋体" w:cs="宋体"/>
          <w:color w:val="auto"/>
          <w:sz w:val="28"/>
          <w:szCs w:val="28"/>
          <w:highlight w:val="none"/>
        </w:rPr>
      </w:pPr>
    </w:p>
    <w:p w14:paraId="0B258C8D">
      <w:pPr>
        <w:rPr>
          <w:rFonts w:hint="eastAsia" w:ascii="宋体" w:hAnsi="宋体" w:cs="宋体"/>
          <w:color w:val="auto"/>
          <w:sz w:val="28"/>
          <w:szCs w:val="28"/>
          <w:highlight w:val="none"/>
        </w:rPr>
      </w:pPr>
    </w:p>
    <w:p w14:paraId="1EEFDA8E">
      <w:pPr>
        <w:pStyle w:val="55"/>
        <w:ind w:firstLine="281"/>
        <w:rPr>
          <w:rFonts w:hint="eastAsia" w:ascii="宋体" w:hAnsi="宋体" w:cs="宋体"/>
          <w:color w:val="auto"/>
          <w:sz w:val="28"/>
          <w:szCs w:val="28"/>
          <w:highlight w:val="none"/>
        </w:rPr>
      </w:pPr>
    </w:p>
    <w:p w14:paraId="6E4A7ED2">
      <w:pPr>
        <w:pStyle w:val="55"/>
        <w:ind w:firstLine="281"/>
        <w:rPr>
          <w:rFonts w:hint="eastAsia" w:ascii="宋体" w:hAnsi="宋体" w:cs="宋体"/>
          <w:color w:val="auto"/>
          <w:sz w:val="28"/>
          <w:szCs w:val="28"/>
          <w:highlight w:val="none"/>
        </w:rPr>
      </w:pPr>
    </w:p>
    <w:p w14:paraId="2FCF630B">
      <w:pPr>
        <w:rPr>
          <w:rFonts w:hint="eastAsia" w:ascii="宋体" w:hAnsi="宋体" w:cs="宋体"/>
          <w:color w:val="auto"/>
          <w:sz w:val="28"/>
          <w:szCs w:val="28"/>
          <w:highlight w:val="none"/>
        </w:rPr>
      </w:pPr>
    </w:p>
    <w:p w14:paraId="02561FC3">
      <w:pPr>
        <w:rPr>
          <w:rFonts w:hint="eastAsia" w:ascii="宋体" w:hAnsi="宋体" w:cs="宋体"/>
          <w:color w:val="auto"/>
          <w:sz w:val="28"/>
          <w:szCs w:val="28"/>
          <w:highlight w:val="none"/>
        </w:rPr>
      </w:pPr>
    </w:p>
    <w:p w14:paraId="5ADB055B">
      <w:pPr>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商 务 技 术 文 件</w:t>
      </w:r>
    </w:p>
    <w:p w14:paraId="2F334801">
      <w:pPr>
        <w:spacing w:line="360" w:lineRule="auto"/>
        <w:rPr>
          <w:rFonts w:hint="eastAsia" w:ascii="宋体" w:hAnsi="宋体" w:cs="宋体"/>
          <w:color w:val="auto"/>
          <w:szCs w:val="21"/>
          <w:highlight w:val="none"/>
        </w:rPr>
      </w:pPr>
    </w:p>
    <w:p w14:paraId="1E3EEB2B">
      <w:pPr>
        <w:spacing w:line="360" w:lineRule="auto"/>
        <w:rPr>
          <w:rFonts w:hint="eastAsia" w:ascii="宋体" w:hAnsi="宋体" w:cs="宋体"/>
          <w:color w:val="auto"/>
          <w:szCs w:val="21"/>
          <w:highlight w:val="none"/>
        </w:rPr>
      </w:pPr>
    </w:p>
    <w:p w14:paraId="62EAE0B9">
      <w:pPr>
        <w:spacing w:line="360" w:lineRule="auto"/>
        <w:rPr>
          <w:rFonts w:hint="eastAsia" w:ascii="宋体" w:hAnsi="宋体" w:cs="宋体"/>
          <w:color w:val="auto"/>
          <w:szCs w:val="21"/>
          <w:highlight w:val="none"/>
        </w:rPr>
      </w:pPr>
    </w:p>
    <w:p w14:paraId="27E495CF">
      <w:pPr>
        <w:spacing w:line="360" w:lineRule="auto"/>
        <w:rPr>
          <w:rFonts w:hint="eastAsia" w:ascii="宋体" w:hAnsi="宋体" w:cs="宋体"/>
          <w:color w:val="auto"/>
          <w:szCs w:val="21"/>
          <w:highlight w:val="none"/>
        </w:rPr>
      </w:pPr>
    </w:p>
    <w:p w14:paraId="48DC36DC">
      <w:pPr>
        <w:pStyle w:val="55"/>
        <w:ind w:firstLine="321"/>
        <w:rPr>
          <w:rFonts w:hint="eastAsia" w:ascii="宋体" w:hAnsi="宋体" w:cs="宋体"/>
          <w:color w:val="auto"/>
          <w:highlight w:val="none"/>
        </w:rPr>
      </w:pPr>
    </w:p>
    <w:p w14:paraId="68A0172C">
      <w:pPr>
        <w:spacing w:line="360" w:lineRule="auto"/>
        <w:rPr>
          <w:rFonts w:hint="eastAsia" w:ascii="宋体" w:hAnsi="宋体" w:cs="宋体"/>
          <w:color w:val="auto"/>
          <w:szCs w:val="21"/>
          <w:highlight w:val="none"/>
        </w:rPr>
      </w:pPr>
    </w:p>
    <w:p w14:paraId="2DF8A10D">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6F2C1F4A">
      <w:pPr>
        <w:rPr>
          <w:rFonts w:hint="eastAsia" w:ascii="宋体" w:hAnsi="宋体" w:cs="宋体"/>
          <w:color w:val="auto"/>
          <w:sz w:val="28"/>
          <w:szCs w:val="28"/>
          <w:highlight w:val="none"/>
          <w:u w:val="single"/>
        </w:rPr>
      </w:pPr>
    </w:p>
    <w:p w14:paraId="0C2AB641">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3EB22A97">
      <w:pPr>
        <w:rPr>
          <w:rFonts w:hint="eastAsia" w:ascii="宋体" w:hAnsi="宋体" w:cs="宋体"/>
          <w:color w:val="auto"/>
          <w:sz w:val="28"/>
          <w:szCs w:val="28"/>
          <w:highlight w:val="none"/>
        </w:rPr>
      </w:pPr>
    </w:p>
    <w:p w14:paraId="42F97851">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2DB756E6">
      <w:pPr>
        <w:pStyle w:val="55"/>
        <w:ind w:firstLine="0" w:firstLineChars="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目录</w:t>
      </w:r>
    </w:p>
    <w:p w14:paraId="23C20A04">
      <w:pPr>
        <w:pStyle w:val="55"/>
        <w:ind w:firstLine="0" w:firstLineChars="0"/>
        <w:jc w:val="center"/>
        <w:rPr>
          <w:rFonts w:ascii="宋体" w:hAnsi="宋体" w:cs="宋体"/>
          <w:color w:val="auto"/>
          <w:sz w:val="22"/>
          <w:szCs w:val="22"/>
          <w:highlight w:val="none"/>
        </w:rPr>
      </w:pPr>
    </w:p>
    <w:tbl>
      <w:tblPr>
        <w:tblStyle w:val="5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109"/>
      </w:tblGrid>
      <w:tr w14:paraId="6358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45" w:type="dxa"/>
            <w:noWrap/>
            <w:vAlign w:val="center"/>
          </w:tcPr>
          <w:p w14:paraId="021FFEB3">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9109" w:type="dxa"/>
            <w:noWrap/>
            <w:vAlign w:val="center"/>
          </w:tcPr>
          <w:p w14:paraId="6EE3C990">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内容</w:t>
            </w:r>
          </w:p>
        </w:tc>
      </w:tr>
      <w:tr w14:paraId="3F71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5C27F06F">
            <w:pPr>
              <w:jc w:val="center"/>
              <w:rPr>
                <w:rFonts w:ascii="宋体" w:hAnsi="宋体" w:cs="宋体"/>
                <w:b/>
                <w:color w:val="auto"/>
                <w:sz w:val="22"/>
                <w:szCs w:val="22"/>
                <w:highlight w:val="none"/>
              </w:rPr>
            </w:pPr>
            <w:r>
              <w:rPr>
                <w:rFonts w:hint="eastAsia" w:ascii="宋体" w:hAnsi="宋体" w:cs="宋体"/>
                <w:color w:val="auto"/>
                <w:sz w:val="22"/>
                <w:szCs w:val="22"/>
                <w:highlight w:val="none"/>
              </w:rPr>
              <w:t>1</w:t>
            </w:r>
          </w:p>
        </w:tc>
        <w:tc>
          <w:tcPr>
            <w:tcW w:w="9109" w:type="dxa"/>
            <w:noWrap/>
            <w:vAlign w:val="center"/>
          </w:tcPr>
          <w:p w14:paraId="3A2ADECE">
            <w:pPr>
              <w:jc w:val="left"/>
              <w:rPr>
                <w:rFonts w:ascii="宋体" w:hAnsi="宋体" w:cs="宋体"/>
                <w:b/>
                <w:color w:val="auto"/>
                <w:sz w:val="22"/>
                <w:szCs w:val="22"/>
                <w:highlight w:val="none"/>
              </w:rPr>
            </w:pPr>
            <w:r>
              <w:rPr>
                <w:rFonts w:hint="eastAsia" w:ascii="宋体" w:hAnsi="宋体" w:cs="宋体"/>
                <w:bCs/>
                <w:color w:val="auto"/>
                <w:sz w:val="22"/>
                <w:szCs w:val="22"/>
                <w:highlight w:val="none"/>
              </w:rPr>
              <w:t>针对评分细则，编制目录索引，注明评标细则项目所在投标文件页码，格式自拟</w:t>
            </w:r>
          </w:p>
        </w:tc>
      </w:tr>
      <w:tr w14:paraId="15B4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1FC138E4">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9109" w:type="dxa"/>
            <w:noWrap/>
            <w:vAlign w:val="center"/>
          </w:tcPr>
          <w:p w14:paraId="2250482C">
            <w:pPr>
              <w:rPr>
                <w:rFonts w:ascii="宋体" w:hAnsi="宋体" w:cs="宋体"/>
                <w:b/>
                <w:color w:val="auto"/>
                <w:sz w:val="22"/>
                <w:szCs w:val="22"/>
                <w:highlight w:val="none"/>
              </w:rPr>
            </w:pPr>
            <w:r>
              <w:rPr>
                <w:rFonts w:hint="eastAsia" w:ascii="宋体" w:hAnsi="宋体" w:cs="宋体"/>
                <w:color w:val="auto"/>
                <w:sz w:val="22"/>
                <w:szCs w:val="22"/>
                <w:highlight w:val="none"/>
              </w:rPr>
              <w:t>投标函</w:t>
            </w:r>
          </w:p>
        </w:tc>
      </w:tr>
      <w:tr w14:paraId="1416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750240EA">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9109" w:type="dxa"/>
            <w:noWrap/>
            <w:vAlign w:val="center"/>
          </w:tcPr>
          <w:p w14:paraId="3D151424">
            <w:pPr>
              <w:rPr>
                <w:rFonts w:ascii="宋体" w:hAnsi="宋体" w:cs="宋体"/>
                <w:color w:val="auto"/>
                <w:sz w:val="22"/>
                <w:szCs w:val="22"/>
                <w:highlight w:val="none"/>
              </w:rPr>
            </w:pPr>
            <w:r>
              <w:rPr>
                <w:rFonts w:hint="eastAsia" w:ascii="宋体" w:hAnsi="宋体" w:cs="宋体"/>
                <w:color w:val="auto"/>
                <w:sz w:val="22"/>
                <w:szCs w:val="22"/>
                <w:highlight w:val="none"/>
              </w:rPr>
              <w:t>技术要求应答表、商务条款偏离表</w:t>
            </w:r>
          </w:p>
        </w:tc>
      </w:tr>
      <w:tr w14:paraId="54AF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578AFF8">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9109" w:type="dxa"/>
            <w:noWrap/>
            <w:vAlign w:val="center"/>
          </w:tcPr>
          <w:p w14:paraId="32B3F7F6">
            <w:pPr>
              <w:rPr>
                <w:rFonts w:ascii="宋体" w:hAnsi="宋体" w:cs="宋体"/>
                <w:color w:val="auto"/>
                <w:sz w:val="22"/>
                <w:szCs w:val="22"/>
                <w:highlight w:val="none"/>
              </w:rPr>
            </w:pPr>
            <w:r>
              <w:rPr>
                <w:rFonts w:hint="eastAsia" w:ascii="宋体" w:hAnsi="宋体" w:cs="宋体"/>
                <w:color w:val="auto"/>
                <w:sz w:val="22"/>
                <w:szCs w:val="22"/>
                <w:highlight w:val="none"/>
              </w:rPr>
              <w:t>投标人实力及</w:t>
            </w:r>
            <w:r>
              <w:rPr>
                <w:rFonts w:hint="eastAsia" w:ascii="宋体" w:hAnsi="宋体" w:cs="宋体"/>
                <w:color w:val="auto"/>
                <w:sz w:val="22"/>
                <w:szCs w:val="22"/>
                <w:highlight w:val="none"/>
                <w:lang w:val="en-US" w:eastAsia="zh-CN"/>
              </w:rPr>
              <w:t>同类项目</w:t>
            </w:r>
            <w:r>
              <w:rPr>
                <w:rFonts w:hint="eastAsia" w:ascii="宋体" w:hAnsi="宋体" w:cs="宋体"/>
                <w:color w:val="auto"/>
                <w:sz w:val="22"/>
                <w:szCs w:val="22"/>
                <w:highlight w:val="none"/>
              </w:rPr>
              <w:t>业绩证明材料</w:t>
            </w:r>
          </w:p>
        </w:tc>
      </w:tr>
      <w:tr w14:paraId="79BC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2123EC80">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9109" w:type="dxa"/>
            <w:noWrap/>
            <w:vAlign w:val="center"/>
          </w:tcPr>
          <w:p w14:paraId="62B764A3">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技术服务及力量保障</w:t>
            </w:r>
          </w:p>
        </w:tc>
      </w:tr>
      <w:tr w14:paraId="673B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6FCCF993">
            <w:pPr>
              <w:jc w:val="center"/>
              <w:rPr>
                <w:rFonts w:ascii="宋体" w:hAnsi="宋体" w:cs="宋体"/>
                <w:color w:val="auto"/>
                <w:sz w:val="22"/>
                <w:szCs w:val="22"/>
                <w:highlight w:val="none"/>
              </w:rPr>
            </w:pPr>
            <w:r>
              <w:rPr>
                <w:rFonts w:ascii="宋体" w:hAnsi="宋体" w:cs="宋体"/>
                <w:color w:val="auto"/>
                <w:sz w:val="22"/>
                <w:szCs w:val="22"/>
                <w:highlight w:val="none"/>
              </w:rPr>
              <w:t>6</w:t>
            </w:r>
          </w:p>
        </w:tc>
        <w:tc>
          <w:tcPr>
            <w:tcW w:w="9109" w:type="dxa"/>
            <w:noWrap/>
            <w:vAlign w:val="center"/>
          </w:tcPr>
          <w:p w14:paraId="259B3BF2">
            <w:pPr>
              <w:rPr>
                <w:rFonts w:ascii="宋体" w:hAnsi="宋体" w:cs="宋体"/>
                <w:color w:val="auto"/>
                <w:sz w:val="22"/>
                <w:szCs w:val="22"/>
                <w:highlight w:val="none"/>
              </w:rPr>
            </w:pPr>
            <w:r>
              <w:rPr>
                <w:rFonts w:hint="eastAsia" w:ascii="宋体" w:hAnsi="宋体" w:cs="宋体"/>
                <w:color w:val="auto"/>
                <w:sz w:val="22"/>
                <w:szCs w:val="22"/>
                <w:highlight w:val="none"/>
              </w:rPr>
              <w:t>项目整体技术方案</w:t>
            </w:r>
          </w:p>
        </w:tc>
      </w:tr>
      <w:tr w14:paraId="43A6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5" w:type="dxa"/>
            <w:noWrap/>
            <w:vAlign w:val="center"/>
          </w:tcPr>
          <w:p w14:paraId="4AE4FBFE">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9109" w:type="dxa"/>
            <w:noWrap/>
            <w:vAlign w:val="center"/>
          </w:tcPr>
          <w:p w14:paraId="2B5289CE">
            <w:pPr>
              <w:rPr>
                <w:rFonts w:hint="eastAsia" w:ascii="宋体" w:hAnsi="宋体" w:cs="宋体"/>
                <w:color w:val="auto"/>
                <w:sz w:val="22"/>
                <w:szCs w:val="22"/>
                <w:highlight w:val="none"/>
              </w:rPr>
            </w:pPr>
            <w:r>
              <w:rPr>
                <w:rFonts w:hint="eastAsia" w:ascii="宋体" w:hAnsi="宋体" w:cs="宋体"/>
                <w:color w:val="auto"/>
                <w:sz w:val="22"/>
                <w:szCs w:val="22"/>
                <w:highlight w:val="none"/>
              </w:rPr>
              <w:t>根据</w:t>
            </w:r>
            <w:r>
              <w:rPr>
                <w:rFonts w:hint="eastAsia" w:ascii="宋体" w:hAnsi="宋体" w:cs="宋体"/>
                <w:color w:val="auto"/>
                <w:sz w:val="22"/>
                <w:szCs w:val="22"/>
                <w:highlight w:val="none"/>
                <w:lang w:val="en-US" w:eastAsia="zh-CN"/>
              </w:rPr>
              <w:t>采购</w:t>
            </w:r>
            <w:r>
              <w:rPr>
                <w:rFonts w:hint="eastAsia" w:ascii="宋体" w:hAnsi="宋体" w:cs="宋体"/>
                <w:color w:val="auto"/>
                <w:sz w:val="22"/>
                <w:szCs w:val="22"/>
                <w:highlight w:val="none"/>
              </w:rPr>
              <w:t>文件中的采购内容与技术要求、评标细则，需要提供的其它文件和资料。</w:t>
            </w:r>
          </w:p>
        </w:tc>
      </w:tr>
    </w:tbl>
    <w:p w14:paraId="699D85FF">
      <w:pPr>
        <w:spacing w:line="460" w:lineRule="exact"/>
        <w:rPr>
          <w:rFonts w:ascii="宋体" w:hAnsi="宋体" w:cs="宋体"/>
          <w:b/>
          <w:bCs/>
          <w:color w:val="auto"/>
          <w:sz w:val="22"/>
          <w:szCs w:val="22"/>
          <w:highlight w:val="none"/>
        </w:rPr>
      </w:pPr>
      <w:r>
        <w:rPr>
          <w:rFonts w:hint="eastAsia" w:ascii="宋体" w:hAnsi="宋体" w:cs="宋体"/>
          <w:color w:val="auto"/>
          <w:sz w:val="22"/>
          <w:szCs w:val="22"/>
          <w:highlight w:val="none"/>
        </w:rPr>
        <w:br w:type="page"/>
      </w:r>
      <w:r>
        <w:rPr>
          <w:rFonts w:hint="eastAsia" w:ascii="宋体" w:hAnsi="宋体" w:cs="宋体"/>
          <w:b/>
          <w:bCs/>
          <w:color w:val="auto"/>
          <w:sz w:val="22"/>
          <w:szCs w:val="22"/>
          <w:highlight w:val="none"/>
        </w:rPr>
        <w:t>附件一</w:t>
      </w:r>
    </w:p>
    <w:p w14:paraId="4C2C6E28">
      <w:pPr>
        <w:spacing w:line="460" w:lineRule="exact"/>
        <w:ind w:left="22" w:hanging="22" w:hangingChars="8"/>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62CF7CA0">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温州市交通运输局：</w:t>
      </w:r>
    </w:p>
    <w:p w14:paraId="45E3D065">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lang w:eastAsia="zh-CN"/>
        </w:rPr>
        <w:t>温州元信工程项目管理有限公司</w:t>
      </w:r>
      <w:r>
        <w:rPr>
          <w:rFonts w:hint="eastAsia" w:ascii="宋体" w:hAnsi="宋体" w:cs="宋体"/>
          <w:color w:val="auto"/>
          <w:sz w:val="22"/>
          <w:szCs w:val="22"/>
          <w:highlight w:val="none"/>
        </w:rPr>
        <w:t>：</w:t>
      </w:r>
    </w:p>
    <w:p w14:paraId="387F8D6B">
      <w:pPr>
        <w:spacing w:line="42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根据贵方为项目（项目编号：）的投标邀请，我方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（授权代表全名，职务）代表我方处理有关本项目投标的一切事宜。</w:t>
      </w:r>
    </w:p>
    <w:p w14:paraId="2E8E3F20">
      <w:pPr>
        <w:autoSpaceDE w:val="0"/>
        <w:autoSpaceDN w:val="0"/>
        <w:adjustRightInd w:val="0"/>
        <w:spacing w:line="420" w:lineRule="atLeast"/>
        <w:ind w:firstLine="440" w:firstLineChars="200"/>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在此提交的投标文件中，包括如下内容，并已分别单独提交：</w:t>
      </w:r>
    </w:p>
    <w:p w14:paraId="0D76C53A">
      <w:pPr>
        <w:numPr>
          <w:ilvl w:val="0"/>
          <w:numId w:val="30"/>
        </w:numPr>
        <w:spacing w:line="420" w:lineRule="exact"/>
        <w:rPr>
          <w:rFonts w:ascii="宋体" w:hAnsi="宋体" w:cs="宋体"/>
          <w:color w:val="auto"/>
          <w:szCs w:val="21"/>
          <w:highlight w:val="none"/>
        </w:rPr>
      </w:pPr>
      <w:r>
        <w:rPr>
          <w:rFonts w:hint="eastAsia" w:ascii="宋体" w:hAnsi="宋体" w:cs="宋体"/>
          <w:color w:val="auto"/>
          <w:sz w:val="22"/>
          <w:highlight w:val="none"/>
        </w:rPr>
        <w:t>按“投标人须知”要求编制的投标文件资格审查资料 ；</w:t>
      </w:r>
    </w:p>
    <w:p w14:paraId="17E434DB">
      <w:pPr>
        <w:numPr>
          <w:ilvl w:val="0"/>
          <w:numId w:val="30"/>
        </w:numPr>
        <w:spacing w:line="420" w:lineRule="exact"/>
        <w:rPr>
          <w:rFonts w:ascii="宋体" w:hAnsi="宋体" w:cs="宋体"/>
          <w:color w:val="auto"/>
          <w:szCs w:val="21"/>
          <w:highlight w:val="none"/>
        </w:rPr>
      </w:pPr>
      <w:r>
        <w:rPr>
          <w:rFonts w:hint="eastAsia" w:ascii="宋体" w:hAnsi="宋体" w:cs="宋体"/>
          <w:color w:val="auto"/>
          <w:sz w:val="22"/>
          <w:highlight w:val="none"/>
        </w:rPr>
        <w:t>按“投标人须知”要求编制的投标文件商务商务技术文件 ；</w:t>
      </w:r>
    </w:p>
    <w:p w14:paraId="5E9F0CF8">
      <w:pPr>
        <w:numPr>
          <w:ilvl w:val="0"/>
          <w:numId w:val="30"/>
        </w:numPr>
        <w:spacing w:line="420" w:lineRule="exact"/>
        <w:rPr>
          <w:rFonts w:ascii="宋体" w:hAnsi="宋体" w:cs="宋体"/>
          <w:color w:val="auto"/>
          <w:szCs w:val="21"/>
          <w:highlight w:val="none"/>
        </w:rPr>
      </w:pPr>
      <w:r>
        <w:rPr>
          <w:rFonts w:hint="eastAsia" w:ascii="宋体" w:hAnsi="宋体" w:cs="宋体"/>
          <w:color w:val="auto"/>
          <w:sz w:val="22"/>
          <w:highlight w:val="none"/>
        </w:rPr>
        <w:t>按“投标人须知”要求编制的投标文件投标报价标 。</w:t>
      </w:r>
    </w:p>
    <w:p w14:paraId="603D08F7">
      <w:pPr>
        <w:autoSpaceDE w:val="0"/>
        <w:autoSpaceDN w:val="0"/>
        <w:adjustRightInd w:val="0"/>
        <w:spacing w:line="420" w:lineRule="atLeast"/>
        <w:ind w:firstLine="440"/>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我方</w:t>
      </w:r>
      <w:r>
        <w:rPr>
          <w:rFonts w:hint="eastAsia" w:ascii="宋体" w:hAnsi="宋体" w:cs="宋体"/>
          <w:color w:val="auto"/>
          <w:kern w:val="0"/>
          <w:sz w:val="22"/>
          <w:szCs w:val="22"/>
          <w:highlight w:val="none"/>
          <w:lang w:val="en-US" w:eastAsia="zh-CN"/>
        </w:rPr>
        <w:t>已</w:t>
      </w:r>
      <w:r>
        <w:rPr>
          <w:rFonts w:hint="eastAsia" w:ascii="宋体" w:hAnsi="宋体" w:cs="宋体"/>
          <w:color w:val="auto"/>
          <w:kern w:val="0"/>
          <w:sz w:val="22"/>
          <w:szCs w:val="22"/>
          <w:highlight w:val="none"/>
          <w:lang w:val="zh-CN"/>
        </w:rPr>
        <w:t>完全明白采购文件的所有条款要求，并重申以下几点：</w:t>
      </w:r>
    </w:p>
    <w:p w14:paraId="67CBEF50">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已详细阅读全部采购文件，包括采购文件补充文件（如果有，包括相关的补充、更正、澄清公告和文件）、参考资料及有关附件，确认无误。我方完全理解并接受采购文件的各项规定和要求。</w:t>
      </w:r>
    </w:p>
    <w:p w14:paraId="47E759B9">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同意提供按照贵方可能要求的与投标有关的一切数据或资料等。若贵方需要，我方愿意提供我方作出的一切承诺的证明材料。</w:t>
      </w:r>
    </w:p>
    <w:p w14:paraId="0CE80073">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如中标，保证按照采购文件要求及投标文件的承诺与采购人签订合同，保证履行合同条款。</w:t>
      </w:r>
    </w:p>
    <w:p w14:paraId="1F4EFBEB">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同意在采购文件中供应商须知规定的开标日期起遵守本投标书中的承诺且在投标有效期满之前均具有约束力。</w:t>
      </w:r>
    </w:p>
    <w:p w14:paraId="678E3748">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如果在开标后规定的投标有效期内撤回投标，我方接受贵方处罚。</w:t>
      </w:r>
    </w:p>
    <w:p w14:paraId="4BD91952">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完全理解贵方不一定要接受最低价的投标。</w:t>
      </w:r>
    </w:p>
    <w:p w14:paraId="3739D59E">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在参加本项目前三年内（被通报或者处罚的违法行为有：）或（没有因违法经营受到刑事处罚或者责令停产停业、吊销许可证或者执照、较大数额罚款等行政处罚或处罚）或（在至期间禁止参加政府采购活动但是期限届满，须附相关证明文件）</w:t>
      </w:r>
    </w:p>
    <w:p w14:paraId="3E47FCF3">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在投标截止前（未被“信用中国”网站(</w:t>
      </w:r>
      <w:r>
        <w:rPr>
          <w:rFonts w:hint="eastAsia"/>
          <w:color w:val="auto"/>
          <w:highlight w:val="none"/>
        </w:rPr>
        <w:fldChar w:fldCharType="begin"/>
      </w:r>
      <w:r>
        <w:rPr>
          <w:color w:val="auto"/>
          <w:highlight w:val="none"/>
        </w:rPr>
        <w:instrText xml:space="preserve"> HYPERLINK "http://www.creditchina.gov.cn" </w:instrText>
      </w:r>
      <w:r>
        <w:rPr>
          <w:rFonts w:hint="eastAsia"/>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)列入失信被执行人、重大税收违法案件当事人名单；未被“中国政府采购网”(</w:t>
      </w:r>
      <w:r>
        <w:rPr>
          <w:rFonts w:hint="eastAsia"/>
          <w:color w:val="auto"/>
          <w:highlight w:val="none"/>
        </w:rPr>
        <w:fldChar w:fldCharType="begin"/>
      </w:r>
      <w:r>
        <w:rPr>
          <w:color w:val="auto"/>
          <w:highlight w:val="none"/>
        </w:rPr>
        <w:instrText xml:space="preserve"> HYPERLINK "http://www.ccgp.gov.cn" </w:instrText>
      </w:r>
      <w:r>
        <w:rPr>
          <w:rFonts w:hint="eastAsia"/>
          <w:color w:val="auto"/>
          <w:highlight w:val="none"/>
        </w:rPr>
        <w:fldChar w:fldCharType="separate"/>
      </w:r>
      <w:r>
        <w:rPr>
          <w:rFonts w:hint="eastAsia" w:ascii="宋体" w:hAnsi="宋体" w:cs="宋体"/>
          <w:color w:val="auto"/>
          <w:sz w:val="22"/>
          <w:highlight w:val="none"/>
        </w:rPr>
        <w:t>www.ccgp.gov.cn</w:t>
      </w:r>
      <w:r>
        <w:rPr>
          <w:rFonts w:hint="eastAsia" w:ascii="宋体" w:hAnsi="宋体" w:cs="宋体"/>
          <w:color w:val="auto"/>
          <w:sz w:val="22"/>
          <w:highlight w:val="none"/>
        </w:rPr>
        <w:fldChar w:fldCharType="end"/>
      </w:r>
      <w:r>
        <w:rPr>
          <w:rFonts w:hint="eastAsia" w:ascii="宋体" w:hAnsi="宋体" w:cs="宋体"/>
          <w:color w:val="auto"/>
          <w:sz w:val="22"/>
          <w:highlight w:val="none"/>
        </w:rPr>
        <w:t>)列入政府采购严重违法失信行为记录名单。）或（被“信用中国”或“中国政府采购网”列入……名单。）</w:t>
      </w:r>
    </w:p>
    <w:p w14:paraId="6C78706B">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单位、法定代表人（单位负责人）、本项目被授权人及本项目负责人在参加本项目前三年内（以法院判决书生效日期为准）均无行贿犯罪记录。</w:t>
      </w:r>
    </w:p>
    <w:p w14:paraId="5F548C9E">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如有列情形之一的，我方愿意被取消中标资格（如中标），同时继续承担其他一切法律后果，并不再寻求任何旨在减轻或免除法律责任的解释：</w:t>
      </w:r>
    </w:p>
    <w:p w14:paraId="7C95011E">
      <w:pPr>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(1)提供虚假材料（承诺）谋取中标、成交的；</w:t>
      </w:r>
    </w:p>
    <w:p w14:paraId="7F771D2D">
      <w:pPr>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(2)采取不正当手段诋毁、排挤其他供应商的；</w:t>
      </w:r>
    </w:p>
    <w:p w14:paraId="3D851251">
      <w:pPr>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(3)与采购人、其它供应商或者采购代理机构恶意串通的；</w:t>
      </w:r>
    </w:p>
    <w:p w14:paraId="5F3C9FB1">
      <w:pPr>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(4)向采购人、采购代理机构行贿或者提供其他不正当利益的；</w:t>
      </w:r>
    </w:p>
    <w:p w14:paraId="252A7813">
      <w:pPr>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(5)在招标采购过程中与采购人进行协商谈判的；</w:t>
      </w:r>
    </w:p>
    <w:p w14:paraId="0B036543">
      <w:pPr>
        <w:spacing w:line="42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(6)拒绝有关部门监督检查或提供虚假情况的。</w:t>
      </w:r>
    </w:p>
    <w:p w14:paraId="3EA03892">
      <w:pPr>
        <w:numPr>
          <w:ilvl w:val="0"/>
          <w:numId w:val="31"/>
        </w:numPr>
        <w:spacing w:line="420" w:lineRule="exact"/>
        <w:rPr>
          <w:rFonts w:ascii="宋体" w:hAnsi="宋体" w:cs="宋体"/>
          <w:color w:val="auto"/>
          <w:sz w:val="22"/>
          <w:highlight w:val="none"/>
        </w:rPr>
      </w:pPr>
      <w:r>
        <w:rPr>
          <w:rFonts w:hint="eastAsia" w:ascii="宋体" w:hAnsi="宋体" w:cs="宋体"/>
          <w:color w:val="auto"/>
          <w:sz w:val="22"/>
          <w:highlight w:val="none"/>
        </w:rPr>
        <w:t>所有与本投标有关的函件请发往下列地址：</w:t>
      </w:r>
    </w:p>
    <w:p w14:paraId="28DB2C40">
      <w:pPr>
        <w:spacing w:line="42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p>
    <w:p w14:paraId="2B6EE539">
      <w:pPr>
        <w:spacing w:line="42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p>
    <w:p w14:paraId="1C957C50">
      <w:pPr>
        <w:spacing w:line="42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p>
    <w:p w14:paraId="1AC45C4B">
      <w:pPr>
        <w:spacing w:line="42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电子邮件</w:t>
      </w:r>
    </w:p>
    <w:p w14:paraId="1E4352A8">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投标人全称（盖章）：</w:t>
      </w:r>
    </w:p>
    <w:p w14:paraId="376E1EDB">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法定代表人或授权代表（签字）：</w:t>
      </w:r>
    </w:p>
    <w:p w14:paraId="756784A8">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日期：  年   月  日</w:t>
      </w:r>
    </w:p>
    <w:p w14:paraId="61338980">
      <w:pPr>
        <w:spacing w:line="460" w:lineRule="exact"/>
        <w:ind w:firstLine="4620"/>
        <w:rPr>
          <w:rFonts w:ascii="宋体" w:hAnsi="宋体" w:cs="宋体"/>
          <w:color w:val="auto"/>
          <w:sz w:val="22"/>
          <w:szCs w:val="22"/>
          <w:highlight w:val="none"/>
          <w:u w:val="single"/>
        </w:rPr>
      </w:pPr>
    </w:p>
    <w:p w14:paraId="334E8FDF">
      <w:pPr>
        <w:spacing w:line="460" w:lineRule="exact"/>
        <w:ind w:firstLine="4620"/>
        <w:rPr>
          <w:rFonts w:ascii="宋体" w:hAnsi="宋体" w:cs="宋体"/>
          <w:color w:val="auto"/>
          <w:sz w:val="22"/>
          <w:szCs w:val="22"/>
          <w:highlight w:val="none"/>
          <w:u w:val="single"/>
        </w:rPr>
      </w:pPr>
    </w:p>
    <w:p w14:paraId="6DFB00FE">
      <w:pPr>
        <w:spacing w:line="460" w:lineRule="exact"/>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▲不提供投标函的投标文件将被视为未实质性响应采购文件。</w:t>
      </w:r>
    </w:p>
    <w:p w14:paraId="5013D59E">
      <w:pPr>
        <w:spacing w:line="460" w:lineRule="exact"/>
        <w:ind w:firstLine="435"/>
        <w:rPr>
          <w:rFonts w:ascii="宋体" w:hAnsi="宋体" w:cs="宋体"/>
          <w:b/>
          <w:color w:val="auto"/>
          <w:sz w:val="22"/>
          <w:szCs w:val="22"/>
          <w:highlight w:val="none"/>
          <w:u w:val="single"/>
        </w:rPr>
      </w:pPr>
    </w:p>
    <w:p w14:paraId="60594CC7">
      <w:pPr>
        <w:spacing w:line="460" w:lineRule="exact"/>
        <w:rPr>
          <w:rFonts w:ascii="宋体" w:hAnsi="宋体" w:cs="宋体"/>
          <w:b/>
          <w:bCs/>
          <w:color w:val="auto"/>
          <w:sz w:val="22"/>
          <w:szCs w:val="22"/>
          <w:highlight w:val="none"/>
        </w:rPr>
      </w:pPr>
      <w:r>
        <w:rPr>
          <w:rFonts w:hint="eastAsia" w:ascii="宋体" w:hAnsi="宋体" w:cs="宋体"/>
          <w:b/>
          <w:color w:val="auto"/>
          <w:sz w:val="22"/>
          <w:szCs w:val="22"/>
          <w:highlight w:val="none"/>
          <w:u w:val="single"/>
        </w:rPr>
        <w:br w:type="page"/>
      </w:r>
      <w:r>
        <w:rPr>
          <w:rFonts w:hint="eastAsia" w:ascii="宋体" w:hAnsi="宋体" w:cs="宋体"/>
          <w:b/>
          <w:bCs/>
          <w:color w:val="auto"/>
          <w:sz w:val="22"/>
          <w:szCs w:val="22"/>
          <w:highlight w:val="none"/>
        </w:rPr>
        <w:t>附件二</w:t>
      </w:r>
    </w:p>
    <w:p w14:paraId="0A250803">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(1)技术要求应答表</w:t>
      </w:r>
    </w:p>
    <w:p w14:paraId="38811F7B">
      <w:pPr>
        <w:ind w:firstLine="435"/>
        <w:jc w:val="center"/>
        <w:rPr>
          <w:rFonts w:ascii="宋体" w:hAnsi="宋体" w:cs="宋体"/>
          <w:b/>
          <w:color w:val="auto"/>
          <w:sz w:val="44"/>
          <w:highlight w:val="none"/>
        </w:rPr>
      </w:pPr>
    </w:p>
    <w:p w14:paraId="4F9CFFC6">
      <w:pPr>
        <w:overflowPunct w:val="0"/>
        <w:spacing w:line="380" w:lineRule="exact"/>
        <w:rPr>
          <w:rFonts w:ascii="宋体" w:hAnsi="宋体" w:cs="宋体"/>
          <w:bCs/>
          <w:color w:val="auto"/>
          <w:sz w:val="22"/>
          <w:szCs w:val="22"/>
          <w:highlight w:val="none"/>
        </w:rPr>
      </w:pPr>
      <w:r>
        <w:rPr>
          <w:rFonts w:hint="eastAsia" w:ascii="宋体" w:hAnsi="宋体" w:cs="宋体"/>
          <w:bCs/>
          <w:color w:val="auto"/>
          <w:sz w:val="22"/>
          <w:szCs w:val="22"/>
          <w:highlight w:val="none"/>
        </w:rPr>
        <w:t>项目名称：                                      项目编号：</w:t>
      </w:r>
    </w:p>
    <w:p w14:paraId="5B892547">
      <w:pPr>
        <w:ind w:firstLine="361" w:firstLineChars="150"/>
        <w:rPr>
          <w:rFonts w:ascii="宋体" w:hAnsi="宋体" w:cs="宋体"/>
          <w:b/>
          <w:color w:val="auto"/>
          <w:sz w:val="24"/>
          <w:highlight w:val="none"/>
        </w:rPr>
      </w:pPr>
    </w:p>
    <w:tbl>
      <w:tblPr>
        <w:tblStyle w:val="57"/>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14:paraId="7A4161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noWrap/>
            <w:vAlign w:val="center"/>
          </w:tcPr>
          <w:p w14:paraId="547D052E">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2538" w:type="dxa"/>
            <w:noWrap/>
            <w:vAlign w:val="center"/>
          </w:tcPr>
          <w:p w14:paraId="49D6AFA1">
            <w:pPr>
              <w:jc w:val="center"/>
              <w:rPr>
                <w:rFonts w:ascii="宋体" w:hAnsi="宋体" w:cs="宋体"/>
                <w:color w:val="auto"/>
                <w:sz w:val="22"/>
                <w:szCs w:val="22"/>
                <w:highlight w:val="none"/>
              </w:rPr>
            </w:pPr>
            <w:r>
              <w:rPr>
                <w:rFonts w:hint="eastAsia" w:ascii="宋体" w:hAnsi="宋体" w:cs="宋体"/>
                <w:color w:val="auto"/>
                <w:sz w:val="22"/>
                <w:szCs w:val="22"/>
                <w:highlight w:val="none"/>
              </w:rPr>
              <w:t>采购文件技术要求</w:t>
            </w:r>
          </w:p>
        </w:tc>
        <w:tc>
          <w:tcPr>
            <w:tcW w:w="2326" w:type="dxa"/>
            <w:noWrap/>
            <w:vAlign w:val="center"/>
          </w:tcPr>
          <w:p w14:paraId="2D6A0D08">
            <w:pPr>
              <w:jc w:val="center"/>
              <w:rPr>
                <w:rFonts w:ascii="宋体" w:hAnsi="宋体" w:cs="宋体"/>
                <w:color w:val="auto"/>
                <w:sz w:val="22"/>
                <w:szCs w:val="22"/>
                <w:highlight w:val="none"/>
              </w:rPr>
            </w:pPr>
            <w:r>
              <w:rPr>
                <w:rFonts w:hint="eastAsia" w:ascii="宋体" w:hAnsi="宋体" w:cs="宋体"/>
                <w:color w:val="auto"/>
                <w:sz w:val="22"/>
                <w:szCs w:val="22"/>
                <w:highlight w:val="none"/>
              </w:rPr>
              <w:t>投标人技术响应</w:t>
            </w:r>
          </w:p>
        </w:tc>
        <w:tc>
          <w:tcPr>
            <w:tcW w:w="2115" w:type="dxa"/>
            <w:noWrap/>
            <w:vAlign w:val="center"/>
          </w:tcPr>
          <w:p w14:paraId="6DAD8C2A">
            <w:pPr>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1902" w:type="dxa"/>
            <w:noWrap/>
            <w:vAlign w:val="center"/>
          </w:tcPr>
          <w:p w14:paraId="1EEFD8AB">
            <w:pPr>
              <w:jc w:val="center"/>
              <w:rPr>
                <w:rFonts w:ascii="宋体" w:hAnsi="宋体" w:cs="宋体"/>
                <w:color w:val="auto"/>
                <w:sz w:val="22"/>
                <w:szCs w:val="22"/>
                <w:highlight w:val="none"/>
              </w:rPr>
            </w:pPr>
            <w:r>
              <w:rPr>
                <w:rFonts w:hint="eastAsia" w:ascii="宋体" w:hAnsi="宋体" w:cs="宋体"/>
                <w:color w:val="auto"/>
                <w:sz w:val="22"/>
                <w:szCs w:val="22"/>
                <w:highlight w:val="none"/>
              </w:rPr>
              <w:t>说  明</w:t>
            </w:r>
          </w:p>
        </w:tc>
      </w:tr>
      <w:tr w14:paraId="1D7EB7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noWrap/>
            <w:vAlign w:val="center"/>
          </w:tcPr>
          <w:p w14:paraId="6C3339DF">
            <w:pPr>
              <w:jc w:val="center"/>
              <w:rPr>
                <w:rFonts w:ascii="宋体" w:hAnsi="宋体" w:cs="宋体"/>
                <w:color w:val="auto"/>
                <w:sz w:val="22"/>
                <w:szCs w:val="22"/>
                <w:highlight w:val="none"/>
              </w:rPr>
            </w:pPr>
          </w:p>
        </w:tc>
        <w:tc>
          <w:tcPr>
            <w:tcW w:w="2538" w:type="dxa"/>
            <w:noWrap/>
            <w:vAlign w:val="center"/>
          </w:tcPr>
          <w:p w14:paraId="4E95A94F">
            <w:pPr>
              <w:jc w:val="center"/>
              <w:rPr>
                <w:rFonts w:ascii="宋体" w:hAnsi="宋体" w:cs="宋体"/>
                <w:color w:val="auto"/>
                <w:sz w:val="22"/>
                <w:szCs w:val="22"/>
                <w:highlight w:val="none"/>
              </w:rPr>
            </w:pPr>
          </w:p>
        </w:tc>
        <w:tc>
          <w:tcPr>
            <w:tcW w:w="2326" w:type="dxa"/>
            <w:noWrap/>
            <w:vAlign w:val="center"/>
          </w:tcPr>
          <w:p w14:paraId="3316B6CD">
            <w:pPr>
              <w:jc w:val="center"/>
              <w:rPr>
                <w:rFonts w:ascii="宋体" w:hAnsi="宋体" w:cs="宋体"/>
                <w:color w:val="auto"/>
                <w:sz w:val="22"/>
                <w:szCs w:val="22"/>
                <w:highlight w:val="none"/>
              </w:rPr>
            </w:pPr>
          </w:p>
        </w:tc>
        <w:tc>
          <w:tcPr>
            <w:tcW w:w="2115" w:type="dxa"/>
            <w:noWrap/>
            <w:vAlign w:val="center"/>
          </w:tcPr>
          <w:p w14:paraId="107770FE">
            <w:pPr>
              <w:jc w:val="center"/>
              <w:rPr>
                <w:rFonts w:ascii="宋体" w:hAnsi="宋体" w:cs="宋体"/>
                <w:color w:val="auto"/>
                <w:sz w:val="22"/>
                <w:szCs w:val="22"/>
                <w:highlight w:val="none"/>
              </w:rPr>
            </w:pPr>
          </w:p>
        </w:tc>
        <w:tc>
          <w:tcPr>
            <w:tcW w:w="1902" w:type="dxa"/>
            <w:noWrap/>
            <w:vAlign w:val="center"/>
          </w:tcPr>
          <w:p w14:paraId="422E3FE7">
            <w:pPr>
              <w:jc w:val="center"/>
              <w:rPr>
                <w:rFonts w:ascii="宋体" w:hAnsi="宋体" w:cs="宋体"/>
                <w:color w:val="auto"/>
                <w:sz w:val="22"/>
                <w:szCs w:val="22"/>
                <w:highlight w:val="none"/>
              </w:rPr>
            </w:pPr>
          </w:p>
        </w:tc>
      </w:tr>
      <w:tr w14:paraId="2C6F3E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ign w:val="center"/>
          </w:tcPr>
          <w:p w14:paraId="68D9E09E">
            <w:pPr>
              <w:jc w:val="center"/>
              <w:rPr>
                <w:rFonts w:ascii="宋体" w:hAnsi="宋体" w:cs="宋体"/>
                <w:color w:val="auto"/>
                <w:sz w:val="22"/>
                <w:szCs w:val="22"/>
                <w:highlight w:val="none"/>
              </w:rPr>
            </w:pPr>
          </w:p>
        </w:tc>
        <w:tc>
          <w:tcPr>
            <w:tcW w:w="2538" w:type="dxa"/>
            <w:noWrap/>
            <w:vAlign w:val="center"/>
          </w:tcPr>
          <w:p w14:paraId="09B04EE4">
            <w:pPr>
              <w:jc w:val="center"/>
              <w:rPr>
                <w:rFonts w:ascii="宋体" w:hAnsi="宋体" w:cs="宋体"/>
                <w:color w:val="auto"/>
                <w:sz w:val="22"/>
                <w:szCs w:val="22"/>
                <w:highlight w:val="none"/>
              </w:rPr>
            </w:pPr>
          </w:p>
        </w:tc>
        <w:tc>
          <w:tcPr>
            <w:tcW w:w="2326" w:type="dxa"/>
            <w:noWrap/>
            <w:vAlign w:val="center"/>
          </w:tcPr>
          <w:p w14:paraId="4EAC4D8D">
            <w:pPr>
              <w:jc w:val="center"/>
              <w:rPr>
                <w:rFonts w:ascii="宋体" w:hAnsi="宋体" w:cs="宋体"/>
                <w:color w:val="auto"/>
                <w:sz w:val="22"/>
                <w:szCs w:val="22"/>
                <w:highlight w:val="none"/>
              </w:rPr>
            </w:pPr>
          </w:p>
        </w:tc>
        <w:tc>
          <w:tcPr>
            <w:tcW w:w="2115" w:type="dxa"/>
            <w:noWrap/>
            <w:vAlign w:val="center"/>
          </w:tcPr>
          <w:p w14:paraId="6C297FC5">
            <w:pPr>
              <w:jc w:val="center"/>
              <w:rPr>
                <w:rFonts w:ascii="宋体" w:hAnsi="宋体" w:cs="宋体"/>
                <w:color w:val="auto"/>
                <w:sz w:val="22"/>
                <w:szCs w:val="22"/>
                <w:highlight w:val="none"/>
              </w:rPr>
            </w:pPr>
          </w:p>
        </w:tc>
        <w:tc>
          <w:tcPr>
            <w:tcW w:w="1902" w:type="dxa"/>
            <w:noWrap/>
            <w:vAlign w:val="center"/>
          </w:tcPr>
          <w:p w14:paraId="45C69E5D">
            <w:pPr>
              <w:jc w:val="center"/>
              <w:rPr>
                <w:rFonts w:ascii="宋体" w:hAnsi="宋体" w:cs="宋体"/>
                <w:color w:val="auto"/>
                <w:sz w:val="22"/>
                <w:szCs w:val="22"/>
                <w:highlight w:val="none"/>
              </w:rPr>
            </w:pPr>
          </w:p>
        </w:tc>
      </w:tr>
      <w:tr w14:paraId="4AEFD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ign w:val="center"/>
          </w:tcPr>
          <w:p w14:paraId="062C07E9">
            <w:pPr>
              <w:jc w:val="center"/>
              <w:rPr>
                <w:rFonts w:ascii="宋体" w:hAnsi="宋体" w:cs="宋体"/>
                <w:color w:val="auto"/>
                <w:sz w:val="22"/>
                <w:szCs w:val="22"/>
                <w:highlight w:val="none"/>
              </w:rPr>
            </w:pPr>
          </w:p>
        </w:tc>
        <w:tc>
          <w:tcPr>
            <w:tcW w:w="2538" w:type="dxa"/>
            <w:noWrap/>
            <w:vAlign w:val="center"/>
          </w:tcPr>
          <w:p w14:paraId="70951D3C">
            <w:pPr>
              <w:jc w:val="center"/>
              <w:rPr>
                <w:rFonts w:ascii="宋体" w:hAnsi="宋体" w:cs="宋体"/>
                <w:color w:val="auto"/>
                <w:sz w:val="22"/>
                <w:szCs w:val="22"/>
                <w:highlight w:val="none"/>
              </w:rPr>
            </w:pPr>
          </w:p>
        </w:tc>
        <w:tc>
          <w:tcPr>
            <w:tcW w:w="2326" w:type="dxa"/>
            <w:noWrap/>
            <w:vAlign w:val="center"/>
          </w:tcPr>
          <w:p w14:paraId="00117D42">
            <w:pPr>
              <w:jc w:val="center"/>
              <w:rPr>
                <w:rFonts w:ascii="宋体" w:hAnsi="宋体" w:cs="宋体"/>
                <w:color w:val="auto"/>
                <w:sz w:val="22"/>
                <w:szCs w:val="22"/>
                <w:highlight w:val="none"/>
              </w:rPr>
            </w:pPr>
          </w:p>
        </w:tc>
        <w:tc>
          <w:tcPr>
            <w:tcW w:w="2115" w:type="dxa"/>
            <w:noWrap/>
            <w:vAlign w:val="center"/>
          </w:tcPr>
          <w:p w14:paraId="1F243351">
            <w:pPr>
              <w:jc w:val="center"/>
              <w:rPr>
                <w:rFonts w:ascii="宋体" w:hAnsi="宋体" w:cs="宋体"/>
                <w:color w:val="auto"/>
                <w:sz w:val="22"/>
                <w:szCs w:val="22"/>
                <w:highlight w:val="none"/>
              </w:rPr>
            </w:pPr>
          </w:p>
        </w:tc>
        <w:tc>
          <w:tcPr>
            <w:tcW w:w="1902" w:type="dxa"/>
            <w:noWrap/>
            <w:vAlign w:val="center"/>
          </w:tcPr>
          <w:p w14:paraId="252386BE">
            <w:pPr>
              <w:jc w:val="center"/>
              <w:rPr>
                <w:rFonts w:ascii="宋体" w:hAnsi="宋体" w:cs="宋体"/>
                <w:color w:val="auto"/>
                <w:sz w:val="22"/>
                <w:szCs w:val="22"/>
                <w:highlight w:val="none"/>
              </w:rPr>
            </w:pPr>
          </w:p>
        </w:tc>
      </w:tr>
      <w:tr w14:paraId="5D5AC7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ign w:val="center"/>
          </w:tcPr>
          <w:p w14:paraId="5B2D9156">
            <w:pPr>
              <w:jc w:val="center"/>
              <w:rPr>
                <w:rFonts w:ascii="宋体" w:hAnsi="宋体" w:cs="宋体"/>
                <w:color w:val="auto"/>
                <w:sz w:val="22"/>
                <w:szCs w:val="22"/>
                <w:highlight w:val="none"/>
              </w:rPr>
            </w:pPr>
          </w:p>
        </w:tc>
        <w:tc>
          <w:tcPr>
            <w:tcW w:w="2538" w:type="dxa"/>
            <w:noWrap/>
            <w:vAlign w:val="center"/>
          </w:tcPr>
          <w:p w14:paraId="68EDC001">
            <w:pPr>
              <w:jc w:val="center"/>
              <w:rPr>
                <w:rFonts w:ascii="宋体" w:hAnsi="宋体" w:cs="宋体"/>
                <w:color w:val="auto"/>
                <w:sz w:val="22"/>
                <w:szCs w:val="22"/>
                <w:highlight w:val="none"/>
              </w:rPr>
            </w:pPr>
          </w:p>
        </w:tc>
        <w:tc>
          <w:tcPr>
            <w:tcW w:w="2326" w:type="dxa"/>
            <w:noWrap/>
            <w:vAlign w:val="center"/>
          </w:tcPr>
          <w:p w14:paraId="5EEB8258">
            <w:pPr>
              <w:jc w:val="center"/>
              <w:rPr>
                <w:rFonts w:ascii="宋体" w:hAnsi="宋体" w:cs="宋体"/>
                <w:color w:val="auto"/>
                <w:sz w:val="22"/>
                <w:szCs w:val="22"/>
                <w:highlight w:val="none"/>
              </w:rPr>
            </w:pPr>
          </w:p>
        </w:tc>
        <w:tc>
          <w:tcPr>
            <w:tcW w:w="2115" w:type="dxa"/>
            <w:noWrap/>
            <w:vAlign w:val="center"/>
          </w:tcPr>
          <w:p w14:paraId="2FA9BF44">
            <w:pPr>
              <w:jc w:val="center"/>
              <w:rPr>
                <w:rFonts w:ascii="宋体" w:hAnsi="宋体" w:cs="宋体"/>
                <w:color w:val="auto"/>
                <w:sz w:val="22"/>
                <w:szCs w:val="22"/>
                <w:highlight w:val="none"/>
              </w:rPr>
            </w:pPr>
          </w:p>
        </w:tc>
        <w:tc>
          <w:tcPr>
            <w:tcW w:w="1902" w:type="dxa"/>
            <w:noWrap/>
            <w:vAlign w:val="center"/>
          </w:tcPr>
          <w:p w14:paraId="20E2F0CF">
            <w:pPr>
              <w:jc w:val="center"/>
              <w:rPr>
                <w:rFonts w:ascii="宋体" w:hAnsi="宋体" w:cs="宋体"/>
                <w:color w:val="auto"/>
                <w:sz w:val="22"/>
                <w:szCs w:val="22"/>
                <w:highlight w:val="none"/>
              </w:rPr>
            </w:pPr>
          </w:p>
        </w:tc>
      </w:tr>
      <w:tr w14:paraId="49DD90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ign w:val="center"/>
          </w:tcPr>
          <w:p w14:paraId="0F930E49">
            <w:pPr>
              <w:jc w:val="center"/>
              <w:rPr>
                <w:rFonts w:ascii="宋体" w:hAnsi="宋体" w:cs="宋体"/>
                <w:color w:val="auto"/>
                <w:sz w:val="22"/>
                <w:szCs w:val="22"/>
                <w:highlight w:val="none"/>
              </w:rPr>
            </w:pPr>
          </w:p>
        </w:tc>
        <w:tc>
          <w:tcPr>
            <w:tcW w:w="2538" w:type="dxa"/>
            <w:noWrap/>
            <w:vAlign w:val="center"/>
          </w:tcPr>
          <w:p w14:paraId="4CC17CE3">
            <w:pPr>
              <w:jc w:val="center"/>
              <w:rPr>
                <w:rFonts w:ascii="宋体" w:hAnsi="宋体" w:cs="宋体"/>
                <w:color w:val="auto"/>
                <w:sz w:val="22"/>
                <w:szCs w:val="22"/>
                <w:highlight w:val="none"/>
              </w:rPr>
            </w:pPr>
          </w:p>
        </w:tc>
        <w:tc>
          <w:tcPr>
            <w:tcW w:w="2326" w:type="dxa"/>
            <w:noWrap/>
            <w:vAlign w:val="center"/>
          </w:tcPr>
          <w:p w14:paraId="0AFBA407">
            <w:pPr>
              <w:jc w:val="center"/>
              <w:rPr>
                <w:rFonts w:ascii="宋体" w:hAnsi="宋体" w:cs="宋体"/>
                <w:color w:val="auto"/>
                <w:sz w:val="22"/>
                <w:szCs w:val="22"/>
                <w:highlight w:val="none"/>
              </w:rPr>
            </w:pPr>
          </w:p>
        </w:tc>
        <w:tc>
          <w:tcPr>
            <w:tcW w:w="2115" w:type="dxa"/>
            <w:noWrap/>
            <w:vAlign w:val="center"/>
          </w:tcPr>
          <w:p w14:paraId="65EF7F48">
            <w:pPr>
              <w:jc w:val="center"/>
              <w:rPr>
                <w:rFonts w:ascii="宋体" w:hAnsi="宋体" w:cs="宋体"/>
                <w:color w:val="auto"/>
                <w:sz w:val="22"/>
                <w:szCs w:val="22"/>
                <w:highlight w:val="none"/>
              </w:rPr>
            </w:pPr>
          </w:p>
        </w:tc>
        <w:tc>
          <w:tcPr>
            <w:tcW w:w="1902" w:type="dxa"/>
            <w:noWrap/>
            <w:vAlign w:val="center"/>
          </w:tcPr>
          <w:p w14:paraId="69C9817B">
            <w:pPr>
              <w:jc w:val="center"/>
              <w:rPr>
                <w:rFonts w:ascii="宋体" w:hAnsi="宋体" w:cs="宋体"/>
                <w:color w:val="auto"/>
                <w:sz w:val="22"/>
                <w:szCs w:val="22"/>
                <w:highlight w:val="none"/>
              </w:rPr>
            </w:pPr>
          </w:p>
        </w:tc>
      </w:tr>
    </w:tbl>
    <w:p w14:paraId="23F54C60">
      <w:pPr>
        <w:spacing w:line="500" w:lineRule="exact"/>
        <w:rPr>
          <w:rFonts w:ascii="宋体" w:hAnsi="宋体" w:cs="宋体"/>
          <w:color w:val="auto"/>
          <w:sz w:val="24"/>
          <w:highlight w:val="none"/>
        </w:rPr>
      </w:pPr>
      <w:r>
        <w:rPr>
          <w:rFonts w:hint="eastAsia" w:ascii="宋体" w:hAnsi="宋体" w:cs="宋体"/>
          <w:color w:val="auto"/>
          <w:sz w:val="24"/>
          <w:highlight w:val="none"/>
        </w:rPr>
        <w:t>说明：</w:t>
      </w:r>
    </w:p>
    <w:p w14:paraId="14B23F9D">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不填写此表视作完全响应采购文件要求。</w:t>
      </w:r>
    </w:p>
    <w:p w14:paraId="2E04C507">
      <w:pPr>
        <w:spacing w:line="400" w:lineRule="exact"/>
        <w:rPr>
          <w:rFonts w:ascii="宋体" w:hAnsi="宋体" w:cs="宋体"/>
          <w:color w:val="auto"/>
          <w:sz w:val="22"/>
          <w:szCs w:val="22"/>
          <w:highlight w:val="none"/>
        </w:rPr>
      </w:pPr>
    </w:p>
    <w:p w14:paraId="15D3A900">
      <w:pPr>
        <w:spacing w:line="400" w:lineRule="exact"/>
        <w:rPr>
          <w:rFonts w:ascii="宋体" w:hAnsi="宋体" w:cs="宋体"/>
          <w:color w:val="auto"/>
          <w:sz w:val="22"/>
          <w:szCs w:val="22"/>
          <w:highlight w:val="none"/>
        </w:rPr>
      </w:pPr>
    </w:p>
    <w:p w14:paraId="42432AAA">
      <w:pPr>
        <w:spacing w:line="400" w:lineRule="exact"/>
        <w:rPr>
          <w:rFonts w:ascii="宋体" w:hAnsi="宋体" w:cs="宋体"/>
          <w:color w:val="auto"/>
          <w:sz w:val="22"/>
          <w:szCs w:val="22"/>
          <w:highlight w:val="none"/>
        </w:rPr>
      </w:pPr>
    </w:p>
    <w:p w14:paraId="0CD2759B">
      <w:pPr>
        <w:spacing w:line="400" w:lineRule="exact"/>
        <w:rPr>
          <w:rFonts w:ascii="宋体" w:hAnsi="宋体" w:cs="宋体"/>
          <w:color w:val="auto"/>
          <w:sz w:val="22"/>
          <w:szCs w:val="22"/>
          <w:highlight w:val="none"/>
        </w:rPr>
      </w:pPr>
    </w:p>
    <w:p w14:paraId="6CA7D3B6">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投标人全称（盖章）：</w:t>
      </w:r>
    </w:p>
    <w:p w14:paraId="1E1E1EE2">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法定代表人或授权代表（签字）：</w:t>
      </w:r>
    </w:p>
    <w:p w14:paraId="3AD48B16">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日期：  年   月  日</w:t>
      </w:r>
    </w:p>
    <w:p w14:paraId="5E17E765">
      <w:pPr>
        <w:spacing w:line="400" w:lineRule="exact"/>
        <w:rPr>
          <w:rFonts w:ascii="宋体" w:hAnsi="宋体" w:cs="宋体"/>
          <w:color w:val="auto"/>
          <w:sz w:val="22"/>
          <w:szCs w:val="22"/>
          <w:highlight w:val="none"/>
        </w:rPr>
      </w:pPr>
    </w:p>
    <w:p w14:paraId="2E503151">
      <w:pPr>
        <w:spacing w:line="500" w:lineRule="exact"/>
        <w:jc w:val="center"/>
        <w:rPr>
          <w:rFonts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(2)商务条款偏离表</w:t>
      </w:r>
    </w:p>
    <w:p w14:paraId="62D18004">
      <w:pPr>
        <w:ind w:firstLine="435"/>
        <w:jc w:val="center"/>
        <w:rPr>
          <w:rFonts w:ascii="宋体" w:hAnsi="宋体" w:cs="宋体"/>
          <w:b/>
          <w:color w:val="auto"/>
          <w:sz w:val="44"/>
          <w:highlight w:val="none"/>
        </w:rPr>
      </w:pPr>
    </w:p>
    <w:p w14:paraId="52F7EBA2">
      <w:pPr>
        <w:overflowPunct w:val="0"/>
        <w:spacing w:line="380" w:lineRule="exact"/>
        <w:rPr>
          <w:rFonts w:ascii="宋体" w:hAnsi="宋体" w:cs="宋体"/>
          <w:bCs/>
          <w:color w:val="auto"/>
          <w:sz w:val="22"/>
          <w:szCs w:val="22"/>
          <w:highlight w:val="none"/>
        </w:rPr>
      </w:pPr>
      <w:r>
        <w:rPr>
          <w:rFonts w:hint="eastAsia" w:ascii="宋体" w:hAnsi="宋体" w:cs="宋体"/>
          <w:bCs/>
          <w:color w:val="auto"/>
          <w:sz w:val="22"/>
          <w:szCs w:val="22"/>
          <w:highlight w:val="none"/>
        </w:rPr>
        <w:t>项目名称：                                      项目编号：</w:t>
      </w:r>
    </w:p>
    <w:p w14:paraId="30C50A66">
      <w:pPr>
        <w:ind w:firstLine="221" w:firstLineChars="100"/>
        <w:rPr>
          <w:rFonts w:ascii="宋体" w:hAnsi="宋体" w:cs="宋体"/>
          <w:b/>
          <w:color w:val="auto"/>
          <w:sz w:val="22"/>
          <w:szCs w:val="22"/>
          <w:highlight w:val="none"/>
        </w:rPr>
      </w:pPr>
    </w:p>
    <w:tbl>
      <w:tblPr>
        <w:tblStyle w:val="57"/>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402"/>
        <w:gridCol w:w="1200"/>
        <w:gridCol w:w="1588"/>
      </w:tblGrid>
      <w:tr w14:paraId="1D81B2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noWrap/>
            <w:vAlign w:val="center"/>
          </w:tcPr>
          <w:p w14:paraId="73519AC8">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559" w:type="dxa"/>
            <w:noWrap/>
            <w:vAlign w:val="center"/>
          </w:tcPr>
          <w:p w14:paraId="20731BE1">
            <w:pPr>
              <w:jc w:val="center"/>
              <w:rPr>
                <w:rFonts w:ascii="宋体" w:hAnsi="宋体" w:cs="宋体"/>
                <w:color w:val="auto"/>
                <w:sz w:val="22"/>
                <w:szCs w:val="22"/>
                <w:highlight w:val="none"/>
              </w:rPr>
            </w:pPr>
            <w:r>
              <w:rPr>
                <w:rFonts w:hint="eastAsia" w:ascii="宋体" w:hAnsi="宋体" w:cs="宋体"/>
                <w:color w:val="auto"/>
                <w:sz w:val="22"/>
                <w:szCs w:val="22"/>
                <w:highlight w:val="none"/>
              </w:rPr>
              <w:t>条款内容</w:t>
            </w:r>
          </w:p>
        </w:tc>
        <w:tc>
          <w:tcPr>
            <w:tcW w:w="2184" w:type="dxa"/>
            <w:noWrap/>
            <w:vAlign w:val="center"/>
          </w:tcPr>
          <w:p w14:paraId="1CF532A4">
            <w:pPr>
              <w:jc w:val="center"/>
              <w:rPr>
                <w:rFonts w:ascii="宋体" w:hAnsi="宋体" w:cs="宋体"/>
                <w:color w:val="auto"/>
                <w:sz w:val="22"/>
                <w:szCs w:val="22"/>
                <w:highlight w:val="none"/>
              </w:rPr>
            </w:pPr>
            <w:r>
              <w:rPr>
                <w:rFonts w:hint="eastAsia" w:ascii="宋体" w:hAnsi="宋体" w:cs="宋体"/>
                <w:color w:val="auto"/>
                <w:sz w:val="22"/>
                <w:szCs w:val="22"/>
                <w:highlight w:val="none"/>
              </w:rPr>
              <w:t>采购文件商务条款描述</w:t>
            </w:r>
          </w:p>
        </w:tc>
        <w:tc>
          <w:tcPr>
            <w:tcW w:w="2402" w:type="dxa"/>
            <w:noWrap/>
            <w:vAlign w:val="center"/>
          </w:tcPr>
          <w:p w14:paraId="6966047B">
            <w:pPr>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投标文件商务条款</w:t>
            </w:r>
          </w:p>
        </w:tc>
        <w:tc>
          <w:tcPr>
            <w:tcW w:w="1200" w:type="dxa"/>
            <w:noWrap/>
            <w:vAlign w:val="center"/>
          </w:tcPr>
          <w:p w14:paraId="214881F4">
            <w:pPr>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1588" w:type="dxa"/>
            <w:noWrap/>
            <w:vAlign w:val="center"/>
          </w:tcPr>
          <w:p w14:paraId="44884132">
            <w:pPr>
              <w:jc w:val="center"/>
              <w:rPr>
                <w:rFonts w:ascii="宋体" w:hAnsi="宋体" w:cs="宋体"/>
                <w:color w:val="auto"/>
                <w:sz w:val="22"/>
                <w:szCs w:val="22"/>
                <w:highlight w:val="none"/>
              </w:rPr>
            </w:pPr>
            <w:r>
              <w:rPr>
                <w:rFonts w:hint="eastAsia" w:ascii="宋体" w:hAnsi="宋体" w:cs="宋体"/>
                <w:color w:val="auto"/>
                <w:sz w:val="22"/>
                <w:szCs w:val="22"/>
                <w:highlight w:val="none"/>
              </w:rPr>
              <w:t>说   明</w:t>
            </w:r>
          </w:p>
        </w:tc>
      </w:tr>
      <w:tr w14:paraId="60022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noWrap/>
            <w:vAlign w:val="center"/>
          </w:tcPr>
          <w:p w14:paraId="7E6C154A">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559" w:type="dxa"/>
            <w:noWrap/>
            <w:vAlign w:val="center"/>
          </w:tcPr>
          <w:p w14:paraId="104A835E">
            <w:pPr>
              <w:jc w:val="center"/>
              <w:rPr>
                <w:rFonts w:ascii="宋体" w:hAnsi="宋体" w:cs="宋体"/>
                <w:color w:val="auto"/>
                <w:sz w:val="22"/>
                <w:szCs w:val="22"/>
                <w:highlight w:val="none"/>
              </w:rPr>
            </w:pPr>
            <w:r>
              <w:rPr>
                <w:rFonts w:hint="eastAsia" w:ascii="宋体" w:hAnsi="宋体" w:cs="宋体"/>
                <w:color w:val="auto"/>
                <w:sz w:val="22"/>
                <w:szCs w:val="22"/>
                <w:highlight w:val="none"/>
              </w:rPr>
              <w:t>付款方式</w:t>
            </w:r>
          </w:p>
        </w:tc>
        <w:tc>
          <w:tcPr>
            <w:tcW w:w="2184" w:type="dxa"/>
            <w:noWrap/>
            <w:vAlign w:val="center"/>
          </w:tcPr>
          <w:p w14:paraId="0F178139">
            <w:pPr>
              <w:jc w:val="center"/>
              <w:rPr>
                <w:rFonts w:ascii="宋体" w:hAnsi="宋体" w:cs="宋体"/>
                <w:color w:val="auto"/>
                <w:sz w:val="22"/>
                <w:szCs w:val="22"/>
                <w:highlight w:val="none"/>
              </w:rPr>
            </w:pPr>
          </w:p>
        </w:tc>
        <w:tc>
          <w:tcPr>
            <w:tcW w:w="2402" w:type="dxa"/>
            <w:noWrap/>
            <w:vAlign w:val="center"/>
          </w:tcPr>
          <w:p w14:paraId="37482F47">
            <w:pPr>
              <w:jc w:val="center"/>
              <w:rPr>
                <w:rFonts w:ascii="宋体" w:hAnsi="宋体" w:cs="宋体"/>
                <w:color w:val="auto"/>
                <w:sz w:val="22"/>
                <w:szCs w:val="22"/>
                <w:highlight w:val="none"/>
              </w:rPr>
            </w:pPr>
          </w:p>
        </w:tc>
        <w:tc>
          <w:tcPr>
            <w:tcW w:w="1200" w:type="dxa"/>
            <w:noWrap/>
            <w:vAlign w:val="center"/>
          </w:tcPr>
          <w:p w14:paraId="7168C2E4">
            <w:pPr>
              <w:jc w:val="center"/>
              <w:rPr>
                <w:rFonts w:ascii="宋体" w:hAnsi="宋体" w:cs="宋体"/>
                <w:color w:val="auto"/>
                <w:sz w:val="22"/>
                <w:szCs w:val="22"/>
                <w:highlight w:val="none"/>
              </w:rPr>
            </w:pPr>
          </w:p>
        </w:tc>
        <w:tc>
          <w:tcPr>
            <w:tcW w:w="1588" w:type="dxa"/>
            <w:noWrap/>
            <w:vAlign w:val="center"/>
          </w:tcPr>
          <w:p w14:paraId="5A941F3D">
            <w:pPr>
              <w:jc w:val="center"/>
              <w:rPr>
                <w:rFonts w:ascii="宋体" w:hAnsi="宋体" w:cs="宋体"/>
                <w:color w:val="auto"/>
                <w:sz w:val="22"/>
                <w:szCs w:val="22"/>
                <w:highlight w:val="none"/>
              </w:rPr>
            </w:pPr>
          </w:p>
        </w:tc>
      </w:tr>
      <w:tr w14:paraId="0D1E5A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ign w:val="center"/>
          </w:tcPr>
          <w:p w14:paraId="3CF9A21C">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559" w:type="dxa"/>
            <w:noWrap/>
            <w:vAlign w:val="center"/>
          </w:tcPr>
          <w:p w14:paraId="09D58E4E">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服务时间</w:t>
            </w:r>
          </w:p>
        </w:tc>
        <w:tc>
          <w:tcPr>
            <w:tcW w:w="2184" w:type="dxa"/>
            <w:noWrap/>
            <w:vAlign w:val="center"/>
          </w:tcPr>
          <w:p w14:paraId="38C96280">
            <w:pPr>
              <w:jc w:val="center"/>
              <w:rPr>
                <w:rFonts w:ascii="宋体" w:hAnsi="宋体" w:cs="宋体"/>
                <w:color w:val="auto"/>
                <w:sz w:val="22"/>
                <w:szCs w:val="22"/>
                <w:highlight w:val="none"/>
              </w:rPr>
            </w:pPr>
          </w:p>
        </w:tc>
        <w:tc>
          <w:tcPr>
            <w:tcW w:w="2402" w:type="dxa"/>
            <w:noWrap/>
            <w:vAlign w:val="center"/>
          </w:tcPr>
          <w:p w14:paraId="5767D021">
            <w:pPr>
              <w:jc w:val="center"/>
              <w:rPr>
                <w:rFonts w:ascii="宋体" w:hAnsi="宋体" w:cs="宋体"/>
                <w:color w:val="auto"/>
                <w:sz w:val="22"/>
                <w:szCs w:val="22"/>
                <w:highlight w:val="none"/>
              </w:rPr>
            </w:pPr>
          </w:p>
        </w:tc>
        <w:tc>
          <w:tcPr>
            <w:tcW w:w="1200" w:type="dxa"/>
            <w:noWrap/>
            <w:vAlign w:val="center"/>
          </w:tcPr>
          <w:p w14:paraId="7E5DBDAB">
            <w:pPr>
              <w:jc w:val="center"/>
              <w:rPr>
                <w:rFonts w:ascii="宋体" w:hAnsi="宋体" w:cs="宋体"/>
                <w:color w:val="auto"/>
                <w:sz w:val="22"/>
                <w:szCs w:val="22"/>
                <w:highlight w:val="none"/>
              </w:rPr>
            </w:pPr>
          </w:p>
        </w:tc>
        <w:tc>
          <w:tcPr>
            <w:tcW w:w="1588" w:type="dxa"/>
            <w:noWrap/>
            <w:vAlign w:val="center"/>
          </w:tcPr>
          <w:p w14:paraId="196C5E4C">
            <w:pPr>
              <w:jc w:val="center"/>
              <w:rPr>
                <w:rFonts w:ascii="宋体" w:hAnsi="宋体" w:cs="宋体"/>
                <w:color w:val="auto"/>
                <w:sz w:val="22"/>
                <w:szCs w:val="22"/>
                <w:highlight w:val="none"/>
              </w:rPr>
            </w:pPr>
          </w:p>
        </w:tc>
      </w:tr>
      <w:tr w14:paraId="736393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ign w:val="center"/>
          </w:tcPr>
          <w:p w14:paraId="6E2108A0">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559" w:type="dxa"/>
            <w:noWrap/>
            <w:vAlign w:val="center"/>
          </w:tcPr>
          <w:p w14:paraId="6324DB6B">
            <w:pPr>
              <w:jc w:val="center"/>
              <w:rPr>
                <w:rFonts w:ascii="宋体" w:hAnsi="宋体" w:cs="宋体"/>
                <w:color w:val="auto"/>
                <w:sz w:val="22"/>
                <w:szCs w:val="22"/>
                <w:highlight w:val="none"/>
              </w:rPr>
            </w:pPr>
          </w:p>
        </w:tc>
        <w:tc>
          <w:tcPr>
            <w:tcW w:w="2184" w:type="dxa"/>
            <w:noWrap/>
            <w:vAlign w:val="center"/>
          </w:tcPr>
          <w:p w14:paraId="40CD473E">
            <w:pPr>
              <w:jc w:val="center"/>
              <w:rPr>
                <w:rFonts w:ascii="宋体" w:hAnsi="宋体" w:cs="宋体"/>
                <w:color w:val="auto"/>
                <w:sz w:val="22"/>
                <w:szCs w:val="22"/>
                <w:highlight w:val="none"/>
              </w:rPr>
            </w:pPr>
          </w:p>
        </w:tc>
        <w:tc>
          <w:tcPr>
            <w:tcW w:w="2402" w:type="dxa"/>
            <w:noWrap/>
            <w:vAlign w:val="center"/>
          </w:tcPr>
          <w:p w14:paraId="2D5848DC">
            <w:pPr>
              <w:jc w:val="center"/>
              <w:rPr>
                <w:rFonts w:ascii="宋体" w:hAnsi="宋体" w:cs="宋体"/>
                <w:color w:val="auto"/>
                <w:sz w:val="22"/>
                <w:szCs w:val="22"/>
                <w:highlight w:val="none"/>
              </w:rPr>
            </w:pPr>
          </w:p>
        </w:tc>
        <w:tc>
          <w:tcPr>
            <w:tcW w:w="1200" w:type="dxa"/>
            <w:noWrap/>
            <w:vAlign w:val="center"/>
          </w:tcPr>
          <w:p w14:paraId="5133DA8D">
            <w:pPr>
              <w:jc w:val="center"/>
              <w:rPr>
                <w:rFonts w:ascii="宋体" w:hAnsi="宋体" w:cs="宋体"/>
                <w:color w:val="auto"/>
                <w:sz w:val="22"/>
                <w:szCs w:val="22"/>
                <w:highlight w:val="none"/>
              </w:rPr>
            </w:pPr>
          </w:p>
        </w:tc>
        <w:tc>
          <w:tcPr>
            <w:tcW w:w="1588" w:type="dxa"/>
            <w:noWrap/>
            <w:vAlign w:val="center"/>
          </w:tcPr>
          <w:p w14:paraId="41830E47">
            <w:pPr>
              <w:jc w:val="center"/>
              <w:rPr>
                <w:rFonts w:ascii="宋体" w:hAnsi="宋体" w:cs="宋体"/>
                <w:color w:val="auto"/>
                <w:sz w:val="22"/>
                <w:szCs w:val="22"/>
                <w:highlight w:val="none"/>
              </w:rPr>
            </w:pPr>
          </w:p>
        </w:tc>
      </w:tr>
      <w:tr w14:paraId="45A7F2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ign w:val="center"/>
          </w:tcPr>
          <w:p w14:paraId="50E8CE86">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559" w:type="dxa"/>
            <w:noWrap/>
            <w:vAlign w:val="center"/>
          </w:tcPr>
          <w:p w14:paraId="2DE663B2">
            <w:pPr>
              <w:jc w:val="center"/>
              <w:rPr>
                <w:rFonts w:ascii="宋体" w:hAnsi="宋体" w:cs="宋体"/>
                <w:color w:val="auto"/>
                <w:sz w:val="22"/>
                <w:szCs w:val="22"/>
                <w:highlight w:val="none"/>
              </w:rPr>
            </w:pPr>
          </w:p>
        </w:tc>
        <w:tc>
          <w:tcPr>
            <w:tcW w:w="2184" w:type="dxa"/>
            <w:noWrap/>
            <w:vAlign w:val="center"/>
          </w:tcPr>
          <w:p w14:paraId="3A6E4E63">
            <w:pPr>
              <w:jc w:val="center"/>
              <w:rPr>
                <w:rFonts w:ascii="宋体" w:hAnsi="宋体" w:cs="宋体"/>
                <w:color w:val="auto"/>
                <w:sz w:val="22"/>
                <w:szCs w:val="22"/>
                <w:highlight w:val="none"/>
              </w:rPr>
            </w:pPr>
          </w:p>
        </w:tc>
        <w:tc>
          <w:tcPr>
            <w:tcW w:w="2402" w:type="dxa"/>
            <w:noWrap/>
            <w:vAlign w:val="center"/>
          </w:tcPr>
          <w:p w14:paraId="5E700973">
            <w:pPr>
              <w:jc w:val="center"/>
              <w:rPr>
                <w:rFonts w:ascii="宋体" w:hAnsi="宋体" w:cs="宋体"/>
                <w:color w:val="auto"/>
                <w:sz w:val="22"/>
                <w:szCs w:val="22"/>
                <w:highlight w:val="none"/>
              </w:rPr>
            </w:pPr>
          </w:p>
        </w:tc>
        <w:tc>
          <w:tcPr>
            <w:tcW w:w="1200" w:type="dxa"/>
            <w:noWrap/>
            <w:vAlign w:val="center"/>
          </w:tcPr>
          <w:p w14:paraId="11D314EB">
            <w:pPr>
              <w:jc w:val="center"/>
              <w:rPr>
                <w:rFonts w:ascii="宋体" w:hAnsi="宋体" w:cs="宋体"/>
                <w:color w:val="auto"/>
                <w:sz w:val="22"/>
                <w:szCs w:val="22"/>
                <w:highlight w:val="none"/>
              </w:rPr>
            </w:pPr>
          </w:p>
        </w:tc>
        <w:tc>
          <w:tcPr>
            <w:tcW w:w="1588" w:type="dxa"/>
            <w:noWrap/>
            <w:vAlign w:val="center"/>
          </w:tcPr>
          <w:p w14:paraId="7ECF908F">
            <w:pPr>
              <w:jc w:val="center"/>
              <w:rPr>
                <w:rFonts w:ascii="宋体" w:hAnsi="宋体" w:cs="宋体"/>
                <w:color w:val="auto"/>
                <w:sz w:val="22"/>
                <w:szCs w:val="22"/>
                <w:highlight w:val="none"/>
              </w:rPr>
            </w:pPr>
          </w:p>
        </w:tc>
      </w:tr>
      <w:tr w14:paraId="0E658C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ign w:val="center"/>
          </w:tcPr>
          <w:p w14:paraId="77A096F9">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559" w:type="dxa"/>
            <w:noWrap/>
            <w:vAlign w:val="center"/>
          </w:tcPr>
          <w:p w14:paraId="2431A34F">
            <w:pPr>
              <w:jc w:val="center"/>
              <w:rPr>
                <w:rFonts w:ascii="宋体" w:hAnsi="宋体" w:cs="宋体"/>
                <w:color w:val="auto"/>
                <w:sz w:val="22"/>
                <w:szCs w:val="22"/>
                <w:highlight w:val="none"/>
              </w:rPr>
            </w:pPr>
          </w:p>
        </w:tc>
        <w:tc>
          <w:tcPr>
            <w:tcW w:w="2184" w:type="dxa"/>
            <w:noWrap/>
            <w:vAlign w:val="center"/>
          </w:tcPr>
          <w:p w14:paraId="18AE7B91">
            <w:pPr>
              <w:jc w:val="center"/>
              <w:rPr>
                <w:rFonts w:ascii="宋体" w:hAnsi="宋体" w:cs="宋体"/>
                <w:color w:val="auto"/>
                <w:sz w:val="22"/>
                <w:szCs w:val="22"/>
                <w:highlight w:val="none"/>
              </w:rPr>
            </w:pPr>
          </w:p>
        </w:tc>
        <w:tc>
          <w:tcPr>
            <w:tcW w:w="2402" w:type="dxa"/>
            <w:noWrap/>
            <w:vAlign w:val="center"/>
          </w:tcPr>
          <w:p w14:paraId="0D11502C">
            <w:pPr>
              <w:jc w:val="center"/>
              <w:rPr>
                <w:rFonts w:ascii="宋体" w:hAnsi="宋体" w:cs="宋体"/>
                <w:color w:val="auto"/>
                <w:sz w:val="22"/>
                <w:szCs w:val="22"/>
                <w:highlight w:val="none"/>
              </w:rPr>
            </w:pPr>
          </w:p>
        </w:tc>
        <w:tc>
          <w:tcPr>
            <w:tcW w:w="1200" w:type="dxa"/>
            <w:noWrap/>
            <w:vAlign w:val="center"/>
          </w:tcPr>
          <w:p w14:paraId="29DBA567">
            <w:pPr>
              <w:jc w:val="center"/>
              <w:rPr>
                <w:rFonts w:ascii="宋体" w:hAnsi="宋体" w:cs="宋体"/>
                <w:color w:val="auto"/>
                <w:sz w:val="22"/>
                <w:szCs w:val="22"/>
                <w:highlight w:val="none"/>
              </w:rPr>
            </w:pPr>
          </w:p>
        </w:tc>
        <w:tc>
          <w:tcPr>
            <w:tcW w:w="1588" w:type="dxa"/>
            <w:noWrap/>
            <w:vAlign w:val="center"/>
          </w:tcPr>
          <w:p w14:paraId="6A1B0B39">
            <w:pPr>
              <w:jc w:val="center"/>
              <w:rPr>
                <w:rFonts w:ascii="宋体" w:hAnsi="宋体" w:cs="宋体"/>
                <w:color w:val="auto"/>
                <w:sz w:val="22"/>
                <w:szCs w:val="22"/>
                <w:highlight w:val="none"/>
              </w:rPr>
            </w:pPr>
          </w:p>
        </w:tc>
      </w:tr>
      <w:tr w14:paraId="1B719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ign w:val="center"/>
          </w:tcPr>
          <w:p w14:paraId="6D904984">
            <w:pPr>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559" w:type="dxa"/>
            <w:noWrap/>
            <w:vAlign w:val="center"/>
          </w:tcPr>
          <w:p w14:paraId="517353B7">
            <w:pPr>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2184" w:type="dxa"/>
            <w:noWrap/>
            <w:vAlign w:val="center"/>
          </w:tcPr>
          <w:p w14:paraId="074243FE">
            <w:pPr>
              <w:jc w:val="center"/>
              <w:rPr>
                <w:rFonts w:ascii="宋体" w:hAnsi="宋体" w:cs="宋体"/>
                <w:color w:val="auto"/>
                <w:sz w:val="22"/>
                <w:szCs w:val="22"/>
                <w:highlight w:val="none"/>
              </w:rPr>
            </w:pPr>
          </w:p>
        </w:tc>
        <w:tc>
          <w:tcPr>
            <w:tcW w:w="2402" w:type="dxa"/>
            <w:noWrap/>
            <w:vAlign w:val="center"/>
          </w:tcPr>
          <w:p w14:paraId="53D76DEA">
            <w:pPr>
              <w:jc w:val="center"/>
              <w:rPr>
                <w:rFonts w:ascii="宋体" w:hAnsi="宋体" w:cs="宋体"/>
                <w:color w:val="auto"/>
                <w:sz w:val="22"/>
                <w:szCs w:val="22"/>
                <w:highlight w:val="none"/>
              </w:rPr>
            </w:pPr>
          </w:p>
        </w:tc>
        <w:tc>
          <w:tcPr>
            <w:tcW w:w="1200" w:type="dxa"/>
            <w:noWrap/>
            <w:vAlign w:val="center"/>
          </w:tcPr>
          <w:p w14:paraId="47459F0C">
            <w:pPr>
              <w:jc w:val="center"/>
              <w:rPr>
                <w:rFonts w:ascii="宋体" w:hAnsi="宋体" w:cs="宋体"/>
                <w:color w:val="auto"/>
                <w:sz w:val="22"/>
                <w:szCs w:val="22"/>
                <w:highlight w:val="none"/>
              </w:rPr>
            </w:pPr>
          </w:p>
        </w:tc>
        <w:tc>
          <w:tcPr>
            <w:tcW w:w="1588" w:type="dxa"/>
            <w:noWrap/>
            <w:vAlign w:val="center"/>
          </w:tcPr>
          <w:p w14:paraId="2E8E8BB1">
            <w:pPr>
              <w:jc w:val="center"/>
              <w:rPr>
                <w:rFonts w:ascii="宋体" w:hAnsi="宋体" w:cs="宋体"/>
                <w:color w:val="auto"/>
                <w:sz w:val="22"/>
                <w:szCs w:val="22"/>
                <w:highlight w:val="none"/>
              </w:rPr>
            </w:pPr>
          </w:p>
        </w:tc>
      </w:tr>
    </w:tbl>
    <w:p w14:paraId="01A68F5D">
      <w:pPr>
        <w:spacing w:line="500" w:lineRule="exact"/>
        <w:rPr>
          <w:rFonts w:ascii="宋体" w:hAnsi="宋体" w:cs="宋体"/>
          <w:color w:val="auto"/>
          <w:sz w:val="24"/>
          <w:highlight w:val="none"/>
        </w:rPr>
      </w:pPr>
      <w:r>
        <w:rPr>
          <w:rFonts w:hint="eastAsia" w:ascii="宋体" w:hAnsi="宋体" w:cs="宋体"/>
          <w:color w:val="auto"/>
          <w:sz w:val="24"/>
          <w:highlight w:val="none"/>
        </w:rPr>
        <w:t>说明：</w:t>
      </w:r>
    </w:p>
    <w:p w14:paraId="679245AF">
      <w:pPr>
        <w:spacing w:line="500" w:lineRule="exact"/>
        <w:rPr>
          <w:rFonts w:ascii="宋体" w:hAnsi="宋体" w:cs="宋体"/>
          <w:color w:val="auto"/>
          <w:sz w:val="22"/>
          <w:szCs w:val="22"/>
          <w:highlight w:val="none"/>
        </w:rPr>
      </w:pPr>
      <w:r>
        <w:rPr>
          <w:rFonts w:hint="eastAsia" w:ascii="宋体" w:hAnsi="宋体" w:cs="宋体"/>
          <w:color w:val="auto"/>
          <w:sz w:val="22"/>
          <w:szCs w:val="22"/>
          <w:highlight w:val="none"/>
        </w:rPr>
        <w:t>不填写此表视作完全响应采购文件要求。</w:t>
      </w:r>
    </w:p>
    <w:p w14:paraId="41400AC4">
      <w:pPr>
        <w:spacing w:line="500" w:lineRule="exact"/>
        <w:ind w:firstLine="4400" w:firstLineChars="2000"/>
        <w:rPr>
          <w:rFonts w:ascii="宋体" w:hAnsi="宋体" w:cs="宋体"/>
          <w:color w:val="auto"/>
          <w:sz w:val="22"/>
          <w:szCs w:val="22"/>
          <w:highlight w:val="none"/>
        </w:rPr>
      </w:pPr>
    </w:p>
    <w:p w14:paraId="78303117">
      <w:pPr>
        <w:spacing w:line="500" w:lineRule="exact"/>
        <w:ind w:firstLine="4400" w:firstLineChars="2000"/>
        <w:rPr>
          <w:rFonts w:ascii="宋体" w:hAnsi="宋体" w:cs="宋体"/>
          <w:color w:val="auto"/>
          <w:sz w:val="22"/>
          <w:szCs w:val="22"/>
          <w:highlight w:val="none"/>
        </w:rPr>
      </w:pPr>
    </w:p>
    <w:p w14:paraId="323B0516">
      <w:pPr>
        <w:spacing w:line="500" w:lineRule="exact"/>
        <w:ind w:firstLine="4400" w:firstLineChars="2000"/>
        <w:rPr>
          <w:rFonts w:ascii="宋体" w:hAnsi="宋体" w:cs="宋体"/>
          <w:color w:val="auto"/>
          <w:sz w:val="22"/>
          <w:szCs w:val="22"/>
          <w:highlight w:val="none"/>
        </w:rPr>
      </w:pPr>
    </w:p>
    <w:p w14:paraId="72BA4CEB">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投标人全称（盖章）：</w:t>
      </w:r>
    </w:p>
    <w:p w14:paraId="28514229">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法定代表人或授权代表（签字）：</w:t>
      </w:r>
    </w:p>
    <w:p w14:paraId="354A85F6">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日期：  年   月  日</w:t>
      </w:r>
    </w:p>
    <w:p w14:paraId="39849F7F">
      <w:pPr>
        <w:tabs>
          <w:tab w:val="left" w:pos="840"/>
        </w:tabs>
        <w:adjustRightInd w:val="0"/>
        <w:snapToGrid w:val="0"/>
        <w:spacing w:line="360" w:lineRule="auto"/>
        <w:ind w:left="420" w:leftChars="200" w:firstLine="330" w:firstLineChars="150"/>
        <w:rPr>
          <w:rFonts w:ascii="宋体" w:hAnsi="宋体" w:cs="宋体"/>
          <w:color w:val="auto"/>
          <w:sz w:val="22"/>
          <w:szCs w:val="22"/>
          <w:highlight w:val="none"/>
        </w:rPr>
      </w:pPr>
    </w:p>
    <w:p w14:paraId="49A4F6F6">
      <w:pPr>
        <w:tabs>
          <w:tab w:val="left" w:pos="840"/>
        </w:tabs>
        <w:adjustRightInd w:val="0"/>
        <w:snapToGrid w:val="0"/>
        <w:spacing w:line="360" w:lineRule="auto"/>
        <w:ind w:left="18" w:hanging="17" w:hangingChars="8"/>
        <w:jc w:val="left"/>
        <w:rPr>
          <w:rFonts w:ascii="宋体" w:hAnsi="宋体" w:cs="宋体"/>
          <w:color w:val="auto"/>
          <w:sz w:val="22"/>
          <w:szCs w:val="22"/>
          <w:highlight w:val="none"/>
        </w:rPr>
      </w:pPr>
      <w:r>
        <w:rPr>
          <w:rFonts w:hint="eastAsia" w:ascii="宋体" w:hAnsi="宋体" w:cs="宋体"/>
          <w:color w:val="auto"/>
          <w:sz w:val="22"/>
          <w:szCs w:val="22"/>
          <w:highlight w:val="none"/>
        </w:rPr>
        <w:br w:type="page"/>
      </w:r>
      <w:r>
        <w:rPr>
          <w:rFonts w:hint="eastAsia" w:ascii="宋体" w:hAnsi="宋体" w:cs="宋体"/>
          <w:b/>
          <w:bCs/>
          <w:color w:val="auto"/>
          <w:sz w:val="22"/>
          <w:szCs w:val="22"/>
          <w:highlight w:val="none"/>
        </w:rPr>
        <w:t>附件三</w:t>
      </w:r>
    </w:p>
    <w:p w14:paraId="7FCB8FFE">
      <w:pPr>
        <w:tabs>
          <w:tab w:val="left" w:pos="840"/>
        </w:tabs>
        <w:adjustRightInd w:val="0"/>
        <w:snapToGrid w:val="0"/>
        <w:spacing w:line="360" w:lineRule="auto"/>
        <w:ind w:left="22" w:hanging="22" w:hangingChars="8"/>
        <w:jc w:val="center"/>
        <w:rPr>
          <w:rFonts w:eastAsia="新宋体"/>
          <w:b/>
          <w:bCs/>
          <w:color w:val="auto"/>
          <w:sz w:val="28"/>
          <w:szCs w:val="28"/>
          <w:highlight w:val="none"/>
        </w:rPr>
      </w:pPr>
      <w:r>
        <w:rPr>
          <w:rFonts w:hint="eastAsia" w:eastAsia="新宋体"/>
          <w:b/>
          <w:bCs/>
          <w:color w:val="auto"/>
          <w:sz w:val="28"/>
          <w:szCs w:val="28"/>
          <w:highlight w:val="none"/>
        </w:rPr>
        <w:t>供应商为完成本项目组建的工作小组名单</w:t>
      </w:r>
    </w:p>
    <w:p w14:paraId="10B45358">
      <w:pPr>
        <w:pStyle w:val="29"/>
        <w:spacing w:line="400" w:lineRule="atLeast"/>
        <w:ind w:left="17" w:hanging="17" w:hangingChars="6"/>
        <w:jc w:val="center"/>
        <w:rPr>
          <w:rFonts w:ascii="新宋体" w:hAnsi="新宋体" w:eastAsia="新宋体"/>
          <w:b/>
          <w:color w:val="auto"/>
          <w:sz w:val="28"/>
          <w:highlight w:val="none"/>
        </w:rPr>
      </w:pPr>
      <w:r>
        <w:rPr>
          <w:rFonts w:hint="eastAsia" w:ascii="新宋体" w:hAnsi="新宋体" w:eastAsia="新宋体"/>
          <w:b/>
          <w:color w:val="auto"/>
          <w:sz w:val="28"/>
          <w:highlight w:val="none"/>
        </w:rPr>
        <w:t>（1）项目负责人简历表</w:t>
      </w:r>
    </w:p>
    <w:p w14:paraId="6E517F5C">
      <w:pPr>
        <w:pStyle w:val="29"/>
        <w:spacing w:line="400" w:lineRule="atLeast"/>
        <w:ind w:left="663" w:hanging="663" w:hangingChars="300"/>
        <w:rPr>
          <w:rFonts w:ascii="新宋体" w:hAnsi="新宋体" w:eastAsia="新宋体"/>
          <w:b/>
          <w:color w:val="auto"/>
          <w:sz w:val="22"/>
          <w:highlight w:val="none"/>
        </w:rPr>
      </w:pPr>
      <w:r>
        <w:rPr>
          <w:rFonts w:hint="eastAsia" w:ascii="新宋体" w:hAnsi="新宋体" w:eastAsia="新宋体"/>
          <w:b/>
          <w:color w:val="auto"/>
          <w:sz w:val="22"/>
          <w:highlight w:val="none"/>
        </w:rPr>
        <w:t>项目名称：                                            项目编号：</w:t>
      </w:r>
    </w:p>
    <w:tbl>
      <w:tblPr>
        <w:tblStyle w:val="57"/>
        <w:tblW w:w="9527"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018"/>
        <w:gridCol w:w="439"/>
        <w:gridCol w:w="1799"/>
        <w:gridCol w:w="1189"/>
        <w:gridCol w:w="378"/>
        <w:gridCol w:w="1062"/>
        <w:gridCol w:w="2074"/>
        <w:gridCol w:w="1568"/>
      </w:tblGrid>
      <w:tr w14:paraId="1EC96F7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56" w:hRule="atLeast"/>
          <w:jc w:val="center"/>
        </w:trPr>
        <w:tc>
          <w:tcPr>
            <w:tcW w:w="9527" w:type="dxa"/>
            <w:gridSpan w:val="8"/>
            <w:tcBorders>
              <w:bottom w:val="single" w:color="auto" w:sz="4" w:space="0"/>
            </w:tcBorders>
            <w:noWrap/>
            <w:vAlign w:val="center"/>
          </w:tcPr>
          <w:p w14:paraId="2154CBD5">
            <w:pPr>
              <w:spacing w:line="360" w:lineRule="exact"/>
              <w:jc w:val="center"/>
              <w:rPr>
                <w:rFonts w:eastAsia="新宋体"/>
                <w:color w:val="auto"/>
                <w:sz w:val="22"/>
                <w:szCs w:val="22"/>
                <w:highlight w:val="none"/>
              </w:rPr>
            </w:pPr>
            <w:r>
              <w:rPr>
                <w:rFonts w:hint="eastAsia" w:eastAsia="新宋体"/>
                <w:color w:val="auto"/>
                <w:sz w:val="22"/>
                <w:szCs w:val="22"/>
                <w:highlight w:val="none"/>
              </w:rPr>
              <w:t>1、一般情况</w:t>
            </w:r>
          </w:p>
        </w:tc>
      </w:tr>
      <w:tr w14:paraId="74C7CD2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3C9349C7">
            <w:pPr>
              <w:spacing w:line="360" w:lineRule="exact"/>
              <w:jc w:val="center"/>
              <w:rPr>
                <w:rFonts w:eastAsia="新宋体"/>
                <w:color w:val="auto"/>
                <w:sz w:val="22"/>
                <w:szCs w:val="22"/>
                <w:highlight w:val="none"/>
              </w:rPr>
            </w:pPr>
            <w:r>
              <w:rPr>
                <w:rFonts w:hint="eastAsia" w:eastAsia="新宋体"/>
                <w:color w:val="auto"/>
                <w:sz w:val="22"/>
                <w:szCs w:val="22"/>
                <w:highlight w:val="none"/>
              </w:rPr>
              <w:t>姓   名</w:t>
            </w:r>
          </w:p>
        </w:tc>
        <w:tc>
          <w:tcPr>
            <w:tcW w:w="1799" w:type="dxa"/>
            <w:tcBorders>
              <w:top w:val="single" w:color="auto" w:sz="4" w:space="0"/>
              <w:bottom w:val="single" w:color="auto" w:sz="4" w:space="0"/>
            </w:tcBorders>
            <w:noWrap/>
            <w:vAlign w:val="center"/>
          </w:tcPr>
          <w:p w14:paraId="4ED23E10">
            <w:pPr>
              <w:spacing w:line="360" w:lineRule="exact"/>
              <w:jc w:val="center"/>
              <w:rPr>
                <w:rFonts w:eastAsia="新宋体"/>
                <w:color w:val="auto"/>
                <w:sz w:val="22"/>
                <w:szCs w:val="22"/>
                <w:highlight w:val="none"/>
              </w:rPr>
            </w:pPr>
          </w:p>
        </w:tc>
        <w:tc>
          <w:tcPr>
            <w:tcW w:w="1567" w:type="dxa"/>
            <w:gridSpan w:val="2"/>
            <w:tcBorders>
              <w:top w:val="single" w:color="auto" w:sz="4" w:space="0"/>
              <w:bottom w:val="single" w:color="auto" w:sz="4" w:space="0"/>
            </w:tcBorders>
            <w:noWrap/>
            <w:vAlign w:val="center"/>
          </w:tcPr>
          <w:p w14:paraId="24A94DCC">
            <w:pPr>
              <w:spacing w:line="360" w:lineRule="exact"/>
              <w:jc w:val="center"/>
              <w:rPr>
                <w:rFonts w:eastAsia="新宋体"/>
                <w:color w:val="auto"/>
                <w:sz w:val="22"/>
                <w:szCs w:val="22"/>
                <w:highlight w:val="none"/>
              </w:rPr>
            </w:pPr>
            <w:r>
              <w:rPr>
                <w:rFonts w:hint="eastAsia" w:eastAsia="新宋体"/>
                <w:color w:val="auto"/>
                <w:sz w:val="22"/>
                <w:szCs w:val="22"/>
                <w:highlight w:val="none"/>
              </w:rPr>
              <w:t>年  龄</w:t>
            </w:r>
          </w:p>
        </w:tc>
        <w:tc>
          <w:tcPr>
            <w:tcW w:w="1062" w:type="dxa"/>
            <w:tcBorders>
              <w:top w:val="single" w:color="auto" w:sz="4" w:space="0"/>
              <w:bottom w:val="single" w:color="auto" w:sz="4" w:space="0"/>
            </w:tcBorders>
            <w:noWrap/>
            <w:vAlign w:val="center"/>
          </w:tcPr>
          <w:p w14:paraId="1B6EB9EB">
            <w:pPr>
              <w:spacing w:line="360" w:lineRule="exact"/>
              <w:jc w:val="center"/>
              <w:rPr>
                <w:rFonts w:eastAsia="新宋体"/>
                <w:color w:val="auto"/>
                <w:sz w:val="22"/>
                <w:szCs w:val="22"/>
                <w:highlight w:val="none"/>
              </w:rPr>
            </w:pPr>
          </w:p>
        </w:tc>
        <w:tc>
          <w:tcPr>
            <w:tcW w:w="2074" w:type="dxa"/>
            <w:tcBorders>
              <w:top w:val="single" w:color="auto" w:sz="4" w:space="0"/>
              <w:bottom w:val="single" w:color="auto" w:sz="4" w:space="0"/>
            </w:tcBorders>
            <w:noWrap/>
            <w:vAlign w:val="center"/>
          </w:tcPr>
          <w:p w14:paraId="1E6CE76C">
            <w:pPr>
              <w:spacing w:line="360" w:lineRule="exact"/>
              <w:jc w:val="center"/>
              <w:rPr>
                <w:rFonts w:eastAsia="新宋体"/>
                <w:color w:val="auto"/>
                <w:sz w:val="22"/>
                <w:szCs w:val="22"/>
                <w:highlight w:val="none"/>
              </w:rPr>
            </w:pPr>
            <w:r>
              <w:rPr>
                <w:rFonts w:hint="eastAsia" w:eastAsia="新宋体"/>
                <w:color w:val="auto"/>
                <w:sz w:val="22"/>
                <w:szCs w:val="22"/>
                <w:highlight w:val="none"/>
              </w:rPr>
              <w:t>学  历</w:t>
            </w:r>
          </w:p>
        </w:tc>
        <w:tc>
          <w:tcPr>
            <w:tcW w:w="1568" w:type="dxa"/>
            <w:tcBorders>
              <w:top w:val="single" w:color="auto" w:sz="4" w:space="0"/>
              <w:bottom w:val="single" w:color="auto" w:sz="4" w:space="0"/>
            </w:tcBorders>
            <w:noWrap/>
            <w:vAlign w:val="center"/>
          </w:tcPr>
          <w:p w14:paraId="3CFBB32C">
            <w:pPr>
              <w:spacing w:line="360" w:lineRule="exact"/>
              <w:jc w:val="center"/>
              <w:rPr>
                <w:rFonts w:eastAsia="新宋体"/>
                <w:color w:val="auto"/>
                <w:sz w:val="22"/>
                <w:szCs w:val="22"/>
                <w:highlight w:val="none"/>
              </w:rPr>
            </w:pPr>
          </w:p>
        </w:tc>
      </w:tr>
      <w:tr w14:paraId="3966C4DF">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589FD14B">
            <w:pPr>
              <w:spacing w:line="360" w:lineRule="exact"/>
              <w:jc w:val="center"/>
              <w:rPr>
                <w:rFonts w:eastAsia="新宋体"/>
                <w:color w:val="auto"/>
                <w:sz w:val="22"/>
                <w:szCs w:val="22"/>
                <w:highlight w:val="none"/>
              </w:rPr>
            </w:pPr>
            <w:r>
              <w:rPr>
                <w:rFonts w:hint="eastAsia" w:eastAsia="新宋体"/>
                <w:color w:val="auto"/>
                <w:sz w:val="22"/>
                <w:szCs w:val="22"/>
                <w:highlight w:val="none"/>
              </w:rPr>
              <w:t>毕业学校</w:t>
            </w:r>
          </w:p>
        </w:tc>
        <w:tc>
          <w:tcPr>
            <w:tcW w:w="1799" w:type="dxa"/>
            <w:tcBorders>
              <w:top w:val="single" w:color="auto" w:sz="4" w:space="0"/>
              <w:bottom w:val="single" w:color="auto" w:sz="4" w:space="0"/>
            </w:tcBorders>
            <w:noWrap/>
            <w:vAlign w:val="center"/>
          </w:tcPr>
          <w:p w14:paraId="2393AA69">
            <w:pPr>
              <w:spacing w:line="360" w:lineRule="exact"/>
              <w:rPr>
                <w:rFonts w:eastAsia="新宋体"/>
                <w:color w:val="auto"/>
                <w:sz w:val="22"/>
                <w:szCs w:val="22"/>
                <w:highlight w:val="none"/>
              </w:rPr>
            </w:pPr>
          </w:p>
        </w:tc>
        <w:tc>
          <w:tcPr>
            <w:tcW w:w="1567" w:type="dxa"/>
            <w:gridSpan w:val="2"/>
            <w:tcBorders>
              <w:top w:val="single" w:color="auto" w:sz="4" w:space="0"/>
              <w:bottom w:val="single" w:color="auto" w:sz="4" w:space="0"/>
            </w:tcBorders>
            <w:noWrap/>
            <w:vAlign w:val="center"/>
          </w:tcPr>
          <w:p w14:paraId="4AD56F7F">
            <w:pPr>
              <w:spacing w:line="360" w:lineRule="exact"/>
              <w:jc w:val="center"/>
              <w:rPr>
                <w:rFonts w:eastAsia="新宋体"/>
                <w:color w:val="auto"/>
                <w:sz w:val="22"/>
                <w:szCs w:val="22"/>
                <w:highlight w:val="none"/>
              </w:rPr>
            </w:pPr>
            <w:r>
              <w:rPr>
                <w:rFonts w:hint="eastAsia" w:eastAsia="新宋体"/>
                <w:color w:val="auto"/>
                <w:sz w:val="22"/>
                <w:szCs w:val="22"/>
                <w:highlight w:val="none"/>
              </w:rPr>
              <w:t>专  业</w:t>
            </w:r>
          </w:p>
        </w:tc>
        <w:tc>
          <w:tcPr>
            <w:tcW w:w="1062" w:type="dxa"/>
            <w:tcBorders>
              <w:top w:val="single" w:color="auto" w:sz="4" w:space="0"/>
              <w:bottom w:val="single" w:color="auto" w:sz="4" w:space="0"/>
            </w:tcBorders>
            <w:noWrap/>
            <w:vAlign w:val="center"/>
          </w:tcPr>
          <w:p w14:paraId="636FFB79">
            <w:pPr>
              <w:spacing w:line="360" w:lineRule="exact"/>
              <w:jc w:val="center"/>
              <w:rPr>
                <w:rFonts w:eastAsia="新宋体"/>
                <w:color w:val="auto"/>
                <w:sz w:val="22"/>
                <w:szCs w:val="22"/>
                <w:highlight w:val="none"/>
              </w:rPr>
            </w:pPr>
          </w:p>
        </w:tc>
        <w:tc>
          <w:tcPr>
            <w:tcW w:w="2074" w:type="dxa"/>
            <w:tcBorders>
              <w:top w:val="single" w:color="auto" w:sz="4" w:space="0"/>
              <w:bottom w:val="single" w:color="auto" w:sz="4" w:space="0"/>
            </w:tcBorders>
            <w:noWrap/>
            <w:vAlign w:val="center"/>
          </w:tcPr>
          <w:p w14:paraId="3AD7701E">
            <w:pPr>
              <w:spacing w:line="360" w:lineRule="exact"/>
              <w:jc w:val="center"/>
              <w:rPr>
                <w:rFonts w:eastAsia="新宋体"/>
                <w:color w:val="auto"/>
                <w:sz w:val="22"/>
                <w:szCs w:val="22"/>
                <w:highlight w:val="none"/>
              </w:rPr>
            </w:pPr>
            <w:r>
              <w:rPr>
                <w:rFonts w:hint="eastAsia" w:eastAsia="新宋体"/>
                <w:color w:val="auto"/>
                <w:sz w:val="22"/>
                <w:szCs w:val="22"/>
                <w:highlight w:val="none"/>
              </w:rPr>
              <w:t>职  务</w:t>
            </w:r>
          </w:p>
        </w:tc>
        <w:tc>
          <w:tcPr>
            <w:tcW w:w="1568" w:type="dxa"/>
            <w:tcBorders>
              <w:top w:val="single" w:color="auto" w:sz="4" w:space="0"/>
              <w:bottom w:val="single" w:color="auto" w:sz="4" w:space="0"/>
            </w:tcBorders>
            <w:noWrap/>
            <w:vAlign w:val="center"/>
          </w:tcPr>
          <w:p w14:paraId="5B6ED99C">
            <w:pPr>
              <w:spacing w:line="360" w:lineRule="exact"/>
              <w:jc w:val="center"/>
              <w:rPr>
                <w:rFonts w:eastAsia="新宋体"/>
                <w:color w:val="auto"/>
                <w:sz w:val="22"/>
                <w:szCs w:val="22"/>
                <w:highlight w:val="none"/>
              </w:rPr>
            </w:pPr>
          </w:p>
        </w:tc>
      </w:tr>
      <w:tr w14:paraId="3DBD324E">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3" w:hRule="exact"/>
          <w:jc w:val="center"/>
        </w:trPr>
        <w:tc>
          <w:tcPr>
            <w:tcW w:w="1457" w:type="dxa"/>
            <w:gridSpan w:val="2"/>
            <w:tcBorders>
              <w:top w:val="single" w:color="auto" w:sz="4" w:space="0"/>
              <w:bottom w:val="single" w:color="auto" w:sz="4" w:space="0"/>
            </w:tcBorders>
            <w:noWrap/>
            <w:vAlign w:val="center"/>
          </w:tcPr>
          <w:p w14:paraId="5082409D">
            <w:pPr>
              <w:spacing w:line="360" w:lineRule="exact"/>
              <w:jc w:val="center"/>
              <w:rPr>
                <w:rFonts w:eastAsia="新宋体"/>
                <w:color w:val="auto"/>
                <w:sz w:val="22"/>
                <w:szCs w:val="22"/>
                <w:highlight w:val="none"/>
              </w:rPr>
            </w:pPr>
            <w:r>
              <w:rPr>
                <w:rFonts w:hint="eastAsia" w:eastAsia="新宋体"/>
                <w:color w:val="auto"/>
                <w:sz w:val="22"/>
                <w:szCs w:val="22"/>
                <w:highlight w:val="none"/>
              </w:rPr>
              <w:t>职  称</w:t>
            </w:r>
          </w:p>
        </w:tc>
        <w:tc>
          <w:tcPr>
            <w:tcW w:w="1799" w:type="dxa"/>
            <w:tcBorders>
              <w:top w:val="single" w:color="auto" w:sz="4" w:space="0"/>
              <w:bottom w:val="single" w:color="auto" w:sz="4" w:space="0"/>
            </w:tcBorders>
            <w:noWrap/>
            <w:vAlign w:val="center"/>
          </w:tcPr>
          <w:p w14:paraId="1C12AC7D">
            <w:pPr>
              <w:spacing w:line="360" w:lineRule="exact"/>
              <w:rPr>
                <w:rFonts w:eastAsia="新宋体"/>
                <w:color w:val="auto"/>
                <w:sz w:val="22"/>
                <w:szCs w:val="22"/>
                <w:highlight w:val="none"/>
              </w:rPr>
            </w:pPr>
          </w:p>
        </w:tc>
        <w:tc>
          <w:tcPr>
            <w:tcW w:w="1567" w:type="dxa"/>
            <w:gridSpan w:val="2"/>
            <w:tcBorders>
              <w:top w:val="single" w:color="auto" w:sz="4" w:space="0"/>
              <w:bottom w:val="single" w:color="auto" w:sz="4" w:space="0"/>
            </w:tcBorders>
            <w:noWrap/>
            <w:vAlign w:val="center"/>
          </w:tcPr>
          <w:p w14:paraId="127E02FD">
            <w:pPr>
              <w:spacing w:line="360" w:lineRule="exact"/>
              <w:jc w:val="center"/>
              <w:rPr>
                <w:rFonts w:eastAsia="新宋体"/>
                <w:color w:val="auto"/>
                <w:sz w:val="22"/>
                <w:szCs w:val="22"/>
                <w:highlight w:val="none"/>
              </w:rPr>
            </w:pPr>
            <w:r>
              <w:rPr>
                <w:rFonts w:hint="eastAsia" w:eastAsia="新宋体"/>
                <w:color w:val="auto"/>
                <w:sz w:val="22"/>
                <w:szCs w:val="22"/>
                <w:highlight w:val="none"/>
              </w:rPr>
              <w:t>拟任何职</w:t>
            </w:r>
          </w:p>
        </w:tc>
        <w:tc>
          <w:tcPr>
            <w:tcW w:w="1062" w:type="dxa"/>
            <w:tcBorders>
              <w:top w:val="single" w:color="auto" w:sz="4" w:space="0"/>
              <w:bottom w:val="single" w:color="auto" w:sz="4" w:space="0"/>
            </w:tcBorders>
            <w:noWrap/>
            <w:vAlign w:val="center"/>
          </w:tcPr>
          <w:p w14:paraId="27E7F089">
            <w:pPr>
              <w:spacing w:line="360" w:lineRule="exact"/>
              <w:jc w:val="center"/>
              <w:rPr>
                <w:rFonts w:eastAsia="新宋体"/>
                <w:color w:val="auto"/>
                <w:sz w:val="22"/>
                <w:szCs w:val="22"/>
                <w:highlight w:val="none"/>
              </w:rPr>
            </w:pPr>
          </w:p>
        </w:tc>
        <w:tc>
          <w:tcPr>
            <w:tcW w:w="2074" w:type="dxa"/>
            <w:tcBorders>
              <w:top w:val="single" w:color="auto" w:sz="4" w:space="0"/>
              <w:bottom w:val="single" w:color="auto" w:sz="4" w:space="0"/>
            </w:tcBorders>
            <w:noWrap/>
            <w:vAlign w:val="center"/>
          </w:tcPr>
          <w:p w14:paraId="1E02E147">
            <w:pPr>
              <w:spacing w:line="360" w:lineRule="exact"/>
              <w:jc w:val="center"/>
              <w:rPr>
                <w:rFonts w:eastAsia="新宋体"/>
                <w:color w:val="auto"/>
                <w:sz w:val="22"/>
                <w:szCs w:val="22"/>
                <w:highlight w:val="none"/>
              </w:rPr>
            </w:pPr>
            <w:r>
              <w:rPr>
                <w:rFonts w:hint="eastAsia" w:eastAsia="新宋体"/>
                <w:color w:val="auto"/>
                <w:sz w:val="22"/>
                <w:szCs w:val="22"/>
                <w:highlight w:val="none"/>
              </w:rPr>
              <w:t>参加工作</w:t>
            </w:r>
          </w:p>
          <w:p w14:paraId="3B47D178">
            <w:pPr>
              <w:spacing w:line="360" w:lineRule="exact"/>
              <w:jc w:val="center"/>
              <w:rPr>
                <w:rFonts w:eastAsia="新宋体"/>
                <w:color w:val="auto"/>
                <w:sz w:val="22"/>
                <w:szCs w:val="22"/>
                <w:highlight w:val="none"/>
              </w:rPr>
            </w:pPr>
            <w:r>
              <w:rPr>
                <w:rFonts w:hint="eastAsia" w:eastAsia="新宋体"/>
                <w:color w:val="auto"/>
                <w:sz w:val="22"/>
                <w:szCs w:val="22"/>
                <w:highlight w:val="none"/>
              </w:rPr>
              <w:t>时间</w:t>
            </w:r>
          </w:p>
        </w:tc>
        <w:tc>
          <w:tcPr>
            <w:tcW w:w="1568" w:type="dxa"/>
            <w:tcBorders>
              <w:top w:val="single" w:color="auto" w:sz="4" w:space="0"/>
              <w:bottom w:val="single" w:color="auto" w:sz="4" w:space="0"/>
            </w:tcBorders>
            <w:noWrap/>
            <w:vAlign w:val="center"/>
          </w:tcPr>
          <w:p w14:paraId="18EF1F5A">
            <w:pPr>
              <w:spacing w:line="360" w:lineRule="exact"/>
              <w:jc w:val="center"/>
              <w:rPr>
                <w:rFonts w:eastAsia="新宋体"/>
                <w:color w:val="auto"/>
                <w:sz w:val="22"/>
                <w:szCs w:val="22"/>
                <w:highlight w:val="none"/>
              </w:rPr>
            </w:pPr>
          </w:p>
        </w:tc>
      </w:tr>
      <w:tr w14:paraId="20B0797D">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noWrap/>
            <w:vAlign w:val="center"/>
          </w:tcPr>
          <w:p w14:paraId="45F036EC">
            <w:pPr>
              <w:spacing w:line="360" w:lineRule="exact"/>
              <w:jc w:val="center"/>
              <w:rPr>
                <w:rFonts w:eastAsia="新宋体"/>
                <w:color w:val="auto"/>
                <w:sz w:val="22"/>
                <w:szCs w:val="22"/>
                <w:highlight w:val="none"/>
              </w:rPr>
            </w:pPr>
            <w:r>
              <w:rPr>
                <w:rFonts w:hint="eastAsia" w:eastAsia="新宋体"/>
                <w:color w:val="auto"/>
                <w:sz w:val="22"/>
                <w:szCs w:val="22"/>
                <w:highlight w:val="none"/>
              </w:rPr>
              <w:t>2、个人简历</w:t>
            </w:r>
          </w:p>
        </w:tc>
      </w:tr>
      <w:tr w14:paraId="0B0A030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6D2717AA">
            <w:pPr>
              <w:spacing w:line="360" w:lineRule="exact"/>
              <w:jc w:val="center"/>
              <w:rPr>
                <w:rFonts w:eastAsia="新宋体"/>
                <w:color w:val="auto"/>
                <w:sz w:val="22"/>
                <w:szCs w:val="22"/>
                <w:highlight w:val="none"/>
              </w:rPr>
            </w:pPr>
            <w:r>
              <w:rPr>
                <w:rFonts w:hint="eastAsia" w:eastAsia="新宋体"/>
                <w:color w:val="auto"/>
                <w:sz w:val="22"/>
                <w:szCs w:val="22"/>
                <w:highlight w:val="none"/>
              </w:rPr>
              <w:t>时  间</w:t>
            </w:r>
          </w:p>
        </w:tc>
        <w:tc>
          <w:tcPr>
            <w:tcW w:w="8070" w:type="dxa"/>
            <w:gridSpan w:val="6"/>
            <w:tcBorders>
              <w:top w:val="single" w:color="auto" w:sz="4" w:space="0"/>
              <w:bottom w:val="single" w:color="auto" w:sz="4" w:space="0"/>
            </w:tcBorders>
            <w:noWrap/>
            <w:vAlign w:val="center"/>
          </w:tcPr>
          <w:p w14:paraId="5D672863">
            <w:pPr>
              <w:spacing w:line="360" w:lineRule="exact"/>
              <w:jc w:val="center"/>
              <w:rPr>
                <w:rFonts w:eastAsia="新宋体"/>
                <w:color w:val="auto"/>
                <w:sz w:val="22"/>
                <w:szCs w:val="22"/>
                <w:highlight w:val="none"/>
              </w:rPr>
            </w:pPr>
            <w:r>
              <w:rPr>
                <w:rFonts w:hint="eastAsia" w:eastAsia="新宋体"/>
                <w:color w:val="auto"/>
                <w:sz w:val="22"/>
                <w:szCs w:val="22"/>
                <w:highlight w:val="none"/>
              </w:rPr>
              <w:t>专业工作经历</w:t>
            </w:r>
          </w:p>
        </w:tc>
      </w:tr>
      <w:tr w14:paraId="759A876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344E15E1">
            <w:pPr>
              <w:spacing w:line="360" w:lineRule="exact"/>
              <w:rPr>
                <w:rFonts w:eastAsia="新宋体"/>
                <w:color w:val="auto"/>
                <w:sz w:val="22"/>
                <w:szCs w:val="22"/>
                <w:highlight w:val="none"/>
              </w:rPr>
            </w:pPr>
          </w:p>
        </w:tc>
        <w:tc>
          <w:tcPr>
            <w:tcW w:w="8070" w:type="dxa"/>
            <w:gridSpan w:val="6"/>
            <w:tcBorders>
              <w:top w:val="single" w:color="auto" w:sz="4" w:space="0"/>
              <w:bottom w:val="single" w:color="auto" w:sz="4" w:space="0"/>
            </w:tcBorders>
            <w:noWrap/>
            <w:vAlign w:val="center"/>
          </w:tcPr>
          <w:p w14:paraId="434AE902">
            <w:pPr>
              <w:spacing w:line="360" w:lineRule="exact"/>
              <w:rPr>
                <w:rFonts w:eastAsia="新宋体"/>
                <w:color w:val="auto"/>
                <w:sz w:val="22"/>
                <w:szCs w:val="22"/>
                <w:highlight w:val="none"/>
              </w:rPr>
            </w:pPr>
          </w:p>
        </w:tc>
      </w:tr>
      <w:tr w14:paraId="44970F8B">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ign w:val="center"/>
          </w:tcPr>
          <w:p w14:paraId="15BBDAE8">
            <w:pPr>
              <w:spacing w:line="360" w:lineRule="exact"/>
              <w:rPr>
                <w:rFonts w:eastAsia="新宋体"/>
                <w:color w:val="auto"/>
                <w:sz w:val="22"/>
                <w:szCs w:val="22"/>
                <w:highlight w:val="none"/>
              </w:rPr>
            </w:pPr>
          </w:p>
        </w:tc>
        <w:tc>
          <w:tcPr>
            <w:tcW w:w="8070" w:type="dxa"/>
            <w:gridSpan w:val="6"/>
            <w:tcBorders>
              <w:top w:val="single" w:color="auto" w:sz="4" w:space="0"/>
              <w:bottom w:val="single" w:color="auto" w:sz="4" w:space="0"/>
            </w:tcBorders>
            <w:noWrap/>
            <w:vAlign w:val="center"/>
          </w:tcPr>
          <w:p w14:paraId="589710AC">
            <w:pPr>
              <w:spacing w:line="360" w:lineRule="exact"/>
              <w:rPr>
                <w:rFonts w:eastAsia="新宋体"/>
                <w:color w:val="auto"/>
                <w:sz w:val="22"/>
                <w:szCs w:val="22"/>
                <w:highlight w:val="none"/>
              </w:rPr>
            </w:pPr>
          </w:p>
        </w:tc>
      </w:tr>
      <w:tr w14:paraId="1A138FDC">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noWrap/>
            <w:vAlign w:val="center"/>
          </w:tcPr>
          <w:p w14:paraId="619488EB">
            <w:pPr>
              <w:spacing w:line="360" w:lineRule="exact"/>
              <w:jc w:val="center"/>
              <w:rPr>
                <w:rFonts w:eastAsia="新宋体"/>
                <w:color w:val="auto"/>
                <w:sz w:val="22"/>
                <w:szCs w:val="22"/>
                <w:highlight w:val="none"/>
              </w:rPr>
            </w:pPr>
            <w:r>
              <w:rPr>
                <w:rFonts w:hint="eastAsia" w:eastAsia="新宋体"/>
                <w:color w:val="auto"/>
                <w:sz w:val="22"/>
                <w:szCs w:val="22"/>
                <w:highlight w:val="none"/>
              </w:rPr>
              <w:t>3、项目负责人业绩</w:t>
            </w:r>
          </w:p>
        </w:tc>
      </w:tr>
      <w:tr w14:paraId="4289563C">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ign w:val="center"/>
          </w:tcPr>
          <w:p w14:paraId="77A9A436">
            <w:pPr>
              <w:spacing w:line="360" w:lineRule="exact"/>
              <w:jc w:val="center"/>
              <w:rPr>
                <w:rFonts w:eastAsia="新宋体"/>
                <w:color w:val="auto"/>
                <w:sz w:val="22"/>
                <w:szCs w:val="22"/>
                <w:highlight w:val="none"/>
              </w:rPr>
            </w:pPr>
            <w:r>
              <w:rPr>
                <w:rFonts w:hint="eastAsia" w:eastAsia="新宋体"/>
                <w:color w:val="auto"/>
                <w:sz w:val="22"/>
                <w:szCs w:val="22"/>
                <w:highlight w:val="none"/>
              </w:rPr>
              <w:t>序号</w:t>
            </w:r>
          </w:p>
        </w:tc>
        <w:tc>
          <w:tcPr>
            <w:tcW w:w="3427" w:type="dxa"/>
            <w:gridSpan w:val="3"/>
            <w:tcBorders>
              <w:top w:val="single" w:color="auto" w:sz="4" w:space="0"/>
              <w:bottom w:val="single" w:color="auto" w:sz="4" w:space="0"/>
            </w:tcBorders>
            <w:noWrap/>
            <w:vAlign w:val="center"/>
          </w:tcPr>
          <w:p w14:paraId="0817AF4F">
            <w:pPr>
              <w:spacing w:line="360" w:lineRule="exact"/>
              <w:jc w:val="center"/>
              <w:rPr>
                <w:rFonts w:eastAsia="新宋体"/>
                <w:color w:val="auto"/>
                <w:sz w:val="22"/>
                <w:szCs w:val="22"/>
                <w:highlight w:val="none"/>
              </w:rPr>
            </w:pPr>
            <w:r>
              <w:rPr>
                <w:rFonts w:hint="eastAsia" w:eastAsia="新宋体"/>
                <w:color w:val="auto"/>
                <w:sz w:val="22"/>
                <w:szCs w:val="22"/>
                <w:highlight w:val="none"/>
              </w:rPr>
              <w:t>项  目  名  称</w:t>
            </w:r>
          </w:p>
        </w:tc>
        <w:tc>
          <w:tcPr>
            <w:tcW w:w="1440" w:type="dxa"/>
            <w:gridSpan w:val="2"/>
            <w:tcBorders>
              <w:top w:val="single" w:color="auto" w:sz="4" w:space="0"/>
              <w:bottom w:val="single" w:color="auto" w:sz="4" w:space="0"/>
            </w:tcBorders>
            <w:noWrap/>
            <w:vAlign w:val="center"/>
          </w:tcPr>
          <w:p w14:paraId="53034B61">
            <w:pPr>
              <w:spacing w:line="360" w:lineRule="exact"/>
              <w:jc w:val="center"/>
              <w:rPr>
                <w:rFonts w:eastAsia="新宋体"/>
                <w:color w:val="auto"/>
                <w:sz w:val="22"/>
                <w:szCs w:val="22"/>
                <w:highlight w:val="none"/>
              </w:rPr>
            </w:pPr>
            <w:r>
              <w:rPr>
                <w:rFonts w:hint="eastAsia" w:eastAsia="新宋体"/>
                <w:color w:val="auto"/>
                <w:sz w:val="22"/>
                <w:szCs w:val="22"/>
                <w:highlight w:val="none"/>
              </w:rPr>
              <w:t>完成年份</w:t>
            </w:r>
          </w:p>
        </w:tc>
        <w:tc>
          <w:tcPr>
            <w:tcW w:w="3642" w:type="dxa"/>
            <w:gridSpan w:val="2"/>
            <w:tcBorders>
              <w:top w:val="single" w:color="auto" w:sz="4" w:space="0"/>
              <w:bottom w:val="single" w:color="auto" w:sz="4" w:space="0"/>
            </w:tcBorders>
            <w:noWrap/>
            <w:vAlign w:val="center"/>
          </w:tcPr>
          <w:p w14:paraId="324C419F">
            <w:pPr>
              <w:spacing w:line="360" w:lineRule="exact"/>
              <w:jc w:val="center"/>
              <w:rPr>
                <w:rFonts w:eastAsia="新宋体"/>
                <w:color w:val="auto"/>
                <w:sz w:val="22"/>
                <w:szCs w:val="22"/>
                <w:highlight w:val="none"/>
              </w:rPr>
            </w:pPr>
            <w:r>
              <w:rPr>
                <w:rFonts w:hint="eastAsia" w:eastAsia="新宋体"/>
                <w:color w:val="auto"/>
                <w:sz w:val="22"/>
                <w:szCs w:val="22"/>
                <w:highlight w:val="none"/>
              </w:rPr>
              <w:t>获奖情况</w:t>
            </w:r>
          </w:p>
        </w:tc>
      </w:tr>
      <w:tr w14:paraId="650FC7DC">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ign w:val="center"/>
          </w:tcPr>
          <w:p w14:paraId="0A15ABE3">
            <w:pPr>
              <w:spacing w:line="360" w:lineRule="exact"/>
              <w:rPr>
                <w:rFonts w:eastAsia="新宋体"/>
                <w:color w:val="auto"/>
                <w:sz w:val="22"/>
                <w:szCs w:val="22"/>
                <w:highlight w:val="none"/>
              </w:rPr>
            </w:pPr>
          </w:p>
        </w:tc>
        <w:tc>
          <w:tcPr>
            <w:tcW w:w="3427" w:type="dxa"/>
            <w:gridSpan w:val="3"/>
            <w:tcBorders>
              <w:top w:val="single" w:color="auto" w:sz="4" w:space="0"/>
              <w:bottom w:val="single" w:color="auto" w:sz="4" w:space="0"/>
            </w:tcBorders>
            <w:noWrap/>
            <w:vAlign w:val="center"/>
          </w:tcPr>
          <w:p w14:paraId="4D2062AC">
            <w:pPr>
              <w:spacing w:line="360" w:lineRule="exact"/>
              <w:rPr>
                <w:rFonts w:eastAsia="新宋体"/>
                <w:color w:val="auto"/>
                <w:sz w:val="22"/>
                <w:szCs w:val="22"/>
                <w:highlight w:val="none"/>
              </w:rPr>
            </w:pPr>
          </w:p>
        </w:tc>
        <w:tc>
          <w:tcPr>
            <w:tcW w:w="1440" w:type="dxa"/>
            <w:gridSpan w:val="2"/>
            <w:tcBorders>
              <w:top w:val="single" w:color="auto" w:sz="4" w:space="0"/>
              <w:bottom w:val="single" w:color="auto" w:sz="4" w:space="0"/>
            </w:tcBorders>
            <w:noWrap/>
            <w:vAlign w:val="center"/>
          </w:tcPr>
          <w:p w14:paraId="1DBAD6A7">
            <w:pPr>
              <w:spacing w:line="360" w:lineRule="exact"/>
              <w:rPr>
                <w:rFonts w:eastAsia="新宋体"/>
                <w:color w:val="auto"/>
                <w:sz w:val="22"/>
                <w:szCs w:val="22"/>
                <w:highlight w:val="none"/>
              </w:rPr>
            </w:pPr>
          </w:p>
        </w:tc>
        <w:tc>
          <w:tcPr>
            <w:tcW w:w="3642" w:type="dxa"/>
            <w:gridSpan w:val="2"/>
            <w:tcBorders>
              <w:top w:val="single" w:color="auto" w:sz="4" w:space="0"/>
              <w:bottom w:val="single" w:color="auto" w:sz="4" w:space="0"/>
            </w:tcBorders>
            <w:noWrap/>
            <w:vAlign w:val="center"/>
          </w:tcPr>
          <w:p w14:paraId="094B6D2A">
            <w:pPr>
              <w:spacing w:line="360" w:lineRule="exact"/>
              <w:rPr>
                <w:rFonts w:eastAsia="新宋体"/>
                <w:color w:val="auto"/>
                <w:sz w:val="22"/>
                <w:szCs w:val="22"/>
                <w:highlight w:val="none"/>
              </w:rPr>
            </w:pPr>
          </w:p>
        </w:tc>
      </w:tr>
      <w:tr w14:paraId="1E5E43C9">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ign w:val="center"/>
          </w:tcPr>
          <w:p w14:paraId="4D775495">
            <w:pPr>
              <w:spacing w:line="360" w:lineRule="exact"/>
              <w:rPr>
                <w:rFonts w:eastAsia="新宋体"/>
                <w:color w:val="auto"/>
                <w:sz w:val="22"/>
                <w:szCs w:val="22"/>
                <w:highlight w:val="none"/>
              </w:rPr>
            </w:pPr>
          </w:p>
        </w:tc>
        <w:tc>
          <w:tcPr>
            <w:tcW w:w="3427" w:type="dxa"/>
            <w:gridSpan w:val="3"/>
            <w:tcBorders>
              <w:top w:val="single" w:color="auto" w:sz="4" w:space="0"/>
              <w:bottom w:val="single" w:color="auto" w:sz="4" w:space="0"/>
            </w:tcBorders>
            <w:noWrap/>
            <w:vAlign w:val="center"/>
          </w:tcPr>
          <w:p w14:paraId="5A773874">
            <w:pPr>
              <w:spacing w:line="360" w:lineRule="exact"/>
              <w:rPr>
                <w:rFonts w:eastAsia="新宋体"/>
                <w:color w:val="auto"/>
                <w:sz w:val="22"/>
                <w:szCs w:val="22"/>
                <w:highlight w:val="none"/>
              </w:rPr>
            </w:pPr>
          </w:p>
        </w:tc>
        <w:tc>
          <w:tcPr>
            <w:tcW w:w="1440" w:type="dxa"/>
            <w:gridSpan w:val="2"/>
            <w:tcBorders>
              <w:top w:val="single" w:color="auto" w:sz="4" w:space="0"/>
              <w:bottom w:val="single" w:color="auto" w:sz="4" w:space="0"/>
            </w:tcBorders>
            <w:noWrap/>
            <w:vAlign w:val="center"/>
          </w:tcPr>
          <w:p w14:paraId="5A6637D8">
            <w:pPr>
              <w:spacing w:line="360" w:lineRule="exact"/>
              <w:rPr>
                <w:rFonts w:eastAsia="新宋体"/>
                <w:color w:val="auto"/>
                <w:sz w:val="22"/>
                <w:szCs w:val="22"/>
                <w:highlight w:val="none"/>
              </w:rPr>
            </w:pPr>
          </w:p>
        </w:tc>
        <w:tc>
          <w:tcPr>
            <w:tcW w:w="3642" w:type="dxa"/>
            <w:gridSpan w:val="2"/>
            <w:tcBorders>
              <w:top w:val="single" w:color="auto" w:sz="4" w:space="0"/>
              <w:bottom w:val="single" w:color="auto" w:sz="4" w:space="0"/>
            </w:tcBorders>
            <w:noWrap/>
            <w:vAlign w:val="center"/>
          </w:tcPr>
          <w:p w14:paraId="08BDF5E9">
            <w:pPr>
              <w:spacing w:line="360" w:lineRule="exact"/>
              <w:rPr>
                <w:rFonts w:eastAsia="新宋体"/>
                <w:color w:val="auto"/>
                <w:sz w:val="22"/>
                <w:szCs w:val="22"/>
                <w:highlight w:val="none"/>
              </w:rPr>
            </w:pPr>
          </w:p>
        </w:tc>
      </w:tr>
      <w:tr w14:paraId="35E56FE6">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ign w:val="center"/>
          </w:tcPr>
          <w:p w14:paraId="7B9AAD11">
            <w:pPr>
              <w:spacing w:line="360" w:lineRule="exact"/>
              <w:rPr>
                <w:rFonts w:eastAsia="新宋体"/>
                <w:color w:val="auto"/>
                <w:sz w:val="22"/>
                <w:szCs w:val="22"/>
                <w:highlight w:val="none"/>
              </w:rPr>
            </w:pPr>
          </w:p>
        </w:tc>
        <w:tc>
          <w:tcPr>
            <w:tcW w:w="3427" w:type="dxa"/>
            <w:gridSpan w:val="3"/>
            <w:tcBorders>
              <w:top w:val="single" w:color="auto" w:sz="4" w:space="0"/>
              <w:bottom w:val="single" w:color="auto" w:sz="4" w:space="0"/>
            </w:tcBorders>
            <w:noWrap/>
            <w:vAlign w:val="center"/>
          </w:tcPr>
          <w:p w14:paraId="11C02FA9">
            <w:pPr>
              <w:spacing w:line="360" w:lineRule="exact"/>
              <w:rPr>
                <w:rFonts w:eastAsia="新宋体"/>
                <w:color w:val="auto"/>
                <w:sz w:val="22"/>
                <w:szCs w:val="22"/>
                <w:highlight w:val="none"/>
              </w:rPr>
            </w:pPr>
          </w:p>
        </w:tc>
        <w:tc>
          <w:tcPr>
            <w:tcW w:w="1440" w:type="dxa"/>
            <w:gridSpan w:val="2"/>
            <w:tcBorders>
              <w:top w:val="single" w:color="auto" w:sz="4" w:space="0"/>
              <w:bottom w:val="single" w:color="auto" w:sz="4" w:space="0"/>
            </w:tcBorders>
            <w:noWrap/>
            <w:vAlign w:val="center"/>
          </w:tcPr>
          <w:p w14:paraId="3FA8A18D">
            <w:pPr>
              <w:spacing w:line="360" w:lineRule="exact"/>
              <w:rPr>
                <w:rFonts w:eastAsia="新宋体"/>
                <w:color w:val="auto"/>
                <w:sz w:val="22"/>
                <w:szCs w:val="22"/>
                <w:highlight w:val="none"/>
              </w:rPr>
            </w:pPr>
          </w:p>
        </w:tc>
        <w:tc>
          <w:tcPr>
            <w:tcW w:w="3642" w:type="dxa"/>
            <w:gridSpan w:val="2"/>
            <w:tcBorders>
              <w:top w:val="single" w:color="auto" w:sz="4" w:space="0"/>
              <w:bottom w:val="single" w:color="auto" w:sz="4" w:space="0"/>
            </w:tcBorders>
            <w:noWrap/>
            <w:vAlign w:val="center"/>
          </w:tcPr>
          <w:p w14:paraId="20D1B9EF">
            <w:pPr>
              <w:spacing w:line="360" w:lineRule="exact"/>
              <w:rPr>
                <w:rFonts w:eastAsia="新宋体"/>
                <w:color w:val="auto"/>
                <w:sz w:val="22"/>
                <w:szCs w:val="22"/>
                <w:highlight w:val="none"/>
              </w:rPr>
            </w:pPr>
          </w:p>
        </w:tc>
      </w:tr>
      <w:tr w14:paraId="6E0D3A16">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12" w:space="0"/>
            </w:tcBorders>
            <w:noWrap/>
            <w:vAlign w:val="center"/>
          </w:tcPr>
          <w:p w14:paraId="2EA505DC">
            <w:pPr>
              <w:spacing w:line="360" w:lineRule="exact"/>
              <w:rPr>
                <w:rFonts w:eastAsia="新宋体"/>
                <w:color w:val="auto"/>
                <w:sz w:val="22"/>
                <w:szCs w:val="22"/>
                <w:highlight w:val="none"/>
              </w:rPr>
            </w:pPr>
          </w:p>
        </w:tc>
        <w:tc>
          <w:tcPr>
            <w:tcW w:w="3427" w:type="dxa"/>
            <w:gridSpan w:val="3"/>
            <w:tcBorders>
              <w:top w:val="single" w:color="auto" w:sz="4" w:space="0"/>
              <w:bottom w:val="single" w:color="auto" w:sz="12" w:space="0"/>
            </w:tcBorders>
            <w:noWrap/>
            <w:vAlign w:val="center"/>
          </w:tcPr>
          <w:p w14:paraId="7AED4CBD">
            <w:pPr>
              <w:spacing w:line="360" w:lineRule="exact"/>
              <w:rPr>
                <w:rFonts w:eastAsia="新宋体"/>
                <w:color w:val="auto"/>
                <w:sz w:val="22"/>
                <w:szCs w:val="22"/>
                <w:highlight w:val="none"/>
              </w:rPr>
            </w:pPr>
          </w:p>
        </w:tc>
        <w:tc>
          <w:tcPr>
            <w:tcW w:w="1440" w:type="dxa"/>
            <w:gridSpan w:val="2"/>
            <w:tcBorders>
              <w:top w:val="single" w:color="auto" w:sz="4" w:space="0"/>
              <w:bottom w:val="single" w:color="auto" w:sz="12" w:space="0"/>
            </w:tcBorders>
            <w:noWrap/>
            <w:vAlign w:val="center"/>
          </w:tcPr>
          <w:p w14:paraId="40E000C6">
            <w:pPr>
              <w:spacing w:line="360" w:lineRule="exact"/>
              <w:rPr>
                <w:rFonts w:eastAsia="新宋体"/>
                <w:color w:val="auto"/>
                <w:sz w:val="22"/>
                <w:szCs w:val="22"/>
                <w:highlight w:val="none"/>
              </w:rPr>
            </w:pPr>
          </w:p>
        </w:tc>
        <w:tc>
          <w:tcPr>
            <w:tcW w:w="3642" w:type="dxa"/>
            <w:gridSpan w:val="2"/>
            <w:tcBorders>
              <w:top w:val="single" w:color="auto" w:sz="4" w:space="0"/>
              <w:bottom w:val="single" w:color="auto" w:sz="12" w:space="0"/>
            </w:tcBorders>
            <w:noWrap/>
            <w:vAlign w:val="center"/>
          </w:tcPr>
          <w:p w14:paraId="75590C89">
            <w:pPr>
              <w:spacing w:line="360" w:lineRule="exact"/>
              <w:rPr>
                <w:rFonts w:eastAsia="新宋体"/>
                <w:color w:val="auto"/>
                <w:sz w:val="22"/>
                <w:szCs w:val="22"/>
                <w:highlight w:val="none"/>
              </w:rPr>
            </w:pPr>
          </w:p>
        </w:tc>
      </w:tr>
    </w:tbl>
    <w:p w14:paraId="255A178B">
      <w:pPr>
        <w:pStyle w:val="29"/>
        <w:spacing w:line="340" w:lineRule="exact"/>
        <w:ind w:left="660" w:hanging="660" w:hangingChars="300"/>
        <w:rPr>
          <w:rFonts w:ascii="新宋体" w:hAnsi="新宋体" w:eastAsia="新宋体"/>
          <w:color w:val="auto"/>
          <w:sz w:val="22"/>
          <w:highlight w:val="none"/>
        </w:rPr>
      </w:pPr>
    </w:p>
    <w:p w14:paraId="69E6B002">
      <w:pPr>
        <w:spacing w:line="380" w:lineRule="exact"/>
        <w:ind w:left="4420" w:leftChars="2000" w:hanging="220" w:hangingChars="100"/>
        <w:rPr>
          <w:rFonts w:eastAsia="新宋体"/>
          <w:color w:val="auto"/>
          <w:sz w:val="22"/>
          <w:szCs w:val="22"/>
          <w:highlight w:val="none"/>
        </w:rPr>
      </w:pPr>
      <w:r>
        <w:rPr>
          <w:rFonts w:hint="eastAsia" w:eastAsia="新宋体"/>
          <w:color w:val="auto"/>
          <w:sz w:val="22"/>
          <w:szCs w:val="22"/>
          <w:highlight w:val="none"/>
        </w:rPr>
        <w:t>投标人全称（盖章）：</w:t>
      </w:r>
    </w:p>
    <w:p w14:paraId="555C6669">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法定代表人或授权代表（签字）：</w:t>
      </w:r>
    </w:p>
    <w:p w14:paraId="0E4F1F5E">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日期：  年   月  日</w:t>
      </w:r>
    </w:p>
    <w:p w14:paraId="1019FBC6">
      <w:pPr>
        <w:jc w:val="center"/>
        <w:rPr>
          <w:rFonts w:ascii="宋体" w:hAnsi="宋体" w:cs="宋体"/>
          <w:b/>
          <w:color w:val="auto"/>
          <w:sz w:val="28"/>
          <w:szCs w:val="21"/>
          <w:highlight w:val="none"/>
        </w:rPr>
      </w:pPr>
      <w:r>
        <w:rPr>
          <w:rFonts w:hint="eastAsia" w:eastAsia="新宋体"/>
          <w:b/>
          <w:color w:val="auto"/>
          <w:sz w:val="28"/>
          <w:highlight w:val="none"/>
        </w:rPr>
        <w:br w:type="page"/>
      </w:r>
      <w:r>
        <w:rPr>
          <w:rFonts w:hint="eastAsia" w:ascii="宋体" w:hAnsi="宋体" w:cs="宋体"/>
          <w:b/>
          <w:color w:val="auto"/>
          <w:sz w:val="28"/>
          <w:szCs w:val="21"/>
          <w:highlight w:val="none"/>
        </w:rPr>
        <w:t>（2）拟投入的项目实施人员名单</w:t>
      </w:r>
    </w:p>
    <w:p w14:paraId="315597FD">
      <w:pPr>
        <w:rPr>
          <w:rFonts w:ascii="宋体" w:hAnsi="宋体" w:cs="宋体"/>
          <w:color w:val="auto"/>
          <w:sz w:val="22"/>
          <w:highlight w:val="none"/>
        </w:rPr>
      </w:pPr>
      <w:r>
        <w:rPr>
          <w:rFonts w:hint="eastAsia" w:ascii="宋体" w:hAnsi="宋体" w:cs="宋体"/>
          <w:b/>
          <w:color w:val="auto"/>
          <w:sz w:val="24"/>
          <w:highlight w:val="none"/>
        </w:rPr>
        <w:t>项目名称：</w:t>
      </w:r>
      <w:r>
        <w:rPr>
          <w:rFonts w:hint="eastAsia" w:ascii="宋体" w:hAnsi="宋体" w:cs="宋体"/>
          <w:b/>
          <w:color w:val="auto"/>
          <w:sz w:val="22"/>
          <w:highlight w:val="none"/>
        </w:rPr>
        <w:t xml:space="preserve">                                         项目编号：</w:t>
      </w:r>
    </w:p>
    <w:tbl>
      <w:tblPr>
        <w:tblStyle w:val="5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14:paraId="2B88C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noWrap/>
            <w:vAlign w:val="center"/>
          </w:tcPr>
          <w:p w14:paraId="14FD175E">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序号</w:t>
            </w:r>
          </w:p>
        </w:tc>
        <w:tc>
          <w:tcPr>
            <w:tcW w:w="958" w:type="dxa"/>
            <w:noWrap/>
            <w:vAlign w:val="center"/>
          </w:tcPr>
          <w:p w14:paraId="49DEF986">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姓名</w:t>
            </w:r>
          </w:p>
        </w:tc>
        <w:tc>
          <w:tcPr>
            <w:tcW w:w="958" w:type="dxa"/>
            <w:noWrap/>
            <w:vAlign w:val="center"/>
          </w:tcPr>
          <w:p w14:paraId="4F862169">
            <w:pPr>
              <w:spacing w:line="360" w:lineRule="auto"/>
              <w:jc w:val="center"/>
              <w:rPr>
                <w:rFonts w:ascii="宋体" w:hAnsi="宋体" w:cs="宋体"/>
                <w:color w:val="auto"/>
                <w:sz w:val="22"/>
                <w:highlight w:val="none"/>
              </w:rPr>
            </w:pPr>
            <w:r>
              <w:rPr>
                <w:rFonts w:hint="eastAsia" w:ascii="宋体" w:hAnsi="宋体" w:cs="宋体"/>
                <w:color w:val="auto"/>
                <w:sz w:val="22"/>
                <w:highlight w:val="none"/>
              </w:rPr>
              <w:t>性别</w:t>
            </w:r>
          </w:p>
        </w:tc>
        <w:tc>
          <w:tcPr>
            <w:tcW w:w="767" w:type="dxa"/>
            <w:noWrap/>
            <w:vAlign w:val="center"/>
          </w:tcPr>
          <w:p w14:paraId="18AF70FE">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年龄</w:t>
            </w:r>
          </w:p>
        </w:tc>
        <w:tc>
          <w:tcPr>
            <w:tcW w:w="767" w:type="dxa"/>
            <w:noWrap/>
            <w:vAlign w:val="center"/>
          </w:tcPr>
          <w:p w14:paraId="53DD991F">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学历</w:t>
            </w:r>
          </w:p>
        </w:tc>
        <w:tc>
          <w:tcPr>
            <w:tcW w:w="1340" w:type="dxa"/>
            <w:noWrap/>
            <w:vAlign w:val="center"/>
          </w:tcPr>
          <w:p w14:paraId="70BC77C6">
            <w:pPr>
              <w:spacing w:line="280" w:lineRule="exact"/>
              <w:jc w:val="center"/>
              <w:rPr>
                <w:rFonts w:ascii="宋体" w:hAnsi="宋体" w:cs="宋体"/>
                <w:color w:val="auto"/>
                <w:sz w:val="22"/>
                <w:highlight w:val="none"/>
              </w:rPr>
            </w:pPr>
            <w:r>
              <w:rPr>
                <w:rFonts w:hint="eastAsia" w:ascii="宋体" w:hAnsi="宋体" w:cs="宋体"/>
                <w:color w:val="auto"/>
                <w:sz w:val="22"/>
                <w:highlight w:val="none"/>
              </w:rPr>
              <w:t>职称/职务</w:t>
            </w:r>
          </w:p>
        </w:tc>
        <w:tc>
          <w:tcPr>
            <w:tcW w:w="1326" w:type="dxa"/>
            <w:noWrap/>
            <w:vAlign w:val="center"/>
          </w:tcPr>
          <w:p w14:paraId="47A7E6FC">
            <w:pPr>
              <w:spacing w:line="280" w:lineRule="exact"/>
              <w:jc w:val="center"/>
              <w:rPr>
                <w:rFonts w:ascii="宋体" w:hAnsi="宋体" w:cs="宋体"/>
                <w:color w:val="auto"/>
                <w:sz w:val="22"/>
                <w:highlight w:val="none"/>
              </w:rPr>
            </w:pPr>
            <w:r>
              <w:rPr>
                <w:rFonts w:hint="eastAsia" w:ascii="宋体" w:hAnsi="宋体" w:cs="宋体"/>
                <w:color w:val="auto"/>
                <w:highlight w:val="none"/>
              </w:rPr>
              <w:t>本工程中的岗位</w:t>
            </w:r>
          </w:p>
        </w:tc>
        <w:tc>
          <w:tcPr>
            <w:tcW w:w="1825" w:type="dxa"/>
            <w:noWrap/>
            <w:vAlign w:val="center"/>
          </w:tcPr>
          <w:p w14:paraId="0944AC20">
            <w:pPr>
              <w:spacing w:line="360" w:lineRule="auto"/>
              <w:jc w:val="center"/>
              <w:rPr>
                <w:rFonts w:ascii="宋体" w:hAnsi="宋体" w:cs="宋体"/>
                <w:color w:val="auto"/>
                <w:sz w:val="22"/>
                <w:highlight w:val="none"/>
              </w:rPr>
            </w:pPr>
            <w:r>
              <w:rPr>
                <w:rFonts w:hint="eastAsia" w:ascii="宋体" w:hAnsi="宋体" w:cs="宋体"/>
                <w:color w:val="auto"/>
                <w:sz w:val="22"/>
                <w:highlight w:val="none"/>
              </w:rPr>
              <w:t>从事专业年限</w:t>
            </w:r>
          </w:p>
        </w:tc>
        <w:tc>
          <w:tcPr>
            <w:tcW w:w="1147" w:type="dxa"/>
            <w:noWrap/>
            <w:vAlign w:val="center"/>
          </w:tcPr>
          <w:p w14:paraId="61FDAE69">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备注</w:t>
            </w:r>
          </w:p>
        </w:tc>
      </w:tr>
      <w:tr w14:paraId="72F0E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10D48812">
            <w:pPr>
              <w:spacing w:line="360" w:lineRule="auto"/>
              <w:jc w:val="center"/>
              <w:rPr>
                <w:rFonts w:ascii="宋体" w:hAnsi="宋体" w:cs="宋体"/>
                <w:color w:val="auto"/>
                <w:sz w:val="22"/>
                <w:highlight w:val="none"/>
              </w:rPr>
            </w:pPr>
          </w:p>
        </w:tc>
        <w:tc>
          <w:tcPr>
            <w:tcW w:w="958" w:type="dxa"/>
            <w:noWrap/>
            <w:vAlign w:val="center"/>
          </w:tcPr>
          <w:p w14:paraId="793AEBD3">
            <w:pPr>
              <w:spacing w:line="360" w:lineRule="auto"/>
              <w:jc w:val="center"/>
              <w:rPr>
                <w:rFonts w:ascii="宋体" w:hAnsi="宋体" w:cs="宋体"/>
                <w:color w:val="auto"/>
                <w:sz w:val="22"/>
                <w:highlight w:val="none"/>
              </w:rPr>
            </w:pPr>
          </w:p>
        </w:tc>
        <w:tc>
          <w:tcPr>
            <w:tcW w:w="958" w:type="dxa"/>
            <w:noWrap/>
            <w:vAlign w:val="center"/>
          </w:tcPr>
          <w:p w14:paraId="6A52CA8A">
            <w:pPr>
              <w:spacing w:line="360" w:lineRule="auto"/>
              <w:jc w:val="center"/>
              <w:rPr>
                <w:rFonts w:ascii="宋体" w:hAnsi="宋体" w:cs="宋体"/>
                <w:color w:val="auto"/>
                <w:sz w:val="22"/>
                <w:highlight w:val="none"/>
              </w:rPr>
            </w:pPr>
          </w:p>
        </w:tc>
        <w:tc>
          <w:tcPr>
            <w:tcW w:w="767" w:type="dxa"/>
            <w:noWrap/>
            <w:vAlign w:val="center"/>
          </w:tcPr>
          <w:p w14:paraId="4B43D087">
            <w:pPr>
              <w:spacing w:line="360" w:lineRule="auto"/>
              <w:jc w:val="center"/>
              <w:rPr>
                <w:rFonts w:ascii="宋体" w:hAnsi="宋体" w:cs="宋体"/>
                <w:color w:val="auto"/>
                <w:sz w:val="22"/>
                <w:highlight w:val="none"/>
              </w:rPr>
            </w:pPr>
          </w:p>
        </w:tc>
        <w:tc>
          <w:tcPr>
            <w:tcW w:w="767" w:type="dxa"/>
            <w:noWrap/>
            <w:vAlign w:val="center"/>
          </w:tcPr>
          <w:p w14:paraId="497B7244">
            <w:pPr>
              <w:spacing w:line="360" w:lineRule="auto"/>
              <w:jc w:val="center"/>
              <w:rPr>
                <w:rFonts w:ascii="宋体" w:hAnsi="宋体" w:cs="宋体"/>
                <w:color w:val="auto"/>
                <w:sz w:val="22"/>
                <w:highlight w:val="none"/>
              </w:rPr>
            </w:pPr>
          </w:p>
        </w:tc>
        <w:tc>
          <w:tcPr>
            <w:tcW w:w="1340" w:type="dxa"/>
            <w:noWrap/>
            <w:vAlign w:val="center"/>
          </w:tcPr>
          <w:p w14:paraId="7296E268">
            <w:pPr>
              <w:spacing w:line="360" w:lineRule="auto"/>
              <w:jc w:val="center"/>
              <w:rPr>
                <w:rFonts w:ascii="宋体" w:hAnsi="宋体" w:cs="宋体"/>
                <w:color w:val="auto"/>
                <w:sz w:val="22"/>
                <w:highlight w:val="none"/>
              </w:rPr>
            </w:pPr>
          </w:p>
        </w:tc>
        <w:tc>
          <w:tcPr>
            <w:tcW w:w="1326" w:type="dxa"/>
            <w:noWrap/>
            <w:vAlign w:val="center"/>
          </w:tcPr>
          <w:p w14:paraId="19BBA820">
            <w:pPr>
              <w:spacing w:line="360" w:lineRule="auto"/>
              <w:jc w:val="center"/>
              <w:rPr>
                <w:rFonts w:ascii="宋体" w:hAnsi="宋体" w:cs="宋体"/>
                <w:color w:val="auto"/>
                <w:sz w:val="22"/>
                <w:highlight w:val="none"/>
              </w:rPr>
            </w:pPr>
          </w:p>
        </w:tc>
        <w:tc>
          <w:tcPr>
            <w:tcW w:w="1825" w:type="dxa"/>
            <w:noWrap/>
          </w:tcPr>
          <w:p w14:paraId="0BE1F7AF">
            <w:pPr>
              <w:spacing w:line="360" w:lineRule="auto"/>
              <w:jc w:val="center"/>
              <w:rPr>
                <w:rFonts w:ascii="宋体" w:hAnsi="宋体" w:cs="宋体"/>
                <w:color w:val="auto"/>
                <w:sz w:val="22"/>
                <w:highlight w:val="none"/>
              </w:rPr>
            </w:pPr>
          </w:p>
        </w:tc>
        <w:tc>
          <w:tcPr>
            <w:tcW w:w="1147" w:type="dxa"/>
            <w:noWrap/>
            <w:vAlign w:val="center"/>
          </w:tcPr>
          <w:p w14:paraId="499E5439">
            <w:pPr>
              <w:spacing w:line="360" w:lineRule="auto"/>
              <w:jc w:val="center"/>
              <w:rPr>
                <w:rFonts w:ascii="宋体" w:hAnsi="宋体" w:cs="宋体"/>
                <w:color w:val="auto"/>
                <w:sz w:val="22"/>
                <w:highlight w:val="none"/>
              </w:rPr>
            </w:pPr>
          </w:p>
        </w:tc>
      </w:tr>
      <w:tr w14:paraId="37EFB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761D27C9">
            <w:pPr>
              <w:spacing w:line="360" w:lineRule="auto"/>
              <w:jc w:val="center"/>
              <w:rPr>
                <w:rFonts w:ascii="宋体" w:hAnsi="宋体" w:cs="宋体"/>
                <w:color w:val="auto"/>
                <w:sz w:val="22"/>
                <w:highlight w:val="none"/>
              </w:rPr>
            </w:pPr>
          </w:p>
        </w:tc>
        <w:tc>
          <w:tcPr>
            <w:tcW w:w="958" w:type="dxa"/>
            <w:noWrap/>
            <w:vAlign w:val="center"/>
          </w:tcPr>
          <w:p w14:paraId="69726A64">
            <w:pPr>
              <w:spacing w:line="360" w:lineRule="auto"/>
              <w:jc w:val="center"/>
              <w:rPr>
                <w:rFonts w:ascii="宋体" w:hAnsi="宋体" w:cs="宋体"/>
                <w:color w:val="auto"/>
                <w:sz w:val="22"/>
                <w:highlight w:val="none"/>
              </w:rPr>
            </w:pPr>
          </w:p>
        </w:tc>
        <w:tc>
          <w:tcPr>
            <w:tcW w:w="958" w:type="dxa"/>
            <w:noWrap/>
            <w:vAlign w:val="center"/>
          </w:tcPr>
          <w:p w14:paraId="7E2ADE7D">
            <w:pPr>
              <w:spacing w:line="360" w:lineRule="auto"/>
              <w:jc w:val="center"/>
              <w:rPr>
                <w:rFonts w:ascii="宋体" w:hAnsi="宋体" w:cs="宋体"/>
                <w:color w:val="auto"/>
                <w:sz w:val="22"/>
                <w:highlight w:val="none"/>
              </w:rPr>
            </w:pPr>
          </w:p>
        </w:tc>
        <w:tc>
          <w:tcPr>
            <w:tcW w:w="767" w:type="dxa"/>
            <w:noWrap/>
            <w:vAlign w:val="center"/>
          </w:tcPr>
          <w:p w14:paraId="2A41BEFF">
            <w:pPr>
              <w:spacing w:line="360" w:lineRule="auto"/>
              <w:jc w:val="center"/>
              <w:rPr>
                <w:rFonts w:ascii="宋体" w:hAnsi="宋体" w:cs="宋体"/>
                <w:color w:val="auto"/>
                <w:sz w:val="22"/>
                <w:highlight w:val="none"/>
              </w:rPr>
            </w:pPr>
          </w:p>
        </w:tc>
        <w:tc>
          <w:tcPr>
            <w:tcW w:w="767" w:type="dxa"/>
            <w:noWrap/>
            <w:vAlign w:val="center"/>
          </w:tcPr>
          <w:p w14:paraId="28709EC4">
            <w:pPr>
              <w:spacing w:line="360" w:lineRule="auto"/>
              <w:jc w:val="center"/>
              <w:rPr>
                <w:rFonts w:ascii="宋体" w:hAnsi="宋体" w:cs="宋体"/>
                <w:color w:val="auto"/>
                <w:sz w:val="22"/>
                <w:highlight w:val="none"/>
              </w:rPr>
            </w:pPr>
          </w:p>
        </w:tc>
        <w:tc>
          <w:tcPr>
            <w:tcW w:w="1340" w:type="dxa"/>
            <w:noWrap/>
            <w:vAlign w:val="center"/>
          </w:tcPr>
          <w:p w14:paraId="1F6453D3">
            <w:pPr>
              <w:spacing w:line="360" w:lineRule="auto"/>
              <w:jc w:val="center"/>
              <w:rPr>
                <w:rFonts w:ascii="宋体" w:hAnsi="宋体" w:cs="宋体"/>
                <w:color w:val="auto"/>
                <w:sz w:val="22"/>
                <w:highlight w:val="none"/>
              </w:rPr>
            </w:pPr>
          </w:p>
        </w:tc>
        <w:tc>
          <w:tcPr>
            <w:tcW w:w="1326" w:type="dxa"/>
            <w:noWrap/>
            <w:vAlign w:val="center"/>
          </w:tcPr>
          <w:p w14:paraId="2CBFA743">
            <w:pPr>
              <w:spacing w:line="360" w:lineRule="auto"/>
              <w:jc w:val="center"/>
              <w:rPr>
                <w:rFonts w:ascii="宋体" w:hAnsi="宋体" w:cs="宋体"/>
                <w:color w:val="auto"/>
                <w:sz w:val="22"/>
                <w:highlight w:val="none"/>
              </w:rPr>
            </w:pPr>
          </w:p>
        </w:tc>
        <w:tc>
          <w:tcPr>
            <w:tcW w:w="1825" w:type="dxa"/>
            <w:noWrap/>
          </w:tcPr>
          <w:p w14:paraId="66607827">
            <w:pPr>
              <w:spacing w:line="360" w:lineRule="auto"/>
              <w:jc w:val="center"/>
              <w:rPr>
                <w:rFonts w:ascii="宋体" w:hAnsi="宋体" w:cs="宋体"/>
                <w:color w:val="auto"/>
                <w:sz w:val="22"/>
                <w:highlight w:val="none"/>
              </w:rPr>
            </w:pPr>
          </w:p>
        </w:tc>
        <w:tc>
          <w:tcPr>
            <w:tcW w:w="1147" w:type="dxa"/>
            <w:noWrap/>
            <w:vAlign w:val="center"/>
          </w:tcPr>
          <w:p w14:paraId="62BFC795">
            <w:pPr>
              <w:spacing w:line="360" w:lineRule="auto"/>
              <w:jc w:val="center"/>
              <w:rPr>
                <w:rFonts w:ascii="宋体" w:hAnsi="宋体" w:cs="宋体"/>
                <w:color w:val="auto"/>
                <w:sz w:val="22"/>
                <w:highlight w:val="none"/>
              </w:rPr>
            </w:pPr>
          </w:p>
        </w:tc>
      </w:tr>
      <w:tr w14:paraId="10C3F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22671640">
            <w:pPr>
              <w:spacing w:line="360" w:lineRule="auto"/>
              <w:jc w:val="center"/>
              <w:rPr>
                <w:rFonts w:ascii="宋体" w:hAnsi="宋体" w:cs="宋体"/>
                <w:color w:val="auto"/>
                <w:sz w:val="22"/>
                <w:highlight w:val="none"/>
              </w:rPr>
            </w:pPr>
          </w:p>
        </w:tc>
        <w:tc>
          <w:tcPr>
            <w:tcW w:w="958" w:type="dxa"/>
            <w:noWrap/>
            <w:vAlign w:val="center"/>
          </w:tcPr>
          <w:p w14:paraId="5E24E804">
            <w:pPr>
              <w:spacing w:line="360" w:lineRule="auto"/>
              <w:jc w:val="center"/>
              <w:rPr>
                <w:rFonts w:ascii="宋体" w:hAnsi="宋体" w:cs="宋体"/>
                <w:color w:val="auto"/>
                <w:sz w:val="22"/>
                <w:highlight w:val="none"/>
              </w:rPr>
            </w:pPr>
          </w:p>
        </w:tc>
        <w:tc>
          <w:tcPr>
            <w:tcW w:w="958" w:type="dxa"/>
            <w:noWrap/>
            <w:vAlign w:val="center"/>
          </w:tcPr>
          <w:p w14:paraId="7F839C1D">
            <w:pPr>
              <w:spacing w:line="360" w:lineRule="auto"/>
              <w:jc w:val="center"/>
              <w:rPr>
                <w:rFonts w:ascii="宋体" w:hAnsi="宋体" w:cs="宋体"/>
                <w:color w:val="auto"/>
                <w:sz w:val="22"/>
                <w:highlight w:val="none"/>
              </w:rPr>
            </w:pPr>
          </w:p>
        </w:tc>
        <w:tc>
          <w:tcPr>
            <w:tcW w:w="767" w:type="dxa"/>
            <w:noWrap/>
            <w:vAlign w:val="center"/>
          </w:tcPr>
          <w:p w14:paraId="2F3AF285">
            <w:pPr>
              <w:spacing w:line="360" w:lineRule="auto"/>
              <w:jc w:val="center"/>
              <w:rPr>
                <w:rFonts w:ascii="宋体" w:hAnsi="宋体" w:cs="宋体"/>
                <w:color w:val="auto"/>
                <w:sz w:val="22"/>
                <w:highlight w:val="none"/>
              </w:rPr>
            </w:pPr>
          </w:p>
        </w:tc>
        <w:tc>
          <w:tcPr>
            <w:tcW w:w="767" w:type="dxa"/>
            <w:noWrap/>
            <w:vAlign w:val="center"/>
          </w:tcPr>
          <w:p w14:paraId="5176337C">
            <w:pPr>
              <w:spacing w:line="360" w:lineRule="auto"/>
              <w:jc w:val="center"/>
              <w:rPr>
                <w:rFonts w:ascii="宋体" w:hAnsi="宋体" w:cs="宋体"/>
                <w:color w:val="auto"/>
                <w:sz w:val="22"/>
                <w:highlight w:val="none"/>
              </w:rPr>
            </w:pPr>
          </w:p>
        </w:tc>
        <w:tc>
          <w:tcPr>
            <w:tcW w:w="1340" w:type="dxa"/>
            <w:noWrap/>
            <w:vAlign w:val="center"/>
          </w:tcPr>
          <w:p w14:paraId="291393B2">
            <w:pPr>
              <w:spacing w:line="360" w:lineRule="auto"/>
              <w:jc w:val="center"/>
              <w:rPr>
                <w:rFonts w:ascii="宋体" w:hAnsi="宋体" w:cs="宋体"/>
                <w:color w:val="auto"/>
                <w:sz w:val="22"/>
                <w:highlight w:val="none"/>
              </w:rPr>
            </w:pPr>
          </w:p>
        </w:tc>
        <w:tc>
          <w:tcPr>
            <w:tcW w:w="1326" w:type="dxa"/>
            <w:noWrap/>
            <w:vAlign w:val="center"/>
          </w:tcPr>
          <w:p w14:paraId="285483FC">
            <w:pPr>
              <w:spacing w:line="360" w:lineRule="auto"/>
              <w:jc w:val="center"/>
              <w:rPr>
                <w:rFonts w:ascii="宋体" w:hAnsi="宋体" w:cs="宋体"/>
                <w:color w:val="auto"/>
                <w:sz w:val="22"/>
                <w:highlight w:val="none"/>
              </w:rPr>
            </w:pPr>
          </w:p>
        </w:tc>
        <w:tc>
          <w:tcPr>
            <w:tcW w:w="1825" w:type="dxa"/>
            <w:noWrap/>
          </w:tcPr>
          <w:p w14:paraId="22E20CB4">
            <w:pPr>
              <w:spacing w:line="360" w:lineRule="auto"/>
              <w:jc w:val="center"/>
              <w:rPr>
                <w:rFonts w:ascii="宋体" w:hAnsi="宋体" w:cs="宋体"/>
                <w:color w:val="auto"/>
                <w:sz w:val="22"/>
                <w:highlight w:val="none"/>
              </w:rPr>
            </w:pPr>
          </w:p>
        </w:tc>
        <w:tc>
          <w:tcPr>
            <w:tcW w:w="1147" w:type="dxa"/>
            <w:noWrap/>
            <w:vAlign w:val="center"/>
          </w:tcPr>
          <w:p w14:paraId="7B35CD5F">
            <w:pPr>
              <w:spacing w:line="360" w:lineRule="auto"/>
              <w:jc w:val="center"/>
              <w:rPr>
                <w:rFonts w:ascii="宋体" w:hAnsi="宋体" w:cs="宋体"/>
                <w:color w:val="auto"/>
                <w:sz w:val="22"/>
                <w:highlight w:val="none"/>
              </w:rPr>
            </w:pPr>
          </w:p>
        </w:tc>
      </w:tr>
      <w:tr w14:paraId="53A9E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0BD30109">
            <w:pPr>
              <w:spacing w:line="360" w:lineRule="auto"/>
              <w:jc w:val="center"/>
              <w:rPr>
                <w:rFonts w:ascii="宋体" w:hAnsi="宋体" w:cs="宋体"/>
                <w:color w:val="auto"/>
                <w:sz w:val="22"/>
                <w:highlight w:val="none"/>
              </w:rPr>
            </w:pPr>
          </w:p>
        </w:tc>
        <w:tc>
          <w:tcPr>
            <w:tcW w:w="958" w:type="dxa"/>
            <w:noWrap/>
            <w:vAlign w:val="center"/>
          </w:tcPr>
          <w:p w14:paraId="0BE9F903">
            <w:pPr>
              <w:spacing w:line="360" w:lineRule="auto"/>
              <w:jc w:val="center"/>
              <w:rPr>
                <w:rFonts w:ascii="宋体" w:hAnsi="宋体" w:cs="宋体"/>
                <w:color w:val="auto"/>
                <w:sz w:val="22"/>
                <w:highlight w:val="none"/>
              </w:rPr>
            </w:pPr>
          </w:p>
        </w:tc>
        <w:tc>
          <w:tcPr>
            <w:tcW w:w="958" w:type="dxa"/>
            <w:noWrap/>
            <w:vAlign w:val="center"/>
          </w:tcPr>
          <w:p w14:paraId="008FAAF2">
            <w:pPr>
              <w:spacing w:line="360" w:lineRule="auto"/>
              <w:jc w:val="center"/>
              <w:rPr>
                <w:rFonts w:ascii="宋体" w:hAnsi="宋体" w:cs="宋体"/>
                <w:color w:val="auto"/>
                <w:sz w:val="22"/>
                <w:highlight w:val="none"/>
              </w:rPr>
            </w:pPr>
          </w:p>
        </w:tc>
        <w:tc>
          <w:tcPr>
            <w:tcW w:w="767" w:type="dxa"/>
            <w:noWrap/>
            <w:vAlign w:val="center"/>
          </w:tcPr>
          <w:p w14:paraId="6FF1CC0C">
            <w:pPr>
              <w:spacing w:line="360" w:lineRule="auto"/>
              <w:jc w:val="center"/>
              <w:rPr>
                <w:rFonts w:ascii="宋体" w:hAnsi="宋体" w:cs="宋体"/>
                <w:color w:val="auto"/>
                <w:sz w:val="22"/>
                <w:highlight w:val="none"/>
              </w:rPr>
            </w:pPr>
          </w:p>
        </w:tc>
        <w:tc>
          <w:tcPr>
            <w:tcW w:w="767" w:type="dxa"/>
            <w:noWrap/>
            <w:vAlign w:val="center"/>
          </w:tcPr>
          <w:p w14:paraId="7F8042EB">
            <w:pPr>
              <w:spacing w:line="360" w:lineRule="auto"/>
              <w:jc w:val="center"/>
              <w:rPr>
                <w:rFonts w:ascii="宋体" w:hAnsi="宋体" w:cs="宋体"/>
                <w:color w:val="auto"/>
                <w:sz w:val="22"/>
                <w:highlight w:val="none"/>
              </w:rPr>
            </w:pPr>
          </w:p>
        </w:tc>
        <w:tc>
          <w:tcPr>
            <w:tcW w:w="1340" w:type="dxa"/>
            <w:noWrap/>
            <w:vAlign w:val="center"/>
          </w:tcPr>
          <w:p w14:paraId="3EB57F40">
            <w:pPr>
              <w:spacing w:line="360" w:lineRule="auto"/>
              <w:jc w:val="center"/>
              <w:rPr>
                <w:rFonts w:ascii="宋体" w:hAnsi="宋体" w:cs="宋体"/>
                <w:color w:val="auto"/>
                <w:sz w:val="22"/>
                <w:highlight w:val="none"/>
              </w:rPr>
            </w:pPr>
          </w:p>
        </w:tc>
        <w:tc>
          <w:tcPr>
            <w:tcW w:w="1326" w:type="dxa"/>
            <w:noWrap/>
            <w:vAlign w:val="center"/>
          </w:tcPr>
          <w:p w14:paraId="261D13C4">
            <w:pPr>
              <w:spacing w:line="360" w:lineRule="auto"/>
              <w:jc w:val="center"/>
              <w:rPr>
                <w:rFonts w:ascii="宋体" w:hAnsi="宋体" w:cs="宋体"/>
                <w:color w:val="auto"/>
                <w:sz w:val="22"/>
                <w:highlight w:val="none"/>
              </w:rPr>
            </w:pPr>
          </w:p>
        </w:tc>
        <w:tc>
          <w:tcPr>
            <w:tcW w:w="1825" w:type="dxa"/>
            <w:noWrap/>
          </w:tcPr>
          <w:p w14:paraId="0BBDE6A9">
            <w:pPr>
              <w:spacing w:line="360" w:lineRule="auto"/>
              <w:jc w:val="center"/>
              <w:rPr>
                <w:rFonts w:ascii="宋体" w:hAnsi="宋体" w:cs="宋体"/>
                <w:color w:val="auto"/>
                <w:sz w:val="22"/>
                <w:highlight w:val="none"/>
              </w:rPr>
            </w:pPr>
          </w:p>
        </w:tc>
        <w:tc>
          <w:tcPr>
            <w:tcW w:w="1147" w:type="dxa"/>
            <w:noWrap/>
            <w:vAlign w:val="center"/>
          </w:tcPr>
          <w:p w14:paraId="1CDE7862">
            <w:pPr>
              <w:spacing w:line="360" w:lineRule="auto"/>
              <w:jc w:val="center"/>
              <w:rPr>
                <w:rFonts w:ascii="宋体" w:hAnsi="宋体" w:cs="宋体"/>
                <w:color w:val="auto"/>
                <w:sz w:val="22"/>
                <w:highlight w:val="none"/>
              </w:rPr>
            </w:pPr>
          </w:p>
        </w:tc>
      </w:tr>
      <w:tr w14:paraId="040E5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0AD3940A">
            <w:pPr>
              <w:spacing w:line="360" w:lineRule="auto"/>
              <w:jc w:val="center"/>
              <w:rPr>
                <w:rFonts w:ascii="宋体" w:hAnsi="宋体" w:cs="宋体"/>
                <w:color w:val="auto"/>
                <w:sz w:val="22"/>
                <w:highlight w:val="none"/>
              </w:rPr>
            </w:pPr>
          </w:p>
        </w:tc>
        <w:tc>
          <w:tcPr>
            <w:tcW w:w="958" w:type="dxa"/>
            <w:noWrap/>
            <w:vAlign w:val="center"/>
          </w:tcPr>
          <w:p w14:paraId="3E922287">
            <w:pPr>
              <w:spacing w:line="360" w:lineRule="auto"/>
              <w:jc w:val="center"/>
              <w:rPr>
                <w:rFonts w:ascii="宋体" w:hAnsi="宋体" w:cs="宋体"/>
                <w:color w:val="auto"/>
                <w:sz w:val="22"/>
                <w:highlight w:val="none"/>
              </w:rPr>
            </w:pPr>
          </w:p>
        </w:tc>
        <w:tc>
          <w:tcPr>
            <w:tcW w:w="958" w:type="dxa"/>
            <w:noWrap/>
            <w:vAlign w:val="center"/>
          </w:tcPr>
          <w:p w14:paraId="33BB69B6">
            <w:pPr>
              <w:spacing w:line="360" w:lineRule="auto"/>
              <w:jc w:val="center"/>
              <w:rPr>
                <w:rFonts w:ascii="宋体" w:hAnsi="宋体" w:cs="宋体"/>
                <w:color w:val="auto"/>
                <w:sz w:val="22"/>
                <w:highlight w:val="none"/>
              </w:rPr>
            </w:pPr>
          </w:p>
        </w:tc>
        <w:tc>
          <w:tcPr>
            <w:tcW w:w="767" w:type="dxa"/>
            <w:noWrap/>
            <w:vAlign w:val="center"/>
          </w:tcPr>
          <w:p w14:paraId="66EB0192">
            <w:pPr>
              <w:spacing w:line="360" w:lineRule="auto"/>
              <w:jc w:val="center"/>
              <w:rPr>
                <w:rFonts w:ascii="宋体" w:hAnsi="宋体" w:cs="宋体"/>
                <w:color w:val="auto"/>
                <w:sz w:val="22"/>
                <w:highlight w:val="none"/>
              </w:rPr>
            </w:pPr>
          </w:p>
        </w:tc>
        <w:tc>
          <w:tcPr>
            <w:tcW w:w="767" w:type="dxa"/>
            <w:noWrap/>
            <w:vAlign w:val="center"/>
          </w:tcPr>
          <w:p w14:paraId="65302A55">
            <w:pPr>
              <w:spacing w:line="360" w:lineRule="auto"/>
              <w:jc w:val="center"/>
              <w:rPr>
                <w:rFonts w:ascii="宋体" w:hAnsi="宋体" w:cs="宋体"/>
                <w:color w:val="auto"/>
                <w:sz w:val="22"/>
                <w:highlight w:val="none"/>
              </w:rPr>
            </w:pPr>
          </w:p>
        </w:tc>
        <w:tc>
          <w:tcPr>
            <w:tcW w:w="1340" w:type="dxa"/>
            <w:noWrap/>
            <w:vAlign w:val="center"/>
          </w:tcPr>
          <w:p w14:paraId="6220BF63">
            <w:pPr>
              <w:spacing w:line="360" w:lineRule="auto"/>
              <w:jc w:val="center"/>
              <w:rPr>
                <w:rFonts w:ascii="宋体" w:hAnsi="宋体" w:cs="宋体"/>
                <w:color w:val="auto"/>
                <w:sz w:val="22"/>
                <w:highlight w:val="none"/>
              </w:rPr>
            </w:pPr>
          </w:p>
        </w:tc>
        <w:tc>
          <w:tcPr>
            <w:tcW w:w="1326" w:type="dxa"/>
            <w:noWrap/>
            <w:vAlign w:val="center"/>
          </w:tcPr>
          <w:p w14:paraId="3FD3DD12">
            <w:pPr>
              <w:spacing w:line="360" w:lineRule="auto"/>
              <w:jc w:val="center"/>
              <w:rPr>
                <w:rFonts w:ascii="宋体" w:hAnsi="宋体" w:cs="宋体"/>
                <w:color w:val="auto"/>
                <w:sz w:val="22"/>
                <w:highlight w:val="none"/>
              </w:rPr>
            </w:pPr>
          </w:p>
        </w:tc>
        <w:tc>
          <w:tcPr>
            <w:tcW w:w="1825" w:type="dxa"/>
            <w:noWrap/>
          </w:tcPr>
          <w:p w14:paraId="128E7249">
            <w:pPr>
              <w:spacing w:line="360" w:lineRule="auto"/>
              <w:jc w:val="center"/>
              <w:rPr>
                <w:rFonts w:ascii="宋体" w:hAnsi="宋体" w:cs="宋体"/>
                <w:color w:val="auto"/>
                <w:sz w:val="22"/>
                <w:highlight w:val="none"/>
              </w:rPr>
            </w:pPr>
          </w:p>
        </w:tc>
        <w:tc>
          <w:tcPr>
            <w:tcW w:w="1147" w:type="dxa"/>
            <w:noWrap/>
            <w:vAlign w:val="center"/>
          </w:tcPr>
          <w:p w14:paraId="21A338CA">
            <w:pPr>
              <w:spacing w:line="360" w:lineRule="auto"/>
              <w:jc w:val="center"/>
              <w:rPr>
                <w:rFonts w:ascii="宋体" w:hAnsi="宋体" w:cs="宋体"/>
                <w:color w:val="auto"/>
                <w:sz w:val="22"/>
                <w:highlight w:val="none"/>
              </w:rPr>
            </w:pPr>
          </w:p>
        </w:tc>
      </w:tr>
      <w:tr w14:paraId="1F064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52257EFF">
            <w:pPr>
              <w:spacing w:line="360" w:lineRule="auto"/>
              <w:jc w:val="center"/>
              <w:rPr>
                <w:rFonts w:ascii="宋体" w:hAnsi="宋体" w:cs="宋体"/>
                <w:color w:val="auto"/>
                <w:sz w:val="22"/>
                <w:highlight w:val="none"/>
              </w:rPr>
            </w:pPr>
          </w:p>
        </w:tc>
        <w:tc>
          <w:tcPr>
            <w:tcW w:w="958" w:type="dxa"/>
            <w:noWrap/>
            <w:vAlign w:val="center"/>
          </w:tcPr>
          <w:p w14:paraId="266E3895">
            <w:pPr>
              <w:spacing w:line="360" w:lineRule="auto"/>
              <w:jc w:val="center"/>
              <w:rPr>
                <w:rFonts w:ascii="宋体" w:hAnsi="宋体" w:cs="宋体"/>
                <w:color w:val="auto"/>
                <w:sz w:val="22"/>
                <w:highlight w:val="none"/>
              </w:rPr>
            </w:pPr>
          </w:p>
        </w:tc>
        <w:tc>
          <w:tcPr>
            <w:tcW w:w="958" w:type="dxa"/>
            <w:noWrap/>
            <w:vAlign w:val="center"/>
          </w:tcPr>
          <w:p w14:paraId="0A57471C">
            <w:pPr>
              <w:spacing w:line="360" w:lineRule="auto"/>
              <w:jc w:val="center"/>
              <w:rPr>
                <w:rFonts w:ascii="宋体" w:hAnsi="宋体" w:cs="宋体"/>
                <w:color w:val="auto"/>
                <w:sz w:val="22"/>
                <w:highlight w:val="none"/>
              </w:rPr>
            </w:pPr>
          </w:p>
        </w:tc>
        <w:tc>
          <w:tcPr>
            <w:tcW w:w="767" w:type="dxa"/>
            <w:noWrap/>
            <w:vAlign w:val="center"/>
          </w:tcPr>
          <w:p w14:paraId="4E486642">
            <w:pPr>
              <w:spacing w:line="360" w:lineRule="auto"/>
              <w:jc w:val="center"/>
              <w:rPr>
                <w:rFonts w:ascii="宋体" w:hAnsi="宋体" w:cs="宋体"/>
                <w:color w:val="auto"/>
                <w:sz w:val="22"/>
                <w:highlight w:val="none"/>
              </w:rPr>
            </w:pPr>
          </w:p>
        </w:tc>
        <w:tc>
          <w:tcPr>
            <w:tcW w:w="767" w:type="dxa"/>
            <w:noWrap/>
            <w:vAlign w:val="center"/>
          </w:tcPr>
          <w:p w14:paraId="580151E8">
            <w:pPr>
              <w:spacing w:line="360" w:lineRule="auto"/>
              <w:jc w:val="center"/>
              <w:rPr>
                <w:rFonts w:ascii="宋体" w:hAnsi="宋体" w:cs="宋体"/>
                <w:color w:val="auto"/>
                <w:sz w:val="22"/>
                <w:highlight w:val="none"/>
              </w:rPr>
            </w:pPr>
          </w:p>
        </w:tc>
        <w:tc>
          <w:tcPr>
            <w:tcW w:w="1340" w:type="dxa"/>
            <w:noWrap/>
            <w:vAlign w:val="center"/>
          </w:tcPr>
          <w:p w14:paraId="45FB4833">
            <w:pPr>
              <w:spacing w:line="360" w:lineRule="auto"/>
              <w:jc w:val="center"/>
              <w:rPr>
                <w:rFonts w:ascii="宋体" w:hAnsi="宋体" w:cs="宋体"/>
                <w:color w:val="auto"/>
                <w:sz w:val="22"/>
                <w:highlight w:val="none"/>
              </w:rPr>
            </w:pPr>
          </w:p>
        </w:tc>
        <w:tc>
          <w:tcPr>
            <w:tcW w:w="1326" w:type="dxa"/>
            <w:noWrap/>
            <w:vAlign w:val="center"/>
          </w:tcPr>
          <w:p w14:paraId="18706049">
            <w:pPr>
              <w:spacing w:line="360" w:lineRule="auto"/>
              <w:jc w:val="center"/>
              <w:rPr>
                <w:rFonts w:ascii="宋体" w:hAnsi="宋体" w:cs="宋体"/>
                <w:color w:val="auto"/>
                <w:sz w:val="22"/>
                <w:highlight w:val="none"/>
              </w:rPr>
            </w:pPr>
          </w:p>
        </w:tc>
        <w:tc>
          <w:tcPr>
            <w:tcW w:w="1825" w:type="dxa"/>
            <w:noWrap/>
          </w:tcPr>
          <w:p w14:paraId="2F2048E2">
            <w:pPr>
              <w:spacing w:line="360" w:lineRule="auto"/>
              <w:jc w:val="center"/>
              <w:rPr>
                <w:rFonts w:ascii="宋体" w:hAnsi="宋体" w:cs="宋体"/>
                <w:color w:val="auto"/>
                <w:sz w:val="22"/>
                <w:highlight w:val="none"/>
              </w:rPr>
            </w:pPr>
          </w:p>
        </w:tc>
        <w:tc>
          <w:tcPr>
            <w:tcW w:w="1147" w:type="dxa"/>
            <w:noWrap/>
            <w:vAlign w:val="center"/>
          </w:tcPr>
          <w:p w14:paraId="31F76DD8">
            <w:pPr>
              <w:spacing w:line="360" w:lineRule="auto"/>
              <w:jc w:val="center"/>
              <w:rPr>
                <w:rFonts w:ascii="宋体" w:hAnsi="宋体" w:cs="宋体"/>
                <w:color w:val="auto"/>
                <w:sz w:val="22"/>
                <w:highlight w:val="none"/>
              </w:rPr>
            </w:pPr>
          </w:p>
        </w:tc>
      </w:tr>
      <w:tr w14:paraId="41F00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6359EC0A">
            <w:pPr>
              <w:spacing w:line="360" w:lineRule="auto"/>
              <w:jc w:val="center"/>
              <w:rPr>
                <w:rFonts w:ascii="宋体" w:hAnsi="宋体" w:cs="宋体"/>
                <w:color w:val="auto"/>
                <w:sz w:val="22"/>
                <w:highlight w:val="none"/>
              </w:rPr>
            </w:pPr>
          </w:p>
        </w:tc>
        <w:tc>
          <w:tcPr>
            <w:tcW w:w="958" w:type="dxa"/>
            <w:noWrap/>
            <w:vAlign w:val="center"/>
          </w:tcPr>
          <w:p w14:paraId="7B4EF7C5">
            <w:pPr>
              <w:spacing w:line="360" w:lineRule="auto"/>
              <w:jc w:val="center"/>
              <w:rPr>
                <w:rFonts w:ascii="宋体" w:hAnsi="宋体" w:cs="宋体"/>
                <w:color w:val="auto"/>
                <w:sz w:val="22"/>
                <w:highlight w:val="none"/>
              </w:rPr>
            </w:pPr>
          </w:p>
        </w:tc>
        <w:tc>
          <w:tcPr>
            <w:tcW w:w="958" w:type="dxa"/>
            <w:noWrap/>
            <w:vAlign w:val="center"/>
          </w:tcPr>
          <w:p w14:paraId="7A600C70">
            <w:pPr>
              <w:spacing w:line="360" w:lineRule="auto"/>
              <w:jc w:val="center"/>
              <w:rPr>
                <w:rFonts w:ascii="宋体" w:hAnsi="宋体" w:cs="宋体"/>
                <w:color w:val="auto"/>
                <w:sz w:val="22"/>
                <w:highlight w:val="none"/>
              </w:rPr>
            </w:pPr>
          </w:p>
        </w:tc>
        <w:tc>
          <w:tcPr>
            <w:tcW w:w="767" w:type="dxa"/>
            <w:noWrap/>
            <w:vAlign w:val="center"/>
          </w:tcPr>
          <w:p w14:paraId="2D4369D1">
            <w:pPr>
              <w:spacing w:line="360" w:lineRule="auto"/>
              <w:jc w:val="center"/>
              <w:rPr>
                <w:rFonts w:ascii="宋体" w:hAnsi="宋体" w:cs="宋体"/>
                <w:color w:val="auto"/>
                <w:sz w:val="22"/>
                <w:highlight w:val="none"/>
              </w:rPr>
            </w:pPr>
          </w:p>
        </w:tc>
        <w:tc>
          <w:tcPr>
            <w:tcW w:w="767" w:type="dxa"/>
            <w:noWrap/>
            <w:vAlign w:val="center"/>
          </w:tcPr>
          <w:p w14:paraId="70F8A7F5">
            <w:pPr>
              <w:spacing w:line="360" w:lineRule="auto"/>
              <w:jc w:val="center"/>
              <w:rPr>
                <w:rFonts w:ascii="宋体" w:hAnsi="宋体" w:cs="宋体"/>
                <w:color w:val="auto"/>
                <w:sz w:val="22"/>
                <w:highlight w:val="none"/>
              </w:rPr>
            </w:pPr>
          </w:p>
        </w:tc>
        <w:tc>
          <w:tcPr>
            <w:tcW w:w="1340" w:type="dxa"/>
            <w:noWrap/>
            <w:vAlign w:val="center"/>
          </w:tcPr>
          <w:p w14:paraId="3AF47F5A">
            <w:pPr>
              <w:spacing w:line="360" w:lineRule="auto"/>
              <w:jc w:val="center"/>
              <w:rPr>
                <w:rFonts w:ascii="宋体" w:hAnsi="宋体" w:cs="宋体"/>
                <w:color w:val="auto"/>
                <w:sz w:val="22"/>
                <w:highlight w:val="none"/>
              </w:rPr>
            </w:pPr>
          </w:p>
        </w:tc>
        <w:tc>
          <w:tcPr>
            <w:tcW w:w="1326" w:type="dxa"/>
            <w:noWrap/>
            <w:vAlign w:val="center"/>
          </w:tcPr>
          <w:p w14:paraId="12A3A6BC">
            <w:pPr>
              <w:spacing w:line="360" w:lineRule="auto"/>
              <w:jc w:val="center"/>
              <w:rPr>
                <w:rFonts w:ascii="宋体" w:hAnsi="宋体" w:cs="宋体"/>
                <w:color w:val="auto"/>
                <w:sz w:val="22"/>
                <w:highlight w:val="none"/>
              </w:rPr>
            </w:pPr>
          </w:p>
        </w:tc>
        <w:tc>
          <w:tcPr>
            <w:tcW w:w="1825" w:type="dxa"/>
            <w:noWrap/>
          </w:tcPr>
          <w:p w14:paraId="0FA80995">
            <w:pPr>
              <w:spacing w:line="360" w:lineRule="auto"/>
              <w:jc w:val="center"/>
              <w:rPr>
                <w:rFonts w:ascii="宋体" w:hAnsi="宋体" w:cs="宋体"/>
                <w:color w:val="auto"/>
                <w:sz w:val="22"/>
                <w:highlight w:val="none"/>
              </w:rPr>
            </w:pPr>
          </w:p>
        </w:tc>
        <w:tc>
          <w:tcPr>
            <w:tcW w:w="1147" w:type="dxa"/>
            <w:noWrap/>
            <w:vAlign w:val="center"/>
          </w:tcPr>
          <w:p w14:paraId="7EE9F78F">
            <w:pPr>
              <w:spacing w:line="360" w:lineRule="auto"/>
              <w:jc w:val="center"/>
              <w:rPr>
                <w:rFonts w:ascii="宋体" w:hAnsi="宋体" w:cs="宋体"/>
                <w:color w:val="auto"/>
                <w:sz w:val="22"/>
                <w:highlight w:val="none"/>
              </w:rPr>
            </w:pPr>
          </w:p>
        </w:tc>
      </w:tr>
      <w:tr w14:paraId="67945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65141E49">
            <w:pPr>
              <w:spacing w:line="360" w:lineRule="auto"/>
              <w:jc w:val="center"/>
              <w:rPr>
                <w:rFonts w:ascii="宋体" w:hAnsi="宋体" w:cs="宋体"/>
                <w:color w:val="auto"/>
                <w:sz w:val="22"/>
                <w:highlight w:val="none"/>
              </w:rPr>
            </w:pPr>
          </w:p>
        </w:tc>
        <w:tc>
          <w:tcPr>
            <w:tcW w:w="958" w:type="dxa"/>
            <w:noWrap/>
            <w:vAlign w:val="center"/>
          </w:tcPr>
          <w:p w14:paraId="6430D53B">
            <w:pPr>
              <w:spacing w:line="360" w:lineRule="auto"/>
              <w:jc w:val="center"/>
              <w:rPr>
                <w:rFonts w:ascii="宋体" w:hAnsi="宋体" w:cs="宋体"/>
                <w:color w:val="auto"/>
                <w:sz w:val="22"/>
                <w:highlight w:val="none"/>
              </w:rPr>
            </w:pPr>
          </w:p>
        </w:tc>
        <w:tc>
          <w:tcPr>
            <w:tcW w:w="958" w:type="dxa"/>
            <w:noWrap/>
            <w:vAlign w:val="center"/>
          </w:tcPr>
          <w:p w14:paraId="3AD41879">
            <w:pPr>
              <w:spacing w:line="360" w:lineRule="auto"/>
              <w:jc w:val="center"/>
              <w:rPr>
                <w:rFonts w:ascii="宋体" w:hAnsi="宋体" w:cs="宋体"/>
                <w:color w:val="auto"/>
                <w:sz w:val="22"/>
                <w:highlight w:val="none"/>
              </w:rPr>
            </w:pPr>
          </w:p>
        </w:tc>
        <w:tc>
          <w:tcPr>
            <w:tcW w:w="767" w:type="dxa"/>
            <w:noWrap/>
            <w:vAlign w:val="center"/>
          </w:tcPr>
          <w:p w14:paraId="1E2A508C">
            <w:pPr>
              <w:spacing w:line="360" w:lineRule="auto"/>
              <w:jc w:val="center"/>
              <w:rPr>
                <w:rFonts w:ascii="宋体" w:hAnsi="宋体" w:cs="宋体"/>
                <w:color w:val="auto"/>
                <w:sz w:val="22"/>
                <w:highlight w:val="none"/>
              </w:rPr>
            </w:pPr>
          </w:p>
        </w:tc>
        <w:tc>
          <w:tcPr>
            <w:tcW w:w="767" w:type="dxa"/>
            <w:noWrap/>
            <w:vAlign w:val="center"/>
          </w:tcPr>
          <w:p w14:paraId="2D14DC1A">
            <w:pPr>
              <w:spacing w:line="360" w:lineRule="auto"/>
              <w:jc w:val="center"/>
              <w:rPr>
                <w:rFonts w:ascii="宋体" w:hAnsi="宋体" w:cs="宋体"/>
                <w:color w:val="auto"/>
                <w:sz w:val="22"/>
                <w:highlight w:val="none"/>
              </w:rPr>
            </w:pPr>
          </w:p>
        </w:tc>
        <w:tc>
          <w:tcPr>
            <w:tcW w:w="1340" w:type="dxa"/>
            <w:noWrap/>
            <w:vAlign w:val="center"/>
          </w:tcPr>
          <w:p w14:paraId="4A951170">
            <w:pPr>
              <w:spacing w:line="360" w:lineRule="auto"/>
              <w:jc w:val="center"/>
              <w:rPr>
                <w:rFonts w:ascii="宋体" w:hAnsi="宋体" w:cs="宋体"/>
                <w:color w:val="auto"/>
                <w:sz w:val="22"/>
                <w:highlight w:val="none"/>
              </w:rPr>
            </w:pPr>
          </w:p>
        </w:tc>
        <w:tc>
          <w:tcPr>
            <w:tcW w:w="1326" w:type="dxa"/>
            <w:noWrap/>
            <w:vAlign w:val="center"/>
          </w:tcPr>
          <w:p w14:paraId="5FAED5E4">
            <w:pPr>
              <w:spacing w:line="360" w:lineRule="auto"/>
              <w:jc w:val="center"/>
              <w:rPr>
                <w:rFonts w:ascii="宋体" w:hAnsi="宋体" w:cs="宋体"/>
                <w:color w:val="auto"/>
                <w:sz w:val="22"/>
                <w:highlight w:val="none"/>
              </w:rPr>
            </w:pPr>
          </w:p>
        </w:tc>
        <w:tc>
          <w:tcPr>
            <w:tcW w:w="1825" w:type="dxa"/>
            <w:noWrap/>
          </w:tcPr>
          <w:p w14:paraId="768530A4">
            <w:pPr>
              <w:spacing w:line="360" w:lineRule="auto"/>
              <w:jc w:val="center"/>
              <w:rPr>
                <w:rFonts w:ascii="宋体" w:hAnsi="宋体" w:cs="宋体"/>
                <w:color w:val="auto"/>
                <w:sz w:val="22"/>
                <w:highlight w:val="none"/>
              </w:rPr>
            </w:pPr>
          </w:p>
        </w:tc>
        <w:tc>
          <w:tcPr>
            <w:tcW w:w="1147" w:type="dxa"/>
            <w:noWrap/>
            <w:vAlign w:val="center"/>
          </w:tcPr>
          <w:p w14:paraId="79FEBD2A">
            <w:pPr>
              <w:spacing w:line="360" w:lineRule="auto"/>
              <w:jc w:val="center"/>
              <w:rPr>
                <w:rFonts w:ascii="宋体" w:hAnsi="宋体" w:cs="宋体"/>
                <w:color w:val="auto"/>
                <w:sz w:val="22"/>
                <w:highlight w:val="none"/>
              </w:rPr>
            </w:pPr>
          </w:p>
        </w:tc>
      </w:tr>
      <w:tr w14:paraId="1424D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1AF710BA">
            <w:pPr>
              <w:spacing w:line="360" w:lineRule="auto"/>
              <w:jc w:val="center"/>
              <w:rPr>
                <w:rFonts w:ascii="宋体" w:hAnsi="宋体" w:cs="宋体"/>
                <w:color w:val="auto"/>
                <w:sz w:val="22"/>
                <w:highlight w:val="none"/>
              </w:rPr>
            </w:pPr>
          </w:p>
        </w:tc>
        <w:tc>
          <w:tcPr>
            <w:tcW w:w="958" w:type="dxa"/>
            <w:noWrap/>
            <w:vAlign w:val="center"/>
          </w:tcPr>
          <w:p w14:paraId="696640AE">
            <w:pPr>
              <w:spacing w:line="360" w:lineRule="auto"/>
              <w:jc w:val="center"/>
              <w:rPr>
                <w:rFonts w:ascii="宋体" w:hAnsi="宋体" w:cs="宋体"/>
                <w:color w:val="auto"/>
                <w:sz w:val="22"/>
                <w:highlight w:val="none"/>
              </w:rPr>
            </w:pPr>
          </w:p>
        </w:tc>
        <w:tc>
          <w:tcPr>
            <w:tcW w:w="958" w:type="dxa"/>
            <w:noWrap/>
            <w:vAlign w:val="center"/>
          </w:tcPr>
          <w:p w14:paraId="69BE1E78">
            <w:pPr>
              <w:spacing w:line="360" w:lineRule="auto"/>
              <w:jc w:val="center"/>
              <w:rPr>
                <w:rFonts w:ascii="宋体" w:hAnsi="宋体" w:cs="宋体"/>
                <w:color w:val="auto"/>
                <w:sz w:val="22"/>
                <w:highlight w:val="none"/>
              </w:rPr>
            </w:pPr>
          </w:p>
        </w:tc>
        <w:tc>
          <w:tcPr>
            <w:tcW w:w="767" w:type="dxa"/>
            <w:noWrap/>
            <w:vAlign w:val="center"/>
          </w:tcPr>
          <w:p w14:paraId="7C4C519D">
            <w:pPr>
              <w:spacing w:line="360" w:lineRule="auto"/>
              <w:jc w:val="center"/>
              <w:rPr>
                <w:rFonts w:ascii="宋体" w:hAnsi="宋体" w:cs="宋体"/>
                <w:color w:val="auto"/>
                <w:sz w:val="22"/>
                <w:highlight w:val="none"/>
              </w:rPr>
            </w:pPr>
          </w:p>
        </w:tc>
        <w:tc>
          <w:tcPr>
            <w:tcW w:w="767" w:type="dxa"/>
            <w:noWrap/>
            <w:vAlign w:val="center"/>
          </w:tcPr>
          <w:p w14:paraId="6F19D77E">
            <w:pPr>
              <w:spacing w:line="360" w:lineRule="auto"/>
              <w:jc w:val="center"/>
              <w:rPr>
                <w:rFonts w:ascii="宋体" w:hAnsi="宋体" w:cs="宋体"/>
                <w:color w:val="auto"/>
                <w:sz w:val="22"/>
                <w:highlight w:val="none"/>
              </w:rPr>
            </w:pPr>
          </w:p>
        </w:tc>
        <w:tc>
          <w:tcPr>
            <w:tcW w:w="1340" w:type="dxa"/>
            <w:noWrap/>
            <w:vAlign w:val="center"/>
          </w:tcPr>
          <w:p w14:paraId="3D2C3A19">
            <w:pPr>
              <w:spacing w:line="360" w:lineRule="auto"/>
              <w:jc w:val="center"/>
              <w:rPr>
                <w:rFonts w:ascii="宋体" w:hAnsi="宋体" w:cs="宋体"/>
                <w:color w:val="auto"/>
                <w:sz w:val="22"/>
                <w:highlight w:val="none"/>
              </w:rPr>
            </w:pPr>
          </w:p>
        </w:tc>
        <w:tc>
          <w:tcPr>
            <w:tcW w:w="1326" w:type="dxa"/>
            <w:noWrap/>
            <w:vAlign w:val="center"/>
          </w:tcPr>
          <w:p w14:paraId="75626025">
            <w:pPr>
              <w:spacing w:line="360" w:lineRule="auto"/>
              <w:jc w:val="center"/>
              <w:rPr>
                <w:rFonts w:ascii="宋体" w:hAnsi="宋体" w:cs="宋体"/>
                <w:color w:val="auto"/>
                <w:sz w:val="22"/>
                <w:highlight w:val="none"/>
              </w:rPr>
            </w:pPr>
          </w:p>
        </w:tc>
        <w:tc>
          <w:tcPr>
            <w:tcW w:w="1825" w:type="dxa"/>
            <w:noWrap/>
          </w:tcPr>
          <w:p w14:paraId="63526935">
            <w:pPr>
              <w:spacing w:line="360" w:lineRule="auto"/>
              <w:jc w:val="center"/>
              <w:rPr>
                <w:rFonts w:ascii="宋体" w:hAnsi="宋体" w:cs="宋体"/>
                <w:color w:val="auto"/>
                <w:sz w:val="22"/>
                <w:highlight w:val="none"/>
              </w:rPr>
            </w:pPr>
          </w:p>
        </w:tc>
        <w:tc>
          <w:tcPr>
            <w:tcW w:w="1147" w:type="dxa"/>
            <w:noWrap/>
            <w:vAlign w:val="center"/>
          </w:tcPr>
          <w:p w14:paraId="3770DDF4">
            <w:pPr>
              <w:spacing w:line="360" w:lineRule="auto"/>
              <w:jc w:val="center"/>
              <w:rPr>
                <w:rFonts w:ascii="宋体" w:hAnsi="宋体" w:cs="宋体"/>
                <w:color w:val="auto"/>
                <w:sz w:val="22"/>
                <w:highlight w:val="none"/>
              </w:rPr>
            </w:pPr>
          </w:p>
        </w:tc>
      </w:tr>
      <w:tr w14:paraId="33A36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exact"/>
          <w:jc w:val="center"/>
        </w:trPr>
        <w:tc>
          <w:tcPr>
            <w:tcW w:w="766" w:type="dxa"/>
            <w:noWrap/>
            <w:vAlign w:val="center"/>
          </w:tcPr>
          <w:p w14:paraId="6CA17CB4">
            <w:pPr>
              <w:spacing w:line="360" w:lineRule="auto"/>
              <w:jc w:val="center"/>
              <w:rPr>
                <w:rFonts w:ascii="宋体" w:hAnsi="宋体" w:cs="宋体"/>
                <w:color w:val="auto"/>
                <w:sz w:val="22"/>
                <w:highlight w:val="none"/>
              </w:rPr>
            </w:pPr>
          </w:p>
        </w:tc>
        <w:tc>
          <w:tcPr>
            <w:tcW w:w="958" w:type="dxa"/>
            <w:noWrap/>
            <w:vAlign w:val="center"/>
          </w:tcPr>
          <w:p w14:paraId="01FEF8BC">
            <w:pPr>
              <w:spacing w:line="360" w:lineRule="auto"/>
              <w:jc w:val="center"/>
              <w:rPr>
                <w:rFonts w:ascii="宋体" w:hAnsi="宋体" w:cs="宋体"/>
                <w:color w:val="auto"/>
                <w:sz w:val="22"/>
                <w:highlight w:val="none"/>
              </w:rPr>
            </w:pPr>
          </w:p>
        </w:tc>
        <w:tc>
          <w:tcPr>
            <w:tcW w:w="958" w:type="dxa"/>
            <w:noWrap/>
            <w:vAlign w:val="center"/>
          </w:tcPr>
          <w:p w14:paraId="5C9C1856">
            <w:pPr>
              <w:spacing w:line="360" w:lineRule="auto"/>
              <w:jc w:val="center"/>
              <w:rPr>
                <w:rFonts w:ascii="宋体" w:hAnsi="宋体" w:cs="宋体"/>
                <w:color w:val="auto"/>
                <w:sz w:val="22"/>
                <w:highlight w:val="none"/>
              </w:rPr>
            </w:pPr>
          </w:p>
        </w:tc>
        <w:tc>
          <w:tcPr>
            <w:tcW w:w="767" w:type="dxa"/>
            <w:noWrap/>
            <w:vAlign w:val="center"/>
          </w:tcPr>
          <w:p w14:paraId="04971D7B">
            <w:pPr>
              <w:spacing w:line="360" w:lineRule="auto"/>
              <w:jc w:val="center"/>
              <w:rPr>
                <w:rFonts w:ascii="宋体" w:hAnsi="宋体" w:cs="宋体"/>
                <w:color w:val="auto"/>
                <w:sz w:val="22"/>
                <w:highlight w:val="none"/>
              </w:rPr>
            </w:pPr>
          </w:p>
        </w:tc>
        <w:tc>
          <w:tcPr>
            <w:tcW w:w="767" w:type="dxa"/>
            <w:noWrap/>
            <w:vAlign w:val="center"/>
          </w:tcPr>
          <w:p w14:paraId="734A5E68">
            <w:pPr>
              <w:spacing w:line="360" w:lineRule="auto"/>
              <w:jc w:val="center"/>
              <w:rPr>
                <w:rFonts w:ascii="宋体" w:hAnsi="宋体" w:cs="宋体"/>
                <w:color w:val="auto"/>
                <w:sz w:val="22"/>
                <w:highlight w:val="none"/>
              </w:rPr>
            </w:pPr>
          </w:p>
        </w:tc>
        <w:tc>
          <w:tcPr>
            <w:tcW w:w="1340" w:type="dxa"/>
            <w:noWrap/>
            <w:vAlign w:val="center"/>
          </w:tcPr>
          <w:p w14:paraId="20952C06">
            <w:pPr>
              <w:spacing w:line="360" w:lineRule="auto"/>
              <w:jc w:val="center"/>
              <w:rPr>
                <w:rFonts w:ascii="宋体" w:hAnsi="宋体" w:cs="宋体"/>
                <w:color w:val="auto"/>
                <w:sz w:val="22"/>
                <w:highlight w:val="none"/>
              </w:rPr>
            </w:pPr>
          </w:p>
        </w:tc>
        <w:tc>
          <w:tcPr>
            <w:tcW w:w="1326" w:type="dxa"/>
            <w:noWrap/>
            <w:vAlign w:val="center"/>
          </w:tcPr>
          <w:p w14:paraId="1E2605D8">
            <w:pPr>
              <w:spacing w:line="360" w:lineRule="auto"/>
              <w:jc w:val="center"/>
              <w:rPr>
                <w:rFonts w:ascii="宋体" w:hAnsi="宋体" w:cs="宋体"/>
                <w:color w:val="auto"/>
                <w:sz w:val="22"/>
                <w:highlight w:val="none"/>
              </w:rPr>
            </w:pPr>
          </w:p>
        </w:tc>
        <w:tc>
          <w:tcPr>
            <w:tcW w:w="1825" w:type="dxa"/>
            <w:noWrap/>
          </w:tcPr>
          <w:p w14:paraId="163F512C">
            <w:pPr>
              <w:spacing w:line="360" w:lineRule="auto"/>
              <w:jc w:val="center"/>
              <w:rPr>
                <w:rFonts w:ascii="宋体" w:hAnsi="宋体" w:cs="宋体"/>
                <w:color w:val="auto"/>
                <w:sz w:val="22"/>
                <w:highlight w:val="none"/>
              </w:rPr>
            </w:pPr>
          </w:p>
        </w:tc>
        <w:tc>
          <w:tcPr>
            <w:tcW w:w="1147" w:type="dxa"/>
            <w:noWrap/>
            <w:vAlign w:val="center"/>
          </w:tcPr>
          <w:p w14:paraId="636340FF">
            <w:pPr>
              <w:spacing w:line="360" w:lineRule="auto"/>
              <w:jc w:val="center"/>
              <w:rPr>
                <w:rFonts w:ascii="宋体" w:hAnsi="宋体" w:cs="宋体"/>
                <w:color w:val="auto"/>
                <w:sz w:val="22"/>
                <w:highlight w:val="none"/>
              </w:rPr>
            </w:pPr>
          </w:p>
        </w:tc>
      </w:tr>
      <w:tr w14:paraId="3A54E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5BFC3B9E">
            <w:pPr>
              <w:spacing w:line="360" w:lineRule="auto"/>
              <w:jc w:val="center"/>
              <w:rPr>
                <w:rFonts w:ascii="宋体" w:hAnsi="宋体" w:cs="宋体"/>
                <w:color w:val="auto"/>
                <w:sz w:val="22"/>
                <w:highlight w:val="none"/>
              </w:rPr>
            </w:pPr>
          </w:p>
        </w:tc>
        <w:tc>
          <w:tcPr>
            <w:tcW w:w="958" w:type="dxa"/>
            <w:noWrap/>
            <w:vAlign w:val="center"/>
          </w:tcPr>
          <w:p w14:paraId="797646AD">
            <w:pPr>
              <w:spacing w:line="360" w:lineRule="auto"/>
              <w:jc w:val="center"/>
              <w:rPr>
                <w:rFonts w:ascii="宋体" w:hAnsi="宋体" w:cs="宋体"/>
                <w:color w:val="auto"/>
                <w:sz w:val="22"/>
                <w:highlight w:val="none"/>
              </w:rPr>
            </w:pPr>
          </w:p>
        </w:tc>
        <w:tc>
          <w:tcPr>
            <w:tcW w:w="958" w:type="dxa"/>
            <w:noWrap/>
            <w:vAlign w:val="center"/>
          </w:tcPr>
          <w:p w14:paraId="132AA1FE">
            <w:pPr>
              <w:spacing w:line="360" w:lineRule="auto"/>
              <w:jc w:val="center"/>
              <w:rPr>
                <w:rFonts w:ascii="宋体" w:hAnsi="宋体" w:cs="宋体"/>
                <w:color w:val="auto"/>
                <w:sz w:val="22"/>
                <w:highlight w:val="none"/>
              </w:rPr>
            </w:pPr>
          </w:p>
        </w:tc>
        <w:tc>
          <w:tcPr>
            <w:tcW w:w="767" w:type="dxa"/>
            <w:noWrap/>
            <w:vAlign w:val="center"/>
          </w:tcPr>
          <w:p w14:paraId="0A059063">
            <w:pPr>
              <w:spacing w:line="360" w:lineRule="auto"/>
              <w:jc w:val="center"/>
              <w:rPr>
                <w:rFonts w:ascii="宋体" w:hAnsi="宋体" w:cs="宋体"/>
                <w:color w:val="auto"/>
                <w:sz w:val="22"/>
                <w:highlight w:val="none"/>
              </w:rPr>
            </w:pPr>
          </w:p>
        </w:tc>
        <w:tc>
          <w:tcPr>
            <w:tcW w:w="767" w:type="dxa"/>
            <w:noWrap/>
            <w:vAlign w:val="center"/>
          </w:tcPr>
          <w:p w14:paraId="57671716">
            <w:pPr>
              <w:spacing w:line="360" w:lineRule="auto"/>
              <w:jc w:val="center"/>
              <w:rPr>
                <w:rFonts w:ascii="宋体" w:hAnsi="宋体" w:cs="宋体"/>
                <w:color w:val="auto"/>
                <w:sz w:val="22"/>
                <w:highlight w:val="none"/>
              </w:rPr>
            </w:pPr>
          </w:p>
        </w:tc>
        <w:tc>
          <w:tcPr>
            <w:tcW w:w="1340" w:type="dxa"/>
            <w:noWrap/>
            <w:vAlign w:val="center"/>
          </w:tcPr>
          <w:p w14:paraId="6C8B9C7D">
            <w:pPr>
              <w:spacing w:line="360" w:lineRule="auto"/>
              <w:jc w:val="center"/>
              <w:rPr>
                <w:rFonts w:ascii="宋体" w:hAnsi="宋体" w:cs="宋体"/>
                <w:color w:val="auto"/>
                <w:sz w:val="22"/>
                <w:highlight w:val="none"/>
              </w:rPr>
            </w:pPr>
          </w:p>
        </w:tc>
        <w:tc>
          <w:tcPr>
            <w:tcW w:w="1326" w:type="dxa"/>
            <w:noWrap/>
            <w:vAlign w:val="center"/>
          </w:tcPr>
          <w:p w14:paraId="352C1E1F">
            <w:pPr>
              <w:spacing w:line="360" w:lineRule="auto"/>
              <w:jc w:val="center"/>
              <w:rPr>
                <w:rFonts w:ascii="宋体" w:hAnsi="宋体" w:cs="宋体"/>
                <w:color w:val="auto"/>
                <w:sz w:val="22"/>
                <w:highlight w:val="none"/>
              </w:rPr>
            </w:pPr>
          </w:p>
        </w:tc>
        <w:tc>
          <w:tcPr>
            <w:tcW w:w="1825" w:type="dxa"/>
            <w:noWrap/>
          </w:tcPr>
          <w:p w14:paraId="7B3AEA5A">
            <w:pPr>
              <w:spacing w:line="360" w:lineRule="auto"/>
              <w:jc w:val="center"/>
              <w:rPr>
                <w:rFonts w:ascii="宋体" w:hAnsi="宋体" w:cs="宋体"/>
                <w:color w:val="auto"/>
                <w:sz w:val="22"/>
                <w:highlight w:val="none"/>
              </w:rPr>
            </w:pPr>
          </w:p>
        </w:tc>
        <w:tc>
          <w:tcPr>
            <w:tcW w:w="1147" w:type="dxa"/>
            <w:noWrap/>
            <w:vAlign w:val="center"/>
          </w:tcPr>
          <w:p w14:paraId="7AAE1367">
            <w:pPr>
              <w:spacing w:line="360" w:lineRule="auto"/>
              <w:jc w:val="center"/>
              <w:rPr>
                <w:rFonts w:ascii="宋体" w:hAnsi="宋体" w:cs="宋体"/>
                <w:color w:val="auto"/>
                <w:sz w:val="22"/>
                <w:highlight w:val="none"/>
              </w:rPr>
            </w:pPr>
          </w:p>
        </w:tc>
      </w:tr>
      <w:tr w14:paraId="171A7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0B5BDA4E">
            <w:pPr>
              <w:spacing w:line="360" w:lineRule="auto"/>
              <w:jc w:val="center"/>
              <w:rPr>
                <w:rFonts w:ascii="宋体" w:hAnsi="宋体" w:cs="宋体"/>
                <w:color w:val="auto"/>
                <w:sz w:val="22"/>
                <w:highlight w:val="none"/>
              </w:rPr>
            </w:pPr>
          </w:p>
        </w:tc>
        <w:tc>
          <w:tcPr>
            <w:tcW w:w="958" w:type="dxa"/>
            <w:noWrap/>
            <w:vAlign w:val="center"/>
          </w:tcPr>
          <w:p w14:paraId="2AED3DAF">
            <w:pPr>
              <w:spacing w:line="360" w:lineRule="auto"/>
              <w:jc w:val="center"/>
              <w:rPr>
                <w:rFonts w:ascii="宋体" w:hAnsi="宋体" w:cs="宋体"/>
                <w:color w:val="auto"/>
                <w:sz w:val="22"/>
                <w:highlight w:val="none"/>
              </w:rPr>
            </w:pPr>
          </w:p>
        </w:tc>
        <w:tc>
          <w:tcPr>
            <w:tcW w:w="958" w:type="dxa"/>
            <w:noWrap/>
            <w:vAlign w:val="center"/>
          </w:tcPr>
          <w:p w14:paraId="67235138">
            <w:pPr>
              <w:spacing w:line="360" w:lineRule="auto"/>
              <w:jc w:val="center"/>
              <w:rPr>
                <w:rFonts w:ascii="宋体" w:hAnsi="宋体" w:cs="宋体"/>
                <w:color w:val="auto"/>
                <w:sz w:val="22"/>
                <w:highlight w:val="none"/>
              </w:rPr>
            </w:pPr>
          </w:p>
        </w:tc>
        <w:tc>
          <w:tcPr>
            <w:tcW w:w="767" w:type="dxa"/>
            <w:noWrap/>
            <w:vAlign w:val="center"/>
          </w:tcPr>
          <w:p w14:paraId="2CB7822F">
            <w:pPr>
              <w:spacing w:line="360" w:lineRule="auto"/>
              <w:jc w:val="center"/>
              <w:rPr>
                <w:rFonts w:ascii="宋体" w:hAnsi="宋体" w:cs="宋体"/>
                <w:color w:val="auto"/>
                <w:sz w:val="22"/>
                <w:highlight w:val="none"/>
              </w:rPr>
            </w:pPr>
          </w:p>
        </w:tc>
        <w:tc>
          <w:tcPr>
            <w:tcW w:w="767" w:type="dxa"/>
            <w:noWrap/>
            <w:vAlign w:val="center"/>
          </w:tcPr>
          <w:p w14:paraId="3DB8CD3A">
            <w:pPr>
              <w:spacing w:line="360" w:lineRule="auto"/>
              <w:jc w:val="center"/>
              <w:rPr>
                <w:rFonts w:ascii="宋体" w:hAnsi="宋体" w:cs="宋体"/>
                <w:color w:val="auto"/>
                <w:sz w:val="22"/>
                <w:highlight w:val="none"/>
              </w:rPr>
            </w:pPr>
          </w:p>
        </w:tc>
        <w:tc>
          <w:tcPr>
            <w:tcW w:w="1340" w:type="dxa"/>
            <w:noWrap/>
            <w:vAlign w:val="center"/>
          </w:tcPr>
          <w:p w14:paraId="7D621B41">
            <w:pPr>
              <w:spacing w:line="360" w:lineRule="auto"/>
              <w:jc w:val="center"/>
              <w:rPr>
                <w:rFonts w:ascii="宋体" w:hAnsi="宋体" w:cs="宋体"/>
                <w:color w:val="auto"/>
                <w:sz w:val="22"/>
                <w:highlight w:val="none"/>
              </w:rPr>
            </w:pPr>
          </w:p>
        </w:tc>
        <w:tc>
          <w:tcPr>
            <w:tcW w:w="1326" w:type="dxa"/>
            <w:noWrap/>
            <w:vAlign w:val="center"/>
          </w:tcPr>
          <w:p w14:paraId="5055D1DF">
            <w:pPr>
              <w:spacing w:line="360" w:lineRule="auto"/>
              <w:jc w:val="center"/>
              <w:rPr>
                <w:rFonts w:ascii="宋体" w:hAnsi="宋体" w:cs="宋体"/>
                <w:color w:val="auto"/>
                <w:sz w:val="22"/>
                <w:highlight w:val="none"/>
              </w:rPr>
            </w:pPr>
          </w:p>
        </w:tc>
        <w:tc>
          <w:tcPr>
            <w:tcW w:w="1825" w:type="dxa"/>
            <w:noWrap/>
          </w:tcPr>
          <w:p w14:paraId="79BF97A8">
            <w:pPr>
              <w:spacing w:line="360" w:lineRule="auto"/>
              <w:jc w:val="center"/>
              <w:rPr>
                <w:rFonts w:ascii="宋体" w:hAnsi="宋体" w:cs="宋体"/>
                <w:color w:val="auto"/>
                <w:sz w:val="22"/>
                <w:highlight w:val="none"/>
              </w:rPr>
            </w:pPr>
          </w:p>
        </w:tc>
        <w:tc>
          <w:tcPr>
            <w:tcW w:w="1147" w:type="dxa"/>
            <w:noWrap/>
            <w:vAlign w:val="center"/>
          </w:tcPr>
          <w:p w14:paraId="3113AFD0">
            <w:pPr>
              <w:spacing w:line="360" w:lineRule="auto"/>
              <w:jc w:val="center"/>
              <w:rPr>
                <w:rFonts w:ascii="宋体" w:hAnsi="宋体" w:cs="宋体"/>
                <w:color w:val="auto"/>
                <w:sz w:val="22"/>
                <w:highlight w:val="none"/>
              </w:rPr>
            </w:pPr>
          </w:p>
        </w:tc>
      </w:tr>
      <w:tr w14:paraId="69190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4A030947">
            <w:pPr>
              <w:spacing w:line="360" w:lineRule="auto"/>
              <w:jc w:val="center"/>
              <w:rPr>
                <w:rFonts w:ascii="宋体" w:hAnsi="宋体" w:cs="宋体"/>
                <w:color w:val="auto"/>
                <w:sz w:val="22"/>
                <w:highlight w:val="none"/>
              </w:rPr>
            </w:pPr>
          </w:p>
        </w:tc>
        <w:tc>
          <w:tcPr>
            <w:tcW w:w="958" w:type="dxa"/>
            <w:noWrap/>
            <w:vAlign w:val="center"/>
          </w:tcPr>
          <w:p w14:paraId="115DD633">
            <w:pPr>
              <w:spacing w:line="360" w:lineRule="auto"/>
              <w:jc w:val="center"/>
              <w:rPr>
                <w:rFonts w:ascii="宋体" w:hAnsi="宋体" w:cs="宋体"/>
                <w:color w:val="auto"/>
                <w:sz w:val="22"/>
                <w:highlight w:val="none"/>
              </w:rPr>
            </w:pPr>
          </w:p>
        </w:tc>
        <w:tc>
          <w:tcPr>
            <w:tcW w:w="958" w:type="dxa"/>
            <w:noWrap/>
            <w:vAlign w:val="center"/>
          </w:tcPr>
          <w:p w14:paraId="655BC2B1">
            <w:pPr>
              <w:spacing w:line="360" w:lineRule="auto"/>
              <w:jc w:val="center"/>
              <w:rPr>
                <w:rFonts w:ascii="宋体" w:hAnsi="宋体" w:cs="宋体"/>
                <w:color w:val="auto"/>
                <w:sz w:val="22"/>
                <w:highlight w:val="none"/>
              </w:rPr>
            </w:pPr>
          </w:p>
        </w:tc>
        <w:tc>
          <w:tcPr>
            <w:tcW w:w="767" w:type="dxa"/>
            <w:noWrap/>
            <w:vAlign w:val="center"/>
          </w:tcPr>
          <w:p w14:paraId="79FA2427">
            <w:pPr>
              <w:spacing w:line="360" w:lineRule="auto"/>
              <w:jc w:val="center"/>
              <w:rPr>
                <w:rFonts w:ascii="宋体" w:hAnsi="宋体" w:cs="宋体"/>
                <w:color w:val="auto"/>
                <w:sz w:val="22"/>
                <w:highlight w:val="none"/>
              </w:rPr>
            </w:pPr>
          </w:p>
        </w:tc>
        <w:tc>
          <w:tcPr>
            <w:tcW w:w="767" w:type="dxa"/>
            <w:noWrap/>
            <w:vAlign w:val="center"/>
          </w:tcPr>
          <w:p w14:paraId="4B2569B0">
            <w:pPr>
              <w:spacing w:line="360" w:lineRule="auto"/>
              <w:jc w:val="center"/>
              <w:rPr>
                <w:rFonts w:ascii="宋体" w:hAnsi="宋体" w:cs="宋体"/>
                <w:color w:val="auto"/>
                <w:sz w:val="22"/>
                <w:highlight w:val="none"/>
              </w:rPr>
            </w:pPr>
          </w:p>
        </w:tc>
        <w:tc>
          <w:tcPr>
            <w:tcW w:w="1340" w:type="dxa"/>
            <w:noWrap/>
            <w:vAlign w:val="center"/>
          </w:tcPr>
          <w:p w14:paraId="0CB86673">
            <w:pPr>
              <w:spacing w:line="360" w:lineRule="auto"/>
              <w:jc w:val="center"/>
              <w:rPr>
                <w:rFonts w:ascii="宋体" w:hAnsi="宋体" w:cs="宋体"/>
                <w:color w:val="auto"/>
                <w:sz w:val="22"/>
                <w:highlight w:val="none"/>
              </w:rPr>
            </w:pPr>
          </w:p>
        </w:tc>
        <w:tc>
          <w:tcPr>
            <w:tcW w:w="1326" w:type="dxa"/>
            <w:noWrap/>
            <w:vAlign w:val="center"/>
          </w:tcPr>
          <w:p w14:paraId="4F06E75B">
            <w:pPr>
              <w:spacing w:line="360" w:lineRule="auto"/>
              <w:jc w:val="center"/>
              <w:rPr>
                <w:rFonts w:ascii="宋体" w:hAnsi="宋体" w:cs="宋体"/>
                <w:color w:val="auto"/>
                <w:sz w:val="22"/>
                <w:highlight w:val="none"/>
              </w:rPr>
            </w:pPr>
          </w:p>
        </w:tc>
        <w:tc>
          <w:tcPr>
            <w:tcW w:w="1825" w:type="dxa"/>
            <w:noWrap/>
          </w:tcPr>
          <w:p w14:paraId="5F47A774">
            <w:pPr>
              <w:spacing w:line="360" w:lineRule="auto"/>
              <w:jc w:val="center"/>
              <w:rPr>
                <w:rFonts w:ascii="宋体" w:hAnsi="宋体" w:cs="宋体"/>
                <w:color w:val="auto"/>
                <w:sz w:val="22"/>
                <w:highlight w:val="none"/>
              </w:rPr>
            </w:pPr>
          </w:p>
        </w:tc>
        <w:tc>
          <w:tcPr>
            <w:tcW w:w="1147" w:type="dxa"/>
            <w:noWrap/>
            <w:vAlign w:val="center"/>
          </w:tcPr>
          <w:p w14:paraId="01B81226">
            <w:pPr>
              <w:spacing w:line="360" w:lineRule="auto"/>
              <w:jc w:val="center"/>
              <w:rPr>
                <w:rFonts w:ascii="宋体" w:hAnsi="宋体" w:cs="宋体"/>
                <w:color w:val="auto"/>
                <w:sz w:val="22"/>
                <w:highlight w:val="none"/>
              </w:rPr>
            </w:pPr>
          </w:p>
        </w:tc>
      </w:tr>
      <w:tr w14:paraId="6F4E9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07BE56EB">
            <w:pPr>
              <w:spacing w:line="360" w:lineRule="auto"/>
              <w:jc w:val="center"/>
              <w:rPr>
                <w:rFonts w:ascii="宋体" w:hAnsi="宋体" w:cs="宋体"/>
                <w:color w:val="auto"/>
                <w:sz w:val="22"/>
                <w:highlight w:val="none"/>
              </w:rPr>
            </w:pPr>
          </w:p>
        </w:tc>
        <w:tc>
          <w:tcPr>
            <w:tcW w:w="958" w:type="dxa"/>
            <w:noWrap/>
            <w:vAlign w:val="center"/>
          </w:tcPr>
          <w:p w14:paraId="4E2C5858">
            <w:pPr>
              <w:spacing w:line="360" w:lineRule="auto"/>
              <w:jc w:val="center"/>
              <w:rPr>
                <w:rFonts w:ascii="宋体" w:hAnsi="宋体" w:cs="宋体"/>
                <w:color w:val="auto"/>
                <w:sz w:val="22"/>
                <w:highlight w:val="none"/>
              </w:rPr>
            </w:pPr>
          </w:p>
        </w:tc>
        <w:tc>
          <w:tcPr>
            <w:tcW w:w="958" w:type="dxa"/>
            <w:noWrap/>
            <w:vAlign w:val="center"/>
          </w:tcPr>
          <w:p w14:paraId="1209AC16">
            <w:pPr>
              <w:spacing w:line="360" w:lineRule="auto"/>
              <w:jc w:val="center"/>
              <w:rPr>
                <w:rFonts w:ascii="宋体" w:hAnsi="宋体" w:cs="宋体"/>
                <w:color w:val="auto"/>
                <w:sz w:val="22"/>
                <w:highlight w:val="none"/>
              </w:rPr>
            </w:pPr>
          </w:p>
        </w:tc>
        <w:tc>
          <w:tcPr>
            <w:tcW w:w="767" w:type="dxa"/>
            <w:noWrap/>
            <w:vAlign w:val="center"/>
          </w:tcPr>
          <w:p w14:paraId="4F9509DC">
            <w:pPr>
              <w:spacing w:line="360" w:lineRule="auto"/>
              <w:jc w:val="center"/>
              <w:rPr>
                <w:rFonts w:ascii="宋体" w:hAnsi="宋体" w:cs="宋体"/>
                <w:color w:val="auto"/>
                <w:sz w:val="22"/>
                <w:highlight w:val="none"/>
              </w:rPr>
            </w:pPr>
          </w:p>
        </w:tc>
        <w:tc>
          <w:tcPr>
            <w:tcW w:w="767" w:type="dxa"/>
            <w:noWrap/>
            <w:vAlign w:val="center"/>
          </w:tcPr>
          <w:p w14:paraId="65D6A596">
            <w:pPr>
              <w:spacing w:line="360" w:lineRule="auto"/>
              <w:jc w:val="center"/>
              <w:rPr>
                <w:rFonts w:ascii="宋体" w:hAnsi="宋体" w:cs="宋体"/>
                <w:color w:val="auto"/>
                <w:sz w:val="22"/>
                <w:highlight w:val="none"/>
              </w:rPr>
            </w:pPr>
          </w:p>
        </w:tc>
        <w:tc>
          <w:tcPr>
            <w:tcW w:w="1340" w:type="dxa"/>
            <w:noWrap/>
            <w:vAlign w:val="center"/>
          </w:tcPr>
          <w:p w14:paraId="3E2E8F3A">
            <w:pPr>
              <w:spacing w:line="360" w:lineRule="auto"/>
              <w:jc w:val="center"/>
              <w:rPr>
                <w:rFonts w:ascii="宋体" w:hAnsi="宋体" w:cs="宋体"/>
                <w:color w:val="auto"/>
                <w:sz w:val="22"/>
                <w:highlight w:val="none"/>
              </w:rPr>
            </w:pPr>
          </w:p>
        </w:tc>
        <w:tc>
          <w:tcPr>
            <w:tcW w:w="1326" w:type="dxa"/>
            <w:noWrap/>
            <w:vAlign w:val="center"/>
          </w:tcPr>
          <w:p w14:paraId="53B351DA">
            <w:pPr>
              <w:spacing w:line="360" w:lineRule="auto"/>
              <w:jc w:val="center"/>
              <w:rPr>
                <w:rFonts w:ascii="宋体" w:hAnsi="宋体" w:cs="宋体"/>
                <w:color w:val="auto"/>
                <w:sz w:val="22"/>
                <w:highlight w:val="none"/>
              </w:rPr>
            </w:pPr>
          </w:p>
        </w:tc>
        <w:tc>
          <w:tcPr>
            <w:tcW w:w="1825" w:type="dxa"/>
            <w:noWrap/>
          </w:tcPr>
          <w:p w14:paraId="096C3559">
            <w:pPr>
              <w:spacing w:line="360" w:lineRule="auto"/>
              <w:jc w:val="center"/>
              <w:rPr>
                <w:rFonts w:ascii="宋体" w:hAnsi="宋体" w:cs="宋体"/>
                <w:color w:val="auto"/>
                <w:sz w:val="22"/>
                <w:highlight w:val="none"/>
              </w:rPr>
            </w:pPr>
          </w:p>
        </w:tc>
        <w:tc>
          <w:tcPr>
            <w:tcW w:w="1147" w:type="dxa"/>
            <w:noWrap/>
            <w:vAlign w:val="center"/>
          </w:tcPr>
          <w:p w14:paraId="3A1DA487">
            <w:pPr>
              <w:spacing w:line="360" w:lineRule="auto"/>
              <w:jc w:val="center"/>
              <w:rPr>
                <w:rFonts w:ascii="宋体" w:hAnsi="宋体" w:cs="宋体"/>
                <w:color w:val="auto"/>
                <w:sz w:val="22"/>
                <w:highlight w:val="none"/>
              </w:rPr>
            </w:pPr>
          </w:p>
        </w:tc>
      </w:tr>
      <w:tr w14:paraId="63CA2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04F85BF2">
            <w:pPr>
              <w:spacing w:line="360" w:lineRule="auto"/>
              <w:jc w:val="center"/>
              <w:rPr>
                <w:rFonts w:ascii="宋体" w:hAnsi="宋体" w:cs="宋体"/>
                <w:color w:val="auto"/>
                <w:sz w:val="22"/>
                <w:highlight w:val="none"/>
              </w:rPr>
            </w:pPr>
          </w:p>
        </w:tc>
        <w:tc>
          <w:tcPr>
            <w:tcW w:w="958" w:type="dxa"/>
            <w:noWrap/>
            <w:vAlign w:val="center"/>
          </w:tcPr>
          <w:p w14:paraId="45262787">
            <w:pPr>
              <w:spacing w:line="360" w:lineRule="auto"/>
              <w:jc w:val="center"/>
              <w:rPr>
                <w:rFonts w:ascii="宋体" w:hAnsi="宋体" w:cs="宋体"/>
                <w:color w:val="auto"/>
                <w:sz w:val="22"/>
                <w:highlight w:val="none"/>
              </w:rPr>
            </w:pPr>
          </w:p>
        </w:tc>
        <w:tc>
          <w:tcPr>
            <w:tcW w:w="958" w:type="dxa"/>
            <w:noWrap/>
            <w:vAlign w:val="center"/>
          </w:tcPr>
          <w:p w14:paraId="4CF4E85A">
            <w:pPr>
              <w:spacing w:line="360" w:lineRule="auto"/>
              <w:jc w:val="center"/>
              <w:rPr>
                <w:rFonts w:ascii="宋体" w:hAnsi="宋体" w:cs="宋体"/>
                <w:color w:val="auto"/>
                <w:sz w:val="22"/>
                <w:highlight w:val="none"/>
              </w:rPr>
            </w:pPr>
          </w:p>
        </w:tc>
        <w:tc>
          <w:tcPr>
            <w:tcW w:w="767" w:type="dxa"/>
            <w:noWrap/>
            <w:vAlign w:val="center"/>
          </w:tcPr>
          <w:p w14:paraId="5ACC9269">
            <w:pPr>
              <w:spacing w:line="360" w:lineRule="auto"/>
              <w:jc w:val="center"/>
              <w:rPr>
                <w:rFonts w:ascii="宋体" w:hAnsi="宋体" w:cs="宋体"/>
                <w:color w:val="auto"/>
                <w:sz w:val="22"/>
                <w:highlight w:val="none"/>
              </w:rPr>
            </w:pPr>
          </w:p>
        </w:tc>
        <w:tc>
          <w:tcPr>
            <w:tcW w:w="767" w:type="dxa"/>
            <w:noWrap/>
            <w:vAlign w:val="center"/>
          </w:tcPr>
          <w:p w14:paraId="27E1A490">
            <w:pPr>
              <w:spacing w:line="360" w:lineRule="auto"/>
              <w:jc w:val="center"/>
              <w:rPr>
                <w:rFonts w:ascii="宋体" w:hAnsi="宋体" w:cs="宋体"/>
                <w:color w:val="auto"/>
                <w:sz w:val="22"/>
                <w:highlight w:val="none"/>
              </w:rPr>
            </w:pPr>
          </w:p>
        </w:tc>
        <w:tc>
          <w:tcPr>
            <w:tcW w:w="1340" w:type="dxa"/>
            <w:noWrap/>
            <w:vAlign w:val="center"/>
          </w:tcPr>
          <w:p w14:paraId="3C6AB9E2">
            <w:pPr>
              <w:spacing w:line="360" w:lineRule="auto"/>
              <w:jc w:val="center"/>
              <w:rPr>
                <w:rFonts w:ascii="宋体" w:hAnsi="宋体" w:cs="宋体"/>
                <w:color w:val="auto"/>
                <w:sz w:val="22"/>
                <w:highlight w:val="none"/>
              </w:rPr>
            </w:pPr>
          </w:p>
        </w:tc>
        <w:tc>
          <w:tcPr>
            <w:tcW w:w="1326" w:type="dxa"/>
            <w:noWrap/>
            <w:vAlign w:val="center"/>
          </w:tcPr>
          <w:p w14:paraId="563A723A">
            <w:pPr>
              <w:spacing w:line="360" w:lineRule="auto"/>
              <w:jc w:val="center"/>
              <w:rPr>
                <w:rFonts w:ascii="宋体" w:hAnsi="宋体" w:cs="宋体"/>
                <w:color w:val="auto"/>
                <w:sz w:val="22"/>
                <w:highlight w:val="none"/>
              </w:rPr>
            </w:pPr>
          </w:p>
        </w:tc>
        <w:tc>
          <w:tcPr>
            <w:tcW w:w="1825" w:type="dxa"/>
            <w:noWrap/>
          </w:tcPr>
          <w:p w14:paraId="312DD938">
            <w:pPr>
              <w:spacing w:line="360" w:lineRule="auto"/>
              <w:jc w:val="center"/>
              <w:rPr>
                <w:rFonts w:ascii="宋体" w:hAnsi="宋体" w:cs="宋体"/>
                <w:color w:val="auto"/>
                <w:sz w:val="22"/>
                <w:highlight w:val="none"/>
              </w:rPr>
            </w:pPr>
          </w:p>
        </w:tc>
        <w:tc>
          <w:tcPr>
            <w:tcW w:w="1147" w:type="dxa"/>
            <w:noWrap/>
            <w:vAlign w:val="center"/>
          </w:tcPr>
          <w:p w14:paraId="799C53E2">
            <w:pPr>
              <w:spacing w:line="360" w:lineRule="auto"/>
              <w:jc w:val="center"/>
              <w:rPr>
                <w:rFonts w:ascii="宋体" w:hAnsi="宋体" w:cs="宋体"/>
                <w:color w:val="auto"/>
                <w:sz w:val="22"/>
                <w:highlight w:val="none"/>
              </w:rPr>
            </w:pPr>
          </w:p>
        </w:tc>
      </w:tr>
      <w:tr w14:paraId="280EE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3AA25C28">
            <w:pPr>
              <w:spacing w:line="360" w:lineRule="auto"/>
              <w:jc w:val="center"/>
              <w:rPr>
                <w:rFonts w:ascii="宋体" w:hAnsi="宋体" w:cs="宋体"/>
                <w:color w:val="auto"/>
                <w:sz w:val="22"/>
                <w:highlight w:val="none"/>
              </w:rPr>
            </w:pPr>
          </w:p>
        </w:tc>
        <w:tc>
          <w:tcPr>
            <w:tcW w:w="958" w:type="dxa"/>
            <w:noWrap/>
            <w:vAlign w:val="center"/>
          </w:tcPr>
          <w:p w14:paraId="4F2FF1D0">
            <w:pPr>
              <w:spacing w:line="360" w:lineRule="auto"/>
              <w:jc w:val="center"/>
              <w:rPr>
                <w:rFonts w:ascii="宋体" w:hAnsi="宋体" w:cs="宋体"/>
                <w:color w:val="auto"/>
                <w:sz w:val="22"/>
                <w:highlight w:val="none"/>
              </w:rPr>
            </w:pPr>
          </w:p>
        </w:tc>
        <w:tc>
          <w:tcPr>
            <w:tcW w:w="958" w:type="dxa"/>
            <w:noWrap/>
            <w:vAlign w:val="center"/>
          </w:tcPr>
          <w:p w14:paraId="0539808F">
            <w:pPr>
              <w:spacing w:line="360" w:lineRule="auto"/>
              <w:jc w:val="center"/>
              <w:rPr>
                <w:rFonts w:ascii="宋体" w:hAnsi="宋体" w:cs="宋体"/>
                <w:color w:val="auto"/>
                <w:sz w:val="22"/>
                <w:highlight w:val="none"/>
              </w:rPr>
            </w:pPr>
          </w:p>
        </w:tc>
        <w:tc>
          <w:tcPr>
            <w:tcW w:w="767" w:type="dxa"/>
            <w:noWrap/>
            <w:vAlign w:val="center"/>
          </w:tcPr>
          <w:p w14:paraId="616F186F">
            <w:pPr>
              <w:spacing w:line="360" w:lineRule="auto"/>
              <w:jc w:val="center"/>
              <w:rPr>
                <w:rFonts w:ascii="宋体" w:hAnsi="宋体" w:cs="宋体"/>
                <w:color w:val="auto"/>
                <w:sz w:val="22"/>
                <w:highlight w:val="none"/>
              </w:rPr>
            </w:pPr>
          </w:p>
        </w:tc>
        <w:tc>
          <w:tcPr>
            <w:tcW w:w="767" w:type="dxa"/>
            <w:noWrap/>
            <w:vAlign w:val="center"/>
          </w:tcPr>
          <w:p w14:paraId="42552617">
            <w:pPr>
              <w:spacing w:line="360" w:lineRule="auto"/>
              <w:jc w:val="center"/>
              <w:rPr>
                <w:rFonts w:ascii="宋体" w:hAnsi="宋体" w:cs="宋体"/>
                <w:color w:val="auto"/>
                <w:sz w:val="22"/>
                <w:highlight w:val="none"/>
              </w:rPr>
            </w:pPr>
          </w:p>
        </w:tc>
        <w:tc>
          <w:tcPr>
            <w:tcW w:w="1340" w:type="dxa"/>
            <w:noWrap/>
            <w:vAlign w:val="center"/>
          </w:tcPr>
          <w:p w14:paraId="41EC8D5C">
            <w:pPr>
              <w:spacing w:line="360" w:lineRule="auto"/>
              <w:jc w:val="center"/>
              <w:rPr>
                <w:rFonts w:ascii="宋体" w:hAnsi="宋体" w:cs="宋体"/>
                <w:color w:val="auto"/>
                <w:sz w:val="22"/>
                <w:highlight w:val="none"/>
              </w:rPr>
            </w:pPr>
          </w:p>
        </w:tc>
        <w:tc>
          <w:tcPr>
            <w:tcW w:w="1326" w:type="dxa"/>
            <w:noWrap/>
            <w:vAlign w:val="center"/>
          </w:tcPr>
          <w:p w14:paraId="26F733C0">
            <w:pPr>
              <w:spacing w:line="360" w:lineRule="auto"/>
              <w:jc w:val="center"/>
              <w:rPr>
                <w:rFonts w:ascii="宋体" w:hAnsi="宋体" w:cs="宋体"/>
                <w:color w:val="auto"/>
                <w:sz w:val="22"/>
                <w:highlight w:val="none"/>
              </w:rPr>
            </w:pPr>
          </w:p>
        </w:tc>
        <w:tc>
          <w:tcPr>
            <w:tcW w:w="1825" w:type="dxa"/>
            <w:noWrap/>
          </w:tcPr>
          <w:p w14:paraId="5161DCAA">
            <w:pPr>
              <w:spacing w:line="360" w:lineRule="auto"/>
              <w:jc w:val="center"/>
              <w:rPr>
                <w:rFonts w:ascii="宋体" w:hAnsi="宋体" w:cs="宋体"/>
                <w:color w:val="auto"/>
                <w:sz w:val="22"/>
                <w:highlight w:val="none"/>
              </w:rPr>
            </w:pPr>
          </w:p>
        </w:tc>
        <w:tc>
          <w:tcPr>
            <w:tcW w:w="1147" w:type="dxa"/>
            <w:noWrap/>
            <w:vAlign w:val="center"/>
          </w:tcPr>
          <w:p w14:paraId="00A1E80E">
            <w:pPr>
              <w:spacing w:line="360" w:lineRule="auto"/>
              <w:jc w:val="center"/>
              <w:rPr>
                <w:rFonts w:ascii="宋体" w:hAnsi="宋体" w:cs="宋体"/>
                <w:color w:val="auto"/>
                <w:sz w:val="22"/>
                <w:highlight w:val="none"/>
              </w:rPr>
            </w:pPr>
          </w:p>
        </w:tc>
      </w:tr>
      <w:tr w14:paraId="38531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ign w:val="center"/>
          </w:tcPr>
          <w:p w14:paraId="13F011AB">
            <w:pPr>
              <w:spacing w:line="360" w:lineRule="auto"/>
              <w:jc w:val="center"/>
              <w:rPr>
                <w:rFonts w:ascii="宋体" w:hAnsi="宋体" w:cs="宋体"/>
                <w:color w:val="auto"/>
                <w:sz w:val="22"/>
                <w:highlight w:val="none"/>
              </w:rPr>
            </w:pPr>
          </w:p>
        </w:tc>
        <w:tc>
          <w:tcPr>
            <w:tcW w:w="958" w:type="dxa"/>
            <w:noWrap/>
            <w:vAlign w:val="center"/>
          </w:tcPr>
          <w:p w14:paraId="4EF0EACC">
            <w:pPr>
              <w:spacing w:line="360" w:lineRule="auto"/>
              <w:jc w:val="center"/>
              <w:rPr>
                <w:rFonts w:ascii="宋体" w:hAnsi="宋体" w:cs="宋体"/>
                <w:color w:val="auto"/>
                <w:sz w:val="22"/>
                <w:highlight w:val="none"/>
              </w:rPr>
            </w:pPr>
          </w:p>
        </w:tc>
        <w:tc>
          <w:tcPr>
            <w:tcW w:w="958" w:type="dxa"/>
            <w:noWrap/>
            <w:vAlign w:val="center"/>
          </w:tcPr>
          <w:p w14:paraId="4D475092">
            <w:pPr>
              <w:spacing w:line="360" w:lineRule="auto"/>
              <w:jc w:val="center"/>
              <w:rPr>
                <w:rFonts w:ascii="宋体" w:hAnsi="宋体" w:cs="宋体"/>
                <w:color w:val="auto"/>
                <w:sz w:val="22"/>
                <w:highlight w:val="none"/>
              </w:rPr>
            </w:pPr>
          </w:p>
        </w:tc>
        <w:tc>
          <w:tcPr>
            <w:tcW w:w="767" w:type="dxa"/>
            <w:noWrap/>
            <w:vAlign w:val="center"/>
          </w:tcPr>
          <w:p w14:paraId="407A687E">
            <w:pPr>
              <w:spacing w:line="360" w:lineRule="auto"/>
              <w:jc w:val="center"/>
              <w:rPr>
                <w:rFonts w:ascii="宋体" w:hAnsi="宋体" w:cs="宋体"/>
                <w:color w:val="auto"/>
                <w:sz w:val="22"/>
                <w:highlight w:val="none"/>
              </w:rPr>
            </w:pPr>
          </w:p>
        </w:tc>
        <w:tc>
          <w:tcPr>
            <w:tcW w:w="767" w:type="dxa"/>
            <w:noWrap/>
            <w:vAlign w:val="center"/>
          </w:tcPr>
          <w:p w14:paraId="4BA2EAF4">
            <w:pPr>
              <w:spacing w:line="360" w:lineRule="auto"/>
              <w:jc w:val="center"/>
              <w:rPr>
                <w:rFonts w:ascii="宋体" w:hAnsi="宋体" w:cs="宋体"/>
                <w:color w:val="auto"/>
                <w:sz w:val="22"/>
                <w:highlight w:val="none"/>
              </w:rPr>
            </w:pPr>
          </w:p>
        </w:tc>
        <w:tc>
          <w:tcPr>
            <w:tcW w:w="1340" w:type="dxa"/>
            <w:noWrap/>
            <w:vAlign w:val="center"/>
          </w:tcPr>
          <w:p w14:paraId="643E1134">
            <w:pPr>
              <w:spacing w:line="360" w:lineRule="auto"/>
              <w:jc w:val="center"/>
              <w:rPr>
                <w:rFonts w:ascii="宋体" w:hAnsi="宋体" w:cs="宋体"/>
                <w:color w:val="auto"/>
                <w:sz w:val="22"/>
                <w:highlight w:val="none"/>
              </w:rPr>
            </w:pPr>
          </w:p>
        </w:tc>
        <w:tc>
          <w:tcPr>
            <w:tcW w:w="1326" w:type="dxa"/>
            <w:noWrap/>
            <w:vAlign w:val="center"/>
          </w:tcPr>
          <w:p w14:paraId="51DAF46B">
            <w:pPr>
              <w:spacing w:line="360" w:lineRule="auto"/>
              <w:jc w:val="center"/>
              <w:rPr>
                <w:rFonts w:ascii="宋体" w:hAnsi="宋体" w:cs="宋体"/>
                <w:color w:val="auto"/>
                <w:sz w:val="22"/>
                <w:highlight w:val="none"/>
              </w:rPr>
            </w:pPr>
          </w:p>
        </w:tc>
        <w:tc>
          <w:tcPr>
            <w:tcW w:w="1825" w:type="dxa"/>
            <w:noWrap/>
          </w:tcPr>
          <w:p w14:paraId="505EEB3F">
            <w:pPr>
              <w:spacing w:line="360" w:lineRule="auto"/>
              <w:jc w:val="center"/>
              <w:rPr>
                <w:rFonts w:ascii="宋体" w:hAnsi="宋体" w:cs="宋体"/>
                <w:color w:val="auto"/>
                <w:sz w:val="22"/>
                <w:highlight w:val="none"/>
              </w:rPr>
            </w:pPr>
          </w:p>
        </w:tc>
        <w:tc>
          <w:tcPr>
            <w:tcW w:w="1147" w:type="dxa"/>
            <w:noWrap/>
            <w:vAlign w:val="center"/>
          </w:tcPr>
          <w:p w14:paraId="09FF31BF">
            <w:pPr>
              <w:spacing w:line="360" w:lineRule="auto"/>
              <w:jc w:val="center"/>
              <w:rPr>
                <w:rFonts w:ascii="宋体" w:hAnsi="宋体" w:cs="宋体"/>
                <w:color w:val="auto"/>
                <w:sz w:val="22"/>
                <w:highlight w:val="none"/>
              </w:rPr>
            </w:pPr>
          </w:p>
        </w:tc>
      </w:tr>
    </w:tbl>
    <w:p w14:paraId="1DFA61AF">
      <w:pPr>
        <w:pStyle w:val="29"/>
        <w:spacing w:line="400" w:lineRule="atLeast"/>
        <w:ind w:left="660" w:hanging="660" w:hangingChars="300"/>
        <w:rPr>
          <w:rFonts w:hAnsi="宋体" w:cs="宋体"/>
          <w:color w:val="auto"/>
          <w:sz w:val="22"/>
          <w:highlight w:val="none"/>
        </w:rPr>
      </w:pPr>
      <w:r>
        <w:rPr>
          <w:rFonts w:hint="eastAsia" w:hAnsi="宋体" w:cs="宋体"/>
          <w:color w:val="auto"/>
          <w:sz w:val="22"/>
          <w:highlight w:val="none"/>
        </w:rPr>
        <w:t>注：此表仅提供了表格形式，供应商可按此表格复制。</w:t>
      </w:r>
    </w:p>
    <w:p w14:paraId="1AC4A222">
      <w:pPr>
        <w:pStyle w:val="29"/>
        <w:spacing w:line="400" w:lineRule="atLeast"/>
        <w:ind w:left="660" w:hanging="660" w:hangingChars="300"/>
        <w:rPr>
          <w:rFonts w:hAnsi="宋体" w:cs="宋体"/>
          <w:color w:val="auto"/>
          <w:sz w:val="22"/>
          <w:highlight w:val="none"/>
        </w:rPr>
      </w:pPr>
    </w:p>
    <w:p w14:paraId="29449A89">
      <w:pPr>
        <w:pStyle w:val="29"/>
        <w:spacing w:line="400" w:lineRule="atLeast"/>
        <w:ind w:left="660" w:hanging="660" w:hangingChars="300"/>
        <w:rPr>
          <w:rFonts w:hAnsi="宋体" w:cs="宋体"/>
          <w:color w:val="auto"/>
          <w:sz w:val="22"/>
          <w:highlight w:val="none"/>
        </w:rPr>
      </w:pPr>
    </w:p>
    <w:p w14:paraId="294E3F7D">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447FA9A6">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投标人代表（签字或盖章）：</w:t>
      </w:r>
    </w:p>
    <w:p w14:paraId="2F8C0971">
      <w:pPr>
        <w:spacing w:line="38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378AD93D">
      <w:pPr>
        <w:ind w:firstLine="4417" w:firstLineChars="2000"/>
        <w:jc w:val="left"/>
        <w:rPr>
          <w:rFonts w:eastAsia="新宋体"/>
          <w:b/>
          <w:bCs/>
          <w:color w:val="auto"/>
          <w:sz w:val="22"/>
          <w:szCs w:val="22"/>
          <w:highlight w:val="none"/>
        </w:rPr>
      </w:pPr>
    </w:p>
    <w:p w14:paraId="6FEF1AC2">
      <w:pPr>
        <w:ind w:firstLine="4417" w:firstLineChars="2000"/>
        <w:jc w:val="left"/>
        <w:rPr>
          <w:rFonts w:eastAsia="新宋体"/>
          <w:b/>
          <w:bCs/>
          <w:color w:val="auto"/>
          <w:sz w:val="22"/>
          <w:szCs w:val="22"/>
          <w:highlight w:val="none"/>
        </w:rPr>
      </w:pPr>
    </w:p>
    <w:p w14:paraId="2873DC22">
      <w:pPr>
        <w:ind w:firstLine="4417" w:firstLineChars="2000"/>
        <w:jc w:val="left"/>
        <w:rPr>
          <w:rFonts w:eastAsia="新宋体"/>
          <w:b/>
          <w:bCs/>
          <w:color w:val="auto"/>
          <w:sz w:val="22"/>
          <w:szCs w:val="22"/>
          <w:highlight w:val="none"/>
        </w:rPr>
      </w:pPr>
    </w:p>
    <w:p w14:paraId="25E7213B">
      <w:pPr>
        <w:rPr>
          <w:rFonts w:eastAsia="新宋体"/>
          <w:color w:val="auto"/>
          <w:sz w:val="22"/>
          <w:szCs w:val="22"/>
          <w:highlight w:val="none"/>
        </w:rPr>
      </w:pPr>
      <w:r>
        <w:rPr>
          <w:rFonts w:hint="eastAsia" w:eastAsia="新宋体"/>
          <w:b/>
          <w:bCs/>
          <w:color w:val="auto"/>
          <w:sz w:val="22"/>
          <w:szCs w:val="22"/>
          <w:highlight w:val="none"/>
        </w:rPr>
        <w:t>附件四</w:t>
      </w:r>
    </w:p>
    <w:p w14:paraId="4730DA7D">
      <w:pPr>
        <w:pStyle w:val="29"/>
        <w:spacing w:line="400" w:lineRule="atLeast"/>
        <w:ind w:left="1"/>
        <w:jc w:val="center"/>
        <w:rPr>
          <w:rFonts w:ascii="新宋体" w:hAnsi="新宋体" w:eastAsia="新宋体"/>
          <w:b/>
          <w:color w:val="auto"/>
          <w:sz w:val="28"/>
          <w:highlight w:val="none"/>
        </w:rPr>
      </w:pPr>
      <w:r>
        <w:rPr>
          <w:rFonts w:hint="eastAsia" w:ascii="新宋体" w:hAnsi="新宋体" w:eastAsia="新宋体"/>
          <w:b/>
          <w:color w:val="auto"/>
          <w:sz w:val="28"/>
          <w:highlight w:val="none"/>
        </w:rPr>
        <w:t>投标人</w:t>
      </w:r>
      <w:r>
        <w:rPr>
          <w:rFonts w:hint="eastAsia" w:ascii="新宋体" w:hAnsi="新宋体" w:eastAsia="新宋体"/>
          <w:b/>
          <w:color w:val="auto"/>
          <w:sz w:val="28"/>
          <w:highlight w:val="none"/>
          <w:lang w:val="en-US" w:eastAsia="zh-CN"/>
        </w:rPr>
        <w:t>同类项目</w:t>
      </w:r>
      <w:r>
        <w:rPr>
          <w:rFonts w:hint="eastAsia" w:ascii="新宋体" w:hAnsi="新宋体" w:eastAsia="新宋体"/>
          <w:b/>
          <w:color w:val="auto"/>
          <w:sz w:val="28"/>
          <w:highlight w:val="none"/>
        </w:rPr>
        <w:t>业绩一览表</w:t>
      </w:r>
    </w:p>
    <w:p w14:paraId="626E4D02">
      <w:pPr>
        <w:spacing w:line="360" w:lineRule="exact"/>
        <w:jc w:val="center"/>
        <w:rPr>
          <w:rFonts w:eastAsia="新宋体"/>
          <w:color w:val="auto"/>
          <w:sz w:val="22"/>
          <w:highlight w:val="none"/>
        </w:rPr>
      </w:pPr>
    </w:p>
    <w:tbl>
      <w:tblPr>
        <w:tblStyle w:val="57"/>
        <w:tblW w:w="982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4"/>
        <w:gridCol w:w="1538"/>
        <w:gridCol w:w="1583"/>
        <w:gridCol w:w="2036"/>
        <w:gridCol w:w="1471"/>
        <w:gridCol w:w="1007"/>
        <w:gridCol w:w="1351"/>
      </w:tblGrid>
      <w:tr w14:paraId="797272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8" w:hRule="atLeast"/>
          <w:jc w:val="center"/>
        </w:trPr>
        <w:tc>
          <w:tcPr>
            <w:tcW w:w="834" w:type="dxa"/>
            <w:noWrap/>
            <w:vAlign w:val="center"/>
          </w:tcPr>
          <w:p w14:paraId="5E2EDFC1">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序号</w:t>
            </w:r>
          </w:p>
        </w:tc>
        <w:tc>
          <w:tcPr>
            <w:tcW w:w="1538" w:type="dxa"/>
            <w:noWrap/>
            <w:vAlign w:val="center"/>
          </w:tcPr>
          <w:p w14:paraId="725C2D51">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项目名称</w:t>
            </w:r>
          </w:p>
        </w:tc>
        <w:tc>
          <w:tcPr>
            <w:tcW w:w="1583" w:type="dxa"/>
            <w:noWrap/>
            <w:vAlign w:val="center"/>
          </w:tcPr>
          <w:p w14:paraId="70CE968A">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项目单位</w:t>
            </w:r>
          </w:p>
        </w:tc>
        <w:tc>
          <w:tcPr>
            <w:tcW w:w="2036" w:type="dxa"/>
            <w:noWrap/>
            <w:vAlign w:val="center"/>
          </w:tcPr>
          <w:p w14:paraId="3F1BA427">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项目金额</w:t>
            </w:r>
          </w:p>
        </w:tc>
        <w:tc>
          <w:tcPr>
            <w:tcW w:w="1471" w:type="dxa"/>
            <w:noWrap/>
            <w:vAlign w:val="center"/>
          </w:tcPr>
          <w:p w14:paraId="3873B9D7">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合同日期</w:t>
            </w:r>
          </w:p>
        </w:tc>
        <w:tc>
          <w:tcPr>
            <w:tcW w:w="1007" w:type="dxa"/>
            <w:noWrap/>
            <w:vAlign w:val="center"/>
          </w:tcPr>
          <w:p w14:paraId="1BFC167A">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联系人</w:t>
            </w:r>
          </w:p>
        </w:tc>
        <w:tc>
          <w:tcPr>
            <w:tcW w:w="1351" w:type="dxa"/>
            <w:noWrap/>
            <w:vAlign w:val="center"/>
          </w:tcPr>
          <w:p w14:paraId="3780FEBB">
            <w:pPr>
              <w:spacing w:line="380" w:lineRule="exact"/>
              <w:jc w:val="center"/>
              <w:rPr>
                <w:rFonts w:ascii="新宋体" w:hAnsi="新宋体" w:eastAsia="新宋体"/>
                <w:b/>
                <w:color w:val="auto"/>
                <w:sz w:val="22"/>
                <w:szCs w:val="22"/>
                <w:highlight w:val="none"/>
              </w:rPr>
            </w:pPr>
            <w:r>
              <w:rPr>
                <w:rFonts w:hint="eastAsia" w:ascii="新宋体" w:hAnsi="新宋体" w:eastAsia="新宋体"/>
                <w:b/>
                <w:color w:val="auto"/>
                <w:sz w:val="22"/>
                <w:szCs w:val="22"/>
                <w:highlight w:val="none"/>
              </w:rPr>
              <w:t>联系方式</w:t>
            </w:r>
          </w:p>
        </w:tc>
      </w:tr>
      <w:tr w14:paraId="044928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64CA2B9C">
            <w:pPr>
              <w:spacing w:after="120" w:line="360" w:lineRule="atLeast"/>
              <w:jc w:val="center"/>
              <w:rPr>
                <w:rFonts w:ascii="新宋体" w:hAnsi="新宋体" w:eastAsia="新宋体"/>
                <w:color w:val="auto"/>
                <w:sz w:val="22"/>
                <w:szCs w:val="22"/>
                <w:highlight w:val="none"/>
              </w:rPr>
            </w:pPr>
          </w:p>
        </w:tc>
        <w:tc>
          <w:tcPr>
            <w:tcW w:w="1538" w:type="dxa"/>
            <w:noWrap/>
          </w:tcPr>
          <w:p w14:paraId="533145A7">
            <w:pPr>
              <w:spacing w:after="120" w:line="360" w:lineRule="atLeast"/>
              <w:jc w:val="center"/>
              <w:rPr>
                <w:rFonts w:ascii="新宋体" w:hAnsi="新宋体" w:eastAsia="新宋体"/>
                <w:color w:val="auto"/>
                <w:sz w:val="22"/>
                <w:szCs w:val="22"/>
                <w:highlight w:val="none"/>
              </w:rPr>
            </w:pPr>
          </w:p>
        </w:tc>
        <w:tc>
          <w:tcPr>
            <w:tcW w:w="1583" w:type="dxa"/>
            <w:noWrap/>
          </w:tcPr>
          <w:p w14:paraId="38CFDCE8">
            <w:pPr>
              <w:spacing w:after="120" w:line="360" w:lineRule="atLeast"/>
              <w:jc w:val="center"/>
              <w:rPr>
                <w:rFonts w:ascii="新宋体" w:hAnsi="新宋体" w:eastAsia="新宋体"/>
                <w:color w:val="auto"/>
                <w:sz w:val="22"/>
                <w:szCs w:val="22"/>
                <w:highlight w:val="none"/>
              </w:rPr>
            </w:pPr>
          </w:p>
        </w:tc>
        <w:tc>
          <w:tcPr>
            <w:tcW w:w="2036" w:type="dxa"/>
            <w:noWrap/>
          </w:tcPr>
          <w:p w14:paraId="7A4047CA">
            <w:pPr>
              <w:spacing w:after="120" w:line="360" w:lineRule="atLeast"/>
              <w:jc w:val="center"/>
              <w:rPr>
                <w:rFonts w:ascii="新宋体" w:hAnsi="新宋体" w:eastAsia="新宋体"/>
                <w:color w:val="auto"/>
                <w:sz w:val="22"/>
                <w:szCs w:val="22"/>
                <w:highlight w:val="none"/>
              </w:rPr>
            </w:pPr>
          </w:p>
        </w:tc>
        <w:tc>
          <w:tcPr>
            <w:tcW w:w="1471" w:type="dxa"/>
            <w:noWrap/>
          </w:tcPr>
          <w:p w14:paraId="1A23B272">
            <w:pPr>
              <w:spacing w:after="120" w:line="360" w:lineRule="atLeast"/>
              <w:jc w:val="center"/>
              <w:rPr>
                <w:rFonts w:ascii="新宋体" w:hAnsi="新宋体" w:eastAsia="新宋体"/>
                <w:color w:val="auto"/>
                <w:sz w:val="22"/>
                <w:szCs w:val="22"/>
                <w:highlight w:val="none"/>
              </w:rPr>
            </w:pPr>
          </w:p>
        </w:tc>
        <w:tc>
          <w:tcPr>
            <w:tcW w:w="1007" w:type="dxa"/>
            <w:noWrap/>
          </w:tcPr>
          <w:p w14:paraId="16B4EF26">
            <w:pPr>
              <w:spacing w:after="120" w:line="360" w:lineRule="atLeast"/>
              <w:jc w:val="center"/>
              <w:rPr>
                <w:rFonts w:ascii="新宋体" w:hAnsi="新宋体" w:eastAsia="新宋体"/>
                <w:color w:val="auto"/>
                <w:sz w:val="22"/>
                <w:szCs w:val="22"/>
                <w:highlight w:val="none"/>
              </w:rPr>
            </w:pPr>
          </w:p>
        </w:tc>
        <w:tc>
          <w:tcPr>
            <w:tcW w:w="1351" w:type="dxa"/>
            <w:noWrap/>
          </w:tcPr>
          <w:p w14:paraId="7B02AC3D">
            <w:pPr>
              <w:spacing w:after="120" w:line="360" w:lineRule="atLeast"/>
              <w:jc w:val="center"/>
              <w:rPr>
                <w:rFonts w:ascii="新宋体" w:hAnsi="新宋体" w:eastAsia="新宋体"/>
                <w:color w:val="auto"/>
                <w:sz w:val="22"/>
                <w:szCs w:val="22"/>
                <w:highlight w:val="none"/>
              </w:rPr>
            </w:pPr>
          </w:p>
        </w:tc>
      </w:tr>
      <w:tr w14:paraId="00DB97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35" w:hRule="atLeast"/>
          <w:jc w:val="center"/>
        </w:trPr>
        <w:tc>
          <w:tcPr>
            <w:tcW w:w="834" w:type="dxa"/>
            <w:noWrap/>
          </w:tcPr>
          <w:p w14:paraId="73531622">
            <w:pPr>
              <w:spacing w:after="120" w:line="360" w:lineRule="atLeast"/>
              <w:jc w:val="center"/>
              <w:rPr>
                <w:rFonts w:ascii="新宋体" w:hAnsi="新宋体" w:eastAsia="新宋体"/>
                <w:color w:val="auto"/>
                <w:sz w:val="22"/>
                <w:szCs w:val="22"/>
                <w:highlight w:val="none"/>
              </w:rPr>
            </w:pPr>
          </w:p>
        </w:tc>
        <w:tc>
          <w:tcPr>
            <w:tcW w:w="1538" w:type="dxa"/>
            <w:noWrap/>
          </w:tcPr>
          <w:p w14:paraId="52E1049A">
            <w:pPr>
              <w:spacing w:after="120" w:line="360" w:lineRule="atLeast"/>
              <w:jc w:val="center"/>
              <w:rPr>
                <w:rFonts w:ascii="新宋体" w:hAnsi="新宋体" w:eastAsia="新宋体"/>
                <w:color w:val="auto"/>
                <w:sz w:val="22"/>
                <w:szCs w:val="22"/>
                <w:highlight w:val="none"/>
              </w:rPr>
            </w:pPr>
          </w:p>
        </w:tc>
        <w:tc>
          <w:tcPr>
            <w:tcW w:w="1583" w:type="dxa"/>
            <w:noWrap/>
          </w:tcPr>
          <w:p w14:paraId="46BDC9E1">
            <w:pPr>
              <w:spacing w:after="120" w:line="360" w:lineRule="atLeast"/>
              <w:jc w:val="center"/>
              <w:rPr>
                <w:rFonts w:ascii="新宋体" w:hAnsi="新宋体" w:eastAsia="新宋体"/>
                <w:color w:val="auto"/>
                <w:sz w:val="22"/>
                <w:szCs w:val="22"/>
                <w:highlight w:val="none"/>
              </w:rPr>
            </w:pPr>
          </w:p>
        </w:tc>
        <w:tc>
          <w:tcPr>
            <w:tcW w:w="2036" w:type="dxa"/>
            <w:noWrap/>
          </w:tcPr>
          <w:p w14:paraId="4C3066D3">
            <w:pPr>
              <w:spacing w:after="120" w:line="360" w:lineRule="atLeast"/>
              <w:jc w:val="center"/>
              <w:rPr>
                <w:rFonts w:ascii="新宋体" w:hAnsi="新宋体" w:eastAsia="新宋体"/>
                <w:color w:val="auto"/>
                <w:sz w:val="22"/>
                <w:szCs w:val="22"/>
                <w:highlight w:val="none"/>
              </w:rPr>
            </w:pPr>
          </w:p>
        </w:tc>
        <w:tc>
          <w:tcPr>
            <w:tcW w:w="1471" w:type="dxa"/>
            <w:noWrap/>
          </w:tcPr>
          <w:p w14:paraId="64B6818B">
            <w:pPr>
              <w:spacing w:after="120" w:line="360" w:lineRule="atLeast"/>
              <w:jc w:val="center"/>
              <w:rPr>
                <w:rFonts w:ascii="新宋体" w:hAnsi="新宋体" w:eastAsia="新宋体"/>
                <w:color w:val="auto"/>
                <w:sz w:val="22"/>
                <w:szCs w:val="22"/>
                <w:highlight w:val="none"/>
              </w:rPr>
            </w:pPr>
          </w:p>
        </w:tc>
        <w:tc>
          <w:tcPr>
            <w:tcW w:w="1007" w:type="dxa"/>
            <w:noWrap/>
          </w:tcPr>
          <w:p w14:paraId="6F48F94F">
            <w:pPr>
              <w:spacing w:after="120" w:line="360" w:lineRule="atLeast"/>
              <w:jc w:val="center"/>
              <w:rPr>
                <w:rFonts w:ascii="新宋体" w:hAnsi="新宋体" w:eastAsia="新宋体"/>
                <w:color w:val="auto"/>
                <w:sz w:val="22"/>
                <w:szCs w:val="22"/>
                <w:highlight w:val="none"/>
              </w:rPr>
            </w:pPr>
          </w:p>
        </w:tc>
        <w:tc>
          <w:tcPr>
            <w:tcW w:w="1351" w:type="dxa"/>
            <w:noWrap/>
          </w:tcPr>
          <w:p w14:paraId="50CFD55F">
            <w:pPr>
              <w:spacing w:after="120" w:line="360" w:lineRule="atLeast"/>
              <w:jc w:val="center"/>
              <w:rPr>
                <w:rFonts w:ascii="新宋体" w:hAnsi="新宋体" w:eastAsia="新宋体"/>
                <w:color w:val="auto"/>
                <w:sz w:val="22"/>
                <w:szCs w:val="22"/>
                <w:highlight w:val="none"/>
              </w:rPr>
            </w:pPr>
          </w:p>
        </w:tc>
      </w:tr>
      <w:tr w14:paraId="6E61DF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636A3442">
            <w:pPr>
              <w:spacing w:after="120" w:line="360" w:lineRule="atLeast"/>
              <w:jc w:val="center"/>
              <w:rPr>
                <w:rFonts w:ascii="新宋体" w:hAnsi="新宋体" w:eastAsia="新宋体"/>
                <w:color w:val="auto"/>
                <w:sz w:val="22"/>
                <w:szCs w:val="22"/>
                <w:highlight w:val="none"/>
              </w:rPr>
            </w:pPr>
          </w:p>
        </w:tc>
        <w:tc>
          <w:tcPr>
            <w:tcW w:w="1538" w:type="dxa"/>
            <w:noWrap/>
          </w:tcPr>
          <w:p w14:paraId="7538A2CF">
            <w:pPr>
              <w:spacing w:after="120" w:line="360" w:lineRule="atLeast"/>
              <w:jc w:val="center"/>
              <w:rPr>
                <w:rFonts w:ascii="新宋体" w:hAnsi="新宋体" w:eastAsia="新宋体"/>
                <w:color w:val="auto"/>
                <w:sz w:val="22"/>
                <w:szCs w:val="22"/>
                <w:highlight w:val="none"/>
              </w:rPr>
            </w:pPr>
          </w:p>
        </w:tc>
        <w:tc>
          <w:tcPr>
            <w:tcW w:w="1583" w:type="dxa"/>
            <w:noWrap/>
          </w:tcPr>
          <w:p w14:paraId="76E98ADD">
            <w:pPr>
              <w:spacing w:after="120" w:line="360" w:lineRule="atLeast"/>
              <w:jc w:val="center"/>
              <w:rPr>
                <w:rFonts w:ascii="新宋体" w:hAnsi="新宋体" w:eastAsia="新宋体"/>
                <w:color w:val="auto"/>
                <w:sz w:val="22"/>
                <w:szCs w:val="22"/>
                <w:highlight w:val="none"/>
              </w:rPr>
            </w:pPr>
          </w:p>
        </w:tc>
        <w:tc>
          <w:tcPr>
            <w:tcW w:w="2036" w:type="dxa"/>
            <w:noWrap/>
          </w:tcPr>
          <w:p w14:paraId="5053ED2B">
            <w:pPr>
              <w:spacing w:after="120" w:line="360" w:lineRule="atLeast"/>
              <w:jc w:val="center"/>
              <w:rPr>
                <w:rFonts w:ascii="新宋体" w:hAnsi="新宋体" w:eastAsia="新宋体"/>
                <w:color w:val="auto"/>
                <w:sz w:val="22"/>
                <w:szCs w:val="22"/>
                <w:highlight w:val="none"/>
              </w:rPr>
            </w:pPr>
          </w:p>
        </w:tc>
        <w:tc>
          <w:tcPr>
            <w:tcW w:w="1471" w:type="dxa"/>
            <w:noWrap/>
          </w:tcPr>
          <w:p w14:paraId="3662A4AC">
            <w:pPr>
              <w:spacing w:after="120" w:line="360" w:lineRule="atLeast"/>
              <w:jc w:val="center"/>
              <w:rPr>
                <w:rFonts w:ascii="新宋体" w:hAnsi="新宋体" w:eastAsia="新宋体"/>
                <w:color w:val="auto"/>
                <w:sz w:val="22"/>
                <w:szCs w:val="22"/>
                <w:highlight w:val="none"/>
              </w:rPr>
            </w:pPr>
          </w:p>
        </w:tc>
        <w:tc>
          <w:tcPr>
            <w:tcW w:w="1007" w:type="dxa"/>
            <w:noWrap/>
          </w:tcPr>
          <w:p w14:paraId="728CBF89">
            <w:pPr>
              <w:spacing w:after="120" w:line="360" w:lineRule="atLeast"/>
              <w:jc w:val="center"/>
              <w:rPr>
                <w:rFonts w:ascii="新宋体" w:hAnsi="新宋体" w:eastAsia="新宋体"/>
                <w:color w:val="auto"/>
                <w:sz w:val="22"/>
                <w:szCs w:val="22"/>
                <w:highlight w:val="none"/>
              </w:rPr>
            </w:pPr>
          </w:p>
        </w:tc>
        <w:tc>
          <w:tcPr>
            <w:tcW w:w="1351" w:type="dxa"/>
            <w:noWrap/>
          </w:tcPr>
          <w:p w14:paraId="7F1089D7">
            <w:pPr>
              <w:spacing w:after="120" w:line="360" w:lineRule="atLeast"/>
              <w:jc w:val="center"/>
              <w:rPr>
                <w:rFonts w:ascii="新宋体" w:hAnsi="新宋体" w:eastAsia="新宋体"/>
                <w:color w:val="auto"/>
                <w:sz w:val="22"/>
                <w:szCs w:val="22"/>
                <w:highlight w:val="none"/>
              </w:rPr>
            </w:pPr>
          </w:p>
        </w:tc>
      </w:tr>
      <w:tr w14:paraId="2F2456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3613FC42">
            <w:pPr>
              <w:spacing w:after="120" w:line="360" w:lineRule="atLeast"/>
              <w:jc w:val="center"/>
              <w:rPr>
                <w:rFonts w:ascii="新宋体" w:hAnsi="新宋体" w:eastAsia="新宋体"/>
                <w:color w:val="auto"/>
                <w:sz w:val="22"/>
                <w:szCs w:val="22"/>
                <w:highlight w:val="none"/>
              </w:rPr>
            </w:pPr>
          </w:p>
        </w:tc>
        <w:tc>
          <w:tcPr>
            <w:tcW w:w="1538" w:type="dxa"/>
            <w:noWrap/>
          </w:tcPr>
          <w:p w14:paraId="48DF09B8">
            <w:pPr>
              <w:spacing w:after="120" w:line="360" w:lineRule="atLeast"/>
              <w:jc w:val="center"/>
              <w:rPr>
                <w:rFonts w:ascii="新宋体" w:hAnsi="新宋体" w:eastAsia="新宋体"/>
                <w:color w:val="auto"/>
                <w:sz w:val="22"/>
                <w:szCs w:val="22"/>
                <w:highlight w:val="none"/>
              </w:rPr>
            </w:pPr>
          </w:p>
        </w:tc>
        <w:tc>
          <w:tcPr>
            <w:tcW w:w="1583" w:type="dxa"/>
            <w:noWrap/>
          </w:tcPr>
          <w:p w14:paraId="51AAB0E5">
            <w:pPr>
              <w:spacing w:after="120" w:line="360" w:lineRule="atLeast"/>
              <w:jc w:val="center"/>
              <w:rPr>
                <w:rFonts w:ascii="新宋体" w:hAnsi="新宋体" w:eastAsia="新宋体"/>
                <w:color w:val="auto"/>
                <w:sz w:val="22"/>
                <w:szCs w:val="22"/>
                <w:highlight w:val="none"/>
              </w:rPr>
            </w:pPr>
          </w:p>
        </w:tc>
        <w:tc>
          <w:tcPr>
            <w:tcW w:w="2036" w:type="dxa"/>
            <w:noWrap/>
          </w:tcPr>
          <w:p w14:paraId="248FBCD1">
            <w:pPr>
              <w:spacing w:after="120" w:line="360" w:lineRule="atLeast"/>
              <w:jc w:val="center"/>
              <w:rPr>
                <w:rFonts w:ascii="新宋体" w:hAnsi="新宋体" w:eastAsia="新宋体"/>
                <w:color w:val="auto"/>
                <w:sz w:val="22"/>
                <w:szCs w:val="22"/>
                <w:highlight w:val="none"/>
              </w:rPr>
            </w:pPr>
          </w:p>
        </w:tc>
        <w:tc>
          <w:tcPr>
            <w:tcW w:w="1471" w:type="dxa"/>
            <w:noWrap/>
          </w:tcPr>
          <w:p w14:paraId="36978535">
            <w:pPr>
              <w:spacing w:after="120" w:line="360" w:lineRule="atLeast"/>
              <w:jc w:val="center"/>
              <w:rPr>
                <w:rFonts w:ascii="新宋体" w:hAnsi="新宋体" w:eastAsia="新宋体"/>
                <w:color w:val="auto"/>
                <w:sz w:val="22"/>
                <w:szCs w:val="22"/>
                <w:highlight w:val="none"/>
              </w:rPr>
            </w:pPr>
          </w:p>
        </w:tc>
        <w:tc>
          <w:tcPr>
            <w:tcW w:w="1007" w:type="dxa"/>
            <w:noWrap/>
          </w:tcPr>
          <w:p w14:paraId="2B3C6EE7">
            <w:pPr>
              <w:spacing w:after="120" w:line="360" w:lineRule="atLeast"/>
              <w:jc w:val="center"/>
              <w:rPr>
                <w:rFonts w:ascii="新宋体" w:hAnsi="新宋体" w:eastAsia="新宋体"/>
                <w:color w:val="auto"/>
                <w:sz w:val="22"/>
                <w:szCs w:val="22"/>
                <w:highlight w:val="none"/>
              </w:rPr>
            </w:pPr>
          </w:p>
        </w:tc>
        <w:tc>
          <w:tcPr>
            <w:tcW w:w="1351" w:type="dxa"/>
            <w:noWrap/>
          </w:tcPr>
          <w:p w14:paraId="1D05FB34">
            <w:pPr>
              <w:spacing w:after="120" w:line="360" w:lineRule="atLeast"/>
              <w:jc w:val="center"/>
              <w:rPr>
                <w:rFonts w:ascii="新宋体" w:hAnsi="新宋体" w:eastAsia="新宋体"/>
                <w:color w:val="auto"/>
                <w:sz w:val="22"/>
                <w:szCs w:val="22"/>
                <w:highlight w:val="none"/>
              </w:rPr>
            </w:pPr>
          </w:p>
        </w:tc>
      </w:tr>
      <w:tr w14:paraId="78A4AA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5DC071FE">
            <w:pPr>
              <w:spacing w:after="120" w:line="360" w:lineRule="atLeast"/>
              <w:jc w:val="center"/>
              <w:rPr>
                <w:rFonts w:ascii="新宋体" w:hAnsi="新宋体" w:eastAsia="新宋体"/>
                <w:color w:val="auto"/>
                <w:sz w:val="22"/>
                <w:szCs w:val="22"/>
                <w:highlight w:val="none"/>
              </w:rPr>
            </w:pPr>
          </w:p>
        </w:tc>
        <w:tc>
          <w:tcPr>
            <w:tcW w:w="1538" w:type="dxa"/>
            <w:noWrap/>
          </w:tcPr>
          <w:p w14:paraId="3ABB2A09">
            <w:pPr>
              <w:spacing w:after="120" w:line="360" w:lineRule="atLeast"/>
              <w:jc w:val="center"/>
              <w:rPr>
                <w:rFonts w:ascii="新宋体" w:hAnsi="新宋体" w:eastAsia="新宋体"/>
                <w:color w:val="auto"/>
                <w:sz w:val="22"/>
                <w:szCs w:val="22"/>
                <w:highlight w:val="none"/>
              </w:rPr>
            </w:pPr>
          </w:p>
        </w:tc>
        <w:tc>
          <w:tcPr>
            <w:tcW w:w="1583" w:type="dxa"/>
            <w:noWrap/>
          </w:tcPr>
          <w:p w14:paraId="3E907AE1">
            <w:pPr>
              <w:spacing w:after="120" w:line="360" w:lineRule="atLeast"/>
              <w:jc w:val="center"/>
              <w:rPr>
                <w:rFonts w:ascii="新宋体" w:hAnsi="新宋体" w:eastAsia="新宋体"/>
                <w:color w:val="auto"/>
                <w:sz w:val="22"/>
                <w:szCs w:val="22"/>
                <w:highlight w:val="none"/>
              </w:rPr>
            </w:pPr>
          </w:p>
        </w:tc>
        <w:tc>
          <w:tcPr>
            <w:tcW w:w="2036" w:type="dxa"/>
            <w:noWrap/>
          </w:tcPr>
          <w:p w14:paraId="23FBEB1E">
            <w:pPr>
              <w:spacing w:after="120" w:line="360" w:lineRule="atLeast"/>
              <w:jc w:val="center"/>
              <w:rPr>
                <w:rFonts w:ascii="新宋体" w:hAnsi="新宋体" w:eastAsia="新宋体"/>
                <w:color w:val="auto"/>
                <w:sz w:val="22"/>
                <w:szCs w:val="22"/>
                <w:highlight w:val="none"/>
              </w:rPr>
            </w:pPr>
          </w:p>
        </w:tc>
        <w:tc>
          <w:tcPr>
            <w:tcW w:w="1471" w:type="dxa"/>
            <w:noWrap/>
          </w:tcPr>
          <w:p w14:paraId="351B6D72">
            <w:pPr>
              <w:spacing w:after="120" w:line="360" w:lineRule="atLeast"/>
              <w:jc w:val="center"/>
              <w:rPr>
                <w:rFonts w:ascii="新宋体" w:hAnsi="新宋体" w:eastAsia="新宋体"/>
                <w:color w:val="auto"/>
                <w:sz w:val="22"/>
                <w:szCs w:val="22"/>
                <w:highlight w:val="none"/>
              </w:rPr>
            </w:pPr>
          </w:p>
        </w:tc>
        <w:tc>
          <w:tcPr>
            <w:tcW w:w="1007" w:type="dxa"/>
            <w:noWrap/>
          </w:tcPr>
          <w:p w14:paraId="06F60033">
            <w:pPr>
              <w:spacing w:after="120" w:line="360" w:lineRule="atLeast"/>
              <w:jc w:val="center"/>
              <w:rPr>
                <w:rFonts w:ascii="新宋体" w:hAnsi="新宋体" w:eastAsia="新宋体"/>
                <w:color w:val="auto"/>
                <w:sz w:val="22"/>
                <w:szCs w:val="22"/>
                <w:highlight w:val="none"/>
              </w:rPr>
            </w:pPr>
          </w:p>
        </w:tc>
        <w:tc>
          <w:tcPr>
            <w:tcW w:w="1351" w:type="dxa"/>
            <w:noWrap/>
          </w:tcPr>
          <w:p w14:paraId="173D84E8">
            <w:pPr>
              <w:spacing w:after="120" w:line="360" w:lineRule="atLeast"/>
              <w:jc w:val="center"/>
              <w:rPr>
                <w:rFonts w:ascii="新宋体" w:hAnsi="新宋体" w:eastAsia="新宋体"/>
                <w:color w:val="auto"/>
                <w:sz w:val="22"/>
                <w:szCs w:val="22"/>
                <w:highlight w:val="none"/>
              </w:rPr>
            </w:pPr>
          </w:p>
        </w:tc>
      </w:tr>
      <w:tr w14:paraId="096D7D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63F48EFD">
            <w:pPr>
              <w:spacing w:after="120" w:line="360" w:lineRule="atLeast"/>
              <w:jc w:val="center"/>
              <w:rPr>
                <w:rFonts w:ascii="新宋体" w:hAnsi="新宋体" w:eastAsia="新宋体"/>
                <w:color w:val="auto"/>
                <w:sz w:val="22"/>
                <w:szCs w:val="22"/>
                <w:highlight w:val="none"/>
              </w:rPr>
            </w:pPr>
          </w:p>
        </w:tc>
        <w:tc>
          <w:tcPr>
            <w:tcW w:w="1538" w:type="dxa"/>
            <w:noWrap/>
          </w:tcPr>
          <w:p w14:paraId="71394C4E">
            <w:pPr>
              <w:spacing w:after="120" w:line="360" w:lineRule="atLeast"/>
              <w:jc w:val="center"/>
              <w:rPr>
                <w:rFonts w:ascii="新宋体" w:hAnsi="新宋体" w:eastAsia="新宋体"/>
                <w:color w:val="auto"/>
                <w:sz w:val="22"/>
                <w:szCs w:val="22"/>
                <w:highlight w:val="none"/>
              </w:rPr>
            </w:pPr>
          </w:p>
        </w:tc>
        <w:tc>
          <w:tcPr>
            <w:tcW w:w="1583" w:type="dxa"/>
            <w:noWrap/>
          </w:tcPr>
          <w:p w14:paraId="4CB85F89">
            <w:pPr>
              <w:spacing w:after="120" w:line="360" w:lineRule="atLeast"/>
              <w:jc w:val="center"/>
              <w:rPr>
                <w:rFonts w:ascii="新宋体" w:hAnsi="新宋体" w:eastAsia="新宋体"/>
                <w:color w:val="auto"/>
                <w:sz w:val="22"/>
                <w:szCs w:val="22"/>
                <w:highlight w:val="none"/>
              </w:rPr>
            </w:pPr>
          </w:p>
        </w:tc>
        <w:tc>
          <w:tcPr>
            <w:tcW w:w="2036" w:type="dxa"/>
            <w:noWrap/>
          </w:tcPr>
          <w:p w14:paraId="589818AE">
            <w:pPr>
              <w:spacing w:after="120" w:line="360" w:lineRule="atLeast"/>
              <w:jc w:val="center"/>
              <w:rPr>
                <w:rFonts w:ascii="新宋体" w:hAnsi="新宋体" w:eastAsia="新宋体"/>
                <w:color w:val="auto"/>
                <w:sz w:val="22"/>
                <w:szCs w:val="22"/>
                <w:highlight w:val="none"/>
              </w:rPr>
            </w:pPr>
          </w:p>
        </w:tc>
        <w:tc>
          <w:tcPr>
            <w:tcW w:w="1471" w:type="dxa"/>
            <w:noWrap/>
          </w:tcPr>
          <w:p w14:paraId="4543D251">
            <w:pPr>
              <w:spacing w:after="120" w:line="360" w:lineRule="atLeast"/>
              <w:jc w:val="center"/>
              <w:rPr>
                <w:rFonts w:ascii="新宋体" w:hAnsi="新宋体" w:eastAsia="新宋体"/>
                <w:color w:val="auto"/>
                <w:sz w:val="22"/>
                <w:szCs w:val="22"/>
                <w:highlight w:val="none"/>
              </w:rPr>
            </w:pPr>
          </w:p>
        </w:tc>
        <w:tc>
          <w:tcPr>
            <w:tcW w:w="1007" w:type="dxa"/>
            <w:noWrap/>
          </w:tcPr>
          <w:p w14:paraId="0119C3C4">
            <w:pPr>
              <w:spacing w:after="120" w:line="360" w:lineRule="atLeast"/>
              <w:jc w:val="center"/>
              <w:rPr>
                <w:rFonts w:ascii="新宋体" w:hAnsi="新宋体" w:eastAsia="新宋体"/>
                <w:color w:val="auto"/>
                <w:sz w:val="22"/>
                <w:szCs w:val="22"/>
                <w:highlight w:val="none"/>
              </w:rPr>
            </w:pPr>
          </w:p>
        </w:tc>
        <w:tc>
          <w:tcPr>
            <w:tcW w:w="1351" w:type="dxa"/>
            <w:noWrap/>
          </w:tcPr>
          <w:p w14:paraId="26663951">
            <w:pPr>
              <w:spacing w:after="120" w:line="360" w:lineRule="atLeast"/>
              <w:jc w:val="center"/>
              <w:rPr>
                <w:rFonts w:ascii="新宋体" w:hAnsi="新宋体" w:eastAsia="新宋体"/>
                <w:color w:val="auto"/>
                <w:sz w:val="22"/>
                <w:szCs w:val="22"/>
                <w:highlight w:val="none"/>
              </w:rPr>
            </w:pPr>
          </w:p>
        </w:tc>
      </w:tr>
      <w:tr w14:paraId="4F0C65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73D0497F">
            <w:pPr>
              <w:spacing w:after="120" w:line="360" w:lineRule="atLeast"/>
              <w:jc w:val="center"/>
              <w:rPr>
                <w:rFonts w:ascii="新宋体" w:hAnsi="新宋体" w:eastAsia="新宋体"/>
                <w:color w:val="auto"/>
                <w:sz w:val="22"/>
                <w:szCs w:val="22"/>
                <w:highlight w:val="none"/>
              </w:rPr>
            </w:pPr>
          </w:p>
        </w:tc>
        <w:tc>
          <w:tcPr>
            <w:tcW w:w="1538" w:type="dxa"/>
            <w:noWrap/>
          </w:tcPr>
          <w:p w14:paraId="529E35A3">
            <w:pPr>
              <w:spacing w:after="120" w:line="360" w:lineRule="atLeast"/>
              <w:jc w:val="center"/>
              <w:rPr>
                <w:rFonts w:ascii="新宋体" w:hAnsi="新宋体" w:eastAsia="新宋体"/>
                <w:color w:val="auto"/>
                <w:sz w:val="22"/>
                <w:szCs w:val="22"/>
                <w:highlight w:val="none"/>
              </w:rPr>
            </w:pPr>
          </w:p>
        </w:tc>
        <w:tc>
          <w:tcPr>
            <w:tcW w:w="1583" w:type="dxa"/>
            <w:noWrap/>
          </w:tcPr>
          <w:p w14:paraId="6CD4E84D">
            <w:pPr>
              <w:spacing w:after="120" w:line="360" w:lineRule="atLeast"/>
              <w:jc w:val="center"/>
              <w:rPr>
                <w:rFonts w:ascii="新宋体" w:hAnsi="新宋体" w:eastAsia="新宋体"/>
                <w:color w:val="auto"/>
                <w:sz w:val="22"/>
                <w:szCs w:val="22"/>
                <w:highlight w:val="none"/>
              </w:rPr>
            </w:pPr>
          </w:p>
        </w:tc>
        <w:tc>
          <w:tcPr>
            <w:tcW w:w="2036" w:type="dxa"/>
            <w:noWrap/>
          </w:tcPr>
          <w:p w14:paraId="5F13596F">
            <w:pPr>
              <w:spacing w:after="120" w:line="360" w:lineRule="atLeast"/>
              <w:jc w:val="center"/>
              <w:rPr>
                <w:rFonts w:ascii="新宋体" w:hAnsi="新宋体" w:eastAsia="新宋体"/>
                <w:color w:val="auto"/>
                <w:sz w:val="22"/>
                <w:szCs w:val="22"/>
                <w:highlight w:val="none"/>
              </w:rPr>
            </w:pPr>
          </w:p>
        </w:tc>
        <w:tc>
          <w:tcPr>
            <w:tcW w:w="1471" w:type="dxa"/>
            <w:noWrap/>
          </w:tcPr>
          <w:p w14:paraId="09EF3A36">
            <w:pPr>
              <w:spacing w:after="120" w:line="360" w:lineRule="atLeast"/>
              <w:jc w:val="center"/>
              <w:rPr>
                <w:rFonts w:ascii="新宋体" w:hAnsi="新宋体" w:eastAsia="新宋体"/>
                <w:color w:val="auto"/>
                <w:sz w:val="22"/>
                <w:szCs w:val="22"/>
                <w:highlight w:val="none"/>
              </w:rPr>
            </w:pPr>
          </w:p>
        </w:tc>
        <w:tc>
          <w:tcPr>
            <w:tcW w:w="1007" w:type="dxa"/>
            <w:noWrap/>
          </w:tcPr>
          <w:p w14:paraId="57881696">
            <w:pPr>
              <w:spacing w:after="120" w:line="360" w:lineRule="atLeast"/>
              <w:jc w:val="center"/>
              <w:rPr>
                <w:rFonts w:ascii="新宋体" w:hAnsi="新宋体" w:eastAsia="新宋体"/>
                <w:color w:val="auto"/>
                <w:sz w:val="22"/>
                <w:szCs w:val="22"/>
                <w:highlight w:val="none"/>
              </w:rPr>
            </w:pPr>
          </w:p>
        </w:tc>
        <w:tc>
          <w:tcPr>
            <w:tcW w:w="1351" w:type="dxa"/>
            <w:noWrap/>
          </w:tcPr>
          <w:p w14:paraId="4C8E4C7A">
            <w:pPr>
              <w:spacing w:after="120" w:line="360" w:lineRule="atLeast"/>
              <w:jc w:val="center"/>
              <w:rPr>
                <w:rFonts w:ascii="新宋体" w:hAnsi="新宋体" w:eastAsia="新宋体"/>
                <w:color w:val="auto"/>
                <w:sz w:val="22"/>
                <w:szCs w:val="22"/>
                <w:highlight w:val="none"/>
              </w:rPr>
            </w:pPr>
          </w:p>
        </w:tc>
      </w:tr>
      <w:tr w14:paraId="63175C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505489CC">
            <w:pPr>
              <w:spacing w:after="120" w:line="360" w:lineRule="atLeast"/>
              <w:jc w:val="center"/>
              <w:rPr>
                <w:rFonts w:ascii="新宋体" w:hAnsi="新宋体" w:eastAsia="新宋体"/>
                <w:color w:val="auto"/>
                <w:sz w:val="22"/>
                <w:szCs w:val="22"/>
                <w:highlight w:val="none"/>
              </w:rPr>
            </w:pPr>
          </w:p>
        </w:tc>
        <w:tc>
          <w:tcPr>
            <w:tcW w:w="1538" w:type="dxa"/>
            <w:noWrap/>
          </w:tcPr>
          <w:p w14:paraId="6077F386">
            <w:pPr>
              <w:spacing w:after="120" w:line="360" w:lineRule="atLeast"/>
              <w:jc w:val="center"/>
              <w:rPr>
                <w:rFonts w:ascii="新宋体" w:hAnsi="新宋体" w:eastAsia="新宋体"/>
                <w:color w:val="auto"/>
                <w:sz w:val="22"/>
                <w:szCs w:val="22"/>
                <w:highlight w:val="none"/>
              </w:rPr>
            </w:pPr>
          </w:p>
        </w:tc>
        <w:tc>
          <w:tcPr>
            <w:tcW w:w="1583" w:type="dxa"/>
            <w:noWrap/>
          </w:tcPr>
          <w:p w14:paraId="613BB1F7">
            <w:pPr>
              <w:spacing w:after="120" w:line="360" w:lineRule="atLeast"/>
              <w:jc w:val="center"/>
              <w:rPr>
                <w:rFonts w:ascii="新宋体" w:hAnsi="新宋体" w:eastAsia="新宋体"/>
                <w:color w:val="auto"/>
                <w:sz w:val="22"/>
                <w:szCs w:val="22"/>
                <w:highlight w:val="none"/>
              </w:rPr>
            </w:pPr>
          </w:p>
        </w:tc>
        <w:tc>
          <w:tcPr>
            <w:tcW w:w="2036" w:type="dxa"/>
            <w:noWrap/>
          </w:tcPr>
          <w:p w14:paraId="15294CB7">
            <w:pPr>
              <w:spacing w:after="120" w:line="360" w:lineRule="atLeast"/>
              <w:jc w:val="center"/>
              <w:rPr>
                <w:rFonts w:ascii="新宋体" w:hAnsi="新宋体" w:eastAsia="新宋体"/>
                <w:color w:val="auto"/>
                <w:sz w:val="22"/>
                <w:szCs w:val="22"/>
                <w:highlight w:val="none"/>
              </w:rPr>
            </w:pPr>
          </w:p>
        </w:tc>
        <w:tc>
          <w:tcPr>
            <w:tcW w:w="1471" w:type="dxa"/>
            <w:noWrap/>
          </w:tcPr>
          <w:p w14:paraId="537B3C19">
            <w:pPr>
              <w:spacing w:after="120" w:line="360" w:lineRule="atLeast"/>
              <w:jc w:val="center"/>
              <w:rPr>
                <w:rFonts w:ascii="新宋体" w:hAnsi="新宋体" w:eastAsia="新宋体"/>
                <w:color w:val="auto"/>
                <w:sz w:val="22"/>
                <w:szCs w:val="22"/>
                <w:highlight w:val="none"/>
              </w:rPr>
            </w:pPr>
          </w:p>
        </w:tc>
        <w:tc>
          <w:tcPr>
            <w:tcW w:w="1007" w:type="dxa"/>
            <w:noWrap/>
          </w:tcPr>
          <w:p w14:paraId="18875A6D">
            <w:pPr>
              <w:spacing w:after="120" w:line="360" w:lineRule="atLeast"/>
              <w:jc w:val="center"/>
              <w:rPr>
                <w:rFonts w:ascii="新宋体" w:hAnsi="新宋体" w:eastAsia="新宋体"/>
                <w:color w:val="auto"/>
                <w:sz w:val="22"/>
                <w:szCs w:val="22"/>
                <w:highlight w:val="none"/>
              </w:rPr>
            </w:pPr>
          </w:p>
        </w:tc>
        <w:tc>
          <w:tcPr>
            <w:tcW w:w="1351" w:type="dxa"/>
            <w:noWrap/>
          </w:tcPr>
          <w:p w14:paraId="5144DB5E">
            <w:pPr>
              <w:spacing w:after="120" w:line="360" w:lineRule="atLeast"/>
              <w:jc w:val="center"/>
              <w:rPr>
                <w:rFonts w:ascii="新宋体" w:hAnsi="新宋体" w:eastAsia="新宋体"/>
                <w:color w:val="auto"/>
                <w:sz w:val="22"/>
                <w:szCs w:val="22"/>
                <w:highlight w:val="none"/>
              </w:rPr>
            </w:pPr>
          </w:p>
        </w:tc>
      </w:tr>
      <w:tr w14:paraId="40DF49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6E493FB7">
            <w:pPr>
              <w:spacing w:after="120" w:line="360" w:lineRule="atLeast"/>
              <w:jc w:val="center"/>
              <w:rPr>
                <w:rFonts w:ascii="新宋体" w:hAnsi="新宋体" w:eastAsia="新宋体"/>
                <w:color w:val="auto"/>
                <w:sz w:val="22"/>
                <w:szCs w:val="22"/>
                <w:highlight w:val="none"/>
              </w:rPr>
            </w:pPr>
          </w:p>
        </w:tc>
        <w:tc>
          <w:tcPr>
            <w:tcW w:w="1538" w:type="dxa"/>
            <w:noWrap/>
          </w:tcPr>
          <w:p w14:paraId="6994328A">
            <w:pPr>
              <w:spacing w:after="120" w:line="360" w:lineRule="atLeast"/>
              <w:jc w:val="center"/>
              <w:rPr>
                <w:rFonts w:ascii="新宋体" w:hAnsi="新宋体" w:eastAsia="新宋体"/>
                <w:color w:val="auto"/>
                <w:sz w:val="22"/>
                <w:szCs w:val="22"/>
                <w:highlight w:val="none"/>
              </w:rPr>
            </w:pPr>
          </w:p>
        </w:tc>
        <w:tc>
          <w:tcPr>
            <w:tcW w:w="1583" w:type="dxa"/>
            <w:noWrap/>
          </w:tcPr>
          <w:p w14:paraId="1BACD3EA">
            <w:pPr>
              <w:spacing w:after="120" w:line="360" w:lineRule="atLeast"/>
              <w:jc w:val="center"/>
              <w:rPr>
                <w:rFonts w:ascii="新宋体" w:hAnsi="新宋体" w:eastAsia="新宋体"/>
                <w:color w:val="auto"/>
                <w:sz w:val="22"/>
                <w:szCs w:val="22"/>
                <w:highlight w:val="none"/>
              </w:rPr>
            </w:pPr>
          </w:p>
        </w:tc>
        <w:tc>
          <w:tcPr>
            <w:tcW w:w="2036" w:type="dxa"/>
            <w:noWrap/>
          </w:tcPr>
          <w:p w14:paraId="06FF8C91">
            <w:pPr>
              <w:spacing w:after="120" w:line="360" w:lineRule="atLeast"/>
              <w:jc w:val="center"/>
              <w:rPr>
                <w:rFonts w:ascii="新宋体" w:hAnsi="新宋体" w:eastAsia="新宋体"/>
                <w:color w:val="auto"/>
                <w:sz w:val="22"/>
                <w:szCs w:val="22"/>
                <w:highlight w:val="none"/>
              </w:rPr>
            </w:pPr>
          </w:p>
        </w:tc>
        <w:tc>
          <w:tcPr>
            <w:tcW w:w="1471" w:type="dxa"/>
            <w:noWrap/>
          </w:tcPr>
          <w:p w14:paraId="73745F7D">
            <w:pPr>
              <w:spacing w:after="120" w:line="360" w:lineRule="atLeast"/>
              <w:jc w:val="center"/>
              <w:rPr>
                <w:rFonts w:ascii="新宋体" w:hAnsi="新宋体" w:eastAsia="新宋体"/>
                <w:color w:val="auto"/>
                <w:sz w:val="22"/>
                <w:szCs w:val="22"/>
                <w:highlight w:val="none"/>
              </w:rPr>
            </w:pPr>
          </w:p>
        </w:tc>
        <w:tc>
          <w:tcPr>
            <w:tcW w:w="1007" w:type="dxa"/>
            <w:noWrap/>
          </w:tcPr>
          <w:p w14:paraId="4253F52F">
            <w:pPr>
              <w:spacing w:after="120" w:line="360" w:lineRule="atLeast"/>
              <w:jc w:val="center"/>
              <w:rPr>
                <w:rFonts w:ascii="新宋体" w:hAnsi="新宋体" w:eastAsia="新宋体"/>
                <w:color w:val="auto"/>
                <w:sz w:val="22"/>
                <w:szCs w:val="22"/>
                <w:highlight w:val="none"/>
              </w:rPr>
            </w:pPr>
          </w:p>
        </w:tc>
        <w:tc>
          <w:tcPr>
            <w:tcW w:w="1351" w:type="dxa"/>
            <w:noWrap/>
          </w:tcPr>
          <w:p w14:paraId="4CCC326F">
            <w:pPr>
              <w:spacing w:after="120" w:line="360" w:lineRule="atLeast"/>
              <w:jc w:val="center"/>
              <w:rPr>
                <w:rFonts w:ascii="新宋体" w:hAnsi="新宋体" w:eastAsia="新宋体"/>
                <w:color w:val="auto"/>
                <w:sz w:val="22"/>
                <w:szCs w:val="22"/>
                <w:highlight w:val="none"/>
              </w:rPr>
            </w:pPr>
          </w:p>
        </w:tc>
      </w:tr>
      <w:tr w14:paraId="116258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7833ACB6">
            <w:pPr>
              <w:spacing w:after="120" w:line="360" w:lineRule="atLeast"/>
              <w:jc w:val="center"/>
              <w:rPr>
                <w:rFonts w:ascii="新宋体" w:hAnsi="新宋体" w:eastAsia="新宋体"/>
                <w:color w:val="auto"/>
                <w:sz w:val="22"/>
                <w:szCs w:val="22"/>
                <w:highlight w:val="none"/>
              </w:rPr>
            </w:pPr>
          </w:p>
        </w:tc>
        <w:tc>
          <w:tcPr>
            <w:tcW w:w="1538" w:type="dxa"/>
            <w:noWrap/>
          </w:tcPr>
          <w:p w14:paraId="4D214399">
            <w:pPr>
              <w:spacing w:after="120" w:line="360" w:lineRule="atLeast"/>
              <w:jc w:val="center"/>
              <w:rPr>
                <w:rFonts w:ascii="新宋体" w:hAnsi="新宋体" w:eastAsia="新宋体"/>
                <w:color w:val="auto"/>
                <w:sz w:val="22"/>
                <w:szCs w:val="22"/>
                <w:highlight w:val="none"/>
              </w:rPr>
            </w:pPr>
          </w:p>
        </w:tc>
        <w:tc>
          <w:tcPr>
            <w:tcW w:w="1583" w:type="dxa"/>
            <w:noWrap/>
          </w:tcPr>
          <w:p w14:paraId="61797019">
            <w:pPr>
              <w:spacing w:after="120" w:line="360" w:lineRule="atLeast"/>
              <w:jc w:val="center"/>
              <w:rPr>
                <w:rFonts w:ascii="新宋体" w:hAnsi="新宋体" w:eastAsia="新宋体"/>
                <w:color w:val="auto"/>
                <w:sz w:val="22"/>
                <w:szCs w:val="22"/>
                <w:highlight w:val="none"/>
              </w:rPr>
            </w:pPr>
          </w:p>
        </w:tc>
        <w:tc>
          <w:tcPr>
            <w:tcW w:w="2036" w:type="dxa"/>
            <w:noWrap/>
          </w:tcPr>
          <w:p w14:paraId="15C89CAC">
            <w:pPr>
              <w:spacing w:after="120" w:line="360" w:lineRule="atLeast"/>
              <w:jc w:val="center"/>
              <w:rPr>
                <w:rFonts w:ascii="新宋体" w:hAnsi="新宋体" w:eastAsia="新宋体"/>
                <w:color w:val="auto"/>
                <w:sz w:val="22"/>
                <w:szCs w:val="22"/>
                <w:highlight w:val="none"/>
              </w:rPr>
            </w:pPr>
          </w:p>
        </w:tc>
        <w:tc>
          <w:tcPr>
            <w:tcW w:w="1471" w:type="dxa"/>
            <w:noWrap/>
          </w:tcPr>
          <w:p w14:paraId="547B3921">
            <w:pPr>
              <w:spacing w:after="120" w:line="360" w:lineRule="atLeast"/>
              <w:jc w:val="center"/>
              <w:rPr>
                <w:rFonts w:ascii="新宋体" w:hAnsi="新宋体" w:eastAsia="新宋体"/>
                <w:color w:val="auto"/>
                <w:sz w:val="22"/>
                <w:szCs w:val="22"/>
                <w:highlight w:val="none"/>
              </w:rPr>
            </w:pPr>
          </w:p>
        </w:tc>
        <w:tc>
          <w:tcPr>
            <w:tcW w:w="1007" w:type="dxa"/>
            <w:noWrap/>
          </w:tcPr>
          <w:p w14:paraId="4EAC8557">
            <w:pPr>
              <w:spacing w:after="120" w:line="360" w:lineRule="atLeast"/>
              <w:jc w:val="center"/>
              <w:rPr>
                <w:rFonts w:ascii="新宋体" w:hAnsi="新宋体" w:eastAsia="新宋体"/>
                <w:color w:val="auto"/>
                <w:sz w:val="22"/>
                <w:szCs w:val="22"/>
                <w:highlight w:val="none"/>
              </w:rPr>
            </w:pPr>
          </w:p>
        </w:tc>
        <w:tc>
          <w:tcPr>
            <w:tcW w:w="1351" w:type="dxa"/>
            <w:noWrap/>
          </w:tcPr>
          <w:p w14:paraId="380664BB">
            <w:pPr>
              <w:spacing w:after="120" w:line="360" w:lineRule="atLeast"/>
              <w:jc w:val="center"/>
              <w:rPr>
                <w:rFonts w:ascii="新宋体" w:hAnsi="新宋体" w:eastAsia="新宋体"/>
                <w:color w:val="auto"/>
                <w:sz w:val="22"/>
                <w:szCs w:val="22"/>
                <w:highlight w:val="none"/>
              </w:rPr>
            </w:pPr>
          </w:p>
        </w:tc>
      </w:tr>
      <w:tr w14:paraId="056A75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tcPr>
          <w:p w14:paraId="6FE4F292">
            <w:pPr>
              <w:spacing w:after="120" w:line="360" w:lineRule="atLeast"/>
              <w:jc w:val="center"/>
              <w:rPr>
                <w:rFonts w:ascii="新宋体" w:hAnsi="新宋体" w:eastAsia="新宋体"/>
                <w:color w:val="auto"/>
                <w:sz w:val="22"/>
                <w:szCs w:val="22"/>
                <w:highlight w:val="none"/>
              </w:rPr>
            </w:pPr>
          </w:p>
        </w:tc>
        <w:tc>
          <w:tcPr>
            <w:tcW w:w="1538" w:type="dxa"/>
            <w:noWrap/>
          </w:tcPr>
          <w:p w14:paraId="7C832A83">
            <w:pPr>
              <w:spacing w:after="120" w:line="360" w:lineRule="atLeast"/>
              <w:jc w:val="center"/>
              <w:rPr>
                <w:rFonts w:ascii="新宋体" w:hAnsi="新宋体" w:eastAsia="新宋体"/>
                <w:color w:val="auto"/>
                <w:sz w:val="22"/>
                <w:szCs w:val="22"/>
                <w:highlight w:val="none"/>
              </w:rPr>
            </w:pPr>
          </w:p>
        </w:tc>
        <w:tc>
          <w:tcPr>
            <w:tcW w:w="1583" w:type="dxa"/>
            <w:noWrap/>
          </w:tcPr>
          <w:p w14:paraId="3F85B796">
            <w:pPr>
              <w:spacing w:after="120" w:line="360" w:lineRule="atLeast"/>
              <w:jc w:val="center"/>
              <w:rPr>
                <w:rFonts w:ascii="新宋体" w:hAnsi="新宋体" w:eastAsia="新宋体"/>
                <w:color w:val="auto"/>
                <w:sz w:val="22"/>
                <w:szCs w:val="22"/>
                <w:highlight w:val="none"/>
              </w:rPr>
            </w:pPr>
          </w:p>
        </w:tc>
        <w:tc>
          <w:tcPr>
            <w:tcW w:w="2036" w:type="dxa"/>
            <w:noWrap/>
          </w:tcPr>
          <w:p w14:paraId="319B8EF1">
            <w:pPr>
              <w:spacing w:after="120" w:line="360" w:lineRule="atLeast"/>
              <w:jc w:val="center"/>
              <w:rPr>
                <w:rFonts w:ascii="新宋体" w:hAnsi="新宋体" w:eastAsia="新宋体"/>
                <w:color w:val="auto"/>
                <w:sz w:val="22"/>
                <w:szCs w:val="22"/>
                <w:highlight w:val="none"/>
              </w:rPr>
            </w:pPr>
          </w:p>
        </w:tc>
        <w:tc>
          <w:tcPr>
            <w:tcW w:w="1471" w:type="dxa"/>
            <w:noWrap/>
          </w:tcPr>
          <w:p w14:paraId="51591460">
            <w:pPr>
              <w:spacing w:after="120" w:line="360" w:lineRule="atLeast"/>
              <w:jc w:val="center"/>
              <w:rPr>
                <w:rFonts w:ascii="新宋体" w:hAnsi="新宋体" w:eastAsia="新宋体"/>
                <w:color w:val="auto"/>
                <w:sz w:val="22"/>
                <w:szCs w:val="22"/>
                <w:highlight w:val="none"/>
              </w:rPr>
            </w:pPr>
          </w:p>
        </w:tc>
        <w:tc>
          <w:tcPr>
            <w:tcW w:w="1007" w:type="dxa"/>
            <w:noWrap/>
          </w:tcPr>
          <w:p w14:paraId="71749689">
            <w:pPr>
              <w:spacing w:after="120" w:line="360" w:lineRule="atLeast"/>
              <w:jc w:val="center"/>
              <w:rPr>
                <w:rFonts w:ascii="新宋体" w:hAnsi="新宋体" w:eastAsia="新宋体"/>
                <w:color w:val="auto"/>
                <w:sz w:val="22"/>
                <w:szCs w:val="22"/>
                <w:highlight w:val="none"/>
              </w:rPr>
            </w:pPr>
          </w:p>
        </w:tc>
        <w:tc>
          <w:tcPr>
            <w:tcW w:w="1351" w:type="dxa"/>
            <w:noWrap/>
          </w:tcPr>
          <w:p w14:paraId="16A6DB1C">
            <w:pPr>
              <w:spacing w:after="120" w:line="360" w:lineRule="atLeast"/>
              <w:jc w:val="center"/>
              <w:rPr>
                <w:rFonts w:ascii="新宋体" w:hAnsi="新宋体" w:eastAsia="新宋体"/>
                <w:color w:val="auto"/>
                <w:sz w:val="22"/>
                <w:szCs w:val="22"/>
                <w:highlight w:val="none"/>
              </w:rPr>
            </w:pPr>
          </w:p>
        </w:tc>
      </w:tr>
      <w:tr w14:paraId="516346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834" w:type="dxa"/>
            <w:noWrap/>
          </w:tcPr>
          <w:p w14:paraId="36E065EA">
            <w:pPr>
              <w:spacing w:after="120" w:line="360" w:lineRule="atLeast"/>
              <w:jc w:val="center"/>
              <w:rPr>
                <w:rFonts w:ascii="新宋体" w:hAnsi="新宋体" w:eastAsia="新宋体"/>
                <w:color w:val="auto"/>
                <w:sz w:val="22"/>
                <w:szCs w:val="22"/>
                <w:highlight w:val="none"/>
              </w:rPr>
            </w:pPr>
          </w:p>
        </w:tc>
        <w:tc>
          <w:tcPr>
            <w:tcW w:w="1538" w:type="dxa"/>
            <w:noWrap/>
          </w:tcPr>
          <w:p w14:paraId="6CC1F7A2">
            <w:pPr>
              <w:spacing w:after="120" w:line="360" w:lineRule="atLeast"/>
              <w:jc w:val="center"/>
              <w:rPr>
                <w:rFonts w:ascii="新宋体" w:hAnsi="新宋体" w:eastAsia="新宋体"/>
                <w:color w:val="auto"/>
                <w:sz w:val="22"/>
                <w:szCs w:val="22"/>
                <w:highlight w:val="none"/>
              </w:rPr>
            </w:pPr>
          </w:p>
        </w:tc>
        <w:tc>
          <w:tcPr>
            <w:tcW w:w="1583" w:type="dxa"/>
            <w:noWrap/>
          </w:tcPr>
          <w:p w14:paraId="54AE9E38">
            <w:pPr>
              <w:spacing w:after="120" w:line="360" w:lineRule="atLeast"/>
              <w:jc w:val="center"/>
              <w:rPr>
                <w:rFonts w:ascii="新宋体" w:hAnsi="新宋体" w:eastAsia="新宋体"/>
                <w:color w:val="auto"/>
                <w:sz w:val="22"/>
                <w:szCs w:val="22"/>
                <w:highlight w:val="none"/>
              </w:rPr>
            </w:pPr>
          </w:p>
        </w:tc>
        <w:tc>
          <w:tcPr>
            <w:tcW w:w="2036" w:type="dxa"/>
            <w:noWrap/>
          </w:tcPr>
          <w:p w14:paraId="46546E41">
            <w:pPr>
              <w:spacing w:after="120" w:line="360" w:lineRule="atLeast"/>
              <w:jc w:val="center"/>
              <w:rPr>
                <w:rFonts w:ascii="新宋体" w:hAnsi="新宋体" w:eastAsia="新宋体"/>
                <w:color w:val="auto"/>
                <w:sz w:val="22"/>
                <w:szCs w:val="22"/>
                <w:highlight w:val="none"/>
              </w:rPr>
            </w:pPr>
          </w:p>
        </w:tc>
        <w:tc>
          <w:tcPr>
            <w:tcW w:w="1471" w:type="dxa"/>
            <w:noWrap/>
          </w:tcPr>
          <w:p w14:paraId="5BC0E095">
            <w:pPr>
              <w:spacing w:after="120" w:line="360" w:lineRule="atLeast"/>
              <w:jc w:val="center"/>
              <w:rPr>
                <w:rFonts w:ascii="新宋体" w:hAnsi="新宋体" w:eastAsia="新宋体"/>
                <w:color w:val="auto"/>
                <w:sz w:val="22"/>
                <w:szCs w:val="22"/>
                <w:highlight w:val="none"/>
              </w:rPr>
            </w:pPr>
          </w:p>
        </w:tc>
        <w:tc>
          <w:tcPr>
            <w:tcW w:w="1007" w:type="dxa"/>
            <w:noWrap/>
          </w:tcPr>
          <w:p w14:paraId="1564002F">
            <w:pPr>
              <w:spacing w:after="120" w:line="360" w:lineRule="atLeast"/>
              <w:jc w:val="center"/>
              <w:rPr>
                <w:rFonts w:ascii="新宋体" w:hAnsi="新宋体" w:eastAsia="新宋体"/>
                <w:color w:val="auto"/>
                <w:sz w:val="22"/>
                <w:szCs w:val="22"/>
                <w:highlight w:val="none"/>
              </w:rPr>
            </w:pPr>
          </w:p>
        </w:tc>
        <w:tc>
          <w:tcPr>
            <w:tcW w:w="1351" w:type="dxa"/>
            <w:noWrap/>
          </w:tcPr>
          <w:p w14:paraId="51D83963">
            <w:pPr>
              <w:spacing w:after="120" w:line="360" w:lineRule="atLeast"/>
              <w:jc w:val="center"/>
              <w:rPr>
                <w:rFonts w:ascii="新宋体" w:hAnsi="新宋体" w:eastAsia="新宋体"/>
                <w:color w:val="auto"/>
                <w:sz w:val="22"/>
                <w:szCs w:val="22"/>
                <w:highlight w:val="none"/>
              </w:rPr>
            </w:pPr>
          </w:p>
        </w:tc>
      </w:tr>
    </w:tbl>
    <w:p w14:paraId="5F0BB41D">
      <w:pPr>
        <w:spacing w:line="380" w:lineRule="exact"/>
        <w:rPr>
          <w:rFonts w:eastAsia="新宋体"/>
          <w:color w:val="auto"/>
          <w:sz w:val="22"/>
          <w:szCs w:val="22"/>
          <w:highlight w:val="none"/>
        </w:rPr>
      </w:pPr>
      <w:r>
        <w:rPr>
          <w:rFonts w:hint="eastAsia" w:eastAsia="新宋体"/>
          <w:color w:val="auto"/>
          <w:sz w:val="22"/>
          <w:szCs w:val="22"/>
          <w:highlight w:val="none"/>
        </w:rPr>
        <w:t>注：1、每项业绩须提供相关的证明材料，以合同文本为准（扫描件上加盖投标人有效的公章）；</w:t>
      </w:r>
    </w:p>
    <w:p w14:paraId="0AEC0BF1">
      <w:pPr>
        <w:spacing w:line="380" w:lineRule="exact"/>
        <w:rPr>
          <w:rFonts w:eastAsia="新宋体"/>
          <w:color w:val="auto"/>
          <w:sz w:val="22"/>
          <w:szCs w:val="22"/>
          <w:highlight w:val="none"/>
        </w:rPr>
      </w:pPr>
      <w:r>
        <w:rPr>
          <w:rFonts w:hint="eastAsia" w:eastAsia="新宋体"/>
          <w:color w:val="auto"/>
          <w:sz w:val="22"/>
          <w:szCs w:val="22"/>
          <w:highlight w:val="none"/>
        </w:rPr>
        <w:t>2、本表可在不改变格式的情况下根据具体需要自行增减。</w:t>
      </w:r>
    </w:p>
    <w:p w14:paraId="74C938D9">
      <w:pPr>
        <w:spacing w:line="380" w:lineRule="exact"/>
        <w:rPr>
          <w:rFonts w:eastAsia="新宋体"/>
          <w:color w:val="auto"/>
          <w:sz w:val="22"/>
          <w:szCs w:val="22"/>
          <w:highlight w:val="none"/>
        </w:rPr>
      </w:pPr>
    </w:p>
    <w:p w14:paraId="1181A23A">
      <w:pPr>
        <w:spacing w:line="380" w:lineRule="exact"/>
        <w:rPr>
          <w:rFonts w:eastAsia="新宋体"/>
          <w:b/>
          <w:bCs/>
          <w:color w:val="auto"/>
          <w:sz w:val="22"/>
          <w:szCs w:val="22"/>
          <w:highlight w:val="none"/>
        </w:rPr>
      </w:pPr>
    </w:p>
    <w:p w14:paraId="5D5BA4CA">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投标人全称（盖章）：</w:t>
      </w:r>
    </w:p>
    <w:p w14:paraId="656FE7A7">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法定代表人或授权代表（签字）：</w:t>
      </w:r>
    </w:p>
    <w:p w14:paraId="1DBA623A">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日期：  年   月  日</w:t>
      </w:r>
    </w:p>
    <w:p w14:paraId="07FB2907">
      <w:pPr>
        <w:spacing w:line="360" w:lineRule="auto"/>
        <w:rPr>
          <w:rFonts w:eastAsia="新宋体"/>
          <w:color w:val="auto"/>
          <w:highlight w:val="none"/>
        </w:rPr>
      </w:pPr>
    </w:p>
    <w:p w14:paraId="537AD863">
      <w:pPr>
        <w:pStyle w:val="29"/>
        <w:spacing w:line="400" w:lineRule="atLeast"/>
        <w:jc w:val="left"/>
        <w:rPr>
          <w:rFonts w:hAnsi="宋体" w:cs="宋体"/>
          <w:color w:val="auto"/>
          <w:sz w:val="22"/>
          <w:szCs w:val="22"/>
          <w:highlight w:val="none"/>
        </w:rPr>
      </w:pPr>
      <w:r>
        <w:rPr>
          <w:rFonts w:hint="eastAsia" w:ascii="新宋体" w:hAnsi="新宋体" w:eastAsia="新宋体"/>
          <w:b/>
          <w:color w:val="auto"/>
          <w:sz w:val="28"/>
          <w:highlight w:val="none"/>
        </w:rPr>
        <w:br w:type="page"/>
      </w:r>
      <w:r>
        <w:rPr>
          <w:rFonts w:hint="eastAsia" w:hAnsi="宋体" w:cs="宋体"/>
          <w:color w:val="auto"/>
          <w:sz w:val="22"/>
          <w:szCs w:val="22"/>
          <w:highlight w:val="none"/>
        </w:rPr>
        <w:t xml:space="preserve"> （报价文件封面，供参考）</w:t>
      </w:r>
    </w:p>
    <w:p w14:paraId="60B1C5D2">
      <w:pPr>
        <w:rPr>
          <w:rFonts w:ascii="宋体" w:hAnsi="宋体" w:cs="宋体"/>
          <w:color w:val="auto"/>
          <w:highlight w:val="none"/>
        </w:rPr>
      </w:pPr>
    </w:p>
    <w:p w14:paraId="76C4667B">
      <w:pPr>
        <w:rPr>
          <w:rFonts w:ascii="宋体" w:hAnsi="宋体" w:cs="宋体"/>
          <w:color w:val="auto"/>
          <w:highlight w:val="none"/>
        </w:rPr>
      </w:pPr>
    </w:p>
    <w:p w14:paraId="4A3BF5BA">
      <w:pPr>
        <w:rPr>
          <w:rFonts w:ascii="宋体" w:hAnsi="宋体" w:cs="宋体"/>
          <w:color w:val="auto"/>
          <w:highlight w:val="none"/>
        </w:rPr>
      </w:pPr>
    </w:p>
    <w:p w14:paraId="5A4680B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投标文件</w:t>
      </w:r>
    </w:p>
    <w:p w14:paraId="585B0130">
      <w:pPr>
        <w:rPr>
          <w:rFonts w:hint="eastAsia" w:ascii="宋体" w:hAnsi="宋体" w:cs="宋体"/>
          <w:color w:val="auto"/>
          <w:sz w:val="28"/>
          <w:szCs w:val="28"/>
          <w:highlight w:val="none"/>
        </w:rPr>
      </w:pPr>
    </w:p>
    <w:p w14:paraId="63FF9C77">
      <w:pPr>
        <w:rPr>
          <w:rFonts w:hint="eastAsia" w:ascii="宋体" w:hAnsi="宋体" w:cs="宋体"/>
          <w:color w:val="auto"/>
          <w:sz w:val="28"/>
          <w:szCs w:val="28"/>
          <w:highlight w:val="none"/>
        </w:rPr>
      </w:pPr>
    </w:p>
    <w:p w14:paraId="7E58D0FB">
      <w:pPr>
        <w:pStyle w:val="55"/>
        <w:ind w:firstLine="281"/>
        <w:rPr>
          <w:rFonts w:hint="eastAsia" w:ascii="宋体" w:hAnsi="宋体" w:cs="宋体"/>
          <w:color w:val="auto"/>
          <w:sz w:val="28"/>
          <w:szCs w:val="28"/>
          <w:highlight w:val="none"/>
        </w:rPr>
      </w:pPr>
    </w:p>
    <w:p w14:paraId="28744D94">
      <w:pPr>
        <w:pStyle w:val="55"/>
        <w:ind w:firstLine="281"/>
        <w:rPr>
          <w:rFonts w:hint="eastAsia" w:ascii="宋体" w:hAnsi="宋体" w:cs="宋体"/>
          <w:color w:val="auto"/>
          <w:sz w:val="28"/>
          <w:szCs w:val="28"/>
          <w:highlight w:val="none"/>
        </w:rPr>
      </w:pPr>
    </w:p>
    <w:p w14:paraId="221BAB55">
      <w:pPr>
        <w:rPr>
          <w:rFonts w:hint="eastAsia" w:ascii="宋体" w:hAnsi="宋体" w:cs="宋体"/>
          <w:color w:val="auto"/>
          <w:sz w:val="28"/>
          <w:szCs w:val="28"/>
          <w:highlight w:val="none"/>
        </w:rPr>
      </w:pPr>
    </w:p>
    <w:p w14:paraId="08FED090">
      <w:pPr>
        <w:rPr>
          <w:rFonts w:hint="eastAsia" w:ascii="宋体" w:hAnsi="宋体" w:cs="宋体"/>
          <w:color w:val="auto"/>
          <w:sz w:val="28"/>
          <w:szCs w:val="28"/>
          <w:highlight w:val="none"/>
        </w:rPr>
      </w:pPr>
    </w:p>
    <w:p w14:paraId="1F8CE469">
      <w:pPr>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报 价 文 件</w:t>
      </w:r>
    </w:p>
    <w:p w14:paraId="18D73C63">
      <w:pPr>
        <w:spacing w:line="360" w:lineRule="auto"/>
        <w:rPr>
          <w:rFonts w:hint="eastAsia" w:ascii="宋体" w:hAnsi="宋体" w:cs="宋体"/>
          <w:color w:val="auto"/>
          <w:szCs w:val="21"/>
          <w:highlight w:val="none"/>
        </w:rPr>
      </w:pPr>
    </w:p>
    <w:p w14:paraId="6042E3A0">
      <w:pPr>
        <w:spacing w:line="360" w:lineRule="auto"/>
        <w:rPr>
          <w:rFonts w:hint="eastAsia" w:ascii="宋体" w:hAnsi="宋体" w:cs="宋体"/>
          <w:color w:val="auto"/>
          <w:szCs w:val="21"/>
          <w:highlight w:val="none"/>
        </w:rPr>
      </w:pPr>
    </w:p>
    <w:p w14:paraId="031E3E0F">
      <w:pPr>
        <w:spacing w:line="360" w:lineRule="auto"/>
        <w:rPr>
          <w:rFonts w:hint="eastAsia" w:ascii="宋体" w:hAnsi="宋体" w:cs="宋体"/>
          <w:color w:val="auto"/>
          <w:szCs w:val="21"/>
          <w:highlight w:val="none"/>
        </w:rPr>
      </w:pPr>
    </w:p>
    <w:p w14:paraId="1B7B1481">
      <w:pPr>
        <w:spacing w:line="360" w:lineRule="auto"/>
        <w:rPr>
          <w:rFonts w:hint="eastAsia" w:ascii="宋体" w:hAnsi="宋体" w:cs="宋体"/>
          <w:color w:val="auto"/>
          <w:szCs w:val="21"/>
          <w:highlight w:val="none"/>
        </w:rPr>
      </w:pPr>
    </w:p>
    <w:p w14:paraId="07B9EACB">
      <w:pPr>
        <w:spacing w:line="360" w:lineRule="auto"/>
        <w:rPr>
          <w:rFonts w:hint="eastAsia" w:ascii="宋体" w:hAnsi="宋体" w:cs="宋体"/>
          <w:color w:val="auto"/>
          <w:szCs w:val="21"/>
          <w:highlight w:val="none"/>
        </w:rPr>
      </w:pPr>
    </w:p>
    <w:p w14:paraId="4690033A">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投标人</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15F4B4B6">
      <w:pPr>
        <w:rPr>
          <w:rFonts w:hint="eastAsia" w:ascii="宋体" w:hAnsi="宋体" w:cs="宋体"/>
          <w:color w:val="auto"/>
          <w:sz w:val="28"/>
          <w:szCs w:val="28"/>
          <w:highlight w:val="none"/>
          <w:u w:val="single"/>
        </w:rPr>
      </w:pPr>
    </w:p>
    <w:p w14:paraId="7F9089D3">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2E3BD662">
      <w:pPr>
        <w:rPr>
          <w:rFonts w:hint="eastAsia" w:ascii="宋体" w:hAnsi="宋体" w:cs="宋体"/>
          <w:color w:val="auto"/>
          <w:sz w:val="28"/>
          <w:szCs w:val="28"/>
          <w:highlight w:val="none"/>
        </w:rPr>
      </w:pPr>
    </w:p>
    <w:p w14:paraId="0479936A">
      <w:pPr>
        <w:overflowPunct w:val="0"/>
        <w:spacing w:line="380" w:lineRule="exact"/>
        <w:ind w:firstLine="2738" w:firstLineChars="978"/>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36759ECA">
      <w:pPr>
        <w:overflowPunct w:val="0"/>
        <w:spacing w:line="380" w:lineRule="exact"/>
        <w:rPr>
          <w:rFonts w:ascii="宋体" w:hAnsi="宋体" w:cs="宋体"/>
          <w:b/>
          <w:bCs/>
          <w:color w:val="auto"/>
          <w:sz w:val="22"/>
          <w:szCs w:val="22"/>
          <w:highlight w:val="none"/>
        </w:rPr>
      </w:pPr>
      <w:r>
        <w:rPr>
          <w:rFonts w:hint="eastAsia" w:ascii="宋体" w:hAnsi="宋体" w:cs="宋体"/>
          <w:color w:val="auto"/>
          <w:sz w:val="22"/>
          <w:szCs w:val="22"/>
          <w:highlight w:val="none"/>
        </w:rPr>
        <w:br w:type="page"/>
      </w:r>
      <w:r>
        <w:rPr>
          <w:rFonts w:hint="eastAsia" w:ascii="宋体" w:hAnsi="宋体" w:cs="宋体"/>
          <w:b/>
          <w:bCs/>
          <w:color w:val="auto"/>
          <w:sz w:val="22"/>
          <w:szCs w:val="22"/>
          <w:highlight w:val="none"/>
        </w:rPr>
        <w:t>附件一</w:t>
      </w:r>
    </w:p>
    <w:p w14:paraId="232594CE">
      <w:pPr>
        <w:autoSpaceDE w:val="0"/>
        <w:autoSpaceDN w:val="0"/>
        <w:adjustRightInd w:val="0"/>
        <w:spacing w:line="460" w:lineRule="atLeast"/>
        <w:jc w:val="center"/>
        <w:rPr>
          <w:rFonts w:ascii="宋体" w:hAnsi="宋体" w:cs="宋体"/>
          <w:b/>
          <w:bCs/>
          <w:color w:val="auto"/>
          <w:kern w:val="0"/>
          <w:sz w:val="28"/>
          <w:szCs w:val="28"/>
          <w:highlight w:val="none"/>
          <w:lang w:val="zh-CN"/>
        </w:rPr>
      </w:pPr>
    </w:p>
    <w:p w14:paraId="42852EE4">
      <w:pPr>
        <w:jc w:val="center"/>
        <w:rPr>
          <w:rFonts w:ascii="宋体" w:hAnsi="宋体" w:cs="宋体"/>
          <w:b/>
          <w:color w:val="auto"/>
          <w:sz w:val="28"/>
          <w:highlight w:val="none"/>
        </w:rPr>
      </w:pPr>
      <w:r>
        <w:rPr>
          <w:rFonts w:hint="eastAsia" w:ascii="宋体" w:hAnsi="宋体" w:cs="宋体"/>
          <w:b/>
          <w:color w:val="auto"/>
          <w:sz w:val="28"/>
          <w:highlight w:val="none"/>
        </w:rPr>
        <w:t>开标一览表</w:t>
      </w:r>
    </w:p>
    <w:p w14:paraId="0FFF04C7">
      <w:pPr>
        <w:overflowPunct w:val="0"/>
        <w:spacing w:line="380" w:lineRule="exact"/>
        <w:jc w:val="center"/>
        <w:rPr>
          <w:rFonts w:ascii="宋体" w:hAnsi="宋体" w:cs="宋体"/>
          <w:b/>
          <w:bCs/>
          <w:color w:val="auto"/>
          <w:sz w:val="28"/>
          <w:highlight w:val="none"/>
        </w:rPr>
      </w:pPr>
    </w:p>
    <w:p w14:paraId="07D8133D">
      <w:pPr>
        <w:overflowPunct w:val="0"/>
        <w:spacing w:line="380" w:lineRule="exact"/>
        <w:jc w:val="center"/>
        <w:rPr>
          <w:rFonts w:ascii="宋体" w:hAnsi="宋体" w:cs="宋体"/>
          <w:b/>
          <w:bCs/>
          <w:color w:val="auto"/>
          <w:sz w:val="28"/>
          <w:highlight w:val="none"/>
        </w:rPr>
      </w:pPr>
    </w:p>
    <w:p w14:paraId="487387A3">
      <w:pPr>
        <w:overflowPunct w:val="0"/>
        <w:spacing w:line="380" w:lineRule="exact"/>
        <w:rPr>
          <w:rFonts w:ascii="宋体" w:hAnsi="宋体" w:cs="宋体"/>
          <w:bCs/>
          <w:color w:val="auto"/>
          <w:sz w:val="22"/>
          <w:szCs w:val="22"/>
          <w:highlight w:val="none"/>
        </w:rPr>
      </w:pPr>
      <w:r>
        <w:rPr>
          <w:rFonts w:hint="eastAsia" w:ascii="宋体" w:hAnsi="宋体" w:cs="宋体"/>
          <w:bCs/>
          <w:color w:val="auto"/>
          <w:sz w:val="22"/>
          <w:szCs w:val="22"/>
          <w:highlight w:val="none"/>
        </w:rPr>
        <w:t>项目名称：                                   项目编号：</w:t>
      </w:r>
    </w:p>
    <w:tbl>
      <w:tblPr>
        <w:tblStyle w:val="57"/>
        <w:tblW w:w="102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0"/>
      </w:tblGrid>
      <w:tr w14:paraId="4C2EF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0" w:hRule="atLeast"/>
          <w:jc w:val="center"/>
        </w:trPr>
        <w:tc>
          <w:tcPr>
            <w:tcW w:w="10200" w:type="dxa"/>
            <w:tcBorders>
              <w:left w:val="single" w:color="auto" w:sz="12" w:space="0"/>
              <w:bottom w:val="single" w:color="auto" w:sz="12" w:space="0"/>
              <w:right w:val="single" w:color="auto" w:sz="12" w:space="0"/>
            </w:tcBorders>
            <w:noWrap/>
            <w:vAlign w:val="center"/>
          </w:tcPr>
          <w:p w14:paraId="68DCD48D">
            <w:pPr>
              <w:autoSpaceDE w:val="0"/>
              <w:autoSpaceDN w:val="0"/>
              <w:adjustRightInd w:val="0"/>
              <w:spacing w:line="380" w:lineRule="atLeast"/>
              <w:ind w:right="349" w:firstLine="331"/>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投标总价（大写）：</w:t>
            </w:r>
          </w:p>
          <w:p w14:paraId="05530770">
            <w:pPr>
              <w:autoSpaceDE w:val="0"/>
              <w:autoSpaceDN w:val="0"/>
              <w:adjustRightInd w:val="0"/>
              <w:spacing w:line="380" w:lineRule="atLeast"/>
              <w:ind w:right="349" w:firstLine="331"/>
              <w:jc w:val="left"/>
              <w:rPr>
                <w:rFonts w:ascii="宋体" w:hAnsi="宋体" w:cs="宋体"/>
                <w:b/>
                <w:bCs/>
                <w:color w:val="auto"/>
                <w:kern w:val="0"/>
                <w:sz w:val="22"/>
                <w:szCs w:val="22"/>
                <w:highlight w:val="none"/>
              </w:rPr>
            </w:pPr>
          </w:p>
          <w:p w14:paraId="4F610FB8">
            <w:pPr>
              <w:autoSpaceDE w:val="0"/>
              <w:autoSpaceDN w:val="0"/>
              <w:adjustRightInd w:val="0"/>
              <w:spacing w:line="380" w:lineRule="atLeast"/>
              <w:ind w:right="349" w:firstLine="331"/>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（小写）¥</w:t>
            </w:r>
          </w:p>
        </w:tc>
      </w:tr>
    </w:tbl>
    <w:p w14:paraId="080432C3">
      <w:pPr>
        <w:overflowPunct w:val="0"/>
        <w:spacing w:line="380" w:lineRule="exact"/>
        <w:rPr>
          <w:rFonts w:ascii="宋体" w:hAnsi="宋体" w:cs="宋体"/>
          <w:bCs/>
          <w:color w:val="auto"/>
          <w:sz w:val="22"/>
          <w:szCs w:val="22"/>
          <w:highlight w:val="none"/>
        </w:rPr>
      </w:pPr>
    </w:p>
    <w:p w14:paraId="439492D2">
      <w:pPr>
        <w:overflowPunct w:val="0"/>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说明：</w:t>
      </w:r>
    </w:p>
    <w:p w14:paraId="0C6ADB8D">
      <w:pPr>
        <w:spacing w:line="380" w:lineRule="exact"/>
        <w:ind w:left="11" w:hanging="11" w:hangingChars="5"/>
        <w:rPr>
          <w:rFonts w:ascii="宋体" w:hAnsi="宋体" w:cs="宋体"/>
          <w:b/>
          <w:color w:val="auto"/>
          <w:sz w:val="22"/>
          <w:highlight w:val="none"/>
        </w:rPr>
      </w:pPr>
      <w:r>
        <w:rPr>
          <w:rFonts w:hint="eastAsia" w:ascii="宋体" w:hAnsi="宋体" w:cs="宋体"/>
          <w:b/>
          <w:color w:val="auto"/>
          <w:sz w:val="22"/>
          <w:highlight w:val="none"/>
        </w:rPr>
        <w:t>此栏内投标总价应与“投标分项报价表”中</w:t>
      </w:r>
      <w:r>
        <w:rPr>
          <w:rFonts w:hint="eastAsia" w:ascii="宋体" w:hAnsi="宋体" w:cs="宋体"/>
          <w:b/>
          <w:color w:val="auto"/>
          <w:sz w:val="22"/>
          <w:highlight w:val="none"/>
          <w:lang w:val="en-US" w:eastAsia="zh-CN"/>
        </w:rPr>
        <w:t>合计</w:t>
      </w:r>
      <w:r>
        <w:rPr>
          <w:rFonts w:hint="eastAsia" w:ascii="宋体" w:hAnsi="宋体" w:cs="宋体"/>
          <w:b/>
          <w:color w:val="auto"/>
          <w:sz w:val="22"/>
          <w:highlight w:val="none"/>
        </w:rPr>
        <w:t>价相一致。</w:t>
      </w:r>
    </w:p>
    <w:p w14:paraId="3DA8BA4B">
      <w:pPr>
        <w:overflowPunct w:val="0"/>
        <w:spacing w:line="460" w:lineRule="exact"/>
        <w:rPr>
          <w:rFonts w:ascii="宋体" w:hAnsi="宋体" w:cs="宋体"/>
          <w:b/>
          <w:color w:val="auto"/>
          <w:sz w:val="22"/>
          <w:szCs w:val="22"/>
          <w:highlight w:val="none"/>
        </w:rPr>
      </w:pPr>
    </w:p>
    <w:p w14:paraId="3FBB36D4">
      <w:pPr>
        <w:overflowPunct w:val="0"/>
        <w:spacing w:line="460" w:lineRule="exact"/>
        <w:rPr>
          <w:rFonts w:ascii="宋体" w:hAnsi="宋体" w:cs="宋体"/>
          <w:color w:val="auto"/>
          <w:sz w:val="22"/>
          <w:szCs w:val="22"/>
          <w:highlight w:val="none"/>
        </w:rPr>
      </w:pPr>
    </w:p>
    <w:p w14:paraId="01B06527">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投标人全称（盖章）：</w:t>
      </w:r>
    </w:p>
    <w:p w14:paraId="16AB47A9">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法定代表人或授权代表（签字）：</w:t>
      </w:r>
    </w:p>
    <w:p w14:paraId="6BE28688">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日期：  年   月  日</w:t>
      </w:r>
    </w:p>
    <w:p w14:paraId="473159DC">
      <w:pPr>
        <w:overflowPunct w:val="0"/>
        <w:spacing w:line="460" w:lineRule="exact"/>
        <w:rPr>
          <w:rFonts w:ascii="宋体" w:hAnsi="宋体" w:cs="宋体"/>
          <w:color w:val="auto"/>
          <w:sz w:val="22"/>
          <w:szCs w:val="22"/>
          <w:highlight w:val="none"/>
        </w:rPr>
      </w:pPr>
    </w:p>
    <w:p w14:paraId="646D6CAA">
      <w:pPr>
        <w:overflowPunct w:val="0"/>
        <w:spacing w:line="380" w:lineRule="exact"/>
        <w:ind w:firstLine="9460" w:firstLineChars="4300"/>
        <w:rPr>
          <w:rFonts w:ascii="宋体" w:hAnsi="宋体" w:cs="宋体"/>
          <w:color w:val="auto"/>
          <w:sz w:val="22"/>
          <w:szCs w:val="22"/>
          <w:highlight w:val="none"/>
        </w:rPr>
      </w:pPr>
    </w:p>
    <w:p w14:paraId="71FCA2E6">
      <w:pPr>
        <w:spacing w:line="380" w:lineRule="exact"/>
        <w:jc w:val="center"/>
        <w:rPr>
          <w:rFonts w:ascii="宋体" w:hAnsi="宋体" w:cs="宋体"/>
          <w:b/>
          <w:bCs/>
          <w:color w:val="auto"/>
          <w:sz w:val="28"/>
          <w:szCs w:val="28"/>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8"/>
          <w:szCs w:val="28"/>
          <w:highlight w:val="none"/>
        </w:rPr>
        <w:t>投标分项报价表</w:t>
      </w:r>
    </w:p>
    <w:p w14:paraId="0BDAFEC5">
      <w:pPr>
        <w:spacing w:line="380" w:lineRule="exact"/>
        <w:rPr>
          <w:rFonts w:eastAsia="新宋体"/>
          <w:b/>
          <w:color w:val="auto"/>
          <w:sz w:val="22"/>
          <w:highlight w:val="none"/>
        </w:rPr>
      </w:pPr>
      <w:bookmarkStart w:id="116" w:name="_Toc15843"/>
      <w:r>
        <w:rPr>
          <w:rFonts w:hint="eastAsia" w:eastAsia="新宋体"/>
          <w:b/>
          <w:color w:val="auto"/>
          <w:sz w:val="22"/>
          <w:highlight w:val="none"/>
        </w:rPr>
        <w:t xml:space="preserve">项目名称：                              项目编号：       </w:t>
      </w:r>
      <w:r>
        <w:rPr>
          <w:rFonts w:hint="eastAsia" w:eastAsia="新宋体"/>
          <w:b/>
          <w:color w:val="auto"/>
          <w:sz w:val="22"/>
          <w:highlight w:val="none"/>
          <w:lang w:val="en-US" w:eastAsia="zh-CN"/>
        </w:rPr>
        <w:t xml:space="preserve">             </w:t>
      </w:r>
    </w:p>
    <w:tbl>
      <w:tblPr>
        <w:tblStyle w:val="57"/>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3855"/>
        <w:gridCol w:w="1742"/>
        <w:gridCol w:w="1893"/>
        <w:gridCol w:w="1734"/>
      </w:tblGrid>
      <w:tr w14:paraId="65E2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19C1">
            <w:pPr>
              <w:keepNext w:val="0"/>
              <w:keepLines w:val="0"/>
              <w:widowControl/>
              <w:suppressLineNumbers w:val="0"/>
              <w:jc w:val="center"/>
              <w:textAlignment w:val="center"/>
              <w:rPr>
                <w:rFonts w:hint="default" w:ascii="新宋体" w:hAnsi="新宋体" w:eastAsia="新宋体" w:cs="新宋体"/>
                <w:b/>
                <w:bCs/>
                <w:i w:val="0"/>
                <w:iCs w:val="0"/>
                <w:color w:val="auto"/>
                <w:kern w:val="0"/>
                <w:sz w:val="22"/>
                <w:szCs w:val="22"/>
                <w:highlight w:val="none"/>
                <w:u w:val="none"/>
                <w:lang w:val="en-US" w:eastAsia="zh-CN"/>
              </w:rPr>
            </w:pPr>
            <w:r>
              <w:rPr>
                <w:rFonts w:hint="eastAsia" w:ascii="新宋体" w:hAnsi="新宋体" w:eastAsia="新宋体" w:cs="新宋体"/>
                <w:b/>
                <w:bCs/>
                <w:i w:val="0"/>
                <w:iCs w:val="0"/>
                <w:color w:val="auto"/>
                <w:kern w:val="0"/>
                <w:sz w:val="22"/>
                <w:szCs w:val="22"/>
                <w:highlight w:val="none"/>
                <w:u w:val="none"/>
                <w:lang w:val="en-US" w:eastAsia="zh-CN"/>
              </w:rPr>
              <w:t>序号</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2D0">
            <w:pPr>
              <w:keepNext w:val="0"/>
              <w:keepLines w:val="0"/>
              <w:widowControl/>
              <w:suppressLineNumbers w:val="0"/>
              <w:jc w:val="center"/>
              <w:textAlignment w:val="center"/>
              <w:rPr>
                <w:rFonts w:hint="eastAsia" w:ascii="新宋体" w:hAnsi="新宋体" w:eastAsia="新宋体" w:cs="新宋体"/>
                <w:b/>
                <w:bCs/>
                <w:i w:val="0"/>
                <w:iCs w:val="0"/>
                <w:color w:val="auto"/>
                <w:sz w:val="22"/>
                <w:szCs w:val="22"/>
                <w:highlight w:val="none"/>
                <w:u w:val="none"/>
              </w:rPr>
            </w:pPr>
            <w:r>
              <w:rPr>
                <w:rFonts w:hint="eastAsia" w:ascii="新宋体" w:hAnsi="新宋体" w:eastAsia="新宋体" w:cs="新宋体"/>
                <w:b/>
                <w:bCs/>
                <w:i w:val="0"/>
                <w:iCs w:val="0"/>
                <w:color w:val="auto"/>
                <w:kern w:val="0"/>
                <w:sz w:val="22"/>
                <w:szCs w:val="22"/>
                <w:highlight w:val="none"/>
                <w:u w:val="none"/>
                <w:lang w:val="en-US" w:eastAsia="zh-CN"/>
              </w:rPr>
              <w:t>采购内容</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2A80">
            <w:pPr>
              <w:keepNext w:val="0"/>
              <w:keepLines w:val="0"/>
              <w:widowControl/>
              <w:suppressLineNumbers w:val="0"/>
              <w:jc w:val="center"/>
              <w:textAlignment w:val="center"/>
              <w:rPr>
                <w:rFonts w:hint="eastAsia" w:ascii="新宋体" w:hAnsi="新宋体" w:eastAsia="新宋体" w:cs="新宋体"/>
                <w:b/>
                <w:bCs/>
                <w:i w:val="0"/>
                <w:iCs w:val="0"/>
                <w:color w:val="auto"/>
                <w:kern w:val="0"/>
                <w:sz w:val="22"/>
                <w:szCs w:val="22"/>
                <w:highlight w:val="none"/>
                <w:u w:val="none"/>
                <w:lang w:val="en-US" w:eastAsia="zh-CN"/>
              </w:rPr>
            </w:pPr>
            <w:r>
              <w:rPr>
                <w:rFonts w:hint="eastAsia" w:ascii="新宋体" w:hAnsi="新宋体" w:eastAsia="新宋体" w:cs="新宋体"/>
                <w:b/>
                <w:bCs/>
                <w:i w:val="0"/>
                <w:iCs w:val="0"/>
                <w:color w:val="auto"/>
                <w:kern w:val="0"/>
                <w:sz w:val="22"/>
                <w:szCs w:val="22"/>
                <w:highlight w:val="none"/>
                <w:u w:val="none"/>
                <w:lang w:val="en-US" w:eastAsia="zh-CN"/>
              </w:rPr>
              <w:t>最高限价</w:t>
            </w:r>
          </w:p>
          <w:p w14:paraId="5633D1FA">
            <w:pPr>
              <w:keepNext w:val="0"/>
              <w:keepLines w:val="0"/>
              <w:widowControl/>
              <w:suppressLineNumbers w:val="0"/>
              <w:jc w:val="center"/>
              <w:textAlignment w:val="center"/>
              <w:rPr>
                <w:rFonts w:hint="eastAsia" w:ascii="新宋体" w:hAnsi="新宋体" w:eastAsia="新宋体" w:cs="新宋体"/>
                <w:b/>
                <w:bCs/>
                <w:i w:val="0"/>
                <w:iCs w:val="0"/>
                <w:color w:val="auto"/>
                <w:sz w:val="22"/>
                <w:szCs w:val="22"/>
                <w:highlight w:val="none"/>
                <w:u w:val="none"/>
              </w:rPr>
            </w:pPr>
            <w:r>
              <w:rPr>
                <w:rFonts w:hint="eastAsia" w:ascii="新宋体" w:hAnsi="新宋体" w:eastAsia="新宋体" w:cs="新宋体"/>
                <w:b/>
                <w:bCs/>
                <w:i w:val="0"/>
                <w:iCs w:val="0"/>
                <w:color w:val="auto"/>
                <w:kern w:val="0"/>
                <w:sz w:val="22"/>
                <w:szCs w:val="22"/>
                <w:highlight w:val="none"/>
                <w:u w:val="none"/>
                <w:lang w:val="en-US" w:eastAsia="zh-CN"/>
              </w:rPr>
              <w:t>（万元）</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E061">
            <w:pPr>
              <w:keepNext w:val="0"/>
              <w:keepLines w:val="0"/>
              <w:widowControl/>
              <w:suppressLineNumbers w:val="0"/>
              <w:jc w:val="center"/>
              <w:textAlignment w:val="center"/>
              <w:rPr>
                <w:rFonts w:hint="eastAsia" w:ascii="新宋体" w:hAnsi="新宋体" w:eastAsia="新宋体" w:cs="新宋体"/>
                <w:b/>
                <w:bCs/>
                <w:i w:val="0"/>
                <w:iCs w:val="0"/>
                <w:color w:val="auto"/>
                <w:kern w:val="0"/>
                <w:sz w:val="22"/>
                <w:szCs w:val="22"/>
                <w:highlight w:val="none"/>
                <w:u w:val="none"/>
                <w:lang w:val="en-US" w:eastAsia="zh-CN"/>
              </w:rPr>
            </w:pPr>
            <w:r>
              <w:rPr>
                <w:rFonts w:hint="eastAsia" w:ascii="新宋体" w:hAnsi="新宋体" w:eastAsia="新宋体" w:cs="新宋体"/>
                <w:b/>
                <w:bCs/>
                <w:i w:val="0"/>
                <w:iCs w:val="0"/>
                <w:color w:val="auto"/>
                <w:kern w:val="0"/>
                <w:sz w:val="22"/>
                <w:szCs w:val="22"/>
                <w:highlight w:val="none"/>
                <w:u w:val="none"/>
                <w:lang w:val="en-US" w:eastAsia="zh-CN"/>
              </w:rPr>
              <w:t>投标报价</w:t>
            </w:r>
          </w:p>
          <w:p w14:paraId="3A1703C2">
            <w:pPr>
              <w:keepNext w:val="0"/>
              <w:keepLines w:val="0"/>
              <w:widowControl/>
              <w:suppressLineNumbers w:val="0"/>
              <w:jc w:val="center"/>
              <w:textAlignment w:val="center"/>
              <w:rPr>
                <w:rFonts w:hint="default" w:ascii="新宋体" w:hAnsi="新宋体" w:eastAsia="新宋体" w:cs="新宋体"/>
                <w:b/>
                <w:bCs/>
                <w:i w:val="0"/>
                <w:iCs w:val="0"/>
                <w:color w:val="auto"/>
                <w:kern w:val="0"/>
                <w:sz w:val="22"/>
                <w:szCs w:val="22"/>
                <w:highlight w:val="none"/>
                <w:u w:val="none"/>
                <w:lang w:val="en-US" w:eastAsia="zh-CN"/>
              </w:rPr>
            </w:pPr>
            <w:r>
              <w:rPr>
                <w:rFonts w:hint="eastAsia" w:ascii="新宋体" w:hAnsi="新宋体" w:eastAsia="新宋体" w:cs="新宋体"/>
                <w:b/>
                <w:bCs/>
                <w:i w:val="0"/>
                <w:iCs w:val="0"/>
                <w:color w:val="auto"/>
                <w:kern w:val="0"/>
                <w:sz w:val="22"/>
                <w:szCs w:val="22"/>
                <w:highlight w:val="none"/>
                <w:u w:val="none"/>
                <w:lang w:val="en-US" w:eastAsia="zh-CN"/>
              </w:rPr>
              <w:t>（万元）</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673F">
            <w:pPr>
              <w:keepNext w:val="0"/>
              <w:keepLines w:val="0"/>
              <w:widowControl/>
              <w:suppressLineNumbers w:val="0"/>
              <w:jc w:val="center"/>
              <w:textAlignment w:val="center"/>
              <w:rPr>
                <w:rFonts w:hint="eastAsia" w:ascii="新宋体" w:hAnsi="新宋体" w:eastAsia="新宋体" w:cs="新宋体"/>
                <w:b/>
                <w:bCs/>
                <w:i w:val="0"/>
                <w:iCs w:val="0"/>
                <w:color w:val="auto"/>
                <w:kern w:val="0"/>
                <w:sz w:val="22"/>
                <w:szCs w:val="22"/>
                <w:highlight w:val="none"/>
                <w:u w:val="none"/>
                <w:lang w:val="en-US" w:eastAsia="zh-CN"/>
              </w:rPr>
            </w:pPr>
            <w:r>
              <w:rPr>
                <w:rFonts w:hint="eastAsia" w:ascii="新宋体" w:hAnsi="新宋体" w:eastAsia="新宋体" w:cs="新宋体"/>
                <w:b/>
                <w:bCs/>
                <w:i w:val="0"/>
                <w:iCs w:val="0"/>
                <w:color w:val="auto"/>
                <w:kern w:val="0"/>
                <w:sz w:val="22"/>
                <w:szCs w:val="22"/>
                <w:highlight w:val="none"/>
                <w:u w:val="none"/>
                <w:lang w:val="en-US" w:eastAsia="zh-CN"/>
              </w:rPr>
              <w:t>是否中小微企业预留份额</w:t>
            </w:r>
          </w:p>
        </w:tc>
      </w:tr>
      <w:tr w14:paraId="0CE4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DD59">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1</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8EAD">
            <w:pPr>
              <w:jc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局中心机房机柜租赁</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D4B8">
            <w:pPr>
              <w:jc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48</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38C1">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29DA">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73E6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E91F">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2</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3DAB">
            <w:pPr>
              <w:jc w:val="center"/>
              <w:rPr>
                <w:rFonts w:hint="eastAsia" w:ascii="宋体" w:hAnsi="宋体" w:cs="宋体"/>
                <w:color w:val="auto"/>
                <w:sz w:val="22"/>
                <w:highlight w:val="none"/>
              </w:rPr>
            </w:pPr>
            <w:r>
              <w:rPr>
                <w:rFonts w:hint="eastAsia" w:ascii="宋体" w:hAnsi="宋体" w:cs="宋体"/>
                <w:color w:val="auto"/>
                <w:sz w:val="22"/>
                <w:highlight w:val="none"/>
              </w:rPr>
              <w:t>互联网+交通综合执法</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5625">
            <w:pPr>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7.4</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E22">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E222">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0AD2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E3F4">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3</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8A05">
            <w:pPr>
              <w:jc w:val="center"/>
              <w:rPr>
                <w:rFonts w:hint="eastAsia" w:ascii="宋体" w:hAnsi="宋体" w:cs="宋体"/>
                <w:color w:val="auto"/>
                <w:sz w:val="22"/>
                <w:highlight w:val="none"/>
              </w:rPr>
            </w:pPr>
            <w:r>
              <w:rPr>
                <w:rFonts w:hint="eastAsia" w:ascii="宋体" w:hAnsi="宋体" w:cs="宋体"/>
                <w:color w:val="auto"/>
                <w:sz w:val="22"/>
                <w:highlight w:val="none"/>
              </w:rPr>
              <w:t>数字交通综合执法与服务应用</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8EB8">
            <w:pPr>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9.6</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EC9E">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67D1">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780E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BF89">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4</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F940">
            <w:pPr>
              <w:jc w:val="center"/>
              <w:rPr>
                <w:rFonts w:hint="eastAsia" w:ascii="宋体" w:hAnsi="宋体" w:cs="宋体"/>
                <w:color w:val="auto"/>
                <w:sz w:val="22"/>
                <w:highlight w:val="none"/>
              </w:rPr>
            </w:pPr>
            <w:r>
              <w:rPr>
                <w:rFonts w:hint="eastAsia" w:ascii="宋体" w:hAnsi="宋体" w:cs="宋体"/>
                <w:color w:val="auto"/>
                <w:sz w:val="22"/>
                <w:highlight w:val="none"/>
              </w:rPr>
              <w:t>短信平台包年20万条短信</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3DCE">
            <w:pPr>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E467">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2953">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0016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35ED">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5</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A725">
            <w:pPr>
              <w:jc w:val="center"/>
              <w:rPr>
                <w:rFonts w:hint="eastAsia" w:ascii="宋体" w:hAnsi="宋体" w:cs="宋体"/>
                <w:color w:val="auto"/>
                <w:sz w:val="22"/>
                <w:highlight w:val="none"/>
              </w:rPr>
            </w:pPr>
            <w:r>
              <w:rPr>
                <w:rFonts w:hint="eastAsia" w:ascii="宋体" w:hAnsi="宋体" w:cs="宋体"/>
                <w:color w:val="auto"/>
                <w:sz w:val="22"/>
                <w:highlight w:val="none"/>
              </w:rPr>
              <w:t>局中心机房维保</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F77E">
            <w:pPr>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65</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E70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1532">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63D2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5927">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6</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8BC3">
            <w:pPr>
              <w:keepNext w:val="0"/>
              <w:keepLines w:val="0"/>
              <w:widowControl/>
              <w:suppressLineNumbers w:val="0"/>
              <w:jc w:val="center"/>
              <w:textAlignment w:val="center"/>
              <w:rPr>
                <w:rFonts w:hint="eastAsia" w:ascii="宋体" w:hAnsi="宋体" w:cs="宋体"/>
                <w:color w:val="auto"/>
                <w:sz w:val="22"/>
                <w:highlight w:val="none"/>
              </w:rPr>
            </w:pPr>
            <w:r>
              <w:rPr>
                <w:rFonts w:hint="eastAsia" w:ascii="宋体" w:hAnsi="宋体" w:eastAsia="宋体" w:cs="宋体"/>
                <w:i w:val="0"/>
                <w:iCs w:val="0"/>
                <w:color w:val="000000"/>
                <w:kern w:val="0"/>
                <w:sz w:val="22"/>
                <w:szCs w:val="22"/>
                <w:u w:val="none"/>
                <w:lang w:val="en-US" w:eastAsia="zh-CN"/>
              </w:rPr>
              <w:t>网约车申报系统与出租车（网约车）监管系统</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37E9">
            <w:pPr>
              <w:keepNext w:val="0"/>
              <w:keepLines w:val="0"/>
              <w:widowControl/>
              <w:suppressLineNumbers w:val="0"/>
              <w:jc w:val="center"/>
              <w:textAlignment w:val="center"/>
              <w:rPr>
                <w:rFonts w:hint="eastAsia" w:ascii="宋体" w:hAnsi="宋体" w:cs="宋体"/>
                <w:color w:val="auto"/>
                <w:sz w:val="22"/>
                <w:highlight w:val="none"/>
                <w:lang w:val="en-US" w:eastAsia="zh-CN"/>
              </w:rPr>
            </w:pPr>
            <w:r>
              <w:rPr>
                <w:rFonts w:hint="eastAsia" w:ascii="宋体" w:hAnsi="宋体" w:eastAsia="宋体" w:cs="宋体"/>
                <w:i w:val="0"/>
                <w:iCs w:val="0"/>
                <w:color w:val="000000"/>
                <w:kern w:val="0"/>
                <w:sz w:val="22"/>
                <w:szCs w:val="22"/>
                <w:u w:val="none"/>
                <w:lang w:val="en-US" w:eastAsia="zh-CN"/>
              </w:rPr>
              <w:t>25</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52A3">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020">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1D6A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4011">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7</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9A23">
            <w:pPr>
              <w:keepNext w:val="0"/>
              <w:keepLines w:val="0"/>
              <w:widowControl/>
              <w:suppressLineNumbers w:val="0"/>
              <w:jc w:val="center"/>
              <w:textAlignment w:val="center"/>
              <w:rPr>
                <w:rFonts w:hint="eastAsia" w:ascii="宋体" w:hAnsi="宋体" w:cs="宋体"/>
                <w:color w:val="auto"/>
                <w:sz w:val="22"/>
                <w:highlight w:val="none"/>
              </w:rPr>
            </w:pPr>
            <w:r>
              <w:rPr>
                <w:rFonts w:hint="eastAsia" w:ascii="宋体" w:hAnsi="宋体" w:eastAsia="宋体" w:cs="宋体"/>
                <w:i w:val="0"/>
                <w:iCs w:val="0"/>
                <w:color w:val="000000"/>
                <w:kern w:val="0"/>
                <w:sz w:val="22"/>
                <w:szCs w:val="22"/>
                <w:u w:val="none"/>
                <w:lang w:val="en-US" w:eastAsia="zh-CN"/>
              </w:rPr>
              <w:t>市区道路交通运行指数系统</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81C4">
            <w:pPr>
              <w:keepNext w:val="0"/>
              <w:keepLines w:val="0"/>
              <w:widowControl/>
              <w:suppressLineNumbers w:val="0"/>
              <w:jc w:val="center"/>
              <w:textAlignment w:val="center"/>
              <w:rPr>
                <w:rFonts w:hint="eastAsia" w:ascii="宋体" w:hAnsi="宋体" w:cs="宋体"/>
                <w:color w:val="auto"/>
                <w:sz w:val="22"/>
                <w:highlight w:val="none"/>
                <w:lang w:val="en-US" w:eastAsia="zh-CN"/>
              </w:rPr>
            </w:pPr>
            <w:r>
              <w:rPr>
                <w:rFonts w:hint="eastAsia" w:ascii="宋体" w:hAnsi="宋体" w:eastAsia="宋体" w:cs="宋体"/>
                <w:i w:val="0"/>
                <w:iCs w:val="0"/>
                <w:color w:val="000000"/>
                <w:kern w:val="0"/>
                <w:sz w:val="22"/>
                <w:szCs w:val="22"/>
                <w:u w:val="none"/>
                <w:lang w:val="en-US" w:eastAsia="zh-CN"/>
              </w:rPr>
              <w:t>18</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766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54A7">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38DE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DA95">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8</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3AD1">
            <w:pPr>
              <w:keepNext w:val="0"/>
              <w:keepLines w:val="0"/>
              <w:widowControl/>
              <w:suppressLineNumbers w:val="0"/>
              <w:jc w:val="center"/>
              <w:textAlignment w:val="center"/>
              <w:rPr>
                <w:rFonts w:hint="eastAsia" w:ascii="宋体" w:hAnsi="宋体" w:cs="宋体"/>
                <w:color w:val="auto"/>
                <w:sz w:val="22"/>
                <w:highlight w:val="none"/>
              </w:rPr>
            </w:pPr>
            <w:r>
              <w:rPr>
                <w:rFonts w:hint="eastAsia" w:ascii="宋体" w:hAnsi="宋体" w:eastAsia="宋体" w:cs="宋体"/>
                <w:i w:val="0"/>
                <w:iCs w:val="0"/>
                <w:color w:val="000000"/>
                <w:kern w:val="0"/>
                <w:sz w:val="22"/>
                <w:szCs w:val="22"/>
                <w:u w:val="none"/>
                <w:lang w:val="en-US" w:eastAsia="zh-CN"/>
              </w:rPr>
              <w:t>浙江交通运输审批服务平台本地化运维</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AED3">
            <w:pPr>
              <w:keepNext w:val="0"/>
              <w:keepLines w:val="0"/>
              <w:widowControl/>
              <w:suppressLineNumbers w:val="0"/>
              <w:jc w:val="center"/>
              <w:textAlignment w:val="center"/>
              <w:rPr>
                <w:rFonts w:hint="eastAsia" w:ascii="宋体" w:hAnsi="宋体" w:cs="宋体"/>
                <w:color w:val="auto"/>
                <w:sz w:val="22"/>
                <w:highlight w:val="none"/>
                <w:lang w:val="en-US" w:eastAsia="zh-CN"/>
              </w:rPr>
            </w:pPr>
            <w:r>
              <w:rPr>
                <w:rFonts w:hint="eastAsia" w:ascii="宋体" w:hAnsi="宋体" w:eastAsia="宋体" w:cs="宋体"/>
                <w:i w:val="0"/>
                <w:iCs w:val="0"/>
                <w:color w:val="000000"/>
                <w:kern w:val="0"/>
                <w:sz w:val="22"/>
                <w:szCs w:val="22"/>
                <w:u w:val="none"/>
                <w:lang w:val="en-US" w:eastAsia="zh-CN"/>
              </w:rPr>
              <w:t>22</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6487">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049C">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4D1C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CB24">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9</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EEE8">
            <w:pPr>
              <w:keepNext w:val="0"/>
              <w:keepLines w:val="0"/>
              <w:widowControl/>
              <w:suppressLineNumbers w:val="0"/>
              <w:jc w:val="center"/>
              <w:textAlignment w:val="center"/>
              <w:rPr>
                <w:rFonts w:hint="eastAsia" w:ascii="新宋体" w:hAnsi="新宋体" w:eastAsia="新宋体" w:cs="新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rPr>
              <w:t>温州港引航管理信息平台</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B142">
            <w:pPr>
              <w:keepNext w:val="0"/>
              <w:keepLines w:val="0"/>
              <w:widowControl/>
              <w:suppressLineNumbers w:val="0"/>
              <w:jc w:val="center"/>
              <w:textAlignment w:val="center"/>
              <w:rPr>
                <w:rFonts w:hint="eastAsia" w:ascii="新宋体" w:hAnsi="新宋体" w:eastAsia="新宋体" w:cs="新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rPr>
              <w:t>6</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400D">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543">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09D5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0A93">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F969">
            <w:pPr>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（1+2+...+9）小计</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0FD4">
            <w:pPr>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202</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871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752B">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否</w:t>
            </w:r>
          </w:p>
        </w:tc>
      </w:tr>
      <w:tr w14:paraId="40E5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EF91">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10</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20D1">
            <w:pPr>
              <w:jc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交通基础支撑项目运维</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60AE">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宋体" w:hAnsi="宋体" w:eastAsia="宋体" w:cs="宋体"/>
                <w:i w:val="0"/>
                <w:iCs w:val="0"/>
                <w:color w:val="000000"/>
                <w:kern w:val="0"/>
                <w:sz w:val="22"/>
                <w:szCs w:val="22"/>
                <w:u w:val="none"/>
                <w:lang w:val="en-US" w:eastAsia="zh-CN"/>
              </w:rPr>
              <w:t>20.3</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9DB">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0BEC">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是（小微企业）</w:t>
            </w:r>
          </w:p>
        </w:tc>
      </w:tr>
      <w:tr w14:paraId="0AFB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D9E">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11</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96A1">
            <w:pPr>
              <w:jc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交通重点区域基础感知设施提升（</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D96B">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宋体" w:hAnsi="宋体" w:eastAsia="宋体" w:cs="宋体"/>
                <w:i w:val="0"/>
                <w:iCs w:val="0"/>
                <w:color w:val="000000"/>
                <w:kern w:val="0"/>
                <w:sz w:val="22"/>
                <w:szCs w:val="22"/>
                <w:u w:val="none"/>
                <w:lang w:val="en-US" w:eastAsia="zh-CN"/>
              </w:rPr>
              <w:t>23.84</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52CE">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FB23">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是（小微企业）</w:t>
            </w:r>
          </w:p>
        </w:tc>
      </w:tr>
      <w:tr w14:paraId="3374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B899">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12</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8D01">
            <w:pPr>
              <w:jc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sz w:val="22"/>
                <w:szCs w:val="22"/>
                <w:highlight w:val="none"/>
                <w:u w:val="none"/>
              </w:rPr>
              <w:t>交通重点区域非现场数字化监管系统</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6711">
            <w:pPr>
              <w:jc w:val="center"/>
              <w:rPr>
                <w:rFonts w:hint="default" w:ascii="新宋体" w:hAnsi="新宋体" w:eastAsia="新宋体" w:cs="新宋体"/>
                <w:i w:val="0"/>
                <w:iCs w:val="0"/>
                <w:color w:val="auto"/>
                <w:sz w:val="22"/>
                <w:szCs w:val="22"/>
                <w:highlight w:val="none"/>
                <w:u w:val="none"/>
                <w:lang w:val="en-US" w:eastAsia="zh-CN"/>
              </w:rPr>
            </w:pPr>
            <w:r>
              <w:rPr>
                <w:rFonts w:hint="eastAsia" w:ascii="新宋体" w:hAnsi="新宋体" w:eastAsia="新宋体" w:cs="新宋体"/>
                <w:i w:val="0"/>
                <w:iCs w:val="0"/>
                <w:color w:val="auto"/>
                <w:sz w:val="22"/>
                <w:szCs w:val="22"/>
                <w:highlight w:val="none"/>
                <w:u w:val="none"/>
                <w:lang w:val="en-US" w:eastAsia="zh-CN"/>
              </w:rPr>
              <w:t>7.7</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B8A7">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5FE0">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是（小微企业）</w:t>
            </w:r>
          </w:p>
        </w:tc>
      </w:tr>
      <w:tr w14:paraId="3D01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A1B6">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13</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B42D">
            <w:pPr>
              <w:jc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sz w:val="22"/>
                <w:szCs w:val="22"/>
                <w:highlight w:val="none"/>
                <w:u w:val="none"/>
              </w:rPr>
              <w:t>市交通视频整合平台维护</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4069">
            <w:pPr>
              <w:jc w:val="center"/>
              <w:rPr>
                <w:rFonts w:hint="default" w:ascii="新宋体" w:hAnsi="新宋体" w:eastAsia="新宋体" w:cs="新宋体"/>
                <w:i w:val="0"/>
                <w:iCs w:val="0"/>
                <w:color w:val="auto"/>
                <w:sz w:val="22"/>
                <w:szCs w:val="22"/>
                <w:highlight w:val="none"/>
                <w:u w:val="none"/>
                <w:lang w:val="en-US" w:eastAsia="zh-CN"/>
              </w:rPr>
            </w:pPr>
            <w:r>
              <w:rPr>
                <w:rFonts w:hint="eastAsia" w:ascii="新宋体" w:hAnsi="新宋体" w:eastAsia="新宋体" w:cs="新宋体"/>
                <w:i w:val="0"/>
                <w:iCs w:val="0"/>
                <w:color w:val="auto"/>
                <w:sz w:val="22"/>
                <w:szCs w:val="22"/>
                <w:highlight w:val="none"/>
                <w:u w:val="none"/>
                <w:lang w:val="en-US" w:eastAsia="zh-CN"/>
              </w:rPr>
              <w:t>51</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8196">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05AB">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是（小微企业）</w:t>
            </w:r>
          </w:p>
        </w:tc>
      </w:tr>
      <w:tr w14:paraId="756D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376B">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14</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5706">
            <w:pPr>
              <w:jc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sz w:val="22"/>
                <w:szCs w:val="22"/>
                <w:highlight w:val="none"/>
                <w:u w:val="none"/>
              </w:rPr>
              <w:t>智慧公路应急指挥与信息服务系统路网监测前端维护</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3A0A">
            <w:pPr>
              <w:jc w:val="center"/>
              <w:rPr>
                <w:rFonts w:hint="default" w:ascii="新宋体" w:hAnsi="新宋体" w:eastAsia="新宋体" w:cs="新宋体"/>
                <w:i w:val="0"/>
                <w:iCs w:val="0"/>
                <w:color w:val="auto"/>
                <w:sz w:val="22"/>
                <w:szCs w:val="22"/>
                <w:highlight w:val="none"/>
                <w:u w:val="none"/>
                <w:lang w:val="en-US" w:eastAsia="zh-CN"/>
              </w:rPr>
            </w:pPr>
            <w:r>
              <w:rPr>
                <w:rFonts w:hint="eastAsia" w:ascii="新宋体" w:hAnsi="新宋体" w:eastAsia="新宋体" w:cs="新宋体"/>
                <w:i w:val="0"/>
                <w:iCs w:val="0"/>
                <w:color w:val="auto"/>
                <w:sz w:val="22"/>
                <w:szCs w:val="22"/>
                <w:highlight w:val="none"/>
                <w:u w:val="none"/>
                <w:lang w:val="en-US" w:eastAsia="zh-CN"/>
              </w:rPr>
              <w:t>40</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7A89">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9D8C">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是（小微企业）</w:t>
            </w:r>
          </w:p>
        </w:tc>
      </w:tr>
      <w:tr w14:paraId="2CFB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AD7A">
            <w:pPr>
              <w:keepNext w:val="0"/>
              <w:keepLines w:val="0"/>
              <w:widowControl/>
              <w:suppressLineNumbers w:val="0"/>
              <w:jc w:val="center"/>
              <w:textAlignment w:val="center"/>
              <w:rPr>
                <w:rFonts w:hint="default" w:ascii="新宋体" w:hAnsi="新宋体" w:eastAsia="新宋体" w:cs="新宋体"/>
                <w:i w:val="0"/>
                <w:iCs w:val="0"/>
                <w:color w:val="auto"/>
                <w:kern w:val="0"/>
                <w:sz w:val="22"/>
                <w:szCs w:val="22"/>
                <w:highlight w:val="none"/>
                <w:u w:val="none"/>
                <w:lang w:val="en-US" w:eastAsia="zh-CN"/>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BEFF">
            <w:pPr>
              <w:jc w:val="center"/>
              <w:rPr>
                <w:rFonts w:hint="default" w:ascii="新宋体" w:hAnsi="新宋体" w:eastAsia="新宋体" w:cs="新宋体"/>
                <w:i w:val="0"/>
                <w:iCs w:val="0"/>
                <w:color w:val="auto"/>
                <w:sz w:val="22"/>
                <w:szCs w:val="22"/>
                <w:highlight w:val="none"/>
                <w:u w:val="none"/>
                <w:lang w:val="en-US" w:eastAsia="zh-CN"/>
              </w:rPr>
            </w:pPr>
            <w:r>
              <w:rPr>
                <w:rFonts w:hint="eastAsia" w:ascii="新宋体" w:hAnsi="新宋体" w:eastAsia="新宋体" w:cs="新宋体"/>
                <w:i w:val="0"/>
                <w:iCs w:val="0"/>
                <w:color w:val="auto"/>
                <w:sz w:val="22"/>
                <w:szCs w:val="22"/>
                <w:highlight w:val="none"/>
                <w:u w:val="none"/>
                <w:lang w:eastAsia="zh-CN"/>
              </w:rPr>
              <w:t>（</w:t>
            </w:r>
            <w:r>
              <w:rPr>
                <w:rFonts w:hint="eastAsia" w:ascii="新宋体" w:hAnsi="新宋体" w:eastAsia="新宋体" w:cs="新宋体"/>
                <w:i w:val="0"/>
                <w:iCs w:val="0"/>
                <w:color w:val="auto"/>
                <w:sz w:val="22"/>
                <w:szCs w:val="22"/>
                <w:highlight w:val="none"/>
                <w:u w:val="none"/>
                <w:lang w:val="en-US" w:eastAsia="zh-CN"/>
              </w:rPr>
              <w:t>10+11+12+13+14</w:t>
            </w:r>
            <w:r>
              <w:rPr>
                <w:rFonts w:hint="eastAsia" w:ascii="新宋体" w:hAnsi="新宋体" w:eastAsia="新宋体" w:cs="新宋体"/>
                <w:i w:val="0"/>
                <w:iCs w:val="0"/>
                <w:color w:val="auto"/>
                <w:sz w:val="22"/>
                <w:szCs w:val="22"/>
                <w:highlight w:val="none"/>
                <w:u w:val="none"/>
                <w:lang w:eastAsia="zh-CN"/>
              </w:rPr>
              <w:t>）</w:t>
            </w:r>
            <w:r>
              <w:rPr>
                <w:rFonts w:hint="eastAsia" w:ascii="新宋体" w:hAnsi="新宋体" w:eastAsia="新宋体" w:cs="新宋体"/>
                <w:i w:val="0"/>
                <w:iCs w:val="0"/>
                <w:color w:val="auto"/>
                <w:sz w:val="22"/>
                <w:szCs w:val="22"/>
                <w:highlight w:val="none"/>
                <w:u w:val="none"/>
                <w:lang w:val="en-US" w:eastAsia="zh-CN"/>
              </w:rPr>
              <w:t>小计</w:t>
            </w: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270E">
            <w:pPr>
              <w:jc w:val="center"/>
              <w:rPr>
                <w:rFonts w:hint="default" w:ascii="新宋体" w:hAnsi="新宋体" w:eastAsia="新宋体" w:cs="新宋体"/>
                <w:i w:val="0"/>
                <w:iCs w:val="0"/>
                <w:color w:val="auto"/>
                <w:sz w:val="22"/>
                <w:szCs w:val="22"/>
                <w:highlight w:val="none"/>
                <w:u w:val="none"/>
                <w:lang w:val="en-US" w:eastAsia="zh-CN"/>
              </w:rPr>
            </w:pPr>
            <w:r>
              <w:rPr>
                <w:rFonts w:hint="eastAsia" w:ascii="新宋体" w:hAnsi="新宋体" w:eastAsia="新宋体" w:cs="新宋体"/>
                <w:i w:val="0"/>
                <w:iCs w:val="0"/>
                <w:color w:val="auto"/>
                <w:sz w:val="22"/>
                <w:szCs w:val="22"/>
                <w:highlight w:val="none"/>
                <w:u w:val="none"/>
                <w:lang w:val="en-US" w:eastAsia="zh-CN"/>
              </w:rPr>
              <w:t>142.84</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027B">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D73A">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rPr>
              <w:t>是（小微企业）</w:t>
            </w:r>
          </w:p>
        </w:tc>
      </w:tr>
      <w:tr w14:paraId="7A4D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81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A1F2">
            <w:pPr>
              <w:autoSpaceDE w:val="0"/>
              <w:autoSpaceDN w:val="0"/>
              <w:adjustRightInd w:val="0"/>
              <w:spacing w:line="380" w:lineRule="atLeast"/>
              <w:ind w:right="349"/>
              <w:jc w:val="left"/>
              <w:rPr>
                <w:rFonts w:ascii="宋体" w:hAnsi="宋体" w:cs="宋体"/>
                <w:b/>
                <w:bCs/>
                <w:color w:val="auto"/>
                <w:kern w:val="0"/>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rPr>
              <w:t>总计价</w:t>
            </w:r>
            <w:r>
              <w:rPr>
                <w:rFonts w:hint="eastAsia" w:ascii="宋体" w:hAnsi="宋体" w:cs="宋体"/>
                <w:b/>
                <w:bCs/>
                <w:color w:val="auto"/>
                <w:kern w:val="0"/>
                <w:sz w:val="22"/>
                <w:szCs w:val="22"/>
                <w:highlight w:val="none"/>
              </w:rPr>
              <w:t>（大写）：</w:t>
            </w:r>
          </w:p>
          <w:p w14:paraId="67E341FE">
            <w:pPr>
              <w:keepNext w:val="0"/>
              <w:keepLines w:val="0"/>
              <w:widowControl/>
              <w:suppressLineNumbers w:val="0"/>
              <w:ind w:firstLine="663" w:firstLineChars="300"/>
              <w:jc w:val="both"/>
              <w:textAlignment w:val="center"/>
              <w:rPr>
                <w:rFonts w:hint="eastAsia" w:ascii="新宋体" w:hAnsi="新宋体" w:eastAsia="新宋体" w:cs="新宋体"/>
                <w:i w:val="0"/>
                <w:iCs w:val="0"/>
                <w:color w:val="auto"/>
                <w:kern w:val="0"/>
                <w:sz w:val="22"/>
                <w:szCs w:val="22"/>
                <w:highlight w:val="none"/>
                <w:u w:val="none"/>
                <w:lang w:val="en-US" w:eastAsia="zh-CN"/>
              </w:rPr>
            </w:pPr>
            <w:r>
              <w:rPr>
                <w:rFonts w:hint="eastAsia" w:ascii="宋体" w:hAnsi="宋体" w:cs="宋体"/>
                <w:b/>
                <w:bCs/>
                <w:color w:val="auto"/>
                <w:kern w:val="0"/>
                <w:sz w:val="22"/>
                <w:szCs w:val="22"/>
                <w:highlight w:val="none"/>
              </w:rPr>
              <w:t>（小写）¥</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83CE">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rPr>
            </w:pPr>
          </w:p>
        </w:tc>
      </w:tr>
    </w:tbl>
    <w:p w14:paraId="3F6EF06F">
      <w:pPr>
        <w:autoSpaceDE w:val="0"/>
        <w:autoSpaceDN w:val="0"/>
        <w:adjustRightInd w:val="0"/>
        <w:spacing w:line="380" w:lineRule="atLeast"/>
        <w:rPr>
          <w:rFonts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说明：</w:t>
      </w:r>
    </w:p>
    <w:p w14:paraId="3E407D04">
      <w:pPr>
        <w:autoSpaceDE w:val="0"/>
        <w:autoSpaceDN w:val="0"/>
        <w:adjustRightInd w:val="0"/>
        <w:spacing w:line="380" w:lineRule="atLeast"/>
        <w:rPr>
          <w:rFonts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1.</w:t>
      </w:r>
      <w:r>
        <w:rPr>
          <w:rFonts w:hint="eastAsia" w:ascii="新宋体" w:hAnsi="新宋体" w:eastAsia="新宋体" w:cs="新宋体"/>
          <w:b/>
          <w:bCs/>
          <w:color w:val="auto"/>
          <w:kern w:val="0"/>
          <w:sz w:val="22"/>
          <w:szCs w:val="22"/>
          <w:highlight w:val="none"/>
        </w:rPr>
        <w:t>总</w:t>
      </w:r>
      <w:r>
        <w:rPr>
          <w:rFonts w:hint="eastAsia" w:ascii="新宋体" w:hAnsi="新宋体" w:eastAsia="新宋体" w:cs="新宋体"/>
          <w:b/>
          <w:bCs/>
          <w:color w:val="auto"/>
          <w:kern w:val="0"/>
          <w:sz w:val="22"/>
          <w:szCs w:val="22"/>
          <w:highlight w:val="none"/>
          <w:lang w:val="zh-CN"/>
        </w:rPr>
        <w:t>计价应与附件一“开标一览表”中投标总价相一致。</w:t>
      </w:r>
    </w:p>
    <w:p w14:paraId="3508A3F0">
      <w:pPr>
        <w:autoSpaceDE w:val="0"/>
        <w:autoSpaceDN w:val="0"/>
        <w:adjustRightInd w:val="0"/>
        <w:spacing w:line="380" w:lineRule="atLeast"/>
        <w:rPr>
          <w:rFonts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 xml:space="preserve">2.不提供投标分项报价表的投标文件将被视为未实质性响应采购文件。 </w:t>
      </w:r>
    </w:p>
    <w:p w14:paraId="3EDD5BD4">
      <w:pPr>
        <w:spacing w:line="380" w:lineRule="exact"/>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3.本表可在不改变格式的情况下根据具体需要自行增减。</w:t>
      </w:r>
    </w:p>
    <w:p w14:paraId="61B3070C">
      <w:pPr>
        <w:spacing w:line="380" w:lineRule="exact"/>
        <w:rPr>
          <w:rFonts w:hint="eastAsia" w:eastAsia="新宋体"/>
          <w:b/>
          <w:bCs w:val="0"/>
          <w:color w:val="auto"/>
          <w:sz w:val="22"/>
          <w:szCs w:val="22"/>
          <w:highlight w:val="none"/>
          <w:lang w:val="zh-CN"/>
        </w:rPr>
      </w:pPr>
      <w:r>
        <w:rPr>
          <w:rFonts w:hint="eastAsia" w:ascii="宋体" w:hAnsi="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eastAsia="zh-CN"/>
        </w:rPr>
        <w:t>本项目</w:t>
      </w:r>
      <w:r>
        <w:rPr>
          <w:rFonts w:hint="eastAsia" w:ascii="宋体" w:hAnsi="宋体" w:cs="宋体"/>
          <w:b/>
          <w:bCs w:val="0"/>
          <w:color w:val="auto"/>
          <w:sz w:val="22"/>
          <w:szCs w:val="22"/>
          <w:highlight w:val="none"/>
          <w:lang w:val="en-US" w:eastAsia="zh-CN"/>
        </w:rPr>
        <w:t>10-14项为小微企业预留，</w:t>
      </w:r>
      <w:r>
        <w:rPr>
          <w:rFonts w:hint="eastAsia" w:ascii="宋体" w:hAnsi="宋体" w:cs="宋体"/>
          <w:b/>
          <w:bCs w:val="0"/>
          <w:color w:val="auto"/>
          <w:sz w:val="22"/>
          <w:szCs w:val="22"/>
          <w:highlight w:val="none"/>
          <w:lang w:eastAsia="zh-CN"/>
        </w:rPr>
        <w:t>非预留部分为序号</w:t>
      </w:r>
      <w:r>
        <w:rPr>
          <w:rFonts w:hint="eastAsia" w:ascii="宋体" w:hAnsi="宋体" w:cs="宋体"/>
          <w:b/>
          <w:bCs w:val="0"/>
          <w:color w:val="auto"/>
          <w:sz w:val="22"/>
          <w:szCs w:val="22"/>
          <w:highlight w:val="none"/>
          <w:lang w:val="en-US" w:eastAsia="zh-CN"/>
        </w:rPr>
        <w:t>1-9项采购包，非预留部分</w:t>
      </w:r>
      <w:r>
        <w:rPr>
          <w:rFonts w:hint="eastAsia" w:ascii="宋体" w:hAnsi="宋体" w:eastAsia="宋体" w:cs="宋体"/>
          <w:b/>
          <w:bCs w:val="0"/>
          <w:color w:val="auto"/>
          <w:sz w:val="22"/>
          <w:szCs w:val="22"/>
          <w:highlight w:val="none"/>
          <w:lang w:eastAsia="zh-CN"/>
        </w:rPr>
        <w:t>小型、微型企业享受价格扣除优惠</w:t>
      </w:r>
      <w:r>
        <w:rPr>
          <w:rFonts w:hint="eastAsia" w:ascii="宋体" w:hAnsi="宋体" w:cs="宋体"/>
          <w:b/>
          <w:bCs w:val="0"/>
          <w:color w:val="auto"/>
          <w:sz w:val="22"/>
          <w:szCs w:val="22"/>
          <w:highlight w:val="none"/>
          <w:lang w:eastAsia="zh-CN"/>
        </w:rPr>
        <w:t>见评标原则及方法。</w:t>
      </w:r>
    </w:p>
    <w:p w14:paraId="35A259DD">
      <w:pPr>
        <w:spacing w:line="380" w:lineRule="exact"/>
        <w:rPr>
          <w:rFonts w:eastAsia="新宋体"/>
          <w:color w:val="auto"/>
          <w:sz w:val="22"/>
          <w:szCs w:val="22"/>
          <w:highlight w:val="none"/>
        </w:rPr>
      </w:pPr>
    </w:p>
    <w:p w14:paraId="72163953">
      <w:pPr>
        <w:spacing w:line="380" w:lineRule="exact"/>
        <w:rPr>
          <w:rFonts w:eastAsia="新宋体"/>
          <w:color w:val="auto"/>
          <w:sz w:val="22"/>
          <w:szCs w:val="22"/>
          <w:highlight w:val="none"/>
        </w:rPr>
      </w:pPr>
    </w:p>
    <w:p w14:paraId="397EE6DD">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投标人全称（盖章）：</w:t>
      </w:r>
    </w:p>
    <w:p w14:paraId="3C181512">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法定代表人或授权代表（签字）：</w:t>
      </w:r>
    </w:p>
    <w:p w14:paraId="34697293">
      <w:pPr>
        <w:spacing w:line="380" w:lineRule="exact"/>
        <w:ind w:firstLine="4400" w:firstLineChars="2000"/>
        <w:rPr>
          <w:rFonts w:eastAsia="新宋体"/>
          <w:color w:val="auto"/>
          <w:sz w:val="22"/>
          <w:szCs w:val="22"/>
          <w:highlight w:val="none"/>
        </w:rPr>
      </w:pPr>
      <w:r>
        <w:rPr>
          <w:rFonts w:hint="eastAsia" w:eastAsia="新宋体"/>
          <w:color w:val="auto"/>
          <w:sz w:val="22"/>
          <w:szCs w:val="22"/>
          <w:highlight w:val="none"/>
        </w:rPr>
        <w:t>日期：  年   月  日</w:t>
      </w:r>
    </w:p>
    <w:p w14:paraId="5C69BEFF">
      <w:pPr>
        <w:pStyle w:val="3"/>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bookmarkStart w:id="117" w:name="_Toc22755"/>
      <w:r>
        <w:rPr>
          <w:rFonts w:hint="eastAsia" w:ascii="宋体" w:hAnsi="宋体" w:eastAsia="宋体" w:cs="宋体"/>
          <w:color w:val="auto"/>
          <w:sz w:val="36"/>
          <w:szCs w:val="36"/>
          <w:highlight w:val="none"/>
        </w:rPr>
        <w:t>第五部分   采购内容及要求</w:t>
      </w:r>
      <w:bookmarkEnd w:id="116"/>
      <w:bookmarkEnd w:id="117"/>
    </w:p>
    <w:p w14:paraId="57CEFB87">
      <w:pPr>
        <w:rPr>
          <w:color w:val="auto"/>
          <w:highlight w:val="none"/>
        </w:rPr>
      </w:pPr>
    </w:p>
    <w:p w14:paraId="4893F114">
      <w:pPr>
        <w:spacing w:line="440" w:lineRule="exact"/>
        <w:jc w:val="center"/>
        <w:rPr>
          <w:rFonts w:hint="default" w:ascii="宋体" w:hAnsi="宋体" w:eastAsia="宋体" w:cs="宋体"/>
          <w:b/>
          <w:bCs/>
          <w:color w:val="auto"/>
          <w:sz w:val="28"/>
          <w:szCs w:val="28"/>
          <w:highlight w:val="none"/>
          <w:lang w:val="en-US" w:eastAsia="zh-CN"/>
        </w:rPr>
      </w:pPr>
      <w:bookmarkStart w:id="118" w:name="_Toc249758721"/>
      <w:bookmarkStart w:id="119" w:name="_Toc422225262"/>
      <w:bookmarkStart w:id="120" w:name="_Toc249758871"/>
      <w:bookmarkStart w:id="121" w:name="_Toc262049425"/>
      <w:bookmarkStart w:id="122" w:name="_Toc262105510"/>
      <w:bookmarkStart w:id="123" w:name="_Toc7368"/>
      <w:r>
        <w:rPr>
          <w:rFonts w:hint="eastAsia" w:ascii="宋体" w:hAnsi="宋体" w:cs="宋体"/>
          <w:b/>
          <w:bCs/>
          <w:color w:val="auto"/>
          <w:sz w:val="28"/>
          <w:szCs w:val="28"/>
          <w:highlight w:val="none"/>
        </w:rPr>
        <w:t>第一部分：局中心机房维保</w:t>
      </w:r>
      <w:r>
        <w:rPr>
          <w:rFonts w:hint="eastAsia" w:ascii="宋体" w:hAnsi="宋体" w:cs="宋体"/>
          <w:b/>
          <w:bCs/>
          <w:color w:val="auto"/>
          <w:sz w:val="28"/>
          <w:szCs w:val="28"/>
          <w:highlight w:val="none"/>
          <w:lang w:val="en-US" w:eastAsia="zh-CN"/>
        </w:rPr>
        <w:t>及机柜租赁</w:t>
      </w:r>
    </w:p>
    <w:p w14:paraId="5FE0E37A">
      <w:pPr>
        <w:numPr>
          <w:ilvl w:val="0"/>
          <w:numId w:val="32"/>
        </w:num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局机房维保</w:t>
      </w:r>
    </w:p>
    <w:p w14:paraId="421FF894">
      <w:pPr>
        <w:numPr>
          <w:ilvl w:val="0"/>
          <w:numId w:val="0"/>
        </w:num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温州市交通运输局数据中心机房位于温州市</w:t>
      </w:r>
      <w:r>
        <w:rPr>
          <w:rFonts w:hint="eastAsia" w:ascii="宋体" w:hAnsi="宋体" w:cs="宋体"/>
          <w:color w:val="auto"/>
          <w:sz w:val="22"/>
          <w:szCs w:val="22"/>
          <w:highlight w:val="none"/>
          <w:lang w:eastAsia="zh-CN"/>
        </w:rPr>
        <w:t>龙湾</w:t>
      </w:r>
      <w:r>
        <w:rPr>
          <w:rFonts w:hint="eastAsia" w:ascii="宋体" w:hAnsi="宋体" w:cs="宋体"/>
          <w:color w:val="auto"/>
          <w:sz w:val="22"/>
          <w:szCs w:val="22"/>
          <w:highlight w:val="none"/>
        </w:rPr>
        <w:t>区雁荡中路18号</w:t>
      </w:r>
      <w:r>
        <w:rPr>
          <w:rFonts w:hint="eastAsia" w:ascii="宋体" w:hAnsi="宋体" w:cs="宋体"/>
          <w:color w:val="auto"/>
          <w:sz w:val="22"/>
          <w:szCs w:val="22"/>
          <w:highlight w:val="none"/>
          <w:lang w:eastAsia="zh-CN"/>
        </w:rPr>
        <w:t>中国联通</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楼</w:t>
      </w:r>
      <w:r>
        <w:rPr>
          <w:rFonts w:hint="eastAsia" w:ascii="宋体" w:hAnsi="宋体" w:cs="宋体"/>
          <w:color w:val="auto"/>
          <w:sz w:val="22"/>
          <w:szCs w:val="22"/>
          <w:highlight w:val="none"/>
          <w:lang w:val="en-US" w:eastAsia="zh-CN"/>
        </w:rPr>
        <w:t>IDC机房</w:t>
      </w:r>
      <w:r>
        <w:rPr>
          <w:rFonts w:hint="eastAsia" w:ascii="宋体" w:hAnsi="宋体" w:cs="宋体"/>
          <w:color w:val="auto"/>
          <w:sz w:val="22"/>
          <w:szCs w:val="22"/>
          <w:highlight w:val="none"/>
        </w:rPr>
        <w:t>，数据备份容灾机房位于温州市温州大道1792号7楼，目前全网运行的设备主要包括：曙光服务器、IBM服务器、华为服务器、H3C、锐捷、华为路由交换等设备，天融信、安恒、网御星云、深信服、奇安信等多种品牌网络安全设备，曙光大数据计算平台、虚拟化平台、超融合平台、智能化集中管控平台、精密空调、UPS机组、环境监控平台以及10套Oracle、DB2和MYSQL等数据库系统、同时部署有多种应用中间件软件，多个核心业务系统运行在WINDOWS和LINUX操作系统上。具体采购内容及运维要求如下：</w:t>
      </w:r>
    </w:p>
    <w:p w14:paraId="3A809362">
      <w:pPr>
        <w:spacing w:line="360" w:lineRule="auto"/>
        <w:rPr>
          <w:rFonts w:ascii="宋体" w:hAnsi="宋体" w:cs="宋体"/>
          <w:color w:val="auto"/>
          <w:sz w:val="22"/>
          <w:szCs w:val="22"/>
          <w:highlight w:val="none"/>
        </w:rPr>
      </w:pPr>
      <w:r>
        <w:rPr>
          <w:rFonts w:hint="eastAsia" w:ascii="宋体" w:hAnsi="宋体" w:cs="宋体"/>
          <w:b/>
          <w:color w:val="auto"/>
          <w:sz w:val="22"/>
          <w:szCs w:val="22"/>
          <w:highlight w:val="none"/>
          <w:lang w:val="en-US" w:eastAsia="zh-CN"/>
        </w:rPr>
        <w:t>1</w:t>
      </w:r>
      <w:r>
        <w:rPr>
          <w:rFonts w:hint="eastAsia" w:ascii="宋体" w:hAnsi="宋体" w:cs="宋体"/>
          <w:b/>
          <w:color w:val="auto"/>
          <w:sz w:val="22"/>
          <w:szCs w:val="22"/>
          <w:highlight w:val="none"/>
        </w:rPr>
        <w:t>、具体运维设备、服务清单和运维内容</w:t>
      </w:r>
    </w:p>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02"/>
        <w:gridCol w:w="1326"/>
        <w:gridCol w:w="3531"/>
        <w:gridCol w:w="1803"/>
        <w:gridCol w:w="1167"/>
      </w:tblGrid>
      <w:tr w14:paraId="7185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66" w:type="pct"/>
            <w:shd w:val="clear" w:color="auto" w:fill="auto"/>
            <w:noWrap/>
            <w:vAlign w:val="center"/>
          </w:tcPr>
          <w:p w14:paraId="09F7EFA0">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61" w:type="pct"/>
            <w:shd w:val="clear" w:color="auto" w:fill="auto"/>
            <w:noWrap/>
            <w:vAlign w:val="center"/>
          </w:tcPr>
          <w:p w14:paraId="25A0A97B">
            <w:pPr>
              <w:jc w:val="center"/>
              <w:rPr>
                <w:rFonts w:ascii="宋体" w:hAnsi="宋体" w:cs="宋体"/>
                <w:b/>
                <w:bCs/>
                <w:color w:val="auto"/>
                <w:szCs w:val="21"/>
                <w:highlight w:val="none"/>
              </w:rPr>
            </w:pPr>
            <w:r>
              <w:rPr>
                <w:rFonts w:hint="eastAsia" w:ascii="宋体" w:hAnsi="宋体" w:cs="宋体"/>
                <w:b/>
                <w:bCs/>
                <w:color w:val="auto"/>
                <w:szCs w:val="21"/>
                <w:highlight w:val="none"/>
              </w:rPr>
              <w:t>服务名称</w:t>
            </w:r>
          </w:p>
        </w:tc>
        <w:tc>
          <w:tcPr>
            <w:tcW w:w="673" w:type="pct"/>
            <w:shd w:val="clear" w:color="auto" w:fill="auto"/>
            <w:vAlign w:val="center"/>
          </w:tcPr>
          <w:p w14:paraId="19DCDA25">
            <w:pPr>
              <w:jc w:val="center"/>
              <w:rPr>
                <w:rFonts w:ascii="宋体" w:hAnsi="宋体" w:cs="宋体"/>
                <w:b/>
                <w:bCs/>
                <w:color w:val="auto"/>
                <w:szCs w:val="21"/>
                <w:highlight w:val="none"/>
              </w:rPr>
            </w:pPr>
            <w:r>
              <w:rPr>
                <w:rFonts w:hint="eastAsia" w:ascii="宋体" w:hAnsi="宋体" w:cs="宋体"/>
                <w:b/>
                <w:bCs/>
                <w:color w:val="auto"/>
                <w:szCs w:val="21"/>
                <w:highlight w:val="none"/>
              </w:rPr>
              <w:t>服务模块</w:t>
            </w:r>
          </w:p>
        </w:tc>
        <w:tc>
          <w:tcPr>
            <w:tcW w:w="1792" w:type="pct"/>
            <w:shd w:val="clear" w:color="auto" w:fill="auto"/>
            <w:noWrap/>
            <w:vAlign w:val="center"/>
          </w:tcPr>
          <w:p w14:paraId="2B6AAE76">
            <w:pPr>
              <w:jc w:val="center"/>
              <w:rPr>
                <w:rFonts w:ascii="宋体" w:hAnsi="宋体" w:cs="宋体"/>
                <w:b/>
                <w:bCs/>
                <w:color w:val="auto"/>
                <w:szCs w:val="21"/>
                <w:highlight w:val="none"/>
              </w:rPr>
            </w:pPr>
            <w:r>
              <w:rPr>
                <w:rFonts w:hint="eastAsia" w:ascii="宋体" w:hAnsi="宋体" w:cs="宋体"/>
                <w:b/>
                <w:bCs/>
                <w:color w:val="auto"/>
                <w:szCs w:val="21"/>
                <w:highlight w:val="none"/>
              </w:rPr>
              <w:t>服务描述</w:t>
            </w:r>
          </w:p>
        </w:tc>
        <w:tc>
          <w:tcPr>
            <w:tcW w:w="915" w:type="pct"/>
            <w:shd w:val="clear" w:color="auto" w:fill="auto"/>
            <w:vAlign w:val="center"/>
          </w:tcPr>
          <w:p w14:paraId="24051208">
            <w:pPr>
              <w:jc w:val="center"/>
              <w:rPr>
                <w:rFonts w:ascii="宋体" w:hAnsi="宋体" w:cs="宋体"/>
                <w:b/>
                <w:bCs/>
                <w:color w:val="auto"/>
                <w:szCs w:val="21"/>
                <w:highlight w:val="none"/>
              </w:rPr>
            </w:pPr>
            <w:r>
              <w:rPr>
                <w:rFonts w:hint="eastAsia" w:ascii="宋体" w:hAnsi="宋体" w:cs="宋体"/>
                <w:b/>
                <w:bCs/>
                <w:color w:val="auto"/>
                <w:szCs w:val="21"/>
                <w:highlight w:val="none"/>
              </w:rPr>
              <w:t>交付文档</w:t>
            </w:r>
          </w:p>
        </w:tc>
        <w:tc>
          <w:tcPr>
            <w:tcW w:w="590" w:type="pct"/>
            <w:shd w:val="clear" w:color="auto" w:fill="auto"/>
            <w:noWrap/>
            <w:vAlign w:val="center"/>
          </w:tcPr>
          <w:p w14:paraId="121B3D07">
            <w:pP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6DAF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restart"/>
            <w:shd w:val="clear" w:color="auto" w:fill="auto"/>
            <w:noWrap/>
            <w:vAlign w:val="center"/>
          </w:tcPr>
          <w:p w14:paraId="77B34F0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661" w:type="pct"/>
            <w:vMerge w:val="restart"/>
            <w:shd w:val="clear" w:color="auto" w:fill="auto"/>
            <w:vAlign w:val="center"/>
          </w:tcPr>
          <w:p w14:paraId="75CCEEF1">
            <w:pPr>
              <w:rPr>
                <w:rFonts w:ascii="宋体" w:hAnsi="宋体" w:cs="宋体"/>
                <w:b/>
                <w:bCs/>
                <w:color w:val="auto"/>
                <w:szCs w:val="21"/>
                <w:highlight w:val="none"/>
              </w:rPr>
            </w:pPr>
            <w:r>
              <w:rPr>
                <w:rFonts w:hint="eastAsia" w:ascii="宋体" w:hAnsi="宋体" w:cs="宋体"/>
                <w:b/>
                <w:bCs/>
                <w:color w:val="auto"/>
                <w:szCs w:val="21"/>
                <w:highlight w:val="none"/>
              </w:rPr>
              <w:t>基础环境、主机和数据库运维</w:t>
            </w:r>
          </w:p>
        </w:tc>
        <w:tc>
          <w:tcPr>
            <w:tcW w:w="3972" w:type="pct"/>
            <w:gridSpan w:val="4"/>
            <w:shd w:val="clear" w:color="auto" w:fill="auto"/>
            <w:noWrap/>
            <w:vAlign w:val="center"/>
          </w:tcPr>
          <w:p w14:paraId="20716E8D">
            <w:pPr>
              <w:jc w:val="center"/>
              <w:rPr>
                <w:rFonts w:ascii="宋体" w:hAnsi="宋体" w:cs="宋体"/>
                <w:b/>
                <w:bCs/>
                <w:color w:val="auto"/>
                <w:szCs w:val="21"/>
                <w:highlight w:val="none"/>
              </w:rPr>
            </w:pPr>
            <w:r>
              <w:rPr>
                <w:rFonts w:hint="eastAsia" w:ascii="宋体" w:hAnsi="宋体" w:cs="宋体"/>
                <w:b/>
                <w:bCs/>
                <w:color w:val="auto"/>
                <w:szCs w:val="21"/>
                <w:highlight w:val="none"/>
              </w:rPr>
              <w:t>资产管理</w:t>
            </w:r>
          </w:p>
        </w:tc>
      </w:tr>
      <w:tr w14:paraId="4BEB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572EFF24">
            <w:pPr>
              <w:rPr>
                <w:rFonts w:ascii="宋体" w:hAnsi="宋体" w:cs="宋体"/>
                <w:color w:val="auto"/>
                <w:szCs w:val="21"/>
                <w:highlight w:val="none"/>
              </w:rPr>
            </w:pPr>
          </w:p>
        </w:tc>
        <w:tc>
          <w:tcPr>
            <w:tcW w:w="661" w:type="pct"/>
            <w:vMerge w:val="continue"/>
            <w:vAlign w:val="center"/>
          </w:tcPr>
          <w:p w14:paraId="68E113AD">
            <w:pPr>
              <w:rPr>
                <w:rFonts w:ascii="宋体" w:hAnsi="宋体" w:cs="宋体"/>
                <w:b/>
                <w:bCs/>
                <w:color w:val="auto"/>
                <w:szCs w:val="21"/>
                <w:highlight w:val="none"/>
              </w:rPr>
            </w:pPr>
          </w:p>
        </w:tc>
        <w:tc>
          <w:tcPr>
            <w:tcW w:w="673" w:type="pct"/>
            <w:shd w:val="clear" w:color="auto" w:fill="auto"/>
            <w:vAlign w:val="center"/>
          </w:tcPr>
          <w:p w14:paraId="33C77463">
            <w:pPr>
              <w:jc w:val="center"/>
              <w:rPr>
                <w:rFonts w:ascii="宋体" w:hAnsi="宋体" w:cs="宋体"/>
                <w:color w:val="auto"/>
                <w:szCs w:val="21"/>
                <w:highlight w:val="none"/>
              </w:rPr>
            </w:pPr>
            <w:r>
              <w:rPr>
                <w:rFonts w:hint="eastAsia" w:ascii="宋体" w:hAnsi="宋体" w:cs="宋体"/>
                <w:color w:val="auto"/>
                <w:szCs w:val="21"/>
                <w:highlight w:val="none"/>
              </w:rPr>
              <w:t>IT资产调研</w:t>
            </w:r>
          </w:p>
        </w:tc>
        <w:tc>
          <w:tcPr>
            <w:tcW w:w="1792" w:type="pct"/>
            <w:shd w:val="clear" w:color="auto" w:fill="auto"/>
            <w:vAlign w:val="center"/>
          </w:tcPr>
          <w:p w14:paraId="2DDD759A">
            <w:pPr>
              <w:rPr>
                <w:rFonts w:ascii="宋体" w:hAnsi="宋体" w:cs="宋体"/>
                <w:color w:val="auto"/>
                <w:szCs w:val="21"/>
                <w:highlight w:val="none"/>
              </w:rPr>
            </w:pPr>
            <w:r>
              <w:rPr>
                <w:rFonts w:hint="eastAsia" w:ascii="宋体" w:hAnsi="宋体" w:cs="宋体"/>
                <w:color w:val="auto"/>
                <w:szCs w:val="21"/>
                <w:highlight w:val="none"/>
              </w:rPr>
              <w:t>纪录数据中心服务范围内各设备和系统的种类、型号、功能、物理位置、序列号、购买时间、过保时间等资产详细信息</w:t>
            </w:r>
          </w:p>
        </w:tc>
        <w:tc>
          <w:tcPr>
            <w:tcW w:w="915" w:type="pct"/>
            <w:shd w:val="clear" w:color="auto" w:fill="auto"/>
            <w:vAlign w:val="center"/>
          </w:tcPr>
          <w:p w14:paraId="39878538">
            <w:pPr>
              <w:jc w:val="center"/>
              <w:rPr>
                <w:rFonts w:ascii="宋体" w:hAnsi="宋体" w:cs="宋体"/>
                <w:color w:val="auto"/>
                <w:szCs w:val="21"/>
                <w:highlight w:val="none"/>
              </w:rPr>
            </w:pPr>
            <w:r>
              <w:rPr>
                <w:rFonts w:hint="eastAsia" w:ascii="宋体" w:hAnsi="宋体" w:cs="宋体"/>
                <w:color w:val="auto"/>
                <w:szCs w:val="21"/>
                <w:highlight w:val="none"/>
              </w:rPr>
              <w:t>设备清单</w:t>
            </w:r>
          </w:p>
        </w:tc>
        <w:tc>
          <w:tcPr>
            <w:tcW w:w="590" w:type="pct"/>
            <w:vMerge w:val="restart"/>
            <w:shd w:val="clear" w:color="auto" w:fill="auto"/>
            <w:noWrap/>
            <w:vAlign w:val="center"/>
          </w:tcPr>
          <w:p w14:paraId="6E205679">
            <w:pPr>
              <w:jc w:val="center"/>
              <w:rPr>
                <w:rFonts w:ascii="宋体" w:hAnsi="宋体" w:cs="宋体"/>
                <w:color w:val="auto"/>
                <w:szCs w:val="21"/>
                <w:highlight w:val="none"/>
              </w:rPr>
            </w:pPr>
          </w:p>
        </w:tc>
      </w:tr>
      <w:tr w14:paraId="4FBA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05EAE8F0">
            <w:pPr>
              <w:rPr>
                <w:rFonts w:ascii="宋体" w:hAnsi="宋体" w:cs="宋体"/>
                <w:color w:val="auto"/>
                <w:szCs w:val="21"/>
                <w:highlight w:val="none"/>
              </w:rPr>
            </w:pPr>
          </w:p>
        </w:tc>
        <w:tc>
          <w:tcPr>
            <w:tcW w:w="661" w:type="pct"/>
            <w:vMerge w:val="continue"/>
            <w:vAlign w:val="center"/>
          </w:tcPr>
          <w:p w14:paraId="0987DF4A">
            <w:pPr>
              <w:rPr>
                <w:rFonts w:ascii="宋体" w:hAnsi="宋体" w:cs="宋体"/>
                <w:b/>
                <w:bCs/>
                <w:color w:val="auto"/>
                <w:szCs w:val="21"/>
                <w:highlight w:val="none"/>
              </w:rPr>
            </w:pPr>
          </w:p>
        </w:tc>
        <w:tc>
          <w:tcPr>
            <w:tcW w:w="673" w:type="pct"/>
            <w:vMerge w:val="restart"/>
            <w:shd w:val="clear" w:color="auto" w:fill="auto"/>
            <w:vAlign w:val="center"/>
          </w:tcPr>
          <w:p w14:paraId="03F76199">
            <w:pPr>
              <w:jc w:val="center"/>
              <w:rPr>
                <w:rFonts w:ascii="宋体" w:hAnsi="宋体" w:cs="宋体"/>
                <w:color w:val="auto"/>
                <w:szCs w:val="21"/>
                <w:highlight w:val="none"/>
              </w:rPr>
            </w:pPr>
            <w:r>
              <w:rPr>
                <w:rFonts w:hint="eastAsia" w:ascii="宋体" w:hAnsi="宋体" w:cs="宋体"/>
                <w:color w:val="auto"/>
                <w:szCs w:val="21"/>
                <w:highlight w:val="none"/>
              </w:rPr>
              <w:t>基础信息完善</w:t>
            </w:r>
          </w:p>
        </w:tc>
        <w:tc>
          <w:tcPr>
            <w:tcW w:w="1792" w:type="pct"/>
            <w:vMerge w:val="restart"/>
            <w:shd w:val="clear" w:color="auto" w:fill="auto"/>
            <w:vAlign w:val="center"/>
          </w:tcPr>
          <w:p w14:paraId="7B3CF82B">
            <w:pPr>
              <w:rPr>
                <w:rFonts w:ascii="宋体" w:hAnsi="宋体" w:cs="宋体"/>
                <w:color w:val="auto"/>
                <w:szCs w:val="21"/>
                <w:highlight w:val="none"/>
              </w:rPr>
            </w:pPr>
            <w:r>
              <w:rPr>
                <w:rFonts w:hint="eastAsia" w:ascii="宋体" w:hAnsi="宋体" w:cs="宋体"/>
                <w:color w:val="auto"/>
                <w:szCs w:val="21"/>
                <w:highlight w:val="none"/>
              </w:rPr>
              <w:t>利用设备清单进行物理设备建档，绘制网络拓扑，硬件设备物理位置图、接口对应表，完善数据中心基础信息</w:t>
            </w:r>
          </w:p>
        </w:tc>
        <w:tc>
          <w:tcPr>
            <w:tcW w:w="915" w:type="pct"/>
            <w:shd w:val="clear" w:color="auto" w:fill="auto"/>
            <w:vAlign w:val="center"/>
          </w:tcPr>
          <w:p w14:paraId="752CAF74">
            <w:pPr>
              <w:jc w:val="center"/>
              <w:rPr>
                <w:rFonts w:ascii="宋体" w:hAnsi="宋体" w:cs="宋体"/>
                <w:color w:val="auto"/>
                <w:szCs w:val="21"/>
                <w:highlight w:val="none"/>
              </w:rPr>
            </w:pPr>
            <w:r>
              <w:rPr>
                <w:rFonts w:hint="eastAsia" w:ascii="宋体" w:hAnsi="宋体" w:cs="宋体"/>
                <w:color w:val="auto"/>
                <w:szCs w:val="21"/>
                <w:highlight w:val="none"/>
              </w:rPr>
              <w:t>拓扑图</w:t>
            </w:r>
          </w:p>
        </w:tc>
        <w:tc>
          <w:tcPr>
            <w:tcW w:w="590" w:type="pct"/>
            <w:vMerge w:val="continue"/>
            <w:vAlign w:val="center"/>
          </w:tcPr>
          <w:p w14:paraId="5771C580">
            <w:pPr>
              <w:rPr>
                <w:rFonts w:ascii="宋体" w:hAnsi="宋体" w:cs="宋体"/>
                <w:color w:val="auto"/>
                <w:szCs w:val="21"/>
                <w:highlight w:val="none"/>
              </w:rPr>
            </w:pPr>
          </w:p>
        </w:tc>
      </w:tr>
      <w:tr w14:paraId="65FF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2FDED4AF">
            <w:pPr>
              <w:rPr>
                <w:rFonts w:ascii="宋体" w:hAnsi="宋体" w:cs="宋体"/>
                <w:color w:val="auto"/>
                <w:szCs w:val="21"/>
                <w:highlight w:val="none"/>
              </w:rPr>
            </w:pPr>
          </w:p>
        </w:tc>
        <w:tc>
          <w:tcPr>
            <w:tcW w:w="661" w:type="pct"/>
            <w:vMerge w:val="continue"/>
            <w:vAlign w:val="center"/>
          </w:tcPr>
          <w:p w14:paraId="79BAA81A">
            <w:pPr>
              <w:rPr>
                <w:rFonts w:ascii="宋体" w:hAnsi="宋体" w:cs="宋体"/>
                <w:b/>
                <w:bCs/>
                <w:color w:val="auto"/>
                <w:szCs w:val="21"/>
                <w:highlight w:val="none"/>
              </w:rPr>
            </w:pPr>
          </w:p>
        </w:tc>
        <w:tc>
          <w:tcPr>
            <w:tcW w:w="673" w:type="pct"/>
            <w:vMerge w:val="continue"/>
            <w:vAlign w:val="center"/>
          </w:tcPr>
          <w:p w14:paraId="5CC5E5BA">
            <w:pPr>
              <w:rPr>
                <w:rFonts w:ascii="宋体" w:hAnsi="宋体" w:cs="宋体"/>
                <w:color w:val="auto"/>
                <w:szCs w:val="21"/>
                <w:highlight w:val="none"/>
              </w:rPr>
            </w:pPr>
          </w:p>
        </w:tc>
        <w:tc>
          <w:tcPr>
            <w:tcW w:w="1792" w:type="pct"/>
            <w:vMerge w:val="continue"/>
            <w:vAlign w:val="center"/>
          </w:tcPr>
          <w:p w14:paraId="6BB8EE09">
            <w:pPr>
              <w:rPr>
                <w:rFonts w:ascii="宋体" w:hAnsi="宋体" w:cs="宋体"/>
                <w:color w:val="auto"/>
                <w:szCs w:val="21"/>
                <w:highlight w:val="none"/>
              </w:rPr>
            </w:pPr>
          </w:p>
        </w:tc>
        <w:tc>
          <w:tcPr>
            <w:tcW w:w="915" w:type="pct"/>
            <w:shd w:val="clear" w:color="auto" w:fill="auto"/>
            <w:vAlign w:val="center"/>
          </w:tcPr>
          <w:p w14:paraId="6D7B4061">
            <w:pPr>
              <w:jc w:val="center"/>
              <w:rPr>
                <w:rFonts w:ascii="宋体" w:hAnsi="宋体" w:cs="宋体"/>
                <w:color w:val="auto"/>
                <w:szCs w:val="21"/>
                <w:highlight w:val="none"/>
              </w:rPr>
            </w:pPr>
            <w:r>
              <w:rPr>
                <w:rFonts w:hint="eastAsia" w:ascii="宋体" w:hAnsi="宋体" w:cs="宋体"/>
                <w:color w:val="auto"/>
                <w:szCs w:val="21"/>
                <w:highlight w:val="none"/>
              </w:rPr>
              <w:t>机柜图</w:t>
            </w:r>
          </w:p>
        </w:tc>
        <w:tc>
          <w:tcPr>
            <w:tcW w:w="590" w:type="pct"/>
            <w:vMerge w:val="continue"/>
            <w:vAlign w:val="center"/>
          </w:tcPr>
          <w:p w14:paraId="5EEA8954">
            <w:pPr>
              <w:rPr>
                <w:rFonts w:ascii="宋体" w:hAnsi="宋体" w:cs="宋体"/>
                <w:color w:val="auto"/>
                <w:szCs w:val="21"/>
                <w:highlight w:val="none"/>
              </w:rPr>
            </w:pPr>
          </w:p>
        </w:tc>
      </w:tr>
      <w:tr w14:paraId="029A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1A9AC511">
            <w:pPr>
              <w:rPr>
                <w:rFonts w:ascii="宋体" w:hAnsi="宋体" w:cs="宋体"/>
                <w:color w:val="auto"/>
                <w:szCs w:val="21"/>
                <w:highlight w:val="none"/>
              </w:rPr>
            </w:pPr>
          </w:p>
        </w:tc>
        <w:tc>
          <w:tcPr>
            <w:tcW w:w="661" w:type="pct"/>
            <w:vMerge w:val="continue"/>
            <w:vAlign w:val="center"/>
          </w:tcPr>
          <w:p w14:paraId="567DB144">
            <w:pPr>
              <w:rPr>
                <w:rFonts w:ascii="宋体" w:hAnsi="宋体" w:cs="宋体"/>
                <w:b/>
                <w:bCs/>
                <w:color w:val="auto"/>
                <w:szCs w:val="21"/>
                <w:highlight w:val="none"/>
              </w:rPr>
            </w:pPr>
          </w:p>
        </w:tc>
        <w:tc>
          <w:tcPr>
            <w:tcW w:w="673" w:type="pct"/>
            <w:vMerge w:val="continue"/>
            <w:vAlign w:val="center"/>
          </w:tcPr>
          <w:p w14:paraId="0EF793FD">
            <w:pPr>
              <w:rPr>
                <w:rFonts w:ascii="宋体" w:hAnsi="宋体" w:cs="宋体"/>
                <w:color w:val="auto"/>
                <w:szCs w:val="21"/>
                <w:highlight w:val="none"/>
              </w:rPr>
            </w:pPr>
          </w:p>
        </w:tc>
        <w:tc>
          <w:tcPr>
            <w:tcW w:w="1792" w:type="pct"/>
            <w:vMerge w:val="continue"/>
            <w:vAlign w:val="center"/>
          </w:tcPr>
          <w:p w14:paraId="0FF1A304">
            <w:pPr>
              <w:rPr>
                <w:rFonts w:ascii="宋体" w:hAnsi="宋体" w:cs="宋体"/>
                <w:color w:val="auto"/>
                <w:szCs w:val="21"/>
                <w:highlight w:val="none"/>
              </w:rPr>
            </w:pPr>
          </w:p>
        </w:tc>
        <w:tc>
          <w:tcPr>
            <w:tcW w:w="915" w:type="pct"/>
            <w:shd w:val="clear" w:color="auto" w:fill="auto"/>
            <w:vAlign w:val="center"/>
          </w:tcPr>
          <w:p w14:paraId="2600029D">
            <w:pPr>
              <w:jc w:val="center"/>
              <w:rPr>
                <w:rFonts w:ascii="宋体" w:hAnsi="宋体" w:cs="宋体"/>
                <w:color w:val="auto"/>
                <w:szCs w:val="21"/>
                <w:highlight w:val="none"/>
              </w:rPr>
            </w:pPr>
            <w:r>
              <w:rPr>
                <w:rFonts w:hint="eastAsia" w:ascii="宋体" w:hAnsi="宋体" w:cs="宋体"/>
                <w:color w:val="auto"/>
                <w:szCs w:val="21"/>
                <w:highlight w:val="none"/>
              </w:rPr>
              <w:t>线序表</w:t>
            </w:r>
          </w:p>
        </w:tc>
        <w:tc>
          <w:tcPr>
            <w:tcW w:w="590" w:type="pct"/>
            <w:vMerge w:val="continue"/>
            <w:vAlign w:val="center"/>
          </w:tcPr>
          <w:p w14:paraId="32C3D63C">
            <w:pPr>
              <w:rPr>
                <w:rFonts w:ascii="宋体" w:hAnsi="宋体" w:cs="宋体"/>
                <w:color w:val="auto"/>
                <w:szCs w:val="21"/>
                <w:highlight w:val="none"/>
              </w:rPr>
            </w:pPr>
          </w:p>
        </w:tc>
      </w:tr>
      <w:tr w14:paraId="33B7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7398707B">
            <w:pPr>
              <w:rPr>
                <w:rFonts w:ascii="宋体" w:hAnsi="宋体" w:cs="宋体"/>
                <w:color w:val="auto"/>
                <w:szCs w:val="21"/>
                <w:highlight w:val="none"/>
              </w:rPr>
            </w:pPr>
          </w:p>
        </w:tc>
        <w:tc>
          <w:tcPr>
            <w:tcW w:w="661" w:type="pct"/>
            <w:vMerge w:val="continue"/>
            <w:vAlign w:val="center"/>
          </w:tcPr>
          <w:p w14:paraId="7AF4FBD2">
            <w:pPr>
              <w:rPr>
                <w:rFonts w:ascii="宋体" w:hAnsi="宋体" w:cs="宋体"/>
                <w:b/>
                <w:bCs/>
                <w:color w:val="auto"/>
                <w:szCs w:val="21"/>
                <w:highlight w:val="none"/>
              </w:rPr>
            </w:pPr>
          </w:p>
        </w:tc>
        <w:tc>
          <w:tcPr>
            <w:tcW w:w="673" w:type="pct"/>
            <w:vMerge w:val="continue"/>
            <w:vAlign w:val="center"/>
          </w:tcPr>
          <w:p w14:paraId="02E00CB0">
            <w:pPr>
              <w:rPr>
                <w:rFonts w:ascii="宋体" w:hAnsi="宋体" w:cs="宋体"/>
                <w:color w:val="auto"/>
                <w:szCs w:val="21"/>
                <w:highlight w:val="none"/>
              </w:rPr>
            </w:pPr>
          </w:p>
        </w:tc>
        <w:tc>
          <w:tcPr>
            <w:tcW w:w="1792" w:type="pct"/>
            <w:vMerge w:val="continue"/>
            <w:vAlign w:val="center"/>
          </w:tcPr>
          <w:p w14:paraId="7188EF5D">
            <w:pPr>
              <w:rPr>
                <w:rFonts w:ascii="宋体" w:hAnsi="宋体" w:cs="宋体"/>
                <w:color w:val="auto"/>
                <w:szCs w:val="21"/>
                <w:highlight w:val="none"/>
              </w:rPr>
            </w:pPr>
          </w:p>
        </w:tc>
        <w:tc>
          <w:tcPr>
            <w:tcW w:w="915" w:type="pct"/>
            <w:shd w:val="clear" w:color="auto" w:fill="auto"/>
            <w:vAlign w:val="center"/>
          </w:tcPr>
          <w:p w14:paraId="0563C45D">
            <w:pPr>
              <w:jc w:val="center"/>
              <w:rPr>
                <w:rFonts w:ascii="宋体" w:hAnsi="宋体" w:cs="宋体"/>
                <w:color w:val="auto"/>
                <w:szCs w:val="21"/>
                <w:highlight w:val="none"/>
              </w:rPr>
            </w:pPr>
            <w:r>
              <w:rPr>
                <w:rFonts w:hint="eastAsia" w:ascii="宋体" w:hAnsi="宋体" w:cs="宋体"/>
                <w:color w:val="auto"/>
                <w:szCs w:val="21"/>
                <w:highlight w:val="none"/>
              </w:rPr>
              <w:t>业务表</w:t>
            </w:r>
          </w:p>
        </w:tc>
        <w:tc>
          <w:tcPr>
            <w:tcW w:w="590" w:type="pct"/>
            <w:vMerge w:val="continue"/>
            <w:vAlign w:val="center"/>
          </w:tcPr>
          <w:p w14:paraId="148E8138">
            <w:pPr>
              <w:rPr>
                <w:rFonts w:ascii="宋体" w:hAnsi="宋体" w:cs="宋体"/>
                <w:color w:val="auto"/>
                <w:szCs w:val="21"/>
                <w:highlight w:val="none"/>
              </w:rPr>
            </w:pPr>
          </w:p>
        </w:tc>
      </w:tr>
      <w:tr w14:paraId="1EBA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4C57D904">
            <w:pPr>
              <w:rPr>
                <w:rFonts w:ascii="宋体" w:hAnsi="宋体" w:cs="宋体"/>
                <w:color w:val="auto"/>
                <w:szCs w:val="21"/>
                <w:highlight w:val="none"/>
              </w:rPr>
            </w:pPr>
          </w:p>
        </w:tc>
        <w:tc>
          <w:tcPr>
            <w:tcW w:w="661" w:type="pct"/>
            <w:vMerge w:val="continue"/>
            <w:vAlign w:val="center"/>
          </w:tcPr>
          <w:p w14:paraId="67A7DBDF">
            <w:pPr>
              <w:rPr>
                <w:rFonts w:ascii="宋体" w:hAnsi="宋体" w:cs="宋体"/>
                <w:b/>
                <w:bCs/>
                <w:color w:val="auto"/>
                <w:szCs w:val="21"/>
                <w:highlight w:val="none"/>
              </w:rPr>
            </w:pPr>
          </w:p>
        </w:tc>
        <w:tc>
          <w:tcPr>
            <w:tcW w:w="673" w:type="pct"/>
            <w:shd w:val="clear" w:color="auto" w:fill="auto"/>
            <w:vAlign w:val="center"/>
          </w:tcPr>
          <w:p w14:paraId="214D7BAA">
            <w:pPr>
              <w:jc w:val="center"/>
              <w:rPr>
                <w:rFonts w:ascii="宋体" w:hAnsi="宋体" w:cs="宋体"/>
                <w:color w:val="auto"/>
                <w:szCs w:val="21"/>
                <w:highlight w:val="none"/>
              </w:rPr>
            </w:pPr>
            <w:r>
              <w:rPr>
                <w:rFonts w:hint="eastAsia" w:ascii="宋体" w:hAnsi="宋体" w:cs="宋体"/>
                <w:color w:val="auto"/>
                <w:szCs w:val="21"/>
                <w:highlight w:val="none"/>
              </w:rPr>
              <w:t>动力环境</w:t>
            </w:r>
          </w:p>
        </w:tc>
        <w:tc>
          <w:tcPr>
            <w:tcW w:w="1792" w:type="pct"/>
            <w:shd w:val="clear" w:color="auto" w:fill="auto"/>
            <w:vAlign w:val="center"/>
          </w:tcPr>
          <w:p w14:paraId="7A4A44A9">
            <w:pPr>
              <w:rPr>
                <w:rFonts w:ascii="宋体" w:hAnsi="宋体" w:cs="宋体"/>
                <w:color w:val="auto"/>
                <w:szCs w:val="21"/>
                <w:highlight w:val="none"/>
              </w:rPr>
            </w:pPr>
            <w:r>
              <w:rPr>
                <w:rFonts w:hint="eastAsia" w:ascii="宋体" w:hAnsi="宋体" w:cs="宋体"/>
                <w:color w:val="auto"/>
                <w:szCs w:val="21"/>
                <w:highlight w:val="none"/>
                <w:lang w:eastAsia="zh-CN"/>
              </w:rPr>
              <w:t>容灾</w:t>
            </w:r>
            <w:r>
              <w:rPr>
                <w:rFonts w:hint="eastAsia" w:ascii="宋体" w:hAnsi="宋体" w:cs="宋体"/>
                <w:color w:val="auto"/>
                <w:szCs w:val="21"/>
                <w:highlight w:val="none"/>
              </w:rPr>
              <w:t>机房空调、UPS、温湿度、水浸等环境监测管理服务</w:t>
            </w:r>
          </w:p>
        </w:tc>
        <w:tc>
          <w:tcPr>
            <w:tcW w:w="915" w:type="pct"/>
            <w:shd w:val="clear" w:color="auto" w:fill="auto"/>
            <w:vAlign w:val="center"/>
          </w:tcPr>
          <w:p w14:paraId="2D217A5F">
            <w:pPr>
              <w:jc w:val="center"/>
              <w:rPr>
                <w:rFonts w:ascii="宋体" w:hAnsi="宋体" w:cs="宋体"/>
                <w:color w:val="auto"/>
                <w:szCs w:val="21"/>
                <w:highlight w:val="none"/>
              </w:rPr>
            </w:pPr>
            <w:r>
              <w:rPr>
                <w:rFonts w:hint="eastAsia" w:ascii="宋体" w:hAnsi="宋体" w:cs="宋体"/>
                <w:color w:val="auto"/>
                <w:szCs w:val="21"/>
                <w:highlight w:val="none"/>
              </w:rPr>
              <w:t>动环报告</w:t>
            </w:r>
          </w:p>
        </w:tc>
        <w:tc>
          <w:tcPr>
            <w:tcW w:w="590" w:type="pct"/>
            <w:vMerge w:val="restart"/>
            <w:shd w:val="clear" w:color="auto" w:fill="auto"/>
            <w:vAlign w:val="center"/>
          </w:tcPr>
          <w:p w14:paraId="3A36E0A2">
            <w:pPr>
              <w:jc w:val="center"/>
              <w:rPr>
                <w:rFonts w:ascii="宋体" w:hAnsi="宋体" w:cs="宋体"/>
                <w:color w:val="auto"/>
                <w:szCs w:val="21"/>
                <w:highlight w:val="none"/>
              </w:rPr>
            </w:pPr>
          </w:p>
        </w:tc>
      </w:tr>
      <w:tr w14:paraId="30F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6887C17C">
            <w:pPr>
              <w:rPr>
                <w:rFonts w:ascii="宋体" w:hAnsi="宋体" w:cs="宋体"/>
                <w:color w:val="auto"/>
                <w:szCs w:val="21"/>
                <w:highlight w:val="none"/>
              </w:rPr>
            </w:pPr>
          </w:p>
        </w:tc>
        <w:tc>
          <w:tcPr>
            <w:tcW w:w="661" w:type="pct"/>
            <w:vMerge w:val="continue"/>
            <w:vAlign w:val="center"/>
          </w:tcPr>
          <w:p w14:paraId="5782370D">
            <w:pPr>
              <w:rPr>
                <w:rFonts w:ascii="宋体" w:hAnsi="宋体" w:cs="宋体"/>
                <w:b/>
                <w:bCs/>
                <w:color w:val="auto"/>
                <w:szCs w:val="21"/>
                <w:highlight w:val="none"/>
              </w:rPr>
            </w:pPr>
          </w:p>
        </w:tc>
        <w:tc>
          <w:tcPr>
            <w:tcW w:w="673" w:type="pct"/>
            <w:shd w:val="clear" w:color="auto" w:fill="auto"/>
            <w:vAlign w:val="center"/>
          </w:tcPr>
          <w:p w14:paraId="5C084009">
            <w:pPr>
              <w:jc w:val="center"/>
              <w:rPr>
                <w:rFonts w:ascii="宋体" w:hAnsi="宋体" w:cs="宋体"/>
                <w:color w:val="auto"/>
                <w:szCs w:val="21"/>
                <w:highlight w:val="none"/>
              </w:rPr>
            </w:pPr>
            <w:r>
              <w:rPr>
                <w:rFonts w:hint="eastAsia" w:ascii="宋体" w:hAnsi="宋体" w:cs="宋体"/>
                <w:color w:val="auto"/>
                <w:szCs w:val="21"/>
                <w:highlight w:val="none"/>
              </w:rPr>
              <w:t>机房卫生</w:t>
            </w:r>
          </w:p>
        </w:tc>
        <w:tc>
          <w:tcPr>
            <w:tcW w:w="1792" w:type="pct"/>
            <w:shd w:val="clear" w:color="auto" w:fill="auto"/>
            <w:vAlign w:val="center"/>
          </w:tcPr>
          <w:p w14:paraId="2D37CD1C">
            <w:pPr>
              <w:rPr>
                <w:rFonts w:ascii="宋体" w:hAnsi="宋体" w:cs="宋体"/>
                <w:color w:val="auto"/>
                <w:szCs w:val="21"/>
                <w:highlight w:val="none"/>
              </w:rPr>
            </w:pPr>
            <w:r>
              <w:rPr>
                <w:rFonts w:hint="eastAsia" w:ascii="宋体" w:hAnsi="宋体" w:cs="宋体"/>
                <w:color w:val="auto"/>
                <w:szCs w:val="21"/>
                <w:highlight w:val="none"/>
              </w:rPr>
              <w:t>机房卫生清洁工作，地面卫生、设备外部除尘、储物间整理服务</w:t>
            </w:r>
          </w:p>
        </w:tc>
        <w:tc>
          <w:tcPr>
            <w:tcW w:w="915" w:type="pct"/>
            <w:shd w:val="clear" w:color="auto" w:fill="auto"/>
            <w:vAlign w:val="center"/>
          </w:tcPr>
          <w:p w14:paraId="7A0C143B">
            <w:pPr>
              <w:jc w:val="center"/>
              <w:rPr>
                <w:rFonts w:ascii="宋体" w:hAnsi="宋体" w:cs="宋体"/>
                <w:color w:val="auto"/>
                <w:szCs w:val="21"/>
                <w:highlight w:val="none"/>
              </w:rPr>
            </w:pPr>
          </w:p>
        </w:tc>
        <w:tc>
          <w:tcPr>
            <w:tcW w:w="590" w:type="pct"/>
            <w:vMerge w:val="continue"/>
            <w:vAlign w:val="center"/>
          </w:tcPr>
          <w:p w14:paraId="02EF197D">
            <w:pPr>
              <w:rPr>
                <w:rFonts w:ascii="宋体" w:hAnsi="宋体" w:cs="宋体"/>
                <w:color w:val="auto"/>
                <w:szCs w:val="21"/>
                <w:highlight w:val="none"/>
              </w:rPr>
            </w:pPr>
          </w:p>
        </w:tc>
      </w:tr>
      <w:tr w14:paraId="6CB5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01F0E4CF">
            <w:pPr>
              <w:rPr>
                <w:rFonts w:ascii="宋体" w:hAnsi="宋体" w:cs="宋体"/>
                <w:color w:val="auto"/>
                <w:szCs w:val="21"/>
                <w:highlight w:val="none"/>
              </w:rPr>
            </w:pPr>
          </w:p>
        </w:tc>
        <w:tc>
          <w:tcPr>
            <w:tcW w:w="661" w:type="pct"/>
            <w:vMerge w:val="continue"/>
            <w:vAlign w:val="center"/>
          </w:tcPr>
          <w:p w14:paraId="55580A36">
            <w:pPr>
              <w:rPr>
                <w:rFonts w:ascii="宋体" w:hAnsi="宋体" w:cs="宋体"/>
                <w:b/>
                <w:bCs/>
                <w:color w:val="auto"/>
                <w:szCs w:val="21"/>
                <w:highlight w:val="none"/>
              </w:rPr>
            </w:pPr>
          </w:p>
        </w:tc>
        <w:tc>
          <w:tcPr>
            <w:tcW w:w="673" w:type="pct"/>
            <w:shd w:val="clear" w:color="auto" w:fill="auto"/>
            <w:vAlign w:val="center"/>
          </w:tcPr>
          <w:p w14:paraId="0ED6E6B9">
            <w:pPr>
              <w:jc w:val="center"/>
              <w:rPr>
                <w:rFonts w:ascii="宋体" w:hAnsi="宋体" w:cs="宋体"/>
                <w:color w:val="auto"/>
                <w:szCs w:val="21"/>
                <w:highlight w:val="none"/>
              </w:rPr>
            </w:pPr>
            <w:r>
              <w:rPr>
                <w:rFonts w:hint="eastAsia" w:ascii="宋体" w:hAnsi="宋体" w:cs="宋体"/>
                <w:color w:val="auto"/>
                <w:szCs w:val="21"/>
                <w:highlight w:val="none"/>
              </w:rPr>
              <w:t>线路标签</w:t>
            </w:r>
          </w:p>
        </w:tc>
        <w:tc>
          <w:tcPr>
            <w:tcW w:w="1792" w:type="pct"/>
            <w:shd w:val="clear" w:color="auto" w:fill="auto"/>
            <w:vAlign w:val="center"/>
          </w:tcPr>
          <w:p w14:paraId="7B5FC22A">
            <w:pPr>
              <w:rPr>
                <w:rFonts w:ascii="宋体" w:hAnsi="宋体" w:cs="宋体"/>
                <w:color w:val="auto"/>
                <w:szCs w:val="21"/>
                <w:highlight w:val="none"/>
              </w:rPr>
            </w:pPr>
            <w:r>
              <w:rPr>
                <w:rFonts w:hint="eastAsia" w:ascii="宋体" w:hAnsi="宋体" w:cs="宋体"/>
                <w:color w:val="auto"/>
                <w:szCs w:val="21"/>
                <w:highlight w:val="none"/>
              </w:rPr>
              <w:t>根据资产信息进行设备标签、线路标签制作粘贴服务</w:t>
            </w:r>
          </w:p>
        </w:tc>
        <w:tc>
          <w:tcPr>
            <w:tcW w:w="915" w:type="pct"/>
            <w:shd w:val="clear" w:color="auto" w:fill="auto"/>
            <w:vAlign w:val="center"/>
          </w:tcPr>
          <w:p w14:paraId="3E2B487D">
            <w:pPr>
              <w:jc w:val="center"/>
              <w:rPr>
                <w:rFonts w:ascii="宋体" w:hAnsi="宋体" w:cs="宋体"/>
                <w:color w:val="auto"/>
                <w:szCs w:val="21"/>
                <w:highlight w:val="none"/>
              </w:rPr>
            </w:pPr>
            <w:r>
              <w:rPr>
                <w:rFonts w:hint="eastAsia" w:ascii="宋体" w:hAnsi="宋体" w:cs="宋体"/>
                <w:color w:val="auto"/>
                <w:szCs w:val="21"/>
                <w:highlight w:val="none"/>
              </w:rPr>
              <w:t>标签</w:t>
            </w:r>
          </w:p>
        </w:tc>
        <w:tc>
          <w:tcPr>
            <w:tcW w:w="590" w:type="pct"/>
            <w:vMerge w:val="continue"/>
            <w:vAlign w:val="center"/>
          </w:tcPr>
          <w:p w14:paraId="1C10A6BC">
            <w:pPr>
              <w:rPr>
                <w:rFonts w:ascii="宋体" w:hAnsi="宋体" w:cs="宋体"/>
                <w:color w:val="auto"/>
                <w:szCs w:val="21"/>
                <w:highlight w:val="none"/>
              </w:rPr>
            </w:pPr>
          </w:p>
        </w:tc>
      </w:tr>
      <w:tr w14:paraId="694B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5AB03E20">
            <w:pPr>
              <w:rPr>
                <w:rFonts w:ascii="宋体" w:hAnsi="宋体" w:cs="宋体"/>
                <w:color w:val="auto"/>
                <w:szCs w:val="21"/>
                <w:highlight w:val="none"/>
              </w:rPr>
            </w:pPr>
          </w:p>
        </w:tc>
        <w:tc>
          <w:tcPr>
            <w:tcW w:w="661" w:type="pct"/>
            <w:vMerge w:val="continue"/>
            <w:vAlign w:val="center"/>
          </w:tcPr>
          <w:p w14:paraId="2DEBEE45">
            <w:pPr>
              <w:rPr>
                <w:rFonts w:ascii="宋体" w:hAnsi="宋体" w:cs="宋体"/>
                <w:b/>
                <w:bCs/>
                <w:color w:val="auto"/>
                <w:szCs w:val="21"/>
                <w:highlight w:val="none"/>
              </w:rPr>
            </w:pPr>
          </w:p>
        </w:tc>
        <w:tc>
          <w:tcPr>
            <w:tcW w:w="673" w:type="pct"/>
            <w:shd w:val="clear" w:color="auto" w:fill="auto"/>
            <w:vAlign w:val="center"/>
          </w:tcPr>
          <w:p w14:paraId="3C75BB77">
            <w:pPr>
              <w:jc w:val="center"/>
              <w:rPr>
                <w:rFonts w:ascii="宋体" w:hAnsi="宋体" w:cs="宋体"/>
                <w:color w:val="auto"/>
                <w:szCs w:val="21"/>
                <w:highlight w:val="none"/>
              </w:rPr>
            </w:pPr>
            <w:r>
              <w:rPr>
                <w:rFonts w:hint="eastAsia" w:ascii="宋体" w:hAnsi="宋体" w:cs="宋体"/>
                <w:color w:val="auto"/>
                <w:szCs w:val="21"/>
                <w:highlight w:val="none"/>
              </w:rPr>
              <w:t>故障响应</w:t>
            </w:r>
          </w:p>
        </w:tc>
        <w:tc>
          <w:tcPr>
            <w:tcW w:w="1792" w:type="pct"/>
            <w:shd w:val="clear" w:color="auto" w:fill="auto"/>
            <w:vAlign w:val="center"/>
          </w:tcPr>
          <w:p w14:paraId="11698563">
            <w:pPr>
              <w:rPr>
                <w:rFonts w:ascii="宋体" w:hAnsi="宋体" w:cs="宋体"/>
                <w:color w:val="auto"/>
                <w:szCs w:val="21"/>
                <w:highlight w:val="none"/>
              </w:rPr>
            </w:pPr>
            <w:r>
              <w:rPr>
                <w:rFonts w:hint="eastAsia" w:ascii="宋体" w:hAnsi="宋体" w:cs="宋体"/>
                <w:color w:val="auto"/>
                <w:szCs w:val="21"/>
                <w:highlight w:val="none"/>
              </w:rPr>
              <w:t>日常信息系统故障应急响应，根据不同故障级别，提供对应的响应机制</w:t>
            </w:r>
          </w:p>
        </w:tc>
        <w:tc>
          <w:tcPr>
            <w:tcW w:w="915" w:type="pct"/>
            <w:shd w:val="clear" w:color="auto" w:fill="auto"/>
            <w:vAlign w:val="center"/>
          </w:tcPr>
          <w:p w14:paraId="50F82906">
            <w:pPr>
              <w:jc w:val="center"/>
              <w:rPr>
                <w:rFonts w:ascii="宋体" w:hAnsi="宋体" w:cs="宋体"/>
                <w:color w:val="auto"/>
                <w:szCs w:val="21"/>
                <w:highlight w:val="none"/>
              </w:rPr>
            </w:pPr>
            <w:r>
              <w:rPr>
                <w:rFonts w:hint="eastAsia" w:ascii="宋体" w:hAnsi="宋体" w:cs="宋体"/>
                <w:color w:val="auto"/>
                <w:szCs w:val="21"/>
                <w:highlight w:val="none"/>
              </w:rPr>
              <w:t>服务报告单</w:t>
            </w:r>
          </w:p>
        </w:tc>
        <w:tc>
          <w:tcPr>
            <w:tcW w:w="590" w:type="pct"/>
            <w:vAlign w:val="center"/>
          </w:tcPr>
          <w:p w14:paraId="7A8C7A1A">
            <w:pPr>
              <w:rPr>
                <w:rFonts w:ascii="宋体" w:hAnsi="宋体" w:cs="宋体"/>
                <w:color w:val="auto"/>
                <w:szCs w:val="21"/>
                <w:highlight w:val="none"/>
              </w:rPr>
            </w:pPr>
          </w:p>
        </w:tc>
      </w:tr>
      <w:tr w14:paraId="2B1B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5E0ECB34">
            <w:pPr>
              <w:rPr>
                <w:rFonts w:ascii="宋体" w:hAnsi="宋体" w:cs="宋体"/>
                <w:color w:val="auto"/>
                <w:szCs w:val="21"/>
                <w:highlight w:val="none"/>
              </w:rPr>
            </w:pPr>
          </w:p>
        </w:tc>
        <w:tc>
          <w:tcPr>
            <w:tcW w:w="661" w:type="pct"/>
            <w:vMerge w:val="continue"/>
            <w:vAlign w:val="center"/>
          </w:tcPr>
          <w:p w14:paraId="44579BC6">
            <w:pPr>
              <w:rPr>
                <w:rFonts w:ascii="宋体" w:hAnsi="宋体" w:cs="宋体"/>
                <w:b/>
                <w:bCs/>
                <w:color w:val="auto"/>
                <w:szCs w:val="21"/>
                <w:highlight w:val="none"/>
              </w:rPr>
            </w:pPr>
          </w:p>
        </w:tc>
        <w:tc>
          <w:tcPr>
            <w:tcW w:w="3972" w:type="pct"/>
            <w:gridSpan w:val="4"/>
            <w:shd w:val="clear" w:color="auto" w:fill="auto"/>
            <w:vAlign w:val="center"/>
          </w:tcPr>
          <w:p w14:paraId="760617B3">
            <w:pPr>
              <w:jc w:val="center"/>
              <w:rPr>
                <w:rFonts w:ascii="宋体" w:hAnsi="宋体" w:cs="宋体"/>
                <w:b/>
                <w:bCs/>
                <w:color w:val="auto"/>
                <w:szCs w:val="21"/>
                <w:highlight w:val="none"/>
              </w:rPr>
            </w:pPr>
            <w:r>
              <w:rPr>
                <w:rFonts w:hint="eastAsia" w:ascii="宋体" w:hAnsi="宋体" w:cs="宋体"/>
                <w:b/>
                <w:bCs/>
                <w:color w:val="auto"/>
                <w:szCs w:val="21"/>
                <w:highlight w:val="none"/>
              </w:rPr>
              <w:t>定期巡检与总结</w:t>
            </w:r>
          </w:p>
        </w:tc>
      </w:tr>
      <w:tr w14:paraId="69B9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4392D592">
            <w:pPr>
              <w:rPr>
                <w:rFonts w:ascii="宋体" w:hAnsi="宋体" w:cs="宋体"/>
                <w:color w:val="auto"/>
                <w:szCs w:val="21"/>
                <w:highlight w:val="none"/>
              </w:rPr>
            </w:pPr>
          </w:p>
        </w:tc>
        <w:tc>
          <w:tcPr>
            <w:tcW w:w="661" w:type="pct"/>
            <w:vMerge w:val="continue"/>
            <w:vAlign w:val="center"/>
          </w:tcPr>
          <w:p w14:paraId="6274983D">
            <w:pPr>
              <w:rPr>
                <w:rFonts w:ascii="宋体" w:hAnsi="宋体" w:cs="宋体"/>
                <w:b/>
                <w:bCs/>
                <w:color w:val="auto"/>
                <w:szCs w:val="21"/>
                <w:highlight w:val="none"/>
              </w:rPr>
            </w:pPr>
          </w:p>
        </w:tc>
        <w:tc>
          <w:tcPr>
            <w:tcW w:w="673" w:type="pct"/>
            <w:shd w:val="clear" w:color="auto" w:fill="auto"/>
            <w:vAlign w:val="center"/>
          </w:tcPr>
          <w:p w14:paraId="5265C8E7">
            <w:pPr>
              <w:jc w:val="center"/>
              <w:rPr>
                <w:rFonts w:ascii="宋体" w:hAnsi="宋体" w:cs="宋体"/>
                <w:color w:val="auto"/>
                <w:szCs w:val="21"/>
                <w:highlight w:val="none"/>
              </w:rPr>
            </w:pPr>
            <w:r>
              <w:rPr>
                <w:rFonts w:hint="eastAsia" w:ascii="宋体" w:hAnsi="宋体" w:cs="宋体"/>
                <w:color w:val="auto"/>
                <w:szCs w:val="21"/>
                <w:highlight w:val="none"/>
              </w:rPr>
              <w:t>季度巡检</w:t>
            </w:r>
          </w:p>
        </w:tc>
        <w:tc>
          <w:tcPr>
            <w:tcW w:w="1792" w:type="pct"/>
            <w:vMerge w:val="restart"/>
            <w:shd w:val="clear" w:color="auto" w:fill="auto"/>
            <w:vAlign w:val="center"/>
          </w:tcPr>
          <w:p w14:paraId="75FDCD75">
            <w:pPr>
              <w:rPr>
                <w:rFonts w:ascii="宋体" w:hAnsi="宋体" w:cs="宋体"/>
                <w:color w:val="auto"/>
                <w:szCs w:val="21"/>
                <w:highlight w:val="none"/>
              </w:rPr>
            </w:pPr>
            <w:r>
              <w:rPr>
                <w:rFonts w:hint="eastAsia" w:ascii="宋体" w:hAnsi="宋体" w:cs="宋体"/>
                <w:color w:val="auto"/>
                <w:szCs w:val="21"/>
                <w:highlight w:val="none"/>
              </w:rPr>
              <w:t>为了确保用户信息系统安全稳定，由被动解决问题变为主动发现问题，最大限度的降低系统的运行故障，为用户单位提供重要信息安全资产如安全设备、业务系统、网络设备等周期性健康检查服务。</w:t>
            </w:r>
          </w:p>
        </w:tc>
        <w:tc>
          <w:tcPr>
            <w:tcW w:w="915" w:type="pct"/>
            <w:shd w:val="clear" w:color="auto" w:fill="auto"/>
            <w:vAlign w:val="center"/>
          </w:tcPr>
          <w:p w14:paraId="169BA337">
            <w:pPr>
              <w:jc w:val="center"/>
              <w:rPr>
                <w:rFonts w:ascii="宋体" w:hAnsi="宋体" w:cs="宋体"/>
                <w:color w:val="auto"/>
                <w:szCs w:val="21"/>
                <w:highlight w:val="none"/>
              </w:rPr>
            </w:pPr>
            <w:r>
              <w:rPr>
                <w:rFonts w:hint="eastAsia" w:ascii="宋体" w:hAnsi="宋体" w:cs="宋体"/>
                <w:color w:val="auto"/>
                <w:szCs w:val="21"/>
                <w:highlight w:val="none"/>
              </w:rPr>
              <w:t>季度巡检报告</w:t>
            </w:r>
          </w:p>
        </w:tc>
        <w:tc>
          <w:tcPr>
            <w:tcW w:w="590" w:type="pct"/>
            <w:vMerge w:val="restart"/>
            <w:shd w:val="clear" w:color="auto" w:fill="auto"/>
            <w:vAlign w:val="center"/>
          </w:tcPr>
          <w:p w14:paraId="72E5D55E">
            <w:pPr>
              <w:jc w:val="center"/>
              <w:rPr>
                <w:rFonts w:ascii="宋体" w:hAnsi="宋体" w:cs="宋体"/>
                <w:color w:val="auto"/>
                <w:szCs w:val="21"/>
                <w:highlight w:val="none"/>
              </w:rPr>
            </w:pPr>
          </w:p>
        </w:tc>
      </w:tr>
      <w:tr w14:paraId="4600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54B2B2B2">
            <w:pPr>
              <w:rPr>
                <w:rFonts w:ascii="宋体" w:hAnsi="宋体" w:cs="宋体"/>
                <w:color w:val="auto"/>
                <w:szCs w:val="21"/>
                <w:highlight w:val="none"/>
              </w:rPr>
            </w:pPr>
          </w:p>
        </w:tc>
        <w:tc>
          <w:tcPr>
            <w:tcW w:w="661" w:type="pct"/>
            <w:vMerge w:val="continue"/>
            <w:vAlign w:val="center"/>
          </w:tcPr>
          <w:p w14:paraId="7829FB0F">
            <w:pPr>
              <w:rPr>
                <w:rFonts w:ascii="宋体" w:hAnsi="宋体" w:cs="宋体"/>
                <w:b/>
                <w:bCs/>
                <w:color w:val="auto"/>
                <w:szCs w:val="21"/>
                <w:highlight w:val="none"/>
              </w:rPr>
            </w:pPr>
          </w:p>
        </w:tc>
        <w:tc>
          <w:tcPr>
            <w:tcW w:w="673" w:type="pct"/>
            <w:shd w:val="clear" w:color="auto" w:fill="auto"/>
            <w:vAlign w:val="center"/>
          </w:tcPr>
          <w:p w14:paraId="0E9E27C5">
            <w:pPr>
              <w:jc w:val="center"/>
              <w:rPr>
                <w:rFonts w:ascii="宋体" w:hAnsi="宋体" w:cs="宋体"/>
                <w:color w:val="auto"/>
                <w:szCs w:val="21"/>
                <w:highlight w:val="none"/>
              </w:rPr>
            </w:pPr>
            <w:r>
              <w:rPr>
                <w:rFonts w:hint="eastAsia" w:ascii="宋体" w:hAnsi="宋体" w:cs="宋体"/>
                <w:color w:val="auto"/>
                <w:szCs w:val="21"/>
                <w:highlight w:val="none"/>
              </w:rPr>
              <w:t>年度总结报告</w:t>
            </w:r>
          </w:p>
        </w:tc>
        <w:tc>
          <w:tcPr>
            <w:tcW w:w="1792" w:type="pct"/>
            <w:vMerge w:val="continue"/>
            <w:vAlign w:val="center"/>
          </w:tcPr>
          <w:p w14:paraId="1798FBE6">
            <w:pPr>
              <w:rPr>
                <w:rFonts w:ascii="宋体" w:hAnsi="宋体" w:cs="宋体"/>
                <w:color w:val="auto"/>
                <w:szCs w:val="21"/>
                <w:highlight w:val="none"/>
              </w:rPr>
            </w:pPr>
          </w:p>
        </w:tc>
        <w:tc>
          <w:tcPr>
            <w:tcW w:w="915" w:type="pct"/>
            <w:shd w:val="clear" w:color="auto" w:fill="auto"/>
            <w:vAlign w:val="center"/>
          </w:tcPr>
          <w:p w14:paraId="79418FB6">
            <w:pPr>
              <w:jc w:val="center"/>
              <w:rPr>
                <w:rFonts w:ascii="宋体" w:hAnsi="宋体" w:cs="宋体"/>
                <w:color w:val="auto"/>
                <w:szCs w:val="21"/>
                <w:highlight w:val="none"/>
              </w:rPr>
            </w:pPr>
            <w:r>
              <w:rPr>
                <w:rFonts w:hint="eastAsia" w:ascii="宋体" w:hAnsi="宋体" w:cs="宋体"/>
                <w:color w:val="auto"/>
                <w:szCs w:val="21"/>
                <w:highlight w:val="none"/>
              </w:rPr>
              <w:t>年度总结报告</w:t>
            </w:r>
          </w:p>
        </w:tc>
        <w:tc>
          <w:tcPr>
            <w:tcW w:w="590" w:type="pct"/>
            <w:vMerge w:val="continue"/>
            <w:vAlign w:val="center"/>
          </w:tcPr>
          <w:p w14:paraId="1F5D7E74">
            <w:pPr>
              <w:rPr>
                <w:rFonts w:ascii="宋体" w:hAnsi="宋体" w:cs="宋体"/>
                <w:color w:val="auto"/>
                <w:szCs w:val="21"/>
                <w:highlight w:val="none"/>
              </w:rPr>
            </w:pPr>
          </w:p>
        </w:tc>
      </w:tr>
      <w:tr w14:paraId="664C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5ACB944E">
            <w:pPr>
              <w:rPr>
                <w:rFonts w:ascii="宋体" w:hAnsi="宋体" w:cs="宋体"/>
                <w:color w:val="auto"/>
                <w:szCs w:val="21"/>
                <w:highlight w:val="none"/>
              </w:rPr>
            </w:pPr>
          </w:p>
        </w:tc>
        <w:tc>
          <w:tcPr>
            <w:tcW w:w="661" w:type="pct"/>
            <w:vMerge w:val="continue"/>
            <w:vAlign w:val="center"/>
          </w:tcPr>
          <w:p w14:paraId="4D5862D9">
            <w:pPr>
              <w:rPr>
                <w:rFonts w:ascii="宋体" w:hAnsi="宋体" w:cs="宋体"/>
                <w:b/>
                <w:bCs/>
                <w:color w:val="auto"/>
                <w:szCs w:val="21"/>
                <w:highlight w:val="none"/>
              </w:rPr>
            </w:pPr>
          </w:p>
        </w:tc>
        <w:tc>
          <w:tcPr>
            <w:tcW w:w="3972" w:type="pct"/>
            <w:gridSpan w:val="4"/>
            <w:shd w:val="clear" w:color="auto" w:fill="auto"/>
            <w:vAlign w:val="center"/>
          </w:tcPr>
          <w:p w14:paraId="620A693B">
            <w:pPr>
              <w:jc w:val="center"/>
              <w:rPr>
                <w:rFonts w:ascii="宋体" w:hAnsi="宋体" w:cs="宋体"/>
                <w:b/>
                <w:bCs/>
                <w:color w:val="auto"/>
                <w:szCs w:val="21"/>
                <w:highlight w:val="none"/>
              </w:rPr>
            </w:pPr>
            <w:r>
              <w:rPr>
                <w:rFonts w:hint="eastAsia" w:ascii="宋体" w:hAnsi="宋体" w:cs="宋体"/>
                <w:b/>
                <w:bCs/>
                <w:color w:val="auto"/>
                <w:szCs w:val="21"/>
                <w:highlight w:val="none"/>
              </w:rPr>
              <w:t>数据库运维</w:t>
            </w:r>
          </w:p>
        </w:tc>
      </w:tr>
      <w:tr w14:paraId="4743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469B3C89">
            <w:pPr>
              <w:rPr>
                <w:rFonts w:ascii="宋体" w:hAnsi="宋体" w:cs="宋体"/>
                <w:color w:val="auto"/>
                <w:szCs w:val="21"/>
                <w:highlight w:val="none"/>
              </w:rPr>
            </w:pPr>
          </w:p>
        </w:tc>
        <w:tc>
          <w:tcPr>
            <w:tcW w:w="661" w:type="pct"/>
            <w:vMerge w:val="continue"/>
            <w:vAlign w:val="center"/>
          </w:tcPr>
          <w:p w14:paraId="35D4CC0A">
            <w:pPr>
              <w:rPr>
                <w:rFonts w:ascii="宋体" w:hAnsi="宋体" w:cs="宋体"/>
                <w:b/>
                <w:bCs/>
                <w:color w:val="auto"/>
                <w:szCs w:val="21"/>
                <w:highlight w:val="none"/>
              </w:rPr>
            </w:pPr>
          </w:p>
        </w:tc>
        <w:tc>
          <w:tcPr>
            <w:tcW w:w="673" w:type="pct"/>
            <w:shd w:val="clear" w:color="auto" w:fill="auto"/>
            <w:vAlign w:val="center"/>
          </w:tcPr>
          <w:p w14:paraId="2BBCE186">
            <w:pPr>
              <w:jc w:val="center"/>
              <w:rPr>
                <w:rFonts w:ascii="宋体" w:hAnsi="宋体" w:cs="宋体"/>
                <w:color w:val="auto"/>
                <w:szCs w:val="21"/>
                <w:highlight w:val="none"/>
              </w:rPr>
            </w:pPr>
            <w:r>
              <w:rPr>
                <w:rFonts w:hint="eastAsia" w:ascii="宋体" w:hAnsi="宋体" w:cs="宋体"/>
                <w:color w:val="auto"/>
                <w:szCs w:val="21"/>
                <w:highlight w:val="none"/>
              </w:rPr>
              <w:t>服务建档</w:t>
            </w:r>
          </w:p>
        </w:tc>
        <w:tc>
          <w:tcPr>
            <w:tcW w:w="1792" w:type="pct"/>
            <w:shd w:val="clear" w:color="auto" w:fill="auto"/>
            <w:vAlign w:val="center"/>
          </w:tcPr>
          <w:p w14:paraId="6254C85A">
            <w:pPr>
              <w:rPr>
                <w:rFonts w:ascii="宋体" w:hAnsi="宋体" w:cs="宋体"/>
                <w:color w:val="auto"/>
                <w:szCs w:val="21"/>
                <w:highlight w:val="none"/>
              </w:rPr>
            </w:pPr>
            <w:r>
              <w:rPr>
                <w:rFonts w:hint="eastAsia" w:ascii="宋体" w:hAnsi="宋体" w:cs="宋体"/>
                <w:color w:val="auto"/>
                <w:szCs w:val="21"/>
                <w:highlight w:val="none"/>
              </w:rPr>
              <w:t>提供现场勘查服务器、存储以及相关网络的配置，勘察数据库配置，并整理为初始文档，出具数据库服务范围说明书</w:t>
            </w:r>
          </w:p>
        </w:tc>
        <w:tc>
          <w:tcPr>
            <w:tcW w:w="915" w:type="pct"/>
            <w:shd w:val="clear" w:color="auto" w:fill="auto"/>
            <w:vAlign w:val="center"/>
          </w:tcPr>
          <w:p w14:paraId="0456CB30">
            <w:pPr>
              <w:jc w:val="center"/>
              <w:rPr>
                <w:rFonts w:ascii="宋体" w:hAnsi="宋体" w:cs="宋体"/>
                <w:color w:val="auto"/>
                <w:szCs w:val="21"/>
                <w:highlight w:val="none"/>
              </w:rPr>
            </w:pPr>
            <w:r>
              <w:rPr>
                <w:rFonts w:hint="eastAsia" w:ascii="宋体" w:hAnsi="宋体" w:cs="宋体"/>
                <w:color w:val="auto"/>
                <w:szCs w:val="21"/>
                <w:highlight w:val="none"/>
              </w:rPr>
              <w:t>数据库服务范围说明书</w:t>
            </w:r>
          </w:p>
        </w:tc>
        <w:tc>
          <w:tcPr>
            <w:tcW w:w="590" w:type="pct"/>
            <w:vMerge w:val="restart"/>
            <w:shd w:val="clear" w:color="auto" w:fill="auto"/>
            <w:vAlign w:val="center"/>
          </w:tcPr>
          <w:p w14:paraId="59487809">
            <w:pPr>
              <w:jc w:val="center"/>
              <w:rPr>
                <w:rFonts w:ascii="宋体" w:hAnsi="宋体" w:cs="宋体"/>
                <w:color w:val="auto"/>
                <w:szCs w:val="21"/>
                <w:highlight w:val="none"/>
              </w:rPr>
            </w:pPr>
          </w:p>
        </w:tc>
      </w:tr>
      <w:tr w14:paraId="00D5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4D5AE8D3">
            <w:pPr>
              <w:rPr>
                <w:rFonts w:ascii="宋体" w:hAnsi="宋体" w:cs="宋体"/>
                <w:color w:val="auto"/>
                <w:szCs w:val="21"/>
                <w:highlight w:val="none"/>
              </w:rPr>
            </w:pPr>
          </w:p>
        </w:tc>
        <w:tc>
          <w:tcPr>
            <w:tcW w:w="661" w:type="pct"/>
            <w:vMerge w:val="continue"/>
            <w:vAlign w:val="center"/>
          </w:tcPr>
          <w:p w14:paraId="5CEC822B">
            <w:pPr>
              <w:rPr>
                <w:rFonts w:ascii="宋体" w:hAnsi="宋体" w:cs="宋体"/>
                <w:b/>
                <w:bCs/>
                <w:color w:val="auto"/>
                <w:szCs w:val="21"/>
                <w:highlight w:val="none"/>
              </w:rPr>
            </w:pPr>
          </w:p>
        </w:tc>
        <w:tc>
          <w:tcPr>
            <w:tcW w:w="673" w:type="pct"/>
            <w:shd w:val="clear" w:color="auto" w:fill="auto"/>
            <w:vAlign w:val="center"/>
          </w:tcPr>
          <w:p w14:paraId="346992A5">
            <w:pPr>
              <w:jc w:val="center"/>
              <w:rPr>
                <w:rFonts w:ascii="宋体" w:hAnsi="宋体" w:cs="宋体"/>
                <w:color w:val="auto"/>
                <w:szCs w:val="21"/>
                <w:highlight w:val="none"/>
              </w:rPr>
            </w:pPr>
            <w:r>
              <w:rPr>
                <w:rFonts w:hint="eastAsia" w:ascii="宋体" w:hAnsi="宋体" w:cs="宋体"/>
                <w:color w:val="auto"/>
                <w:szCs w:val="21"/>
                <w:highlight w:val="none"/>
              </w:rPr>
              <w:t>数据库备份升级</w:t>
            </w:r>
          </w:p>
        </w:tc>
        <w:tc>
          <w:tcPr>
            <w:tcW w:w="1792" w:type="pct"/>
            <w:shd w:val="clear" w:color="auto" w:fill="auto"/>
            <w:vAlign w:val="center"/>
          </w:tcPr>
          <w:p w14:paraId="3AC733C5">
            <w:pPr>
              <w:rPr>
                <w:rFonts w:ascii="宋体" w:hAnsi="宋体" w:cs="宋体"/>
                <w:color w:val="auto"/>
                <w:szCs w:val="21"/>
                <w:highlight w:val="none"/>
              </w:rPr>
            </w:pPr>
            <w:r>
              <w:rPr>
                <w:rFonts w:hint="eastAsia" w:ascii="宋体" w:hAnsi="宋体" w:cs="宋体"/>
                <w:color w:val="auto"/>
                <w:szCs w:val="21"/>
                <w:highlight w:val="none"/>
              </w:rPr>
              <w:t>提供现有数据库数据备份、版本、补丁升级服务</w:t>
            </w:r>
          </w:p>
        </w:tc>
        <w:tc>
          <w:tcPr>
            <w:tcW w:w="915" w:type="pct"/>
            <w:shd w:val="clear" w:color="auto" w:fill="auto"/>
            <w:vAlign w:val="center"/>
          </w:tcPr>
          <w:p w14:paraId="4810BB07">
            <w:pPr>
              <w:jc w:val="center"/>
              <w:rPr>
                <w:rFonts w:ascii="宋体" w:hAnsi="宋体" w:cs="宋体"/>
                <w:color w:val="auto"/>
                <w:szCs w:val="21"/>
                <w:highlight w:val="none"/>
              </w:rPr>
            </w:pPr>
            <w:r>
              <w:rPr>
                <w:rFonts w:hint="eastAsia" w:ascii="宋体" w:hAnsi="宋体" w:cs="宋体"/>
                <w:color w:val="auto"/>
                <w:szCs w:val="21"/>
                <w:highlight w:val="none"/>
              </w:rPr>
              <w:t>数据库备份升级方案</w:t>
            </w:r>
          </w:p>
        </w:tc>
        <w:tc>
          <w:tcPr>
            <w:tcW w:w="590" w:type="pct"/>
            <w:vMerge w:val="continue"/>
            <w:vAlign w:val="center"/>
          </w:tcPr>
          <w:p w14:paraId="257D9150">
            <w:pPr>
              <w:rPr>
                <w:rFonts w:ascii="宋体" w:hAnsi="宋体" w:cs="宋体"/>
                <w:color w:val="auto"/>
                <w:szCs w:val="21"/>
                <w:highlight w:val="none"/>
              </w:rPr>
            </w:pPr>
          </w:p>
        </w:tc>
      </w:tr>
      <w:tr w14:paraId="1A0D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193C0D97">
            <w:pPr>
              <w:rPr>
                <w:rFonts w:ascii="宋体" w:hAnsi="宋体" w:cs="宋体"/>
                <w:color w:val="auto"/>
                <w:szCs w:val="21"/>
                <w:highlight w:val="none"/>
              </w:rPr>
            </w:pPr>
          </w:p>
        </w:tc>
        <w:tc>
          <w:tcPr>
            <w:tcW w:w="661" w:type="pct"/>
            <w:vMerge w:val="continue"/>
            <w:vAlign w:val="center"/>
          </w:tcPr>
          <w:p w14:paraId="2BFA0DE0">
            <w:pPr>
              <w:rPr>
                <w:rFonts w:ascii="宋体" w:hAnsi="宋体" w:cs="宋体"/>
                <w:b/>
                <w:bCs/>
                <w:color w:val="auto"/>
                <w:szCs w:val="21"/>
                <w:highlight w:val="none"/>
              </w:rPr>
            </w:pPr>
          </w:p>
        </w:tc>
        <w:tc>
          <w:tcPr>
            <w:tcW w:w="673" w:type="pct"/>
            <w:shd w:val="clear" w:color="auto" w:fill="auto"/>
            <w:vAlign w:val="center"/>
          </w:tcPr>
          <w:p w14:paraId="58519FAE">
            <w:pPr>
              <w:jc w:val="center"/>
              <w:rPr>
                <w:rFonts w:ascii="宋体" w:hAnsi="宋体" w:cs="宋体"/>
                <w:color w:val="auto"/>
                <w:szCs w:val="21"/>
                <w:highlight w:val="none"/>
              </w:rPr>
            </w:pPr>
            <w:r>
              <w:rPr>
                <w:rFonts w:hint="eastAsia" w:ascii="宋体" w:hAnsi="宋体" w:cs="宋体"/>
                <w:color w:val="auto"/>
                <w:szCs w:val="21"/>
                <w:highlight w:val="none"/>
              </w:rPr>
              <w:t>数据库优化</w:t>
            </w:r>
          </w:p>
        </w:tc>
        <w:tc>
          <w:tcPr>
            <w:tcW w:w="1792" w:type="pct"/>
            <w:shd w:val="clear" w:color="auto" w:fill="auto"/>
            <w:vAlign w:val="center"/>
          </w:tcPr>
          <w:p w14:paraId="3312E6C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★提供OCM数据工程师对现有数据库系统的检测、优化服务，提高性能，利于生产</w:t>
            </w:r>
            <w:r>
              <w:rPr>
                <w:rFonts w:hint="eastAsia" w:ascii="宋体" w:hAnsi="宋体" w:cs="宋体"/>
                <w:color w:val="auto"/>
                <w:szCs w:val="21"/>
                <w:highlight w:val="none"/>
                <w:lang w:eastAsia="zh-CN"/>
              </w:rPr>
              <w:t>。</w:t>
            </w:r>
          </w:p>
        </w:tc>
        <w:tc>
          <w:tcPr>
            <w:tcW w:w="915" w:type="pct"/>
            <w:shd w:val="clear" w:color="auto" w:fill="auto"/>
            <w:vAlign w:val="center"/>
          </w:tcPr>
          <w:p w14:paraId="659B7D9D">
            <w:pPr>
              <w:jc w:val="center"/>
              <w:rPr>
                <w:rFonts w:ascii="宋体" w:hAnsi="宋体" w:cs="宋体"/>
                <w:color w:val="auto"/>
                <w:szCs w:val="21"/>
                <w:highlight w:val="none"/>
              </w:rPr>
            </w:pPr>
            <w:r>
              <w:rPr>
                <w:rFonts w:hint="eastAsia" w:ascii="宋体" w:hAnsi="宋体" w:cs="宋体"/>
                <w:color w:val="auto"/>
                <w:szCs w:val="21"/>
                <w:highlight w:val="none"/>
              </w:rPr>
              <w:t>数据库优化方案</w:t>
            </w:r>
          </w:p>
        </w:tc>
        <w:tc>
          <w:tcPr>
            <w:tcW w:w="590" w:type="pct"/>
            <w:vMerge w:val="continue"/>
            <w:vAlign w:val="center"/>
          </w:tcPr>
          <w:p w14:paraId="427B7BA4">
            <w:pPr>
              <w:rPr>
                <w:rFonts w:ascii="宋体" w:hAnsi="宋体" w:cs="宋体"/>
                <w:color w:val="auto"/>
                <w:szCs w:val="21"/>
                <w:highlight w:val="none"/>
              </w:rPr>
            </w:pPr>
          </w:p>
        </w:tc>
      </w:tr>
      <w:tr w14:paraId="0084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44E32362">
            <w:pPr>
              <w:rPr>
                <w:rFonts w:ascii="宋体" w:hAnsi="宋体" w:cs="宋体"/>
                <w:color w:val="auto"/>
                <w:szCs w:val="21"/>
                <w:highlight w:val="none"/>
              </w:rPr>
            </w:pPr>
          </w:p>
        </w:tc>
        <w:tc>
          <w:tcPr>
            <w:tcW w:w="661" w:type="pct"/>
            <w:vMerge w:val="continue"/>
            <w:vAlign w:val="center"/>
          </w:tcPr>
          <w:p w14:paraId="4DC0FA03">
            <w:pPr>
              <w:rPr>
                <w:rFonts w:ascii="宋体" w:hAnsi="宋体" w:cs="宋体"/>
                <w:b/>
                <w:bCs/>
                <w:color w:val="auto"/>
                <w:szCs w:val="21"/>
                <w:highlight w:val="none"/>
              </w:rPr>
            </w:pPr>
          </w:p>
        </w:tc>
        <w:tc>
          <w:tcPr>
            <w:tcW w:w="3972" w:type="pct"/>
            <w:gridSpan w:val="4"/>
            <w:shd w:val="clear" w:color="auto" w:fill="auto"/>
            <w:vAlign w:val="center"/>
          </w:tcPr>
          <w:p w14:paraId="3F79EF41">
            <w:pPr>
              <w:jc w:val="center"/>
              <w:rPr>
                <w:rFonts w:ascii="宋体" w:hAnsi="宋体" w:cs="宋体"/>
                <w:b/>
                <w:bCs/>
                <w:color w:val="auto"/>
                <w:szCs w:val="21"/>
                <w:highlight w:val="none"/>
              </w:rPr>
            </w:pPr>
            <w:r>
              <w:rPr>
                <w:rFonts w:hint="eastAsia" w:ascii="宋体" w:hAnsi="宋体" w:cs="宋体"/>
                <w:b/>
                <w:bCs/>
                <w:color w:val="auto"/>
                <w:szCs w:val="21"/>
                <w:highlight w:val="none"/>
              </w:rPr>
              <w:t>I</w:t>
            </w:r>
            <w:r>
              <w:rPr>
                <w:rFonts w:ascii="宋体" w:hAnsi="宋体" w:cs="宋体"/>
                <w:b/>
                <w:bCs/>
                <w:color w:val="auto"/>
                <w:szCs w:val="21"/>
                <w:highlight w:val="none"/>
              </w:rPr>
              <w:t>DC</w:t>
            </w:r>
            <w:r>
              <w:rPr>
                <w:rFonts w:hint="eastAsia" w:ascii="宋体" w:hAnsi="宋体" w:cs="宋体"/>
                <w:b/>
                <w:bCs/>
                <w:color w:val="auto"/>
                <w:szCs w:val="21"/>
                <w:highlight w:val="none"/>
              </w:rPr>
              <w:t>综合运维平台维护</w:t>
            </w:r>
          </w:p>
        </w:tc>
      </w:tr>
      <w:tr w14:paraId="3E02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159A99C3">
            <w:pPr>
              <w:rPr>
                <w:rFonts w:ascii="宋体" w:hAnsi="宋体" w:cs="宋体"/>
                <w:color w:val="auto"/>
                <w:szCs w:val="21"/>
                <w:highlight w:val="none"/>
              </w:rPr>
            </w:pPr>
          </w:p>
        </w:tc>
        <w:tc>
          <w:tcPr>
            <w:tcW w:w="661" w:type="pct"/>
            <w:vMerge w:val="continue"/>
            <w:vAlign w:val="center"/>
          </w:tcPr>
          <w:p w14:paraId="7733ED6B">
            <w:pPr>
              <w:rPr>
                <w:rFonts w:ascii="宋体" w:hAnsi="宋体" w:cs="宋体"/>
                <w:b/>
                <w:bCs/>
                <w:color w:val="auto"/>
                <w:szCs w:val="21"/>
                <w:highlight w:val="none"/>
              </w:rPr>
            </w:pPr>
          </w:p>
        </w:tc>
        <w:tc>
          <w:tcPr>
            <w:tcW w:w="673" w:type="pct"/>
            <w:shd w:val="clear" w:color="auto" w:fill="auto"/>
            <w:vAlign w:val="center"/>
          </w:tcPr>
          <w:p w14:paraId="6A638A04">
            <w:pPr>
              <w:jc w:val="center"/>
              <w:rPr>
                <w:rFonts w:ascii="宋体" w:hAnsi="宋体" w:cs="宋体"/>
                <w:color w:val="auto"/>
                <w:szCs w:val="21"/>
                <w:highlight w:val="none"/>
              </w:rPr>
            </w:pPr>
            <w:r>
              <w:rPr>
                <w:rFonts w:hint="eastAsia" w:ascii="宋体" w:hAnsi="宋体" w:cs="宋体"/>
                <w:color w:val="auto"/>
                <w:szCs w:val="21"/>
                <w:highlight w:val="none"/>
              </w:rPr>
              <w:t>机房环境监测</w:t>
            </w:r>
          </w:p>
        </w:tc>
        <w:tc>
          <w:tcPr>
            <w:tcW w:w="1792" w:type="pct"/>
            <w:shd w:val="clear" w:color="auto" w:fill="auto"/>
            <w:vAlign w:val="center"/>
          </w:tcPr>
          <w:p w14:paraId="08B76120">
            <w:pPr>
              <w:rPr>
                <w:rFonts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color w:val="auto"/>
                <w:szCs w:val="21"/>
                <w:highlight w:val="none"/>
                <w:lang w:eastAsia="zh-CN"/>
              </w:rPr>
              <w:t>容灾</w:t>
            </w:r>
            <w:r>
              <w:rPr>
                <w:rFonts w:hint="eastAsia" w:ascii="宋体" w:hAnsi="宋体" w:cs="宋体"/>
                <w:color w:val="auto"/>
                <w:szCs w:val="21"/>
                <w:highlight w:val="none"/>
              </w:rPr>
              <w:t>机房动力环境（空调、UPS、温湿度、漏水等）监测服务，故障以邮件或短信告警方式告知运维人员。含各个检测感应器及授权许可。</w:t>
            </w:r>
          </w:p>
        </w:tc>
        <w:tc>
          <w:tcPr>
            <w:tcW w:w="915" w:type="pct"/>
            <w:vMerge w:val="restart"/>
            <w:shd w:val="clear" w:color="auto" w:fill="auto"/>
            <w:vAlign w:val="center"/>
          </w:tcPr>
          <w:p w14:paraId="330B1286">
            <w:pPr>
              <w:jc w:val="center"/>
              <w:rPr>
                <w:rFonts w:ascii="宋体" w:hAnsi="宋体" w:cs="宋体"/>
                <w:color w:val="auto"/>
                <w:szCs w:val="21"/>
                <w:highlight w:val="none"/>
              </w:rPr>
            </w:pPr>
            <w:r>
              <w:rPr>
                <w:rFonts w:hint="eastAsia" w:ascii="宋体" w:hAnsi="宋体" w:cs="宋体"/>
                <w:color w:val="auto"/>
                <w:szCs w:val="21"/>
                <w:highlight w:val="none"/>
              </w:rPr>
              <w:t>监测报告  短信、邮件告警</w:t>
            </w:r>
          </w:p>
        </w:tc>
        <w:tc>
          <w:tcPr>
            <w:tcW w:w="590" w:type="pct"/>
            <w:vMerge w:val="restart"/>
            <w:shd w:val="clear" w:color="auto" w:fill="auto"/>
            <w:vAlign w:val="center"/>
          </w:tcPr>
          <w:p w14:paraId="5EE10D43">
            <w:pPr>
              <w:jc w:val="center"/>
              <w:rPr>
                <w:rFonts w:ascii="宋体" w:hAnsi="宋体" w:cs="宋体"/>
                <w:color w:val="auto"/>
                <w:szCs w:val="21"/>
                <w:highlight w:val="none"/>
              </w:rPr>
            </w:pPr>
          </w:p>
        </w:tc>
      </w:tr>
      <w:tr w14:paraId="5A10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505941A3">
            <w:pPr>
              <w:rPr>
                <w:rFonts w:ascii="宋体" w:hAnsi="宋体" w:cs="宋体"/>
                <w:color w:val="auto"/>
                <w:szCs w:val="21"/>
                <w:highlight w:val="none"/>
              </w:rPr>
            </w:pPr>
          </w:p>
        </w:tc>
        <w:tc>
          <w:tcPr>
            <w:tcW w:w="661" w:type="pct"/>
            <w:vMerge w:val="continue"/>
            <w:vAlign w:val="center"/>
          </w:tcPr>
          <w:p w14:paraId="602CED48">
            <w:pPr>
              <w:rPr>
                <w:rFonts w:ascii="宋体" w:hAnsi="宋体" w:cs="宋体"/>
                <w:b/>
                <w:bCs/>
                <w:color w:val="auto"/>
                <w:szCs w:val="21"/>
                <w:highlight w:val="none"/>
              </w:rPr>
            </w:pPr>
          </w:p>
        </w:tc>
        <w:tc>
          <w:tcPr>
            <w:tcW w:w="673" w:type="pct"/>
            <w:shd w:val="clear" w:color="auto" w:fill="auto"/>
            <w:vAlign w:val="center"/>
          </w:tcPr>
          <w:p w14:paraId="74341CBC">
            <w:pPr>
              <w:jc w:val="center"/>
              <w:rPr>
                <w:rFonts w:ascii="宋体" w:hAnsi="宋体" w:cs="宋体"/>
                <w:color w:val="auto"/>
                <w:szCs w:val="21"/>
                <w:highlight w:val="none"/>
              </w:rPr>
            </w:pPr>
            <w:r>
              <w:rPr>
                <w:rFonts w:hint="eastAsia" w:ascii="宋体" w:hAnsi="宋体" w:cs="宋体"/>
                <w:color w:val="auto"/>
                <w:szCs w:val="21"/>
                <w:highlight w:val="none"/>
              </w:rPr>
              <w:t>设备运维监测</w:t>
            </w:r>
          </w:p>
        </w:tc>
        <w:tc>
          <w:tcPr>
            <w:tcW w:w="1792" w:type="pct"/>
            <w:shd w:val="clear" w:color="auto" w:fill="auto"/>
            <w:vAlign w:val="center"/>
          </w:tcPr>
          <w:p w14:paraId="27DF5461">
            <w:pPr>
              <w:rPr>
                <w:rFonts w:ascii="宋体" w:hAnsi="宋体" w:cs="宋体"/>
                <w:color w:val="auto"/>
                <w:szCs w:val="21"/>
                <w:highlight w:val="none"/>
              </w:rPr>
            </w:pPr>
            <w:r>
              <w:rPr>
                <w:rFonts w:hint="eastAsia" w:ascii="宋体" w:hAnsi="宋体" w:cs="宋体"/>
                <w:color w:val="auto"/>
                <w:szCs w:val="21"/>
                <w:highlight w:val="none"/>
              </w:rPr>
              <w:t>提供机房基础设备运行状态（设备存活状态、网络连通性、性能）监测服务，故障以邮件或短信告警方式告知运维人员。</w:t>
            </w:r>
            <w:r>
              <w:rPr>
                <w:rFonts w:ascii="宋体" w:hAnsi="宋体" w:cs="宋体"/>
                <w:color w:val="auto"/>
                <w:szCs w:val="21"/>
                <w:highlight w:val="none"/>
              </w:rPr>
              <w:t xml:space="preserve"> </w:t>
            </w:r>
          </w:p>
        </w:tc>
        <w:tc>
          <w:tcPr>
            <w:tcW w:w="915" w:type="pct"/>
            <w:vMerge w:val="continue"/>
            <w:vAlign w:val="center"/>
          </w:tcPr>
          <w:p w14:paraId="2A7FE272">
            <w:pPr>
              <w:rPr>
                <w:rFonts w:ascii="宋体" w:hAnsi="宋体" w:cs="宋体"/>
                <w:color w:val="auto"/>
                <w:szCs w:val="21"/>
                <w:highlight w:val="none"/>
              </w:rPr>
            </w:pPr>
          </w:p>
        </w:tc>
        <w:tc>
          <w:tcPr>
            <w:tcW w:w="590" w:type="pct"/>
            <w:vMerge w:val="continue"/>
            <w:vAlign w:val="center"/>
          </w:tcPr>
          <w:p w14:paraId="50F2848E">
            <w:pPr>
              <w:rPr>
                <w:rFonts w:ascii="宋体" w:hAnsi="宋体" w:cs="宋体"/>
                <w:color w:val="auto"/>
                <w:szCs w:val="21"/>
                <w:highlight w:val="none"/>
              </w:rPr>
            </w:pPr>
          </w:p>
        </w:tc>
      </w:tr>
      <w:tr w14:paraId="7ED3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7AF5C67C">
            <w:pPr>
              <w:rPr>
                <w:rFonts w:ascii="宋体" w:hAnsi="宋体" w:cs="宋体"/>
                <w:color w:val="auto"/>
                <w:szCs w:val="21"/>
                <w:highlight w:val="none"/>
              </w:rPr>
            </w:pPr>
          </w:p>
        </w:tc>
        <w:tc>
          <w:tcPr>
            <w:tcW w:w="661" w:type="pct"/>
            <w:vMerge w:val="continue"/>
            <w:vAlign w:val="center"/>
          </w:tcPr>
          <w:p w14:paraId="4AC73873">
            <w:pPr>
              <w:rPr>
                <w:rFonts w:ascii="宋体" w:hAnsi="宋体" w:cs="宋体"/>
                <w:b/>
                <w:bCs/>
                <w:color w:val="auto"/>
                <w:szCs w:val="21"/>
                <w:highlight w:val="none"/>
              </w:rPr>
            </w:pPr>
          </w:p>
        </w:tc>
        <w:tc>
          <w:tcPr>
            <w:tcW w:w="673" w:type="pct"/>
            <w:shd w:val="clear" w:color="auto" w:fill="auto"/>
            <w:vAlign w:val="center"/>
          </w:tcPr>
          <w:p w14:paraId="5CBBD014">
            <w:pPr>
              <w:jc w:val="center"/>
              <w:rPr>
                <w:rFonts w:ascii="宋体" w:hAnsi="宋体" w:cs="宋体"/>
                <w:color w:val="auto"/>
                <w:szCs w:val="21"/>
                <w:highlight w:val="none"/>
              </w:rPr>
            </w:pPr>
            <w:r>
              <w:rPr>
                <w:rFonts w:hint="eastAsia" w:ascii="宋体" w:hAnsi="宋体" w:cs="宋体"/>
                <w:color w:val="auto"/>
                <w:szCs w:val="21"/>
                <w:highlight w:val="none"/>
              </w:rPr>
              <w:t>应用系统监测</w:t>
            </w:r>
          </w:p>
        </w:tc>
        <w:tc>
          <w:tcPr>
            <w:tcW w:w="1792" w:type="pct"/>
            <w:shd w:val="clear" w:color="auto" w:fill="auto"/>
            <w:vAlign w:val="center"/>
          </w:tcPr>
          <w:p w14:paraId="08441826">
            <w:pPr>
              <w:rPr>
                <w:rFonts w:ascii="宋体" w:hAnsi="宋体" w:cs="宋体"/>
                <w:color w:val="auto"/>
                <w:szCs w:val="21"/>
                <w:highlight w:val="none"/>
              </w:rPr>
            </w:pPr>
            <w:r>
              <w:rPr>
                <w:rFonts w:hint="eastAsia" w:ascii="宋体" w:hAnsi="宋体" w:cs="宋体"/>
                <w:color w:val="auto"/>
                <w:szCs w:val="21"/>
                <w:highlight w:val="none"/>
              </w:rPr>
              <w:t>提供应用系统</w:t>
            </w:r>
            <w:r>
              <w:rPr>
                <w:rFonts w:hint="eastAsia" w:ascii="宋体" w:hAnsi="宋体" w:cs="宋体"/>
                <w:color w:val="auto"/>
                <w:szCs w:val="21"/>
                <w:highlight w:val="none"/>
                <w:lang w:eastAsia="zh-CN"/>
              </w:rPr>
              <w:t>（含政务云）</w:t>
            </w:r>
            <w:r>
              <w:rPr>
                <w:rFonts w:hint="eastAsia" w:ascii="宋体" w:hAnsi="宋体" w:cs="宋体"/>
                <w:color w:val="auto"/>
                <w:szCs w:val="21"/>
                <w:highlight w:val="none"/>
              </w:rPr>
              <w:t>的状态监测（操作系统、设备使用率、网络连通性、对外提供服务，系统时间同步），故障以邮件或短信告警方式告知运维人员。</w:t>
            </w:r>
          </w:p>
        </w:tc>
        <w:tc>
          <w:tcPr>
            <w:tcW w:w="915" w:type="pct"/>
            <w:vMerge w:val="continue"/>
            <w:vAlign w:val="center"/>
          </w:tcPr>
          <w:p w14:paraId="2797DBF0">
            <w:pPr>
              <w:rPr>
                <w:rFonts w:ascii="宋体" w:hAnsi="宋体" w:cs="宋体"/>
                <w:color w:val="auto"/>
                <w:szCs w:val="21"/>
                <w:highlight w:val="none"/>
              </w:rPr>
            </w:pPr>
          </w:p>
        </w:tc>
        <w:tc>
          <w:tcPr>
            <w:tcW w:w="590" w:type="pct"/>
            <w:vMerge w:val="continue"/>
            <w:vAlign w:val="center"/>
          </w:tcPr>
          <w:p w14:paraId="5B23A407">
            <w:pPr>
              <w:rPr>
                <w:rFonts w:ascii="宋体" w:hAnsi="宋体" w:cs="宋体"/>
                <w:color w:val="auto"/>
                <w:szCs w:val="21"/>
                <w:highlight w:val="none"/>
              </w:rPr>
            </w:pPr>
          </w:p>
        </w:tc>
      </w:tr>
      <w:tr w14:paraId="1FDF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restart"/>
            <w:shd w:val="clear" w:color="auto" w:fill="auto"/>
            <w:noWrap/>
            <w:vAlign w:val="center"/>
          </w:tcPr>
          <w:p w14:paraId="4CF19C37">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661" w:type="pct"/>
            <w:vMerge w:val="continue"/>
            <w:shd w:val="clear" w:color="auto" w:fill="auto"/>
            <w:vAlign w:val="center"/>
          </w:tcPr>
          <w:p w14:paraId="77AD010B">
            <w:pPr>
              <w:jc w:val="center"/>
              <w:rPr>
                <w:rFonts w:ascii="宋体" w:hAnsi="宋体" w:cs="宋体"/>
                <w:b/>
                <w:bCs/>
                <w:color w:val="auto"/>
                <w:szCs w:val="21"/>
                <w:highlight w:val="none"/>
              </w:rPr>
            </w:pPr>
          </w:p>
        </w:tc>
        <w:tc>
          <w:tcPr>
            <w:tcW w:w="673" w:type="pct"/>
            <w:shd w:val="clear" w:color="auto" w:fill="auto"/>
            <w:vAlign w:val="center"/>
          </w:tcPr>
          <w:p w14:paraId="2C394654">
            <w:pPr>
              <w:jc w:val="center"/>
              <w:rPr>
                <w:rFonts w:ascii="宋体" w:hAnsi="宋体" w:cs="宋体"/>
                <w:color w:val="auto"/>
                <w:szCs w:val="21"/>
                <w:highlight w:val="none"/>
              </w:rPr>
            </w:pPr>
            <w:r>
              <w:rPr>
                <w:rFonts w:hint="eastAsia" w:ascii="宋体" w:hAnsi="宋体" w:cs="宋体"/>
                <w:color w:val="auto"/>
                <w:szCs w:val="21"/>
                <w:highlight w:val="none"/>
              </w:rPr>
              <w:t>日常运维服务</w:t>
            </w:r>
          </w:p>
        </w:tc>
        <w:tc>
          <w:tcPr>
            <w:tcW w:w="1792" w:type="pct"/>
            <w:shd w:val="clear" w:color="auto" w:fill="auto"/>
            <w:vAlign w:val="center"/>
          </w:tcPr>
          <w:p w14:paraId="0B41B808">
            <w:pPr>
              <w:rPr>
                <w:color w:val="auto"/>
                <w:highlight w:val="none"/>
              </w:rPr>
            </w:pPr>
            <w:r>
              <w:rPr>
                <w:rFonts w:hint="eastAsia"/>
                <w:color w:val="auto"/>
                <w:highlight w:val="none"/>
              </w:rPr>
              <w:t>定期巡检各</w:t>
            </w:r>
            <w:r>
              <w:rPr>
                <w:rFonts w:hint="eastAsia"/>
                <w:color w:val="auto"/>
                <w:highlight w:val="none"/>
                <w:lang w:eastAsia="zh-CN"/>
              </w:rPr>
              <w:t>服务器、</w:t>
            </w:r>
            <w:r>
              <w:rPr>
                <w:rFonts w:hint="eastAsia"/>
                <w:color w:val="auto"/>
                <w:highlight w:val="none"/>
              </w:rPr>
              <w:t>网络安全设备、安全监测平台、梳理优化配置，及时排查和消除隐患；日常信息系统故障应急响应，根据不同故障级别，提供对应的响应机制。</w:t>
            </w:r>
          </w:p>
        </w:tc>
        <w:tc>
          <w:tcPr>
            <w:tcW w:w="915" w:type="pct"/>
            <w:shd w:val="clear" w:color="auto" w:fill="auto"/>
            <w:vAlign w:val="center"/>
          </w:tcPr>
          <w:p w14:paraId="01FC0D3E">
            <w:pPr>
              <w:jc w:val="center"/>
              <w:rPr>
                <w:rFonts w:ascii="宋体" w:hAnsi="宋体" w:cs="宋体"/>
                <w:color w:val="auto"/>
                <w:szCs w:val="21"/>
                <w:highlight w:val="none"/>
              </w:rPr>
            </w:pPr>
            <w:r>
              <w:rPr>
                <w:rFonts w:hint="eastAsia" w:ascii="宋体" w:hAnsi="宋体" w:cs="宋体"/>
                <w:color w:val="auto"/>
                <w:szCs w:val="21"/>
                <w:highlight w:val="none"/>
              </w:rPr>
              <w:t>服务报告单</w:t>
            </w:r>
          </w:p>
        </w:tc>
        <w:tc>
          <w:tcPr>
            <w:tcW w:w="590" w:type="pct"/>
            <w:vMerge w:val="restart"/>
            <w:shd w:val="clear" w:color="auto" w:fill="auto"/>
            <w:vAlign w:val="center"/>
          </w:tcPr>
          <w:p w14:paraId="739853F1">
            <w:pPr>
              <w:jc w:val="center"/>
              <w:rPr>
                <w:rFonts w:ascii="宋体" w:hAnsi="宋体" w:cs="宋体"/>
                <w:color w:val="auto"/>
                <w:szCs w:val="21"/>
                <w:highlight w:val="none"/>
              </w:rPr>
            </w:pPr>
          </w:p>
        </w:tc>
      </w:tr>
      <w:tr w14:paraId="19D1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30C30DB1">
            <w:pPr>
              <w:rPr>
                <w:rFonts w:ascii="宋体" w:hAnsi="宋体" w:cs="宋体"/>
                <w:color w:val="auto"/>
                <w:szCs w:val="21"/>
                <w:highlight w:val="none"/>
              </w:rPr>
            </w:pPr>
          </w:p>
        </w:tc>
        <w:tc>
          <w:tcPr>
            <w:tcW w:w="661" w:type="pct"/>
            <w:vMerge w:val="restart"/>
            <w:vAlign w:val="center"/>
          </w:tcPr>
          <w:p w14:paraId="6793B4FD">
            <w:pPr>
              <w:rPr>
                <w:rFonts w:ascii="宋体" w:hAnsi="宋体" w:cs="宋体"/>
                <w:b/>
                <w:bCs/>
                <w:color w:val="auto"/>
                <w:szCs w:val="21"/>
                <w:highlight w:val="none"/>
              </w:rPr>
            </w:pPr>
            <w:r>
              <w:rPr>
                <w:rFonts w:hint="eastAsia" w:ascii="宋体" w:hAnsi="宋体" w:cs="宋体"/>
                <w:b/>
                <w:bCs/>
                <w:color w:val="auto"/>
                <w:szCs w:val="21"/>
                <w:highlight w:val="none"/>
              </w:rPr>
              <w:t>安全及应急响应服务</w:t>
            </w:r>
          </w:p>
        </w:tc>
        <w:tc>
          <w:tcPr>
            <w:tcW w:w="673" w:type="pct"/>
            <w:shd w:val="clear" w:color="auto" w:fill="auto"/>
            <w:vAlign w:val="center"/>
          </w:tcPr>
          <w:p w14:paraId="5E099C0A">
            <w:pPr>
              <w:jc w:val="center"/>
              <w:rPr>
                <w:rFonts w:ascii="宋体" w:hAnsi="宋体" w:cs="宋体"/>
                <w:color w:val="auto"/>
                <w:szCs w:val="21"/>
                <w:highlight w:val="none"/>
              </w:rPr>
            </w:pPr>
            <w:r>
              <w:rPr>
                <w:rFonts w:hint="eastAsia" w:ascii="宋体" w:hAnsi="宋体" w:cs="宋体"/>
                <w:color w:val="auto"/>
                <w:szCs w:val="21"/>
                <w:highlight w:val="none"/>
              </w:rPr>
              <w:t>安全应急响应</w:t>
            </w:r>
          </w:p>
        </w:tc>
        <w:tc>
          <w:tcPr>
            <w:tcW w:w="1792" w:type="pct"/>
            <w:shd w:val="clear" w:color="auto" w:fill="auto"/>
            <w:vAlign w:val="center"/>
          </w:tcPr>
          <w:p w14:paraId="6D0588E9">
            <w:pPr>
              <w:rPr>
                <w:color w:val="auto"/>
                <w:highlight w:val="none"/>
              </w:rPr>
            </w:pPr>
            <w:r>
              <w:rPr>
                <w:rFonts w:hint="eastAsia"/>
                <w:color w:val="auto"/>
                <w:highlight w:val="none"/>
              </w:rPr>
              <w:t>临时性监管单位安全检查或信息系统自查进行响应，并进行检测自评估服务。</w:t>
            </w:r>
          </w:p>
          <w:p w14:paraId="2962FAE7">
            <w:pPr>
              <w:rPr>
                <w:color w:val="auto"/>
                <w:highlight w:val="none"/>
              </w:rPr>
            </w:pPr>
            <w:r>
              <w:rPr>
                <w:rFonts w:hint="eastAsia"/>
                <w:color w:val="auto"/>
                <w:highlight w:val="none"/>
              </w:rPr>
              <w:t>对各级部门通报的安全隐患要及时排查和消除，提交安全处置报告。</w:t>
            </w:r>
          </w:p>
        </w:tc>
        <w:tc>
          <w:tcPr>
            <w:tcW w:w="915" w:type="pct"/>
            <w:shd w:val="clear" w:color="auto" w:fill="auto"/>
            <w:vAlign w:val="center"/>
          </w:tcPr>
          <w:p w14:paraId="21653400">
            <w:pPr>
              <w:jc w:val="center"/>
              <w:rPr>
                <w:rFonts w:ascii="宋体" w:hAnsi="宋体" w:cs="宋体"/>
                <w:color w:val="auto"/>
                <w:szCs w:val="21"/>
                <w:highlight w:val="none"/>
              </w:rPr>
            </w:pPr>
            <w:r>
              <w:rPr>
                <w:rFonts w:hint="eastAsia" w:ascii="宋体" w:hAnsi="宋体" w:cs="宋体"/>
                <w:color w:val="auto"/>
                <w:szCs w:val="21"/>
                <w:highlight w:val="none"/>
              </w:rPr>
              <w:t>监测评估报告</w:t>
            </w:r>
          </w:p>
        </w:tc>
        <w:tc>
          <w:tcPr>
            <w:tcW w:w="590" w:type="pct"/>
            <w:vMerge w:val="continue"/>
            <w:vAlign w:val="center"/>
          </w:tcPr>
          <w:p w14:paraId="340B5595">
            <w:pPr>
              <w:rPr>
                <w:rFonts w:ascii="宋体" w:hAnsi="宋体" w:cs="宋体"/>
                <w:color w:val="auto"/>
                <w:szCs w:val="21"/>
                <w:highlight w:val="none"/>
              </w:rPr>
            </w:pPr>
          </w:p>
        </w:tc>
      </w:tr>
      <w:tr w14:paraId="7416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2F4FF177">
            <w:pPr>
              <w:rPr>
                <w:rFonts w:ascii="宋体" w:hAnsi="宋体" w:cs="宋体"/>
                <w:color w:val="auto"/>
                <w:szCs w:val="21"/>
                <w:highlight w:val="none"/>
              </w:rPr>
            </w:pPr>
          </w:p>
        </w:tc>
        <w:tc>
          <w:tcPr>
            <w:tcW w:w="661" w:type="pct"/>
            <w:vMerge w:val="continue"/>
            <w:vAlign w:val="center"/>
          </w:tcPr>
          <w:p w14:paraId="07062A0D">
            <w:pPr>
              <w:rPr>
                <w:rFonts w:ascii="宋体" w:hAnsi="宋体" w:cs="宋体"/>
                <w:b/>
                <w:bCs/>
                <w:color w:val="auto"/>
                <w:szCs w:val="21"/>
                <w:highlight w:val="none"/>
              </w:rPr>
            </w:pPr>
          </w:p>
        </w:tc>
        <w:tc>
          <w:tcPr>
            <w:tcW w:w="673" w:type="pct"/>
            <w:shd w:val="clear" w:color="auto" w:fill="auto"/>
            <w:vAlign w:val="center"/>
          </w:tcPr>
          <w:p w14:paraId="050F9FDC">
            <w:pPr>
              <w:jc w:val="center"/>
              <w:rPr>
                <w:rFonts w:ascii="宋体" w:hAnsi="宋体" w:cs="宋体"/>
                <w:color w:val="auto"/>
                <w:szCs w:val="21"/>
                <w:highlight w:val="none"/>
              </w:rPr>
            </w:pPr>
            <w:r>
              <w:rPr>
                <w:rFonts w:hint="eastAsia" w:ascii="宋体" w:hAnsi="宋体" w:cs="宋体"/>
                <w:color w:val="auto"/>
                <w:szCs w:val="21"/>
                <w:highlight w:val="none"/>
              </w:rPr>
              <w:t>安全加固</w:t>
            </w:r>
          </w:p>
        </w:tc>
        <w:tc>
          <w:tcPr>
            <w:tcW w:w="1792" w:type="pct"/>
            <w:shd w:val="clear" w:color="auto" w:fill="auto"/>
            <w:vAlign w:val="center"/>
          </w:tcPr>
          <w:p w14:paraId="48140C45">
            <w:pPr>
              <w:rPr>
                <w:rFonts w:hint="eastAsia" w:ascii="宋体" w:hAnsi="宋体" w:cs="宋体"/>
                <w:color w:val="auto"/>
                <w:szCs w:val="21"/>
                <w:highlight w:val="none"/>
              </w:rPr>
            </w:pPr>
            <w:r>
              <w:rPr>
                <w:rFonts w:hint="eastAsia" w:ascii="宋体" w:hAnsi="宋体" w:cs="宋体"/>
                <w:color w:val="auto"/>
                <w:szCs w:val="21"/>
                <w:highlight w:val="none"/>
              </w:rPr>
              <w:t>根据提供的漏扫报告和巡检报告内容进行技术加固：业务系统与信息支撑平台进行信息安全加固，包括数据安全、应用安全、操作系统、网络设备、管理制度等； 对管理层面提供建议：完善管理体系，包括人员管理、安全制度规章、系统运维等。</w:t>
            </w:r>
          </w:p>
          <w:p w14:paraId="6F4D2C53">
            <w:pPr>
              <w:rPr>
                <w:rFonts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提供服务器安全EDR授权200个（许可类型不能限定服务器操作系统类型），需与原有态势感知设备联动</w:t>
            </w:r>
            <w:r>
              <w:rPr>
                <w:rFonts w:hint="eastAsia" w:ascii="宋体" w:hAnsi="宋体" w:cs="宋体"/>
                <w:color w:val="auto"/>
                <w:szCs w:val="21"/>
                <w:highlight w:val="none"/>
              </w:rPr>
              <w:t>。</w:t>
            </w:r>
          </w:p>
        </w:tc>
        <w:tc>
          <w:tcPr>
            <w:tcW w:w="915" w:type="pct"/>
            <w:shd w:val="clear" w:color="auto" w:fill="auto"/>
            <w:vAlign w:val="center"/>
          </w:tcPr>
          <w:p w14:paraId="38D942B4">
            <w:pPr>
              <w:jc w:val="center"/>
              <w:rPr>
                <w:rFonts w:ascii="宋体" w:hAnsi="宋体" w:cs="宋体"/>
                <w:color w:val="auto"/>
                <w:szCs w:val="21"/>
                <w:highlight w:val="none"/>
              </w:rPr>
            </w:pPr>
            <w:r>
              <w:rPr>
                <w:rFonts w:hint="eastAsia" w:ascii="宋体" w:hAnsi="宋体" w:cs="宋体"/>
                <w:color w:val="auto"/>
                <w:szCs w:val="21"/>
                <w:highlight w:val="none"/>
              </w:rPr>
              <w:t>安全加固报告</w:t>
            </w:r>
          </w:p>
        </w:tc>
        <w:tc>
          <w:tcPr>
            <w:tcW w:w="590" w:type="pct"/>
            <w:vMerge w:val="continue"/>
            <w:vAlign w:val="center"/>
          </w:tcPr>
          <w:p w14:paraId="1ED378E3">
            <w:pPr>
              <w:rPr>
                <w:rFonts w:ascii="宋体" w:hAnsi="宋体" w:cs="宋体"/>
                <w:color w:val="auto"/>
                <w:szCs w:val="21"/>
                <w:highlight w:val="none"/>
              </w:rPr>
            </w:pPr>
          </w:p>
        </w:tc>
      </w:tr>
      <w:tr w14:paraId="21D6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25CC8B81">
            <w:pPr>
              <w:rPr>
                <w:rFonts w:ascii="宋体" w:hAnsi="宋体" w:cs="宋体"/>
                <w:color w:val="auto"/>
                <w:szCs w:val="21"/>
                <w:highlight w:val="none"/>
              </w:rPr>
            </w:pPr>
          </w:p>
        </w:tc>
        <w:tc>
          <w:tcPr>
            <w:tcW w:w="661" w:type="pct"/>
            <w:vMerge w:val="continue"/>
            <w:vAlign w:val="center"/>
          </w:tcPr>
          <w:p w14:paraId="57CE1D26">
            <w:pPr>
              <w:rPr>
                <w:rFonts w:ascii="宋体" w:hAnsi="宋体" w:cs="宋体"/>
                <w:b/>
                <w:bCs/>
                <w:color w:val="auto"/>
                <w:szCs w:val="21"/>
                <w:highlight w:val="none"/>
              </w:rPr>
            </w:pPr>
          </w:p>
        </w:tc>
        <w:tc>
          <w:tcPr>
            <w:tcW w:w="673" w:type="pct"/>
            <w:shd w:val="clear" w:color="auto" w:fill="auto"/>
            <w:vAlign w:val="center"/>
          </w:tcPr>
          <w:p w14:paraId="20632747">
            <w:pPr>
              <w:jc w:val="center"/>
              <w:rPr>
                <w:rFonts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Cs w:val="21"/>
                <w:highlight w:val="none"/>
                <w:lang w:val="en-US" w:eastAsia="zh-CN"/>
              </w:rPr>
              <w:t>检测</w:t>
            </w:r>
            <w:r>
              <w:rPr>
                <w:rFonts w:hint="eastAsia" w:ascii="宋体" w:hAnsi="宋体" w:cs="宋体"/>
                <w:color w:val="auto"/>
                <w:szCs w:val="21"/>
                <w:highlight w:val="none"/>
              </w:rPr>
              <w:t>和应急演练</w:t>
            </w:r>
          </w:p>
        </w:tc>
        <w:tc>
          <w:tcPr>
            <w:tcW w:w="1792" w:type="pct"/>
            <w:shd w:val="clear" w:color="auto" w:fill="auto"/>
            <w:vAlign w:val="center"/>
          </w:tcPr>
          <w:p w14:paraId="2EAD0EB2">
            <w:pPr>
              <w:rPr>
                <w:rFonts w:ascii="宋体" w:hAnsi="宋体" w:cs="宋体"/>
                <w:color w:val="auto"/>
                <w:szCs w:val="21"/>
                <w:highlight w:val="none"/>
              </w:rPr>
            </w:pPr>
            <w:r>
              <w:rPr>
                <w:rFonts w:hint="eastAsia" w:ascii="宋体" w:hAnsi="宋体" w:cs="宋体"/>
                <w:color w:val="auto"/>
                <w:szCs w:val="21"/>
                <w:highlight w:val="none"/>
              </w:rPr>
              <w:t>提供全市交通系统网络及信息系统网络安全</w:t>
            </w:r>
            <w:r>
              <w:rPr>
                <w:rFonts w:hint="eastAsia" w:ascii="宋体" w:hAnsi="宋体" w:cs="宋体"/>
                <w:color w:val="auto"/>
                <w:szCs w:val="21"/>
                <w:highlight w:val="none"/>
                <w:lang w:eastAsia="zh-CN"/>
              </w:rPr>
              <w:t>集中技术</w:t>
            </w:r>
            <w:r>
              <w:rPr>
                <w:rFonts w:hint="eastAsia" w:ascii="宋体" w:hAnsi="宋体" w:cs="宋体"/>
                <w:color w:val="auto"/>
                <w:szCs w:val="21"/>
                <w:highlight w:val="none"/>
                <w:lang w:val="en-US" w:eastAsia="zh-CN"/>
              </w:rPr>
              <w:t>检测</w:t>
            </w:r>
            <w:r>
              <w:rPr>
                <w:rFonts w:hint="eastAsia" w:ascii="宋体" w:hAnsi="宋体" w:cs="宋体"/>
                <w:color w:val="auto"/>
                <w:szCs w:val="21"/>
                <w:highlight w:val="none"/>
              </w:rPr>
              <w:t>服务；市局关键系统灾难或故障的应急演练服务，包括数据库集群切换、重要服务器切换、数据库容灾切换和云平台节点切换等。每年</w:t>
            </w:r>
            <w:r>
              <w:rPr>
                <w:rFonts w:hint="eastAsia" w:ascii="宋体" w:hAnsi="宋体" w:cs="宋体"/>
                <w:color w:val="auto"/>
                <w:szCs w:val="21"/>
                <w:highlight w:val="none"/>
                <w:lang w:val="en-US" w:eastAsia="zh-CN"/>
              </w:rPr>
              <w:t>安全检测</w:t>
            </w:r>
            <w:r>
              <w:rPr>
                <w:rFonts w:hint="eastAsia" w:ascii="宋体" w:hAnsi="宋体" w:cs="宋体"/>
                <w:color w:val="auto"/>
                <w:szCs w:val="21"/>
                <w:highlight w:val="none"/>
              </w:rPr>
              <w:t>和应急演练不少于2次并及时更新预案。</w:t>
            </w:r>
          </w:p>
        </w:tc>
        <w:tc>
          <w:tcPr>
            <w:tcW w:w="915" w:type="pct"/>
            <w:shd w:val="clear" w:color="auto" w:fill="auto"/>
            <w:vAlign w:val="center"/>
          </w:tcPr>
          <w:p w14:paraId="595ED9B0">
            <w:pPr>
              <w:jc w:val="center"/>
              <w:rPr>
                <w:rFonts w:ascii="宋体" w:hAnsi="宋体" w:cs="宋体"/>
                <w:color w:val="auto"/>
                <w:szCs w:val="21"/>
                <w:highlight w:val="none"/>
              </w:rPr>
            </w:pPr>
            <w:r>
              <w:rPr>
                <w:rFonts w:hint="eastAsia" w:ascii="宋体" w:hAnsi="宋体" w:cs="宋体"/>
                <w:color w:val="auto"/>
                <w:szCs w:val="21"/>
                <w:highlight w:val="none"/>
              </w:rPr>
              <w:t>演练报告和预案</w:t>
            </w:r>
          </w:p>
        </w:tc>
        <w:tc>
          <w:tcPr>
            <w:tcW w:w="590" w:type="pct"/>
            <w:vMerge w:val="continue"/>
            <w:vAlign w:val="center"/>
          </w:tcPr>
          <w:p w14:paraId="6C462FF7">
            <w:pPr>
              <w:rPr>
                <w:rFonts w:ascii="宋体" w:hAnsi="宋体" w:cs="宋体"/>
                <w:color w:val="auto"/>
                <w:szCs w:val="21"/>
                <w:highlight w:val="none"/>
              </w:rPr>
            </w:pPr>
          </w:p>
        </w:tc>
      </w:tr>
      <w:tr w14:paraId="699C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2E186C22">
            <w:pPr>
              <w:rPr>
                <w:rFonts w:ascii="宋体" w:hAnsi="宋体" w:cs="宋体"/>
                <w:color w:val="auto"/>
                <w:szCs w:val="21"/>
                <w:highlight w:val="none"/>
              </w:rPr>
            </w:pPr>
          </w:p>
        </w:tc>
        <w:tc>
          <w:tcPr>
            <w:tcW w:w="661" w:type="pct"/>
            <w:vMerge w:val="continue"/>
            <w:vAlign w:val="center"/>
          </w:tcPr>
          <w:p w14:paraId="63311F18">
            <w:pPr>
              <w:rPr>
                <w:rFonts w:ascii="宋体" w:hAnsi="宋体" w:cs="宋体"/>
                <w:b/>
                <w:bCs/>
                <w:color w:val="auto"/>
                <w:szCs w:val="21"/>
                <w:highlight w:val="none"/>
              </w:rPr>
            </w:pPr>
          </w:p>
        </w:tc>
        <w:tc>
          <w:tcPr>
            <w:tcW w:w="673" w:type="pct"/>
            <w:shd w:val="clear" w:color="auto" w:fill="auto"/>
            <w:vAlign w:val="center"/>
          </w:tcPr>
          <w:p w14:paraId="71E5F3CC">
            <w:pPr>
              <w:jc w:val="center"/>
              <w:rPr>
                <w:rFonts w:ascii="宋体" w:hAnsi="宋体" w:cs="宋体"/>
                <w:color w:val="auto"/>
                <w:szCs w:val="21"/>
                <w:highlight w:val="none"/>
              </w:rPr>
            </w:pPr>
            <w:r>
              <w:rPr>
                <w:rFonts w:hint="eastAsia" w:ascii="宋体" w:hAnsi="宋体" w:cs="宋体"/>
                <w:color w:val="auto"/>
                <w:szCs w:val="21"/>
                <w:highlight w:val="none"/>
              </w:rPr>
              <w:t>安全技术培训</w:t>
            </w:r>
          </w:p>
        </w:tc>
        <w:tc>
          <w:tcPr>
            <w:tcW w:w="1792" w:type="pct"/>
            <w:shd w:val="clear" w:color="auto" w:fill="auto"/>
            <w:vAlign w:val="center"/>
          </w:tcPr>
          <w:p w14:paraId="5B0EA25E">
            <w:pPr>
              <w:rPr>
                <w:rFonts w:ascii="宋体" w:hAnsi="宋体" w:cs="宋体"/>
                <w:color w:val="auto"/>
                <w:szCs w:val="21"/>
                <w:highlight w:val="none"/>
              </w:rPr>
            </w:pPr>
            <w:r>
              <w:rPr>
                <w:rFonts w:hint="eastAsia" w:ascii="宋体" w:hAnsi="宋体" w:cs="宋体"/>
                <w:color w:val="auto"/>
                <w:szCs w:val="21"/>
                <w:highlight w:val="none"/>
              </w:rPr>
              <w:t>提供不少于2次专业网络安全技术培训服务</w:t>
            </w:r>
          </w:p>
        </w:tc>
        <w:tc>
          <w:tcPr>
            <w:tcW w:w="915" w:type="pct"/>
            <w:shd w:val="clear" w:color="auto" w:fill="auto"/>
            <w:vAlign w:val="center"/>
          </w:tcPr>
          <w:p w14:paraId="6E9F7E1D">
            <w:pPr>
              <w:jc w:val="center"/>
              <w:rPr>
                <w:rFonts w:ascii="宋体" w:hAnsi="宋体" w:cs="宋体"/>
                <w:color w:val="auto"/>
                <w:szCs w:val="21"/>
                <w:highlight w:val="none"/>
              </w:rPr>
            </w:pPr>
            <w:r>
              <w:rPr>
                <w:rFonts w:hint="eastAsia" w:ascii="宋体" w:hAnsi="宋体" w:cs="宋体"/>
                <w:color w:val="auto"/>
                <w:szCs w:val="21"/>
                <w:highlight w:val="none"/>
              </w:rPr>
              <w:t>培训计划与报告</w:t>
            </w:r>
          </w:p>
        </w:tc>
        <w:tc>
          <w:tcPr>
            <w:tcW w:w="590" w:type="pct"/>
            <w:vMerge w:val="continue"/>
            <w:vAlign w:val="center"/>
          </w:tcPr>
          <w:p w14:paraId="1DD7423B">
            <w:pPr>
              <w:rPr>
                <w:rFonts w:ascii="宋体" w:hAnsi="宋体" w:cs="宋体"/>
                <w:color w:val="auto"/>
                <w:szCs w:val="21"/>
                <w:highlight w:val="none"/>
              </w:rPr>
            </w:pPr>
          </w:p>
        </w:tc>
      </w:tr>
      <w:tr w14:paraId="2930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Merge w:val="continue"/>
            <w:vAlign w:val="center"/>
          </w:tcPr>
          <w:p w14:paraId="06571974">
            <w:pPr>
              <w:rPr>
                <w:rFonts w:ascii="宋体" w:hAnsi="宋体" w:cs="宋体"/>
                <w:color w:val="auto"/>
                <w:szCs w:val="21"/>
                <w:highlight w:val="none"/>
              </w:rPr>
            </w:pPr>
          </w:p>
        </w:tc>
        <w:tc>
          <w:tcPr>
            <w:tcW w:w="661" w:type="pct"/>
            <w:vMerge w:val="continue"/>
            <w:vAlign w:val="center"/>
          </w:tcPr>
          <w:p w14:paraId="519BFCA1">
            <w:pPr>
              <w:rPr>
                <w:rFonts w:ascii="宋体" w:hAnsi="宋体" w:cs="宋体"/>
                <w:b/>
                <w:bCs/>
                <w:color w:val="auto"/>
                <w:szCs w:val="21"/>
                <w:highlight w:val="none"/>
              </w:rPr>
            </w:pPr>
          </w:p>
        </w:tc>
        <w:tc>
          <w:tcPr>
            <w:tcW w:w="673" w:type="pct"/>
            <w:shd w:val="clear" w:color="auto" w:fill="auto"/>
            <w:vAlign w:val="center"/>
          </w:tcPr>
          <w:p w14:paraId="68A4FB6A">
            <w:pPr>
              <w:jc w:val="center"/>
              <w:rPr>
                <w:rFonts w:ascii="宋体" w:hAnsi="宋体" w:cs="宋体"/>
                <w:color w:val="auto"/>
                <w:szCs w:val="21"/>
                <w:highlight w:val="none"/>
              </w:rPr>
            </w:pPr>
            <w:r>
              <w:rPr>
                <w:rFonts w:hint="eastAsia" w:ascii="宋体" w:hAnsi="宋体" w:cs="宋体"/>
                <w:color w:val="auto"/>
                <w:szCs w:val="21"/>
                <w:highlight w:val="none"/>
              </w:rPr>
              <w:t>特殊事件响应</w:t>
            </w:r>
          </w:p>
        </w:tc>
        <w:tc>
          <w:tcPr>
            <w:tcW w:w="1792" w:type="pct"/>
            <w:shd w:val="clear" w:color="auto" w:fill="auto"/>
            <w:vAlign w:val="center"/>
          </w:tcPr>
          <w:p w14:paraId="6235017A">
            <w:pPr>
              <w:rPr>
                <w:rFonts w:ascii="宋体" w:hAnsi="宋体" w:cs="宋体"/>
                <w:color w:val="auto"/>
                <w:szCs w:val="21"/>
                <w:highlight w:val="none"/>
              </w:rPr>
            </w:pPr>
            <w:r>
              <w:rPr>
                <w:rFonts w:hint="eastAsia" w:ascii="宋体" w:hAnsi="宋体" w:cs="宋体"/>
                <w:color w:val="auto"/>
                <w:szCs w:val="21"/>
                <w:highlight w:val="none"/>
              </w:rPr>
              <w:t>针对出现安全漏洞、攻击、数据丢失及基础设施故障等特殊事件进行紧急应急响应，在最短时间内妥善解决问题并总结。</w:t>
            </w:r>
          </w:p>
        </w:tc>
        <w:tc>
          <w:tcPr>
            <w:tcW w:w="915" w:type="pct"/>
            <w:shd w:val="clear" w:color="auto" w:fill="auto"/>
            <w:vAlign w:val="center"/>
          </w:tcPr>
          <w:p w14:paraId="62ACFFB0">
            <w:pPr>
              <w:jc w:val="center"/>
              <w:rPr>
                <w:rFonts w:ascii="宋体" w:hAnsi="宋体" w:cs="宋体"/>
                <w:color w:val="auto"/>
                <w:szCs w:val="21"/>
                <w:highlight w:val="none"/>
              </w:rPr>
            </w:pPr>
            <w:r>
              <w:rPr>
                <w:rFonts w:hint="eastAsia" w:ascii="宋体" w:hAnsi="宋体" w:cs="宋体"/>
                <w:color w:val="auto"/>
                <w:szCs w:val="21"/>
                <w:highlight w:val="none"/>
              </w:rPr>
              <w:t>应急响应报告</w:t>
            </w:r>
          </w:p>
        </w:tc>
        <w:tc>
          <w:tcPr>
            <w:tcW w:w="590" w:type="pct"/>
            <w:vMerge w:val="continue"/>
            <w:vAlign w:val="center"/>
          </w:tcPr>
          <w:p w14:paraId="0286C427">
            <w:pPr>
              <w:rPr>
                <w:rFonts w:ascii="宋体" w:hAnsi="宋体" w:cs="宋体"/>
                <w:color w:val="auto"/>
                <w:szCs w:val="21"/>
                <w:highlight w:val="none"/>
              </w:rPr>
            </w:pPr>
          </w:p>
        </w:tc>
      </w:tr>
      <w:tr w14:paraId="4941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14:paraId="2B2539B6">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661" w:type="pct"/>
            <w:vAlign w:val="center"/>
          </w:tcPr>
          <w:p w14:paraId="6F507A3C">
            <w:pPr>
              <w:rPr>
                <w:rFonts w:ascii="宋体" w:hAnsi="宋体" w:cs="宋体"/>
                <w:b/>
                <w:bCs/>
                <w:color w:val="auto"/>
                <w:szCs w:val="21"/>
                <w:highlight w:val="none"/>
              </w:rPr>
            </w:pPr>
            <w:r>
              <w:rPr>
                <w:rFonts w:hint="eastAsia" w:ascii="宋体" w:hAnsi="宋体" w:cs="宋体"/>
                <w:b/>
                <w:bCs/>
                <w:color w:val="auto"/>
                <w:szCs w:val="21"/>
                <w:highlight w:val="none"/>
              </w:rPr>
              <w:t>重保值守</w:t>
            </w:r>
          </w:p>
        </w:tc>
        <w:tc>
          <w:tcPr>
            <w:tcW w:w="673" w:type="pct"/>
            <w:shd w:val="clear" w:color="auto" w:fill="auto"/>
            <w:vAlign w:val="center"/>
          </w:tcPr>
          <w:p w14:paraId="007BE70E">
            <w:pPr>
              <w:jc w:val="center"/>
              <w:rPr>
                <w:rFonts w:ascii="宋体" w:hAnsi="宋体" w:cs="宋体"/>
                <w:color w:val="auto"/>
                <w:szCs w:val="21"/>
                <w:highlight w:val="none"/>
              </w:rPr>
            </w:pPr>
            <w:r>
              <w:rPr>
                <w:rFonts w:hint="eastAsia" w:ascii="宋体" w:hAnsi="宋体" w:cs="宋体"/>
                <w:color w:val="auto"/>
                <w:szCs w:val="21"/>
                <w:highlight w:val="none"/>
              </w:rPr>
              <w:t>重保值守服务</w:t>
            </w:r>
          </w:p>
        </w:tc>
        <w:tc>
          <w:tcPr>
            <w:tcW w:w="1792" w:type="pct"/>
            <w:shd w:val="clear" w:color="auto" w:fill="auto"/>
            <w:vAlign w:val="center"/>
          </w:tcPr>
          <w:p w14:paraId="2C355BA8">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在温州市交通运输局机房及数据容灾机房分别提供重要节假日、重大会议期间，网络重大割接或用户认为可能对其业务运营产生重大影响的时刻进行远程保障服务或现场值守服务（根据用户要求）</w:t>
            </w:r>
            <w:r>
              <w:rPr>
                <w:rFonts w:hint="eastAsia" w:ascii="宋体" w:hAnsi="宋体" w:cs="宋体"/>
                <w:color w:val="auto"/>
                <w:szCs w:val="21"/>
                <w:highlight w:val="none"/>
                <w:lang w:eastAsia="zh-CN"/>
              </w:rPr>
              <w:t>。</w:t>
            </w:r>
          </w:p>
        </w:tc>
        <w:tc>
          <w:tcPr>
            <w:tcW w:w="915" w:type="pct"/>
            <w:shd w:val="clear" w:color="auto" w:fill="auto"/>
            <w:vAlign w:val="center"/>
          </w:tcPr>
          <w:p w14:paraId="4F3AC4B0">
            <w:pPr>
              <w:jc w:val="center"/>
              <w:rPr>
                <w:rFonts w:ascii="宋体" w:hAnsi="宋体" w:cs="宋体"/>
                <w:color w:val="auto"/>
                <w:szCs w:val="21"/>
                <w:highlight w:val="none"/>
              </w:rPr>
            </w:pPr>
            <w:r>
              <w:rPr>
                <w:rFonts w:hint="eastAsia" w:ascii="宋体" w:hAnsi="宋体" w:cs="宋体"/>
                <w:color w:val="auto"/>
                <w:szCs w:val="21"/>
                <w:highlight w:val="none"/>
              </w:rPr>
              <w:t>总结报告</w:t>
            </w:r>
          </w:p>
        </w:tc>
        <w:tc>
          <w:tcPr>
            <w:tcW w:w="590" w:type="pct"/>
            <w:vAlign w:val="center"/>
          </w:tcPr>
          <w:p w14:paraId="6110DB6F">
            <w:pPr>
              <w:rPr>
                <w:rFonts w:ascii="宋体" w:hAnsi="宋体" w:cs="宋体"/>
                <w:color w:val="auto"/>
                <w:szCs w:val="21"/>
                <w:highlight w:val="none"/>
              </w:rPr>
            </w:pPr>
          </w:p>
        </w:tc>
      </w:tr>
      <w:tr w14:paraId="6502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14:paraId="446E6580">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334" w:type="pct"/>
            <w:gridSpan w:val="2"/>
            <w:vAlign w:val="center"/>
          </w:tcPr>
          <w:p w14:paraId="3E3D8DE6">
            <w:pPr>
              <w:jc w:val="center"/>
              <w:rPr>
                <w:rFonts w:ascii="宋体" w:hAnsi="宋体" w:cs="宋体"/>
                <w:b/>
                <w:bCs/>
                <w:color w:val="auto"/>
                <w:szCs w:val="21"/>
                <w:highlight w:val="none"/>
              </w:rPr>
            </w:pPr>
            <w:r>
              <w:rPr>
                <w:rFonts w:hint="eastAsia" w:ascii="宋体" w:hAnsi="宋体" w:cs="宋体"/>
                <w:b/>
                <w:bCs/>
                <w:color w:val="auto"/>
                <w:szCs w:val="21"/>
                <w:highlight w:val="none"/>
              </w:rPr>
              <w:t>全职人员驻场服务</w:t>
            </w:r>
          </w:p>
        </w:tc>
        <w:tc>
          <w:tcPr>
            <w:tcW w:w="3298" w:type="pct"/>
            <w:gridSpan w:val="3"/>
            <w:shd w:val="clear" w:color="auto" w:fill="auto"/>
            <w:vAlign w:val="center"/>
          </w:tcPr>
          <w:p w14:paraId="4059CA3E">
            <w:pPr>
              <w:rPr>
                <w:rFonts w:ascii="宋体" w:hAnsi="宋体" w:cs="宋体"/>
                <w:color w:val="auto"/>
                <w:szCs w:val="21"/>
                <w:highlight w:val="none"/>
              </w:rPr>
            </w:pPr>
            <w:r>
              <w:rPr>
                <w:rFonts w:hint="eastAsia" w:ascii="宋体" w:hAnsi="宋体" w:cs="宋体"/>
                <w:color w:val="auto"/>
                <w:szCs w:val="21"/>
                <w:highlight w:val="none"/>
              </w:rPr>
              <w:t>提供1人次全职运维工程师驻场服务，为了满足工程师在机房设备的运维技术能力，所驻点工程师必须具备OCM认证工程师和软考网络工程师证书。</w:t>
            </w:r>
          </w:p>
        </w:tc>
      </w:tr>
      <w:tr w14:paraId="29E0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shd w:val="clear" w:color="auto" w:fill="auto"/>
            <w:vAlign w:val="center"/>
          </w:tcPr>
          <w:p w14:paraId="2126B914">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4633" w:type="pct"/>
            <w:gridSpan w:val="5"/>
            <w:shd w:val="clear" w:color="auto" w:fill="auto"/>
            <w:noWrap/>
            <w:vAlign w:val="center"/>
          </w:tcPr>
          <w:p w14:paraId="6F28D20B">
            <w:pPr>
              <w:jc w:val="center"/>
              <w:rPr>
                <w:rFonts w:ascii="宋体" w:hAnsi="宋体" w:cs="宋体"/>
                <w:color w:val="auto"/>
                <w:szCs w:val="21"/>
                <w:highlight w:val="none"/>
              </w:rPr>
            </w:pPr>
            <w:r>
              <w:rPr>
                <w:rFonts w:hint="eastAsia" w:ascii="宋体" w:hAnsi="宋体" w:cs="宋体"/>
                <w:b/>
                <w:bCs/>
                <w:color w:val="auto"/>
                <w:szCs w:val="21"/>
                <w:highlight w:val="none"/>
              </w:rPr>
              <w:t>基础和设备维护内容详见清单</w:t>
            </w:r>
          </w:p>
        </w:tc>
      </w:tr>
    </w:tbl>
    <w:p w14:paraId="57C87DEF">
      <w:pPr>
        <w:rPr>
          <w:rFonts w:ascii="宋体" w:hAnsi="宋体" w:cs="宋体"/>
          <w:b/>
          <w:bCs/>
          <w:color w:val="auto"/>
          <w:sz w:val="22"/>
          <w:szCs w:val="22"/>
          <w:highlight w:val="none"/>
        </w:rPr>
      </w:pPr>
    </w:p>
    <w:p w14:paraId="4C6E16DA">
      <w:pPr>
        <w:numPr>
          <w:ilvl w:val="0"/>
          <w:numId w:val="33"/>
        </w:numP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维护内容清单：</w:t>
      </w:r>
    </w:p>
    <w:tbl>
      <w:tblPr>
        <w:tblStyle w:val="5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2016"/>
        <w:gridCol w:w="2866"/>
        <w:gridCol w:w="2976"/>
        <w:gridCol w:w="1181"/>
      </w:tblGrid>
      <w:tr w14:paraId="1A41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 w:type="pct"/>
            <w:tcBorders>
              <w:top w:val="nil"/>
              <w:left w:val="single" w:color="000000" w:sz="4" w:space="0"/>
              <w:bottom w:val="single" w:color="000000" w:sz="4" w:space="0"/>
              <w:right w:val="single" w:color="000000" w:sz="4" w:space="0"/>
            </w:tcBorders>
            <w:shd w:val="clear" w:color="auto" w:fill="auto"/>
            <w:noWrap/>
            <w:vAlign w:val="center"/>
          </w:tcPr>
          <w:p w14:paraId="5D72FBE1">
            <w:pPr>
              <w:keepNext w:val="0"/>
              <w:keepLines w:val="0"/>
              <w:widowControl/>
              <w:suppressLineNumbers w:val="0"/>
              <w:jc w:val="center"/>
              <w:textAlignment w:val="center"/>
              <w:rPr>
                <w:rStyle w:val="120"/>
                <w:lang w:val="en-US" w:eastAsia="zh-CN"/>
              </w:rPr>
            </w:pPr>
            <w:r>
              <w:rPr>
                <w:rStyle w:val="120"/>
                <w:lang w:val="en-US" w:eastAsia="zh-CN"/>
              </w:rPr>
              <w:t>序号</w:t>
            </w:r>
          </w:p>
        </w:tc>
        <w:tc>
          <w:tcPr>
            <w:tcW w:w="1023" w:type="pct"/>
            <w:tcBorders>
              <w:top w:val="nil"/>
              <w:left w:val="single" w:color="000000" w:sz="4" w:space="0"/>
              <w:bottom w:val="single" w:color="000000" w:sz="4" w:space="0"/>
              <w:right w:val="single" w:color="000000" w:sz="4" w:space="0"/>
            </w:tcBorders>
            <w:shd w:val="clear" w:color="auto" w:fill="auto"/>
            <w:noWrap/>
            <w:vAlign w:val="center"/>
          </w:tcPr>
          <w:p w14:paraId="4B3905B1">
            <w:pPr>
              <w:keepNext w:val="0"/>
              <w:keepLines w:val="0"/>
              <w:widowControl/>
              <w:suppressLineNumbers w:val="0"/>
              <w:jc w:val="center"/>
              <w:textAlignment w:val="center"/>
              <w:rPr>
                <w:rStyle w:val="120"/>
                <w:rFonts w:hint="eastAsia"/>
                <w:lang w:val="en-US" w:eastAsia="zh-CN"/>
              </w:rPr>
            </w:pPr>
            <w:r>
              <w:rPr>
                <w:rStyle w:val="120"/>
                <w:lang w:val="en-US" w:eastAsia="zh-CN"/>
              </w:rPr>
              <w:t>设备类型</w:t>
            </w:r>
          </w:p>
        </w:tc>
        <w:tc>
          <w:tcPr>
            <w:tcW w:w="1454" w:type="pct"/>
            <w:tcBorders>
              <w:top w:val="nil"/>
              <w:left w:val="single" w:color="000000" w:sz="4" w:space="0"/>
              <w:bottom w:val="single" w:color="000000" w:sz="4" w:space="0"/>
              <w:right w:val="single" w:color="000000" w:sz="4" w:space="0"/>
            </w:tcBorders>
            <w:shd w:val="clear" w:color="auto" w:fill="auto"/>
            <w:noWrap/>
            <w:vAlign w:val="center"/>
          </w:tcPr>
          <w:p w14:paraId="6F9A2235">
            <w:pPr>
              <w:keepNext w:val="0"/>
              <w:keepLines w:val="0"/>
              <w:widowControl/>
              <w:suppressLineNumbers w:val="0"/>
              <w:jc w:val="center"/>
              <w:textAlignment w:val="center"/>
              <w:rPr>
                <w:rStyle w:val="120"/>
                <w:rFonts w:hint="eastAsia"/>
                <w:lang w:val="en-US" w:eastAsia="zh-CN"/>
              </w:rPr>
            </w:pPr>
            <w:r>
              <w:rPr>
                <w:rStyle w:val="120"/>
                <w:lang w:val="en-US" w:eastAsia="zh-CN"/>
              </w:rPr>
              <w:t>设备型号</w:t>
            </w:r>
          </w:p>
        </w:tc>
        <w:tc>
          <w:tcPr>
            <w:tcW w:w="1511" w:type="pct"/>
            <w:tcBorders>
              <w:top w:val="nil"/>
              <w:left w:val="single" w:color="000000" w:sz="4" w:space="0"/>
              <w:bottom w:val="single" w:color="000000" w:sz="4" w:space="0"/>
              <w:right w:val="single" w:color="000000" w:sz="4" w:space="0"/>
            </w:tcBorders>
            <w:shd w:val="clear" w:color="auto" w:fill="auto"/>
            <w:noWrap/>
            <w:vAlign w:val="center"/>
          </w:tcPr>
          <w:p w14:paraId="1C0672B2">
            <w:pPr>
              <w:keepNext w:val="0"/>
              <w:keepLines w:val="0"/>
              <w:widowControl/>
              <w:suppressLineNumbers w:val="0"/>
              <w:jc w:val="center"/>
              <w:textAlignment w:val="center"/>
              <w:rPr>
                <w:rStyle w:val="120"/>
                <w:rFonts w:hint="eastAsia"/>
                <w:lang w:val="en-US" w:eastAsia="zh-CN"/>
              </w:rPr>
            </w:pPr>
            <w:r>
              <w:rPr>
                <w:rStyle w:val="120"/>
                <w:lang w:val="en-US" w:eastAsia="zh-CN"/>
              </w:rPr>
              <w:t>设备序列号</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AA2AE4">
            <w:pPr>
              <w:keepNext w:val="0"/>
              <w:keepLines w:val="0"/>
              <w:widowControl/>
              <w:suppressLineNumbers w:val="0"/>
              <w:jc w:val="center"/>
              <w:textAlignment w:val="center"/>
              <w:rPr>
                <w:rStyle w:val="120"/>
                <w:rFonts w:hint="eastAsia"/>
                <w:lang w:val="en-US" w:eastAsia="zh-CN"/>
              </w:rPr>
            </w:pPr>
            <w:r>
              <w:rPr>
                <w:rStyle w:val="120"/>
                <w:lang w:val="en-US" w:eastAsia="zh-CN"/>
              </w:rPr>
              <w:t>维保要求</w:t>
            </w:r>
          </w:p>
        </w:tc>
      </w:tr>
      <w:tr w14:paraId="015C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497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05A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路由器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1F4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华为AR3200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77F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2102113374P0H9000547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5E3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F17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F94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8EE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路由器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51F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华为AR3200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302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21021312128BH8001762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551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7A6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0FF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A68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1A1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安恒DAS-NGFW-A800-LU</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9F4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530002000121110805606067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2DB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3743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F8E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7B5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D63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安恒DAS-NGFW-A800-LU</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9DD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530002000121110858780575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1A1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37A3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ABA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F5C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15C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H3C S5800-56C</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23D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210235A377H14A000005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410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4B2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212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A72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路由器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6B1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H3C SR8806-X-S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A1B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210235A1DPX149000023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5BE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848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E6B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8398">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VPN</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5AE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吉大正元NG50-SW</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464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AT24102903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662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71BB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7E1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1FC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85F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锐捷 RG-S2628G-I</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64D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G1FC090002338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80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66A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562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BA4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0"/>
                <w:szCs w:val="20"/>
                <w:u w:val="none"/>
                <w:lang w:val="en-US" w:eastAsia="zh-CN"/>
              </w:rPr>
              <w:t>IPS</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16C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启明星辰NGIPS5000-C-SR</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110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11324112129993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726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1AD8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3A1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EF0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6BC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锐捷 RG-NBS5652XG</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FB1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G1KD4MA108335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615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D0A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D3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3A9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FBE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安恒DAS-NGFW-A800-LU</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CDF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530002000121110836540431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6B4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5935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3B0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B30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隔离网闸</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18B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天融信TopRules (FT-A10)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117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Q5687940120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947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283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B26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B71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上网行为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3DC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安恒DAS-AC-2150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58D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530000500121041981172319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7E2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2CE8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45B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74F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214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深信服NGAF-1000-L470PNGAF</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82F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5039014252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5B2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28D0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F3F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95C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隔离网闸</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D9F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网御星云SIS-3000-Z7100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44A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NT00409876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99B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14E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ED9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FF3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VPN</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354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vpn-1000 B1030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4FF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5017517004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E5D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0248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57A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2C6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0BD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H3C LS-7506E-NonPoE</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FB0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210235A1JAX19300009N</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0E2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90C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3E1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611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77B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速康网络</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40E7">
            <w:pPr>
              <w:jc w:val="center"/>
              <w:rPr>
                <w:rFonts w:hint="eastAsia" w:ascii="新宋体" w:hAnsi="新宋体" w:eastAsia="新宋体" w:cs="新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9A4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242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BF8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1F5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747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LS-7506E-NonPoE</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962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210235A1JAX19B000081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480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859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208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1AE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D51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LS-7506E-NonPoE</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48B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210235A1JAX19B00008G</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58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743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0A0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2F0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42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H3C-S6520X-30QC</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8D4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210235A2CEH2460H00PS</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FF5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19E5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C4E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DC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EB2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H3C-S6520X-30QC</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9AF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210235A2CE621AV000CF</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992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4478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351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1CB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134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S5800-56C</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AD4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210235A377H14A000070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293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6B7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C10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FD9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B9C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LS-10508</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59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210235A0J8X14A000037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F9B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048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86C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46F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745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LS-10508</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7E7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210235A0J8X14A000032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792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BFB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DF2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3F0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543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曙光DS800-G30H</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AAE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9800164406169731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ED0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3E12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50A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A51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13C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LS-7508E-X</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35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210235A0J9X14A000043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CC0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C73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C85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714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332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LS-7508E-X</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AA0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210235A0J9X14A000012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E9B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799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64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29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903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时间服务器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1F2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妙安MA-802/S-C1</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455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6339A010008035442207E10E</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2C9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0591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7D3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150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IDC平台</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4F7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TP2000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1E2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1T010080121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8C4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3831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205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B27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漏扫平台</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0E4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安恒DAS-RAS-H1000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2D3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1712X15806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D48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39F4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25C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729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日志审计</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4DE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DAS-Logger-1000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2FC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2011X070170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4EB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A63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DE8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FD2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堡垒机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C4B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安恒DAS-USM-A2180-KU</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DCC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2102312YTCP0N5100592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133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4F04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A5A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A96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安全平台</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4A3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安恒DAS-ABL-SP600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4A6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2111X230675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FD1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67A5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179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481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安全平台</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898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安恒Rack Server</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83A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9800168803091009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195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3BFB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C88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255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EAE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9A9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219801A2S59238Q000K9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426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017B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742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9A7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014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5AE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219801A2S59238Q000L7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032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4CC2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240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DA4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6251">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Think RD640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F37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0008231775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0C7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E3E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4BC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39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FD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5C9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Dell R730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40D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DJKGVG2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F52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58B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82D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55D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41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DELL R740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054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BH2BF53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C85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7F2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9F4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730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623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Dell R730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E69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HXSGVG2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9C6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6A6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75E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A85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6D8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Think RD640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FFC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0008237145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811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0D6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5B9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EDB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B74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海康DS-A72036R</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43F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FU1258553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1F8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72C3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4CE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D35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078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海康DS-A72036R</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3397">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FU1258554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BAC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44BD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A6C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D00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65D7">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F5E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219801A2S59238Q000M9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E64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6522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386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535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399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7FA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219801A2S59238Q000X4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8F2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58FE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82E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156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F5D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IBM x3850X5</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1E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99A4569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FF5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9A4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8BE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7E0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81A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DELL R730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3C3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24FDKM2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A12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C67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2F3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49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0E4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EE1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I620-G30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50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9800115601294243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C37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ABC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2C8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E42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5C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I620-G30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D17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9800115601294245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100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9D6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425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83F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0BC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I620-G30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18B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9800115601294244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10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B3B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DD0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789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63C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I620-G30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BC6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9800115601294246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A43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66C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0DE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90C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F18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74F8">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219801A2S59238Q000KL</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CE7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554A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2B2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736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8A1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151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219801A2S59238Q000L6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DE1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0397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25E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F11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E30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02D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9800054600472831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7C9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1CD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F71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F86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DD2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42B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485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929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153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ADC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F938">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051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9800054600472813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1EC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D54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ADD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F2E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70D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0F7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2AA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6AA2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D4E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59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81C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9711">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C69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81E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071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17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5E1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05E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Sugon DS800-G35H</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329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9800114901453010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7CA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6090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572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9D7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BD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2521">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219801A2S59238Q000KB</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B99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75EE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ED9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630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F1E1">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3028">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219801A2S59238Q000KK</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0E4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7B7C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F67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B15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6D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D7B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DD9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AA5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4B2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4D4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300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82E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C32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145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21D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DC8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3CB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4C8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9800054600472814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E5A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0D3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640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445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A68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840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9800054600472820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7E8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693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0D1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101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32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4C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9800054600472816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602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E89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AB3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4B5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E87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69C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9800054600472815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B5E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290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6C0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69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515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DF0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172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9800054600472830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A52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8F4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749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879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CD4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75D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219801A2S59238Q000WZ</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DB4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27BF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096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C46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89B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0CF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219801A2S59238Q0011B</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49C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610B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3EE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681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338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DE77">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9A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2C9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C09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37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9CD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197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47C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2F8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EF7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20B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E40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A3B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9800054600472817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999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E66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8A2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832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15B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17B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216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DD3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5DF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5E7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C1A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D56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C49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2DF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29A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F32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87D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 A840-G10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DE6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9800054600472824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C32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D25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395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C81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1B2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EA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219801A2S59238Q000VV</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96D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1465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ED8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79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7CE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A4E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6A6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219801A2S59238Q000KZ</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A0A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12F2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CA6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C52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光纤交换机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FD1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曙光6510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F8B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73A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1A1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672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246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光纤交换机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16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曙光6510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2121">
            <w:pPr>
              <w:jc w:val="center"/>
              <w:rPr>
                <w:rFonts w:hint="eastAsia" w:ascii="新宋体" w:hAnsi="新宋体" w:eastAsia="新宋体" w:cs="新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79C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67F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1CD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BF5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EF3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 RH2288HV2</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B04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2102310YSG10FB000002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E47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073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76E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0CB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5C2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 RH2288HV2</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F58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2102310YSG10FA000544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EF9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6A5B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022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BA4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BBA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I950r-G</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A85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9800040400473322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A5A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017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04F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D5C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655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曙光 I950r-G</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DA7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9800040400473294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4C6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A6D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310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D96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F7E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华为5210 DAE62435U4</w:t>
            </w:r>
            <w:r>
              <w:rPr>
                <w:rFonts w:hint="eastAsia" w:ascii="新宋体" w:hAnsi="新宋体" w:eastAsia="新宋体" w:cs="新宋体"/>
                <w:i w:val="0"/>
                <w:iCs w:val="0"/>
                <w:color w:val="000000"/>
                <w:kern w:val="0"/>
                <w:sz w:val="20"/>
                <w:szCs w:val="20"/>
                <w:u w:val="none"/>
                <w:lang w:val="en-US" w:eastAsia="zh-CN"/>
              </w:rPr>
              <w:br w:type="textWrapping"/>
            </w:r>
            <w:r>
              <w:rPr>
                <w:rFonts w:hint="eastAsia" w:ascii="新宋体" w:hAnsi="新宋体" w:eastAsia="新宋体" w:cs="新宋体"/>
                <w:i w:val="0"/>
                <w:iCs w:val="0"/>
                <w:color w:val="000000"/>
                <w:kern w:val="0"/>
                <w:sz w:val="20"/>
                <w:szCs w:val="20"/>
                <w:u w:val="none"/>
                <w:lang w:val="en-US" w:eastAsia="zh-CN"/>
              </w:rPr>
              <w:t>华为 DAE62525U2-10盘柜*2</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F20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2102354NLINONC100034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D99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172A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454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74C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15A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S5500-52C-EI</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691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210235A24WH128000504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728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D52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D58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5DF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光纤交换机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E91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博科Brocade 300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33F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ALJ2542K0R6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38F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E4C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173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89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8A7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光纤交换机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D54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博科Brocade 300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E66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ALJ2542K0E2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5F6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6E1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355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992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EE4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DELL R730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8C58">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CRQBVG2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CCD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828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BAB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277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625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DELL R820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F55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78NDTF2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E36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A14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A83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801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6AD7">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DellR830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F85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 xml:space="preserve"> 5LJLNK2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474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326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78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0E3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68F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EMC VNX5500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66C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CKM00133803904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891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81D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E8D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20E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B8F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2D2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219801A2S59238Q000VX</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338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572F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14D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ADD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A58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S5130S-52S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9B6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219801A2S59238Q000JQ</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7AD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049C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FCB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360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光纤交换机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EA9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博科Brocade 300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EC68">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ALJ2537J00C</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7CA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A0C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612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2ED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光纤交换机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001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博科Brocade 300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717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ALJ2537J00A</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A96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612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70F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8B1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E3F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华为OceanStorS5500T</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6DF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210235G6ES10EC000452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646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97B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3F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99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F92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KVM</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8EB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神盾卫士KVM</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C5F1">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697129464906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A34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5156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2A3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F87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415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大华DH-IVSS716</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B91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PR2510P21060700006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F09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3F8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72C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D1F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B64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大华DH-IVSS724R</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AF7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7G0539CYAJ00004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F67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7B5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463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ACB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3C8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大华DH-EVS5016S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13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7E058E6PAJ9C078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6E8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691E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453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588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7CA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大华</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75D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7H0BB11PAJ00002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BC1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797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19A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E17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C60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大华 DH-EVS5224S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437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8L0A417PAJ01888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99D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43A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C10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42C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8BE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锐捷RG-S5750-24SFP/12GT</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E04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8976FH3340043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D63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AFB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E0E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8C3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4B5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H3C S6520X-30QC-EI</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D86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210235A2CEH18B000095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A04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13F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7CE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AEE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515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锐捷RG-S2628G-I</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19A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G1FC090012600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539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CE7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242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DE1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81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DELL R730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D7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4GKH6H2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8AF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8F3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8C4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109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1D7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C27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DELL R730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C2F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4GMF6H2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2BD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7A9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B22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A41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BCA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HP DL388 Gen9</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685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CN72250GJZ</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CFF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027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671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636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165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HP DL388 Gen9</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88E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CN72250GLD</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66C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64F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49A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3BC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AAC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DELL R720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A0F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B51Y252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34C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AD0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A72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85C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511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SANGFOR aSERVER-2105</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7AB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9C3F000247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C83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B74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86D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5EF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BCF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SANGFOR aSERVER-2105</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09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9C3F000268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C4B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8FF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4DE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77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776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华为RH2288Hv3</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92D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2102311QGKCNJ8000162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36A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25B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AFB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90E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34A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深信服aSERVER-R 2305</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886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F6Q4DDI030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A0E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1450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88F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D94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AC7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深信服aSERVER-R 2305</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6A58">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F6Q4DDI013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4F6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0884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ABE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4CB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81F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锐捷RG-NBS5652XG</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0B9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G1MD2MA001486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363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C4A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180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119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A40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硬盘录像机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E12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 DS-TPE400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CBD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17B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2A8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E32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BA0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硬盘录像机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EF2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 DS-TPE400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7A9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211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695C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1A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ABC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174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海康DS-18024D</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D06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697152796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BED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CD4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B5C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C6D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DD51">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 DS-A82024D</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E36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590600312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2ED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742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E65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203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CE47">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 DS-A82024D</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38B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590600310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DF6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131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0E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3D4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970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 DS-A82024D</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6F8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590600311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AC8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CAE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C56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4A9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52E7">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 DS-A82024D</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F3F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590600309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A80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588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18F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595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623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DZ2000-70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10A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22111504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359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0F00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066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2F2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079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DELL R410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534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BX72T2X</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C57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5FC4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D65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FFA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C54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海康 IS-VSE2326X-NDA</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D39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HIK096336169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58C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E99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3EE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129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90E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FDF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海康 IS-VSE2326X-NDA</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3C2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HIK096336171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EEC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06E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D12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912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EC6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华为RH2288V3</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F43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2102311QGM10J4000025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87B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EC5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EF6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668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54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 S5700-28C-EI-24S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D50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2102352350DMF9000376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D85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2EA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D81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B08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F3D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安恒DAS-NGFW690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A6C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530002000121110840865423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056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12BD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A1C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51B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隔离网闸</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9A8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网御星云SIS-3000-Z2SDT-SFP</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AB0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NT00262271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14C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8D4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792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114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安全平台</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36F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安恒DAS-APT-1280-PLS</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510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1808X130486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059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原厂整机维保及一年规则库升级</w:t>
            </w:r>
          </w:p>
        </w:tc>
      </w:tr>
      <w:tr w14:paraId="1194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80B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092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403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NGFW4000-UF(ZX-A)（万兆）</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F0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Q2012853099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70B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01FA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9E7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AB5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DC6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NGFW4000-UF(ZX-A)（万兆）</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18D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Q2012853098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E2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339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A17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503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存储</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D91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华为 DAE62435U4</w:t>
            </w:r>
            <w:r>
              <w:rPr>
                <w:rFonts w:hint="eastAsia" w:ascii="新宋体" w:hAnsi="新宋体" w:eastAsia="新宋体" w:cs="新宋体"/>
                <w:i w:val="0"/>
                <w:iCs w:val="0"/>
                <w:color w:val="000000"/>
                <w:kern w:val="0"/>
                <w:sz w:val="20"/>
                <w:szCs w:val="20"/>
                <w:u w:val="none"/>
                <w:lang w:val="en-US" w:eastAsia="zh-CN"/>
              </w:rPr>
              <w:br w:type="textWrapping"/>
            </w:r>
            <w:r>
              <w:rPr>
                <w:rFonts w:hint="eastAsia" w:ascii="新宋体" w:hAnsi="新宋体" w:eastAsia="新宋体" w:cs="新宋体"/>
                <w:i w:val="0"/>
                <w:iCs w:val="0"/>
                <w:color w:val="000000"/>
                <w:kern w:val="0"/>
                <w:sz w:val="20"/>
                <w:szCs w:val="20"/>
                <w:u w:val="none"/>
                <w:lang w:val="en-US" w:eastAsia="zh-CN"/>
              </w:rPr>
              <w:t>华为 DAE62525U2-10盘柜*2</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111D">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2102354NLJNONC100033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75F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日常维保</w:t>
            </w:r>
          </w:p>
        </w:tc>
      </w:tr>
      <w:tr w14:paraId="78CD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CC5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318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运维主机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731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IDC运维主机</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5AE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XCH61L62U2018121004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406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61BB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C63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139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7B7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558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S5120-48P-EI</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129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210235A0BKH129000865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151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1637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278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3A1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9991">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天融信NGFW4000-UF(TG-5014)</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7711">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Q1611486160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763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6554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2D8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2E9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5FA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H3C S5120-48P-EI</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BA5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rPr>
              <w:t>210235A0BKH129000760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1A8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6570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F32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3AD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766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华为USG6525E</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B38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1019C0119627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FB9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031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35C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D49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09F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华为USG6525E</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AB7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1019C0119725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FE3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7C3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A44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F65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58E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华为USG6525E</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B10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1019B0131604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169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AD9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723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25B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交换机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4E3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H3C LS-7508E-X</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69C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210235A0J9X141000010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A5A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71B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619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B37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防火墙</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C43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天融信NGFW4000-UF</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B77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Q1611486165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4BB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7E82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E71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FF7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上网行为</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2DA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深信服AC-1440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F9A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AC7CF85C</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B1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770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495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B51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路由器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E38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华为AR3260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E2B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2102350LEM10HA000006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718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2D25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705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149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951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日志审计</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995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思福迪AH330</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117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AH330-1611-036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2BE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48CF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335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150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63C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　服务器</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780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DELL R720XD</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23C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4WSDC52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6C5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整机维保</w:t>
            </w:r>
          </w:p>
        </w:tc>
      </w:tr>
      <w:tr w14:paraId="3BAE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F13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154</w:t>
            </w: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F8B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供配电系统维保</w:t>
            </w:r>
          </w:p>
        </w:tc>
        <w:tc>
          <w:tcPr>
            <w:tcW w:w="3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49DA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每月不少于一次</w:t>
            </w:r>
          </w:p>
        </w:tc>
      </w:tr>
      <w:tr w14:paraId="1122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C484">
            <w:pPr>
              <w:jc w:val="center"/>
              <w:rPr>
                <w:rFonts w:hint="eastAsia" w:ascii="新宋体" w:hAnsi="新宋体" w:eastAsia="新宋体" w:cs="新宋体"/>
                <w:i w:val="0"/>
                <w:iCs w:val="0"/>
                <w:color w:val="000000"/>
                <w:sz w:val="22"/>
                <w:szCs w:val="22"/>
                <w:u w:val="none"/>
              </w:rPr>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A9D5">
            <w:pPr>
              <w:jc w:val="center"/>
              <w:rPr>
                <w:rFonts w:hint="eastAsia" w:ascii="新宋体" w:hAnsi="新宋体" w:eastAsia="新宋体" w:cs="新宋体"/>
                <w:i w:val="0"/>
                <w:iCs w:val="0"/>
                <w:color w:val="000000"/>
                <w:sz w:val="22"/>
                <w:szCs w:val="22"/>
                <w:u w:val="none"/>
              </w:rPr>
            </w:pPr>
          </w:p>
        </w:tc>
        <w:tc>
          <w:tcPr>
            <w:tcW w:w="3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E499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电池保养（电池做静态，动态测试、对电池组的联接进行检查）</w:t>
            </w:r>
          </w:p>
        </w:tc>
      </w:tr>
      <w:tr w14:paraId="1B46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9605">
            <w:pPr>
              <w:jc w:val="center"/>
              <w:rPr>
                <w:rFonts w:hint="eastAsia" w:ascii="新宋体" w:hAnsi="新宋体" w:eastAsia="新宋体" w:cs="新宋体"/>
                <w:i w:val="0"/>
                <w:iCs w:val="0"/>
                <w:color w:val="000000"/>
                <w:sz w:val="22"/>
                <w:szCs w:val="22"/>
                <w:u w:val="none"/>
              </w:rPr>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C4AA">
            <w:pPr>
              <w:jc w:val="center"/>
              <w:rPr>
                <w:rFonts w:hint="eastAsia" w:ascii="新宋体" w:hAnsi="新宋体" w:eastAsia="新宋体" w:cs="新宋体"/>
                <w:i w:val="0"/>
                <w:iCs w:val="0"/>
                <w:color w:val="000000"/>
                <w:sz w:val="22"/>
                <w:szCs w:val="22"/>
                <w:u w:val="none"/>
              </w:rPr>
            </w:pPr>
          </w:p>
        </w:tc>
        <w:tc>
          <w:tcPr>
            <w:tcW w:w="3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4334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提供2台易斯特EA66100型号UPS主机保养（检查设备的运行状况、需要进行清扫的机器进行除尘清扫、对设备内主要部件进行静态测试、检查设备的输入, 输出联接端子是否牢固，UPS供电主机及模块整机原厂维保。）</w:t>
            </w:r>
          </w:p>
        </w:tc>
      </w:tr>
      <w:tr w14:paraId="4FFC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681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155</w:t>
            </w: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2A7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空调系统维保</w:t>
            </w:r>
          </w:p>
        </w:tc>
        <w:tc>
          <w:tcPr>
            <w:tcW w:w="3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7682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每月不少于一次</w:t>
            </w:r>
          </w:p>
        </w:tc>
      </w:tr>
      <w:tr w14:paraId="2395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601C">
            <w:pPr>
              <w:jc w:val="center"/>
              <w:rPr>
                <w:rFonts w:hint="eastAsia" w:ascii="新宋体" w:hAnsi="新宋体" w:eastAsia="新宋体" w:cs="新宋体"/>
                <w:i w:val="0"/>
                <w:iCs w:val="0"/>
                <w:color w:val="000000"/>
                <w:sz w:val="22"/>
                <w:szCs w:val="22"/>
                <w:u w:val="none"/>
              </w:rPr>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58A2">
            <w:pPr>
              <w:jc w:val="center"/>
              <w:rPr>
                <w:rFonts w:hint="eastAsia" w:ascii="新宋体" w:hAnsi="新宋体" w:eastAsia="新宋体" w:cs="新宋体"/>
                <w:i w:val="0"/>
                <w:iCs w:val="0"/>
                <w:color w:val="000000"/>
                <w:sz w:val="22"/>
                <w:szCs w:val="22"/>
                <w:u w:val="none"/>
              </w:rPr>
            </w:pPr>
          </w:p>
        </w:tc>
        <w:tc>
          <w:tcPr>
            <w:tcW w:w="3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686B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提供2台精密空调（斯图兹CSD351A和斯图兹CSD371A）整机维保，每年4次过滤网更换、清洗；以及3台大金机房备用空调内外机保养，过滤网清洗更换等。</w:t>
            </w:r>
          </w:p>
        </w:tc>
      </w:tr>
      <w:tr w14:paraId="2F4C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ACD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156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CD5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大榕树环境系统维保</w:t>
            </w:r>
          </w:p>
        </w:tc>
        <w:tc>
          <w:tcPr>
            <w:tcW w:w="3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B988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每月不少于一次，软件功能检查，硬件性能检查、容灾机房温湿度检查调校，水浸检测检查和系统维保。</w:t>
            </w:r>
          </w:p>
        </w:tc>
      </w:tr>
      <w:tr w14:paraId="6E08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3FE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157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883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海湾消防系统维保</w:t>
            </w:r>
          </w:p>
        </w:tc>
        <w:tc>
          <w:tcPr>
            <w:tcW w:w="3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31C6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每月不少于一次，管网系统的检查与保养、控制系统的检查和保养，气体储存装置的检查、保养。</w:t>
            </w:r>
          </w:p>
        </w:tc>
      </w:tr>
      <w:tr w14:paraId="563D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122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rPr>
              <w:t>158</w:t>
            </w: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20D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Style w:val="120"/>
                <w:lang w:val="en-US" w:eastAsia="zh-CN"/>
              </w:rPr>
              <w:t>工具与耗材</w:t>
            </w:r>
          </w:p>
        </w:tc>
        <w:tc>
          <w:tcPr>
            <w:tcW w:w="35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73F0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rPr>
              <w:t>6类网线10箱，1米、2米、5米、10米成品非屏蔽双绞网线各100条，多功能便携设备标签打印机2台及黄底黑字色带100盒，机房专用工具箱2套，无线键鼠10套，10米光纤跳线50条，千兆、万兆双模光模块各10个，千兆、万兆单模模块各5个，WD 8T硬盘10，,WPS办公软件授权5套，测线理线配套工具一批等。</w:t>
            </w:r>
          </w:p>
        </w:tc>
      </w:tr>
      <w:tr w14:paraId="5456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43A0">
            <w:pPr>
              <w:jc w:val="center"/>
              <w:rPr>
                <w:rFonts w:hint="eastAsia" w:ascii="新宋体" w:hAnsi="新宋体" w:eastAsia="新宋体" w:cs="新宋体"/>
                <w:i w:val="0"/>
                <w:iCs w:val="0"/>
                <w:color w:val="000000"/>
                <w:sz w:val="22"/>
                <w:szCs w:val="22"/>
                <w:u w:val="none"/>
              </w:rPr>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1073">
            <w:pPr>
              <w:jc w:val="center"/>
              <w:rPr>
                <w:rFonts w:hint="eastAsia" w:ascii="新宋体" w:hAnsi="新宋体" w:eastAsia="新宋体" w:cs="新宋体"/>
                <w:i w:val="0"/>
                <w:iCs w:val="0"/>
                <w:color w:val="000000"/>
                <w:sz w:val="22"/>
                <w:szCs w:val="22"/>
                <w:u w:val="none"/>
              </w:rPr>
            </w:pPr>
          </w:p>
        </w:tc>
        <w:tc>
          <w:tcPr>
            <w:tcW w:w="35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0741">
            <w:pPr>
              <w:rPr>
                <w:rFonts w:hint="eastAsia" w:ascii="新宋体" w:hAnsi="新宋体" w:eastAsia="新宋体" w:cs="新宋体"/>
                <w:i w:val="0"/>
                <w:iCs w:val="0"/>
                <w:color w:val="000000"/>
                <w:sz w:val="20"/>
                <w:szCs w:val="20"/>
                <w:u w:val="none"/>
              </w:rPr>
            </w:pPr>
          </w:p>
        </w:tc>
      </w:tr>
    </w:tbl>
    <w:p w14:paraId="0EFA8989">
      <w:pPr>
        <w:numPr>
          <w:ilvl w:val="0"/>
          <w:numId w:val="0"/>
        </w:numPr>
        <w:rPr>
          <w:rFonts w:hint="eastAsia" w:ascii="宋体" w:hAnsi="宋体" w:cs="宋体"/>
          <w:b/>
          <w:bCs/>
          <w:color w:val="auto"/>
          <w:sz w:val="22"/>
          <w:szCs w:val="22"/>
          <w:highlight w:val="none"/>
        </w:rPr>
      </w:pPr>
    </w:p>
    <w:p w14:paraId="7168F7E7">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维保设备（维保设备范围为市交通运输局中心机房及市交通运输行政执法队</w:t>
      </w:r>
      <w:r>
        <w:rPr>
          <w:rFonts w:hint="eastAsia" w:ascii="宋体" w:hAnsi="宋体" w:eastAsia="宋体" w:cs="宋体"/>
          <w:b/>
          <w:bCs/>
          <w:color w:val="auto"/>
          <w:kern w:val="2"/>
          <w:sz w:val="22"/>
          <w:szCs w:val="22"/>
          <w:highlight w:val="none"/>
          <w:lang w:val="en-US" w:eastAsia="zh-CN" w:bidi="ar-SA"/>
        </w:rPr>
        <w:t>数据备份容灾机房</w:t>
      </w:r>
      <w:r>
        <w:rPr>
          <w:rFonts w:hint="eastAsia" w:ascii="宋体" w:hAnsi="宋体" w:cs="宋体"/>
          <w:b/>
          <w:bCs/>
          <w:color w:val="auto"/>
          <w:sz w:val="22"/>
          <w:szCs w:val="22"/>
          <w:highlight w:val="none"/>
        </w:rPr>
        <w:t>）包括但不限于上述设备清单（如未列入上述清单，维护内容同样为一年整机维保）。</w:t>
      </w:r>
    </w:p>
    <w:p w14:paraId="626FCC94">
      <w:pPr>
        <w:spacing w:line="360" w:lineRule="auto"/>
        <w:rPr>
          <w:rFonts w:ascii="宋体" w:hAnsi="宋体" w:cs="宋体"/>
          <w:b/>
          <w:bCs/>
          <w:color w:val="auto"/>
          <w:sz w:val="22"/>
          <w:szCs w:val="22"/>
          <w:highlight w:val="none"/>
        </w:rPr>
      </w:pPr>
    </w:p>
    <w:p w14:paraId="431C74E8">
      <w:pPr>
        <w:spacing w:line="360" w:lineRule="auto"/>
        <w:rPr>
          <w:rFonts w:ascii="宋体" w:hAnsi="宋体" w:cs="宋体"/>
          <w:bCs/>
          <w:color w:val="auto"/>
          <w:sz w:val="22"/>
          <w:szCs w:val="22"/>
          <w:highlight w:val="none"/>
        </w:rPr>
      </w:pPr>
      <w:r>
        <w:rPr>
          <w:rFonts w:hint="eastAsia" w:ascii="宋体" w:hAnsi="宋体" w:cs="宋体"/>
          <w:b/>
          <w:bCs/>
          <w:color w:val="auto"/>
          <w:sz w:val="22"/>
          <w:szCs w:val="22"/>
          <w:highlight w:val="none"/>
          <w:lang w:val="en-US" w:eastAsia="zh-CN"/>
        </w:rPr>
        <w:t>3</w:t>
      </w:r>
      <w:r>
        <w:rPr>
          <w:rFonts w:hint="eastAsia" w:ascii="宋体" w:hAnsi="宋体" w:cs="宋体"/>
          <w:b/>
          <w:bCs/>
          <w:color w:val="auto"/>
          <w:sz w:val="22"/>
          <w:szCs w:val="22"/>
          <w:highlight w:val="none"/>
        </w:rPr>
        <w:t>、维护周期：</w:t>
      </w:r>
    </w:p>
    <w:p w14:paraId="0DF5F81E">
      <w:pPr>
        <w:spacing w:line="360" w:lineRule="auto"/>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1.系统维护时间为</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年1月1日至</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年12月31日，共一年服务。</w:t>
      </w:r>
    </w:p>
    <w:p w14:paraId="1F2DCD47">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4</w:t>
      </w:r>
      <w:r>
        <w:rPr>
          <w:rFonts w:hint="eastAsia" w:ascii="宋体" w:hAnsi="宋体" w:cs="宋体"/>
          <w:b/>
          <w:bCs/>
          <w:color w:val="auto"/>
          <w:sz w:val="22"/>
          <w:szCs w:val="22"/>
          <w:highlight w:val="none"/>
        </w:rPr>
        <w:t>、相关技术服务要求</w:t>
      </w:r>
    </w:p>
    <w:p w14:paraId="14AC0FAF">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1. 7×24小时技术支持</w:t>
      </w:r>
    </w:p>
    <w:p w14:paraId="41278226">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提供7×24小时的免费技术支持。支持范围包括产品的功能、配置、安装、调试、客户使用中遇到的各种技术问题的一般性咨询，并随时准备处理各种突发事件，提供400或其它热线电话支持服务；</w:t>
      </w:r>
    </w:p>
    <w:p w14:paraId="41FFBE1E">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2. 资产梳理服务</w:t>
      </w:r>
    </w:p>
    <w:p w14:paraId="5EFEAEA0">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梳理温州市交通运输局现有机房设备资产信息，纪录数据中心服务范围内各设备和系统的种类、型号、功能、物理位置、序列号、购买时间、过保时间等资产详细信息，利用设备清单进行物理设备建档，绘制网络拓扑，硬件设备物理位置图、接口对应表，完善数据中心基础信息，形成资产台账信息。</w:t>
      </w:r>
    </w:p>
    <w:p w14:paraId="2C7F2EC9">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3. 信息安全评估服务</w:t>
      </w:r>
    </w:p>
    <w:p w14:paraId="0E17E891">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通过识别资产现有的脆弱性，可能面临的威胁，并充分调研已有的安全控制措施，以综合判断存在的风险，帮助用户预知可能发生的安全事件，规划后期建设。</w:t>
      </w:r>
    </w:p>
    <w:p w14:paraId="3441BB3A">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4. 机房运维服务</w:t>
      </w:r>
    </w:p>
    <w:p w14:paraId="2E40AFF8">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定期开展机房卫生清洁工作，地面卫生、设备外部除尘、储物间整理服务，根据资产信息进行设备标签、线路标签制作粘贴服务。</w:t>
      </w:r>
    </w:p>
    <w:p w14:paraId="1039F589">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5. 应急响应支持</w:t>
      </w:r>
    </w:p>
    <w:p w14:paraId="2D7F0E2B">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对网络、服务器（含OS）、存储、安全设备、容灾备份设备等物理资源提供7×24的响应支持服务。</w:t>
      </w:r>
    </w:p>
    <w:p w14:paraId="2B3AAD4C">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事件驱动响应：针对软、硬件故障、误操作等引起的业务中断或运行效率无法满足正常运行要求，而进行的响应服务；</w:t>
      </w:r>
    </w:p>
    <w:p w14:paraId="7CF2D220">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服务请求响应：根据应用系统运行需要或网络的要求而进行的响应服务；</w:t>
      </w:r>
    </w:p>
    <w:p w14:paraId="780C8C6E">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事件关闭后2个工作日内提供《事件响应报告》并记录运维台帐。</w:t>
      </w:r>
    </w:p>
    <w:p w14:paraId="3B3C116E">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6. 运维巡检服务</w:t>
      </w:r>
    </w:p>
    <w:p w14:paraId="3168AC07">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每个季度（重大节假另行安排）定期对服务器（含操作系统：linux、centos、alios</w:t>
      </w:r>
      <w:r>
        <w:rPr>
          <w:rFonts w:hint="eastAsia" w:ascii="宋体" w:cs="Arial"/>
          <w:bCs/>
          <w:color w:val="auto"/>
          <w:kern w:val="0"/>
          <w:sz w:val="22"/>
          <w:szCs w:val="22"/>
          <w:highlight w:val="none"/>
          <w:lang w:eastAsia="zh-CN"/>
        </w:rPr>
        <w:t>，Kylin</w:t>
      </w:r>
      <w:r>
        <w:rPr>
          <w:rFonts w:hint="eastAsia" w:ascii="宋体" w:cs="Arial"/>
          <w:bCs/>
          <w:color w:val="auto"/>
          <w:kern w:val="0"/>
          <w:sz w:val="22"/>
          <w:szCs w:val="22"/>
          <w:highlight w:val="none"/>
        </w:rPr>
        <w:t>，windows server等）、网络（交换机、路由器、防火墙、IPS等网络和安全设备）、存储等硬件设备CPU使用峰值、内存情况、全网链路的健康状态、磁盘空间使用情况、服务器IO读写情况、服务器安全防护情况、数据流网络流量情况和时间同步等进行检查。</w:t>
      </w:r>
    </w:p>
    <w:p w14:paraId="7997E8D4">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每季度巡检结束后15个工作日内整理并提交《巡检报告》；</w:t>
      </w:r>
    </w:p>
    <w:p w14:paraId="0C07266D">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每年度输出一份年度运维总结报告。</w:t>
      </w:r>
    </w:p>
    <w:p w14:paraId="1F1C9414">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7. 备份服务</w:t>
      </w:r>
    </w:p>
    <w:p w14:paraId="59EEF30E">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提供定期对现有网络设备、安全设备的配置备份服务。</w:t>
      </w:r>
    </w:p>
    <w:p w14:paraId="5759F970">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8. 数据库服务</w:t>
      </w:r>
    </w:p>
    <w:p w14:paraId="713CC392">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提供现场勘查服务器、存储以及相关网络的配置，勘察数据库配置，并整理为初始文档，出具数据库服务范围说明书，提供现有数据库数据备份、版本、补丁升级服务，提供现有数据库系统的检测、优化服务，提高性能，利于生产。</w:t>
      </w:r>
    </w:p>
    <w:p w14:paraId="29211B43">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9. 运维监测服务</w:t>
      </w:r>
    </w:p>
    <w:p w14:paraId="302EA6CA">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利用监控平台对应用软件、数据系统、虚拟化系统、硬件系统提供7×24自动化监控服务，包括性能监控和可用性监控。利用动环系统对机房环境提供7×24小时自动化监控服务；</w:t>
      </w:r>
    </w:p>
    <w:p w14:paraId="47ECA7B0">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虚拟化系统：深信服超融合相关资源</w:t>
      </w:r>
    </w:p>
    <w:p w14:paraId="43176DBB">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数据系统：数据库、中间件、应用系统；</w:t>
      </w:r>
    </w:p>
    <w:p w14:paraId="15AE1E76">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硬件系统：服务器（含操作系统：linux、centos、alios、Kylin</w:t>
      </w:r>
      <w:r>
        <w:rPr>
          <w:rFonts w:hint="eastAsia" w:ascii="宋体" w:cs="Arial"/>
          <w:bCs/>
          <w:color w:val="auto"/>
          <w:kern w:val="0"/>
          <w:sz w:val="22"/>
          <w:szCs w:val="22"/>
          <w:highlight w:val="none"/>
          <w:lang w:eastAsia="zh-CN"/>
        </w:rPr>
        <w:t>，</w:t>
      </w:r>
      <w:r>
        <w:rPr>
          <w:rFonts w:hint="eastAsia" w:ascii="宋体" w:cs="Arial"/>
          <w:bCs/>
          <w:color w:val="auto"/>
          <w:kern w:val="0"/>
          <w:sz w:val="22"/>
          <w:szCs w:val="22"/>
          <w:highlight w:val="none"/>
        </w:rPr>
        <w:t>windows server等）、网络（交换机、路由器、防火墙、IPS等网络和安全设备）、存储等物理资源；</w:t>
      </w:r>
    </w:p>
    <w:p w14:paraId="69CC6436">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机房环境：温湿度、漏水、电力、消防、安防监控等；</w:t>
      </w:r>
    </w:p>
    <w:p w14:paraId="52472E3B">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10. 特殊时段现场支持服务</w:t>
      </w:r>
      <w:r>
        <w:rPr>
          <w:rFonts w:hint="eastAsia" w:ascii="宋体" w:cs="Arial"/>
          <w:bCs/>
          <w:color w:val="auto"/>
          <w:kern w:val="0"/>
          <w:sz w:val="22"/>
          <w:szCs w:val="22"/>
          <w:highlight w:val="none"/>
        </w:rPr>
        <w:tab/>
      </w:r>
    </w:p>
    <w:p w14:paraId="07CAD38F">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在春节、劳动节、国庆节等重要节假日和各重大安全活动期间对系统设备稳定运行要求较高的特殊时段，需将技术工程师的值班时间表以及联系方式以邮件或微信等方式传送给我局技术负责人，如果需要，根据实际情况安排工程师提供现场值班技术支持服务。</w:t>
      </w:r>
    </w:p>
    <w:p w14:paraId="089C1FD1">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在举行省级及以上重大会议或重要活动时，需提供工程师现场值班完成全天候技术</w:t>
      </w:r>
      <w:r>
        <w:rPr>
          <w:rFonts w:hint="eastAsia" w:ascii="宋体" w:cs="Arial"/>
          <w:bCs/>
          <w:color w:val="auto"/>
          <w:kern w:val="0"/>
          <w:sz w:val="22"/>
          <w:szCs w:val="22"/>
          <w:highlight w:val="none"/>
          <w:lang w:val="en-US" w:eastAsia="zh-CN"/>
        </w:rPr>
        <w:t>保障</w:t>
      </w:r>
      <w:r>
        <w:rPr>
          <w:rFonts w:hint="eastAsia" w:ascii="宋体" w:cs="Arial"/>
          <w:bCs/>
          <w:color w:val="auto"/>
          <w:kern w:val="0"/>
          <w:sz w:val="22"/>
          <w:szCs w:val="22"/>
          <w:highlight w:val="none"/>
        </w:rPr>
        <w:t>服务。值班人员要密切监测温州市交通运输局门户网站、OA系统、云平台、数据中心平台、数据库集群系统等关键应用系统和网站的网络信息安全情况，及时发现和处理隐患。</w:t>
      </w:r>
    </w:p>
    <w:p w14:paraId="7D8F4949">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实时监测态势感知平台、IDC、WAF、IPS和APT预警平台安全信息并第一时间予以上报和处置；</w:t>
      </w:r>
    </w:p>
    <w:p w14:paraId="67C36E17">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在计划实施较重要的项目（如系统安装、升级、联网、数据迁移、业务合并或拓展等）时，在得到我局通知后积极予以响应，并派相关技术工程师到现场服务。提供新业务系统上线的技术支持服务，确保新业务正常上线。</w:t>
      </w:r>
    </w:p>
    <w:p w14:paraId="48AF6547">
      <w:pPr>
        <w:adjustRightInd w:val="0"/>
        <w:spacing w:line="440" w:lineRule="exact"/>
        <w:ind w:firstLine="440" w:firstLineChars="200"/>
        <w:rPr>
          <w:rFonts w:ascii="宋体" w:cs="Arial"/>
          <w:bCs/>
          <w:color w:val="auto"/>
          <w:kern w:val="0"/>
          <w:sz w:val="22"/>
          <w:szCs w:val="22"/>
          <w:highlight w:val="none"/>
        </w:rPr>
      </w:pPr>
      <w:r>
        <w:rPr>
          <w:rFonts w:hint="eastAsia" w:ascii="宋体" w:cs="Arial"/>
          <w:bCs/>
          <w:color w:val="auto"/>
          <w:kern w:val="0"/>
          <w:sz w:val="22"/>
          <w:szCs w:val="22"/>
          <w:highlight w:val="none"/>
        </w:rPr>
        <w:t>计划实施较重要的项目或新业务上线支持结束后5个工作日内提交服务报告。</w:t>
      </w:r>
    </w:p>
    <w:p w14:paraId="4B88E5DE">
      <w:pPr>
        <w:pStyle w:val="486"/>
        <w:spacing w:line="360" w:lineRule="auto"/>
        <w:ind w:left="400"/>
        <w:rPr>
          <w:rFonts w:ascii="宋体" w:hAnsi="Times New Roman" w:eastAsia="宋体" w:cs="Arial"/>
          <w:bCs/>
          <w:color w:val="auto"/>
          <w:kern w:val="0"/>
          <w:sz w:val="22"/>
          <w:szCs w:val="22"/>
          <w:highlight w:val="none"/>
        </w:rPr>
      </w:pPr>
      <w:r>
        <w:rPr>
          <w:rFonts w:hint="eastAsia" w:ascii="宋体" w:hAnsi="Times New Roman" w:eastAsia="宋体" w:cs="Arial"/>
          <w:bCs/>
          <w:color w:val="auto"/>
          <w:kern w:val="0"/>
          <w:sz w:val="22"/>
          <w:szCs w:val="22"/>
          <w:highlight w:val="none"/>
        </w:rPr>
        <w:t>11. 业务连续性（应急）服务</w:t>
      </w:r>
    </w:p>
    <w:p w14:paraId="02CDF1CD">
      <w:pPr>
        <w:pStyle w:val="486"/>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（1）应急备机服务</w:t>
      </w:r>
      <w:r>
        <w:rPr>
          <w:rFonts w:hint="eastAsia" w:ascii="宋体" w:hAnsi="宋体" w:eastAsia="宋体" w:cs="宋体"/>
          <w:bCs/>
          <w:color w:val="auto"/>
          <w:sz w:val="22"/>
          <w:szCs w:val="22"/>
          <w:highlight w:val="none"/>
        </w:rPr>
        <w:tab/>
      </w:r>
    </w:p>
    <w:p w14:paraId="28EFAFA6">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本地备机：1台堡垒机、1台防火墙、1台千兆三层网络交换机、1台日志审计设备、1台上网行管审计设备和1台WEB防护设备。要求2小时内到用户现场。</w:t>
      </w:r>
    </w:p>
    <w:p w14:paraId="605B3E2A">
      <w:pPr>
        <w:pStyle w:val="486"/>
        <w:spacing w:line="360" w:lineRule="auto"/>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en-US" w:eastAsia="zh-CN"/>
        </w:rPr>
        <w:t>安全集中检测</w:t>
      </w:r>
      <w:r>
        <w:rPr>
          <w:rFonts w:hint="eastAsia" w:ascii="宋体" w:hAnsi="宋体" w:eastAsia="宋体" w:cs="宋体"/>
          <w:bCs/>
          <w:color w:val="auto"/>
          <w:sz w:val="22"/>
          <w:szCs w:val="22"/>
          <w:highlight w:val="none"/>
        </w:rPr>
        <w:t>和应急演练服务：</w:t>
      </w:r>
    </w:p>
    <w:p w14:paraId="506AC96F">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提供全市交通系统网络及信息系统网络</w:t>
      </w:r>
      <w:r>
        <w:rPr>
          <w:rFonts w:hint="eastAsia" w:ascii="宋体" w:hAnsi="宋体" w:eastAsia="宋体" w:cs="宋体"/>
          <w:bCs/>
          <w:color w:val="auto"/>
          <w:sz w:val="22"/>
          <w:szCs w:val="22"/>
          <w:highlight w:val="none"/>
          <w:lang w:val="en-US" w:eastAsia="zh-CN"/>
        </w:rPr>
        <w:t>安全集中检测</w:t>
      </w:r>
      <w:r>
        <w:rPr>
          <w:rFonts w:hint="eastAsia" w:ascii="宋体" w:hAnsi="宋体" w:eastAsia="宋体" w:cs="宋体"/>
          <w:color w:val="auto"/>
          <w:sz w:val="22"/>
          <w:szCs w:val="22"/>
          <w:highlight w:val="none"/>
        </w:rPr>
        <w:t>服务；市局关键系统灾难或故障的应急演练服务，包括数据库集群切换、重要服务器切换、数据库容灾切换和云平台节点切换等。每年</w:t>
      </w:r>
      <w:r>
        <w:rPr>
          <w:rFonts w:hint="eastAsia" w:ascii="宋体" w:hAnsi="宋体" w:eastAsia="宋体" w:cs="宋体"/>
          <w:bCs/>
          <w:color w:val="auto"/>
          <w:sz w:val="22"/>
          <w:szCs w:val="22"/>
          <w:highlight w:val="none"/>
          <w:lang w:val="en-US" w:eastAsia="zh-CN"/>
        </w:rPr>
        <w:t>安全集中检测</w:t>
      </w:r>
      <w:r>
        <w:rPr>
          <w:rFonts w:hint="eastAsia" w:ascii="宋体" w:hAnsi="宋体" w:eastAsia="宋体" w:cs="宋体"/>
          <w:color w:val="auto"/>
          <w:sz w:val="22"/>
          <w:szCs w:val="22"/>
          <w:highlight w:val="none"/>
        </w:rPr>
        <w:t>和应急演练不少于2次并及时更新预案。投标要求结合我局现状提供现场备机（防火墙、堡垒机和网闸）应急切换、关键数据库故障业务连续性（应急）计划。</w:t>
      </w:r>
    </w:p>
    <w:p w14:paraId="27FFD62A">
      <w:pPr>
        <w:pStyle w:val="486"/>
        <w:spacing w:line="360" w:lineRule="auto"/>
        <w:ind w:left="4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12. 系统补丁、漏洞扫描和网络信息安全服务</w:t>
      </w:r>
    </w:p>
    <w:p w14:paraId="440F66F8">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月定期通告最新发现的系统补丁、微码和安全漏洞情况，提供包括Microsoft、ibm、oracle、emc、华为等主流厂商的安全通告；其他应用系统和安全组织的安全通告；以及其他有必要提示的重要安全问题通告，每月定期通告最新的病毒爆发情况和处理方法。</w:t>
      </w:r>
    </w:p>
    <w:p w14:paraId="527708D3">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每月对服务器操作系统安全漏洞、数据库安全漏洞、应用系统安全漏洞等，扫描、分析上述系统的安全漏洞，及时发现安全隐患并要求及时对漏洞进行修复。</w:t>
      </w:r>
    </w:p>
    <w:p w14:paraId="01F2F364">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每月提供硬件原厂商的硬件补丁、微码和漏洞的更新表。扫描和修复结束后10个工作日内提交《漏洞扫描和修复报告》</w:t>
      </w:r>
    </w:p>
    <w:p w14:paraId="5B8EF3EF">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安全扫描加固服务：每季度对温州市交通运输局全网关键业务应用做全面安全扫描及加固，范围包括系统漏洞、应用漏洞、WEB漏洞、配置合规性检查，提供相应评估报告，并协助我局工作人员完成加固整改。</w:t>
      </w:r>
    </w:p>
    <w:p w14:paraId="09333BA1">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新业务上线前安全测试：针对新业务系统进行全面测评，提供相应评估报告，提前完成整改，提高新业务系统上线后安全能力。</w:t>
      </w:r>
    </w:p>
    <w:p w14:paraId="3C3A9F6C">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应急响应服务：提供全年应急响应支撑服务，原厂工程师1小时到现场，4小时定位并提供解决方案，协助温州市交通运输局完成问题处理并提出后续防范措施。</w:t>
      </w:r>
    </w:p>
    <w:p w14:paraId="3E241D3B">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相应服务报表要求见下表：</w:t>
      </w:r>
    </w:p>
    <w:tbl>
      <w:tblPr>
        <w:tblStyle w:val="57"/>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930"/>
        <w:gridCol w:w="4013"/>
        <w:gridCol w:w="1009"/>
      </w:tblGrid>
      <w:tr w14:paraId="138C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7B580D27">
            <w:pPr>
              <w:pStyle w:val="78"/>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3930" w:type="dxa"/>
            <w:shd w:val="clear" w:color="auto" w:fill="auto"/>
            <w:vAlign w:val="center"/>
          </w:tcPr>
          <w:p w14:paraId="5F02D6AA">
            <w:pPr>
              <w:pStyle w:val="78"/>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服务内容</w:t>
            </w:r>
          </w:p>
        </w:tc>
        <w:tc>
          <w:tcPr>
            <w:tcW w:w="4013" w:type="dxa"/>
            <w:shd w:val="clear" w:color="auto" w:fill="auto"/>
            <w:vAlign w:val="center"/>
          </w:tcPr>
          <w:p w14:paraId="746FD625">
            <w:pPr>
              <w:pStyle w:val="78"/>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输出台账</w:t>
            </w:r>
          </w:p>
        </w:tc>
        <w:tc>
          <w:tcPr>
            <w:tcW w:w="1009" w:type="dxa"/>
            <w:shd w:val="clear" w:color="auto" w:fill="auto"/>
            <w:vAlign w:val="center"/>
          </w:tcPr>
          <w:p w14:paraId="1F737B29">
            <w:pPr>
              <w:pStyle w:val="78"/>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0A2A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3068138B">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3930" w:type="dxa"/>
            <w:shd w:val="clear" w:color="auto" w:fill="auto"/>
            <w:vAlign w:val="center"/>
          </w:tcPr>
          <w:p w14:paraId="193BEBE6">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资产管理及基础信息完善工作</w:t>
            </w:r>
          </w:p>
        </w:tc>
        <w:tc>
          <w:tcPr>
            <w:tcW w:w="4013" w:type="dxa"/>
            <w:shd w:val="clear" w:color="auto" w:fill="auto"/>
            <w:vAlign w:val="center"/>
          </w:tcPr>
          <w:p w14:paraId="488C91D9">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资产管理、基础信息台账</w:t>
            </w:r>
          </w:p>
        </w:tc>
        <w:tc>
          <w:tcPr>
            <w:tcW w:w="1009" w:type="dxa"/>
            <w:shd w:val="clear" w:color="auto" w:fill="auto"/>
            <w:vAlign w:val="center"/>
          </w:tcPr>
          <w:p w14:paraId="0B883A70">
            <w:pPr>
              <w:pStyle w:val="78"/>
              <w:rPr>
                <w:rFonts w:ascii="新宋体" w:hAnsi="新宋体" w:eastAsia="新宋体" w:cs="新宋体"/>
                <w:color w:val="auto"/>
                <w:sz w:val="22"/>
                <w:szCs w:val="22"/>
                <w:highlight w:val="none"/>
              </w:rPr>
            </w:pPr>
          </w:p>
        </w:tc>
      </w:tr>
      <w:tr w14:paraId="5BA8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64A0A089">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930" w:type="dxa"/>
            <w:shd w:val="clear" w:color="auto" w:fill="auto"/>
            <w:vAlign w:val="center"/>
          </w:tcPr>
          <w:p w14:paraId="10F34933">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季度巡检与总结服务工作</w:t>
            </w:r>
          </w:p>
        </w:tc>
        <w:tc>
          <w:tcPr>
            <w:tcW w:w="4013" w:type="dxa"/>
            <w:shd w:val="clear" w:color="auto" w:fill="auto"/>
            <w:vAlign w:val="center"/>
          </w:tcPr>
          <w:p w14:paraId="7A508437">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季度巡检报告、年度总结报告</w:t>
            </w:r>
          </w:p>
        </w:tc>
        <w:tc>
          <w:tcPr>
            <w:tcW w:w="1009" w:type="dxa"/>
            <w:shd w:val="clear" w:color="auto" w:fill="auto"/>
            <w:vAlign w:val="center"/>
          </w:tcPr>
          <w:p w14:paraId="0B0053F6">
            <w:pPr>
              <w:pStyle w:val="78"/>
              <w:rPr>
                <w:rFonts w:ascii="新宋体" w:hAnsi="新宋体" w:eastAsia="新宋体" w:cs="新宋体"/>
                <w:color w:val="auto"/>
                <w:sz w:val="22"/>
                <w:szCs w:val="22"/>
                <w:highlight w:val="none"/>
              </w:rPr>
            </w:pPr>
          </w:p>
        </w:tc>
      </w:tr>
      <w:tr w14:paraId="5A4D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236A8AFC">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3930" w:type="dxa"/>
            <w:shd w:val="clear" w:color="auto" w:fill="auto"/>
            <w:vAlign w:val="center"/>
          </w:tcPr>
          <w:p w14:paraId="0B2CFB9A">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数据库运维</w:t>
            </w:r>
          </w:p>
        </w:tc>
        <w:tc>
          <w:tcPr>
            <w:tcW w:w="4013" w:type="dxa"/>
            <w:shd w:val="clear" w:color="auto" w:fill="auto"/>
            <w:vAlign w:val="center"/>
          </w:tcPr>
          <w:p w14:paraId="526271E9">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数据库运维巡检报告</w:t>
            </w:r>
          </w:p>
        </w:tc>
        <w:tc>
          <w:tcPr>
            <w:tcW w:w="1009" w:type="dxa"/>
            <w:shd w:val="clear" w:color="auto" w:fill="auto"/>
            <w:vAlign w:val="center"/>
          </w:tcPr>
          <w:p w14:paraId="1B599CBF">
            <w:pPr>
              <w:pStyle w:val="78"/>
              <w:rPr>
                <w:rFonts w:ascii="新宋体" w:hAnsi="新宋体" w:eastAsia="新宋体" w:cs="新宋体"/>
                <w:color w:val="auto"/>
                <w:sz w:val="22"/>
                <w:szCs w:val="22"/>
                <w:highlight w:val="none"/>
              </w:rPr>
            </w:pPr>
          </w:p>
        </w:tc>
      </w:tr>
      <w:tr w14:paraId="2CDB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1D6C8E8B">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3930" w:type="dxa"/>
            <w:shd w:val="clear" w:color="auto" w:fill="auto"/>
            <w:vAlign w:val="center"/>
          </w:tcPr>
          <w:p w14:paraId="52347356">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日常运维服务</w:t>
            </w:r>
          </w:p>
        </w:tc>
        <w:tc>
          <w:tcPr>
            <w:tcW w:w="4013" w:type="dxa"/>
            <w:shd w:val="clear" w:color="auto" w:fill="auto"/>
            <w:vAlign w:val="center"/>
          </w:tcPr>
          <w:p w14:paraId="0025E3D0">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日常运维服务台账记录</w:t>
            </w:r>
          </w:p>
        </w:tc>
        <w:tc>
          <w:tcPr>
            <w:tcW w:w="1009" w:type="dxa"/>
            <w:shd w:val="clear" w:color="auto" w:fill="auto"/>
            <w:vAlign w:val="center"/>
          </w:tcPr>
          <w:p w14:paraId="55ABAADC">
            <w:pPr>
              <w:pStyle w:val="78"/>
              <w:rPr>
                <w:rFonts w:ascii="新宋体" w:hAnsi="新宋体" w:eastAsia="新宋体" w:cs="新宋体"/>
                <w:color w:val="auto"/>
                <w:sz w:val="22"/>
                <w:szCs w:val="22"/>
                <w:highlight w:val="none"/>
              </w:rPr>
            </w:pPr>
          </w:p>
        </w:tc>
      </w:tr>
      <w:tr w14:paraId="671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0AC78A96">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3930" w:type="dxa"/>
            <w:shd w:val="clear" w:color="auto" w:fill="auto"/>
            <w:vAlign w:val="center"/>
          </w:tcPr>
          <w:p w14:paraId="0CD1EB65">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信息安全风险评估工作</w:t>
            </w:r>
          </w:p>
        </w:tc>
        <w:tc>
          <w:tcPr>
            <w:tcW w:w="4013" w:type="dxa"/>
            <w:shd w:val="clear" w:color="auto" w:fill="auto"/>
            <w:vAlign w:val="center"/>
          </w:tcPr>
          <w:p w14:paraId="6D16AC2D">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风险评估报告</w:t>
            </w:r>
          </w:p>
        </w:tc>
        <w:tc>
          <w:tcPr>
            <w:tcW w:w="1009" w:type="dxa"/>
            <w:shd w:val="clear" w:color="auto" w:fill="auto"/>
            <w:vAlign w:val="center"/>
          </w:tcPr>
          <w:p w14:paraId="2AA83CE9">
            <w:pPr>
              <w:pStyle w:val="78"/>
              <w:rPr>
                <w:rFonts w:ascii="新宋体" w:hAnsi="新宋体" w:eastAsia="新宋体" w:cs="新宋体"/>
                <w:color w:val="auto"/>
                <w:sz w:val="22"/>
                <w:szCs w:val="22"/>
                <w:highlight w:val="none"/>
              </w:rPr>
            </w:pPr>
          </w:p>
        </w:tc>
      </w:tr>
      <w:tr w14:paraId="170B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52D5D7DE">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3930" w:type="dxa"/>
            <w:shd w:val="clear" w:color="auto" w:fill="auto"/>
            <w:vAlign w:val="center"/>
          </w:tcPr>
          <w:p w14:paraId="3E5AA3B1">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安全扫描加固服务工作</w:t>
            </w:r>
          </w:p>
        </w:tc>
        <w:tc>
          <w:tcPr>
            <w:tcW w:w="4013" w:type="dxa"/>
            <w:shd w:val="clear" w:color="auto" w:fill="auto"/>
            <w:vAlign w:val="center"/>
          </w:tcPr>
          <w:p w14:paraId="7BE0B226">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扫描报告、安全加固报告</w:t>
            </w:r>
          </w:p>
        </w:tc>
        <w:tc>
          <w:tcPr>
            <w:tcW w:w="1009" w:type="dxa"/>
            <w:shd w:val="clear" w:color="auto" w:fill="auto"/>
            <w:vAlign w:val="center"/>
          </w:tcPr>
          <w:p w14:paraId="37FC252A">
            <w:pPr>
              <w:pStyle w:val="78"/>
              <w:rPr>
                <w:rFonts w:ascii="新宋体" w:hAnsi="新宋体" w:eastAsia="新宋体" w:cs="新宋体"/>
                <w:color w:val="auto"/>
                <w:sz w:val="22"/>
                <w:szCs w:val="22"/>
                <w:highlight w:val="none"/>
              </w:rPr>
            </w:pPr>
          </w:p>
        </w:tc>
      </w:tr>
      <w:tr w14:paraId="20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75FB18EA">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w:t>
            </w:r>
          </w:p>
        </w:tc>
        <w:tc>
          <w:tcPr>
            <w:tcW w:w="3930" w:type="dxa"/>
            <w:shd w:val="clear" w:color="auto" w:fill="auto"/>
            <w:vAlign w:val="center"/>
          </w:tcPr>
          <w:p w14:paraId="0CC52A78">
            <w:pPr>
              <w:pStyle w:val="78"/>
              <w:rPr>
                <w:rFonts w:hint="default" w:ascii="新宋体" w:hAnsi="新宋体" w:eastAsia="新宋体" w:cs="新宋体"/>
                <w:color w:val="auto"/>
                <w:sz w:val="22"/>
                <w:szCs w:val="22"/>
                <w:highlight w:val="none"/>
                <w:lang w:val="en-US"/>
              </w:rPr>
            </w:pPr>
            <w:r>
              <w:rPr>
                <w:rFonts w:hint="eastAsia" w:ascii="宋体" w:hAnsi="宋体" w:eastAsia="宋体" w:cs="宋体"/>
                <w:bCs/>
                <w:color w:val="auto"/>
                <w:sz w:val="22"/>
                <w:szCs w:val="22"/>
                <w:highlight w:val="none"/>
                <w:lang w:val="en-US" w:eastAsia="zh-CN"/>
              </w:rPr>
              <w:t>安全集中检测</w:t>
            </w:r>
            <w:r>
              <w:rPr>
                <w:rFonts w:hint="eastAsia" w:ascii="宋体" w:hAnsi="宋体" w:cs="宋体"/>
                <w:bCs/>
                <w:color w:val="auto"/>
                <w:sz w:val="22"/>
                <w:szCs w:val="22"/>
                <w:highlight w:val="none"/>
                <w:lang w:val="en-US" w:eastAsia="zh-CN"/>
              </w:rPr>
              <w:t>及漏洞挖掘服务</w:t>
            </w:r>
          </w:p>
        </w:tc>
        <w:tc>
          <w:tcPr>
            <w:tcW w:w="4013" w:type="dxa"/>
            <w:shd w:val="clear" w:color="auto" w:fill="auto"/>
            <w:vAlign w:val="center"/>
          </w:tcPr>
          <w:p w14:paraId="2D0C6BEA">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渗透测试报告</w:t>
            </w:r>
          </w:p>
        </w:tc>
        <w:tc>
          <w:tcPr>
            <w:tcW w:w="1009" w:type="dxa"/>
            <w:shd w:val="clear" w:color="auto" w:fill="auto"/>
            <w:vAlign w:val="center"/>
          </w:tcPr>
          <w:p w14:paraId="202F4C54">
            <w:pPr>
              <w:pStyle w:val="78"/>
              <w:rPr>
                <w:rFonts w:ascii="新宋体" w:hAnsi="新宋体" w:eastAsia="新宋体" w:cs="新宋体"/>
                <w:color w:val="auto"/>
                <w:sz w:val="22"/>
                <w:szCs w:val="22"/>
                <w:highlight w:val="none"/>
              </w:rPr>
            </w:pPr>
          </w:p>
        </w:tc>
      </w:tr>
      <w:tr w14:paraId="4BF8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3DDF2CAA">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p>
        </w:tc>
        <w:tc>
          <w:tcPr>
            <w:tcW w:w="3930" w:type="dxa"/>
            <w:shd w:val="clear" w:color="auto" w:fill="auto"/>
            <w:vAlign w:val="center"/>
          </w:tcPr>
          <w:p w14:paraId="5369DF36">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应急演练工作</w:t>
            </w:r>
          </w:p>
        </w:tc>
        <w:tc>
          <w:tcPr>
            <w:tcW w:w="4013" w:type="dxa"/>
            <w:shd w:val="clear" w:color="auto" w:fill="auto"/>
            <w:vAlign w:val="center"/>
          </w:tcPr>
          <w:p w14:paraId="4C40F381">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应急演练预案、应急演练报告</w:t>
            </w:r>
          </w:p>
        </w:tc>
        <w:tc>
          <w:tcPr>
            <w:tcW w:w="1009" w:type="dxa"/>
            <w:shd w:val="clear" w:color="auto" w:fill="auto"/>
            <w:vAlign w:val="center"/>
          </w:tcPr>
          <w:p w14:paraId="6F47D6AD">
            <w:pPr>
              <w:pStyle w:val="78"/>
              <w:rPr>
                <w:rFonts w:ascii="新宋体" w:hAnsi="新宋体" w:eastAsia="新宋体" w:cs="新宋体"/>
                <w:color w:val="auto"/>
                <w:sz w:val="22"/>
                <w:szCs w:val="22"/>
                <w:highlight w:val="none"/>
              </w:rPr>
            </w:pPr>
          </w:p>
        </w:tc>
      </w:tr>
      <w:tr w14:paraId="427C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31E19BBB">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w:t>
            </w:r>
          </w:p>
        </w:tc>
        <w:tc>
          <w:tcPr>
            <w:tcW w:w="3930" w:type="dxa"/>
            <w:shd w:val="clear" w:color="auto" w:fill="auto"/>
            <w:vAlign w:val="center"/>
          </w:tcPr>
          <w:p w14:paraId="6748BC2A">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安全应急响应工作</w:t>
            </w:r>
          </w:p>
        </w:tc>
        <w:tc>
          <w:tcPr>
            <w:tcW w:w="4013" w:type="dxa"/>
            <w:shd w:val="clear" w:color="auto" w:fill="auto"/>
            <w:vAlign w:val="center"/>
          </w:tcPr>
          <w:p w14:paraId="175A4CE2">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应急响应报告</w:t>
            </w:r>
          </w:p>
        </w:tc>
        <w:tc>
          <w:tcPr>
            <w:tcW w:w="1009" w:type="dxa"/>
            <w:shd w:val="clear" w:color="auto" w:fill="auto"/>
            <w:vAlign w:val="center"/>
          </w:tcPr>
          <w:p w14:paraId="22251B8C">
            <w:pPr>
              <w:pStyle w:val="78"/>
              <w:rPr>
                <w:rFonts w:ascii="新宋体" w:hAnsi="新宋体" w:eastAsia="新宋体" w:cs="新宋体"/>
                <w:color w:val="auto"/>
                <w:sz w:val="22"/>
                <w:szCs w:val="22"/>
                <w:highlight w:val="none"/>
              </w:rPr>
            </w:pPr>
          </w:p>
        </w:tc>
      </w:tr>
      <w:tr w14:paraId="17C7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23EA1F5E">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w:t>
            </w:r>
          </w:p>
        </w:tc>
        <w:tc>
          <w:tcPr>
            <w:tcW w:w="3930" w:type="dxa"/>
            <w:shd w:val="clear" w:color="auto" w:fill="auto"/>
            <w:vAlign w:val="center"/>
          </w:tcPr>
          <w:p w14:paraId="647502F3">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重保值守工作</w:t>
            </w:r>
          </w:p>
        </w:tc>
        <w:tc>
          <w:tcPr>
            <w:tcW w:w="4013" w:type="dxa"/>
            <w:shd w:val="clear" w:color="auto" w:fill="auto"/>
            <w:vAlign w:val="center"/>
          </w:tcPr>
          <w:p w14:paraId="3B40398D">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重保值守记录、重保值守总结报告</w:t>
            </w:r>
          </w:p>
        </w:tc>
        <w:tc>
          <w:tcPr>
            <w:tcW w:w="1009" w:type="dxa"/>
            <w:shd w:val="clear" w:color="auto" w:fill="auto"/>
            <w:vAlign w:val="center"/>
          </w:tcPr>
          <w:p w14:paraId="06638F23">
            <w:pPr>
              <w:pStyle w:val="78"/>
              <w:rPr>
                <w:rFonts w:ascii="新宋体" w:hAnsi="新宋体" w:eastAsia="新宋体" w:cs="新宋体"/>
                <w:color w:val="auto"/>
                <w:sz w:val="22"/>
                <w:szCs w:val="22"/>
                <w:highlight w:val="none"/>
              </w:rPr>
            </w:pPr>
          </w:p>
        </w:tc>
      </w:tr>
      <w:tr w14:paraId="4C81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auto"/>
            <w:vAlign w:val="center"/>
          </w:tcPr>
          <w:p w14:paraId="28F393F9">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w:t>
            </w:r>
          </w:p>
        </w:tc>
        <w:tc>
          <w:tcPr>
            <w:tcW w:w="3930" w:type="dxa"/>
            <w:shd w:val="clear" w:color="auto" w:fill="auto"/>
            <w:vAlign w:val="center"/>
          </w:tcPr>
          <w:p w14:paraId="3C5ACB82">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数据备份工作</w:t>
            </w:r>
          </w:p>
        </w:tc>
        <w:tc>
          <w:tcPr>
            <w:tcW w:w="4013" w:type="dxa"/>
            <w:shd w:val="clear" w:color="auto" w:fill="auto"/>
            <w:vAlign w:val="center"/>
          </w:tcPr>
          <w:p w14:paraId="367FA151">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数据备份台账记录</w:t>
            </w:r>
          </w:p>
        </w:tc>
        <w:tc>
          <w:tcPr>
            <w:tcW w:w="1009" w:type="dxa"/>
            <w:shd w:val="clear" w:color="auto" w:fill="auto"/>
            <w:vAlign w:val="center"/>
          </w:tcPr>
          <w:p w14:paraId="6B9AF277">
            <w:pPr>
              <w:pStyle w:val="78"/>
              <w:rPr>
                <w:rFonts w:ascii="新宋体" w:hAnsi="新宋体" w:eastAsia="新宋体" w:cs="新宋体"/>
                <w:color w:val="auto"/>
                <w:sz w:val="22"/>
                <w:szCs w:val="22"/>
                <w:highlight w:val="none"/>
              </w:rPr>
            </w:pPr>
          </w:p>
        </w:tc>
      </w:tr>
    </w:tbl>
    <w:p w14:paraId="0FDD8FB1">
      <w:pPr>
        <w:pStyle w:val="486"/>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运维服务质量考核：</w:t>
      </w:r>
      <w:r>
        <w:rPr>
          <w:rFonts w:hint="eastAsia" w:ascii="新宋体" w:hAnsi="新宋体" w:eastAsia="新宋体" w:cs="新宋体"/>
          <w:color w:val="auto"/>
          <w:sz w:val="22"/>
          <w:szCs w:val="22"/>
          <w:highlight w:val="none"/>
        </w:rPr>
        <w:t>每月对运维服务质量进行考核，输出运维服务质量考核表，考核表满分为100分，服务考核分数≥95分，支付</w:t>
      </w:r>
      <w:r>
        <w:rPr>
          <w:rFonts w:hint="eastAsia" w:ascii="新宋体" w:hAnsi="新宋体" w:eastAsia="新宋体" w:cs="新宋体"/>
          <w:color w:val="auto"/>
          <w:sz w:val="22"/>
          <w:szCs w:val="22"/>
          <w:highlight w:val="none"/>
          <w:lang w:val="en-US" w:eastAsia="zh-CN"/>
        </w:rPr>
        <w:t>全部</w:t>
      </w:r>
      <w:r>
        <w:rPr>
          <w:rFonts w:hint="eastAsia" w:ascii="新宋体" w:hAnsi="新宋体" w:eastAsia="新宋体" w:cs="新宋体"/>
          <w:color w:val="auto"/>
          <w:sz w:val="22"/>
          <w:szCs w:val="22"/>
          <w:highlight w:val="none"/>
        </w:rPr>
        <w:t>剩余款项；服务考核分数＜95分，每分按照合同金额的千分之一扣款</w:t>
      </w:r>
      <w:r>
        <w:rPr>
          <w:rFonts w:hint="eastAsia" w:ascii="宋体" w:hAnsi="宋体" w:eastAsia="宋体" w:cs="宋体"/>
          <w:color w:val="auto"/>
          <w:sz w:val="22"/>
          <w:szCs w:val="22"/>
          <w:highlight w:val="none"/>
        </w:rPr>
        <w:t>。</w:t>
      </w:r>
    </w:p>
    <w:tbl>
      <w:tblPr>
        <w:tblStyle w:val="57"/>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005"/>
        <w:gridCol w:w="945"/>
        <w:gridCol w:w="1016"/>
      </w:tblGrid>
      <w:tr w14:paraId="3C1B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7883" w:type="dxa"/>
            <w:gridSpan w:val="2"/>
            <w:shd w:val="clear" w:color="auto" w:fill="auto"/>
            <w:vAlign w:val="center"/>
          </w:tcPr>
          <w:p w14:paraId="7DCB2E66">
            <w:pPr>
              <w:jc w:val="center"/>
              <w:rPr>
                <w:rFonts w:ascii="宋体" w:hAnsi="宋体" w:cs="宋体"/>
                <w:b/>
                <w:bCs/>
                <w:color w:val="auto"/>
                <w:position w:val="2"/>
                <w:sz w:val="22"/>
                <w:szCs w:val="22"/>
                <w:highlight w:val="none"/>
              </w:rPr>
            </w:pPr>
            <w:r>
              <w:rPr>
                <w:rFonts w:hint="eastAsia" w:ascii="宋体" w:hAnsi="宋体" w:cs="宋体"/>
                <w:b/>
                <w:bCs/>
                <w:color w:val="auto"/>
                <w:position w:val="2"/>
                <w:sz w:val="22"/>
                <w:szCs w:val="22"/>
                <w:highlight w:val="none"/>
              </w:rPr>
              <w:t>评价内容</w:t>
            </w:r>
          </w:p>
        </w:tc>
        <w:tc>
          <w:tcPr>
            <w:tcW w:w="945" w:type="dxa"/>
            <w:shd w:val="clear" w:color="auto" w:fill="auto"/>
            <w:vAlign w:val="center"/>
          </w:tcPr>
          <w:p w14:paraId="5AC4FA96">
            <w:pPr>
              <w:jc w:val="center"/>
              <w:rPr>
                <w:rFonts w:ascii="宋体" w:hAnsi="宋体" w:cs="宋体"/>
                <w:b/>
                <w:bCs/>
                <w:color w:val="auto"/>
                <w:position w:val="2"/>
                <w:sz w:val="22"/>
                <w:szCs w:val="22"/>
                <w:highlight w:val="none"/>
              </w:rPr>
            </w:pPr>
            <w:r>
              <w:rPr>
                <w:rFonts w:hint="eastAsia" w:ascii="宋体" w:hAnsi="宋体" w:cs="宋体"/>
                <w:b/>
                <w:bCs/>
                <w:color w:val="auto"/>
                <w:position w:val="2"/>
                <w:sz w:val="22"/>
                <w:szCs w:val="22"/>
                <w:highlight w:val="none"/>
              </w:rPr>
              <w:t>分值</w:t>
            </w:r>
          </w:p>
        </w:tc>
        <w:tc>
          <w:tcPr>
            <w:tcW w:w="1016" w:type="dxa"/>
            <w:shd w:val="clear" w:color="auto" w:fill="auto"/>
            <w:vAlign w:val="center"/>
          </w:tcPr>
          <w:p w14:paraId="1C1602B6">
            <w:pPr>
              <w:jc w:val="center"/>
              <w:rPr>
                <w:rFonts w:ascii="宋体" w:hAnsi="宋体" w:cs="宋体"/>
                <w:b/>
                <w:bCs/>
                <w:color w:val="auto"/>
                <w:position w:val="2"/>
                <w:sz w:val="22"/>
                <w:szCs w:val="22"/>
                <w:highlight w:val="none"/>
              </w:rPr>
            </w:pPr>
            <w:r>
              <w:rPr>
                <w:rFonts w:hint="eastAsia" w:ascii="宋体" w:hAnsi="宋体" w:cs="宋体"/>
                <w:b/>
                <w:bCs/>
                <w:color w:val="auto"/>
                <w:position w:val="2"/>
                <w:sz w:val="22"/>
                <w:szCs w:val="22"/>
                <w:highlight w:val="none"/>
              </w:rPr>
              <w:t>得分</w:t>
            </w:r>
          </w:p>
        </w:tc>
      </w:tr>
      <w:tr w14:paraId="10E1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351402C9">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1</w:t>
            </w:r>
          </w:p>
        </w:tc>
        <w:tc>
          <w:tcPr>
            <w:tcW w:w="7005" w:type="dxa"/>
            <w:shd w:val="clear" w:color="auto" w:fill="auto"/>
            <w:vAlign w:val="center"/>
          </w:tcPr>
          <w:p w14:paraId="36F99D28">
            <w:pPr>
              <w:rPr>
                <w:rFonts w:ascii="宋体" w:hAnsi="宋体" w:cs="宋体"/>
                <w:color w:val="auto"/>
                <w:position w:val="2"/>
                <w:sz w:val="22"/>
                <w:szCs w:val="22"/>
                <w:highlight w:val="none"/>
              </w:rPr>
            </w:pPr>
            <w:r>
              <w:rPr>
                <w:rFonts w:hint="eastAsia" w:ascii="宋体" w:hAnsi="宋体" w:cs="宋体"/>
                <w:color w:val="auto"/>
                <w:sz w:val="22"/>
                <w:szCs w:val="22"/>
                <w:highlight w:val="none"/>
              </w:rPr>
              <w:t>是否完成每季度系统巡检并完成系统巡检后均需提供巡检报告，同时按照规定进行故障排除和检修，对系统存在的风险隐患提供合理化方案。</w:t>
            </w:r>
          </w:p>
        </w:tc>
        <w:tc>
          <w:tcPr>
            <w:tcW w:w="945" w:type="dxa"/>
            <w:shd w:val="clear" w:color="auto" w:fill="auto"/>
            <w:vAlign w:val="center"/>
          </w:tcPr>
          <w:p w14:paraId="17545C39">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6FBB8C7C">
            <w:pPr>
              <w:jc w:val="center"/>
              <w:rPr>
                <w:rFonts w:ascii="宋体" w:hAnsi="宋体" w:cs="宋体"/>
                <w:color w:val="auto"/>
                <w:position w:val="2"/>
                <w:sz w:val="22"/>
                <w:szCs w:val="22"/>
                <w:highlight w:val="none"/>
              </w:rPr>
            </w:pPr>
          </w:p>
        </w:tc>
      </w:tr>
      <w:tr w14:paraId="350C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3F23C233">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2</w:t>
            </w:r>
          </w:p>
        </w:tc>
        <w:tc>
          <w:tcPr>
            <w:tcW w:w="7005" w:type="dxa"/>
            <w:shd w:val="clear" w:color="auto" w:fill="auto"/>
            <w:vAlign w:val="center"/>
          </w:tcPr>
          <w:p w14:paraId="67B0B320">
            <w:pPr>
              <w:rPr>
                <w:rFonts w:ascii="宋体" w:hAnsi="宋体" w:cs="宋体"/>
                <w:color w:val="auto"/>
                <w:position w:val="2"/>
                <w:sz w:val="22"/>
                <w:szCs w:val="22"/>
                <w:highlight w:val="none"/>
              </w:rPr>
            </w:pPr>
            <w:r>
              <w:rPr>
                <w:rFonts w:hint="eastAsia" w:ascii="宋体" w:hAnsi="宋体" w:cs="宋体"/>
                <w:color w:val="auto"/>
                <w:sz w:val="22"/>
                <w:szCs w:val="22"/>
                <w:highlight w:val="none"/>
              </w:rPr>
              <w:t>是否制定标准化的维护制度和应急预案，提供法定工作日全时段维护服务。在系统故障时须立即做出响应。</w:t>
            </w:r>
          </w:p>
        </w:tc>
        <w:tc>
          <w:tcPr>
            <w:tcW w:w="945" w:type="dxa"/>
            <w:shd w:val="clear" w:color="auto" w:fill="auto"/>
            <w:vAlign w:val="center"/>
          </w:tcPr>
          <w:p w14:paraId="0756FB96">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794E8322">
            <w:pPr>
              <w:jc w:val="center"/>
              <w:rPr>
                <w:rFonts w:ascii="宋体" w:hAnsi="宋体" w:cs="宋体"/>
                <w:color w:val="auto"/>
                <w:position w:val="2"/>
                <w:sz w:val="22"/>
                <w:szCs w:val="22"/>
                <w:highlight w:val="none"/>
              </w:rPr>
            </w:pPr>
          </w:p>
        </w:tc>
      </w:tr>
      <w:tr w14:paraId="3F77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35C20DE7">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3</w:t>
            </w:r>
          </w:p>
        </w:tc>
        <w:tc>
          <w:tcPr>
            <w:tcW w:w="7005" w:type="dxa"/>
            <w:shd w:val="clear" w:color="auto" w:fill="auto"/>
            <w:vAlign w:val="center"/>
          </w:tcPr>
          <w:p w14:paraId="334692F1">
            <w:pPr>
              <w:rPr>
                <w:rFonts w:ascii="宋体" w:hAnsi="宋体" w:cs="宋体"/>
                <w:color w:val="auto"/>
                <w:sz w:val="22"/>
                <w:szCs w:val="22"/>
                <w:highlight w:val="none"/>
              </w:rPr>
            </w:pPr>
            <w:r>
              <w:rPr>
                <w:rFonts w:hint="eastAsia" w:ascii="宋体" w:hAnsi="宋体" w:cs="宋体"/>
                <w:color w:val="auto"/>
                <w:sz w:val="22"/>
                <w:szCs w:val="22"/>
                <w:highlight w:val="none"/>
              </w:rPr>
              <w:t>是否根据设备巡检规范要求，负责网络的日常巡检及维护工作。</w:t>
            </w:r>
          </w:p>
        </w:tc>
        <w:tc>
          <w:tcPr>
            <w:tcW w:w="945" w:type="dxa"/>
            <w:shd w:val="clear" w:color="auto" w:fill="auto"/>
            <w:vAlign w:val="center"/>
          </w:tcPr>
          <w:p w14:paraId="19FEC204">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47B7CD31">
            <w:pPr>
              <w:jc w:val="center"/>
              <w:rPr>
                <w:rFonts w:ascii="宋体" w:hAnsi="宋体" w:cs="宋体"/>
                <w:color w:val="auto"/>
                <w:sz w:val="22"/>
                <w:szCs w:val="22"/>
                <w:highlight w:val="none"/>
              </w:rPr>
            </w:pPr>
          </w:p>
        </w:tc>
      </w:tr>
      <w:tr w14:paraId="59EF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4C4F53C2">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4</w:t>
            </w:r>
          </w:p>
        </w:tc>
        <w:tc>
          <w:tcPr>
            <w:tcW w:w="7005" w:type="dxa"/>
            <w:shd w:val="clear" w:color="auto" w:fill="auto"/>
            <w:vAlign w:val="center"/>
          </w:tcPr>
          <w:p w14:paraId="1DB49589">
            <w:pPr>
              <w:rPr>
                <w:rFonts w:ascii="宋体" w:hAnsi="宋体" w:cs="宋体"/>
                <w:color w:val="auto"/>
                <w:sz w:val="22"/>
                <w:szCs w:val="22"/>
                <w:highlight w:val="none"/>
              </w:rPr>
            </w:pPr>
            <w:r>
              <w:rPr>
                <w:rFonts w:hint="eastAsia" w:ascii="宋体" w:hAnsi="宋体" w:cs="宋体"/>
                <w:color w:val="auto"/>
                <w:sz w:val="22"/>
                <w:szCs w:val="22"/>
                <w:highlight w:val="none"/>
              </w:rPr>
              <w:t>是否保障网络系统安全稳定运行，对进行日常维护，根据业务需要对网络进行适应性调整，协助其他部门处理相关网络问题。</w:t>
            </w:r>
          </w:p>
        </w:tc>
        <w:tc>
          <w:tcPr>
            <w:tcW w:w="945" w:type="dxa"/>
            <w:shd w:val="clear" w:color="auto" w:fill="auto"/>
            <w:vAlign w:val="center"/>
          </w:tcPr>
          <w:p w14:paraId="4B0E3DC3">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73799FF6">
            <w:pPr>
              <w:jc w:val="center"/>
              <w:rPr>
                <w:rFonts w:ascii="宋体" w:hAnsi="宋体" w:cs="宋体"/>
                <w:color w:val="auto"/>
                <w:sz w:val="22"/>
                <w:szCs w:val="22"/>
                <w:highlight w:val="none"/>
              </w:rPr>
            </w:pPr>
          </w:p>
        </w:tc>
      </w:tr>
      <w:tr w14:paraId="312E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1AA5DDAB">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5</w:t>
            </w:r>
          </w:p>
        </w:tc>
        <w:tc>
          <w:tcPr>
            <w:tcW w:w="7005" w:type="dxa"/>
            <w:shd w:val="clear" w:color="auto" w:fill="auto"/>
            <w:vAlign w:val="center"/>
          </w:tcPr>
          <w:p w14:paraId="2A9AEA3F">
            <w:pPr>
              <w:rPr>
                <w:rFonts w:ascii="宋体" w:hAnsi="宋体" w:cs="宋体"/>
                <w:color w:val="auto"/>
                <w:sz w:val="22"/>
                <w:szCs w:val="22"/>
                <w:highlight w:val="none"/>
              </w:rPr>
            </w:pPr>
            <w:r>
              <w:rPr>
                <w:rFonts w:hint="eastAsia" w:ascii="宋体" w:hAnsi="宋体" w:cs="宋体"/>
                <w:color w:val="auto"/>
                <w:sz w:val="22"/>
                <w:szCs w:val="22"/>
                <w:highlight w:val="none"/>
              </w:rPr>
              <w:t>是否负责对主机房及其附属机房、楼层弱电间所有信息化相关设备做日常维护、功能调整、故障诊断及系统性能维护。</w:t>
            </w:r>
          </w:p>
        </w:tc>
        <w:tc>
          <w:tcPr>
            <w:tcW w:w="945" w:type="dxa"/>
            <w:shd w:val="clear" w:color="auto" w:fill="auto"/>
            <w:vAlign w:val="center"/>
          </w:tcPr>
          <w:p w14:paraId="12075D19">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19444F07">
            <w:pPr>
              <w:jc w:val="center"/>
              <w:rPr>
                <w:rFonts w:ascii="宋体" w:hAnsi="宋体" w:cs="宋体"/>
                <w:color w:val="auto"/>
                <w:sz w:val="22"/>
                <w:szCs w:val="22"/>
                <w:highlight w:val="none"/>
              </w:rPr>
            </w:pPr>
          </w:p>
        </w:tc>
      </w:tr>
      <w:tr w14:paraId="372B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762E91B8">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6</w:t>
            </w:r>
          </w:p>
        </w:tc>
        <w:tc>
          <w:tcPr>
            <w:tcW w:w="7005" w:type="dxa"/>
            <w:shd w:val="clear" w:color="auto" w:fill="auto"/>
            <w:vAlign w:val="center"/>
          </w:tcPr>
          <w:p w14:paraId="7888BF11">
            <w:pPr>
              <w:rPr>
                <w:rFonts w:ascii="宋体" w:hAnsi="宋体" w:cs="宋体"/>
                <w:color w:val="auto"/>
                <w:sz w:val="22"/>
                <w:szCs w:val="22"/>
                <w:highlight w:val="none"/>
              </w:rPr>
            </w:pPr>
            <w:r>
              <w:rPr>
                <w:rFonts w:hint="eastAsia" w:ascii="宋体" w:hAnsi="宋体" w:cs="宋体"/>
                <w:color w:val="auto"/>
                <w:sz w:val="22"/>
                <w:szCs w:val="22"/>
                <w:highlight w:val="none"/>
              </w:rPr>
              <w:t>是否保障系统安全运行，协助做好信息系统主机层、系统层、应用层、制度层安全工作。</w:t>
            </w:r>
          </w:p>
        </w:tc>
        <w:tc>
          <w:tcPr>
            <w:tcW w:w="945" w:type="dxa"/>
            <w:shd w:val="clear" w:color="auto" w:fill="auto"/>
            <w:vAlign w:val="center"/>
          </w:tcPr>
          <w:p w14:paraId="13A16B28">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6299EFBE">
            <w:pPr>
              <w:jc w:val="center"/>
              <w:rPr>
                <w:rFonts w:ascii="宋体" w:hAnsi="宋体" w:cs="宋体"/>
                <w:color w:val="auto"/>
                <w:sz w:val="22"/>
                <w:szCs w:val="22"/>
                <w:highlight w:val="none"/>
              </w:rPr>
            </w:pPr>
          </w:p>
        </w:tc>
      </w:tr>
      <w:tr w14:paraId="674B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044E64FB">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7</w:t>
            </w:r>
          </w:p>
        </w:tc>
        <w:tc>
          <w:tcPr>
            <w:tcW w:w="7005" w:type="dxa"/>
            <w:shd w:val="clear" w:color="auto" w:fill="auto"/>
            <w:vAlign w:val="center"/>
          </w:tcPr>
          <w:p w14:paraId="48774DF6">
            <w:pPr>
              <w:rPr>
                <w:rFonts w:ascii="宋体" w:hAnsi="宋体" w:cs="宋体"/>
                <w:color w:val="auto"/>
                <w:sz w:val="22"/>
                <w:szCs w:val="22"/>
                <w:highlight w:val="none"/>
              </w:rPr>
            </w:pPr>
            <w:r>
              <w:rPr>
                <w:rFonts w:hint="eastAsia" w:ascii="宋体" w:hAnsi="宋体" w:cs="宋体"/>
                <w:color w:val="auto"/>
                <w:sz w:val="22"/>
                <w:szCs w:val="22"/>
                <w:highlight w:val="none"/>
              </w:rPr>
              <w:t>是否做好网络安全运维应急处理工作，在甲方网络发生故障时，接到甲方技术需求后须立即做出回应及处理。</w:t>
            </w:r>
          </w:p>
        </w:tc>
        <w:tc>
          <w:tcPr>
            <w:tcW w:w="945" w:type="dxa"/>
            <w:shd w:val="clear" w:color="auto" w:fill="auto"/>
            <w:vAlign w:val="center"/>
          </w:tcPr>
          <w:p w14:paraId="199C82DA">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1EE6C8CA">
            <w:pPr>
              <w:jc w:val="center"/>
              <w:rPr>
                <w:rFonts w:ascii="宋体" w:hAnsi="宋体" w:cs="宋体"/>
                <w:color w:val="auto"/>
                <w:sz w:val="22"/>
                <w:szCs w:val="22"/>
                <w:highlight w:val="none"/>
              </w:rPr>
            </w:pPr>
          </w:p>
        </w:tc>
      </w:tr>
      <w:tr w14:paraId="0AA7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3AE3011A">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8</w:t>
            </w:r>
          </w:p>
        </w:tc>
        <w:tc>
          <w:tcPr>
            <w:tcW w:w="7005" w:type="dxa"/>
            <w:shd w:val="clear" w:color="auto" w:fill="auto"/>
            <w:vAlign w:val="center"/>
          </w:tcPr>
          <w:p w14:paraId="4DD17D6E">
            <w:pPr>
              <w:rPr>
                <w:rFonts w:ascii="宋体" w:hAnsi="宋体" w:cs="宋体"/>
                <w:color w:val="auto"/>
                <w:sz w:val="22"/>
                <w:szCs w:val="22"/>
                <w:highlight w:val="none"/>
              </w:rPr>
            </w:pPr>
            <w:r>
              <w:rPr>
                <w:rFonts w:hint="eastAsia" w:ascii="宋体" w:hAnsi="宋体" w:cs="宋体"/>
                <w:color w:val="auto"/>
                <w:sz w:val="22"/>
                <w:szCs w:val="22"/>
                <w:highlight w:val="none"/>
              </w:rPr>
              <w:t>是否协助做好文档台账的处理归档工作。</w:t>
            </w:r>
          </w:p>
        </w:tc>
        <w:tc>
          <w:tcPr>
            <w:tcW w:w="945" w:type="dxa"/>
            <w:shd w:val="clear" w:color="auto" w:fill="auto"/>
            <w:vAlign w:val="center"/>
          </w:tcPr>
          <w:p w14:paraId="5687BE44">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14225C43">
            <w:pPr>
              <w:jc w:val="center"/>
              <w:rPr>
                <w:rFonts w:ascii="宋体" w:hAnsi="宋体" w:cs="宋体"/>
                <w:color w:val="auto"/>
                <w:sz w:val="22"/>
                <w:szCs w:val="22"/>
                <w:highlight w:val="none"/>
              </w:rPr>
            </w:pPr>
          </w:p>
        </w:tc>
      </w:tr>
      <w:tr w14:paraId="3340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shd w:val="clear" w:color="auto" w:fill="auto"/>
            <w:vAlign w:val="center"/>
          </w:tcPr>
          <w:p w14:paraId="402253E6">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9</w:t>
            </w:r>
          </w:p>
        </w:tc>
        <w:tc>
          <w:tcPr>
            <w:tcW w:w="7005" w:type="dxa"/>
            <w:shd w:val="clear" w:color="auto" w:fill="auto"/>
            <w:vAlign w:val="center"/>
          </w:tcPr>
          <w:p w14:paraId="622A749F">
            <w:pPr>
              <w:rPr>
                <w:rFonts w:ascii="宋体" w:hAnsi="宋体" w:cs="宋体"/>
                <w:color w:val="auto"/>
                <w:sz w:val="22"/>
                <w:szCs w:val="22"/>
                <w:highlight w:val="none"/>
              </w:rPr>
            </w:pPr>
            <w:r>
              <w:rPr>
                <w:rFonts w:hint="eastAsia" w:ascii="宋体" w:hAnsi="宋体" w:cs="宋体"/>
                <w:color w:val="auto"/>
                <w:sz w:val="22"/>
                <w:szCs w:val="22"/>
                <w:highlight w:val="none"/>
              </w:rPr>
              <w:t>是否做好网络线缆整理、标记制作、机房设备清洁除尘、网络信息点故障修复、设备连接线接触故障修复等。</w:t>
            </w:r>
          </w:p>
        </w:tc>
        <w:tc>
          <w:tcPr>
            <w:tcW w:w="945" w:type="dxa"/>
            <w:shd w:val="clear" w:color="auto" w:fill="auto"/>
            <w:vAlign w:val="center"/>
          </w:tcPr>
          <w:p w14:paraId="0575839B">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0436D055">
            <w:pPr>
              <w:jc w:val="center"/>
              <w:rPr>
                <w:rFonts w:ascii="宋体" w:hAnsi="宋体" w:cs="宋体"/>
                <w:color w:val="auto"/>
                <w:sz w:val="22"/>
                <w:szCs w:val="22"/>
                <w:highlight w:val="none"/>
              </w:rPr>
            </w:pPr>
          </w:p>
        </w:tc>
      </w:tr>
      <w:tr w14:paraId="48D5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78" w:type="dxa"/>
            <w:shd w:val="clear" w:color="auto" w:fill="auto"/>
            <w:vAlign w:val="center"/>
          </w:tcPr>
          <w:p w14:paraId="7CB8256A">
            <w:pPr>
              <w:jc w:val="center"/>
              <w:rPr>
                <w:rFonts w:ascii="宋体" w:hAnsi="宋体" w:cs="宋体"/>
                <w:color w:val="auto"/>
                <w:position w:val="2"/>
                <w:sz w:val="22"/>
                <w:szCs w:val="22"/>
                <w:highlight w:val="none"/>
              </w:rPr>
            </w:pPr>
            <w:r>
              <w:rPr>
                <w:rFonts w:hint="eastAsia" w:ascii="宋体" w:hAnsi="宋体" w:cs="宋体"/>
                <w:color w:val="auto"/>
                <w:position w:val="2"/>
                <w:sz w:val="22"/>
                <w:szCs w:val="22"/>
                <w:highlight w:val="none"/>
              </w:rPr>
              <w:t>10</w:t>
            </w:r>
          </w:p>
        </w:tc>
        <w:tc>
          <w:tcPr>
            <w:tcW w:w="7005" w:type="dxa"/>
            <w:shd w:val="clear" w:color="auto" w:fill="auto"/>
            <w:vAlign w:val="center"/>
          </w:tcPr>
          <w:p w14:paraId="724BFB57">
            <w:pPr>
              <w:rPr>
                <w:rFonts w:ascii="宋体" w:hAnsi="宋体" w:cs="宋体"/>
                <w:color w:val="auto"/>
                <w:sz w:val="22"/>
                <w:szCs w:val="22"/>
                <w:highlight w:val="none"/>
              </w:rPr>
            </w:pPr>
            <w:r>
              <w:rPr>
                <w:rFonts w:hint="eastAsia" w:ascii="宋体" w:hAnsi="宋体" w:cs="宋体"/>
                <w:color w:val="auto"/>
                <w:sz w:val="22"/>
                <w:szCs w:val="22"/>
                <w:highlight w:val="none"/>
              </w:rPr>
              <w:t>在服务过程中是否态度端正，是否获得用户表扬或投诉，是否</w:t>
            </w:r>
            <w:r>
              <w:rPr>
                <w:rFonts w:hint="eastAsia" w:ascii="宋体" w:hAnsi="宋体" w:cs="宋体"/>
                <w:bCs/>
                <w:color w:val="auto"/>
                <w:sz w:val="22"/>
                <w:szCs w:val="22"/>
                <w:highlight w:val="none"/>
              </w:rPr>
              <w:t>做好相关信息数据保密工作，是否存在其他不良行为。</w:t>
            </w:r>
          </w:p>
        </w:tc>
        <w:tc>
          <w:tcPr>
            <w:tcW w:w="945" w:type="dxa"/>
            <w:shd w:val="clear" w:color="auto" w:fill="auto"/>
            <w:vAlign w:val="center"/>
          </w:tcPr>
          <w:p w14:paraId="1EB8A9DB">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016" w:type="dxa"/>
            <w:shd w:val="clear" w:color="auto" w:fill="auto"/>
            <w:vAlign w:val="center"/>
          </w:tcPr>
          <w:p w14:paraId="786600CE">
            <w:pPr>
              <w:jc w:val="center"/>
              <w:rPr>
                <w:rFonts w:ascii="宋体" w:hAnsi="宋体" w:cs="宋体"/>
                <w:color w:val="auto"/>
                <w:sz w:val="22"/>
                <w:szCs w:val="22"/>
                <w:highlight w:val="none"/>
              </w:rPr>
            </w:pPr>
          </w:p>
        </w:tc>
      </w:tr>
      <w:tr w14:paraId="678C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28" w:type="dxa"/>
            <w:gridSpan w:val="3"/>
            <w:shd w:val="clear" w:color="auto" w:fill="auto"/>
            <w:vAlign w:val="center"/>
          </w:tcPr>
          <w:p w14:paraId="486F0C11">
            <w:pPr>
              <w:jc w:val="center"/>
              <w:rPr>
                <w:rFonts w:ascii="宋体" w:hAnsi="宋体" w:cs="宋体"/>
                <w:color w:val="auto"/>
                <w:sz w:val="22"/>
                <w:szCs w:val="22"/>
                <w:highlight w:val="none"/>
              </w:rPr>
            </w:pPr>
            <w:r>
              <w:rPr>
                <w:rFonts w:hint="eastAsia" w:ascii="宋体" w:hAnsi="宋体" w:cs="宋体"/>
                <w:b/>
                <w:bCs/>
                <w:color w:val="auto"/>
                <w:position w:val="2"/>
                <w:sz w:val="22"/>
                <w:szCs w:val="22"/>
                <w:highlight w:val="none"/>
              </w:rPr>
              <w:t>合计</w:t>
            </w:r>
          </w:p>
        </w:tc>
        <w:tc>
          <w:tcPr>
            <w:tcW w:w="1016" w:type="dxa"/>
            <w:shd w:val="clear" w:color="auto" w:fill="auto"/>
            <w:vAlign w:val="center"/>
          </w:tcPr>
          <w:p w14:paraId="76C906CB">
            <w:pPr>
              <w:jc w:val="center"/>
              <w:rPr>
                <w:rFonts w:ascii="宋体" w:hAnsi="宋体" w:cs="宋体"/>
                <w:color w:val="auto"/>
                <w:sz w:val="22"/>
                <w:szCs w:val="22"/>
                <w:highlight w:val="none"/>
              </w:rPr>
            </w:pPr>
          </w:p>
        </w:tc>
      </w:tr>
      <w:tr w14:paraId="40B6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44" w:type="dxa"/>
            <w:gridSpan w:val="4"/>
            <w:shd w:val="clear" w:color="auto" w:fill="auto"/>
            <w:vAlign w:val="center"/>
          </w:tcPr>
          <w:p w14:paraId="5A02D498">
            <w:pPr>
              <w:rPr>
                <w:rFonts w:ascii="宋体" w:hAnsi="宋体" w:cs="宋体"/>
                <w:color w:val="auto"/>
                <w:sz w:val="22"/>
                <w:szCs w:val="22"/>
                <w:highlight w:val="none"/>
              </w:rPr>
            </w:pPr>
            <w:r>
              <w:rPr>
                <w:rFonts w:hint="eastAsia" w:ascii="宋体" w:hAnsi="宋体" w:cs="宋体"/>
                <w:b/>
                <w:bCs/>
                <w:color w:val="auto"/>
                <w:position w:val="2"/>
                <w:sz w:val="22"/>
                <w:szCs w:val="22"/>
                <w:highlight w:val="none"/>
              </w:rPr>
              <w:t>评分人（签字）：</w:t>
            </w:r>
          </w:p>
        </w:tc>
      </w:tr>
    </w:tbl>
    <w:p w14:paraId="2F8A6CC9">
      <w:pPr>
        <w:pStyle w:val="78"/>
        <w:rPr>
          <w:color w:val="auto"/>
          <w:sz w:val="22"/>
          <w:szCs w:val="22"/>
          <w:highlight w:val="none"/>
        </w:rPr>
      </w:pPr>
    </w:p>
    <w:p w14:paraId="28DCB31F">
      <w:pPr>
        <w:rPr>
          <w:rFonts w:ascii="宋体" w:hAnsi="宋体" w:cs="宋体"/>
          <w:b/>
          <w:bCs/>
          <w:color w:val="auto"/>
          <w:sz w:val="22"/>
          <w:szCs w:val="22"/>
          <w:highlight w:val="none"/>
        </w:rPr>
      </w:pPr>
      <w:bookmarkStart w:id="124" w:name="_Toc25082544"/>
      <w:bookmarkStart w:id="125" w:name="_Toc413943564"/>
      <w:r>
        <w:rPr>
          <w:rFonts w:hint="eastAsia" w:ascii="宋体" w:hAnsi="宋体" w:cs="宋体"/>
          <w:b/>
          <w:bCs/>
          <w:color w:val="auto"/>
          <w:sz w:val="22"/>
          <w:szCs w:val="22"/>
          <w:highlight w:val="none"/>
          <w:lang w:val="en-US" w:eastAsia="zh-CN"/>
        </w:rPr>
        <w:t>5</w:t>
      </w:r>
      <w:r>
        <w:rPr>
          <w:rFonts w:hint="eastAsia" w:ascii="宋体" w:hAnsi="宋体" w:cs="宋体"/>
          <w:b/>
          <w:bCs/>
          <w:color w:val="auto"/>
          <w:sz w:val="22"/>
          <w:szCs w:val="22"/>
          <w:highlight w:val="none"/>
        </w:rPr>
        <w:t>、机房运行维护机构及技术力量的要求及规范</w:t>
      </w:r>
      <w:bookmarkEnd w:id="124"/>
      <w:bookmarkEnd w:id="125"/>
    </w:p>
    <w:p w14:paraId="5E25C189">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在运营维护及管理期间</w:t>
      </w:r>
      <w:r>
        <w:rPr>
          <w:rFonts w:hint="eastAsia" w:ascii="宋体" w:hAnsi="宋体" w:cs="宋体"/>
          <w:color w:val="auto"/>
          <w:sz w:val="22"/>
          <w:szCs w:val="22"/>
          <w:highlight w:val="none"/>
        </w:rPr>
        <w:t>中标单位</w:t>
      </w:r>
      <w:r>
        <w:rPr>
          <w:rFonts w:hint="eastAsia" w:ascii="宋体" w:cs="Arial"/>
          <w:bCs/>
          <w:color w:val="auto"/>
          <w:kern w:val="0"/>
          <w:sz w:val="22"/>
          <w:szCs w:val="22"/>
          <w:highlight w:val="none"/>
        </w:rPr>
        <w:t>必须遵守国家的有关法律、法规及其他规定，本着为采购人负责的精神，依照规范，科学管理，使各系统运行达到采购人要求的技术标准和要求。</w:t>
      </w:r>
    </w:p>
    <w:p w14:paraId="20C8B973">
      <w:pPr>
        <w:adjustRightInd w:val="0"/>
        <w:spacing w:line="440" w:lineRule="exact"/>
        <w:ind w:firstLine="440" w:firstLineChars="200"/>
        <w:rPr>
          <w:rFonts w:ascii="宋体" w:cs="Arial"/>
          <w:bCs/>
          <w:color w:val="auto"/>
          <w:sz w:val="22"/>
          <w:szCs w:val="22"/>
          <w:highlight w:val="none"/>
        </w:rPr>
      </w:pPr>
      <w:r>
        <w:rPr>
          <w:rFonts w:hint="eastAsia" w:ascii="宋体" w:hAnsi="宋体" w:cs="宋体"/>
          <w:color w:val="auto"/>
          <w:sz w:val="22"/>
          <w:szCs w:val="22"/>
          <w:highlight w:val="none"/>
        </w:rPr>
        <w:t>中标单位</w:t>
      </w:r>
      <w:r>
        <w:rPr>
          <w:rFonts w:hint="eastAsia" w:ascii="宋体" w:cs="Arial"/>
          <w:bCs/>
          <w:color w:val="auto"/>
          <w:kern w:val="0"/>
          <w:sz w:val="22"/>
          <w:szCs w:val="22"/>
          <w:highlight w:val="none"/>
        </w:rPr>
        <w:t>任何更换或调整常驻技术人员的行为应事先提前征求采购人意见，在征得采购人同意后方可更换、调整。若采购人发现常驻技术人员不合格，有权要求更换技术人员，</w:t>
      </w:r>
      <w:r>
        <w:rPr>
          <w:rFonts w:hint="eastAsia" w:ascii="宋体" w:hAnsi="宋体" w:cs="宋体"/>
          <w:color w:val="auto"/>
          <w:sz w:val="22"/>
          <w:szCs w:val="22"/>
          <w:highlight w:val="none"/>
        </w:rPr>
        <w:t>中标单位</w:t>
      </w:r>
      <w:r>
        <w:rPr>
          <w:rFonts w:hint="eastAsia" w:ascii="宋体" w:cs="Arial"/>
          <w:bCs/>
          <w:color w:val="auto"/>
          <w:kern w:val="0"/>
          <w:sz w:val="22"/>
          <w:szCs w:val="22"/>
          <w:highlight w:val="none"/>
        </w:rPr>
        <w:t>应在收到采购人的书面通知7个日历日内完成技术人员的更换。</w:t>
      </w:r>
    </w:p>
    <w:p w14:paraId="4C5E114D">
      <w:pPr>
        <w:adjustRightInd w:val="0"/>
        <w:spacing w:line="440" w:lineRule="exact"/>
        <w:ind w:firstLine="440" w:firstLineChars="200"/>
        <w:rPr>
          <w:rFonts w:ascii="宋体" w:cs="Arial"/>
          <w:bCs/>
          <w:color w:val="auto"/>
          <w:sz w:val="22"/>
          <w:szCs w:val="22"/>
          <w:highlight w:val="none"/>
        </w:rPr>
      </w:pPr>
      <w:r>
        <w:rPr>
          <w:rFonts w:hint="eastAsia" w:ascii="宋体" w:hAnsi="宋体" w:cs="宋体"/>
          <w:color w:val="auto"/>
          <w:sz w:val="22"/>
          <w:szCs w:val="22"/>
          <w:highlight w:val="none"/>
        </w:rPr>
        <w:t>中标单位</w:t>
      </w:r>
      <w:r>
        <w:rPr>
          <w:rFonts w:hint="eastAsia" w:ascii="宋体" w:cs="Arial"/>
          <w:bCs/>
          <w:color w:val="auto"/>
          <w:kern w:val="0"/>
          <w:sz w:val="22"/>
          <w:szCs w:val="22"/>
          <w:highlight w:val="none"/>
        </w:rPr>
        <w:t>要加强技术人员的管理与培训，并保证常驻技术人员的稳定性，未经采购人允许不得擅自更换从事核心技术服务的人员。</w:t>
      </w:r>
    </w:p>
    <w:p w14:paraId="59F579EE">
      <w:pPr>
        <w:adjustRightInd w:val="0"/>
        <w:spacing w:line="440" w:lineRule="exact"/>
        <w:ind w:firstLine="440" w:firstLineChars="200"/>
        <w:rPr>
          <w:rFonts w:ascii="宋体" w:cs="Arial"/>
          <w:bCs/>
          <w:color w:val="auto"/>
          <w:sz w:val="22"/>
          <w:szCs w:val="22"/>
          <w:highlight w:val="none"/>
        </w:rPr>
      </w:pPr>
      <w:r>
        <w:rPr>
          <w:rFonts w:hint="eastAsia" w:ascii="宋体" w:hAnsi="宋体" w:cs="宋体"/>
          <w:color w:val="auto"/>
          <w:sz w:val="22"/>
          <w:szCs w:val="22"/>
          <w:highlight w:val="none"/>
        </w:rPr>
        <w:t>中标单位</w:t>
      </w:r>
      <w:r>
        <w:rPr>
          <w:rFonts w:hint="eastAsia" w:ascii="宋体" w:cs="Arial"/>
          <w:bCs/>
          <w:color w:val="auto"/>
          <w:kern w:val="0"/>
          <w:sz w:val="22"/>
          <w:szCs w:val="22"/>
          <w:highlight w:val="none"/>
        </w:rPr>
        <w:t>要制定适合采购人技术服务工作特点的详细的工作服务流程与方案，经采购人同意后实施。常驻技术人员参照项目团队管理模式，设立负责人。</w:t>
      </w:r>
    </w:p>
    <w:p w14:paraId="01A2B348">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运维及管理期间，中标单位应严格按照采购人制订的操作规范和规章制度，对所管理的系统及设备进行规范操作和精心维护及必要维修，保证系统及设备的正常运行，达到采购人提出的系统及设备的考核指标要求。中标单位必须接受采购人的定期或不定期检查和考核。</w:t>
      </w:r>
    </w:p>
    <w:p w14:paraId="6024F6E5">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不论何时，中标单位必须做好相关信息数据保密工作，承担保密责任。未经允许不得对外透露采购人相关的设备、网络及系统的信息，未经允许不得复制与工作相关的数据与信息，不得以任何方式和渠道向外界传递、泄露、披露任何信息数据。</w:t>
      </w:r>
    </w:p>
    <w:p w14:paraId="22849878">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机房运维项目实施要求</w:t>
      </w:r>
    </w:p>
    <w:p w14:paraId="7EE786A0">
      <w:pPr>
        <w:adjustRightInd w:val="0"/>
        <w:spacing w:line="440" w:lineRule="exact"/>
        <w:ind w:firstLine="440" w:firstLineChars="200"/>
        <w:rPr>
          <w:rFonts w:ascii="宋体" w:cs="Arial"/>
          <w:bCs/>
          <w:color w:val="auto"/>
          <w:sz w:val="22"/>
          <w:szCs w:val="22"/>
          <w:highlight w:val="none"/>
        </w:rPr>
      </w:pPr>
      <w:r>
        <w:rPr>
          <w:rFonts w:hint="eastAsia" w:ascii="宋体" w:cs="Arial"/>
          <w:bCs/>
          <w:color w:val="auto"/>
          <w:kern w:val="0"/>
          <w:sz w:val="22"/>
          <w:szCs w:val="22"/>
          <w:highlight w:val="none"/>
        </w:rPr>
        <w:t>中标单位必须在投标书中阐明项目运维管理计划；提供项目运维组成员名单、职务、学历、经历，参与人员名单。</w:t>
      </w:r>
    </w:p>
    <w:p w14:paraId="025D2440">
      <w:pPr>
        <w:adjustRightInd w:val="0"/>
        <w:spacing w:line="440" w:lineRule="exact"/>
        <w:ind w:firstLine="440" w:firstLineChars="200"/>
        <w:rPr>
          <w:rFonts w:hint="eastAsia" w:ascii="宋体" w:cs="Arial"/>
          <w:bCs/>
          <w:color w:val="auto"/>
          <w:kern w:val="0"/>
          <w:sz w:val="22"/>
          <w:szCs w:val="22"/>
          <w:highlight w:val="none"/>
        </w:rPr>
      </w:pPr>
      <w:r>
        <w:rPr>
          <w:rFonts w:hint="eastAsia" w:ascii="宋体" w:cs="Arial"/>
          <w:bCs/>
          <w:color w:val="auto"/>
          <w:kern w:val="0"/>
          <w:sz w:val="22"/>
          <w:szCs w:val="22"/>
          <w:highlight w:val="none"/>
        </w:rPr>
        <w:t>在合同生效以后，对采购人认为其能力与本项目所要求的能力不相称而提出更换的项目负责人或者技术员，中标单位必须予以更换；中标单位更换项目主要负责人或主要技术骨干必须书面报采购单位同意后方可进行。</w:t>
      </w:r>
    </w:p>
    <w:p w14:paraId="72E66C6B">
      <w:pPr>
        <w:pStyle w:val="76"/>
        <w:rPr>
          <w:rFonts w:hint="eastAsia"/>
        </w:rPr>
      </w:pPr>
    </w:p>
    <w:p w14:paraId="7A963D4A">
      <w:pPr>
        <w:pStyle w:val="76"/>
        <w:numPr>
          <w:ilvl w:val="0"/>
          <w:numId w:val="32"/>
        </w:numPr>
        <w:ind w:left="0" w:leftChars="0" w:firstLine="482" w:firstLineChars="200"/>
        <w:rPr>
          <w:rFonts w:hint="eastAsia"/>
          <w:b/>
          <w:bCs/>
          <w:lang w:val="en-US" w:eastAsia="zh-CN"/>
        </w:rPr>
      </w:pPr>
      <w:r>
        <w:rPr>
          <w:rFonts w:hint="eastAsia"/>
          <w:b/>
          <w:bCs/>
          <w:lang w:val="en-US" w:eastAsia="zh-CN"/>
        </w:rPr>
        <w:t>局中心机房机柜租赁</w:t>
      </w:r>
    </w:p>
    <w:p w14:paraId="33272769">
      <w:pPr>
        <w:adjustRightInd w:val="0"/>
        <w:spacing w:line="440" w:lineRule="exact"/>
        <w:ind w:firstLine="442" w:firstLineChars="200"/>
        <w:rPr>
          <w:rFonts w:hint="default" w:ascii="宋体" w:hAnsi="Times New Roman" w:eastAsia="宋体" w:cs="Arial"/>
          <w:b/>
          <w:bCs w:val="0"/>
          <w:color w:val="auto"/>
          <w:kern w:val="0"/>
          <w:sz w:val="22"/>
          <w:szCs w:val="22"/>
          <w:highlight w:val="none"/>
          <w:lang w:val="en-US" w:eastAsia="zh-CN"/>
        </w:rPr>
      </w:pPr>
      <w:r>
        <w:rPr>
          <w:rFonts w:hint="default" w:ascii="宋体" w:hAnsi="Times New Roman" w:eastAsia="宋体" w:cs="Arial"/>
          <w:b/>
          <w:bCs w:val="0"/>
          <w:color w:val="auto"/>
          <w:kern w:val="0"/>
          <w:sz w:val="22"/>
          <w:szCs w:val="22"/>
          <w:highlight w:val="none"/>
          <w:lang w:val="en-US" w:eastAsia="zh-CN"/>
        </w:rPr>
        <w:t>按照《温州市人民政府专题会议纪要》（〔2023〕16 号）要求，我局2025年局中心机房设备迁移至运营商机房，共租赁2</w:t>
      </w:r>
      <w:r>
        <w:rPr>
          <w:rFonts w:hint="eastAsia" w:ascii="宋体" w:hAnsi="Times New Roman" w:eastAsia="宋体" w:cs="Arial"/>
          <w:b/>
          <w:bCs w:val="0"/>
          <w:color w:val="auto"/>
          <w:kern w:val="0"/>
          <w:sz w:val="22"/>
          <w:szCs w:val="22"/>
          <w:highlight w:val="none"/>
          <w:lang w:val="en-US" w:eastAsia="zh-CN"/>
        </w:rPr>
        <w:t>0</w:t>
      </w:r>
      <w:r>
        <w:rPr>
          <w:rFonts w:hint="default" w:ascii="宋体" w:hAnsi="Times New Roman" w:eastAsia="宋体" w:cs="Arial"/>
          <w:b/>
          <w:bCs w:val="0"/>
          <w:color w:val="auto"/>
          <w:kern w:val="0"/>
          <w:sz w:val="22"/>
          <w:szCs w:val="22"/>
          <w:highlight w:val="none"/>
          <w:lang w:val="en-US" w:eastAsia="zh-CN"/>
        </w:rPr>
        <w:t>个机柜，用于承载局中心机房服务器、数据库、安全设备等设备和网络</w:t>
      </w:r>
      <w:r>
        <w:rPr>
          <w:rFonts w:hint="eastAsia" w:ascii="宋体" w:hAnsi="Times New Roman" w:eastAsia="宋体" w:cs="Arial"/>
          <w:b/>
          <w:bCs w:val="0"/>
          <w:color w:val="auto"/>
          <w:kern w:val="0"/>
          <w:sz w:val="22"/>
          <w:szCs w:val="22"/>
          <w:highlight w:val="none"/>
          <w:lang w:val="en-US" w:eastAsia="zh-CN"/>
        </w:rPr>
        <w:t>.</w:t>
      </w:r>
    </w:p>
    <w:p w14:paraId="4D656E8C">
      <w:pPr>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lang w:val="zh-CN"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val="zh-CN" w:eastAsia="zh-CN"/>
        </w:rPr>
        <w:t>）机房具备100平米以上的独立隔断空间，不与其他单位共用机房，并额外提供值班人员办公室且办公室面积不少于20平米。</w:t>
      </w:r>
    </w:p>
    <w:p w14:paraId="7C950E69">
      <w:pPr>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lang w:val="zh-CN"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val="zh-CN" w:eastAsia="zh-CN"/>
        </w:rPr>
        <w:t>）提供门禁系统，所在办公楼提供24小时门卫安保。</w:t>
      </w:r>
    </w:p>
    <w:p w14:paraId="29E3E8E7">
      <w:pPr>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lang w:val="zh-CN"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val="zh-CN" w:eastAsia="zh-CN"/>
        </w:rPr>
        <w:t>）提供动环监控及视频监控，有专人24小时值班定时巡检，针对机房部分提供账号供局方现场值班人员巡检。</w:t>
      </w:r>
    </w:p>
    <w:p w14:paraId="7C7A74BD">
      <w:pPr>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yellow"/>
          <w:lang w:val="zh-CN" w:eastAsia="zh-CN"/>
        </w:rPr>
      </w:pPr>
      <w:r>
        <w:rPr>
          <w:rFonts w:hint="eastAsia" w:ascii="宋体" w:hAnsi="Times New Roman" w:eastAsia="宋体" w:cs="Arial"/>
          <w:bCs/>
          <w:color w:val="auto"/>
          <w:kern w:val="0"/>
          <w:sz w:val="22"/>
          <w:szCs w:val="22"/>
          <w:highlight w:val="none"/>
          <w:lang w:val="zh-CN" w:eastAsia="zh-CN"/>
        </w:rPr>
        <w:t>（</w:t>
      </w:r>
      <w:r>
        <w:rPr>
          <w:rFonts w:hint="eastAsia" w:ascii="宋体" w:hAnsi="Times New Roman" w:eastAsia="宋体" w:cs="Arial"/>
          <w:bCs/>
          <w:color w:val="auto"/>
          <w:kern w:val="0"/>
          <w:sz w:val="22"/>
          <w:szCs w:val="22"/>
          <w:highlight w:val="none"/>
          <w:lang w:val="en-US" w:eastAsia="zh-CN"/>
        </w:rPr>
        <w:t>4</w:t>
      </w:r>
      <w:r>
        <w:rPr>
          <w:rFonts w:hint="eastAsia" w:ascii="宋体" w:hAnsi="Times New Roman" w:eastAsia="宋体" w:cs="Arial"/>
          <w:bCs/>
          <w:color w:val="auto"/>
          <w:kern w:val="0"/>
          <w:sz w:val="22"/>
          <w:szCs w:val="22"/>
          <w:highlight w:val="none"/>
          <w:lang w:val="zh-CN" w:eastAsia="zh-CN"/>
        </w:rPr>
        <w:t>）具备至少</w:t>
      </w:r>
      <w:r>
        <w:rPr>
          <w:rFonts w:hint="eastAsia" w:ascii="宋体" w:hAnsi="Times New Roman" w:eastAsia="宋体" w:cs="Arial"/>
          <w:bCs/>
          <w:color w:val="auto"/>
          <w:kern w:val="0"/>
          <w:sz w:val="22"/>
          <w:szCs w:val="22"/>
          <w:highlight w:val="none"/>
          <w:lang w:val="en-US" w:eastAsia="zh-CN"/>
        </w:rPr>
        <w:t>20</w:t>
      </w:r>
      <w:r>
        <w:rPr>
          <w:rFonts w:hint="eastAsia" w:ascii="宋体" w:hAnsi="Times New Roman" w:eastAsia="宋体" w:cs="Arial"/>
          <w:bCs/>
          <w:color w:val="auto"/>
          <w:kern w:val="0"/>
          <w:sz w:val="22"/>
          <w:szCs w:val="22"/>
          <w:highlight w:val="none"/>
          <w:lang w:val="zh-CN" w:eastAsia="zh-CN"/>
        </w:rPr>
        <w:t>个机柜位，并具备最大可扩展至36个总机柜位的冗余。</w:t>
      </w:r>
    </w:p>
    <w:p w14:paraId="06FA52D0">
      <w:pPr>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lang w:val="zh-CN" w:eastAsia="zh-CN"/>
        </w:rPr>
        <w:t>（</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lang w:val="zh-CN" w:eastAsia="zh-CN"/>
        </w:rPr>
        <w:t>）提供两路双回路市电接入（2路市电分别来自2个不同路由的变电站），提供UPS电源，应急时电池放电支持时间2小时左右；油机配电系统具备至少2台柴油发电机组，遇极端情况提供连接车载油机发电保障。</w:t>
      </w:r>
    </w:p>
    <w:p w14:paraId="20CC91DC">
      <w:pPr>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lang w:val="zh-CN" w:eastAsia="zh-CN"/>
        </w:rPr>
        <w:t>（</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lang w:val="zh-CN" w:eastAsia="zh-CN"/>
        </w:rPr>
        <w:t>）机房内提供至少6台行间空调，具备市电智能切换功能，主备电路分别接入两套低压配电系统。</w:t>
      </w:r>
    </w:p>
    <w:p w14:paraId="4506DD37">
      <w:pPr>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lang w:val="zh-CN" w:eastAsia="zh-CN"/>
        </w:rPr>
        <w:t>（</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lang w:val="zh-CN" w:eastAsia="zh-CN"/>
        </w:rPr>
        <w:t>）机房设计照度应满足需求，照明灯具采用成品线槽灯，应急照明采用自带应急电源的日光灯，在机柜间与机柜平行布置，每列机架间布置两个应急灯。当机房一般照明电停电后，应急灯自动点亮。应急照明时间要求不小于1小时。</w:t>
      </w:r>
    </w:p>
    <w:p w14:paraId="70E4CDB7">
      <w:pPr>
        <w:adjustRightInd w:val="0"/>
        <w:spacing w:line="440" w:lineRule="exact"/>
        <w:rPr>
          <w:rFonts w:ascii="宋体" w:cs="Arial"/>
          <w:b/>
          <w:color w:val="auto"/>
          <w:kern w:val="0"/>
          <w:sz w:val="22"/>
          <w:szCs w:val="22"/>
          <w:highlight w:val="none"/>
        </w:rPr>
      </w:pPr>
    </w:p>
    <w:p w14:paraId="7A9BCF83">
      <w:pPr>
        <w:adjustRightInd w:val="0"/>
        <w:spacing w:line="440" w:lineRule="exact"/>
        <w:rPr>
          <w:rFonts w:ascii="宋体" w:cs="Arial"/>
          <w:b/>
          <w:color w:val="auto"/>
          <w:kern w:val="0"/>
          <w:sz w:val="22"/>
          <w:szCs w:val="22"/>
          <w:highlight w:val="none"/>
        </w:rPr>
      </w:pPr>
    </w:p>
    <w:p w14:paraId="18D371DD">
      <w:pPr>
        <w:pStyle w:val="77"/>
        <w:ind w:firstLine="210"/>
        <w:rPr>
          <w:color w:val="auto"/>
          <w:highlight w:val="none"/>
        </w:rPr>
      </w:pPr>
    </w:p>
    <w:p w14:paraId="4E3E5AB1">
      <w:pPr>
        <w:snapToGrid w:val="0"/>
        <w:spacing w:line="360" w:lineRule="auto"/>
        <w:ind w:firstLine="442" w:firstLineChars="200"/>
        <w:rPr>
          <w:rFonts w:ascii="宋体" w:hAnsi="宋体" w:cs="宋体"/>
          <w:b/>
          <w:bCs/>
          <w:color w:val="auto"/>
          <w:sz w:val="22"/>
          <w:szCs w:val="22"/>
          <w:highlight w:val="none"/>
        </w:rPr>
      </w:pPr>
    </w:p>
    <w:p w14:paraId="1E68C326">
      <w:pPr>
        <w:pStyle w:val="76"/>
        <w:rPr>
          <w:color w:val="auto"/>
          <w:highlight w:val="none"/>
        </w:rPr>
      </w:pPr>
    </w:p>
    <w:p w14:paraId="15CA8DE6">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9932AF">
      <w:pPr>
        <w:spacing w:line="44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第二部分：</w:t>
      </w:r>
      <w:r>
        <w:rPr>
          <w:rFonts w:hint="eastAsia" w:ascii="宋体" w:hAnsi="宋体" w:cs="宋体"/>
          <w:b/>
          <w:bCs/>
          <w:color w:val="auto"/>
          <w:sz w:val="28"/>
          <w:szCs w:val="28"/>
          <w:highlight w:val="none"/>
          <w:lang w:val="en-US" w:eastAsia="zh-CN"/>
        </w:rPr>
        <w:t>物联感知设备及平台运维</w:t>
      </w:r>
    </w:p>
    <w:p w14:paraId="5AA654F1">
      <w:pPr>
        <w:pStyle w:val="703"/>
        <w:spacing w:line="560" w:lineRule="exact"/>
        <w:ind w:firstLine="440"/>
        <w:rPr>
          <w:rStyle w:val="731"/>
          <w:rFonts w:hint="default" w:ascii="新宋体" w:hAnsi="新宋体" w:eastAsia="新宋体" w:cs="新宋体"/>
          <w:color w:val="auto"/>
          <w:highlight w:val="none"/>
        </w:rPr>
      </w:pPr>
      <w:r>
        <w:rPr>
          <w:rStyle w:val="731"/>
          <w:rFonts w:hint="default" w:ascii="新宋体" w:hAnsi="新宋体" w:eastAsia="新宋体" w:cs="新宋体"/>
          <w:color w:val="auto"/>
          <w:highlight w:val="none"/>
          <w:lang w:val="en-US" w:eastAsia="zh-CN"/>
        </w:rPr>
        <w:t>物联感知设备及平台运维</w:t>
      </w:r>
      <w:r>
        <w:rPr>
          <w:rStyle w:val="731"/>
          <w:rFonts w:hint="default" w:ascii="新宋体" w:hAnsi="新宋体" w:eastAsia="新宋体" w:cs="新宋体"/>
          <w:color w:val="auto"/>
          <w:highlight w:val="none"/>
        </w:rPr>
        <w:t>是由市交通视频整合平台及港航港口监测设备维保维护、智慧公路应急指挥与信息服务系统路网监测前端维护</w:t>
      </w:r>
      <w:r>
        <w:rPr>
          <w:rStyle w:val="731"/>
          <w:rFonts w:hint="eastAsia" w:ascii="新宋体" w:hAnsi="新宋体" w:eastAsia="新宋体" w:cs="新宋体"/>
          <w:color w:val="auto"/>
          <w:highlight w:val="none"/>
          <w:lang w:eastAsia="zh-CN"/>
        </w:rPr>
        <w:t>、</w:t>
      </w:r>
      <w:r>
        <w:rPr>
          <w:rStyle w:val="731"/>
          <w:rFonts w:hint="default" w:ascii="新宋体" w:hAnsi="新宋体" w:eastAsia="新宋体" w:cs="新宋体"/>
          <w:color w:val="auto"/>
          <w:highlight w:val="none"/>
        </w:rPr>
        <w:t>交通基础支撑项目运维</w:t>
      </w:r>
      <w:r>
        <w:rPr>
          <w:rStyle w:val="731"/>
          <w:rFonts w:hint="eastAsia" w:ascii="新宋体" w:hAnsi="新宋体" w:eastAsia="新宋体" w:cs="新宋体"/>
          <w:color w:val="auto"/>
          <w:highlight w:val="none"/>
          <w:lang w:val="en-US" w:eastAsia="zh-CN"/>
        </w:rPr>
        <w:t>和</w:t>
      </w:r>
      <w:r>
        <w:rPr>
          <w:rFonts w:hint="eastAsia" w:ascii="新宋体" w:hAnsi="新宋体" w:eastAsia="新宋体" w:cs="新宋体"/>
          <w:color w:val="auto"/>
          <w:sz w:val="22"/>
          <w:szCs w:val="22"/>
          <w:highlight w:val="none"/>
          <w:lang w:val="en-US" w:eastAsia="zh-CN"/>
        </w:rPr>
        <w:t>交通重点区域基础感知设施提升</w:t>
      </w:r>
      <w:r>
        <w:rPr>
          <w:rStyle w:val="731"/>
          <w:rFonts w:hint="default" w:ascii="新宋体" w:hAnsi="新宋体" w:eastAsia="新宋体" w:cs="新宋体"/>
          <w:color w:val="auto"/>
          <w:highlight w:val="none"/>
        </w:rPr>
        <w:t>等部分组成的，主要是对视频平台的运维及</w:t>
      </w:r>
      <w:r>
        <w:rPr>
          <w:rStyle w:val="731"/>
          <w:rFonts w:hint="default" w:ascii="新宋体" w:hAnsi="新宋体" w:eastAsia="新宋体" w:cs="新宋体"/>
          <w:color w:val="auto"/>
          <w:highlight w:val="none"/>
          <w:lang w:val="en-US" w:eastAsia="zh-CN"/>
        </w:rPr>
        <w:t>物联感知设备维护</w:t>
      </w:r>
      <w:r>
        <w:rPr>
          <w:rStyle w:val="731"/>
          <w:rFonts w:hint="default" w:ascii="新宋体" w:hAnsi="新宋体" w:eastAsia="新宋体" w:cs="新宋体"/>
          <w:color w:val="auto"/>
          <w:highlight w:val="none"/>
        </w:rPr>
        <w:t>的运维。</w:t>
      </w:r>
    </w:p>
    <w:p w14:paraId="594025EA">
      <w:pPr>
        <w:pStyle w:val="703"/>
        <w:spacing w:line="560" w:lineRule="exact"/>
        <w:ind w:firstLine="440"/>
        <w:rPr>
          <w:rStyle w:val="731"/>
          <w:rFonts w:hint="default" w:ascii="新宋体" w:hAnsi="新宋体" w:eastAsia="新宋体" w:cs="新宋体"/>
          <w:b/>
          <w:bCs/>
          <w:color w:val="auto"/>
          <w:highlight w:val="none"/>
          <w:lang w:val="en-US"/>
        </w:rPr>
      </w:pPr>
      <w:r>
        <w:rPr>
          <w:rStyle w:val="731"/>
          <w:rFonts w:hint="eastAsia" w:ascii="新宋体" w:hAnsi="新宋体" w:eastAsia="新宋体" w:cs="新宋体"/>
          <w:b/>
          <w:bCs/>
          <w:color w:val="auto"/>
          <w:highlight w:val="none"/>
          <w:lang w:val="en-US" w:eastAsia="zh-CN"/>
        </w:rPr>
        <w:t>一、服务内容及期限（点位清单见附件）</w:t>
      </w:r>
    </w:p>
    <w:p w14:paraId="30C306A5">
      <w:pPr>
        <w:pStyle w:val="703"/>
        <w:spacing w:line="560" w:lineRule="exact"/>
        <w:ind w:firstLine="440"/>
        <w:rPr>
          <w:rStyle w:val="731"/>
          <w:rFonts w:hint="default" w:ascii="新宋体" w:hAnsi="新宋体" w:eastAsia="新宋体" w:cs="新宋体"/>
          <w:color w:val="auto"/>
          <w:highlight w:val="none"/>
          <w:lang w:val="en-US" w:eastAsia="zh-CN"/>
        </w:rPr>
      </w:pPr>
      <w:r>
        <w:rPr>
          <w:rStyle w:val="731"/>
          <w:rFonts w:hint="eastAsia" w:ascii="新宋体" w:hAnsi="新宋体" w:eastAsia="新宋体" w:cs="新宋体"/>
          <w:color w:val="auto"/>
          <w:highlight w:val="none"/>
          <w:lang w:val="en-US" w:eastAsia="zh-CN"/>
        </w:rPr>
        <w:t>1、</w:t>
      </w:r>
      <w:r>
        <w:rPr>
          <w:rStyle w:val="731"/>
          <w:rFonts w:hint="default" w:ascii="新宋体" w:hAnsi="新宋体" w:eastAsia="新宋体" w:cs="新宋体"/>
          <w:color w:val="auto"/>
          <w:highlight w:val="none"/>
        </w:rPr>
        <w:t>市交通视频整合平台及港航港口监测设备维保维护：</w:t>
      </w:r>
      <w:r>
        <w:rPr>
          <w:rStyle w:val="731"/>
          <w:rFonts w:hint="eastAsia" w:ascii="新宋体" w:hAnsi="新宋体" w:eastAsia="新宋体" w:cs="新宋体"/>
          <w:color w:val="auto"/>
          <w:highlight w:val="none"/>
          <w:lang w:val="en-US" w:eastAsia="zh-CN"/>
        </w:rPr>
        <w:t>对</w:t>
      </w:r>
      <w:r>
        <w:rPr>
          <w:rStyle w:val="731"/>
          <w:rFonts w:hint="default" w:ascii="新宋体" w:hAnsi="新宋体" w:eastAsia="新宋体" w:cs="新宋体"/>
          <w:color w:val="auto"/>
          <w:highlight w:val="none"/>
        </w:rPr>
        <w:t>市港航中心航道港口和重点航道视频监控系统的85</w:t>
      </w:r>
      <w:r>
        <w:rPr>
          <w:rStyle w:val="731"/>
          <w:rFonts w:hint="eastAsia" w:ascii="新宋体" w:hAnsi="新宋体" w:eastAsia="新宋体" w:cs="新宋体"/>
          <w:color w:val="auto"/>
          <w:highlight w:val="none"/>
          <w:lang w:val="en-US" w:eastAsia="zh-CN"/>
        </w:rPr>
        <w:t>个</w:t>
      </w:r>
      <w:r>
        <w:rPr>
          <w:rStyle w:val="731"/>
          <w:rFonts w:hint="default" w:ascii="新宋体" w:hAnsi="新宋体" w:eastAsia="新宋体" w:cs="新宋体"/>
          <w:color w:val="auto"/>
          <w:highlight w:val="none"/>
        </w:rPr>
        <w:t>视频</w:t>
      </w:r>
      <w:r>
        <w:rPr>
          <w:rStyle w:val="731"/>
          <w:rFonts w:hint="eastAsia" w:ascii="新宋体" w:hAnsi="新宋体" w:eastAsia="新宋体" w:cs="新宋体"/>
          <w:color w:val="auto"/>
          <w:highlight w:val="none"/>
          <w:lang w:val="en-US" w:eastAsia="zh-CN"/>
        </w:rPr>
        <w:t>点位维护，人员驻场一人（对</w:t>
      </w:r>
      <w:r>
        <w:rPr>
          <w:rStyle w:val="731"/>
          <w:rFonts w:hint="default" w:ascii="新宋体" w:hAnsi="新宋体" w:eastAsia="新宋体" w:cs="新宋体"/>
          <w:color w:val="auto"/>
          <w:highlight w:val="none"/>
        </w:rPr>
        <w:t>市交通视频整合平台</w:t>
      </w:r>
      <w:r>
        <w:rPr>
          <w:rStyle w:val="731"/>
          <w:rFonts w:hint="eastAsia" w:ascii="新宋体" w:hAnsi="新宋体" w:eastAsia="新宋体" w:cs="新宋体"/>
          <w:color w:val="auto"/>
          <w:highlight w:val="none"/>
          <w:lang w:val="en-US" w:eastAsia="zh-CN"/>
        </w:rPr>
        <w:t>接入的9000多路视频以及后续接入全市各县市区的视频进行巡查维护）</w:t>
      </w:r>
      <w:r>
        <w:rPr>
          <w:rStyle w:val="731"/>
          <w:rFonts w:hint="default" w:ascii="新宋体" w:hAnsi="新宋体" w:eastAsia="新宋体" w:cs="新宋体"/>
          <w:color w:val="auto"/>
          <w:highlight w:val="none"/>
        </w:rPr>
        <w:t>。</w:t>
      </w:r>
      <w:r>
        <w:rPr>
          <w:rStyle w:val="731"/>
          <w:rFonts w:hint="eastAsia" w:ascii="新宋体" w:hAnsi="新宋体" w:eastAsia="新宋体" w:cs="新宋体"/>
          <w:color w:val="auto"/>
          <w:highlight w:val="none"/>
          <w:lang w:val="en-US" w:eastAsia="zh-CN"/>
        </w:rPr>
        <w:t>运维期为2026年1月1日至2026年12月31日</w:t>
      </w:r>
    </w:p>
    <w:p w14:paraId="0BAF3490">
      <w:pPr>
        <w:pStyle w:val="703"/>
        <w:spacing w:line="560" w:lineRule="exact"/>
        <w:ind w:firstLine="440"/>
        <w:rPr>
          <w:rStyle w:val="731"/>
          <w:rFonts w:hint="default" w:ascii="新宋体" w:hAnsi="新宋体" w:eastAsia="新宋体" w:cs="新宋体"/>
          <w:color w:val="auto"/>
          <w:highlight w:val="none"/>
        </w:rPr>
      </w:pPr>
      <w:r>
        <w:rPr>
          <w:rFonts w:hint="eastAsia" w:ascii="宋体" w:hAnsi="宋体"/>
          <w:color w:val="auto"/>
          <w:sz w:val="22"/>
          <w:highlight w:val="none"/>
          <w:lang w:val="en-US" w:eastAsia="zh-CN"/>
        </w:rPr>
        <w:t>2、</w:t>
      </w:r>
      <w:r>
        <w:rPr>
          <w:rStyle w:val="731"/>
          <w:rFonts w:hint="default" w:ascii="新宋体" w:hAnsi="新宋体" w:eastAsia="新宋体" w:cs="新宋体"/>
          <w:color w:val="auto"/>
          <w:highlight w:val="none"/>
        </w:rPr>
        <w:t>智慧公路应急指挥与信息服务系统路网监测前端维护</w:t>
      </w:r>
      <w:r>
        <w:rPr>
          <w:rFonts w:hint="eastAsia" w:ascii="宋体" w:hAnsi="宋体"/>
          <w:color w:val="auto"/>
          <w:sz w:val="22"/>
          <w:highlight w:val="none"/>
        </w:rPr>
        <w:t>：</w:t>
      </w:r>
      <w:r>
        <w:rPr>
          <w:rFonts w:hint="eastAsia" w:ascii="宋体" w:hAnsi="宋体"/>
          <w:color w:val="auto"/>
          <w:sz w:val="22"/>
          <w:highlight w:val="none"/>
          <w:lang w:val="en-US" w:eastAsia="zh-CN"/>
        </w:rPr>
        <w:t>对</w:t>
      </w:r>
      <w:r>
        <w:rPr>
          <w:rFonts w:hint="eastAsia" w:ascii="宋体" w:hAnsi="宋体"/>
          <w:color w:val="auto"/>
          <w:sz w:val="22"/>
          <w:highlight w:val="none"/>
        </w:rPr>
        <w:t>智慧公路视频平台、全市范围内国省道重点区域监测43个点位、存储设备日常</w:t>
      </w:r>
      <w:r>
        <w:rPr>
          <w:rFonts w:hint="eastAsia" w:ascii="宋体" w:hAnsi="宋体"/>
          <w:color w:val="auto"/>
          <w:sz w:val="22"/>
          <w:highlight w:val="none"/>
          <w:lang w:val="en-US" w:eastAsia="zh-CN"/>
        </w:rPr>
        <w:t>的</w:t>
      </w:r>
      <w:r>
        <w:rPr>
          <w:rFonts w:hint="eastAsia" w:ascii="宋体" w:hAnsi="宋体"/>
          <w:color w:val="auto"/>
          <w:sz w:val="22"/>
          <w:highlight w:val="none"/>
        </w:rPr>
        <w:t>巡检及设备维护等</w:t>
      </w:r>
      <w:r>
        <w:rPr>
          <w:rStyle w:val="731"/>
          <w:rFonts w:hint="default" w:ascii="新宋体" w:hAnsi="新宋体" w:eastAsia="新宋体" w:cs="新宋体"/>
          <w:color w:val="auto"/>
          <w:highlight w:val="none"/>
        </w:rPr>
        <w:t>。</w:t>
      </w:r>
      <w:r>
        <w:rPr>
          <w:rStyle w:val="731"/>
          <w:rFonts w:hint="eastAsia" w:ascii="新宋体" w:hAnsi="新宋体" w:eastAsia="新宋体" w:cs="新宋体"/>
          <w:color w:val="auto"/>
          <w:highlight w:val="none"/>
          <w:lang w:val="en-US" w:eastAsia="zh-CN"/>
        </w:rPr>
        <w:t>运维期为2026年1月1日至2026年12月31日。</w:t>
      </w:r>
    </w:p>
    <w:p w14:paraId="7E74DC11">
      <w:pPr>
        <w:pStyle w:val="703"/>
        <w:spacing w:line="560" w:lineRule="exact"/>
        <w:ind w:firstLine="440"/>
        <w:rPr>
          <w:rStyle w:val="731"/>
          <w:rFonts w:hint="default" w:ascii="新宋体" w:hAnsi="新宋体" w:eastAsia="新宋体" w:cs="新宋体"/>
          <w:color w:val="auto"/>
          <w:highlight w:val="none"/>
          <w:lang w:val="en-US"/>
        </w:rPr>
      </w:pPr>
      <w:r>
        <w:rPr>
          <w:rFonts w:hint="eastAsia" w:ascii="宋体" w:hAnsi="宋体" w:cs="宋体"/>
          <w:color w:val="auto"/>
          <w:sz w:val="22"/>
          <w:highlight w:val="none"/>
          <w:lang w:val="en-US" w:eastAsia="zh-CN"/>
        </w:rPr>
        <w:t>3、</w:t>
      </w:r>
      <w:r>
        <w:rPr>
          <w:rStyle w:val="731"/>
          <w:rFonts w:hint="default" w:ascii="新宋体" w:hAnsi="新宋体" w:eastAsia="新宋体" w:cs="新宋体"/>
          <w:color w:val="auto"/>
          <w:highlight w:val="none"/>
        </w:rPr>
        <w:t>交通基础支撑项目运维</w:t>
      </w:r>
      <w:r>
        <w:rPr>
          <w:rStyle w:val="731"/>
          <w:rFonts w:hint="eastAsia" w:ascii="新宋体" w:hAnsi="新宋体" w:eastAsia="新宋体" w:cs="新宋体"/>
          <w:color w:val="auto"/>
          <w:highlight w:val="none"/>
          <w:lang w:eastAsia="zh-CN"/>
        </w:rPr>
        <w:t>：</w:t>
      </w:r>
      <w:r>
        <w:rPr>
          <w:rStyle w:val="731"/>
          <w:rFonts w:hint="eastAsia" w:ascii="新宋体" w:hAnsi="新宋体" w:eastAsia="新宋体" w:cs="新宋体"/>
          <w:color w:val="auto"/>
          <w:highlight w:val="none"/>
          <w:lang w:val="en-US" w:eastAsia="zh-CN"/>
        </w:rPr>
        <w:t>主要用于8个船舶到港作业监测、10个国省道高位监测和16 个高速出入口违停监测的设备维护。运维期为2026年11月1日至2027年12月31日.</w:t>
      </w:r>
    </w:p>
    <w:p w14:paraId="41A7215C">
      <w:pPr>
        <w:pStyle w:val="703"/>
        <w:spacing w:line="560" w:lineRule="exact"/>
        <w:ind w:firstLine="440"/>
        <w:rPr>
          <w:rStyle w:val="731"/>
          <w:rFonts w:hint="eastAsia" w:ascii="新宋体" w:hAnsi="新宋体" w:eastAsia="新宋体" w:cs="新宋体"/>
          <w:color w:val="auto"/>
          <w:highlight w:val="none"/>
          <w:lang w:val="en-US" w:eastAsia="zh-CN"/>
        </w:rPr>
      </w:pPr>
      <w:r>
        <w:rPr>
          <w:rStyle w:val="731"/>
          <w:rFonts w:hint="eastAsia" w:ascii="新宋体" w:hAnsi="新宋体" w:eastAsia="新宋体" w:cs="新宋体"/>
          <w:color w:val="auto"/>
          <w:highlight w:val="none"/>
          <w:lang w:val="en-US" w:eastAsia="zh-CN"/>
        </w:rPr>
        <w:t>4、</w:t>
      </w:r>
      <w:r>
        <w:rPr>
          <w:rFonts w:hint="eastAsia" w:ascii="新宋体" w:hAnsi="新宋体" w:eastAsia="新宋体" w:cs="新宋体"/>
          <w:color w:val="auto"/>
          <w:sz w:val="22"/>
          <w:szCs w:val="22"/>
          <w:highlight w:val="none"/>
          <w:lang w:val="en-US" w:eastAsia="zh-CN"/>
        </w:rPr>
        <w:t>交通重点区域基础感知设施提升：</w:t>
      </w:r>
      <w:r>
        <w:rPr>
          <w:rStyle w:val="731"/>
          <w:rFonts w:hint="eastAsia" w:ascii="新宋体" w:hAnsi="新宋体" w:eastAsia="新宋体" w:cs="新宋体"/>
          <w:color w:val="auto"/>
          <w:highlight w:val="none"/>
          <w:lang w:val="en-US" w:eastAsia="zh-CN"/>
        </w:rPr>
        <w:t>主要用于1个气象监测、交通行业视频汇集（50 个港口企业、渡口及交通工程），高速服务区数字治违（29个点位）等物联感知设备维护。服务期限为合同签订之日起计算，为期一整年。</w:t>
      </w:r>
    </w:p>
    <w:p w14:paraId="4AB9FE56">
      <w:pPr>
        <w:pStyle w:val="703"/>
        <w:spacing w:line="560" w:lineRule="exact"/>
        <w:ind w:firstLine="440"/>
        <w:rPr>
          <w:rStyle w:val="731"/>
          <w:rFonts w:hint="default" w:ascii="新宋体" w:hAnsi="新宋体" w:eastAsia="新宋体" w:cs="新宋体"/>
          <w:color w:val="auto"/>
          <w:highlight w:val="none"/>
          <w:lang w:val="en-US" w:eastAsia="zh-CN"/>
        </w:rPr>
      </w:pPr>
      <w:r>
        <w:rPr>
          <w:rStyle w:val="731"/>
          <w:rFonts w:hint="eastAsia" w:ascii="新宋体" w:hAnsi="新宋体" w:eastAsia="新宋体" w:cs="新宋体"/>
          <w:color w:val="auto"/>
          <w:highlight w:val="none"/>
          <w:lang w:val="en-US" w:eastAsia="zh-CN"/>
        </w:rPr>
        <w:t>5、提供短信平台包年20万条短信</w:t>
      </w:r>
    </w:p>
    <w:p w14:paraId="7A6FA45D">
      <w:pPr>
        <w:spacing w:line="560" w:lineRule="exact"/>
        <w:ind w:firstLine="442" w:firstLineChars="200"/>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二、</w:t>
      </w:r>
      <w:r>
        <w:rPr>
          <w:rFonts w:hint="eastAsia" w:ascii="新宋体" w:hAnsi="新宋体" w:eastAsia="新宋体" w:cs="新宋体"/>
          <w:b/>
          <w:bCs/>
          <w:color w:val="auto"/>
          <w:sz w:val="22"/>
          <w:szCs w:val="22"/>
          <w:highlight w:val="none"/>
        </w:rPr>
        <w:t>服务要求</w:t>
      </w:r>
    </w:p>
    <w:p w14:paraId="191518E1">
      <w:pPr>
        <w:pStyle w:val="703"/>
        <w:spacing w:line="560" w:lineRule="exact"/>
        <w:ind w:firstLine="440"/>
        <w:rPr>
          <w:rStyle w:val="731"/>
          <w:rFonts w:hint="default" w:ascii="新宋体" w:hAnsi="新宋体" w:eastAsia="新宋体" w:cs="新宋体"/>
          <w:color w:val="auto"/>
          <w:highlight w:val="none"/>
          <w:lang w:val="en-US" w:eastAsia="zh-CN"/>
        </w:rPr>
      </w:pPr>
      <w:r>
        <w:rPr>
          <w:rStyle w:val="731"/>
          <w:rFonts w:hint="eastAsia" w:ascii="新宋体" w:hAnsi="新宋体" w:eastAsia="新宋体" w:cs="新宋体"/>
          <w:color w:val="auto"/>
          <w:highlight w:val="none"/>
          <w:lang w:val="en-US" w:eastAsia="zh-CN"/>
        </w:rPr>
        <w:t>（1）物联感知设备</w:t>
      </w:r>
    </w:p>
    <w:p w14:paraId="6F550EE8">
      <w:pPr>
        <w:spacing w:line="5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1.根据实际工作需求，本项目中</w:t>
      </w:r>
      <w:r>
        <w:rPr>
          <w:rFonts w:hint="eastAsia" w:ascii="新宋体" w:hAnsi="新宋体" w:eastAsia="新宋体" w:cs="新宋体"/>
          <w:color w:val="auto"/>
          <w:sz w:val="22"/>
          <w:szCs w:val="22"/>
          <w:highlight w:val="none"/>
          <w:lang w:val="en-US" w:eastAsia="zh-CN"/>
        </w:rPr>
        <w:t>涉及到</w:t>
      </w:r>
      <w:r>
        <w:rPr>
          <w:rFonts w:hint="eastAsia" w:ascii="新宋体" w:hAnsi="新宋体" w:eastAsia="新宋体" w:cs="新宋体"/>
          <w:color w:val="auto"/>
          <w:sz w:val="22"/>
          <w:szCs w:val="22"/>
          <w:highlight w:val="none"/>
        </w:rPr>
        <w:t>维护点位可能发生变动，中标单位需无条件接受配合迁移工作，免费迁移到新的位置，具体点位见附件</w:t>
      </w:r>
    </w:p>
    <w:p w14:paraId="3DF92258">
      <w:pPr>
        <w:spacing w:line="5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2.负责提供所有点位的全部设备（含所有配件），在服务期内提供免费更换和维护服务。</w:t>
      </w:r>
    </w:p>
    <w:p w14:paraId="7951E574">
      <w:pPr>
        <w:spacing w:line="5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3.应保证本项目</w:t>
      </w:r>
      <w:r>
        <w:rPr>
          <w:rFonts w:hint="eastAsia" w:ascii="新宋体" w:hAnsi="新宋体" w:eastAsia="新宋体" w:cs="新宋体"/>
          <w:color w:val="auto"/>
          <w:sz w:val="22"/>
          <w:szCs w:val="22"/>
          <w:highlight w:val="none"/>
          <w:lang w:val="en-US" w:eastAsia="zh-CN"/>
        </w:rPr>
        <w:t>的设备的备品备件</w:t>
      </w:r>
      <w:r>
        <w:rPr>
          <w:rFonts w:hint="eastAsia" w:ascii="新宋体" w:hAnsi="新宋体" w:eastAsia="新宋体" w:cs="新宋体"/>
          <w:color w:val="auto"/>
          <w:sz w:val="22"/>
          <w:szCs w:val="22"/>
          <w:highlight w:val="none"/>
        </w:rPr>
        <w:t>数量</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在发生需要更换时及时更换</w:t>
      </w:r>
      <w:r>
        <w:rPr>
          <w:rFonts w:hint="eastAsia" w:ascii="新宋体" w:hAnsi="新宋体" w:eastAsia="新宋体" w:cs="新宋体"/>
          <w:color w:val="auto"/>
          <w:sz w:val="22"/>
          <w:szCs w:val="22"/>
          <w:highlight w:val="none"/>
        </w:rPr>
        <w:t>。</w:t>
      </w:r>
    </w:p>
    <w:p w14:paraId="44BB17C0">
      <w:pPr>
        <w:spacing w:line="5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4.需保证上述视频在线率9</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%以上（因业主方原因除外）。</w:t>
      </w:r>
    </w:p>
    <w:p w14:paraId="7A91AB8C">
      <w:pPr>
        <w:spacing w:line="5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5.在重要节假日和重大活动的保障工作中，需保障视频正常运行。</w:t>
      </w:r>
    </w:p>
    <w:p w14:paraId="6E2095D9">
      <w:pPr>
        <w:spacing w:line="5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中标单位通过巡检（含线上和实地）中发现前端监控点位出现故障或接到甲方的故障申告时，经故障原因判断后保证：光纤链路故障（确认时间为2小时），在4小时内恢复；前端设备如摄像机被盗或损坏、线缆被剪断等故障，在市区范围内6小时恢复，在县市区偏远地区在24小时内恢复。</w:t>
      </w:r>
    </w:p>
    <w:p w14:paraId="34F50531">
      <w:pPr>
        <w:spacing w:line="5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7.每月提供一次现场巡检，对每个</w:t>
      </w:r>
      <w:r>
        <w:rPr>
          <w:rFonts w:hint="eastAsia" w:ascii="新宋体" w:hAnsi="新宋体" w:eastAsia="新宋体" w:cs="新宋体"/>
          <w:color w:val="auto"/>
          <w:sz w:val="22"/>
          <w:szCs w:val="22"/>
          <w:highlight w:val="none"/>
          <w:lang w:val="en-US" w:eastAsia="zh-CN"/>
        </w:rPr>
        <w:t>物联感知</w:t>
      </w:r>
      <w:r>
        <w:rPr>
          <w:rFonts w:hint="eastAsia" w:ascii="新宋体" w:hAnsi="新宋体" w:eastAsia="新宋体" w:cs="新宋体"/>
          <w:color w:val="auto"/>
          <w:sz w:val="22"/>
          <w:szCs w:val="22"/>
          <w:highlight w:val="none"/>
        </w:rPr>
        <w:t>点位进行巡检维护，及时发现问题并处置；每季度配合业主方开展一次现场巡检工作（线路由业主方确定）。</w:t>
      </w:r>
    </w:p>
    <w:p w14:paraId="793568F9">
      <w:pPr>
        <w:spacing w:line="560" w:lineRule="exact"/>
        <w:ind w:firstLine="440" w:firstLineChars="200"/>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8.</w:t>
      </w:r>
      <w:r>
        <w:rPr>
          <w:rFonts w:hint="eastAsia" w:ascii="新宋体" w:hAnsi="新宋体" w:eastAsia="新宋体" w:cs="新宋体"/>
          <w:color w:val="auto"/>
          <w:sz w:val="22"/>
          <w:szCs w:val="22"/>
          <w:highlight w:val="none"/>
          <w:lang w:val="en-US" w:eastAsia="zh-CN"/>
        </w:rPr>
        <w:t>在平台维护中要求</w:t>
      </w:r>
      <w:r>
        <w:rPr>
          <w:rFonts w:hint="eastAsia" w:ascii="新宋体" w:hAnsi="新宋体" w:eastAsia="新宋体" w:cs="新宋体"/>
          <w:color w:val="auto"/>
          <w:sz w:val="22"/>
          <w:szCs w:val="22"/>
          <w:highlight w:val="none"/>
        </w:rPr>
        <w:t>每日</w:t>
      </w:r>
      <w:r>
        <w:rPr>
          <w:rFonts w:hint="eastAsia" w:ascii="新宋体" w:hAnsi="新宋体" w:eastAsia="新宋体" w:cs="新宋体"/>
          <w:color w:val="auto"/>
          <w:sz w:val="22"/>
          <w:szCs w:val="22"/>
          <w:highlight w:val="none"/>
          <w:lang w:val="en-US" w:eastAsia="zh-CN"/>
        </w:rPr>
        <w:t>对</w:t>
      </w:r>
      <w:r>
        <w:rPr>
          <w:rFonts w:hint="eastAsia" w:ascii="新宋体" w:hAnsi="新宋体" w:eastAsia="新宋体" w:cs="新宋体"/>
          <w:color w:val="auto"/>
          <w:sz w:val="22"/>
          <w:szCs w:val="22"/>
          <w:highlight w:val="none"/>
        </w:rPr>
        <w:t>线上对所有点位进行一次巡查，及时发现问题并处置，提供巡检记录报告。</w:t>
      </w:r>
    </w:p>
    <w:p w14:paraId="125BC827">
      <w:pPr>
        <w:spacing w:line="560" w:lineRule="exact"/>
        <w:ind w:firstLine="442" w:firstLineChars="20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三、运维服务质量考核要求</w:t>
      </w:r>
    </w:p>
    <w:p w14:paraId="0E5EF335">
      <w:pPr>
        <w:spacing w:line="5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对视频平台运维及</w:t>
      </w:r>
      <w:r>
        <w:rPr>
          <w:rFonts w:hint="eastAsia" w:ascii="新宋体" w:hAnsi="新宋体" w:eastAsia="新宋体" w:cs="新宋体"/>
          <w:color w:val="auto"/>
          <w:sz w:val="22"/>
          <w:szCs w:val="22"/>
          <w:highlight w:val="none"/>
          <w:lang w:val="en-US" w:eastAsia="zh-CN"/>
        </w:rPr>
        <w:t>物联感知</w:t>
      </w:r>
      <w:r>
        <w:rPr>
          <w:rFonts w:hint="eastAsia" w:ascii="新宋体" w:hAnsi="新宋体" w:eastAsia="新宋体" w:cs="新宋体"/>
          <w:color w:val="auto"/>
          <w:sz w:val="22"/>
          <w:szCs w:val="22"/>
          <w:highlight w:val="none"/>
        </w:rPr>
        <w:t>点位运维每月运维完成情况进行服务满意度调查表，输出服务满意度调查表。</w:t>
      </w:r>
    </w:p>
    <w:p w14:paraId="4BE08159">
      <w:pPr>
        <w:spacing w:line="5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2.每月对运维服务质量进行考核，输出运维服务质量考核表，考核表满分为100分，服务考核分数≥95分，支付</w:t>
      </w:r>
      <w:r>
        <w:rPr>
          <w:rFonts w:hint="eastAsia" w:ascii="新宋体" w:hAnsi="新宋体" w:eastAsia="新宋体" w:cs="新宋体"/>
          <w:color w:val="auto"/>
          <w:sz w:val="22"/>
          <w:szCs w:val="22"/>
          <w:highlight w:val="none"/>
          <w:lang w:val="en-US" w:eastAsia="zh-CN"/>
        </w:rPr>
        <w:t>全部</w:t>
      </w:r>
      <w:r>
        <w:rPr>
          <w:rFonts w:hint="eastAsia" w:ascii="新宋体" w:hAnsi="新宋体" w:eastAsia="新宋体" w:cs="新宋体"/>
          <w:color w:val="auto"/>
          <w:sz w:val="22"/>
          <w:szCs w:val="22"/>
          <w:highlight w:val="none"/>
        </w:rPr>
        <w:t>剩余款项；服务考核分数＜95分，每分按照合同金额的千分之一扣款。</w:t>
      </w:r>
    </w:p>
    <w:p w14:paraId="02DDC7BD">
      <w:pPr>
        <w:pStyle w:val="76"/>
        <w:rPr>
          <w:color w:val="auto"/>
          <w:highlight w:val="none"/>
        </w:rPr>
      </w:pPr>
    </w:p>
    <w:p w14:paraId="1D963B7F">
      <w:pPr>
        <w:spacing w:line="440" w:lineRule="exact"/>
        <w:ind w:firstLine="442" w:firstLineChars="20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四、相应服务报表要求见下表：</w:t>
      </w:r>
    </w:p>
    <w:tbl>
      <w:tblPr>
        <w:tblStyle w:val="57"/>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869"/>
        <w:gridCol w:w="3933"/>
        <w:gridCol w:w="1009"/>
      </w:tblGrid>
      <w:tr w14:paraId="137D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Align w:val="center"/>
          </w:tcPr>
          <w:p w14:paraId="7C3AA27F">
            <w:pPr>
              <w:pStyle w:val="78"/>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3869" w:type="dxa"/>
            <w:vAlign w:val="center"/>
          </w:tcPr>
          <w:p w14:paraId="1F9F96CE">
            <w:pPr>
              <w:pStyle w:val="78"/>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服务内容</w:t>
            </w:r>
          </w:p>
        </w:tc>
        <w:tc>
          <w:tcPr>
            <w:tcW w:w="3933" w:type="dxa"/>
            <w:vAlign w:val="center"/>
          </w:tcPr>
          <w:p w14:paraId="696EBA08">
            <w:pPr>
              <w:pStyle w:val="78"/>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输出台账</w:t>
            </w:r>
          </w:p>
        </w:tc>
        <w:tc>
          <w:tcPr>
            <w:tcW w:w="1009" w:type="dxa"/>
            <w:vAlign w:val="center"/>
          </w:tcPr>
          <w:p w14:paraId="047773E9">
            <w:pPr>
              <w:pStyle w:val="78"/>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6640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tcBorders>
              <w:top w:val="single" w:color="auto" w:sz="4" w:space="0"/>
              <w:left w:val="single" w:color="auto" w:sz="4" w:space="0"/>
              <w:right w:val="single" w:color="auto" w:sz="4" w:space="0"/>
            </w:tcBorders>
            <w:vAlign w:val="center"/>
          </w:tcPr>
          <w:p w14:paraId="7E4EAD30">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3869" w:type="dxa"/>
            <w:tcBorders>
              <w:top w:val="single" w:color="auto" w:sz="4" w:space="0"/>
              <w:left w:val="single" w:color="auto" w:sz="4" w:space="0"/>
              <w:right w:val="single" w:color="auto" w:sz="4" w:space="0"/>
            </w:tcBorders>
            <w:vAlign w:val="center"/>
          </w:tcPr>
          <w:p w14:paraId="1817168C">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平台巡检</w:t>
            </w:r>
          </w:p>
        </w:tc>
        <w:tc>
          <w:tcPr>
            <w:tcW w:w="3933" w:type="dxa"/>
            <w:tcBorders>
              <w:top w:val="single" w:color="auto" w:sz="4" w:space="0"/>
              <w:left w:val="single" w:color="auto" w:sz="4" w:space="0"/>
              <w:right w:val="single" w:color="auto" w:sz="4" w:space="0"/>
            </w:tcBorders>
            <w:vAlign w:val="center"/>
          </w:tcPr>
          <w:p w14:paraId="208CA42F">
            <w:pPr>
              <w:pStyle w:val="78"/>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每月</w:t>
            </w:r>
            <w:r>
              <w:rPr>
                <w:rFonts w:hint="eastAsia" w:ascii="新宋体" w:hAnsi="新宋体" w:eastAsia="新宋体" w:cs="新宋体"/>
                <w:color w:val="auto"/>
                <w:sz w:val="22"/>
                <w:szCs w:val="22"/>
                <w:highlight w:val="none"/>
              </w:rPr>
              <w:t>平台巡检</w:t>
            </w:r>
            <w:r>
              <w:rPr>
                <w:rFonts w:hint="eastAsia" w:ascii="新宋体" w:hAnsi="新宋体" w:eastAsia="新宋体" w:cs="新宋体"/>
                <w:color w:val="auto"/>
                <w:sz w:val="22"/>
                <w:szCs w:val="22"/>
                <w:highlight w:val="none"/>
                <w:lang w:val="en-US" w:eastAsia="zh-CN"/>
              </w:rPr>
              <w:t>报告</w:t>
            </w:r>
          </w:p>
        </w:tc>
        <w:tc>
          <w:tcPr>
            <w:tcW w:w="1009" w:type="dxa"/>
            <w:tcBorders>
              <w:top w:val="single" w:color="auto" w:sz="4" w:space="0"/>
              <w:left w:val="single" w:color="auto" w:sz="4" w:space="0"/>
              <w:right w:val="single" w:color="auto" w:sz="4" w:space="0"/>
            </w:tcBorders>
            <w:vAlign w:val="center"/>
          </w:tcPr>
          <w:p w14:paraId="714B4E8F">
            <w:pPr>
              <w:pStyle w:val="78"/>
              <w:rPr>
                <w:rFonts w:ascii="新宋体" w:hAnsi="新宋体" w:eastAsia="新宋体" w:cs="新宋体"/>
                <w:color w:val="auto"/>
                <w:sz w:val="22"/>
                <w:szCs w:val="22"/>
                <w:highlight w:val="none"/>
              </w:rPr>
            </w:pPr>
          </w:p>
        </w:tc>
      </w:tr>
      <w:tr w14:paraId="5B39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tcBorders>
              <w:top w:val="single" w:color="auto" w:sz="4" w:space="0"/>
              <w:left w:val="single" w:color="auto" w:sz="4" w:space="0"/>
              <w:right w:val="single" w:color="auto" w:sz="4" w:space="0"/>
            </w:tcBorders>
            <w:vAlign w:val="center"/>
          </w:tcPr>
          <w:p w14:paraId="37CA7B4C">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869" w:type="dxa"/>
            <w:tcBorders>
              <w:top w:val="single" w:color="auto" w:sz="4" w:space="0"/>
              <w:left w:val="single" w:color="auto" w:sz="4" w:space="0"/>
              <w:right w:val="single" w:color="auto" w:sz="4" w:space="0"/>
            </w:tcBorders>
            <w:vAlign w:val="center"/>
          </w:tcPr>
          <w:p w14:paraId="5EEEA2B6">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物联感知</w:t>
            </w:r>
            <w:r>
              <w:rPr>
                <w:rFonts w:hint="eastAsia" w:ascii="新宋体" w:hAnsi="新宋体" w:eastAsia="新宋体" w:cs="新宋体"/>
                <w:color w:val="auto"/>
                <w:sz w:val="22"/>
                <w:szCs w:val="22"/>
                <w:highlight w:val="none"/>
              </w:rPr>
              <w:t>点位</w:t>
            </w:r>
            <w:r>
              <w:rPr>
                <w:rFonts w:hint="eastAsia" w:ascii="新宋体" w:hAnsi="新宋体" w:eastAsia="新宋体" w:cs="新宋体"/>
                <w:color w:val="auto"/>
                <w:sz w:val="22"/>
                <w:szCs w:val="22"/>
                <w:highlight w:val="none"/>
                <w:lang w:val="en-US" w:eastAsia="zh-CN"/>
              </w:rPr>
              <w:t>现场</w:t>
            </w:r>
            <w:r>
              <w:rPr>
                <w:rFonts w:hint="eastAsia" w:ascii="新宋体" w:hAnsi="新宋体" w:eastAsia="新宋体" w:cs="新宋体"/>
                <w:color w:val="auto"/>
                <w:sz w:val="22"/>
                <w:szCs w:val="22"/>
                <w:highlight w:val="none"/>
              </w:rPr>
              <w:t>巡检</w:t>
            </w:r>
          </w:p>
        </w:tc>
        <w:tc>
          <w:tcPr>
            <w:tcW w:w="3933" w:type="dxa"/>
            <w:tcBorders>
              <w:top w:val="single" w:color="auto" w:sz="4" w:space="0"/>
              <w:left w:val="single" w:color="auto" w:sz="4" w:space="0"/>
              <w:right w:val="single" w:color="auto" w:sz="4" w:space="0"/>
            </w:tcBorders>
            <w:vAlign w:val="center"/>
          </w:tcPr>
          <w:p w14:paraId="1A556123">
            <w:pPr>
              <w:pStyle w:val="78"/>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每月物联感知</w:t>
            </w:r>
            <w:r>
              <w:rPr>
                <w:rFonts w:hint="eastAsia" w:ascii="新宋体" w:hAnsi="新宋体" w:eastAsia="新宋体" w:cs="新宋体"/>
                <w:color w:val="auto"/>
                <w:sz w:val="22"/>
                <w:szCs w:val="22"/>
                <w:highlight w:val="none"/>
              </w:rPr>
              <w:t>巡检</w:t>
            </w:r>
            <w:r>
              <w:rPr>
                <w:rFonts w:hint="eastAsia" w:ascii="新宋体" w:hAnsi="新宋体" w:eastAsia="新宋体" w:cs="新宋体"/>
                <w:color w:val="auto"/>
                <w:sz w:val="22"/>
                <w:szCs w:val="22"/>
                <w:highlight w:val="none"/>
                <w:lang w:val="en-US" w:eastAsia="zh-CN"/>
              </w:rPr>
              <w:t>报告</w:t>
            </w:r>
          </w:p>
        </w:tc>
        <w:tc>
          <w:tcPr>
            <w:tcW w:w="1009" w:type="dxa"/>
            <w:tcBorders>
              <w:top w:val="single" w:color="auto" w:sz="4" w:space="0"/>
              <w:left w:val="single" w:color="auto" w:sz="4" w:space="0"/>
              <w:right w:val="single" w:color="auto" w:sz="4" w:space="0"/>
            </w:tcBorders>
            <w:vAlign w:val="center"/>
          </w:tcPr>
          <w:p w14:paraId="45EB2E94">
            <w:pPr>
              <w:pStyle w:val="78"/>
              <w:rPr>
                <w:rFonts w:ascii="新宋体" w:hAnsi="新宋体" w:eastAsia="新宋体" w:cs="新宋体"/>
                <w:color w:val="auto"/>
                <w:sz w:val="22"/>
                <w:szCs w:val="22"/>
                <w:highlight w:val="none"/>
              </w:rPr>
            </w:pPr>
          </w:p>
        </w:tc>
      </w:tr>
      <w:tr w14:paraId="36FE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tcBorders>
              <w:top w:val="single" w:color="auto" w:sz="4" w:space="0"/>
              <w:left w:val="single" w:color="auto" w:sz="4" w:space="0"/>
              <w:right w:val="single" w:color="auto" w:sz="4" w:space="0"/>
            </w:tcBorders>
            <w:vAlign w:val="center"/>
          </w:tcPr>
          <w:p w14:paraId="350C876D">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3869" w:type="dxa"/>
            <w:tcBorders>
              <w:top w:val="single" w:color="auto" w:sz="4" w:space="0"/>
              <w:left w:val="single" w:color="auto" w:sz="4" w:space="0"/>
              <w:right w:val="single" w:color="auto" w:sz="4" w:space="0"/>
            </w:tcBorders>
            <w:vAlign w:val="center"/>
          </w:tcPr>
          <w:p w14:paraId="19FA1AEC">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平台及</w:t>
            </w:r>
            <w:r>
              <w:rPr>
                <w:rFonts w:hint="eastAsia" w:ascii="新宋体" w:hAnsi="新宋体" w:eastAsia="新宋体" w:cs="新宋体"/>
                <w:color w:val="auto"/>
                <w:sz w:val="22"/>
                <w:szCs w:val="22"/>
                <w:highlight w:val="none"/>
                <w:lang w:val="en-US" w:eastAsia="zh-CN"/>
              </w:rPr>
              <w:t>物联感知</w:t>
            </w:r>
            <w:r>
              <w:rPr>
                <w:rFonts w:hint="eastAsia" w:ascii="新宋体" w:hAnsi="新宋体" w:eastAsia="新宋体" w:cs="新宋体"/>
                <w:color w:val="auto"/>
                <w:sz w:val="22"/>
                <w:szCs w:val="22"/>
                <w:highlight w:val="none"/>
              </w:rPr>
              <w:t>点位</w:t>
            </w:r>
            <w:r>
              <w:rPr>
                <w:rFonts w:hint="eastAsia" w:ascii="新宋体" w:hAnsi="新宋体" w:eastAsia="新宋体" w:cs="新宋体"/>
                <w:color w:val="auto"/>
                <w:sz w:val="22"/>
                <w:szCs w:val="22"/>
                <w:highlight w:val="none"/>
                <w:lang w:val="en-US" w:eastAsia="zh-CN"/>
              </w:rPr>
              <w:t>每日</w:t>
            </w:r>
            <w:r>
              <w:rPr>
                <w:rFonts w:hint="eastAsia" w:ascii="新宋体" w:hAnsi="新宋体" w:eastAsia="新宋体" w:cs="新宋体"/>
                <w:color w:val="auto"/>
                <w:sz w:val="22"/>
                <w:szCs w:val="22"/>
                <w:highlight w:val="none"/>
              </w:rPr>
              <w:t>运维服务</w:t>
            </w:r>
          </w:p>
        </w:tc>
        <w:tc>
          <w:tcPr>
            <w:tcW w:w="3933" w:type="dxa"/>
            <w:tcBorders>
              <w:top w:val="single" w:color="auto" w:sz="4" w:space="0"/>
              <w:left w:val="single" w:color="auto" w:sz="4" w:space="0"/>
              <w:right w:val="single" w:color="auto" w:sz="4" w:space="0"/>
            </w:tcBorders>
            <w:vAlign w:val="center"/>
          </w:tcPr>
          <w:p w14:paraId="04CAA161">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每周平台及点位巡检</w:t>
            </w:r>
            <w:r>
              <w:rPr>
                <w:rFonts w:hint="eastAsia" w:ascii="新宋体" w:hAnsi="新宋体" w:eastAsia="新宋体" w:cs="新宋体"/>
                <w:color w:val="auto"/>
                <w:sz w:val="22"/>
                <w:szCs w:val="22"/>
                <w:highlight w:val="none"/>
              </w:rPr>
              <w:t>报告</w:t>
            </w:r>
          </w:p>
        </w:tc>
        <w:tc>
          <w:tcPr>
            <w:tcW w:w="1009" w:type="dxa"/>
            <w:tcBorders>
              <w:top w:val="single" w:color="auto" w:sz="4" w:space="0"/>
              <w:left w:val="single" w:color="auto" w:sz="4" w:space="0"/>
              <w:right w:val="single" w:color="auto" w:sz="4" w:space="0"/>
            </w:tcBorders>
            <w:vAlign w:val="center"/>
          </w:tcPr>
          <w:p w14:paraId="1613583C">
            <w:pPr>
              <w:pStyle w:val="78"/>
              <w:rPr>
                <w:rFonts w:ascii="新宋体" w:hAnsi="新宋体" w:eastAsia="新宋体" w:cs="新宋体"/>
                <w:color w:val="auto"/>
                <w:sz w:val="22"/>
                <w:szCs w:val="22"/>
                <w:highlight w:val="none"/>
              </w:rPr>
            </w:pPr>
          </w:p>
        </w:tc>
      </w:tr>
      <w:tr w14:paraId="29C5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tcBorders>
              <w:top w:val="single" w:color="auto" w:sz="4" w:space="0"/>
              <w:left w:val="single" w:color="auto" w:sz="4" w:space="0"/>
              <w:right w:val="single" w:color="auto" w:sz="4" w:space="0"/>
            </w:tcBorders>
            <w:vAlign w:val="center"/>
          </w:tcPr>
          <w:p w14:paraId="678169F0">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3869" w:type="dxa"/>
            <w:tcBorders>
              <w:top w:val="single" w:color="auto" w:sz="4" w:space="0"/>
              <w:left w:val="single" w:color="auto" w:sz="4" w:space="0"/>
              <w:right w:val="single" w:color="auto" w:sz="4" w:space="0"/>
            </w:tcBorders>
            <w:vAlign w:val="center"/>
          </w:tcPr>
          <w:p w14:paraId="0BCE948E">
            <w:pPr>
              <w:pStyle w:val="78"/>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rPr>
              <w:t>平台及</w:t>
            </w:r>
            <w:r>
              <w:rPr>
                <w:rFonts w:hint="eastAsia" w:ascii="新宋体" w:hAnsi="新宋体" w:eastAsia="新宋体" w:cs="新宋体"/>
                <w:color w:val="auto"/>
                <w:sz w:val="22"/>
                <w:szCs w:val="22"/>
                <w:highlight w:val="none"/>
                <w:lang w:val="en-US" w:eastAsia="zh-CN"/>
              </w:rPr>
              <w:t>物联感知维护每月维护情况</w:t>
            </w:r>
          </w:p>
        </w:tc>
        <w:tc>
          <w:tcPr>
            <w:tcW w:w="3933" w:type="dxa"/>
            <w:tcBorders>
              <w:top w:val="single" w:color="auto" w:sz="4" w:space="0"/>
              <w:left w:val="single" w:color="auto" w:sz="4" w:space="0"/>
              <w:right w:val="single" w:color="auto" w:sz="4" w:space="0"/>
            </w:tcBorders>
            <w:vAlign w:val="center"/>
          </w:tcPr>
          <w:p w14:paraId="38839715">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每月</w:t>
            </w:r>
            <w:r>
              <w:rPr>
                <w:rFonts w:hint="eastAsia" w:ascii="新宋体" w:hAnsi="新宋体" w:eastAsia="新宋体" w:cs="新宋体"/>
                <w:color w:val="auto"/>
                <w:sz w:val="22"/>
                <w:szCs w:val="22"/>
                <w:highlight w:val="none"/>
              </w:rPr>
              <w:t>服务评价表</w:t>
            </w:r>
          </w:p>
        </w:tc>
        <w:tc>
          <w:tcPr>
            <w:tcW w:w="1009" w:type="dxa"/>
            <w:tcBorders>
              <w:top w:val="single" w:color="auto" w:sz="4" w:space="0"/>
              <w:left w:val="single" w:color="auto" w:sz="4" w:space="0"/>
              <w:right w:val="single" w:color="auto" w:sz="4" w:space="0"/>
            </w:tcBorders>
            <w:vAlign w:val="center"/>
          </w:tcPr>
          <w:p w14:paraId="3BB47ED9">
            <w:pPr>
              <w:pStyle w:val="78"/>
              <w:rPr>
                <w:rFonts w:ascii="新宋体" w:hAnsi="新宋体" w:eastAsia="新宋体" w:cs="新宋体"/>
                <w:color w:val="auto"/>
                <w:sz w:val="22"/>
                <w:szCs w:val="22"/>
                <w:highlight w:val="none"/>
              </w:rPr>
            </w:pPr>
          </w:p>
        </w:tc>
      </w:tr>
      <w:tr w14:paraId="3494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tcBorders>
              <w:top w:val="single" w:color="auto" w:sz="4" w:space="0"/>
              <w:left w:val="single" w:color="auto" w:sz="4" w:space="0"/>
              <w:right w:val="single" w:color="auto" w:sz="4" w:space="0"/>
            </w:tcBorders>
            <w:vAlign w:val="center"/>
          </w:tcPr>
          <w:p w14:paraId="49E13AAD">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3869" w:type="dxa"/>
            <w:tcBorders>
              <w:top w:val="single" w:color="auto" w:sz="4" w:space="0"/>
              <w:left w:val="single" w:color="auto" w:sz="4" w:space="0"/>
              <w:right w:val="single" w:color="auto" w:sz="4" w:space="0"/>
            </w:tcBorders>
            <w:vAlign w:val="center"/>
          </w:tcPr>
          <w:p w14:paraId="7E6F4141">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平台及</w:t>
            </w:r>
            <w:r>
              <w:rPr>
                <w:rFonts w:hint="eastAsia" w:ascii="新宋体" w:hAnsi="新宋体" w:eastAsia="新宋体" w:cs="新宋体"/>
                <w:color w:val="auto"/>
                <w:sz w:val="22"/>
                <w:szCs w:val="22"/>
                <w:highlight w:val="none"/>
                <w:lang w:val="en-US" w:eastAsia="zh-CN"/>
              </w:rPr>
              <w:t>物联感知维护每月维护情况</w:t>
            </w:r>
          </w:p>
        </w:tc>
        <w:tc>
          <w:tcPr>
            <w:tcW w:w="3933" w:type="dxa"/>
            <w:tcBorders>
              <w:top w:val="single" w:color="auto" w:sz="4" w:space="0"/>
              <w:left w:val="single" w:color="auto" w:sz="4" w:space="0"/>
              <w:right w:val="single" w:color="auto" w:sz="4" w:space="0"/>
            </w:tcBorders>
            <w:vAlign w:val="center"/>
          </w:tcPr>
          <w:p w14:paraId="2646C90B">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运维服务质量考核表</w:t>
            </w:r>
          </w:p>
        </w:tc>
        <w:tc>
          <w:tcPr>
            <w:tcW w:w="1009" w:type="dxa"/>
            <w:tcBorders>
              <w:top w:val="single" w:color="auto" w:sz="4" w:space="0"/>
              <w:left w:val="single" w:color="auto" w:sz="4" w:space="0"/>
              <w:right w:val="single" w:color="auto" w:sz="4" w:space="0"/>
            </w:tcBorders>
            <w:vAlign w:val="center"/>
          </w:tcPr>
          <w:p w14:paraId="1363DD55">
            <w:pPr>
              <w:pStyle w:val="78"/>
              <w:rPr>
                <w:rFonts w:ascii="新宋体" w:hAnsi="新宋体" w:eastAsia="新宋体" w:cs="新宋体"/>
                <w:color w:val="auto"/>
                <w:sz w:val="22"/>
                <w:szCs w:val="22"/>
                <w:highlight w:val="none"/>
              </w:rPr>
            </w:pPr>
          </w:p>
        </w:tc>
      </w:tr>
      <w:tr w14:paraId="35CA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39" w:type="dxa"/>
            <w:tcBorders>
              <w:top w:val="single" w:color="auto" w:sz="4" w:space="0"/>
              <w:left w:val="single" w:color="auto" w:sz="4" w:space="0"/>
              <w:bottom w:val="single" w:color="auto" w:sz="4" w:space="0"/>
              <w:right w:val="single" w:color="auto" w:sz="4" w:space="0"/>
            </w:tcBorders>
            <w:vAlign w:val="center"/>
          </w:tcPr>
          <w:p w14:paraId="0FA0F31A">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3869" w:type="dxa"/>
            <w:tcBorders>
              <w:top w:val="single" w:color="auto" w:sz="4" w:space="0"/>
              <w:left w:val="single" w:color="auto" w:sz="4" w:space="0"/>
              <w:bottom w:val="single" w:color="auto" w:sz="4" w:space="0"/>
              <w:right w:val="single" w:color="auto" w:sz="4" w:space="0"/>
            </w:tcBorders>
            <w:vAlign w:val="center"/>
          </w:tcPr>
          <w:p w14:paraId="3A5E33A9">
            <w:pPr>
              <w:pStyle w:val="78"/>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rPr>
              <w:t>平台及</w:t>
            </w:r>
            <w:r>
              <w:rPr>
                <w:rFonts w:hint="eastAsia" w:ascii="新宋体" w:hAnsi="新宋体" w:eastAsia="新宋体" w:cs="新宋体"/>
                <w:color w:val="auto"/>
                <w:sz w:val="22"/>
                <w:szCs w:val="22"/>
                <w:highlight w:val="none"/>
                <w:lang w:val="en-US" w:eastAsia="zh-CN"/>
              </w:rPr>
              <w:t>物联感知维护故障处置</w:t>
            </w:r>
          </w:p>
        </w:tc>
        <w:tc>
          <w:tcPr>
            <w:tcW w:w="3933" w:type="dxa"/>
            <w:tcBorders>
              <w:top w:val="single" w:color="auto" w:sz="4" w:space="0"/>
              <w:left w:val="single" w:color="auto" w:sz="4" w:space="0"/>
              <w:bottom w:val="single" w:color="auto" w:sz="4" w:space="0"/>
              <w:right w:val="single" w:color="auto" w:sz="4" w:space="0"/>
            </w:tcBorders>
            <w:vAlign w:val="center"/>
          </w:tcPr>
          <w:p w14:paraId="2C80E75B">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平台及</w:t>
            </w:r>
            <w:r>
              <w:rPr>
                <w:rFonts w:hint="eastAsia" w:ascii="新宋体" w:hAnsi="新宋体" w:eastAsia="新宋体" w:cs="新宋体"/>
                <w:color w:val="auto"/>
                <w:sz w:val="22"/>
                <w:szCs w:val="22"/>
                <w:highlight w:val="none"/>
                <w:lang w:val="en-US" w:eastAsia="zh-CN"/>
              </w:rPr>
              <w:t>物联感知维护故障处置</w:t>
            </w:r>
            <w:r>
              <w:rPr>
                <w:rFonts w:hint="eastAsia" w:ascii="新宋体" w:hAnsi="新宋体" w:eastAsia="新宋体" w:cs="新宋体"/>
                <w:color w:val="auto"/>
                <w:sz w:val="22"/>
                <w:szCs w:val="22"/>
                <w:highlight w:val="none"/>
              </w:rPr>
              <w:t>台账</w:t>
            </w:r>
          </w:p>
        </w:tc>
        <w:tc>
          <w:tcPr>
            <w:tcW w:w="1009" w:type="dxa"/>
            <w:tcBorders>
              <w:top w:val="single" w:color="auto" w:sz="4" w:space="0"/>
              <w:left w:val="single" w:color="auto" w:sz="4" w:space="0"/>
              <w:bottom w:val="single" w:color="auto" w:sz="4" w:space="0"/>
              <w:right w:val="single" w:color="auto" w:sz="4" w:space="0"/>
            </w:tcBorders>
            <w:vAlign w:val="center"/>
          </w:tcPr>
          <w:p w14:paraId="438FF611">
            <w:pPr>
              <w:pStyle w:val="78"/>
              <w:rPr>
                <w:rFonts w:ascii="新宋体" w:hAnsi="新宋体" w:eastAsia="新宋体" w:cs="新宋体"/>
                <w:color w:val="auto"/>
                <w:sz w:val="22"/>
                <w:szCs w:val="22"/>
                <w:highlight w:val="none"/>
              </w:rPr>
            </w:pPr>
          </w:p>
        </w:tc>
      </w:tr>
      <w:tr w14:paraId="5ECE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tcBorders>
              <w:top w:val="single" w:color="auto" w:sz="4" w:space="0"/>
              <w:left w:val="single" w:color="auto" w:sz="4" w:space="0"/>
              <w:right w:val="single" w:color="auto" w:sz="4" w:space="0"/>
            </w:tcBorders>
            <w:vAlign w:val="center"/>
          </w:tcPr>
          <w:p w14:paraId="3B4C16C4">
            <w:pPr>
              <w:pStyle w:val="78"/>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w:t>
            </w:r>
          </w:p>
        </w:tc>
        <w:tc>
          <w:tcPr>
            <w:tcW w:w="3869" w:type="dxa"/>
            <w:tcBorders>
              <w:top w:val="single" w:color="auto" w:sz="4" w:space="0"/>
              <w:left w:val="single" w:color="auto" w:sz="4" w:space="0"/>
              <w:right w:val="single" w:color="auto" w:sz="4" w:space="0"/>
            </w:tcBorders>
            <w:vAlign w:val="center"/>
          </w:tcPr>
          <w:p w14:paraId="3645E7AC">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平台及</w:t>
            </w:r>
            <w:r>
              <w:rPr>
                <w:rFonts w:hint="eastAsia" w:ascii="新宋体" w:hAnsi="新宋体" w:eastAsia="新宋体" w:cs="新宋体"/>
                <w:color w:val="auto"/>
                <w:sz w:val="22"/>
                <w:szCs w:val="22"/>
                <w:highlight w:val="none"/>
                <w:lang w:val="en-US" w:eastAsia="zh-CN"/>
              </w:rPr>
              <w:t>物联感知维护</w:t>
            </w:r>
          </w:p>
        </w:tc>
        <w:tc>
          <w:tcPr>
            <w:tcW w:w="3933" w:type="dxa"/>
            <w:tcBorders>
              <w:top w:val="single" w:color="auto" w:sz="4" w:space="0"/>
              <w:left w:val="single" w:color="auto" w:sz="4" w:space="0"/>
              <w:right w:val="single" w:color="auto" w:sz="4" w:space="0"/>
            </w:tcBorders>
            <w:vAlign w:val="center"/>
          </w:tcPr>
          <w:p w14:paraId="2E04AED2">
            <w:pPr>
              <w:pStyle w:val="78"/>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年度总结报告</w:t>
            </w:r>
          </w:p>
        </w:tc>
        <w:tc>
          <w:tcPr>
            <w:tcW w:w="1009" w:type="dxa"/>
            <w:tcBorders>
              <w:top w:val="single" w:color="auto" w:sz="4" w:space="0"/>
              <w:left w:val="single" w:color="auto" w:sz="4" w:space="0"/>
              <w:right w:val="single" w:color="auto" w:sz="4" w:space="0"/>
            </w:tcBorders>
            <w:vAlign w:val="center"/>
          </w:tcPr>
          <w:p w14:paraId="6C26A8C4">
            <w:pPr>
              <w:pStyle w:val="78"/>
              <w:rPr>
                <w:rFonts w:ascii="新宋体" w:hAnsi="新宋体" w:eastAsia="新宋体" w:cs="新宋体"/>
                <w:color w:val="auto"/>
                <w:sz w:val="22"/>
                <w:szCs w:val="22"/>
                <w:highlight w:val="none"/>
              </w:rPr>
            </w:pPr>
          </w:p>
        </w:tc>
      </w:tr>
    </w:tbl>
    <w:p w14:paraId="35D651DE">
      <w:pPr>
        <w:pStyle w:val="55"/>
        <w:ind w:firstLine="221"/>
        <w:rPr>
          <w:rFonts w:ascii="新宋体" w:hAnsi="新宋体" w:eastAsia="新宋体" w:cs="新宋体"/>
          <w:bCs/>
          <w:color w:val="auto"/>
          <w:sz w:val="22"/>
          <w:szCs w:val="22"/>
          <w:highlight w:val="none"/>
        </w:rPr>
      </w:pPr>
    </w:p>
    <w:p w14:paraId="7FEEA79D">
      <w:pPr>
        <w:spacing w:line="440" w:lineRule="exact"/>
        <w:ind w:firstLine="442" w:firstLineChars="20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五、</w:t>
      </w:r>
      <w:r>
        <w:rPr>
          <w:rFonts w:hint="eastAsia" w:ascii="新宋体" w:hAnsi="新宋体" w:eastAsia="新宋体" w:cs="新宋体"/>
          <w:b/>
          <w:color w:val="auto"/>
          <w:sz w:val="22"/>
          <w:szCs w:val="22"/>
          <w:highlight w:val="none"/>
          <w:lang w:val="en-US" w:eastAsia="zh-CN"/>
        </w:rPr>
        <w:t>物联感知</w:t>
      </w:r>
      <w:r>
        <w:rPr>
          <w:rFonts w:hint="eastAsia" w:ascii="新宋体" w:hAnsi="新宋体" w:eastAsia="新宋体" w:cs="新宋体"/>
          <w:b/>
          <w:color w:val="auto"/>
          <w:sz w:val="22"/>
          <w:szCs w:val="22"/>
          <w:highlight w:val="none"/>
        </w:rPr>
        <w:t>部分点位清单</w:t>
      </w:r>
    </w:p>
    <w:p w14:paraId="62B3F8A7">
      <w:pPr>
        <w:pStyle w:val="55"/>
        <w:ind w:left="420" w:firstLine="0" w:firstLineChars="0"/>
        <w:jc w:val="both"/>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1</w:t>
      </w:r>
      <w:r>
        <w:rPr>
          <w:rFonts w:hint="eastAsia" w:ascii="新宋体" w:hAnsi="新宋体" w:eastAsia="新宋体" w:cs="新宋体"/>
          <w:bCs/>
          <w:color w:val="auto"/>
          <w:sz w:val="22"/>
          <w:szCs w:val="22"/>
          <w:highlight w:val="none"/>
        </w:rPr>
        <w:t>. 85路港航点位清单</w:t>
      </w:r>
    </w:p>
    <w:tbl>
      <w:tblPr>
        <w:tblStyle w:val="57"/>
        <w:tblW w:w="9852" w:type="dxa"/>
        <w:tblInd w:w="0" w:type="dxa"/>
        <w:tblLayout w:type="fixed"/>
        <w:tblCellMar>
          <w:top w:w="0" w:type="dxa"/>
          <w:left w:w="108" w:type="dxa"/>
          <w:bottom w:w="0" w:type="dxa"/>
          <w:right w:w="108" w:type="dxa"/>
        </w:tblCellMar>
      </w:tblPr>
      <w:tblGrid>
        <w:gridCol w:w="1316"/>
        <w:gridCol w:w="8536"/>
      </w:tblGrid>
      <w:tr w14:paraId="34A2B393">
        <w:tblPrEx>
          <w:tblCellMar>
            <w:top w:w="0" w:type="dxa"/>
            <w:left w:w="108" w:type="dxa"/>
            <w:bottom w:w="0" w:type="dxa"/>
            <w:right w:w="108" w:type="dxa"/>
          </w:tblCellMar>
        </w:tblPrEx>
        <w:trPr>
          <w:trHeight w:val="567" w:hRule="atLeast"/>
          <w:tblHeader/>
        </w:trPr>
        <w:tc>
          <w:tcPr>
            <w:tcW w:w="1316"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17D8BB">
            <w:pPr>
              <w:widowControl/>
              <w:jc w:val="center"/>
              <w:textAlignment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rPr>
              <w:t>序号</w:t>
            </w:r>
          </w:p>
        </w:tc>
        <w:tc>
          <w:tcPr>
            <w:tcW w:w="8536" w:type="dxa"/>
            <w:tcBorders>
              <w:top w:val="single" w:color="000000" w:sz="8" w:space="0"/>
              <w:left w:val="nil"/>
              <w:bottom w:val="single" w:color="000000" w:sz="8" w:space="0"/>
              <w:right w:val="single" w:color="000000" w:sz="8" w:space="0"/>
            </w:tcBorders>
            <w:shd w:val="clear" w:color="auto" w:fill="FFFFFF"/>
            <w:vAlign w:val="center"/>
          </w:tcPr>
          <w:p w14:paraId="65DC081B">
            <w:pPr>
              <w:widowControl/>
              <w:jc w:val="center"/>
              <w:textAlignment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rPr>
              <w:t>视频监控点位名称</w:t>
            </w:r>
          </w:p>
        </w:tc>
      </w:tr>
      <w:tr w14:paraId="0E81AE47">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6E820A71">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w:t>
            </w:r>
          </w:p>
        </w:tc>
        <w:tc>
          <w:tcPr>
            <w:tcW w:w="8536" w:type="dxa"/>
            <w:tcBorders>
              <w:top w:val="nil"/>
              <w:left w:val="nil"/>
              <w:bottom w:val="single" w:color="000000" w:sz="8" w:space="0"/>
              <w:right w:val="single" w:color="000000" w:sz="8" w:space="0"/>
            </w:tcBorders>
            <w:shd w:val="clear" w:color="auto" w:fill="FFFFFF"/>
            <w:vAlign w:val="center"/>
          </w:tcPr>
          <w:p w14:paraId="1CB5461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机场大道155号状元油库1</w:t>
            </w:r>
          </w:p>
        </w:tc>
      </w:tr>
      <w:tr w14:paraId="3232FB82">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3153A2B">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w:t>
            </w:r>
          </w:p>
        </w:tc>
        <w:tc>
          <w:tcPr>
            <w:tcW w:w="8536" w:type="dxa"/>
            <w:tcBorders>
              <w:top w:val="nil"/>
              <w:left w:val="nil"/>
              <w:bottom w:val="single" w:color="000000" w:sz="8" w:space="0"/>
              <w:right w:val="single" w:color="000000" w:sz="8" w:space="0"/>
            </w:tcBorders>
            <w:shd w:val="clear" w:color="auto" w:fill="FFFFFF"/>
            <w:vAlign w:val="center"/>
          </w:tcPr>
          <w:p w14:paraId="72054B38">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机场大道温州中油石油销售有限公司1</w:t>
            </w:r>
          </w:p>
        </w:tc>
      </w:tr>
      <w:tr w14:paraId="3E18DD97">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2BA13FC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w:t>
            </w:r>
          </w:p>
        </w:tc>
        <w:tc>
          <w:tcPr>
            <w:tcW w:w="8536" w:type="dxa"/>
            <w:tcBorders>
              <w:top w:val="nil"/>
              <w:left w:val="nil"/>
              <w:bottom w:val="single" w:color="000000" w:sz="8" w:space="0"/>
              <w:right w:val="single" w:color="000000" w:sz="8" w:space="0"/>
            </w:tcBorders>
            <w:shd w:val="clear" w:color="auto" w:fill="FFFFFF"/>
            <w:vAlign w:val="center"/>
          </w:tcPr>
          <w:p w14:paraId="128EB867">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机场大道港口石化二期1</w:t>
            </w:r>
          </w:p>
        </w:tc>
      </w:tr>
      <w:tr w14:paraId="5A4312E2">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CFF0451">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w:t>
            </w:r>
          </w:p>
        </w:tc>
        <w:tc>
          <w:tcPr>
            <w:tcW w:w="8536" w:type="dxa"/>
            <w:tcBorders>
              <w:top w:val="nil"/>
              <w:left w:val="nil"/>
              <w:bottom w:val="single" w:color="000000" w:sz="8" w:space="0"/>
              <w:right w:val="single" w:color="000000" w:sz="8" w:space="0"/>
            </w:tcBorders>
            <w:shd w:val="clear" w:color="auto" w:fill="FFFFFF"/>
            <w:vAlign w:val="center"/>
          </w:tcPr>
          <w:p w14:paraId="3099246C">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机场大道港口石化二期2</w:t>
            </w:r>
          </w:p>
        </w:tc>
      </w:tr>
      <w:tr w14:paraId="7419733C">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000D2FF">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w:t>
            </w:r>
          </w:p>
        </w:tc>
        <w:tc>
          <w:tcPr>
            <w:tcW w:w="8536" w:type="dxa"/>
            <w:tcBorders>
              <w:top w:val="nil"/>
              <w:left w:val="nil"/>
              <w:bottom w:val="single" w:color="000000" w:sz="8" w:space="0"/>
              <w:right w:val="single" w:color="000000" w:sz="8" w:space="0"/>
            </w:tcBorders>
            <w:shd w:val="clear" w:color="auto" w:fill="FFFFFF"/>
            <w:vAlign w:val="center"/>
          </w:tcPr>
          <w:p w14:paraId="2FC6356A">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水心小南门水上巴士</w:t>
            </w:r>
          </w:p>
        </w:tc>
      </w:tr>
      <w:tr w14:paraId="09D3440F">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EAD4A8F">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w:t>
            </w:r>
          </w:p>
        </w:tc>
        <w:tc>
          <w:tcPr>
            <w:tcW w:w="8536" w:type="dxa"/>
            <w:tcBorders>
              <w:top w:val="nil"/>
              <w:left w:val="nil"/>
              <w:bottom w:val="single" w:color="000000" w:sz="8" w:space="0"/>
              <w:right w:val="single" w:color="000000" w:sz="8" w:space="0"/>
            </w:tcBorders>
            <w:shd w:val="clear" w:color="auto" w:fill="FFFFFF"/>
            <w:vAlign w:val="center"/>
          </w:tcPr>
          <w:p w14:paraId="6A47B555">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南塘塘河大桥</w:t>
            </w:r>
          </w:p>
        </w:tc>
      </w:tr>
      <w:tr w14:paraId="13F5C28F">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DD94BA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w:t>
            </w:r>
          </w:p>
        </w:tc>
        <w:tc>
          <w:tcPr>
            <w:tcW w:w="8536" w:type="dxa"/>
            <w:tcBorders>
              <w:top w:val="nil"/>
              <w:left w:val="nil"/>
              <w:bottom w:val="single" w:color="000000" w:sz="8" w:space="0"/>
              <w:right w:val="single" w:color="000000" w:sz="8" w:space="0"/>
            </w:tcBorders>
            <w:shd w:val="clear" w:color="auto" w:fill="FFFFFF"/>
            <w:vAlign w:val="center"/>
          </w:tcPr>
          <w:p w14:paraId="750869E0">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南白象白象后大桥</w:t>
            </w:r>
          </w:p>
        </w:tc>
      </w:tr>
      <w:tr w14:paraId="467F6926">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01BDC62">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w:t>
            </w:r>
          </w:p>
        </w:tc>
        <w:tc>
          <w:tcPr>
            <w:tcW w:w="8536" w:type="dxa"/>
            <w:tcBorders>
              <w:top w:val="nil"/>
              <w:left w:val="nil"/>
              <w:bottom w:val="single" w:color="000000" w:sz="8" w:space="0"/>
              <w:right w:val="single" w:color="000000" w:sz="8" w:space="0"/>
            </w:tcBorders>
            <w:shd w:val="clear" w:color="auto" w:fill="FFFFFF"/>
            <w:vAlign w:val="center"/>
          </w:tcPr>
          <w:p w14:paraId="5EF3BD8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南白象永瑞桥</w:t>
            </w:r>
          </w:p>
        </w:tc>
      </w:tr>
      <w:tr w14:paraId="48E9AED7">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203B3B61">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9</w:t>
            </w:r>
          </w:p>
        </w:tc>
        <w:tc>
          <w:tcPr>
            <w:tcW w:w="8536" w:type="dxa"/>
            <w:tcBorders>
              <w:top w:val="nil"/>
              <w:left w:val="nil"/>
              <w:bottom w:val="single" w:color="000000" w:sz="8" w:space="0"/>
              <w:right w:val="single" w:color="000000" w:sz="8" w:space="0"/>
            </w:tcBorders>
            <w:shd w:val="clear" w:color="auto" w:fill="FFFFFF"/>
            <w:vAlign w:val="center"/>
          </w:tcPr>
          <w:p w14:paraId="23A686DD">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藤桥嘉力化工</w:t>
            </w:r>
          </w:p>
        </w:tc>
      </w:tr>
      <w:tr w14:paraId="7F47A021">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78DFB5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10</w:t>
            </w:r>
          </w:p>
        </w:tc>
        <w:tc>
          <w:tcPr>
            <w:tcW w:w="8536" w:type="dxa"/>
            <w:tcBorders>
              <w:top w:val="nil"/>
              <w:left w:val="nil"/>
              <w:bottom w:val="single" w:color="000000" w:sz="8" w:space="0"/>
              <w:right w:val="single" w:color="000000" w:sz="8" w:space="0"/>
            </w:tcBorders>
            <w:shd w:val="clear" w:color="auto" w:fill="FFFFFF"/>
            <w:vAlign w:val="center"/>
          </w:tcPr>
          <w:p w14:paraId="3FCA8FA3">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七都东沙码头</w:t>
            </w:r>
          </w:p>
        </w:tc>
      </w:tr>
      <w:tr w14:paraId="3F3297D8">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3D54415A">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11</w:t>
            </w:r>
          </w:p>
        </w:tc>
        <w:tc>
          <w:tcPr>
            <w:tcW w:w="8536" w:type="dxa"/>
            <w:tcBorders>
              <w:top w:val="nil"/>
              <w:left w:val="nil"/>
              <w:bottom w:val="single" w:color="000000" w:sz="8" w:space="0"/>
              <w:right w:val="single" w:color="000000" w:sz="8" w:space="0"/>
            </w:tcBorders>
            <w:shd w:val="clear" w:color="auto" w:fill="FFFFFF"/>
            <w:vAlign w:val="center"/>
          </w:tcPr>
          <w:p w14:paraId="4361F6D5">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机场大道太平洋石化有限公司1</w:t>
            </w:r>
          </w:p>
        </w:tc>
      </w:tr>
      <w:tr w14:paraId="7E866189">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253DC06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12</w:t>
            </w:r>
          </w:p>
        </w:tc>
        <w:tc>
          <w:tcPr>
            <w:tcW w:w="8536" w:type="dxa"/>
            <w:tcBorders>
              <w:top w:val="nil"/>
              <w:left w:val="nil"/>
              <w:bottom w:val="single" w:color="000000" w:sz="8" w:space="0"/>
              <w:right w:val="single" w:color="000000" w:sz="8" w:space="0"/>
            </w:tcBorders>
            <w:shd w:val="clear" w:color="auto" w:fill="FFFFFF"/>
            <w:vAlign w:val="center"/>
          </w:tcPr>
          <w:p w14:paraId="01FEF761">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仙岩穗丰</w:t>
            </w:r>
          </w:p>
        </w:tc>
      </w:tr>
      <w:tr w14:paraId="5AAC4F44">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1484DF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13</w:t>
            </w:r>
          </w:p>
        </w:tc>
        <w:tc>
          <w:tcPr>
            <w:tcW w:w="8536" w:type="dxa"/>
            <w:tcBorders>
              <w:top w:val="nil"/>
              <w:left w:val="nil"/>
              <w:bottom w:val="single" w:color="000000" w:sz="8" w:space="0"/>
              <w:right w:val="single" w:color="000000" w:sz="8" w:space="0"/>
            </w:tcBorders>
            <w:shd w:val="clear" w:color="auto" w:fill="FFFFFF"/>
            <w:vAlign w:val="center"/>
          </w:tcPr>
          <w:p w14:paraId="44328A15">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平阳安信混凝土有限公司2</w:t>
            </w:r>
          </w:p>
        </w:tc>
      </w:tr>
      <w:tr w14:paraId="507227C8">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2A31353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14</w:t>
            </w:r>
          </w:p>
        </w:tc>
        <w:tc>
          <w:tcPr>
            <w:tcW w:w="8536" w:type="dxa"/>
            <w:tcBorders>
              <w:top w:val="nil"/>
              <w:left w:val="nil"/>
              <w:bottom w:val="single" w:color="000000" w:sz="8" w:space="0"/>
              <w:right w:val="single" w:color="000000" w:sz="8" w:space="0"/>
            </w:tcBorders>
            <w:shd w:val="clear" w:color="auto" w:fill="FFFFFF"/>
            <w:vAlign w:val="center"/>
          </w:tcPr>
          <w:p w14:paraId="62641F8A">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平阳中燃能源公司有限公司</w:t>
            </w:r>
          </w:p>
        </w:tc>
      </w:tr>
      <w:tr w14:paraId="02866C6C">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2E816CD">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15</w:t>
            </w:r>
          </w:p>
        </w:tc>
        <w:tc>
          <w:tcPr>
            <w:tcW w:w="8536" w:type="dxa"/>
            <w:tcBorders>
              <w:top w:val="nil"/>
              <w:left w:val="nil"/>
              <w:bottom w:val="single" w:color="000000" w:sz="8" w:space="0"/>
              <w:right w:val="single" w:color="000000" w:sz="8" w:space="0"/>
            </w:tcBorders>
            <w:shd w:val="clear" w:color="auto" w:fill="FFFFFF"/>
            <w:vAlign w:val="center"/>
          </w:tcPr>
          <w:p w14:paraId="1A35449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鳌江客运码头1</w:t>
            </w:r>
          </w:p>
        </w:tc>
      </w:tr>
      <w:tr w14:paraId="67918823">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4D8DB2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16</w:t>
            </w:r>
          </w:p>
        </w:tc>
        <w:tc>
          <w:tcPr>
            <w:tcW w:w="8536" w:type="dxa"/>
            <w:tcBorders>
              <w:top w:val="nil"/>
              <w:left w:val="nil"/>
              <w:bottom w:val="single" w:color="000000" w:sz="8" w:space="0"/>
              <w:right w:val="single" w:color="000000" w:sz="8" w:space="0"/>
            </w:tcBorders>
            <w:shd w:val="clear" w:color="auto" w:fill="FFFFFF"/>
            <w:vAlign w:val="center"/>
          </w:tcPr>
          <w:p w14:paraId="6F9859B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鳌江客运码头2</w:t>
            </w:r>
          </w:p>
        </w:tc>
      </w:tr>
      <w:tr w14:paraId="41E73EF2">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FEBC7A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17</w:t>
            </w:r>
          </w:p>
        </w:tc>
        <w:tc>
          <w:tcPr>
            <w:tcW w:w="8536" w:type="dxa"/>
            <w:tcBorders>
              <w:top w:val="nil"/>
              <w:left w:val="nil"/>
              <w:bottom w:val="single" w:color="000000" w:sz="8" w:space="0"/>
              <w:right w:val="single" w:color="000000" w:sz="8" w:space="0"/>
            </w:tcBorders>
            <w:shd w:val="clear" w:color="auto" w:fill="FFFFFF"/>
            <w:vAlign w:val="center"/>
          </w:tcPr>
          <w:p w14:paraId="4836DE6B">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港航管理码头</w:t>
            </w:r>
          </w:p>
        </w:tc>
      </w:tr>
      <w:tr w14:paraId="2B2323AE">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6ECDB9AF">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18</w:t>
            </w:r>
          </w:p>
        </w:tc>
        <w:tc>
          <w:tcPr>
            <w:tcW w:w="8536" w:type="dxa"/>
            <w:tcBorders>
              <w:top w:val="nil"/>
              <w:left w:val="nil"/>
              <w:bottom w:val="single" w:color="000000" w:sz="8" w:space="0"/>
              <w:right w:val="single" w:color="000000" w:sz="8" w:space="0"/>
            </w:tcBorders>
            <w:shd w:val="clear" w:color="auto" w:fill="FFFFFF"/>
            <w:vAlign w:val="center"/>
          </w:tcPr>
          <w:p w14:paraId="37661D4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瑞安中石油江南油库1</w:t>
            </w:r>
          </w:p>
        </w:tc>
      </w:tr>
      <w:tr w14:paraId="3D5F22FA">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4A3CA98">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19</w:t>
            </w:r>
          </w:p>
        </w:tc>
        <w:tc>
          <w:tcPr>
            <w:tcW w:w="8536" w:type="dxa"/>
            <w:tcBorders>
              <w:top w:val="nil"/>
              <w:left w:val="nil"/>
              <w:bottom w:val="single" w:color="000000" w:sz="8" w:space="0"/>
              <w:right w:val="single" w:color="000000" w:sz="8" w:space="0"/>
            </w:tcBorders>
            <w:shd w:val="clear" w:color="auto" w:fill="FFFFFF"/>
            <w:vAlign w:val="center"/>
          </w:tcPr>
          <w:p w14:paraId="58ABD62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瑞安中石油江南油库2</w:t>
            </w:r>
          </w:p>
        </w:tc>
      </w:tr>
      <w:tr w14:paraId="4C48BC79">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37BCC8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20</w:t>
            </w:r>
          </w:p>
        </w:tc>
        <w:tc>
          <w:tcPr>
            <w:tcW w:w="8536" w:type="dxa"/>
            <w:tcBorders>
              <w:top w:val="nil"/>
              <w:left w:val="nil"/>
              <w:bottom w:val="single" w:color="000000" w:sz="8" w:space="0"/>
              <w:right w:val="single" w:color="000000" w:sz="8" w:space="0"/>
            </w:tcBorders>
            <w:shd w:val="clear" w:color="auto" w:fill="FFFFFF"/>
            <w:vAlign w:val="center"/>
          </w:tcPr>
          <w:p w14:paraId="09F7299C">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瑞安中石化油库1</w:t>
            </w:r>
          </w:p>
        </w:tc>
      </w:tr>
      <w:tr w14:paraId="03A274B6">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BA4C2A1">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21</w:t>
            </w:r>
          </w:p>
        </w:tc>
        <w:tc>
          <w:tcPr>
            <w:tcW w:w="8536" w:type="dxa"/>
            <w:tcBorders>
              <w:top w:val="nil"/>
              <w:left w:val="nil"/>
              <w:bottom w:val="single" w:color="000000" w:sz="8" w:space="0"/>
              <w:right w:val="single" w:color="000000" w:sz="8" w:space="0"/>
            </w:tcBorders>
            <w:shd w:val="clear" w:color="auto" w:fill="FFFFFF"/>
            <w:vAlign w:val="center"/>
          </w:tcPr>
          <w:p w14:paraId="58DB08DC">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瑞安华峰物流码头1</w:t>
            </w:r>
          </w:p>
        </w:tc>
      </w:tr>
      <w:tr w14:paraId="7AA53407">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56E532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22</w:t>
            </w:r>
          </w:p>
        </w:tc>
        <w:tc>
          <w:tcPr>
            <w:tcW w:w="8536" w:type="dxa"/>
            <w:tcBorders>
              <w:top w:val="nil"/>
              <w:left w:val="nil"/>
              <w:bottom w:val="single" w:color="000000" w:sz="8" w:space="0"/>
              <w:right w:val="single" w:color="000000" w:sz="8" w:space="0"/>
            </w:tcBorders>
            <w:shd w:val="clear" w:color="auto" w:fill="FFFFFF"/>
            <w:vAlign w:val="center"/>
          </w:tcPr>
          <w:p w14:paraId="1E0E866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瑞安港客运站</w:t>
            </w:r>
          </w:p>
        </w:tc>
      </w:tr>
      <w:tr w14:paraId="0423988D">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9987CB4">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23</w:t>
            </w:r>
          </w:p>
        </w:tc>
        <w:tc>
          <w:tcPr>
            <w:tcW w:w="8536" w:type="dxa"/>
            <w:tcBorders>
              <w:top w:val="nil"/>
              <w:left w:val="nil"/>
              <w:bottom w:val="single" w:color="000000" w:sz="8" w:space="0"/>
              <w:right w:val="single" w:color="000000" w:sz="8" w:space="0"/>
            </w:tcBorders>
            <w:shd w:val="clear" w:color="auto" w:fill="FFFFFF"/>
            <w:vAlign w:val="center"/>
          </w:tcPr>
          <w:p w14:paraId="25F5E4CD">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欧华码头</w:t>
            </w:r>
          </w:p>
        </w:tc>
      </w:tr>
      <w:tr w14:paraId="7DBA3AF0">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AA6D99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24</w:t>
            </w:r>
          </w:p>
        </w:tc>
        <w:tc>
          <w:tcPr>
            <w:tcW w:w="8536" w:type="dxa"/>
            <w:tcBorders>
              <w:top w:val="nil"/>
              <w:left w:val="nil"/>
              <w:bottom w:val="single" w:color="000000" w:sz="8" w:space="0"/>
              <w:right w:val="single" w:color="000000" w:sz="8" w:space="0"/>
            </w:tcBorders>
            <w:shd w:val="clear" w:color="auto" w:fill="FFFFFF"/>
            <w:vAlign w:val="center"/>
          </w:tcPr>
          <w:p w14:paraId="0AFD14D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洞头区鹿西岛口筐村中石油码头</w:t>
            </w:r>
          </w:p>
        </w:tc>
      </w:tr>
      <w:tr w14:paraId="22B730FD">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59E298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25</w:t>
            </w:r>
          </w:p>
        </w:tc>
        <w:tc>
          <w:tcPr>
            <w:tcW w:w="8536" w:type="dxa"/>
            <w:tcBorders>
              <w:top w:val="nil"/>
              <w:left w:val="nil"/>
              <w:bottom w:val="single" w:color="000000" w:sz="8" w:space="0"/>
              <w:right w:val="single" w:color="000000" w:sz="8" w:space="0"/>
            </w:tcBorders>
            <w:shd w:val="clear" w:color="auto" w:fill="FFFFFF"/>
            <w:vAlign w:val="center"/>
          </w:tcPr>
          <w:p w14:paraId="59224731">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大门岛潭头码头</w:t>
            </w:r>
          </w:p>
        </w:tc>
      </w:tr>
      <w:tr w14:paraId="0393F0F7">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7737DA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26</w:t>
            </w:r>
          </w:p>
        </w:tc>
        <w:tc>
          <w:tcPr>
            <w:tcW w:w="8536" w:type="dxa"/>
            <w:tcBorders>
              <w:top w:val="nil"/>
              <w:left w:val="nil"/>
              <w:bottom w:val="single" w:color="000000" w:sz="8" w:space="0"/>
              <w:right w:val="single" w:color="000000" w:sz="8" w:space="0"/>
            </w:tcBorders>
            <w:shd w:val="clear" w:color="auto" w:fill="FFFFFF"/>
            <w:vAlign w:val="center"/>
          </w:tcPr>
          <w:p w14:paraId="3A655AF5">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元觉码头小北岙渡口</w:t>
            </w:r>
          </w:p>
        </w:tc>
      </w:tr>
      <w:tr w14:paraId="0DF8C72A">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B263E1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27</w:t>
            </w:r>
          </w:p>
        </w:tc>
        <w:tc>
          <w:tcPr>
            <w:tcW w:w="8536" w:type="dxa"/>
            <w:tcBorders>
              <w:top w:val="nil"/>
              <w:left w:val="nil"/>
              <w:bottom w:val="single" w:color="000000" w:sz="8" w:space="0"/>
              <w:right w:val="single" w:color="000000" w:sz="8" w:space="0"/>
            </w:tcBorders>
            <w:shd w:val="clear" w:color="auto" w:fill="FFFFFF"/>
            <w:vAlign w:val="center"/>
          </w:tcPr>
          <w:p w14:paraId="6CDA47E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白象琯头村金川闸口</w:t>
            </w:r>
          </w:p>
        </w:tc>
      </w:tr>
      <w:tr w14:paraId="6080E9FC">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C3C582D">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28</w:t>
            </w:r>
          </w:p>
        </w:tc>
        <w:tc>
          <w:tcPr>
            <w:tcW w:w="8536" w:type="dxa"/>
            <w:tcBorders>
              <w:top w:val="nil"/>
              <w:left w:val="nil"/>
              <w:bottom w:val="single" w:color="000000" w:sz="8" w:space="0"/>
              <w:right w:val="single" w:color="000000" w:sz="8" w:space="0"/>
            </w:tcBorders>
            <w:shd w:val="clear" w:color="auto" w:fill="FFFFFF"/>
            <w:vAlign w:val="center"/>
          </w:tcPr>
          <w:p w14:paraId="64E08AA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柳市文昌阁四岔口3</w:t>
            </w:r>
          </w:p>
        </w:tc>
      </w:tr>
      <w:tr w14:paraId="0E692756">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FEEFA3C">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29</w:t>
            </w:r>
          </w:p>
        </w:tc>
        <w:tc>
          <w:tcPr>
            <w:tcW w:w="8536" w:type="dxa"/>
            <w:tcBorders>
              <w:top w:val="nil"/>
              <w:left w:val="nil"/>
              <w:bottom w:val="single" w:color="000000" w:sz="8" w:space="0"/>
              <w:right w:val="single" w:color="000000" w:sz="8" w:space="0"/>
            </w:tcBorders>
            <w:shd w:val="clear" w:color="auto" w:fill="FFFFFF"/>
            <w:vAlign w:val="center"/>
          </w:tcPr>
          <w:p w14:paraId="5740765B">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柳市文昌阁四岔口2</w:t>
            </w:r>
          </w:p>
        </w:tc>
      </w:tr>
      <w:tr w14:paraId="7CBB658D">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6ACDFD9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30</w:t>
            </w:r>
          </w:p>
        </w:tc>
        <w:tc>
          <w:tcPr>
            <w:tcW w:w="8536" w:type="dxa"/>
            <w:tcBorders>
              <w:top w:val="nil"/>
              <w:left w:val="nil"/>
              <w:bottom w:val="single" w:color="000000" w:sz="8" w:space="0"/>
              <w:right w:val="single" w:color="000000" w:sz="8" w:space="0"/>
            </w:tcBorders>
            <w:shd w:val="clear" w:color="auto" w:fill="FFFFFF"/>
            <w:vAlign w:val="center"/>
          </w:tcPr>
          <w:p w14:paraId="04CD62F5">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龙港新美洲龙达液化气1</w:t>
            </w:r>
          </w:p>
        </w:tc>
      </w:tr>
      <w:tr w14:paraId="4E37E4EF">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7B562B4">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31</w:t>
            </w:r>
          </w:p>
        </w:tc>
        <w:tc>
          <w:tcPr>
            <w:tcW w:w="8536" w:type="dxa"/>
            <w:tcBorders>
              <w:top w:val="nil"/>
              <w:left w:val="nil"/>
              <w:bottom w:val="single" w:color="000000" w:sz="8" w:space="0"/>
              <w:right w:val="single" w:color="000000" w:sz="8" w:space="0"/>
            </w:tcBorders>
            <w:shd w:val="clear" w:color="auto" w:fill="FFFFFF"/>
            <w:vAlign w:val="center"/>
          </w:tcPr>
          <w:p w14:paraId="2D2BA40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龙港新美洲龙达液化气2</w:t>
            </w:r>
          </w:p>
        </w:tc>
      </w:tr>
      <w:tr w14:paraId="32B9B010">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0B65C74">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32</w:t>
            </w:r>
          </w:p>
        </w:tc>
        <w:tc>
          <w:tcPr>
            <w:tcW w:w="8536" w:type="dxa"/>
            <w:tcBorders>
              <w:top w:val="nil"/>
              <w:left w:val="nil"/>
              <w:bottom w:val="single" w:color="000000" w:sz="8" w:space="0"/>
              <w:right w:val="single" w:color="000000" w:sz="8" w:space="0"/>
            </w:tcBorders>
            <w:shd w:val="clear" w:color="auto" w:fill="FFFFFF"/>
            <w:vAlign w:val="center"/>
          </w:tcPr>
          <w:p w14:paraId="21CEDF39">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石砰中石化仓储码头1</w:t>
            </w:r>
          </w:p>
        </w:tc>
      </w:tr>
      <w:tr w14:paraId="39AC7C8B">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2E6A19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33</w:t>
            </w:r>
          </w:p>
        </w:tc>
        <w:tc>
          <w:tcPr>
            <w:tcW w:w="8536" w:type="dxa"/>
            <w:tcBorders>
              <w:top w:val="nil"/>
              <w:left w:val="nil"/>
              <w:bottom w:val="single" w:color="000000" w:sz="8" w:space="0"/>
              <w:right w:val="single" w:color="000000" w:sz="8" w:space="0"/>
            </w:tcBorders>
            <w:shd w:val="clear" w:color="auto" w:fill="FFFFFF"/>
            <w:vAlign w:val="center"/>
          </w:tcPr>
          <w:p w14:paraId="00F8EB2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永嘉港航局4楼阳台</w:t>
            </w:r>
          </w:p>
        </w:tc>
      </w:tr>
      <w:tr w14:paraId="08F3EA91">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0BD958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34</w:t>
            </w:r>
          </w:p>
        </w:tc>
        <w:tc>
          <w:tcPr>
            <w:tcW w:w="8536" w:type="dxa"/>
            <w:tcBorders>
              <w:top w:val="nil"/>
              <w:left w:val="nil"/>
              <w:bottom w:val="single" w:color="000000" w:sz="8" w:space="0"/>
              <w:right w:val="single" w:color="000000" w:sz="8" w:space="0"/>
            </w:tcBorders>
            <w:shd w:val="clear" w:color="auto" w:fill="FFFFFF"/>
            <w:vAlign w:val="center"/>
          </w:tcPr>
          <w:p w14:paraId="09888885">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上塘越江大桥左侧桥梁拱背上</w:t>
            </w:r>
          </w:p>
        </w:tc>
      </w:tr>
      <w:tr w14:paraId="1E27829F">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6BBFA388">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35</w:t>
            </w:r>
          </w:p>
        </w:tc>
        <w:tc>
          <w:tcPr>
            <w:tcW w:w="8536" w:type="dxa"/>
            <w:tcBorders>
              <w:top w:val="nil"/>
              <w:left w:val="nil"/>
              <w:bottom w:val="single" w:color="000000" w:sz="8" w:space="0"/>
              <w:right w:val="single" w:color="000000" w:sz="8" w:space="0"/>
            </w:tcBorders>
            <w:shd w:val="clear" w:color="auto" w:fill="FFFFFF"/>
            <w:vAlign w:val="center"/>
          </w:tcPr>
          <w:p w14:paraId="60D5741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上塘越江大桥右侧桥梁拱背上</w:t>
            </w:r>
          </w:p>
        </w:tc>
      </w:tr>
      <w:tr w14:paraId="42A22CB9">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8412B9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36</w:t>
            </w:r>
          </w:p>
        </w:tc>
        <w:tc>
          <w:tcPr>
            <w:tcW w:w="8536" w:type="dxa"/>
            <w:tcBorders>
              <w:top w:val="nil"/>
              <w:left w:val="nil"/>
              <w:bottom w:val="single" w:color="000000" w:sz="8" w:space="0"/>
              <w:right w:val="single" w:color="000000" w:sz="8" w:space="0"/>
            </w:tcBorders>
            <w:shd w:val="clear" w:color="auto" w:fill="FFFFFF"/>
            <w:vAlign w:val="center"/>
          </w:tcPr>
          <w:p w14:paraId="563A9CC9">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文成大垟口村渡口</w:t>
            </w:r>
          </w:p>
        </w:tc>
      </w:tr>
      <w:tr w14:paraId="376CA6CF">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543BF8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37</w:t>
            </w:r>
          </w:p>
        </w:tc>
        <w:tc>
          <w:tcPr>
            <w:tcW w:w="8536" w:type="dxa"/>
            <w:tcBorders>
              <w:top w:val="nil"/>
              <w:left w:val="nil"/>
              <w:bottom w:val="single" w:color="000000" w:sz="8" w:space="0"/>
              <w:right w:val="single" w:color="000000" w:sz="8" w:space="0"/>
            </w:tcBorders>
            <w:shd w:val="clear" w:color="auto" w:fill="FFFFFF"/>
            <w:vAlign w:val="center"/>
          </w:tcPr>
          <w:p w14:paraId="6F77743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泰顺司前镇水库码头</w:t>
            </w:r>
          </w:p>
        </w:tc>
      </w:tr>
      <w:tr w14:paraId="39B70830">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3894E7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38</w:t>
            </w:r>
          </w:p>
        </w:tc>
        <w:tc>
          <w:tcPr>
            <w:tcW w:w="8536" w:type="dxa"/>
            <w:tcBorders>
              <w:top w:val="nil"/>
              <w:left w:val="nil"/>
              <w:bottom w:val="single" w:color="000000" w:sz="8" w:space="0"/>
              <w:right w:val="single" w:color="000000" w:sz="8" w:space="0"/>
            </w:tcBorders>
            <w:shd w:val="clear" w:color="auto" w:fill="FFFFFF"/>
            <w:vAlign w:val="center"/>
          </w:tcPr>
          <w:p w14:paraId="4F67A134">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泰顺百丈镇执法码头4</w:t>
            </w:r>
          </w:p>
        </w:tc>
      </w:tr>
      <w:tr w14:paraId="38429A20">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92D3992">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39</w:t>
            </w:r>
          </w:p>
        </w:tc>
        <w:tc>
          <w:tcPr>
            <w:tcW w:w="8536" w:type="dxa"/>
            <w:tcBorders>
              <w:top w:val="nil"/>
              <w:left w:val="nil"/>
              <w:bottom w:val="single" w:color="000000" w:sz="8" w:space="0"/>
              <w:right w:val="single" w:color="000000" w:sz="8" w:space="0"/>
            </w:tcBorders>
            <w:shd w:val="clear" w:color="auto" w:fill="FFFFFF"/>
            <w:vAlign w:val="center"/>
          </w:tcPr>
          <w:p w14:paraId="23841E4C">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泰顺百丈镇港航执法专用码头</w:t>
            </w:r>
          </w:p>
        </w:tc>
      </w:tr>
      <w:tr w14:paraId="137C3420">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D5C47BA">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40</w:t>
            </w:r>
          </w:p>
        </w:tc>
        <w:tc>
          <w:tcPr>
            <w:tcW w:w="8536" w:type="dxa"/>
            <w:tcBorders>
              <w:top w:val="nil"/>
              <w:left w:val="nil"/>
              <w:bottom w:val="single" w:color="000000" w:sz="8" w:space="0"/>
              <w:right w:val="single" w:color="000000" w:sz="8" w:space="0"/>
            </w:tcBorders>
            <w:shd w:val="clear" w:color="auto" w:fill="FFFFFF"/>
            <w:vAlign w:val="center"/>
          </w:tcPr>
          <w:p w14:paraId="1DCA1DCA">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龙湾广丰建筑材料有限公司</w:t>
            </w:r>
          </w:p>
        </w:tc>
      </w:tr>
      <w:tr w14:paraId="32BB9A91">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25831D82">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41</w:t>
            </w:r>
          </w:p>
        </w:tc>
        <w:tc>
          <w:tcPr>
            <w:tcW w:w="8536" w:type="dxa"/>
            <w:tcBorders>
              <w:top w:val="nil"/>
              <w:left w:val="nil"/>
              <w:bottom w:val="single" w:color="000000" w:sz="8" w:space="0"/>
              <w:right w:val="single" w:color="000000" w:sz="8" w:space="0"/>
            </w:tcBorders>
            <w:shd w:val="clear" w:color="auto" w:fill="FFFFFF"/>
            <w:vAlign w:val="center"/>
          </w:tcPr>
          <w:p w14:paraId="321F191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洞头小门屿中燃公司</w:t>
            </w:r>
          </w:p>
        </w:tc>
      </w:tr>
      <w:tr w14:paraId="64F93E8F">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9E0E8ED">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42</w:t>
            </w:r>
          </w:p>
        </w:tc>
        <w:tc>
          <w:tcPr>
            <w:tcW w:w="8536" w:type="dxa"/>
            <w:tcBorders>
              <w:top w:val="nil"/>
              <w:left w:val="nil"/>
              <w:bottom w:val="single" w:color="000000" w:sz="8" w:space="0"/>
              <w:right w:val="single" w:color="000000" w:sz="8" w:space="0"/>
            </w:tcBorders>
            <w:shd w:val="clear" w:color="auto" w:fill="FFFFFF"/>
            <w:vAlign w:val="center"/>
          </w:tcPr>
          <w:p w14:paraId="15C5A680">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乐清蒲岐南岳桃花岛码头附近</w:t>
            </w:r>
          </w:p>
        </w:tc>
      </w:tr>
      <w:tr w14:paraId="63346843">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B561C65">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43</w:t>
            </w:r>
          </w:p>
        </w:tc>
        <w:tc>
          <w:tcPr>
            <w:tcW w:w="8536" w:type="dxa"/>
            <w:tcBorders>
              <w:top w:val="nil"/>
              <w:left w:val="nil"/>
              <w:bottom w:val="single" w:color="000000" w:sz="8" w:space="0"/>
              <w:right w:val="single" w:color="000000" w:sz="8" w:space="0"/>
            </w:tcBorders>
            <w:shd w:val="clear" w:color="auto" w:fill="FFFFFF"/>
            <w:vAlign w:val="center"/>
          </w:tcPr>
          <w:p w14:paraId="3A0FC5D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机场大道港口石化一期1（开发区）</w:t>
            </w:r>
          </w:p>
        </w:tc>
      </w:tr>
      <w:tr w14:paraId="66B2A149">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473B28D">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44</w:t>
            </w:r>
          </w:p>
        </w:tc>
        <w:tc>
          <w:tcPr>
            <w:tcW w:w="8536" w:type="dxa"/>
            <w:tcBorders>
              <w:top w:val="nil"/>
              <w:left w:val="nil"/>
              <w:bottom w:val="single" w:color="000000" w:sz="8" w:space="0"/>
              <w:right w:val="single" w:color="000000" w:sz="8" w:space="0"/>
            </w:tcBorders>
            <w:shd w:val="clear" w:color="auto" w:fill="FFFFFF"/>
            <w:vAlign w:val="center"/>
          </w:tcPr>
          <w:p w14:paraId="797393D3">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南白象新象桥</w:t>
            </w:r>
          </w:p>
        </w:tc>
      </w:tr>
      <w:tr w14:paraId="2EAF0C4B">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15BBEE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45</w:t>
            </w:r>
          </w:p>
        </w:tc>
        <w:tc>
          <w:tcPr>
            <w:tcW w:w="8536" w:type="dxa"/>
            <w:tcBorders>
              <w:top w:val="nil"/>
              <w:left w:val="nil"/>
              <w:bottom w:val="single" w:color="000000" w:sz="8" w:space="0"/>
              <w:right w:val="single" w:color="000000" w:sz="8" w:space="0"/>
            </w:tcBorders>
            <w:shd w:val="clear" w:color="auto" w:fill="FFFFFF"/>
            <w:vAlign w:val="center"/>
          </w:tcPr>
          <w:p w14:paraId="1C75D2D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藤桥龙泰化工厂(上戍外垟)</w:t>
            </w:r>
          </w:p>
        </w:tc>
      </w:tr>
      <w:tr w14:paraId="38278456">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B56E14D">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46</w:t>
            </w:r>
          </w:p>
        </w:tc>
        <w:tc>
          <w:tcPr>
            <w:tcW w:w="8536" w:type="dxa"/>
            <w:tcBorders>
              <w:top w:val="nil"/>
              <w:left w:val="nil"/>
              <w:bottom w:val="single" w:color="000000" w:sz="8" w:space="0"/>
              <w:right w:val="single" w:color="000000" w:sz="8" w:space="0"/>
            </w:tcBorders>
            <w:shd w:val="clear" w:color="auto" w:fill="FFFFFF"/>
            <w:vAlign w:val="center"/>
          </w:tcPr>
          <w:p w14:paraId="7968251B">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灵昆宏丰码头公司</w:t>
            </w:r>
          </w:p>
        </w:tc>
      </w:tr>
      <w:tr w14:paraId="4F292872">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91D357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47</w:t>
            </w:r>
          </w:p>
        </w:tc>
        <w:tc>
          <w:tcPr>
            <w:tcW w:w="8536" w:type="dxa"/>
            <w:tcBorders>
              <w:top w:val="nil"/>
              <w:left w:val="nil"/>
              <w:bottom w:val="single" w:color="000000" w:sz="8" w:space="0"/>
              <w:right w:val="single" w:color="000000" w:sz="8" w:space="0"/>
            </w:tcBorders>
            <w:shd w:val="clear" w:color="auto" w:fill="FFFFFF"/>
            <w:vAlign w:val="center"/>
          </w:tcPr>
          <w:p w14:paraId="18125449">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洞头区鹿西岛口筐码头</w:t>
            </w:r>
          </w:p>
        </w:tc>
      </w:tr>
      <w:tr w14:paraId="4C44BF43">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49CB0E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48</w:t>
            </w:r>
          </w:p>
        </w:tc>
        <w:tc>
          <w:tcPr>
            <w:tcW w:w="8536" w:type="dxa"/>
            <w:tcBorders>
              <w:top w:val="nil"/>
              <w:left w:val="nil"/>
              <w:bottom w:val="single" w:color="000000" w:sz="8" w:space="0"/>
              <w:right w:val="single" w:color="000000" w:sz="8" w:space="0"/>
            </w:tcBorders>
            <w:shd w:val="clear" w:color="auto" w:fill="FFFFFF"/>
            <w:vAlign w:val="center"/>
          </w:tcPr>
          <w:p w14:paraId="161C23D3">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南麂岛码头2</w:t>
            </w:r>
          </w:p>
        </w:tc>
      </w:tr>
      <w:tr w14:paraId="2C782FDB">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1469ADC">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49</w:t>
            </w:r>
          </w:p>
        </w:tc>
        <w:tc>
          <w:tcPr>
            <w:tcW w:w="8536" w:type="dxa"/>
            <w:tcBorders>
              <w:top w:val="nil"/>
              <w:left w:val="nil"/>
              <w:bottom w:val="single" w:color="000000" w:sz="8" w:space="0"/>
              <w:right w:val="single" w:color="000000" w:sz="8" w:space="0"/>
            </w:tcBorders>
            <w:shd w:val="clear" w:color="auto" w:fill="FFFFFF"/>
            <w:vAlign w:val="center"/>
          </w:tcPr>
          <w:p w14:paraId="2772CE70">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南麂岛码头3</w:t>
            </w:r>
          </w:p>
        </w:tc>
      </w:tr>
      <w:tr w14:paraId="488358BB">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2F61CBA">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50</w:t>
            </w:r>
          </w:p>
        </w:tc>
        <w:tc>
          <w:tcPr>
            <w:tcW w:w="8536" w:type="dxa"/>
            <w:tcBorders>
              <w:top w:val="nil"/>
              <w:left w:val="nil"/>
              <w:bottom w:val="single" w:color="000000" w:sz="8" w:space="0"/>
              <w:right w:val="single" w:color="000000" w:sz="8" w:space="0"/>
            </w:tcBorders>
            <w:shd w:val="clear" w:color="auto" w:fill="FFFFFF"/>
            <w:vAlign w:val="center"/>
          </w:tcPr>
          <w:p w14:paraId="5A40AB2A">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龙湾区致富路上岙码头1</w:t>
            </w:r>
          </w:p>
        </w:tc>
      </w:tr>
      <w:tr w14:paraId="68E8E2AA">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D0CC1C5">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51</w:t>
            </w:r>
          </w:p>
        </w:tc>
        <w:tc>
          <w:tcPr>
            <w:tcW w:w="8536" w:type="dxa"/>
            <w:tcBorders>
              <w:top w:val="nil"/>
              <w:left w:val="nil"/>
              <w:bottom w:val="single" w:color="000000" w:sz="8" w:space="0"/>
              <w:right w:val="single" w:color="000000" w:sz="8" w:space="0"/>
            </w:tcBorders>
            <w:shd w:val="clear" w:color="auto" w:fill="FFFFFF"/>
            <w:vAlign w:val="center"/>
          </w:tcPr>
          <w:p w14:paraId="1FC3DF5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龙湾区致富路上岙码头2</w:t>
            </w:r>
          </w:p>
        </w:tc>
      </w:tr>
      <w:tr w14:paraId="51B2B553">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4253196">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52</w:t>
            </w:r>
          </w:p>
        </w:tc>
        <w:tc>
          <w:tcPr>
            <w:tcW w:w="8536" w:type="dxa"/>
            <w:tcBorders>
              <w:top w:val="nil"/>
              <w:left w:val="nil"/>
              <w:bottom w:val="single" w:color="000000" w:sz="8" w:space="0"/>
              <w:right w:val="single" w:color="000000" w:sz="8" w:space="0"/>
            </w:tcBorders>
            <w:shd w:val="clear" w:color="auto" w:fill="FFFFFF"/>
            <w:vAlign w:val="center"/>
          </w:tcPr>
          <w:p w14:paraId="39F8CB0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湖头湖3</w:t>
            </w:r>
          </w:p>
        </w:tc>
      </w:tr>
      <w:tr w14:paraId="646F896A">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3B82CB2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53</w:t>
            </w:r>
          </w:p>
        </w:tc>
        <w:tc>
          <w:tcPr>
            <w:tcW w:w="8536" w:type="dxa"/>
            <w:tcBorders>
              <w:top w:val="nil"/>
              <w:left w:val="nil"/>
              <w:bottom w:val="single" w:color="000000" w:sz="8" w:space="0"/>
              <w:right w:val="single" w:color="000000" w:sz="8" w:space="0"/>
            </w:tcBorders>
            <w:shd w:val="clear" w:color="auto" w:fill="FFFFFF"/>
            <w:vAlign w:val="center"/>
          </w:tcPr>
          <w:p w14:paraId="1EC88826">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湖头湖2</w:t>
            </w:r>
          </w:p>
        </w:tc>
      </w:tr>
      <w:tr w14:paraId="44D34F78">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227175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54</w:t>
            </w:r>
          </w:p>
        </w:tc>
        <w:tc>
          <w:tcPr>
            <w:tcW w:w="8536" w:type="dxa"/>
            <w:tcBorders>
              <w:top w:val="nil"/>
              <w:left w:val="nil"/>
              <w:bottom w:val="single" w:color="000000" w:sz="8" w:space="0"/>
              <w:right w:val="single" w:color="000000" w:sz="8" w:space="0"/>
            </w:tcBorders>
            <w:shd w:val="clear" w:color="auto" w:fill="FFFFFF"/>
            <w:vAlign w:val="center"/>
          </w:tcPr>
          <w:p w14:paraId="3C6C9947">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瑞安华峰物流码头2</w:t>
            </w:r>
          </w:p>
        </w:tc>
      </w:tr>
      <w:tr w14:paraId="6EFE428F">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9DACAA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55</w:t>
            </w:r>
          </w:p>
        </w:tc>
        <w:tc>
          <w:tcPr>
            <w:tcW w:w="8536" w:type="dxa"/>
            <w:tcBorders>
              <w:top w:val="nil"/>
              <w:left w:val="nil"/>
              <w:bottom w:val="single" w:color="000000" w:sz="8" w:space="0"/>
              <w:right w:val="single" w:color="000000" w:sz="8" w:space="0"/>
            </w:tcBorders>
            <w:shd w:val="clear" w:color="auto" w:fill="FFFFFF"/>
            <w:noWrap/>
            <w:vAlign w:val="center"/>
          </w:tcPr>
          <w:p w14:paraId="4B9BBA4D">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乐清石岙乐清高速口1</w:t>
            </w:r>
          </w:p>
        </w:tc>
      </w:tr>
      <w:tr w14:paraId="73DDC395">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6CD85F4">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56</w:t>
            </w:r>
          </w:p>
        </w:tc>
        <w:tc>
          <w:tcPr>
            <w:tcW w:w="8536" w:type="dxa"/>
            <w:tcBorders>
              <w:top w:val="nil"/>
              <w:left w:val="nil"/>
              <w:bottom w:val="single" w:color="000000" w:sz="8" w:space="0"/>
              <w:right w:val="single" w:color="000000" w:sz="8" w:space="0"/>
            </w:tcBorders>
            <w:shd w:val="clear" w:color="auto" w:fill="FFFFFF"/>
            <w:noWrap/>
            <w:vAlign w:val="center"/>
          </w:tcPr>
          <w:p w14:paraId="327117DA">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乐清石岙乐清高速口2</w:t>
            </w:r>
          </w:p>
        </w:tc>
      </w:tr>
      <w:tr w14:paraId="7C773888">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F2CDE6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57</w:t>
            </w:r>
          </w:p>
        </w:tc>
        <w:tc>
          <w:tcPr>
            <w:tcW w:w="8536" w:type="dxa"/>
            <w:tcBorders>
              <w:top w:val="nil"/>
              <w:left w:val="nil"/>
              <w:bottom w:val="single" w:color="000000" w:sz="8" w:space="0"/>
              <w:right w:val="single" w:color="000000" w:sz="8" w:space="0"/>
            </w:tcBorders>
            <w:shd w:val="clear" w:color="auto" w:fill="FFFFFF"/>
            <w:vAlign w:val="center"/>
          </w:tcPr>
          <w:p w14:paraId="571CD9E5">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中国石化巴艚油码头</w:t>
            </w:r>
          </w:p>
        </w:tc>
      </w:tr>
      <w:tr w14:paraId="7F09D2B3">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F1B829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58</w:t>
            </w:r>
          </w:p>
        </w:tc>
        <w:tc>
          <w:tcPr>
            <w:tcW w:w="8536" w:type="dxa"/>
            <w:tcBorders>
              <w:top w:val="nil"/>
              <w:left w:val="nil"/>
              <w:bottom w:val="single" w:color="000000" w:sz="8" w:space="0"/>
              <w:right w:val="single" w:color="000000" w:sz="8" w:space="0"/>
            </w:tcBorders>
            <w:shd w:val="clear" w:color="auto" w:fill="FFFFFF"/>
            <w:vAlign w:val="center"/>
          </w:tcPr>
          <w:p w14:paraId="0C67C3CC">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瑞安小口村渡口</w:t>
            </w:r>
          </w:p>
        </w:tc>
      </w:tr>
      <w:tr w14:paraId="60C37BD6">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4807528">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59</w:t>
            </w:r>
          </w:p>
        </w:tc>
        <w:tc>
          <w:tcPr>
            <w:tcW w:w="8536" w:type="dxa"/>
            <w:tcBorders>
              <w:top w:val="nil"/>
              <w:left w:val="nil"/>
              <w:bottom w:val="single" w:color="000000" w:sz="8" w:space="0"/>
              <w:right w:val="single" w:color="000000" w:sz="8" w:space="0"/>
            </w:tcBorders>
            <w:shd w:val="clear" w:color="auto" w:fill="FFFFFF"/>
            <w:vAlign w:val="center"/>
          </w:tcPr>
          <w:p w14:paraId="714F2908">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瑞安石溪渡口</w:t>
            </w:r>
          </w:p>
        </w:tc>
      </w:tr>
      <w:tr w14:paraId="69DB252E">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6263D381">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60</w:t>
            </w:r>
          </w:p>
        </w:tc>
        <w:tc>
          <w:tcPr>
            <w:tcW w:w="8536" w:type="dxa"/>
            <w:tcBorders>
              <w:top w:val="nil"/>
              <w:left w:val="nil"/>
              <w:bottom w:val="single" w:color="000000" w:sz="8" w:space="0"/>
              <w:right w:val="single" w:color="000000" w:sz="8" w:space="0"/>
            </w:tcBorders>
            <w:shd w:val="clear" w:color="auto" w:fill="FFFFFF"/>
            <w:vAlign w:val="center"/>
          </w:tcPr>
          <w:p w14:paraId="3D672A8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瑞安黄岙下渡口</w:t>
            </w:r>
          </w:p>
        </w:tc>
      </w:tr>
      <w:tr w14:paraId="7FBCE29F">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7B050FA">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61</w:t>
            </w:r>
          </w:p>
        </w:tc>
        <w:tc>
          <w:tcPr>
            <w:tcW w:w="8536" w:type="dxa"/>
            <w:tcBorders>
              <w:top w:val="nil"/>
              <w:left w:val="nil"/>
              <w:bottom w:val="single" w:color="000000" w:sz="8" w:space="0"/>
              <w:right w:val="single" w:color="000000" w:sz="8" w:space="0"/>
            </w:tcBorders>
            <w:shd w:val="clear" w:color="auto" w:fill="FFFFFF"/>
            <w:vAlign w:val="center"/>
          </w:tcPr>
          <w:p w14:paraId="0BE880B3">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瑞安潘营渡口</w:t>
            </w:r>
          </w:p>
        </w:tc>
      </w:tr>
      <w:tr w14:paraId="5A8A3948">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3C2D1B1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62</w:t>
            </w:r>
          </w:p>
        </w:tc>
        <w:tc>
          <w:tcPr>
            <w:tcW w:w="8536" w:type="dxa"/>
            <w:tcBorders>
              <w:top w:val="nil"/>
              <w:left w:val="nil"/>
              <w:bottom w:val="single" w:color="000000" w:sz="8" w:space="0"/>
              <w:right w:val="single" w:color="000000" w:sz="8" w:space="0"/>
            </w:tcBorders>
            <w:shd w:val="clear" w:color="auto" w:fill="FFFFFF"/>
            <w:vAlign w:val="center"/>
          </w:tcPr>
          <w:p w14:paraId="3ED10D09">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灵昆渡口</w:t>
            </w:r>
          </w:p>
        </w:tc>
      </w:tr>
      <w:tr w14:paraId="3F6942CC">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E63FCEA">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63</w:t>
            </w:r>
          </w:p>
        </w:tc>
        <w:tc>
          <w:tcPr>
            <w:tcW w:w="8536" w:type="dxa"/>
            <w:tcBorders>
              <w:top w:val="nil"/>
              <w:left w:val="nil"/>
              <w:bottom w:val="single" w:color="000000" w:sz="8" w:space="0"/>
              <w:right w:val="single" w:color="000000" w:sz="8" w:space="0"/>
            </w:tcBorders>
            <w:shd w:val="clear" w:color="auto" w:fill="FFFFFF"/>
            <w:noWrap/>
            <w:vAlign w:val="center"/>
          </w:tcPr>
          <w:p w14:paraId="6904D12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瓯江温溪界点位　</w:t>
            </w:r>
          </w:p>
        </w:tc>
      </w:tr>
      <w:tr w14:paraId="271AEEF1">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30C49CF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64</w:t>
            </w:r>
          </w:p>
        </w:tc>
        <w:tc>
          <w:tcPr>
            <w:tcW w:w="8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B3D3A">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瓯江五桥南岸上游</w:t>
            </w:r>
          </w:p>
        </w:tc>
      </w:tr>
      <w:tr w14:paraId="5FCE72B2">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6438CBB">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65</w:t>
            </w:r>
          </w:p>
        </w:tc>
        <w:tc>
          <w:tcPr>
            <w:tcW w:w="8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A947C">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瓯江五桥南岸下游</w:t>
            </w:r>
          </w:p>
        </w:tc>
      </w:tr>
      <w:tr w14:paraId="6FF64F5D">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3186A5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66</w:t>
            </w:r>
          </w:p>
        </w:tc>
        <w:tc>
          <w:tcPr>
            <w:tcW w:w="8536" w:type="dxa"/>
            <w:tcBorders>
              <w:top w:val="nil"/>
              <w:left w:val="nil"/>
              <w:bottom w:val="single" w:color="000000" w:sz="8" w:space="0"/>
              <w:right w:val="single" w:color="000000" w:sz="8" w:space="0"/>
            </w:tcBorders>
            <w:shd w:val="clear" w:color="auto" w:fill="FFFFFF"/>
            <w:noWrap/>
            <w:vAlign w:val="center"/>
          </w:tcPr>
          <w:p w14:paraId="2BC8F353">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瓯江三桥点位</w:t>
            </w:r>
          </w:p>
        </w:tc>
      </w:tr>
      <w:tr w14:paraId="42227090">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AACA62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67</w:t>
            </w:r>
          </w:p>
        </w:tc>
        <w:tc>
          <w:tcPr>
            <w:tcW w:w="8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6D18">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温州大桥-七都大桥（上）</w:t>
            </w:r>
          </w:p>
        </w:tc>
      </w:tr>
      <w:tr w14:paraId="56C24527">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FE99EE2">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68</w:t>
            </w:r>
          </w:p>
        </w:tc>
        <w:tc>
          <w:tcPr>
            <w:tcW w:w="8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5777">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温州大桥-七都大桥（中）</w:t>
            </w:r>
          </w:p>
        </w:tc>
      </w:tr>
      <w:tr w14:paraId="2B03C45E">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2149ABD">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69</w:t>
            </w:r>
          </w:p>
        </w:tc>
        <w:tc>
          <w:tcPr>
            <w:tcW w:w="8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F74B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温州大桥-七都大桥（下）</w:t>
            </w:r>
          </w:p>
        </w:tc>
      </w:tr>
      <w:tr w14:paraId="3A468184">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6C16D355">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70</w:t>
            </w:r>
          </w:p>
        </w:tc>
        <w:tc>
          <w:tcPr>
            <w:tcW w:w="8536" w:type="dxa"/>
            <w:tcBorders>
              <w:top w:val="nil"/>
              <w:left w:val="nil"/>
              <w:bottom w:val="single" w:color="000000" w:sz="8" w:space="0"/>
              <w:right w:val="single" w:color="000000" w:sz="8" w:space="0"/>
            </w:tcBorders>
            <w:shd w:val="clear" w:color="auto" w:fill="FFFFFF"/>
            <w:noWrap/>
            <w:vAlign w:val="center"/>
          </w:tcPr>
          <w:p w14:paraId="2AED70A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瓯江翻水站</w:t>
            </w:r>
          </w:p>
        </w:tc>
      </w:tr>
      <w:tr w14:paraId="64CA8D05">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532072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71</w:t>
            </w:r>
          </w:p>
        </w:tc>
        <w:tc>
          <w:tcPr>
            <w:tcW w:w="8536" w:type="dxa"/>
            <w:tcBorders>
              <w:top w:val="nil"/>
              <w:left w:val="nil"/>
              <w:bottom w:val="single" w:color="000000" w:sz="8" w:space="0"/>
              <w:right w:val="single" w:color="000000" w:sz="8" w:space="0"/>
            </w:tcBorders>
            <w:shd w:val="clear" w:color="auto" w:fill="FFFFFF"/>
            <w:noWrap/>
            <w:vAlign w:val="center"/>
          </w:tcPr>
          <w:p w14:paraId="7344424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瓯江下岸航道处</w:t>
            </w:r>
          </w:p>
        </w:tc>
      </w:tr>
      <w:tr w14:paraId="6268B215">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D10940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72</w:t>
            </w:r>
          </w:p>
        </w:tc>
        <w:tc>
          <w:tcPr>
            <w:tcW w:w="8536" w:type="dxa"/>
            <w:tcBorders>
              <w:top w:val="nil"/>
              <w:left w:val="nil"/>
              <w:bottom w:val="single" w:color="000000" w:sz="8" w:space="0"/>
              <w:right w:val="single" w:color="000000" w:sz="8" w:space="0"/>
            </w:tcBorders>
            <w:shd w:val="clear" w:color="auto" w:fill="FFFFFF"/>
            <w:noWrap/>
            <w:vAlign w:val="center"/>
          </w:tcPr>
          <w:p w14:paraId="31D874E6">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瓯江铁路桥处</w:t>
            </w:r>
          </w:p>
        </w:tc>
      </w:tr>
      <w:tr w14:paraId="5F46D7AD">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28C587F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73</w:t>
            </w:r>
          </w:p>
        </w:tc>
        <w:tc>
          <w:tcPr>
            <w:tcW w:w="8536" w:type="dxa"/>
            <w:tcBorders>
              <w:top w:val="nil"/>
              <w:left w:val="nil"/>
              <w:bottom w:val="single" w:color="000000" w:sz="8" w:space="0"/>
              <w:right w:val="single" w:color="000000" w:sz="8" w:space="0"/>
            </w:tcBorders>
            <w:shd w:val="clear" w:color="auto" w:fill="FFFFFF"/>
            <w:noWrap/>
            <w:vAlign w:val="center"/>
          </w:tcPr>
          <w:p w14:paraId="31A3766E">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瓯江大桥处</w:t>
            </w:r>
          </w:p>
        </w:tc>
      </w:tr>
      <w:tr w14:paraId="4181ED83">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35D21D21">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74</w:t>
            </w:r>
          </w:p>
        </w:tc>
        <w:tc>
          <w:tcPr>
            <w:tcW w:w="8536" w:type="dxa"/>
            <w:tcBorders>
              <w:top w:val="nil"/>
              <w:left w:val="nil"/>
              <w:bottom w:val="single" w:color="000000" w:sz="8" w:space="0"/>
              <w:right w:val="single" w:color="000000" w:sz="8" w:space="0"/>
            </w:tcBorders>
            <w:shd w:val="clear" w:color="auto" w:fill="FFFFFF"/>
            <w:noWrap/>
            <w:vAlign w:val="center"/>
          </w:tcPr>
          <w:p w14:paraId="4096126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前陈村处</w:t>
            </w:r>
          </w:p>
        </w:tc>
      </w:tr>
      <w:tr w14:paraId="29DA94EC">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69E7307F">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75</w:t>
            </w:r>
          </w:p>
        </w:tc>
        <w:tc>
          <w:tcPr>
            <w:tcW w:w="8536" w:type="dxa"/>
            <w:tcBorders>
              <w:top w:val="nil"/>
              <w:left w:val="nil"/>
              <w:bottom w:val="single" w:color="000000" w:sz="8" w:space="0"/>
              <w:right w:val="single" w:color="000000" w:sz="8" w:space="0"/>
            </w:tcBorders>
            <w:shd w:val="clear" w:color="auto" w:fill="FFFFFF"/>
            <w:noWrap/>
            <w:vAlign w:val="center"/>
          </w:tcPr>
          <w:p w14:paraId="1BCD0249">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瓯越大桥处</w:t>
            </w:r>
          </w:p>
        </w:tc>
      </w:tr>
      <w:tr w14:paraId="1A5A43FE">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2D98A15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76</w:t>
            </w:r>
          </w:p>
        </w:tc>
        <w:tc>
          <w:tcPr>
            <w:tcW w:w="8536" w:type="dxa"/>
            <w:tcBorders>
              <w:top w:val="nil"/>
              <w:left w:val="nil"/>
              <w:bottom w:val="single" w:color="000000" w:sz="8" w:space="0"/>
              <w:right w:val="single" w:color="000000" w:sz="8" w:space="0"/>
            </w:tcBorders>
            <w:shd w:val="clear" w:color="auto" w:fill="FFFFFF"/>
            <w:noWrap/>
            <w:vAlign w:val="center"/>
          </w:tcPr>
          <w:p w14:paraId="0A44FA43">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江南码头</w:t>
            </w:r>
          </w:p>
        </w:tc>
      </w:tr>
      <w:tr w14:paraId="2BCBD0FE">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690283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77</w:t>
            </w:r>
          </w:p>
        </w:tc>
        <w:tc>
          <w:tcPr>
            <w:tcW w:w="8536" w:type="dxa"/>
            <w:tcBorders>
              <w:top w:val="nil"/>
              <w:left w:val="nil"/>
              <w:bottom w:val="single" w:color="000000" w:sz="8" w:space="0"/>
              <w:right w:val="single" w:color="000000" w:sz="8" w:space="0"/>
            </w:tcBorders>
            <w:shd w:val="clear" w:color="auto" w:fill="FFFFFF"/>
            <w:noWrap/>
            <w:vAlign w:val="center"/>
          </w:tcPr>
          <w:p w14:paraId="443ACEAB">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温化码头</w:t>
            </w:r>
          </w:p>
        </w:tc>
      </w:tr>
      <w:tr w14:paraId="71C3EBCC">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BDFFA0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78</w:t>
            </w:r>
          </w:p>
        </w:tc>
        <w:tc>
          <w:tcPr>
            <w:tcW w:w="8536" w:type="dxa"/>
            <w:tcBorders>
              <w:top w:val="nil"/>
              <w:left w:val="nil"/>
              <w:bottom w:val="single" w:color="000000" w:sz="8" w:space="0"/>
              <w:right w:val="single" w:color="000000" w:sz="8" w:space="0"/>
            </w:tcBorders>
            <w:shd w:val="clear" w:color="auto" w:fill="FFFFFF"/>
            <w:noWrap/>
            <w:vAlign w:val="center"/>
          </w:tcPr>
          <w:p w14:paraId="7059152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丰隆码头</w:t>
            </w:r>
          </w:p>
        </w:tc>
      </w:tr>
      <w:tr w14:paraId="18871426">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6E14E20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79</w:t>
            </w:r>
          </w:p>
        </w:tc>
        <w:tc>
          <w:tcPr>
            <w:tcW w:w="8536" w:type="dxa"/>
            <w:tcBorders>
              <w:top w:val="nil"/>
              <w:left w:val="nil"/>
              <w:bottom w:val="single" w:color="000000" w:sz="8" w:space="0"/>
              <w:right w:val="single" w:color="000000" w:sz="8" w:space="0"/>
            </w:tcBorders>
            <w:shd w:val="clear" w:color="auto" w:fill="FFFFFF"/>
            <w:noWrap/>
            <w:vAlign w:val="center"/>
          </w:tcPr>
          <w:p w14:paraId="34D4762F">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安澜夜游码头</w:t>
            </w:r>
          </w:p>
        </w:tc>
      </w:tr>
      <w:tr w14:paraId="3BC0DA82">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132BE94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80</w:t>
            </w:r>
          </w:p>
        </w:tc>
        <w:tc>
          <w:tcPr>
            <w:tcW w:w="8536" w:type="dxa"/>
            <w:tcBorders>
              <w:top w:val="nil"/>
              <w:left w:val="nil"/>
              <w:bottom w:val="single" w:color="000000" w:sz="8" w:space="0"/>
              <w:right w:val="single" w:color="000000" w:sz="8" w:space="0"/>
            </w:tcBorders>
            <w:shd w:val="clear" w:color="auto" w:fill="FFFFFF"/>
            <w:noWrap/>
            <w:vAlign w:val="center"/>
          </w:tcPr>
          <w:p w14:paraId="7B0C9FED">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瓯江良业码头</w:t>
            </w:r>
          </w:p>
        </w:tc>
      </w:tr>
      <w:tr w14:paraId="0EC2C252">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5D69A12C">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81</w:t>
            </w:r>
          </w:p>
        </w:tc>
        <w:tc>
          <w:tcPr>
            <w:tcW w:w="8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31F6">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蒲丽航道(会展路2号桥东侧)</w:t>
            </w:r>
          </w:p>
        </w:tc>
      </w:tr>
      <w:tr w14:paraId="5B960BAD">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30F468D4">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82</w:t>
            </w:r>
          </w:p>
        </w:tc>
        <w:tc>
          <w:tcPr>
            <w:tcW w:w="8536" w:type="dxa"/>
            <w:tcBorders>
              <w:top w:val="nil"/>
              <w:left w:val="nil"/>
              <w:bottom w:val="single" w:color="000000" w:sz="8" w:space="0"/>
              <w:right w:val="single" w:color="000000" w:sz="8" w:space="0"/>
            </w:tcBorders>
            <w:shd w:val="clear" w:color="auto" w:fill="FFFFFF"/>
            <w:noWrap/>
            <w:vAlign w:val="center"/>
          </w:tcPr>
          <w:p w14:paraId="0E925C11">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温瑞塘河航道（南白象新象桥北侧)</w:t>
            </w:r>
          </w:p>
        </w:tc>
      </w:tr>
      <w:tr w14:paraId="08AABB6B">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431F5C3C">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83</w:t>
            </w:r>
          </w:p>
        </w:tc>
        <w:tc>
          <w:tcPr>
            <w:tcW w:w="8536" w:type="dxa"/>
            <w:tcBorders>
              <w:top w:val="nil"/>
              <w:left w:val="nil"/>
              <w:bottom w:val="single" w:color="000000" w:sz="8" w:space="0"/>
              <w:right w:val="single" w:color="000000" w:sz="8" w:space="0"/>
            </w:tcBorders>
            <w:shd w:val="clear" w:color="auto" w:fill="FFFFFF"/>
            <w:noWrap/>
            <w:vAlign w:val="center"/>
          </w:tcPr>
          <w:p w14:paraId="1078B362">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温瑞塘河航道（三板桥、工业码头附近）</w:t>
            </w:r>
          </w:p>
        </w:tc>
      </w:tr>
      <w:tr w14:paraId="0E45A338">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794B9ACA">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84</w:t>
            </w:r>
          </w:p>
        </w:tc>
        <w:tc>
          <w:tcPr>
            <w:tcW w:w="8536" w:type="dxa"/>
            <w:tcBorders>
              <w:top w:val="nil"/>
              <w:left w:val="nil"/>
              <w:bottom w:val="single" w:color="000000" w:sz="8" w:space="0"/>
              <w:right w:val="single" w:color="000000" w:sz="8" w:space="0"/>
            </w:tcBorders>
            <w:shd w:val="clear" w:color="auto" w:fill="FFFFFF"/>
            <w:noWrap/>
            <w:vAlign w:val="center"/>
          </w:tcPr>
          <w:p w14:paraId="60EA2C04">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茶梧航道(南塘1号桥北侧)　</w:t>
            </w:r>
          </w:p>
        </w:tc>
      </w:tr>
      <w:tr w14:paraId="23D01A20">
        <w:tblPrEx>
          <w:tblCellMar>
            <w:top w:w="0" w:type="dxa"/>
            <w:left w:w="108" w:type="dxa"/>
            <w:bottom w:w="0" w:type="dxa"/>
            <w:right w:w="108" w:type="dxa"/>
          </w:tblCellMar>
        </w:tblPrEx>
        <w:trPr>
          <w:trHeight w:val="567" w:hRule="atLeast"/>
        </w:trPr>
        <w:tc>
          <w:tcPr>
            <w:tcW w:w="1316" w:type="dxa"/>
            <w:tcBorders>
              <w:top w:val="nil"/>
              <w:left w:val="single" w:color="000000" w:sz="8" w:space="0"/>
              <w:bottom w:val="single" w:color="000000" w:sz="8" w:space="0"/>
              <w:right w:val="single" w:color="000000" w:sz="8" w:space="0"/>
            </w:tcBorders>
            <w:shd w:val="clear" w:color="auto" w:fill="FFFFFF"/>
            <w:noWrap/>
            <w:vAlign w:val="center"/>
          </w:tcPr>
          <w:p w14:paraId="0D28DDAF">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85</w:t>
            </w:r>
          </w:p>
        </w:tc>
        <w:tc>
          <w:tcPr>
            <w:tcW w:w="8536" w:type="dxa"/>
            <w:tcBorders>
              <w:top w:val="nil"/>
              <w:left w:val="nil"/>
              <w:bottom w:val="single" w:color="000000" w:sz="8" w:space="0"/>
              <w:right w:val="single" w:color="000000" w:sz="8" w:space="0"/>
            </w:tcBorders>
            <w:shd w:val="clear" w:color="auto" w:fill="FFFFFF"/>
            <w:noWrap/>
            <w:vAlign w:val="center"/>
          </w:tcPr>
          <w:p w14:paraId="01BF4805">
            <w:pPr>
              <w:widowControl/>
              <w:jc w:val="left"/>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温瑞塘河航道(德胜桥)</w:t>
            </w:r>
          </w:p>
        </w:tc>
      </w:tr>
    </w:tbl>
    <w:p w14:paraId="5B84DDF5">
      <w:pPr>
        <w:pStyle w:val="55"/>
        <w:ind w:left="0" w:leftChars="0" w:firstLine="0" w:firstLineChars="0"/>
        <w:jc w:val="both"/>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 智慧公路前端点位清单</w:t>
      </w:r>
    </w:p>
    <w:p w14:paraId="4CA55CDC">
      <w:pPr>
        <w:pStyle w:val="76"/>
        <w:rPr>
          <w:rFonts w:ascii="新宋体" w:hAnsi="新宋体" w:eastAsia="新宋体" w:cs="新宋体"/>
          <w:color w:val="auto"/>
          <w:sz w:val="22"/>
          <w:highlight w:val="none"/>
          <w:lang w:val="en-US"/>
        </w:rPr>
      </w:pPr>
    </w:p>
    <w:tbl>
      <w:tblPr>
        <w:tblStyle w:val="57"/>
        <w:tblW w:w="4999" w:type="pct"/>
        <w:tblInd w:w="0" w:type="dxa"/>
        <w:tblLayout w:type="autofit"/>
        <w:tblCellMar>
          <w:top w:w="0" w:type="dxa"/>
          <w:left w:w="108" w:type="dxa"/>
          <w:bottom w:w="0" w:type="dxa"/>
          <w:right w:w="108" w:type="dxa"/>
        </w:tblCellMar>
      </w:tblPr>
      <w:tblGrid>
        <w:gridCol w:w="824"/>
        <w:gridCol w:w="2005"/>
        <w:gridCol w:w="7023"/>
      </w:tblGrid>
      <w:tr w14:paraId="475CA532">
        <w:tblPrEx>
          <w:tblCellMar>
            <w:top w:w="0" w:type="dxa"/>
            <w:left w:w="108" w:type="dxa"/>
            <w:bottom w:w="0" w:type="dxa"/>
            <w:right w:w="108" w:type="dxa"/>
          </w:tblCellMar>
        </w:tblPrEx>
        <w:trPr>
          <w:trHeight w:val="420" w:hRule="atLeast"/>
        </w:trPr>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1EA88">
            <w:pPr>
              <w:widowControl/>
              <w:jc w:val="center"/>
              <w:rPr>
                <w:rFonts w:ascii="宋体" w:hAnsi="宋体" w:cs="宋体"/>
                <w:b/>
                <w:bCs/>
                <w:kern w:val="0"/>
                <w:sz w:val="24"/>
              </w:rPr>
            </w:pPr>
            <w:r>
              <w:rPr>
                <w:rFonts w:hint="eastAsia" w:ascii="宋体" w:hAnsi="宋体" w:cs="宋体"/>
                <w:b/>
                <w:bCs/>
                <w:kern w:val="0"/>
                <w:sz w:val="24"/>
              </w:rPr>
              <w:t>序号</w:t>
            </w:r>
          </w:p>
        </w:tc>
        <w:tc>
          <w:tcPr>
            <w:tcW w:w="1017" w:type="pct"/>
            <w:tcBorders>
              <w:top w:val="single" w:color="auto" w:sz="4" w:space="0"/>
              <w:left w:val="nil"/>
              <w:bottom w:val="single" w:color="auto" w:sz="4" w:space="0"/>
              <w:right w:val="single" w:color="auto" w:sz="4" w:space="0"/>
            </w:tcBorders>
            <w:shd w:val="clear" w:color="auto" w:fill="auto"/>
            <w:noWrap/>
            <w:vAlign w:val="center"/>
          </w:tcPr>
          <w:p w14:paraId="07AF372E">
            <w:pPr>
              <w:widowControl/>
              <w:jc w:val="center"/>
              <w:rPr>
                <w:rFonts w:ascii="宋体" w:hAnsi="宋体" w:cs="宋体"/>
                <w:b/>
                <w:bCs/>
                <w:kern w:val="0"/>
                <w:sz w:val="24"/>
              </w:rPr>
            </w:pPr>
            <w:r>
              <w:rPr>
                <w:rFonts w:hint="eastAsia" w:ascii="宋体" w:hAnsi="宋体" w:cs="宋体"/>
                <w:b/>
                <w:bCs/>
                <w:kern w:val="0"/>
                <w:sz w:val="24"/>
              </w:rPr>
              <w:t>区县</w:t>
            </w:r>
          </w:p>
        </w:tc>
        <w:tc>
          <w:tcPr>
            <w:tcW w:w="3563" w:type="pct"/>
            <w:tcBorders>
              <w:top w:val="single" w:color="auto" w:sz="4" w:space="0"/>
              <w:left w:val="nil"/>
              <w:bottom w:val="single" w:color="auto" w:sz="4" w:space="0"/>
              <w:right w:val="single" w:color="auto" w:sz="4" w:space="0"/>
            </w:tcBorders>
            <w:shd w:val="clear" w:color="auto" w:fill="auto"/>
            <w:noWrap/>
            <w:vAlign w:val="center"/>
          </w:tcPr>
          <w:p w14:paraId="67E49608">
            <w:pPr>
              <w:widowControl/>
              <w:jc w:val="left"/>
              <w:rPr>
                <w:rFonts w:ascii="宋体" w:hAnsi="宋体" w:cs="宋体"/>
                <w:b/>
                <w:bCs/>
                <w:color w:val="000000"/>
                <w:kern w:val="0"/>
                <w:sz w:val="24"/>
              </w:rPr>
            </w:pPr>
            <w:r>
              <w:rPr>
                <w:rFonts w:hint="eastAsia" w:ascii="宋体" w:hAnsi="宋体" w:cs="宋体"/>
                <w:b/>
                <w:bCs/>
                <w:color w:val="000000"/>
                <w:kern w:val="0"/>
                <w:sz w:val="24"/>
              </w:rPr>
              <w:t>*监控点名称</w:t>
            </w:r>
          </w:p>
        </w:tc>
      </w:tr>
      <w:tr w14:paraId="61DD66F6">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483A4568">
            <w:pPr>
              <w:widowControl/>
              <w:jc w:val="center"/>
              <w:rPr>
                <w:rFonts w:ascii="宋体" w:hAnsi="宋体" w:cs="宋体"/>
                <w:kern w:val="0"/>
                <w:sz w:val="20"/>
                <w:szCs w:val="20"/>
              </w:rPr>
            </w:pPr>
            <w:r>
              <w:rPr>
                <w:rFonts w:hint="eastAsia" w:ascii="宋体" w:hAnsi="宋体" w:cs="宋体"/>
                <w:kern w:val="0"/>
                <w:sz w:val="20"/>
                <w:szCs w:val="20"/>
              </w:rPr>
              <w:t>1</w:t>
            </w:r>
          </w:p>
        </w:tc>
        <w:tc>
          <w:tcPr>
            <w:tcW w:w="1017" w:type="pct"/>
            <w:vMerge w:val="restart"/>
            <w:tcBorders>
              <w:top w:val="nil"/>
              <w:left w:val="single" w:color="auto" w:sz="4" w:space="0"/>
              <w:bottom w:val="single" w:color="auto" w:sz="4" w:space="0"/>
              <w:right w:val="single" w:color="auto" w:sz="4" w:space="0"/>
            </w:tcBorders>
            <w:shd w:val="clear" w:color="auto" w:fill="auto"/>
            <w:noWrap/>
            <w:vAlign w:val="center"/>
          </w:tcPr>
          <w:p w14:paraId="7E85833D">
            <w:pPr>
              <w:widowControl/>
              <w:jc w:val="center"/>
              <w:rPr>
                <w:rFonts w:ascii="宋体" w:hAnsi="宋体" w:cs="宋体"/>
                <w:kern w:val="0"/>
                <w:sz w:val="20"/>
                <w:szCs w:val="20"/>
              </w:rPr>
            </w:pPr>
            <w:r>
              <w:rPr>
                <w:rFonts w:hint="eastAsia" w:ascii="宋体" w:hAnsi="宋体" w:cs="宋体"/>
                <w:kern w:val="0"/>
                <w:sz w:val="20"/>
                <w:szCs w:val="20"/>
              </w:rPr>
              <w:t>泰顺段</w:t>
            </w:r>
          </w:p>
        </w:tc>
        <w:tc>
          <w:tcPr>
            <w:tcW w:w="3563" w:type="pct"/>
            <w:tcBorders>
              <w:top w:val="nil"/>
              <w:left w:val="nil"/>
              <w:bottom w:val="single" w:color="auto" w:sz="4" w:space="0"/>
              <w:right w:val="single" w:color="auto" w:sz="4" w:space="0"/>
            </w:tcBorders>
            <w:shd w:val="clear" w:color="auto" w:fill="auto"/>
            <w:noWrap/>
            <w:vAlign w:val="center"/>
          </w:tcPr>
          <w:p w14:paraId="6308C0E8">
            <w:pPr>
              <w:widowControl/>
              <w:jc w:val="left"/>
              <w:rPr>
                <w:rFonts w:ascii="宋体" w:hAnsi="宋体" w:cs="宋体"/>
                <w:color w:val="000000"/>
                <w:kern w:val="0"/>
                <w:sz w:val="20"/>
                <w:szCs w:val="20"/>
              </w:rPr>
            </w:pPr>
            <w:r>
              <w:rPr>
                <w:rFonts w:hint="eastAsia" w:ascii="宋体" w:hAnsi="宋体" w:cs="宋体"/>
                <w:color w:val="000000"/>
                <w:kern w:val="0"/>
                <w:sz w:val="20"/>
                <w:szCs w:val="20"/>
              </w:rPr>
              <w:t>G15沈海高速分水关出口100米左侧匝道</w:t>
            </w:r>
          </w:p>
        </w:tc>
      </w:tr>
      <w:tr w14:paraId="606FE48C">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05C3CDAD">
            <w:pPr>
              <w:widowControl/>
              <w:jc w:val="center"/>
              <w:rPr>
                <w:rFonts w:ascii="宋体" w:hAnsi="宋体" w:cs="宋体"/>
                <w:kern w:val="0"/>
                <w:sz w:val="20"/>
                <w:szCs w:val="20"/>
              </w:rPr>
            </w:pPr>
            <w:r>
              <w:rPr>
                <w:rFonts w:hint="eastAsia" w:ascii="宋体" w:hAnsi="宋体" w:cs="宋体"/>
                <w:kern w:val="0"/>
                <w:sz w:val="20"/>
                <w:szCs w:val="20"/>
              </w:rPr>
              <w:t>2</w:t>
            </w:r>
          </w:p>
        </w:tc>
        <w:tc>
          <w:tcPr>
            <w:tcW w:w="1017" w:type="pct"/>
            <w:vMerge w:val="continue"/>
            <w:tcBorders>
              <w:top w:val="nil"/>
              <w:left w:val="single" w:color="auto" w:sz="4" w:space="0"/>
              <w:bottom w:val="single" w:color="auto" w:sz="4" w:space="0"/>
              <w:right w:val="single" w:color="auto" w:sz="4" w:space="0"/>
            </w:tcBorders>
            <w:vAlign w:val="center"/>
          </w:tcPr>
          <w:p w14:paraId="43B62550">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DC24222">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S326泰顺K62+000分水关公路</w:t>
            </w:r>
          </w:p>
        </w:tc>
      </w:tr>
      <w:tr w14:paraId="76460A10">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3F9FB2AA">
            <w:pPr>
              <w:widowControl/>
              <w:jc w:val="center"/>
              <w:rPr>
                <w:rFonts w:ascii="宋体" w:hAnsi="宋体" w:cs="宋体"/>
                <w:kern w:val="0"/>
                <w:sz w:val="20"/>
                <w:szCs w:val="20"/>
              </w:rPr>
            </w:pPr>
            <w:r>
              <w:rPr>
                <w:rFonts w:hint="eastAsia" w:ascii="宋体" w:hAnsi="宋体" w:cs="宋体"/>
                <w:kern w:val="0"/>
                <w:sz w:val="20"/>
                <w:szCs w:val="20"/>
              </w:rPr>
              <w:t>3</w:t>
            </w:r>
          </w:p>
        </w:tc>
        <w:tc>
          <w:tcPr>
            <w:tcW w:w="1017" w:type="pct"/>
            <w:vMerge w:val="continue"/>
            <w:tcBorders>
              <w:top w:val="nil"/>
              <w:left w:val="single" w:color="auto" w:sz="4" w:space="0"/>
              <w:bottom w:val="single" w:color="auto" w:sz="4" w:space="0"/>
              <w:right w:val="single" w:color="auto" w:sz="4" w:space="0"/>
            </w:tcBorders>
            <w:vAlign w:val="center"/>
          </w:tcPr>
          <w:p w14:paraId="6C95FB7F">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50DE2BE0">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S326泰顺K62+000公路服务站全景</w:t>
            </w:r>
          </w:p>
        </w:tc>
      </w:tr>
      <w:tr w14:paraId="5ABFF7BB">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7FCF1E8">
            <w:pPr>
              <w:widowControl/>
              <w:jc w:val="center"/>
              <w:rPr>
                <w:rFonts w:ascii="宋体" w:hAnsi="宋体" w:cs="宋体"/>
                <w:kern w:val="0"/>
                <w:sz w:val="20"/>
                <w:szCs w:val="20"/>
              </w:rPr>
            </w:pPr>
            <w:r>
              <w:rPr>
                <w:rFonts w:hint="eastAsia" w:ascii="宋体" w:hAnsi="宋体" w:cs="宋体"/>
                <w:kern w:val="0"/>
                <w:sz w:val="20"/>
                <w:szCs w:val="20"/>
              </w:rPr>
              <w:t>4</w:t>
            </w:r>
          </w:p>
        </w:tc>
        <w:tc>
          <w:tcPr>
            <w:tcW w:w="1017" w:type="pct"/>
            <w:vMerge w:val="continue"/>
            <w:tcBorders>
              <w:top w:val="nil"/>
              <w:left w:val="single" w:color="auto" w:sz="4" w:space="0"/>
              <w:bottom w:val="single" w:color="auto" w:sz="4" w:space="0"/>
              <w:right w:val="single" w:color="auto" w:sz="4" w:space="0"/>
            </w:tcBorders>
            <w:vAlign w:val="center"/>
          </w:tcPr>
          <w:p w14:paraId="3DD95947">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5642C658">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S326泰顺K80+760路面易结冰路段</w:t>
            </w:r>
          </w:p>
        </w:tc>
      </w:tr>
      <w:tr w14:paraId="36811053">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118FB201">
            <w:pPr>
              <w:widowControl/>
              <w:jc w:val="center"/>
              <w:rPr>
                <w:rFonts w:ascii="宋体" w:hAnsi="宋体" w:cs="宋体"/>
                <w:kern w:val="0"/>
                <w:sz w:val="20"/>
                <w:szCs w:val="20"/>
              </w:rPr>
            </w:pPr>
            <w:r>
              <w:rPr>
                <w:rFonts w:hint="eastAsia" w:ascii="宋体" w:hAnsi="宋体" w:cs="宋体"/>
                <w:kern w:val="0"/>
                <w:sz w:val="20"/>
                <w:szCs w:val="20"/>
              </w:rPr>
              <w:t>5</w:t>
            </w:r>
          </w:p>
        </w:tc>
        <w:tc>
          <w:tcPr>
            <w:tcW w:w="1017" w:type="pct"/>
            <w:vMerge w:val="continue"/>
            <w:tcBorders>
              <w:top w:val="nil"/>
              <w:left w:val="single" w:color="auto" w:sz="4" w:space="0"/>
              <w:bottom w:val="single" w:color="auto" w:sz="4" w:space="0"/>
              <w:right w:val="single" w:color="auto" w:sz="4" w:space="0"/>
            </w:tcBorders>
            <w:vAlign w:val="center"/>
          </w:tcPr>
          <w:p w14:paraId="50AC8783">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05D77A72">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S326泰顺K82+275秀涧隧道入口</w:t>
            </w:r>
          </w:p>
        </w:tc>
      </w:tr>
      <w:tr w14:paraId="19765FD0">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105C20BD">
            <w:pPr>
              <w:widowControl/>
              <w:jc w:val="center"/>
              <w:rPr>
                <w:rFonts w:ascii="宋体" w:hAnsi="宋体" w:cs="宋体"/>
                <w:kern w:val="0"/>
                <w:sz w:val="20"/>
                <w:szCs w:val="20"/>
              </w:rPr>
            </w:pPr>
            <w:r>
              <w:rPr>
                <w:rFonts w:hint="eastAsia" w:ascii="宋体" w:hAnsi="宋体" w:cs="宋体"/>
                <w:kern w:val="0"/>
                <w:sz w:val="20"/>
                <w:szCs w:val="20"/>
              </w:rPr>
              <w:t>6</w:t>
            </w:r>
          </w:p>
        </w:tc>
        <w:tc>
          <w:tcPr>
            <w:tcW w:w="1017" w:type="pct"/>
            <w:vMerge w:val="continue"/>
            <w:tcBorders>
              <w:top w:val="nil"/>
              <w:left w:val="single" w:color="auto" w:sz="4" w:space="0"/>
              <w:bottom w:val="single" w:color="auto" w:sz="4" w:space="0"/>
              <w:right w:val="single" w:color="auto" w:sz="4" w:space="0"/>
            </w:tcBorders>
            <w:vAlign w:val="center"/>
          </w:tcPr>
          <w:p w14:paraId="3960AB4F">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4C98B576">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S326泰顺K90+065路政管理二中队门口（往分水关方向）</w:t>
            </w:r>
          </w:p>
        </w:tc>
      </w:tr>
      <w:tr w14:paraId="2E067C53">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D467046">
            <w:pPr>
              <w:widowControl/>
              <w:jc w:val="center"/>
              <w:rPr>
                <w:rFonts w:ascii="宋体" w:hAnsi="宋体" w:cs="宋体"/>
                <w:kern w:val="0"/>
                <w:sz w:val="20"/>
                <w:szCs w:val="20"/>
              </w:rPr>
            </w:pPr>
            <w:r>
              <w:rPr>
                <w:rFonts w:hint="eastAsia" w:ascii="宋体" w:hAnsi="宋体" w:cs="宋体"/>
                <w:kern w:val="0"/>
                <w:sz w:val="20"/>
                <w:szCs w:val="20"/>
              </w:rPr>
              <w:t>7</w:t>
            </w:r>
          </w:p>
        </w:tc>
        <w:tc>
          <w:tcPr>
            <w:tcW w:w="1017" w:type="pct"/>
            <w:vMerge w:val="continue"/>
            <w:tcBorders>
              <w:top w:val="nil"/>
              <w:left w:val="single" w:color="auto" w:sz="4" w:space="0"/>
              <w:bottom w:val="single" w:color="auto" w:sz="4" w:space="0"/>
              <w:right w:val="single" w:color="auto" w:sz="4" w:space="0"/>
            </w:tcBorders>
            <w:vAlign w:val="center"/>
          </w:tcPr>
          <w:p w14:paraId="424E12BC">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48317FF4">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S326泰顺K99+700战洲路口</w:t>
            </w:r>
          </w:p>
        </w:tc>
      </w:tr>
      <w:tr w14:paraId="5D99A59D">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49DC36F9">
            <w:pPr>
              <w:widowControl/>
              <w:jc w:val="center"/>
              <w:rPr>
                <w:rFonts w:ascii="宋体" w:hAnsi="宋体" w:cs="宋体"/>
                <w:kern w:val="0"/>
                <w:sz w:val="20"/>
                <w:szCs w:val="20"/>
              </w:rPr>
            </w:pPr>
            <w:r>
              <w:rPr>
                <w:rFonts w:hint="eastAsia" w:ascii="宋体" w:hAnsi="宋体" w:cs="宋体"/>
                <w:kern w:val="0"/>
                <w:sz w:val="20"/>
                <w:szCs w:val="20"/>
              </w:rPr>
              <w:t>8</w:t>
            </w:r>
          </w:p>
        </w:tc>
        <w:tc>
          <w:tcPr>
            <w:tcW w:w="1017" w:type="pct"/>
            <w:vMerge w:val="continue"/>
            <w:tcBorders>
              <w:top w:val="nil"/>
              <w:left w:val="single" w:color="auto" w:sz="4" w:space="0"/>
              <w:bottom w:val="single" w:color="auto" w:sz="4" w:space="0"/>
              <w:right w:val="single" w:color="auto" w:sz="4" w:space="0"/>
            </w:tcBorders>
            <w:vAlign w:val="center"/>
          </w:tcPr>
          <w:p w14:paraId="2035B87D">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47F35892">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S326泰顺K99+700战洲路口全景</w:t>
            </w:r>
          </w:p>
        </w:tc>
      </w:tr>
      <w:tr w14:paraId="3132F714">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A736A4C">
            <w:pPr>
              <w:widowControl/>
              <w:jc w:val="center"/>
              <w:rPr>
                <w:rFonts w:ascii="宋体" w:hAnsi="宋体" w:cs="宋体"/>
                <w:kern w:val="0"/>
                <w:sz w:val="20"/>
                <w:szCs w:val="20"/>
              </w:rPr>
            </w:pPr>
            <w:r>
              <w:rPr>
                <w:rFonts w:hint="eastAsia" w:ascii="宋体" w:hAnsi="宋体" w:cs="宋体"/>
                <w:kern w:val="0"/>
                <w:sz w:val="20"/>
                <w:szCs w:val="20"/>
              </w:rPr>
              <w:t>9</w:t>
            </w:r>
          </w:p>
        </w:tc>
        <w:tc>
          <w:tcPr>
            <w:tcW w:w="1017" w:type="pct"/>
            <w:vMerge w:val="continue"/>
            <w:tcBorders>
              <w:top w:val="nil"/>
              <w:left w:val="single" w:color="auto" w:sz="4" w:space="0"/>
              <w:bottom w:val="single" w:color="auto" w:sz="4" w:space="0"/>
              <w:right w:val="single" w:color="auto" w:sz="4" w:space="0"/>
            </w:tcBorders>
            <w:vAlign w:val="center"/>
          </w:tcPr>
          <w:p w14:paraId="68C1E5E2">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719D0E1A">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S326泰顺K67+170隘门关隧道出口</w:t>
            </w:r>
          </w:p>
        </w:tc>
      </w:tr>
      <w:tr w14:paraId="11A039B7">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0B3D88DE">
            <w:pPr>
              <w:widowControl/>
              <w:jc w:val="center"/>
              <w:rPr>
                <w:rFonts w:ascii="宋体" w:hAnsi="宋体" w:cs="宋体"/>
                <w:kern w:val="0"/>
                <w:sz w:val="20"/>
                <w:szCs w:val="20"/>
              </w:rPr>
            </w:pPr>
            <w:r>
              <w:rPr>
                <w:rFonts w:hint="eastAsia" w:ascii="宋体" w:hAnsi="宋体" w:cs="宋体"/>
                <w:kern w:val="0"/>
                <w:sz w:val="20"/>
                <w:szCs w:val="20"/>
              </w:rPr>
              <w:t>10</w:t>
            </w:r>
          </w:p>
        </w:tc>
        <w:tc>
          <w:tcPr>
            <w:tcW w:w="1017" w:type="pct"/>
            <w:vMerge w:val="continue"/>
            <w:tcBorders>
              <w:top w:val="nil"/>
              <w:left w:val="single" w:color="auto" w:sz="4" w:space="0"/>
              <w:bottom w:val="single" w:color="auto" w:sz="4" w:space="0"/>
              <w:right w:val="single" w:color="auto" w:sz="4" w:space="0"/>
            </w:tcBorders>
            <w:vAlign w:val="center"/>
          </w:tcPr>
          <w:p w14:paraId="52B874E1">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0968B97A">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S326泰顺K111+000龙井坑隧道（往分水关方向）</w:t>
            </w:r>
          </w:p>
        </w:tc>
      </w:tr>
      <w:tr w14:paraId="2C025628">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4AD2E464">
            <w:pPr>
              <w:widowControl/>
              <w:jc w:val="center"/>
              <w:rPr>
                <w:rFonts w:ascii="宋体" w:hAnsi="宋体" w:cs="宋体"/>
                <w:kern w:val="0"/>
                <w:sz w:val="20"/>
                <w:szCs w:val="20"/>
              </w:rPr>
            </w:pPr>
            <w:r>
              <w:rPr>
                <w:rFonts w:hint="eastAsia" w:ascii="宋体" w:hAnsi="宋体" w:cs="宋体"/>
                <w:kern w:val="0"/>
                <w:sz w:val="20"/>
                <w:szCs w:val="20"/>
              </w:rPr>
              <w:t>11</w:t>
            </w:r>
          </w:p>
        </w:tc>
        <w:tc>
          <w:tcPr>
            <w:tcW w:w="1017" w:type="pct"/>
            <w:vMerge w:val="continue"/>
            <w:tcBorders>
              <w:top w:val="nil"/>
              <w:left w:val="single" w:color="auto" w:sz="4" w:space="0"/>
              <w:bottom w:val="single" w:color="auto" w:sz="4" w:space="0"/>
              <w:right w:val="single" w:color="auto" w:sz="4" w:space="0"/>
            </w:tcBorders>
            <w:vAlign w:val="center"/>
          </w:tcPr>
          <w:p w14:paraId="1790B20A">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250AD7B7">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S326泰顺K120+200新城路口</w:t>
            </w:r>
          </w:p>
        </w:tc>
      </w:tr>
      <w:tr w14:paraId="2B1066AA">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0B00BBA">
            <w:pPr>
              <w:widowControl/>
              <w:jc w:val="center"/>
              <w:rPr>
                <w:rFonts w:ascii="宋体" w:hAnsi="宋体" w:cs="宋体"/>
                <w:kern w:val="0"/>
                <w:sz w:val="20"/>
                <w:szCs w:val="20"/>
              </w:rPr>
            </w:pPr>
            <w:r>
              <w:rPr>
                <w:rFonts w:hint="eastAsia" w:ascii="宋体" w:hAnsi="宋体" w:cs="宋体"/>
                <w:kern w:val="0"/>
                <w:sz w:val="20"/>
                <w:szCs w:val="20"/>
              </w:rPr>
              <w:t>12</w:t>
            </w:r>
          </w:p>
        </w:tc>
        <w:tc>
          <w:tcPr>
            <w:tcW w:w="1017" w:type="pct"/>
            <w:vMerge w:val="continue"/>
            <w:tcBorders>
              <w:top w:val="nil"/>
              <w:left w:val="single" w:color="auto" w:sz="4" w:space="0"/>
              <w:bottom w:val="single" w:color="auto" w:sz="4" w:space="0"/>
              <w:right w:val="single" w:color="auto" w:sz="4" w:space="0"/>
            </w:tcBorders>
            <w:vAlign w:val="center"/>
          </w:tcPr>
          <w:p w14:paraId="2CBEDE8D">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16C83FE">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S326泰顺K120+200新城路口全景</w:t>
            </w:r>
          </w:p>
        </w:tc>
      </w:tr>
      <w:tr w14:paraId="3317691F">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2F3F54DC">
            <w:pPr>
              <w:widowControl/>
              <w:jc w:val="center"/>
              <w:rPr>
                <w:rFonts w:ascii="宋体" w:hAnsi="宋体" w:cs="宋体"/>
                <w:kern w:val="0"/>
                <w:sz w:val="20"/>
                <w:szCs w:val="20"/>
              </w:rPr>
            </w:pPr>
            <w:r>
              <w:rPr>
                <w:rFonts w:hint="eastAsia" w:ascii="宋体" w:hAnsi="宋体" w:cs="宋体"/>
                <w:kern w:val="0"/>
                <w:sz w:val="20"/>
                <w:szCs w:val="20"/>
              </w:rPr>
              <w:t>13</w:t>
            </w:r>
          </w:p>
        </w:tc>
        <w:tc>
          <w:tcPr>
            <w:tcW w:w="1017" w:type="pct"/>
            <w:vMerge w:val="continue"/>
            <w:tcBorders>
              <w:top w:val="nil"/>
              <w:left w:val="single" w:color="auto" w:sz="4" w:space="0"/>
              <w:bottom w:val="single" w:color="auto" w:sz="4" w:space="0"/>
              <w:right w:val="single" w:color="auto" w:sz="4" w:space="0"/>
            </w:tcBorders>
            <w:vAlign w:val="center"/>
          </w:tcPr>
          <w:p w14:paraId="2BA7523E">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4D0AD197">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S326泰顺K109+660上洪隧道（往泰顺方向）</w:t>
            </w:r>
          </w:p>
        </w:tc>
      </w:tr>
      <w:tr w14:paraId="3E589108">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242886E1">
            <w:pPr>
              <w:widowControl/>
              <w:jc w:val="center"/>
              <w:rPr>
                <w:rFonts w:ascii="宋体" w:hAnsi="宋体" w:cs="宋体"/>
                <w:kern w:val="0"/>
                <w:sz w:val="20"/>
                <w:szCs w:val="20"/>
              </w:rPr>
            </w:pPr>
            <w:r>
              <w:rPr>
                <w:rFonts w:hint="eastAsia" w:ascii="宋体" w:hAnsi="宋体" w:cs="宋体"/>
                <w:kern w:val="0"/>
                <w:sz w:val="20"/>
                <w:szCs w:val="20"/>
              </w:rPr>
              <w:t>14</w:t>
            </w:r>
          </w:p>
        </w:tc>
        <w:tc>
          <w:tcPr>
            <w:tcW w:w="1017" w:type="pct"/>
            <w:vMerge w:val="continue"/>
            <w:tcBorders>
              <w:top w:val="nil"/>
              <w:left w:val="single" w:color="auto" w:sz="4" w:space="0"/>
              <w:bottom w:val="single" w:color="auto" w:sz="4" w:space="0"/>
              <w:right w:val="single" w:color="auto" w:sz="4" w:space="0"/>
            </w:tcBorders>
            <w:vAlign w:val="center"/>
          </w:tcPr>
          <w:p w14:paraId="41CB3D8E">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2D0545EE">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S326泰顺K85+000雅阳路口（往泰顺方向）</w:t>
            </w:r>
          </w:p>
        </w:tc>
      </w:tr>
      <w:tr w14:paraId="39083987">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6C0A404">
            <w:pPr>
              <w:widowControl/>
              <w:jc w:val="center"/>
              <w:rPr>
                <w:rFonts w:ascii="宋体" w:hAnsi="宋体" w:cs="宋体"/>
                <w:kern w:val="0"/>
                <w:sz w:val="20"/>
                <w:szCs w:val="20"/>
              </w:rPr>
            </w:pPr>
            <w:r>
              <w:rPr>
                <w:rFonts w:hint="eastAsia" w:ascii="宋体" w:hAnsi="宋体" w:cs="宋体"/>
                <w:kern w:val="0"/>
                <w:sz w:val="20"/>
                <w:szCs w:val="20"/>
              </w:rPr>
              <w:t>15</w:t>
            </w:r>
          </w:p>
        </w:tc>
        <w:tc>
          <w:tcPr>
            <w:tcW w:w="1017" w:type="pct"/>
            <w:vMerge w:val="continue"/>
            <w:tcBorders>
              <w:top w:val="nil"/>
              <w:left w:val="single" w:color="auto" w:sz="4" w:space="0"/>
              <w:bottom w:val="single" w:color="auto" w:sz="4" w:space="0"/>
              <w:right w:val="single" w:color="auto" w:sz="4" w:space="0"/>
            </w:tcBorders>
            <w:vAlign w:val="center"/>
          </w:tcPr>
          <w:p w14:paraId="07610B91">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105728C">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S326泰顺K85+000雅阳路口（往泰顺方向）全景</w:t>
            </w:r>
          </w:p>
        </w:tc>
      </w:tr>
      <w:tr w14:paraId="2FCF7760">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0B93D3A0">
            <w:pPr>
              <w:widowControl/>
              <w:jc w:val="center"/>
              <w:rPr>
                <w:rFonts w:ascii="宋体" w:hAnsi="宋体" w:cs="宋体"/>
                <w:kern w:val="0"/>
                <w:sz w:val="20"/>
                <w:szCs w:val="20"/>
              </w:rPr>
            </w:pPr>
            <w:r>
              <w:rPr>
                <w:rFonts w:hint="eastAsia" w:ascii="宋体" w:hAnsi="宋体" w:cs="宋体"/>
                <w:kern w:val="0"/>
                <w:sz w:val="20"/>
                <w:szCs w:val="20"/>
              </w:rPr>
              <w:t>16</w:t>
            </w:r>
          </w:p>
        </w:tc>
        <w:tc>
          <w:tcPr>
            <w:tcW w:w="1017" w:type="pct"/>
            <w:vMerge w:val="continue"/>
            <w:tcBorders>
              <w:top w:val="nil"/>
              <w:left w:val="single" w:color="auto" w:sz="4" w:space="0"/>
              <w:bottom w:val="single" w:color="auto" w:sz="4" w:space="0"/>
              <w:right w:val="single" w:color="auto" w:sz="4" w:space="0"/>
            </w:tcBorders>
            <w:vAlign w:val="center"/>
          </w:tcPr>
          <w:p w14:paraId="412A63F6">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1249AF1C">
            <w:pPr>
              <w:widowControl/>
              <w:jc w:val="left"/>
              <w:rPr>
                <w:rFonts w:ascii="宋体" w:hAnsi="宋体" w:cs="宋体"/>
                <w:color w:val="000000"/>
                <w:kern w:val="0"/>
                <w:sz w:val="20"/>
                <w:szCs w:val="20"/>
              </w:rPr>
            </w:pPr>
            <w:r>
              <w:rPr>
                <w:rFonts w:hint="eastAsia" w:ascii="宋体" w:hAnsi="宋体" w:cs="宋体"/>
                <w:color w:val="000000"/>
                <w:kern w:val="0"/>
                <w:sz w:val="20"/>
                <w:szCs w:val="20"/>
              </w:rPr>
              <w:t>S326泰顺K118+500落石路段（往泰顺方向）</w:t>
            </w:r>
          </w:p>
        </w:tc>
      </w:tr>
      <w:tr w14:paraId="29524B06">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45236C2D">
            <w:pPr>
              <w:widowControl/>
              <w:jc w:val="center"/>
              <w:rPr>
                <w:rFonts w:ascii="宋体" w:hAnsi="宋体" w:cs="宋体"/>
                <w:kern w:val="0"/>
                <w:sz w:val="20"/>
                <w:szCs w:val="20"/>
              </w:rPr>
            </w:pPr>
            <w:r>
              <w:rPr>
                <w:rFonts w:hint="eastAsia" w:ascii="宋体" w:hAnsi="宋体" w:cs="宋体"/>
                <w:kern w:val="0"/>
                <w:sz w:val="20"/>
                <w:szCs w:val="20"/>
              </w:rPr>
              <w:t>17</w:t>
            </w:r>
          </w:p>
        </w:tc>
        <w:tc>
          <w:tcPr>
            <w:tcW w:w="1017" w:type="pct"/>
            <w:vMerge w:val="restart"/>
            <w:tcBorders>
              <w:top w:val="nil"/>
              <w:left w:val="single" w:color="auto" w:sz="4" w:space="0"/>
              <w:bottom w:val="single" w:color="auto" w:sz="4" w:space="0"/>
              <w:right w:val="single" w:color="auto" w:sz="4" w:space="0"/>
            </w:tcBorders>
            <w:shd w:val="clear" w:color="auto" w:fill="auto"/>
            <w:noWrap/>
            <w:vAlign w:val="center"/>
          </w:tcPr>
          <w:p w14:paraId="7AF9CD11">
            <w:pPr>
              <w:widowControl/>
              <w:jc w:val="center"/>
              <w:rPr>
                <w:rFonts w:ascii="宋体" w:hAnsi="宋体" w:cs="宋体"/>
                <w:kern w:val="0"/>
                <w:sz w:val="20"/>
                <w:szCs w:val="20"/>
              </w:rPr>
            </w:pPr>
            <w:r>
              <w:rPr>
                <w:rFonts w:hint="eastAsia" w:ascii="宋体" w:hAnsi="宋体" w:cs="宋体"/>
                <w:kern w:val="0"/>
                <w:sz w:val="20"/>
                <w:szCs w:val="20"/>
              </w:rPr>
              <w:t>瑞安段</w:t>
            </w:r>
          </w:p>
        </w:tc>
        <w:tc>
          <w:tcPr>
            <w:tcW w:w="3563" w:type="pct"/>
            <w:tcBorders>
              <w:top w:val="nil"/>
              <w:left w:val="nil"/>
              <w:bottom w:val="single" w:color="auto" w:sz="4" w:space="0"/>
              <w:right w:val="single" w:color="auto" w:sz="4" w:space="0"/>
            </w:tcBorders>
            <w:shd w:val="clear" w:color="auto" w:fill="auto"/>
            <w:noWrap/>
            <w:vAlign w:val="center"/>
          </w:tcPr>
          <w:p w14:paraId="5C3CF365">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G322瑞东线K33+400M(往藤岙隧道)</w:t>
            </w:r>
          </w:p>
        </w:tc>
      </w:tr>
      <w:tr w14:paraId="017D49A2">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5514FD25">
            <w:pPr>
              <w:widowControl/>
              <w:jc w:val="center"/>
              <w:rPr>
                <w:rFonts w:ascii="宋体" w:hAnsi="宋体" w:cs="宋体"/>
                <w:kern w:val="0"/>
                <w:sz w:val="20"/>
                <w:szCs w:val="20"/>
              </w:rPr>
            </w:pPr>
            <w:r>
              <w:rPr>
                <w:rFonts w:hint="eastAsia" w:ascii="宋体" w:hAnsi="宋体" w:cs="宋体"/>
                <w:kern w:val="0"/>
                <w:sz w:val="20"/>
                <w:szCs w:val="20"/>
              </w:rPr>
              <w:t>18</w:t>
            </w:r>
          </w:p>
        </w:tc>
        <w:tc>
          <w:tcPr>
            <w:tcW w:w="1017" w:type="pct"/>
            <w:vMerge w:val="continue"/>
            <w:tcBorders>
              <w:top w:val="nil"/>
              <w:left w:val="single" w:color="auto" w:sz="4" w:space="0"/>
              <w:bottom w:val="single" w:color="auto" w:sz="4" w:space="0"/>
              <w:right w:val="single" w:color="auto" w:sz="4" w:space="0"/>
            </w:tcBorders>
            <w:vAlign w:val="center"/>
          </w:tcPr>
          <w:p w14:paraId="214057B9">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C722189">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G322瑞东线K51+400M漈门溪大桥</w:t>
            </w:r>
          </w:p>
        </w:tc>
      </w:tr>
      <w:tr w14:paraId="4C0B8CF3">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3E7E7C8E">
            <w:pPr>
              <w:widowControl/>
              <w:jc w:val="center"/>
              <w:rPr>
                <w:rFonts w:ascii="宋体" w:hAnsi="宋体" w:cs="宋体"/>
                <w:kern w:val="0"/>
                <w:sz w:val="20"/>
                <w:szCs w:val="20"/>
              </w:rPr>
            </w:pPr>
            <w:r>
              <w:rPr>
                <w:rFonts w:hint="eastAsia" w:ascii="宋体" w:hAnsi="宋体" w:cs="宋体"/>
                <w:kern w:val="0"/>
                <w:sz w:val="20"/>
                <w:szCs w:val="20"/>
              </w:rPr>
              <w:t>19</w:t>
            </w:r>
          </w:p>
        </w:tc>
        <w:tc>
          <w:tcPr>
            <w:tcW w:w="1017" w:type="pct"/>
            <w:vMerge w:val="continue"/>
            <w:tcBorders>
              <w:top w:val="nil"/>
              <w:left w:val="single" w:color="auto" w:sz="4" w:space="0"/>
              <w:bottom w:val="single" w:color="auto" w:sz="4" w:space="0"/>
              <w:right w:val="single" w:color="auto" w:sz="4" w:space="0"/>
            </w:tcBorders>
            <w:vAlign w:val="center"/>
          </w:tcPr>
          <w:p w14:paraId="157D2FFA">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7EA64755">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G322瑞东线K52+230M营朱线路口</w:t>
            </w:r>
          </w:p>
        </w:tc>
      </w:tr>
      <w:tr w14:paraId="0D7589E8">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22B36E4">
            <w:pPr>
              <w:widowControl/>
              <w:jc w:val="center"/>
              <w:rPr>
                <w:rFonts w:ascii="宋体" w:hAnsi="宋体" w:cs="宋体"/>
                <w:kern w:val="0"/>
                <w:sz w:val="20"/>
                <w:szCs w:val="20"/>
              </w:rPr>
            </w:pPr>
            <w:r>
              <w:rPr>
                <w:rFonts w:hint="eastAsia" w:ascii="宋体" w:hAnsi="宋体" w:cs="宋体"/>
                <w:kern w:val="0"/>
                <w:sz w:val="20"/>
                <w:szCs w:val="20"/>
              </w:rPr>
              <w:t>20</w:t>
            </w:r>
          </w:p>
        </w:tc>
        <w:tc>
          <w:tcPr>
            <w:tcW w:w="1017" w:type="pct"/>
            <w:vMerge w:val="continue"/>
            <w:tcBorders>
              <w:top w:val="nil"/>
              <w:left w:val="single" w:color="auto" w:sz="4" w:space="0"/>
              <w:bottom w:val="single" w:color="auto" w:sz="4" w:space="0"/>
              <w:right w:val="single" w:color="auto" w:sz="4" w:space="0"/>
            </w:tcBorders>
            <w:vAlign w:val="center"/>
          </w:tcPr>
          <w:p w14:paraId="7EE5C940">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5066A930">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G322瑞东线K52+230M营朱线路口全景</w:t>
            </w:r>
          </w:p>
        </w:tc>
      </w:tr>
      <w:tr w14:paraId="0CA421BC">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138393C">
            <w:pPr>
              <w:widowControl/>
              <w:jc w:val="center"/>
              <w:rPr>
                <w:rFonts w:ascii="宋体" w:hAnsi="宋体" w:cs="宋体"/>
                <w:kern w:val="0"/>
                <w:sz w:val="20"/>
                <w:szCs w:val="20"/>
              </w:rPr>
            </w:pPr>
            <w:r>
              <w:rPr>
                <w:rFonts w:hint="eastAsia" w:ascii="宋体" w:hAnsi="宋体" w:cs="宋体"/>
                <w:kern w:val="0"/>
                <w:sz w:val="20"/>
                <w:szCs w:val="20"/>
              </w:rPr>
              <w:t>21</w:t>
            </w:r>
          </w:p>
        </w:tc>
        <w:tc>
          <w:tcPr>
            <w:tcW w:w="1017" w:type="pct"/>
            <w:vMerge w:val="continue"/>
            <w:tcBorders>
              <w:top w:val="nil"/>
              <w:left w:val="single" w:color="auto" w:sz="4" w:space="0"/>
              <w:bottom w:val="single" w:color="auto" w:sz="4" w:space="0"/>
              <w:right w:val="single" w:color="auto" w:sz="4" w:space="0"/>
            </w:tcBorders>
            <w:vAlign w:val="center"/>
          </w:tcPr>
          <w:p w14:paraId="14F8963B">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1FA80A69">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G322瑞东线K19+200M仙降工业区</w:t>
            </w:r>
          </w:p>
        </w:tc>
      </w:tr>
      <w:tr w14:paraId="71D28AD6">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0FAED6A2">
            <w:pPr>
              <w:widowControl/>
              <w:jc w:val="center"/>
              <w:rPr>
                <w:rFonts w:ascii="宋体" w:hAnsi="宋体" w:cs="宋体"/>
                <w:kern w:val="0"/>
                <w:sz w:val="20"/>
                <w:szCs w:val="20"/>
              </w:rPr>
            </w:pPr>
            <w:r>
              <w:rPr>
                <w:rFonts w:hint="eastAsia" w:ascii="宋体" w:hAnsi="宋体" w:cs="宋体"/>
                <w:kern w:val="0"/>
                <w:sz w:val="20"/>
                <w:szCs w:val="20"/>
              </w:rPr>
              <w:t>22</w:t>
            </w:r>
          </w:p>
        </w:tc>
        <w:tc>
          <w:tcPr>
            <w:tcW w:w="1017" w:type="pct"/>
            <w:vMerge w:val="continue"/>
            <w:tcBorders>
              <w:top w:val="nil"/>
              <w:left w:val="single" w:color="auto" w:sz="4" w:space="0"/>
              <w:bottom w:val="single" w:color="auto" w:sz="4" w:space="0"/>
              <w:right w:val="single" w:color="auto" w:sz="4" w:space="0"/>
            </w:tcBorders>
            <w:vAlign w:val="center"/>
          </w:tcPr>
          <w:p w14:paraId="416CB435">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024A274E">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G322瑞东线K55+080M落石地段</w:t>
            </w:r>
          </w:p>
        </w:tc>
      </w:tr>
      <w:tr w14:paraId="65D4FC63">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35253A18">
            <w:pPr>
              <w:widowControl/>
              <w:jc w:val="center"/>
              <w:rPr>
                <w:rFonts w:ascii="宋体" w:hAnsi="宋体" w:cs="宋体"/>
                <w:kern w:val="0"/>
                <w:sz w:val="20"/>
                <w:szCs w:val="20"/>
              </w:rPr>
            </w:pPr>
            <w:r>
              <w:rPr>
                <w:rFonts w:hint="eastAsia" w:ascii="宋体" w:hAnsi="宋体" w:cs="宋体"/>
                <w:kern w:val="0"/>
                <w:sz w:val="20"/>
                <w:szCs w:val="20"/>
              </w:rPr>
              <w:t>23</w:t>
            </w:r>
          </w:p>
        </w:tc>
        <w:tc>
          <w:tcPr>
            <w:tcW w:w="1017" w:type="pct"/>
            <w:vMerge w:val="continue"/>
            <w:tcBorders>
              <w:top w:val="nil"/>
              <w:left w:val="single" w:color="auto" w:sz="4" w:space="0"/>
              <w:bottom w:val="single" w:color="auto" w:sz="4" w:space="0"/>
              <w:right w:val="single" w:color="auto" w:sz="4" w:space="0"/>
            </w:tcBorders>
            <w:vAlign w:val="center"/>
          </w:tcPr>
          <w:p w14:paraId="703268FB">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58F26336">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G322瑞东线K55+080M落石地段全景</w:t>
            </w:r>
          </w:p>
        </w:tc>
      </w:tr>
      <w:tr w14:paraId="10ECF160">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36E33FC7">
            <w:pPr>
              <w:widowControl/>
              <w:jc w:val="center"/>
              <w:rPr>
                <w:rFonts w:ascii="宋体" w:hAnsi="宋体" w:cs="宋体"/>
                <w:kern w:val="0"/>
                <w:sz w:val="20"/>
                <w:szCs w:val="20"/>
              </w:rPr>
            </w:pPr>
            <w:r>
              <w:rPr>
                <w:rFonts w:hint="eastAsia" w:ascii="宋体" w:hAnsi="宋体" w:cs="宋体"/>
                <w:kern w:val="0"/>
                <w:sz w:val="20"/>
                <w:szCs w:val="20"/>
              </w:rPr>
              <w:t>24</w:t>
            </w:r>
          </w:p>
        </w:tc>
        <w:tc>
          <w:tcPr>
            <w:tcW w:w="1017" w:type="pct"/>
            <w:vMerge w:val="continue"/>
            <w:tcBorders>
              <w:top w:val="nil"/>
              <w:left w:val="single" w:color="auto" w:sz="4" w:space="0"/>
              <w:bottom w:val="single" w:color="auto" w:sz="4" w:space="0"/>
              <w:right w:val="single" w:color="auto" w:sz="4" w:space="0"/>
            </w:tcBorders>
            <w:vAlign w:val="center"/>
          </w:tcPr>
          <w:p w14:paraId="471278A7">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2AAB83D3">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G322瑞东线K15+020M铁路桥下全景</w:t>
            </w:r>
          </w:p>
        </w:tc>
      </w:tr>
      <w:tr w14:paraId="694A542C">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CF49A6F">
            <w:pPr>
              <w:widowControl/>
              <w:jc w:val="center"/>
              <w:rPr>
                <w:rFonts w:ascii="宋体" w:hAnsi="宋体" w:cs="宋体"/>
                <w:kern w:val="0"/>
                <w:sz w:val="20"/>
                <w:szCs w:val="20"/>
              </w:rPr>
            </w:pPr>
            <w:r>
              <w:rPr>
                <w:rFonts w:hint="eastAsia" w:ascii="宋体" w:hAnsi="宋体" w:cs="宋体"/>
                <w:kern w:val="0"/>
                <w:sz w:val="20"/>
                <w:szCs w:val="20"/>
              </w:rPr>
              <w:t>25</w:t>
            </w:r>
          </w:p>
        </w:tc>
        <w:tc>
          <w:tcPr>
            <w:tcW w:w="1017" w:type="pct"/>
            <w:vMerge w:val="continue"/>
            <w:tcBorders>
              <w:top w:val="nil"/>
              <w:left w:val="single" w:color="auto" w:sz="4" w:space="0"/>
              <w:bottom w:val="single" w:color="auto" w:sz="4" w:space="0"/>
              <w:right w:val="single" w:color="auto" w:sz="4" w:space="0"/>
            </w:tcBorders>
            <w:vAlign w:val="center"/>
          </w:tcPr>
          <w:p w14:paraId="7ED574C1">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5DED079F">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G322瑞东线K15+020M铁路桥下</w:t>
            </w:r>
          </w:p>
        </w:tc>
      </w:tr>
      <w:tr w14:paraId="4A281237">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38C0E06">
            <w:pPr>
              <w:widowControl/>
              <w:jc w:val="center"/>
              <w:rPr>
                <w:rFonts w:ascii="宋体" w:hAnsi="宋体" w:cs="宋体"/>
                <w:kern w:val="0"/>
                <w:sz w:val="20"/>
                <w:szCs w:val="20"/>
              </w:rPr>
            </w:pPr>
            <w:r>
              <w:rPr>
                <w:rFonts w:hint="eastAsia" w:ascii="宋体" w:hAnsi="宋体" w:cs="宋体"/>
                <w:kern w:val="0"/>
                <w:sz w:val="20"/>
                <w:szCs w:val="20"/>
              </w:rPr>
              <w:t>26</w:t>
            </w:r>
          </w:p>
        </w:tc>
        <w:tc>
          <w:tcPr>
            <w:tcW w:w="1017" w:type="pct"/>
            <w:vMerge w:val="continue"/>
            <w:tcBorders>
              <w:top w:val="nil"/>
              <w:left w:val="single" w:color="auto" w:sz="4" w:space="0"/>
              <w:bottom w:val="single" w:color="auto" w:sz="4" w:space="0"/>
              <w:right w:val="single" w:color="auto" w:sz="4" w:space="0"/>
            </w:tcBorders>
            <w:vAlign w:val="center"/>
          </w:tcPr>
          <w:p w14:paraId="0F02E78E">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7D79F139">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G322瑞东线K43+690M大华地段</w:t>
            </w:r>
          </w:p>
        </w:tc>
      </w:tr>
      <w:tr w14:paraId="21DAF315">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E4FA137">
            <w:pPr>
              <w:widowControl/>
              <w:jc w:val="center"/>
              <w:rPr>
                <w:rFonts w:ascii="宋体" w:hAnsi="宋体" w:cs="宋体"/>
                <w:kern w:val="0"/>
                <w:sz w:val="20"/>
                <w:szCs w:val="20"/>
              </w:rPr>
            </w:pPr>
            <w:r>
              <w:rPr>
                <w:rFonts w:hint="eastAsia" w:ascii="宋体" w:hAnsi="宋体" w:cs="宋体"/>
                <w:kern w:val="0"/>
                <w:sz w:val="20"/>
                <w:szCs w:val="20"/>
              </w:rPr>
              <w:t>27</w:t>
            </w:r>
          </w:p>
        </w:tc>
        <w:tc>
          <w:tcPr>
            <w:tcW w:w="1017" w:type="pct"/>
            <w:vMerge w:val="continue"/>
            <w:tcBorders>
              <w:top w:val="nil"/>
              <w:left w:val="single" w:color="auto" w:sz="4" w:space="0"/>
              <w:bottom w:val="single" w:color="auto" w:sz="4" w:space="0"/>
              <w:right w:val="single" w:color="auto" w:sz="4" w:space="0"/>
            </w:tcBorders>
            <w:vAlign w:val="center"/>
          </w:tcPr>
          <w:p w14:paraId="4FE8C7FF">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04D55A2">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G322瑞东线K50+180M管岩大桥</w:t>
            </w:r>
          </w:p>
        </w:tc>
      </w:tr>
      <w:tr w14:paraId="7BEADA3F">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7AC2E30">
            <w:pPr>
              <w:widowControl/>
              <w:jc w:val="center"/>
              <w:rPr>
                <w:rFonts w:ascii="宋体" w:hAnsi="宋体" w:cs="宋体"/>
                <w:kern w:val="0"/>
                <w:sz w:val="20"/>
                <w:szCs w:val="20"/>
              </w:rPr>
            </w:pPr>
            <w:r>
              <w:rPr>
                <w:rFonts w:hint="eastAsia" w:ascii="宋体" w:hAnsi="宋体" w:cs="宋体"/>
                <w:kern w:val="0"/>
                <w:sz w:val="20"/>
                <w:szCs w:val="20"/>
              </w:rPr>
              <w:t>28</w:t>
            </w:r>
          </w:p>
        </w:tc>
        <w:tc>
          <w:tcPr>
            <w:tcW w:w="1017" w:type="pct"/>
            <w:vMerge w:val="restart"/>
            <w:tcBorders>
              <w:top w:val="nil"/>
              <w:left w:val="single" w:color="auto" w:sz="4" w:space="0"/>
              <w:bottom w:val="single" w:color="000000" w:sz="4" w:space="0"/>
              <w:right w:val="single" w:color="auto" w:sz="4" w:space="0"/>
            </w:tcBorders>
            <w:shd w:val="clear" w:color="auto" w:fill="auto"/>
            <w:noWrap/>
            <w:vAlign w:val="center"/>
          </w:tcPr>
          <w:p w14:paraId="5374E52B">
            <w:pPr>
              <w:widowControl/>
              <w:jc w:val="center"/>
              <w:rPr>
                <w:rFonts w:ascii="宋体" w:hAnsi="宋体" w:cs="宋体"/>
                <w:kern w:val="0"/>
                <w:sz w:val="20"/>
                <w:szCs w:val="20"/>
              </w:rPr>
            </w:pPr>
            <w:r>
              <w:rPr>
                <w:rFonts w:hint="eastAsia" w:ascii="宋体" w:hAnsi="宋体" w:cs="宋体"/>
                <w:kern w:val="0"/>
                <w:sz w:val="20"/>
                <w:szCs w:val="20"/>
              </w:rPr>
              <w:t>文成段</w:t>
            </w:r>
          </w:p>
        </w:tc>
        <w:tc>
          <w:tcPr>
            <w:tcW w:w="3563" w:type="pct"/>
            <w:tcBorders>
              <w:top w:val="nil"/>
              <w:left w:val="nil"/>
              <w:bottom w:val="single" w:color="auto" w:sz="4" w:space="0"/>
              <w:right w:val="single" w:color="auto" w:sz="4" w:space="0"/>
            </w:tcBorders>
            <w:shd w:val="clear" w:color="auto" w:fill="auto"/>
            <w:noWrap/>
            <w:vAlign w:val="center"/>
          </w:tcPr>
          <w:p w14:paraId="46887485">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G322瑞东线K55+480M文成驿站</w:t>
            </w:r>
          </w:p>
        </w:tc>
      </w:tr>
      <w:tr w14:paraId="67436BEC">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BC38B1C">
            <w:pPr>
              <w:widowControl/>
              <w:jc w:val="center"/>
              <w:rPr>
                <w:rFonts w:ascii="宋体" w:hAnsi="宋体" w:cs="宋体"/>
                <w:kern w:val="0"/>
                <w:sz w:val="20"/>
                <w:szCs w:val="20"/>
              </w:rPr>
            </w:pPr>
            <w:r>
              <w:rPr>
                <w:rFonts w:hint="eastAsia" w:ascii="宋体" w:hAnsi="宋体" w:cs="宋体"/>
                <w:kern w:val="0"/>
                <w:sz w:val="20"/>
                <w:szCs w:val="20"/>
              </w:rPr>
              <w:t>29</w:t>
            </w:r>
          </w:p>
        </w:tc>
        <w:tc>
          <w:tcPr>
            <w:tcW w:w="1017" w:type="pct"/>
            <w:vMerge w:val="continue"/>
            <w:tcBorders>
              <w:top w:val="nil"/>
              <w:left w:val="single" w:color="auto" w:sz="4" w:space="0"/>
              <w:bottom w:val="single" w:color="000000" w:sz="4" w:space="0"/>
              <w:right w:val="single" w:color="auto" w:sz="4" w:space="0"/>
            </w:tcBorders>
            <w:vAlign w:val="center"/>
          </w:tcPr>
          <w:p w14:paraId="17BCA47D">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AFF17DE">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G322瑞东线K55+480M文成驿站全景</w:t>
            </w:r>
          </w:p>
        </w:tc>
      </w:tr>
      <w:tr w14:paraId="0AB382F7">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2090397E">
            <w:pPr>
              <w:widowControl/>
              <w:jc w:val="center"/>
              <w:rPr>
                <w:rFonts w:ascii="宋体" w:hAnsi="宋体" w:cs="宋体"/>
                <w:kern w:val="0"/>
                <w:sz w:val="20"/>
                <w:szCs w:val="20"/>
              </w:rPr>
            </w:pPr>
            <w:r>
              <w:rPr>
                <w:rFonts w:hint="eastAsia" w:ascii="宋体" w:hAnsi="宋体" w:cs="宋体"/>
                <w:kern w:val="0"/>
                <w:sz w:val="20"/>
                <w:szCs w:val="20"/>
              </w:rPr>
              <w:t>30</w:t>
            </w:r>
          </w:p>
        </w:tc>
        <w:tc>
          <w:tcPr>
            <w:tcW w:w="1017" w:type="pct"/>
            <w:vMerge w:val="continue"/>
            <w:tcBorders>
              <w:top w:val="nil"/>
              <w:left w:val="single" w:color="auto" w:sz="4" w:space="0"/>
              <w:bottom w:val="single" w:color="000000" w:sz="4" w:space="0"/>
              <w:right w:val="single" w:color="auto" w:sz="4" w:space="0"/>
            </w:tcBorders>
            <w:vAlign w:val="center"/>
          </w:tcPr>
          <w:p w14:paraId="57FA5ACF">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A7A8E57">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G322瑞东线K59+350M上岙岭隧道</w:t>
            </w:r>
          </w:p>
        </w:tc>
      </w:tr>
      <w:tr w14:paraId="73C22AA1">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23B3EBAA">
            <w:pPr>
              <w:widowControl/>
              <w:jc w:val="center"/>
              <w:rPr>
                <w:rFonts w:ascii="宋体" w:hAnsi="宋体" w:cs="宋体"/>
                <w:kern w:val="0"/>
                <w:sz w:val="20"/>
                <w:szCs w:val="20"/>
              </w:rPr>
            </w:pPr>
            <w:r>
              <w:rPr>
                <w:rFonts w:hint="eastAsia" w:ascii="宋体" w:hAnsi="宋体" w:cs="宋体"/>
                <w:kern w:val="0"/>
                <w:sz w:val="20"/>
                <w:szCs w:val="20"/>
              </w:rPr>
              <w:t>31</w:t>
            </w:r>
          </w:p>
        </w:tc>
        <w:tc>
          <w:tcPr>
            <w:tcW w:w="1017" w:type="pct"/>
            <w:vMerge w:val="continue"/>
            <w:tcBorders>
              <w:top w:val="nil"/>
              <w:left w:val="single" w:color="auto" w:sz="4" w:space="0"/>
              <w:bottom w:val="single" w:color="000000" w:sz="4" w:space="0"/>
              <w:right w:val="single" w:color="auto" w:sz="4" w:space="0"/>
            </w:tcBorders>
            <w:vAlign w:val="center"/>
          </w:tcPr>
          <w:p w14:paraId="4864997F">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56617494">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G322瑞东线K74+700M中林大桥</w:t>
            </w:r>
          </w:p>
        </w:tc>
      </w:tr>
      <w:tr w14:paraId="22639F35">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AEA4CA9">
            <w:pPr>
              <w:widowControl/>
              <w:jc w:val="center"/>
              <w:rPr>
                <w:rFonts w:ascii="宋体" w:hAnsi="宋体" w:cs="宋体"/>
                <w:kern w:val="0"/>
                <w:sz w:val="20"/>
                <w:szCs w:val="20"/>
              </w:rPr>
            </w:pPr>
            <w:r>
              <w:rPr>
                <w:rFonts w:hint="eastAsia" w:ascii="宋体" w:hAnsi="宋体" w:cs="宋体"/>
                <w:kern w:val="0"/>
                <w:sz w:val="20"/>
                <w:szCs w:val="20"/>
              </w:rPr>
              <w:t>32</w:t>
            </w:r>
          </w:p>
        </w:tc>
        <w:tc>
          <w:tcPr>
            <w:tcW w:w="1017" w:type="pct"/>
            <w:vMerge w:val="continue"/>
            <w:tcBorders>
              <w:top w:val="nil"/>
              <w:left w:val="single" w:color="auto" w:sz="4" w:space="0"/>
              <w:bottom w:val="single" w:color="000000" w:sz="4" w:space="0"/>
              <w:right w:val="single" w:color="auto" w:sz="4" w:space="0"/>
            </w:tcBorders>
            <w:vAlign w:val="center"/>
          </w:tcPr>
          <w:p w14:paraId="098BD813">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54ECFAF0">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G322瑞东线K81+800M培头路口</w:t>
            </w:r>
          </w:p>
        </w:tc>
      </w:tr>
      <w:tr w14:paraId="04995099">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62DF7BCF">
            <w:pPr>
              <w:widowControl/>
              <w:jc w:val="center"/>
              <w:rPr>
                <w:rFonts w:ascii="宋体" w:hAnsi="宋体" w:cs="宋体"/>
                <w:kern w:val="0"/>
                <w:sz w:val="20"/>
                <w:szCs w:val="20"/>
              </w:rPr>
            </w:pPr>
            <w:r>
              <w:rPr>
                <w:rFonts w:hint="eastAsia" w:ascii="宋体" w:hAnsi="宋体" w:cs="宋体"/>
                <w:kern w:val="0"/>
                <w:sz w:val="20"/>
                <w:szCs w:val="20"/>
              </w:rPr>
              <w:t>33</w:t>
            </w:r>
          </w:p>
        </w:tc>
        <w:tc>
          <w:tcPr>
            <w:tcW w:w="1017" w:type="pct"/>
            <w:vMerge w:val="continue"/>
            <w:tcBorders>
              <w:top w:val="nil"/>
              <w:left w:val="single" w:color="auto" w:sz="4" w:space="0"/>
              <w:bottom w:val="single" w:color="000000" w:sz="4" w:space="0"/>
              <w:right w:val="single" w:color="auto" w:sz="4" w:space="0"/>
            </w:tcBorders>
            <w:vAlign w:val="center"/>
          </w:tcPr>
          <w:p w14:paraId="329D9FF2">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640DE865">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G322瑞东线K89+350M后垟2号大桥</w:t>
            </w:r>
          </w:p>
        </w:tc>
      </w:tr>
      <w:tr w14:paraId="4C2F6C23">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08B5B243">
            <w:pPr>
              <w:widowControl/>
              <w:jc w:val="center"/>
              <w:rPr>
                <w:rFonts w:ascii="宋体" w:hAnsi="宋体" w:cs="宋体"/>
                <w:kern w:val="0"/>
                <w:sz w:val="20"/>
                <w:szCs w:val="20"/>
              </w:rPr>
            </w:pPr>
            <w:r>
              <w:rPr>
                <w:rFonts w:hint="eastAsia" w:ascii="宋体" w:hAnsi="宋体" w:cs="宋体"/>
                <w:kern w:val="0"/>
                <w:sz w:val="20"/>
                <w:szCs w:val="20"/>
              </w:rPr>
              <w:t>34</w:t>
            </w:r>
          </w:p>
        </w:tc>
        <w:tc>
          <w:tcPr>
            <w:tcW w:w="1017" w:type="pct"/>
            <w:vMerge w:val="continue"/>
            <w:tcBorders>
              <w:top w:val="nil"/>
              <w:left w:val="single" w:color="auto" w:sz="4" w:space="0"/>
              <w:bottom w:val="single" w:color="000000" w:sz="4" w:space="0"/>
              <w:right w:val="single" w:color="auto" w:sz="4" w:space="0"/>
            </w:tcBorders>
            <w:vAlign w:val="center"/>
          </w:tcPr>
          <w:p w14:paraId="3D845C0D">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19CC42E8">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G322瑞东线K89+950M西坑民族村</w:t>
            </w:r>
          </w:p>
        </w:tc>
      </w:tr>
      <w:tr w14:paraId="41F62368">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52545AD9">
            <w:pPr>
              <w:widowControl/>
              <w:jc w:val="center"/>
              <w:rPr>
                <w:rFonts w:ascii="宋体" w:hAnsi="宋体" w:cs="宋体"/>
                <w:kern w:val="0"/>
                <w:sz w:val="20"/>
                <w:szCs w:val="20"/>
              </w:rPr>
            </w:pPr>
            <w:r>
              <w:rPr>
                <w:rFonts w:hint="eastAsia" w:ascii="宋体" w:hAnsi="宋体" w:cs="宋体"/>
                <w:kern w:val="0"/>
                <w:sz w:val="20"/>
                <w:szCs w:val="20"/>
              </w:rPr>
              <w:t>35</w:t>
            </w:r>
          </w:p>
        </w:tc>
        <w:tc>
          <w:tcPr>
            <w:tcW w:w="1017" w:type="pct"/>
            <w:vMerge w:val="continue"/>
            <w:tcBorders>
              <w:top w:val="nil"/>
              <w:left w:val="single" w:color="auto" w:sz="4" w:space="0"/>
              <w:bottom w:val="single" w:color="000000" w:sz="4" w:space="0"/>
              <w:right w:val="single" w:color="auto" w:sz="4" w:space="0"/>
            </w:tcBorders>
            <w:vAlign w:val="center"/>
          </w:tcPr>
          <w:p w14:paraId="092E1266">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4784852E">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G322瑞东线K63+003(往瑞安方向)</w:t>
            </w:r>
          </w:p>
        </w:tc>
      </w:tr>
      <w:tr w14:paraId="4717AC98">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1AB923A0">
            <w:pPr>
              <w:widowControl/>
              <w:jc w:val="center"/>
              <w:rPr>
                <w:rFonts w:ascii="宋体" w:hAnsi="宋体" w:cs="宋体"/>
                <w:kern w:val="0"/>
                <w:sz w:val="20"/>
                <w:szCs w:val="20"/>
              </w:rPr>
            </w:pPr>
            <w:r>
              <w:rPr>
                <w:rFonts w:hint="eastAsia" w:ascii="宋体" w:hAnsi="宋体" w:cs="宋体"/>
                <w:kern w:val="0"/>
                <w:sz w:val="20"/>
                <w:szCs w:val="20"/>
              </w:rPr>
              <w:t>36</w:t>
            </w:r>
          </w:p>
        </w:tc>
        <w:tc>
          <w:tcPr>
            <w:tcW w:w="1017" w:type="pct"/>
            <w:vMerge w:val="continue"/>
            <w:tcBorders>
              <w:top w:val="nil"/>
              <w:left w:val="single" w:color="auto" w:sz="4" w:space="0"/>
              <w:bottom w:val="single" w:color="000000" w:sz="4" w:space="0"/>
              <w:right w:val="single" w:color="auto" w:sz="4" w:space="0"/>
            </w:tcBorders>
            <w:vAlign w:val="center"/>
          </w:tcPr>
          <w:p w14:paraId="4B98789B">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357B717">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G322瑞东线K61+300M畔峃桥</w:t>
            </w:r>
          </w:p>
        </w:tc>
      </w:tr>
      <w:tr w14:paraId="3A186486">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724528BE">
            <w:pPr>
              <w:widowControl/>
              <w:jc w:val="center"/>
              <w:rPr>
                <w:rFonts w:ascii="宋体" w:hAnsi="宋体" w:cs="宋体"/>
                <w:kern w:val="0"/>
                <w:sz w:val="20"/>
                <w:szCs w:val="20"/>
              </w:rPr>
            </w:pPr>
            <w:r>
              <w:rPr>
                <w:rFonts w:hint="eastAsia" w:ascii="宋体" w:hAnsi="宋体" w:cs="宋体"/>
                <w:kern w:val="0"/>
                <w:sz w:val="20"/>
                <w:szCs w:val="20"/>
              </w:rPr>
              <w:t>37</w:t>
            </w:r>
          </w:p>
        </w:tc>
        <w:tc>
          <w:tcPr>
            <w:tcW w:w="1017" w:type="pct"/>
            <w:vMerge w:val="continue"/>
            <w:tcBorders>
              <w:top w:val="nil"/>
              <w:left w:val="single" w:color="auto" w:sz="4" w:space="0"/>
              <w:bottom w:val="single" w:color="000000" w:sz="4" w:space="0"/>
              <w:right w:val="single" w:color="auto" w:sz="4" w:space="0"/>
            </w:tcBorders>
            <w:vAlign w:val="center"/>
          </w:tcPr>
          <w:p w14:paraId="623905F2">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40A5F798">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G322瑞东线K70+530M花横村口全景</w:t>
            </w:r>
          </w:p>
        </w:tc>
      </w:tr>
      <w:tr w14:paraId="39A090A4">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54D54E82">
            <w:pPr>
              <w:widowControl/>
              <w:jc w:val="center"/>
              <w:rPr>
                <w:rFonts w:ascii="宋体" w:hAnsi="宋体" w:cs="宋体"/>
                <w:kern w:val="0"/>
                <w:sz w:val="20"/>
                <w:szCs w:val="20"/>
              </w:rPr>
            </w:pPr>
            <w:r>
              <w:rPr>
                <w:rFonts w:hint="eastAsia" w:ascii="宋体" w:hAnsi="宋体" w:cs="宋体"/>
                <w:kern w:val="0"/>
                <w:sz w:val="20"/>
                <w:szCs w:val="20"/>
              </w:rPr>
              <w:t>38</w:t>
            </w:r>
          </w:p>
        </w:tc>
        <w:tc>
          <w:tcPr>
            <w:tcW w:w="1017" w:type="pct"/>
            <w:vMerge w:val="continue"/>
            <w:tcBorders>
              <w:top w:val="nil"/>
              <w:left w:val="single" w:color="auto" w:sz="4" w:space="0"/>
              <w:bottom w:val="single" w:color="000000" w:sz="4" w:space="0"/>
              <w:right w:val="single" w:color="auto" w:sz="4" w:space="0"/>
            </w:tcBorders>
            <w:vAlign w:val="center"/>
          </w:tcPr>
          <w:p w14:paraId="1631A54D">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099F26CF">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G322瑞东线K70+530M花横村口</w:t>
            </w:r>
          </w:p>
        </w:tc>
      </w:tr>
      <w:tr w14:paraId="1841C104">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5FD9BB51">
            <w:pPr>
              <w:widowControl/>
              <w:jc w:val="center"/>
              <w:rPr>
                <w:rFonts w:ascii="宋体" w:hAnsi="宋体" w:cs="宋体"/>
                <w:kern w:val="0"/>
                <w:sz w:val="20"/>
                <w:szCs w:val="20"/>
              </w:rPr>
            </w:pPr>
            <w:r>
              <w:rPr>
                <w:rFonts w:hint="eastAsia" w:ascii="宋体" w:hAnsi="宋体" w:cs="宋体"/>
                <w:kern w:val="0"/>
                <w:sz w:val="20"/>
                <w:szCs w:val="20"/>
              </w:rPr>
              <w:t>39</w:t>
            </w:r>
          </w:p>
        </w:tc>
        <w:tc>
          <w:tcPr>
            <w:tcW w:w="1017" w:type="pct"/>
            <w:vMerge w:val="continue"/>
            <w:tcBorders>
              <w:top w:val="nil"/>
              <w:left w:val="single" w:color="auto" w:sz="4" w:space="0"/>
              <w:bottom w:val="single" w:color="000000" w:sz="4" w:space="0"/>
              <w:right w:val="single" w:color="auto" w:sz="4" w:space="0"/>
            </w:tcBorders>
            <w:vAlign w:val="center"/>
          </w:tcPr>
          <w:p w14:paraId="3EF4072A">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32C3AFF3">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G322瑞东线K85+7980M敖里隧道入口</w:t>
            </w:r>
          </w:p>
        </w:tc>
      </w:tr>
      <w:tr w14:paraId="0B09D26A">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2D9671B9">
            <w:pPr>
              <w:widowControl/>
              <w:jc w:val="center"/>
              <w:rPr>
                <w:rFonts w:ascii="宋体" w:hAnsi="宋体" w:cs="宋体"/>
                <w:kern w:val="0"/>
                <w:sz w:val="20"/>
                <w:szCs w:val="20"/>
              </w:rPr>
            </w:pPr>
            <w:r>
              <w:rPr>
                <w:rFonts w:hint="eastAsia" w:ascii="宋体" w:hAnsi="宋体" w:cs="宋体"/>
                <w:kern w:val="0"/>
                <w:sz w:val="20"/>
                <w:szCs w:val="20"/>
              </w:rPr>
              <w:t>40</w:t>
            </w:r>
          </w:p>
        </w:tc>
        <w:tc>
          <w:tcPr>
            <w:tcW w:w="1017" w:type="pct"/>
            <w:vMerge w:val="continue"/>
            <w:tcBorders>
              <w:top w:val="nil"/>
              <w:left w:val="single" w:color="auto" w:sz="4" w:space="0"/>
              <w:bottom w:val="single" w:color="000000" w:sz="4" w:space="0"/>
              <w:right w:val="single" w:color="auto" w:sz="4" w:space="0"/>
            </w:tcBorders>
            <w:vAlign w:val="center"/>
          </w:tcPr>
          <w:p w14:paraId="7F9593AE">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284F735F">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G322瑞东线K85+720M丁坑领桥长下坡(往文成)</w:t>
            </w:r>
          </w:p>
        </w:tc>
      </w:tr>
      <w:tr w14:paraId="1BF6674E">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12D9EA40">
            <w:pPr>
              <w:widowControl/>
              <w:jc w:val="center"/>
              <w:rPr>
                <w:rFonts w:ascii="宋体" w:hAnsi="宋体" w:cs="宋体"/>
                <w:kern w:val="0"/>
                <w:sz w:val="20"/>
                <w:szCs w:val="20"/>
              </w:rPr>
            </w:pPr>
            <w:r>
              <w:rPr>
                <w:rFonts w:hint="eastAsia" w:ascii="宋体" w:hAnsi="宋体" w:cs="宋体"/>
                <w:kern w:val="0"/>
                <w:sz w:val="20"/>
                <w:szCs w:val="20"/>
              </w:rPr>
              <w:t>41</w:t>
            </w:r>
          </w:p>
        </w:tc>
        <w:tc>
          <w:tcPr>
            <w:tcW w:w="1017" w:type="pct"/>
            <w:vMerge w:val="continue"/>
            <w:tcBorders>
              <w:top w:val="nil"/>
              <w:left w:val="single" w:color="auto" w:sz="4" w:space="0"/>
              <w:bottom w:val="single" w:color="000000" w:sz="4" w:space="0"/>
              <w:right w:val="single" w:color="auto" w:sz="4" w:space="0"/>
            </w:tcBorders>
            <w:vAlign w:val="center"/>
          </w:tcPr>
          <w:p w14:paraId="4CFC6680">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09F520C2">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G322瑞东线K72+770M马垟路公交站全景</w:t>
            </w:r>
          </w:p>
        </w:tc>
      </w:tr>
      <w:tr w14:paraId="2751DB8B">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56E5D0FC">
            <w:pPr>
              <w:widowControl/>
              <w:jc w:val="center"/>
              <w:rPr>
                <w:rFonts w:ascii="宋体" w:hAnsi="宋体" w:cs="宋体"/>
                <w:kern w:val="0"/>
                <w:sz w:val="20"/>
                <w:szCs w:val="20"/>
              </w:rPr>
            </w:pPr>
            <w:r>
              <w:rPr>
                <w:rFonts w:hint="eastAsia" w:ascii="宋体" w:hAnsi="宋体" w:cs="宋体"/>
                <w:kern w:val="0"/>
                <w:sz w:val="20"/>
                <w:szCs w:val="20"/>
              </w:rPr>
              <w:t>42</w:t>
            </w:r>
          </w:p>
        </w:tc>
        <w:tc>
          <w:tcPr>
            <w:tcW w:w="1017" w:type="pct"/>
            <w:vMerge w:val="continue"/>
            <w:tcBorders>
              <w:top w:val="nil"/>
              <w:left w:val="single" w:color="auto" w:sz="4" w:space="0"/>
              <w:bottom w:val="single" w:color="000000" w:sz="4" w:space="0"/>
              <w:right w:val="single" w:color="auto" w:sz="4" w:space="0"/>
            </w:tcBorders>
            <w:vAlign w:val="center"/>
          </w:tcPr>
          <w:p w14:paraId="498F2F7C">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151D7D05">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G322瑞东线K72+770M马垟路公交站</w:t>
            </w:r>
          </w:p>
        </w:tc>
      </w:tr>
      <w:tr w14:paraId="1E62EB3E">
        <w:tblPrEx>
          <w:tblCellMar>
            <w:top w:w="0" w:type="dxa"/>
            <w:left w:w="108" w:type="dxa"/>
            <w:bottom w:w="0" w:type="dxa"/>
            <w:right w:w="108" w:type="dxa"/>
          </w:tblCellMar>
        </w:tblPrEx>
        <w:trPr>
          <w:trHeight w:val="319" w:hRule="atLeast"/>
        </w:trPr>
        <w:tc>
          <w:tcPr>
            <w:tcW w:w="418" w:type="pct"/>
            <w:tcBorders>
              <w:top w:val="nil"/>
              <w:left w:val="single" w:color="auto" w:sz="4" w:space="0"/>
              <w:bottom w:val="single" w:color="auto" w:sz="4" w:space="0"/>
              <w:right w:val="single" w:color="auto" w:sz="4" w:space="0"/>
            </w:tcBorders>
            <w:shd w:val="clear" w:color="auto" w:fill="auto"/>
            <w:noWrap/>
            <w:vAlign w:val="center"/>
          </w:tcPr>
          <w:p w14:paraId="0A603C37">
            <w:pPr>
              <w:widowControl/>
              <w:jc w:val="center"/>
              <w:rPr>
                <w:rFonts w:ascii="宋体" w:hAnsi="宋体" w:cs="宋体"/>
                <w:kern w:val="0"/>
                <w:sz w:val="20"/>
                <w:szCs w:val="20"/>
              </w:rPr>
            </w:pPr>
            <w:r>
              <w:rPr>
                <w:rFonts w:hint="eastAsia" w:ascii="宋体" w:hAnsi="宋体" w:cs="宋体"/>
                <w:kern w:val="0"/>
                <w:sz w:val="20"/>
                <w:szCs w:val="20"/>
              </w:rPr>
              <w:t>43</w:t>
            </w:r>
          </w:p>
        </w:tc>
        <w:tc>
          <w:tcPr>
            <w:tcW w:w="1017" w:type="pct"/>
            <w:vMerge w:val="continue"/>
            <w:tcBorders>
              <w:top w:val="nil"/>
              <w:left w:val="single" w:color="auto" w:sz="4" w:space="0"/>
              <w:bottom w:val="single" w:color="000000" w:sz="4" w:space="0"/>
              <w:right w:val="single" w:color="auto" w:sz="4" w:space="0"/>
            </w:tcBorders>
            <w:vAlign w:val="center"/>
          </w:tcPr>
          <w:p w14:paraId="28F2BFDB">
            <w:pPr>
              <w:widowControl/>
              <w:jc w:val="left"/>
              <w:rPr>
                <w:rFonts w:ascii="宋体" w:hAnsi="宋体" w:cs="宋体"/>
                <w:kern w:val="0"/>
                <w:sz w:val="20"/>
                <w:szCs w:val="20"/>
              </w:rPr>
            </w:pPr>
          </w:p>
        </w:tc>
        <w:tc>
          <w:tcPr>
            <w:tcW w:w="3563" w:type="pct"/>
            <w:tcBorders>
              <w:top w:val="nil"/>
              <w:left w:val="nil"/>
              <w:bottom w:val="single" w:color="auto" w:sz="4" w:space="0"/>
              <w:right w:val="single" w:color="auto" w:sz="4" w:space="0"/>
            </w:tcBorders>
            <w:shd w:val="clear" w:color="auto" w:fill="auto"/>
            <w:noWrap/>
            <w:vAlign w:val="center"/>
          </w:tcPr>
          <w:p w14:paraId="03B6FF0B">
            <w:pPr>
              <w:widowControl/>
              <w:jc w:val="left"/>
              <w:rPr>
                <w:rFonts w:ascii="宋体" w:hAnsi="宋体" w:cs="宋体"/>
                <w:color w:val="000000"/>
                <w:kern w:val="0"/>
                <w:sz w:val="20"/>
                <w:szCs w:val="20"/>
              </w:rPr>
            </w:pPr>
            <w:r>
              <w:rPr>
                <w:rFonts w:hint="eastAsia" w:ascii="宋体" w:hAnsi="宋体" w:cs="宋体"/>
                <w:color w:val="000000"/>
                <w:kern w:val="0"/>
                <w:sz w:val="20"/>
                <w:szCs w:val="20"/>
              </w:rPr>
              <w:t>G322瑞东线K78+720M黄坦路口</w:t>
            </w:r>
          </w:p>
        </w:tc>
      </w:tr>
    </w:tbl>
    <w:p w14:paraId="3DFC9C06">
      <w:pPr>
        <w:jc w:val="both"/>
        <w:rPr>
          <w:rFonts w:hint="eastAsia" w:ascii="新宋体" w:hAnsi="新宋体" w:eastAsia="新宋体" w:cs="新宋体"/>
          <w:b/>
          <w:bCs/>
          <w:color w:val="auto"/>
          <w:kern w:val="0"/>
          <w:sz w:val="22"/>
          <w:szCs w:val="22"/>
          <w:highlight w:val="none"/>
          <w:lang w:val="en-US" w:eastAsia="zh-CN" w:bidi="ar-SA"/>
        </w:rPr>
      </w:pPr>
      <w:r>
        <w:rPr>
          <w:rFonts w:hint="eastAsia" w:ascii="新宋体" w:hAnsi="新宋体" w:eastAsia="新宋体" w:cs="新宋体"/>
          <w:b/>
          <w:bCs/>
          <w:color w:val="auto"/>
          <w:kern w:val="0"/>
          <w:sz w:val="22"/>
          <w:szCs w:val="22"/>
          <w:highlight w:val="none"/>
          <w:lang w:val="en-US" w:eastAsia="zh-CN" w:bidi="ar-SA"/>
        </w:rPr>
        <w:t>4、高速出入口违停球点位</w:t>
      </w:r>
    </w:p>
    <w:tbl>
      <w:tblPr>
        <w:tblStyle w:val="57"/>
        <w:tblW w:w="4999" w:type="pct"/>
        <w:tblInd w:w="0" w:type="dxa"/>
        <w:tblLayout w:type="autofit"/>
        <w:tblCellMar>
          <w:top w:w="0" w:type="dxa"/>
          <w:left w:w="108" w:type="dxa"/>
          <w:bottom w:w="0" w:type="dxa"/>
          <w:right w:w="108" w:type="dxa"/>
        </w:tblCellMar>
      </w:tblPr>
      <w:tblGrid>
        <w:gridCol w:w="1313"/>
        <w:gridCol w:w="8539"/>
      </w:tblGrid>
      <w:tr w14:paraId="0CD8ED9E">
        <w:tblPrEx>
          <w:tblCellMar>
            <w:top w:w="0" w:type="dxa"/>
            <w:left w:w="108" w:type="dxa"/>
            <w:bottom w:w="0" w:type="dxa"/>
            <w:right w:w="108" w:type="dxa"/>
          </w:tblCellMar>
        </w:tblPrEx>
        <w:trPr>
          <w:trHeight w:val="567" w:hRule="atLeast"/>
        </w:trPr>
        <w:tc>
          <w:tcPr>
            <w:tcW w:w="666"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27003D1F">
            <w:pPr>
              <w:widowControl/>
              <w:jc w:val="center"/>
              <w:textAlignment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rPr>
              <w:t>序号</w:t>
            </w:r>
          </w:p>
        </w:tc>
        <w:tc>
          <w:tcPr>
            <w:tcW w:w="4333"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52FCC6BD">
            <w:pPr>
              <w:widowControl/>
              <w:jc w:val="center"/>
              <w:textAlignment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位置</w:t>
            </w:r>
          </w:p>
        </w:tc>
      </w:tr>
      <w:tr w14:paraId="55FE7A0E">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51B2E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6893">
            <w:pPr>
              <w:widowControl/>
              <w:jc w:val="left"/>
              <w:textAlignment w:val="center"/>
              <w:rPr>
                <w:rFonts w:ascii="新宋体" w:hAnsi="新宋体" w:eastAsia="新宋体" w:cs="新宋体"/>
                <w:color w:val="auto"/>
                <w:sz w:val="22"/>
                <w:szCs w:val="22"/>
                <w:highlight w:val="none"/>
              </w:rPr>
            </w:pPr>
            <w:r>
              <w:rPr>
                <w:rFonts w:hint="eastAsia"/>
              </w:rPr>
              <w:t>仰义高速口</w:t>
            </w:r>
          </w:p>
        </w:tc>
      </w:tr>
      <w:tr w14:paraId="73E25179">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E298A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41C3">
            <w:pPr>
              <w:widowControl/>
              <w:jc w:val="left"/>
              <w:textAlignment w:val="center"/>
              <w:rPr>
                <w:rFonts w:ascii="新宋体" w:hAnsi="新宋体" w:eastAsia="新宋体" w:cs="新宋体"/>
                <w:color w:val="auto"/>
                <w:sz w:val="22"/>
                <w:szCs w:val="22"/>
                <w:highlight w:val="none"/>
              </w:rPr>
            </w:pPr>
            <w:r>
              <w:rPr>
                <w:rFonts w:hint="eastAsia"/>
              </w:rPr>
              <w:t>温州南服务区1</w:t>
            </w:r>
          </w:p>
        </w:tc>
      </w:tr>
      <w:tr w14:paraId="322D0ED5">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7C2082">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8106">
            <w:pPr>
              <w:widowControl/>
              <w:jc w:val="left"/>
              <w:textAlignment w:val="center"/>
              <w:rPr>
                <w:rFonts w:ascii="新宋体" w:hAnsi="新宋体" w:eastAsia="新宋体" w:cs="新宋体"/>
                <w:color w:val="auto"/>
                <w:sz w:val="22"/>
                <w:szCs w:val="22"/>
                <w:highlight w:val="none"/>
              </w:rPr>
            </w:pPr>
            <w:r>
              <w:rPr>
                <w:rFonts w:hint="eastAsia"/>
              </w:rPr>
              <w:t>双屿高速口</w:t>
            </w:r>
          </w:p>
        </w:tc>
      </w:tr>
      <w:tr w14:paraId="6B94AB89">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3C0F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E2B5">
            <w:pPr>
              <w:widowControl/>
              <w:jc w:val="left"/>
              <w:textAlignment w:val="center"/>
              <w:rPr>
                <w:rFonts w:ascii="新宋体" w:hAnsi="新宋体" w:eastAsia="新宋体" w:cs="新宋体"/>
                <w:color w:val="auto"/>
                <w:sz w:val="22"/>
                <w:szCs w:val="22"/>
                <w:highlight w:val="none"/>
              </w:rPr>
            </w:pPr>
            <w:r>
              <w:rPr>
                <w:rFonts w:hint="eastAsia"/>
              </w:rPr>
              <w:t>温州南高速口</w:t>
            </w:r>
          </w:p>
        </w:tc>
      </w:tr>
      <w:tr w14:paraId="3FC173C6">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DF950A">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CDDE">
            <w:pPr>
              <w:widowControl/>
              <w:jc w:val="left"/>
              <w:textAlignment w:val="center"/>
              <w:rPr>
                <w:rFonts w:ascii="新宋体" w:hAnsi="新宋体" w:eastAsia="新宋体" w:cs="新宋体"/>
                <w:color w:val="auto"/>
                <w:sz w:val="22"/>
                <w:szCs w:val="22"/>
                <w:highlight w:val="none"/>
              </w:rPr>
            </w:pPr>
            <w:r>
              <w:rPr>
                <w:rFonts w:hint="eastAsia"/>
              </w:rPr>
              <w:t>104国道仙岩段口</w:t>
            </w:r>
          </w:p>
        </w:tc>
      </w:tr>
      <w:tr w14:paraId="58AB2554">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39EA94">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44F0">
            <w:pPr>
              <w:widowControl/>
              <w:jc w:val="left"/>
              <w:textAlignment w:val="center"/>
              <w:rPr>
                <w:rFonts w:ascii="新宋体" w:hAnsi="新宋体" w:eastAsia="新宋体" w:cs="新宋体"/>
                <w:color w:val="auto"/>
                <w:sz w:val="22"/>
                <w:szCs w:val="22"/>
                <w:highlight w:val="none"/>
              </w:rPr>
            </w:pPr>
            <w:r>
              <w:rPr>
                <w:rFonts w:hint="eastAsia"/>
              </w:rPr>
              <w:t>三溪高速口</w:t>
            </w:r>
          </w:p>
        </w:tc>
      </w:tr>
      <w:tr w14:paraId="752B6B73">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179332">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4402">
            <w:pPr>
              <w:widowControl/>
              <w:jc w:val="left"/>
              <w:textAlignment w:val="center"/>
              <w:rPr>
                <w:rFonts w:ascii="新宋体" w:hAnsi="新宋体" w:eastAsia="新宋体" w:cs="新宋体"/>
                <w:color w:val="auto"/>
                <w:sz w:val="22"/>
                <w:szCs w:val="22"/>
                <w:highlight w:val="none"/>
              </w:rPr>
            </w:pPr>
            <w:r>
              <w:rPr>
                <w:rFonts w:hint="eastAsia"/>
              </w:rPr>
              <w:t>娄桥高速口</w:t>
            </w:r>
          </w:p>
        </w:tc>
      </w:tr>
      <w:tr w14:paraId="2F782A77">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FAF28F">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6ECF">
            <w:pPr>
              <w:widowControl/>
              <w:jc w:val="left"/>
              <w:textAlignment w:val="center"/>
              <w:rPr>
                <w:rFonts w:ascii="新宋体" w:hAnsi="新宋体" w:eastAsia="新宋体" w:cs="新宋体"/>
                <w:color w:val="auto"/>
                <w:sz w:val="22"/>
                <w:szCs w:val="22"/>
                <w:highlight w:val="none"/>
              </w:rPr>
            </w:pPr>
            <w:r>
              <w:rPr>
                <w:rFonts w:hint="eastAsia"/>
              </w:rPr>
              <w:t>潘桥高速口</w:t>
            </w:r>
          </w:p>
        </w:tc>
      </w:tr>
      <w:tr w14:paraId="3C48AF7C">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D378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9</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8AD0">
            <w:pPr>
              <w:widowControl/>
              <w:jc w:val="left"/>
              <w:textAlignment w:val="center"/>
              <w:rPr>
                <w:rFonts w:ascii="新宋体" w:hAnsi="新宋体" w:eastAsia="新宋体" w:cs="新宋体"/>
                <w:color w:val="auto"/>
                <w:sz w:val="22"/>
                <w:szCs w:val="22"/>
                <w:highlight w:val="none"/>
              </w:rPr>
            </w:pPr>
            <w:r>
              <w:rPr>
                <w:rFonts w:hint="eastAsia"/>
              </w:rPr>
              <w:t>大桥北收费站入口</w:t>
            </w:r>
          </w:p>
        </w:tc>
      </w:tr>
      <w:tr w14:paraId="6F2725BA">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F859A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10</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BC1">
            <w:pPr>
              <w:widowControl/>
              <w:jc w:val="left"/>
              <w:textAlignment w:val="center"/>
              <w:rPr>
                <w:rFonts w:ascii="新宋体" w:hAnsi="新宋体" w:eastAsia="新宋体" w:cs="新宋体"/>
                <w:color w:val="auto"/>
                <w:sz w:val="22"/>
                <w:szCs w:val="22"/>
                <w:highlight w:val="none"/>
              </w:rPr>
            </w:pPr>
            <w:r>
              <w:rPr>
                <w:rFonts w:hint="eastAsia"/>
              </w:rPr>
              <w:t>大桥北收费站出口</w:t>
            </w:r>
          </w:p>
        </w:tc>
      </w:tr>
      <w:tr w14:paraId="01A138EF">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580B3B">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11</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C7A8">
            <w:pPr>
              <w:widowControl/>
              <w:jc w:val="left"/>
              <w:textAlignment w:val="center"/>
              <w:rPr>
                <w:rFonts w:ascii="新宋体" w:hAnsi="新宋体" w:eastAsia="新宋体" w:cs="新宋体"/>
                <w:color w:val="auto"/>
                <w:sz w:val="22"/>
                <w:szCs w:val="22"/>
                <w:highlight w:val="none"/>
              </w:rPr>
            </w:pPr>
            <w:r>
              <w:rPr>
                <w:rFonts w:hint="eastAsia"/>
              </w:rPr>
              <w:t>温州东高速口</w:t>
            </w:r>
          </w:p>
        </w:tc>
      </w:tr>
      <w:tr w14:paraId="6B9E7EFA">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3BB0A">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12</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2A72">
            <w:pPr>
              <w:widowControl/>
              <w:jc w:val="left"/>
              <w:textAlignment w:val="center"/>
              <w:rPr>
                <w:rFonts w:ascii="新宋体" w:hAnsi="新宋体" w:eastAsia="新宋体" w:cs="新宋体"/>
                <w:color w:val="auto"/>
                <w:sz w:val="22"/>
                <w:szCs w:val="22"/>
                <w:highlight w:val="none"/>
              </w:rPr>
            </w:pPr>
            <w:r>
              <w:rPr>
                <w:rFonts w:hint="eastAsia"/>
              </w:rPr>
              <w:t>温州南服务区2</w:t>
            </w:r>
          </w:p>
        </w:tc>
      </w:tr>
      <w:tr w14:paraId="4F80022C">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AE0D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13</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87AF">
            <w:pPr>
              <w:widowControl/>
              <w:jc w:val="left"/>
              <w:textAlignment w:val="center"/>
              <w:rPr>
                <w:rFonts w:ascii="新宋体" w:hAnsi="新宋体" w:eastAsia="新宋体" w:cs="新宋体"/>
                <w:color w:val="auto"/>
                <w:sz w:val="22"/>
                <w:szCs w:val="22"/>
                <w:highlight w:val="none"/>
              </w:rPr>
            </w:pPr>
            <w:r>
              <w:rPr>
                <w:rFonts w:hint="eastAsia"/>
              </w:rPr>
              <w:t>双屿高速路口</w:t>
            </w:r>
          </w:p>
        </w:tc>
      </w:tr>
      <w:tr w14:paraId="188AB035">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214E44">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14</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8EAF">
            <w:pPr>
              <w:widowControl/>
              <w:jc w:val="left"/>
              <w:textAlignment w:val="center"/>
              <w:rPr>
                <w:rFonts w:ascii="新宋体" w:hAnsi="新宋体" w:eastAsia="新宋体" w:cs="新宋体"/>
                <w:color w:val="auto"/>
                <w:sz w:val="22"/>
                <w:szCs w:val="22"/>
                <w:highlight w:val="none"/>
              </w:rPr>
            </w:pPr>
            <w:r>
              <w:rPr>
                <w:rFonts w:hint="eastAsia"/>
              </w:rPr>
              <w:t>温州东2</w:t>
            </w:r>
          </w:p>
        </w:tc>
      </w:tr>
      <w:tr w14:paraId="2EB2B03D">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E10E1C">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15</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AA76">
            <w:pPr>
              <w:widowControl/>
              <w:jc w:val="left"/>
              <w:textAlignment w:val="center"/>
              <w:rPr>
                <w:rFonts w:ascii="新宋体" w:hAnsi="新宋体" w:eastAsia="新宋体" w:cs="新宋体"/>
                <w:color w:val="auto"/>
                <w:sz w:val="22"/>
                <w:szCs w:val="22"/>
                <w:highlight w:val="none"/>
              </w:rPr>
            </w:pPr>
            <w:r>
              <w:rPr>
                <w:rFonts w:hint="eastAsia"/>
              </w:rPr>
              <w:t>龙湾机场1</w:t>
            </w:r>
          </w:p>
        </w:tc>
      </w:tr>
      <w:tr w14:paraId="7A1C00CA">
        <w:tblPrEx>
          <w:tblCellMar>
            <w:top w:w="0" w:type="dxa"/>
            <w:left w:w="108" w:type="dxa"/>
            <w:bottom w:w="0" w:type="dxa"/>
            <w:right w:w="108" w:type="dxa"/>
          </w:tblCellMar>
        </w:tblPrEx>
        <w:trPr>
          <w:trHeight w:val="567" w:hRule="atLeast"/>
        </w:trPr>
        <w:tc>
          <w:tcPr>
            <w:tcW w:w="6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79BB1F">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16</w:t>
            </w:r>
          </w:p>
        </w:tc>
        <w:tc>
          <w:tcPr>
            <w:tcW w:w="4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1401">
            <w:pPr>
              <w:widowControl/>
              <w:jc w:val="left"/>
              <w:textAlignment w:val="center"/>
              <w:rPr>
                <w:rFonts w:ascii="新宋体" w:hAnsi="新宋体" w:eastAsia="新宋体" w:cs="新宋体"/>
                <w:color w:val="auto"/>
                <w:sz w:val="22"/>
                <w:szCs w:val="22"/>
                <w:highlight w:val="none"/>
              </w:rPr>
            </w:pPr>
            <w:r>
              <w:rPr>
                <w:rFonts w:hint="eastAsia"/>
              </w:rPr>
              <w:t>龙湾机场2</w:t>
            </w:r>
          </w:p>
        </w:tc>
      </w:tr>
    </w:tbl>
    <w:p w14:paraId="32FA7436">
      <w:pPr>
        <w:pStyle w:val="76"/>
        <w:rPr>
          <w:rFonts w:hint="default"/>
          <w:lang w:val="en-US" w:eastAsia="zh-CN"/>
        </w:rPr>
      </w:pPr>
    </w:p>
    <w:p w14:paraId="0ADB97D7">
      <w:pPr>
        <w:jc w:val="both"/>
        <w:rPr>
          <w:rFonts w:hint="eastAsia" w:ascii="新宋体" w:hAnsi="新宋体" w:eastAsia="新宋体" w:cs="新宋体"/>
          <w:b/>
          <w:bCs/>
          <w:color w:val="auto"/>
          <w:kern w:val="0"/>
          <w:sz w:val="22"/>
          <w:szCs w:val="22"/>
          <w:highlight w:val="none"/>
          <w:lang w:val="en-US" w:eastAsia="zh-CN" w:bidi="ar-SA"/>
        </w:rPr>
      </w:pPr>
      <w:r>
        <w:rPr>
          <w:rFonts w:hint="eastAsia" w:ascii="新宋体" w:hAnsi="新宋体" w:eastAsia="新宋体" w:cs="新宋体"/>
          <w:b/>
          <w:bCs/>
          <w:color w:val="auto"/>
          <w:kern w:val="0"/>
          <w:sz w:val="22"/>
          <w:szCs w:val="22"/>
          <w:highlight w:val="none"/>
          <w:lang w:val="en-US" w:eastAsia="zh-CN" w:bidi="ar-SA"/>
        </w:rPr>
        <w:t>5、高位监测及到港作业</w:t>
      </w:r>
    </w:p>
    <w:tbl>
      <w:tblPr>
        <w:tblStyle w:val="57"/>
        <w:tblW w:w="5000" w:type="pct"/>
        <w:tblInd w:w="0" w:type="dxa"/>
        <w:tblLayout w:type="autofit"/>
        <w:tblCellMar>
          <w:top w:w="0" w:type="dxa"/>
          <w:left w:w="108" w:type="dxa"/>
          <w:bottom w:w="0" w:type="dxa"/>
          <w:right w:w="108" w:type="dxa"/>
        </w:tblCellMar>
      </w:tblPr>
      <w:tblGrid>
        <w:gridCol w:w="749"/>
        <w:gridCol w:w="1745"/>
        <w:gridCol w:w="7360"/>
      </w:tblGrid>
      <w:tr w14:paraId="61FF0328">
        <w:trPr>
          <w:trHeight w:val="567" w:hRule="atLeast"/>
        </w:trPr>
        <w:tc>
          <w:tcPr>
            <w:tcW w:w="380"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1A1511C7">
            <w:pPr>
              <w:widowControl/>
              <w:jc w:val="center"/>
              <w:textAlignment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rPr>
              <w:t>序号</w:t>
            </w:r>
          </w:p>
        </w:tc>
        <w:tc>
          <w:tcPr>
            <w:tcW w:w="885"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05D65CEF">
            <w:pPr>
              <w:widowControl/>
              <w:jc w:val="center"/>
              <w:textAlignment w:val="center"/>
              <w:rPr>
                <w:rFonts w:hint="eastAsia" w:ascii="新宋体" w:hAnsi="新宋体" w:eastAsia="新宋体" w:cs="新宋体"/>
                <w:b/>
                <w:bCs/>
                <w:color w:val="auto"/>
                <w:sz w:val="22"/>
                <w:szCs w:val="22"/>
                <w:highlight w:val="none"/>
                <w:lang w:val="en-US" w:eastAsia="zh-CN"/>
              </w:rPr>
            </w:pPr>
          </w:p>
        </w:tc>
        <w:tc>
          <w:tcPr>
            <w:tcW w:w="3733"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5EA7BF4B">
            <w:pPr>
              <w:widowControl/>
              <w:jc w:val="center"/>
              <w:textAlignment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位置</w:t>
            </w:r>
          </w:p>
        </w:tc>
      </w:tr>
      <w:tr w14:paraId="260CE6F1">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76493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w:t>
            </w:r>
          </w:p>
        </w:tc>
        <w:tc>
          <w:tcPr>
            <w:tcW w:w="885" w:type="pct"/>
            <w:vMerge w:val="restart"/>
            <w:tcBorders>
              <w:top w:val="single" w:color="000000" w:sz="4" w:space="0"/>
              <w:left w:val="single" w:color="000000" w:sz="4" w:space="0"/>
              <w:right w:val="single" w:color="000000" w:sz="4" w:space="0"/>
            </w:tcBorders>
            <w:shd w:val="clear" w:color="auto" w:fill="auto"/>
            <w:noWrap/>
            <w:vAlign w:val="center"/>
          </w:tcPr>
          <w:p w14:paraId="7E2763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到港作业监测</w:t>
            </w: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DA0A">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2"/>
                <w:szCs w:val="22"/>
                <w:u w:val="none"/>
                <w:lang w:val="en-US" w:eastAsia="zh-CN"/>
              </w:rPr>
              <w:t>　状元街道天运码头</w:t>
            </w:r>
          </w:p>
        </w:tc>
      </w:tr>
      <w:tr w14:paraId="2A123F64">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FBBAD2">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w:t>
            </w:r>
          </w:p>
        </w:tc>
        <w:tc>
          <w:tcPr>
            <w:tcW w:w="885" w:type="pct"/>
            <w:vMerge w:val="continue"/>
            <w:tcBorders>
              <w:left w:val="single" w:color="000000" w:sz="4" w:space="0"/>
              <w:right w:val="single" w:color="000000" w:sz="4" w:space="0"/>
            </w:tcBorders>
            <w:shd w:val="clear" w:color="auto" w:fill="auto"/>
            <w:noWrap/>
            <w:vAlign w:val="center"/>
          </w:tcPr>
          <w:p w14:paraId="17C35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42AF">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2"/>
                <w:szCs w:val="22"/>
                <w:u w:val="none"/>
                <w:lang w:val="en-US" w:eastAsia="zh-CN"/>
              </w:rPr>
              <w:t>　状元街道中石化码头</w:t>
            </w:r>
          </w:p>
        </w:tc>
      </w:tr>
      <w:tr w14:paraId="06BF4F82">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DDB395">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w:t>
            </w:r>
          </w:p>
        </w:tc>
        <w:tc>
          <w:tcPr>
            <w:tcW w:w="885" w:type="pct"/>
            <w:vMerge w:val="continue"/>
            <w:tcBorders>
              <w:left w:val="single" w:color="000000" w:sz="4" w:space="0"/>
              <w:right w:val="single" w:color="000000" w:sz="4" w:space="0"/>
            </w:tcBorders>
            <w:shd w:val="clear" w:color="auto" w:fill="auto"/>
            <w:noWrap/>
            <w:vAlign w:val="center"/>
          </w:tcPr>
          <w:p w14:paraId="2BF82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E529">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2"/>
                <w:szCs w:val="22"/>
                <w:u w:val="none"/>
                <w:lang w:val="en-US" w:eastAsia="zh-CN"/>
              </w:rPr>
              <w:t>　状元街道燃料公司码头</w:t>
            </w:r>
          </w:p>
        </w:tc>
      </w:tr>
      <w:tr w14:paraId="682258E6">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781549">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w:t>
            </w:r>
          </w:p>
        </w:tc>
        <w:tc>
          <w:tcPr>
            <w:tcW w:w="885" w:type="pct"/>
            <w:vMerge w:val="continue"/>
            <w:tcBorders>
              <w:left w:val="single" w:color="000000" w:sz="4" w:space="0"/>
              <w:right w:val="single" w:color="000000" w:sz="4" w:space="0"/>
            </w:tcBorders>
            <w:shd w:val="clear" w:color="auto" w:fill="auto"/>
            <w:noWrap/>
            <w:vAlign w:val="center"/>
          </w:tcPr>
          <w:p w14:paraId="4F52C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67C1">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2"/>
                <w:szCs w:val="22"/>
                <w:u w:val="none"/>
                <w:lang w:val="en-US" w:eastAsia="zh-CN"/>
              </w:rPr>
              <w:t>　瑶溪街道白楼下东海码头</w:t>
            </w:r>
          </w:p>
        </w:tc>
      </w:tr>
      <w:tr w14:paraId="086B57A4">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FE4C31">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5</w:t>
            </w:r>
          </w:p>
        </w:tc>
        <w:tc>
          <w:tcPr>
            <w:tcW w:w="885" w:type="pct"/>
            <w:vMerge w:val="continue"/>
            <w:tcBorders>
              <w:left w:val="single" w:color="000000" w:sz="4" w:space="0"/>
              <w:right w:val="single" w:color="000000" w:sz="4" w:space="0"/>
            </w:tcBorders>
            <w:shd w:val="clear" w:color="auto" w:fill="auto"/>
            <w:noWrap/>
            <w:vAlign w:val="center"/>
          </w:tcPr>
          <w:p w14:paraId="64D55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9D74">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2"/>
                <w:szCs w:val="22"/>
                <w:u w:val="none"/>
                <w:lang w:val="en-US" w:eastAsia="zh-CN"/>
              </w:rPr>
              <w:t>　　瑶溪街道白楼下交通（建力）码头</w:t>
            </w:r>
          </w:p>
        </w:tc>
      </w:tr>
      <w:tr w14:paraId="6BBF0909">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0B60F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w:t>
            </w:r>
          </w:p>
        </w:tc>
        <w:tc>
          <w:tcPr>
            <w:tcW w:w="885" w:type="pct"/>
            <w:vMerge w:val="continue"/>
            <w:tcBorders>
              <w:left w:val="single" w:color="000000" w:sz="4" w:space="0"/>
              <w:right w:val="single" w:color="000000" w:sz="4" w:space="0"/>
            </w:tcBorders>
            <w:shd w:val="clear" w:color="auto" w:fill="auto"/>
            <w:noWrap/>
            <w:vAlign w:val="center"/>
          </w:tcPr>
          <w:p w14:paraId="6E922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A807">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2"/>
                <w:szCs w:val="22"/>
                <w:u w:val="none"/>
                <w:lang w:val="en-US" w:eastAsia="zh-CN"/>
              </w:rPr>
              <w:t>　瑶溪街道温州港集团龙湾作业区白楼下码头（西边泊位）</w:t>
            </w:r>
          </w:p>
        </w:tc>
      </w:tr>
      <w:tr w14:paraId="41E6CA7C">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42124">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7</w:t>
            </w:r>
          </w:p>
        </w:tc>
        <w:tc>
          <w:tcPr>
            <w:tcW w:w="885" w:type="pct"/>
            <w:vMerge w:val="continue"/>
            <w:tcBorders>
              <w:left w:val="single" w:color="000000" w:sz="4" w:space="0"/>
              <w:right w:val="single" w:color="000000" w:sz="4" w:space="0"/>
            </w:tcBorders>
            <w:shd w:val="clear" w:color="auto" w:fill="auto"/>
            <w:noWrap/>
            <w:vAlign w:val="center"/>
          </w:tcPr>
          <w:p w14:paraId="729B9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E37C">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2"/>
                <w:szCs w:val="22"/>
                <w:u w:val="none"/>
                <w:lang w:val="en-US" w:eastAsia="zh-CN"/>
              </w:rPr>
              <w:t>　瑶溪街道温州港集团龙湾作业区万吨码头(东边滚装码头泊位）</w:t>
            </w:r>
          </w:p>
        </w:tc>
      </w:tr>
      <w:tr w14:paraId="6B9C73F7">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4DF233">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8</w:t>
            </w:r>
          </w:p>
        </w:tc>
        <w:tc>
          <w:tcPr>
            <w:tcW w:w="885" w:type="pct"/>
            <w:vMerge w:val="continue"/>
            <w:tcBorders>
              <w:left w:val="single" w:color="000000" w:sz="4" w:space="0"/>
              <w:bottom w:val="single" w:color="000000" w:sz="4" w:space="0"/>
              <w:right w:val="single" w:color="000000" w:sz="4" w:space="0"/>
            </w:tcBorders>
            <w:shd w:val="clear" w:color="auto" w:fill="auto"/>
            <w:noWrap/>
            <w:vAlign w:val="center"/>
          </w:tcPr>
          <w:p w14:paraId="34344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F6F6">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2"/>
                <w:szCs w:val="22"/>
                <w:u w:val="none"/>
                <w:lang w:val="en-US" w:eastAsia="zh-CN"/>
              </w:rPr>
              <w:t>瑶溪街道温州港口石化码头</w:t>
            </w:r>
          </w:p>
        </w:tc>
      </w:tr>
      <w:tr w14:paraId="4E90991D">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E42CBD">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9</w:t>
            </w:r>
          </w:p>
        </w:tc>
        <w:tc>
          <w:tcPr>
            <w:tcW w:w="885" w:type="pct"/>
            <w:vMerge w:val="restart"/>
            <w:tcBorders>
              <w:top w:val="single" w:color="000000" w:sz="4" w:space="0"/>
              <w:left w:val="single" w:color="000000" w:sz="4" w:space="0"/>
              <w:right w:val="single" w:color="000000" w:sz="4" w:space="0"/>
            </w:tcBorders>
            <w:shd w:val="clear" w:color="auto" w:fill="auto"/>
            <w:noWrap/>
            <w:vAlign w:val="center"/>
          </w:tcPr>
          <w:p w14:paraId="54CBBDAD">
            <w:pPr>
              <w:widowControl/>
              <w:jc w:val="left"/>
              <w:textAlignment w:val="center"/>
              <w:rPr>
                <w:rFonts w:hint="default" w:eastAsia="宋体"/>
                <w:lang w:val="en-US" w:eastAsia="zh-CN"/>
              </w:rPr>
            </w:pPr>
            <w:r>
              <w:rPr>
                <w:rFonts w:hint="eastAsia"/>
                <w:lang w:val="en-US" w:eastAsia="zh-CN"/>
              </w:rPr>
              <w:t>高位监测</w:t>
            </w: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D938">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永嘉三江G104瓯越大桥交叉口西南</w:t>
            </w:r>
          </w:p>
        </w:tc>
      </w:tr>
      <w:tr w14:paraId="49306313">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BA51B8">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10</w:t>
            </w:r>
          </w:p>
        </w:tc>
        <w:tc>
          <w:tcPr>
            <w:tcW w:w="885" w:type="pct"/>
            <w:vMerge w:val="continue"/>
            <w:tcBorders>
              <w:left w:val="single" w:color="000000" w:sz="4" w:space="0"/>
              <w:right w:val="single" w:color="000000" w:sz="4" w:space="0"/>
            </w:tcBorders>
            <w:shd w:val="clear" w:color="auto" w:fill="auto"/>
            <w:noWrap/>
            <w:vAlign w:val="center"/>
          </w:tcPr>
          <w:p w14:paraId="1ECB05E4">
            <w:pPr>
              <w:widowControl/>
              <w:jc w:val="left"/>
              <w:textAlignment w:val="center"/>
              <w:rPr>
                <w:rFonts w:hint="eastAsia"/>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CF39">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永嘉瓯北长岙-2</w:t>
            </w:r>
          </w:p>
        </w:tc>
      </w:tr>
      <w:tr w14:paraId="583F086A">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0E9B60">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11</w:t>
            </w:r>
          </w:p>
        </w:tc>
        <w:tc>
          <w:tcPr>
            <w:tcW w:w="885" w:type="pct"/>
            <w:vMerge w:val="continue"/>
            <w:tcBorders>
              <w:left w:val="single" w:color="000000" w:sz="4" w:space="0"/>
              <w:right w:val="single" w:color="000000" w:sz="4" w:space="0"/>
            </w:tcBorders>
            <w:shd w:val="clear" w:color="auto" w:fill="auto"/>
            <w:noWrap/>
            <w:vAlign w:val="center"/>
          </w:tcPr>
          <w:p w14:paraId="1997D66A">
            <w:pPr>
              <w:widowControl/>
              <w:jc w:val="left"/>
              <w:textAlignment w:val="center"/>
              <w:rPr>
                <w:rFonts w:hint="eastAsia"/>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7BF8">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瓯海丽岙第六人民医院南</w:t>
            </w:r>
          </w:p>
        </w:tc>
      </w:tr>
      <w:tr w14:paraId="372DDBF0">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F5799E">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12</w:t>
            </w:r>
          </w:p>
        </w:tc>
        <w:tc>
          <w:tcPr>
            <w:tcW w:w="885" w:type="pct"/>
            <w:vMerge w:val="continue"/>
            <w:tcBorders>
              <w:left w:val="single" w:color="000000" w:sz="4" w:space="0"/>
              <w:right w:val="single" w:color="000000" w:sz="4" w:space="0"/>
            </w:tcBorders>
            <w:shd w:val="clear" w:color="auto" w:fill="auto"/>
            <w:noWrap/>
            <w:vAlign w:val="center"/>
          </w:tcPr>
          <w:p w14:paraId="2A004EA5">
            <w:pPr>
              <w:widowControl/>
              <w:jc w:val="left"/>
              <w:textAlignment w:val="center"/>
              <w:rPr>
                <w:rFonts w:hint="eastAsia"/>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C058">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温州瓯海104国道丽岙路段</w:t>
            </w:r>
          </w:p>
        </w:tc>
      </w:tr>
      <w:tr w14:paraId="5B2EB677">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D1B3A1">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13</w:t>
            </w:r>
          </w:p>
        </w:tc>
        <w:tc>
          <w:tcPr>
            <w:tcW w:w="885" w:type="pct"/>
            <w:vMerge w:val="continue"/>
            <w:tcBorders>
              <w:left w:val="single" w:color="000000" w:sz="4" w:space="0"/>
              <w:right w:val="single" w:color="000000" w:sz="4" w:space="0"/>
            </w:tcBorders>
            <w:shd w:val="clear" w:color="auto" w:fill="auto"/>
            <w:noWrap/>
            <w:vAlign w:val="center"/>
          </w:tcPr>
          <w:p w14:paraId="0759744F">
            <w:pPr>
              <w:widowControl/>
              <w:jc w:val="left"/>
              <w:textAlignment w:val="center"/>
              <w:rPr>
                <w:rFonts w:hint="eastAsia"/>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C8B4">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瓯海丽岙新花鸟市场</w:t>
            </w:r>
          </w:p>
        </w:tc>
      </w:tr>
      <w:tr w14:paraId="579968EF">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FCD21D">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14</w:t>
            </w:r>
          </w:p>
        </w:tc>
        <w:tc>
          <w:tcPr>
            <w:tcW w:w="885" w:type="pct"/>
            <w:vMerge w:val="continue"/>
            <w:tcBorders>
              <w:left w:val="single" w:color="000000" w:sz="4" w:space="0"/>
              <w:right w:val="single" w:color="000000" w:sz="4" w:space="0"/>
            </w:tcBorders>
            <w:shd w:val="clear" w:color="auto" w:fill="auto"/>
            <w:noWrap/>
            <w:vAlign w:val="center"/>
          </w:tcPr>
          <w:p w14:paraId="23D4AA33">
            <w:pPr>
              <w:widowControl/>
              <w:jc w:val="left"/>
              <w:textAlignment w:val="center"/>
              <w:rPr>
                <w:rFonts w:hint="eastAsia"/>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E746">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瑞安华表西搬迁</w:t>
            </w:r>
          </w:p>
        </w:tc>
      </w:tr>
      <w:tr w14:paraId="5D3EE19F">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067288">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15</w:t>
            </w:r>
          </w:p>
        </w:tc>
        <w:tc>
          <w:tcPr>
            <w:tcW w:w="885" w:type="pct"/>
            <w:vMerge w:val="continue"/>
            <w:tcBorders>
              <w:left w:val="single" w:color="000000" w:sz="4" w:space="0"/>
              <w:right w:val="single" w:color="000000" w:sz="4" w:space="0"/>
            </w:tcBorders>
            <w:shd w:val="clear" w:color="auto" w:fill="auto"/>
            <w:noWrap/>
            <w:vAlign w:val="center"/>
          </w:tcPr>
          <w:p w14:paraId="5EC53786">
            <w:pPr>
              <w:widowControl/>
              <w:jc w:val="left"/>
              <w:textAlignment w:val="center"/>
              <w:rPr>
                <w:rFonts w:hint="eastAsia"/>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07B7">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瑞安汀田华表北</w:t>
            </w:r>
          </w:p>
        </w:tc>
      </w:tr>
      <w:tr w14:paraId="0DDFAE6D">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288038">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16</w:t>
            </w:r>
          </w:p>
        </w:tc>
        <w:tc>
          <w:tcPr>
            <w:tcW w:w="885" w:type="pct"/>
            <w:vMerge w:val="continue"/>
            <w:tcBorders>
              <w:left w:val="single" w:color="000000" w:sz="4" w:space="0"/>
              <w:right w:val="single" w:color="000000" w:sz="4" w:space="0"/>
            </w:tcBorders>
            <w:shd w:val="clear" w:color="auto" w:fill="auto"/>
            <w:noWrap/>
            <w:vAlign w:val="center"/>
          </w:tcPr>
          <w:p w14:paraId="677D64C6">
            <w:pPr>
              <w:widowControl/>
              <w:jc w:val="left"/>
              <w:textAlignment w:val="center"/>
              <w:rPr>
                <w:rFonts w:hint="eastAsia"/>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F04A">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瑞安汀田大典下北</w:t>
            </w:r>
          </w:p>
        </w:tc>
      </w:tr>
      <w:tr w14:paraId="0A6C6D3B">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270952">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17</w:t>
            </w:r>
          </w:p>
        </w:tc>
        <w:tc>
          <w:tcPr>
            <w:tcW w:w="885" w:type="pct"/>
            <w:vMerge w:val="continue"/>
            <w:tcBorders>
              <w:left w:val="single" w:color="000000" w:sz="4" w:space="0"/>
              <w:right w:val="single" w:color="000000" w:sz="4" w:space="0"/>
            </w:tcBorders>
            <w:shd w:val="clear" w:color="auto" w:fill="auto"/>
            <w:noWrap/>
            <w:vAlign w:val="center"/>
          </w:tcPr>
          <w:p w14:paraId="7019E12E">
            <w:pPr>
              <w:widowControl/>
              <w:jc w:val="left"/>
              <w:textAlignment w:val="center"/>
              <w:rPr>
                <w:rFonts w:hint="eastAsia" w:ascii="新宋体" w:hAnsi="新宋体" w:eastAsia="新宋体" w:cs="新宋体"/>
                <w:color w:val="auto"/>
                <w:kern w:val="0"/>
                <w:sz w:val="22"/>
                <w:szCs w:val="22"/>
                <w:highlight w:val="none"/>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BD9E">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瑞安塘下岑头</w:t>
            </w:r>
          </w:p>
        </w:tc>
      </w:tr>
      <w:tr w14:paraId="36EAC35A">
        <w:tblPrEx>
          <w:tblCellMar>
            <w:top w:w="0" w:type="dxa"/>
            <w:left w:w="108" w:type="dxa"/>
            <w:bottom w:w="0" w:type="dxa"/>
            <w:right w:w="108" w:type="dxa"/>
          </w:tblCellMar>
        </w:tblPrEx>
        <w:trPr>
          <w:trHeight w:val="567" w:hRule="atLeast"/>
        </w:trPr>
        <w:tc>
          <w:tcPr>
            <w:tcW w:w="380"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CA57E7">
            <w:pPr>
              <w:widowControl/>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18</w:t>
            </w:r>
          </w:p>
        </w:tc>
        <w:tc>
          <w:tcPr>
            <w:tcW w:w="885" w:type="pct"/>
            <w:vMerge w:val="continue"/>
            <w:tcBorders>
              <w:left w:val="single" w:color="000000" w:sz="4" w:space="0"/>
              <w:bottom w:val="single" w:color="000000" w:sz="4" w:space="0"/>
              <w:right w:val="single" w:color="000000" w:sz="4" w:space="0"/>
            </w:tcBorders>
            <w:shd w:val="clear" w:color="auto" w:fill="auto"/>
            <w:noWrap/>
            <w:vAlign w:val="center"/>
          </w:tcPr>
          <w:p w14:paraId="5136D68B">
            <w:pPr>
              <w:widowControl/>
              <w:jc w:val="left"/>
              <w:textAlignment w:val="center"/>
              <w:rPr>
                <w:rFonts w:hint="eastAsia" w:ascii="新宋体" w:hAnsi="新宋体" w:eastAsia="新宋体" w:cs="新宋体"/>
                <w:color w:val="auto"/>
                <w:kern w:val="0"/>
                <w:sz w:val="22"/>
                <w:szCs w:val="22"/>
                <w:highlight w:val="none"/>
              </w:rPr>
            </w:pPr>
          </w:p>
        </w:tc>
        <w:tc>
          <w:tcPr>
            <w:tcW w:w="3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319A">
            <w:pPr>
              <w:keepNext w:val="0"/>
              <w:keepLines w:val="0"/>
              <w:widowControl/>
              <w:suppressLineNumbers w:val="0"/>
              <w:jc w:val="center"/>
              <w:textAlignment w:val="center"/>
              <w:rPr>
                <w:rFonts w:ascii="新宋体" w:hAnsi="新宋体" w:eastAsia="新宋体" w:cs="新宋体"/>
                <w:color w:val="auto"/>
                <w:sz w:val="22"/>
                <w:szCs w:val="22"/>
                <w:highlight w:val="none"/>
              </w:rPr>
            </w:pPr>
            <w:r>
              <w:rPr>
                <w:rFonts w:hint="eastAsia" w:ascii="宋体" w:hAnsi="宋体" w:eastAsia="宋体" w:cs="宋体"/>
                <w:i w:val="0"/>
                <w:iCs w:val="0"/>
                <w:color w:val="000000"/>
                <w:kern w:val="0"/>
                <w:sz w:val="24"/>
                <w:szCs w:val="24"/>
                <w:u w:val="none"/>
                <w:lang w:val="en-US" w:eastAsia="zh-CN"/>
              </w:rPr>
              <w:t>塘下高速出口</w:t>
            </w:r>
          </w:p>
        </w:tc>
      </w:tr>
    </w:tbl>
    <w:p w14:paraId="3946BE51">
      <w:pPr>
        <w:jc w:val="both"/>
        <w:rPr>
          <w:rFonts w:hint="eastAsia" w:ascii="新宋体" w:hAnsi="新宋体" w:eastAsia="新宋体" w:cs="新宋体"/>
          <w:b/>
          <w:bCs/>
          <w:color w:val="auto"/>
          <w:kern w:val="0"/>
          <w:sz w:val="22"/>
          <w:szCs w:val="22"/>
          <w:highlight w:val="none"/>
          <w:lang w:val="en-US" w:eastAsia="zh-CN" w:bidi="ar-SA"/>
        </w:rPr>
      </w:pPr>
      <w:r>
        <w:rPr>
          <w:rFonts w:hint="eastAsia" w:ascii="新宋体" w:hAnsi="新宋体" w:eastAsia="新宋体" w:cs="新宋体"/>
          <w:b/>
          <w:bCs/>
          <w:color w:val="auto"/>
          <w:kern w:val="0"/>
          <w:sz w:val="22"/>
          <w:szCs w:val="22"/>
          <w:highlight w:val="none"/>
          <w:lang w:val="en-US" w:eastAsia="zh-CN" w:bidi="ar-SA"/>
        </w:rPr>
        <w:t>6、港口企业、渡口及交通工程</w:t>
      </w:r>
    </w:p>
    <w:tbl>
      <w:tblPr>
        <w:tblStyle w:val="57"/>
        <w:tblpPr w:leftFromText="180" w:rightFromText="180" w:vertAnchor="text" w:horzAnchor="page" w:tblpXSpec="center" w:tblpY="294"/>
        <w:tblOverlap w:val="never"/>
        <w:tblW w:w="4999" w:type="pct"/>
        <w:jc w:val="center"/>
        <w:tblLayout w:type="autofit"/>
        <w:tblCellMar>
          <w:top w:w="0" w:type="dxa"/>
          <w:left w:w="108" w:type="dxa"/>
          <w:bottom w:w="0" w:type="dxa"/>
          <w:right w:w="108" w:type="dxa"/>
        </w:tblCellMar>
      </w:tblPr>
      <w:tblGrid>
        <w:gridCol w:w="1305"/>
        <w:gridCol w:w="8547"/>
      </w:tblGrid>
      <w:tr w14:paraId="59DBF0BF">
        <w:trPr>
          <w:trHeight w:val="312" w:hRule="atLeast"/>
          <w:jc w:val="center"/>
        </w:trPr>
        <w:tc>
          <w:tcPr>
            <w:tcW w:w="662" w:type="pct"/>
            <w:vMerge w:val="restart"/>
            <w:tcBorders>
              <w:top w:val="single" w:color="808080" w:sz="8" w:space="0"/>
              <w:left w:val="single" w:color="auto" w:sz="8" w:space="0"/>
              <w:bottom w:val="single" w:color="808080" w:sz="8" w:space="0"/>
              <w:right w:val="single" w:color="808080" w:sz="8" w:space="0"/>
            </w:tcBorders>
            <w:shd w:val="clear" w:color="auto" w:fill="auto"/>
            <w:vAlign w:val="center"/>
          </w:tcPr>
          <w:p w14:paraId="3E6A9EE4">
            <w:pPr>
              <w:widowControl/>
              <w:jc w:val="center"/>
              <w:rPr>
                <w:rFonts w:ascii="黑体" w:hAnsi="黑体" w:eastAsia="黑体" w:cs="宋体"/>
                <w:b/>
                <w:bCs/>
                <w:kern w:val="0"/>
                <w:sz w:val="24"/>
              </w:rPr>
            </w:pPr>
            <w:r>
              <w:rPr>
                <w:rFonts w:hint="eastAsia" w:ascii="黑体" w:hAnsi="黑体" w:eastAsia="黑体" w:cs="宋体"/>
                <w:b/>
                <w:bCs/>
                <w:kern w:val="0"/>
                <w:sz w:val="24"/>
              </w:rPr>
              <w:t>序号</w:t>
            </w:r>
          </w:p>
        </w:tc>
        <w:tc>
          <w:tcPr>
            <w:tcW w:w="4337" w:type="pct"/>
            <w:vMerge w:val="restart"/>
            <w:tcBorders>
              <w:top w:val="single" w:color="808080" w:sz="8" w:space="0"/>
              <w:left w:val="single" w:color="808080" w:sz="8" w:space="0"/>
              <w:bottom w:val="single" w:color="808080" w:sz="8" w:space="0"/>
              <w:right w:val="single" w:color="808080" w:sz="8" w:space="0"/>
            </w:tcBorders>
            <w:shd w:val="clear" w:color="auto" w:fill="auto"/>
            <w:vAlign w:val="center"/>
          </w:tcPr>
          <w:p w14:paraId="176388C9">
            <w:pPr>
              <w:widowControl/>
              <w:jc w:val="center"/>
              <w:rPr>
                <w:rFonts w:ascii="黑体" w:hAnsi="黑体" w:eastAsia="黑体" w:cs="宋体"/>
                <w:b/>
                <w:bCs/>
                <w:kern w:val="0"/>
                <w:sz w:val="24"/>
              </w:rPr>
            </w:pPr>
            <w:r>
              <w:rPr>
                <w:rFonts w:hint="eastAsia" w:ascii="黑体" w:hAnsi="黑体" w:eastAsia="黑体" w:cs="宋体"/>
                <w:b/>
                <w:bCs/>
                <w:kern w:val="0"/>
                <w:sz w:val="24"/>
              </w:rPr>
              <w:t>点位名称</w:t>
            </w:r>
          </w:p>
        </w:tc>
      </w:tr>
      <w:tr w14:paraId="65444111">
        <w:tblPrEx>
          <w:tblCellMar>
            <w:top w:w="0" w:type="dxa"/>
            <w:left w:w="108" w:type="dxa"/>
            <w:bottom w:w="0" w:type="dxa"/>
            <w:right w:w="108" w:type="dxa"/>
          </w:tblCellMar>
        </w:tblPrEx>
        <w:trPr>
          <w:trHeight w:val="312" w:hRule="atLeast"/>
          <w:jc w:val="center"/>
        </w:trPr>
        <w:tc>
          <w:tcPr>
            <w:tcW w:w="662" w:type="pct"/>
            <w:vMerge w:val="continue"/>
            <w:tcBorders>
              <w:top w:val="single" w:color="808080" w:sz="8" w:space="0"/>
              <w:left w:val="single" w:color="auto" w:sz="8" w:space="0"/>
              <w:bottom w:val="single" w:color="808080" w:sz="8" w:space="0"/>
              <w:right w:val="single" w:color="808080" w:sz="8" w:space="0"/>
            </w:tcBorders>
            <w:vAlign w:val="center"/>
          </w:tcPr>
          <w:p w14:paraId="64B4FD0E">
            <w:pPr>
              <w:widowControl/>
              <w:jc w:val="left"/>
              <w:rPr>
                <w:rFonts w:ascii="黑体" w:hAnsi="黑体" w:eastAsia="黑体" w:cs="宋体"/>
                <w:b/>
                <w:bCs/>
                <w:kern w:val="0"/>
                <w:sz w:val="24"/>
              </w:rPr>
            </w:pPr>
          </w:p>
        </w:tc>
        <w:tc>
          <w:tcPr>
            <w:tcW w:w="4337" w:type="pct"/>
            <w:vMerge w:val="continue"/>
            <w:tcBorders>
              <w:top w:val="single" w:color="808080" w:sz="8" w:space="0"/>
              <w:left w:val="single" w:color="808080" w:sz="8" w:space="0"/>
              <w:bottom w:val="single" w:color="808080" w:sz="8" w:space="0"/>
              <w:right w:val="single" w:color="808080" w:sz="8" w:space="0"/>
            </w:tcBorders>
            <w:vAlign w:val="center"/>
          </w:tcPr>
          <w:p w14:paraId="560AB29B">
            <w:pPr>
              <w:widowControl/>
              <w:jc w:val="left"/>
              <w:rPr>
                <w:rFonts w:ascii="黑体" w:hAnsi="黑体" w:eastAsia="黑体" w:cs="宋体"/>
                <w:b/>
                <w:bCs/>
                <w:kern w:val="0"/>
                <w:sz w:val="24"/>
              </w:rPr>
            </w:pPr>
          </w:p>
        </w:tc>
      </w:tr>
      <w:tr w14:paraId="1439A689">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BAB4B2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337" w:type="pct"/>
            <w:tcBorders>
              <w:top w:val="nil"/>
              <w:left w:val="nil"/>
              <w:bottom w:val="single" w:color="808080" w:sz="8" w:space="0"/>
              <w:right w:val="single" w:color="808080" w:sz="8" w:space="0"/>
            </w:tcBorders>
            <w:shd w:val="clear" w:color="auto" w:fill="auto"/>
            <w:vAlign w:val="center"/>
          </w:tcPr>
          <w:p w14:paraId="29D21A8C">
            <w:pPr>
              <w:widowControl/>
              <w:jc w:val="center"/>
              <w:rPr>
                <w:rFonts w:ascii="宋体" w:hAnsi="宋体" w:cs="宋体"/>
                <w:kern w:val="0"/>
                <w:sz w:val="20"/>
                <w:szCs w:val="20"/>
              </w:rPr>
            </w:pPr>
            <w:r>
              <w:rPr>
                <w:rFonts w:hint="eastAsia" w:ascii="宋体" w:hAnsi="宋体" w:cs="宋体"/>
                <w:kern w:val="0"/>
                <w:sz w:val="20"/>
                <w:szCs w:val="20"/>
              </w:rPr>
              <w:t>温州化工码头有限公司</w:t>
            </w:r>
          </w:p>
        </w:tc>
      </w:tr>
      <w:tr w14:paraId="2453401F">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3F6DE6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4337" w:type="pct"/>
            <w:tcBorders>
              <w:top w:val="nil"/>
              <w:left w:val="nil"/>
              <w:bottom w:val="single" w:color="808080" w:sz="8" w:space="0"/>
              <w:right w:val="single" w:color="808080" w:sz="8" w:space="0"/>
            </w:tcBorders>
            <w:shd w:val="clear" w:color="auto" w:fill="auto"/>
            <w:vAlign w:val="center"/>
          </w:tcPr>
          <w:p w14:paraId="416EA009">
            <w:pPr>
              <w:widowControl/>
              <w:jc w:val="center"/>
              <w:rPr>
                <w:rFonts w:ascii="宋体" w:hAnsi="宋体" w:cs="宋体"/>
                <w:kern w:val="0"/>
                <w:sz w:val="20"/>
                <w:szCs w:val="20"/>
              </w:rPr>
            </w:pPr>
            <w:r>
              <w:rPr>
                <w:rFonts w:hint="eastAsia" w:ascii="宋体" w:hAnsi="宋体" w:cs="宋体"/>
                <w:kern w:val="0"/>
                <w:sz w:val="20"/>
                <w:szCs w:val="20"/>
              </w:rPr>
              <w:t>中石化股份有限公司浙江温州分公司</w:t>
            </w:r>
          </w:p>
        </w:tc>
      </w:tr>
      <w:tr w14:paraId="27880B5E">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48520C7">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4337" w:type="pct"/>
            <w:tcBorders>
              <w:top w:val="nil"/>
              <w:left w:val="nil"/>
              <w:bottom w:val="single" w:color="808080" w:sz="8" w:space="0"/>
              <w:right w:val="single" w:color="808080" w:sz="8" w:space="0"/>
            </w:tcBorders>
            <w:shd w:val="clear" w:color="auto" w:fill="auto"/>
            <w:vAlign w:val="center"/>
          </w:tcPr>
          <w:p w14:paraId="7CC9284E">
            <w:pPr>
              <w:widowControl/>
              <w:jc w:val="center"/>
              <w:rPr>
                <w:rFonts w:ascii="宋体" w:hAnsi="宋体" w:cs="宋体"/>
                <w:kern w:val="0"/>
                <w:sz w:val="20"/>
                <w:szCs w:val="20"/>
              </w:rPr>
            </w:pPr>
            <w:r>
              <w:rPr>
                <w:rFonts w:hint="eastAsia" w:ascii="宋体" w:hAnsi="宋体" w:cs="宋体"/>
                <w:kern w:val="0"/>
                <w:sz w:val="20"/>
                <w:szCs w:val="20"/>
              </w:rPr>
              <w:t>温州市太平洋石油化工有限公司</w:t>
            </w:r>
          </w:p>
        </w:tc>
      </w:tr>
      <w:tr w14:paraId="35D3B5AF">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28FDE91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4337" w:type="pct"/>
            <w:tcBorders>
              <w:top w:val="nil"/>
              <w:left w:val="nil"/>
              <w:bottom w:val="single" w:color="808080" w:sz="8" w:space="0"/>
              <w:right w:val="single" w:color="808080" w:sz="8" w:space="0"/>
            </w:tcBorders>
            <w:shd w:val="clear" w:color="auto" w:fill="auto"/>
            <w:vAlign w:val="center"/>
          </w:tcPr>
          <w:p w14:paraId="38693615">
            <w:pPr>
              <w:widowControl/>
              <w:jc w:val="center"/>
              <w:rPr>
                <w:rFonts w:ascii="宋体" w:hAnsi="宋体" w:cs="宋体"/>
                <w:kern w:val="0"/>
                <w:sz w:val="20"/>
                <w:szCs w:val="20"/>
              </w:rPr>
            </w:pPr>
            <w:r>
              <w:rPr>
                <w:rFonts w:hint="eastAsia" w:ascii="宋体" w:hAnsi="宋体" w:cs="宋体"/>
                <w:kern w:val="0"/>
                <w:sz w:val="20"/>
                <w:szCs w:val="20"/>
              </w:rPr>
              <w:t>温州市易通物流有限公司</w:t>
            </w:r>
          </w:p>
        </w:tc>
      </w:tr>
      <w:tr w14:paraId="18BE26D6">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70EBED7">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4337" w:type="pct"/>
            <w:tcBorders>
              <w:top w:val="nil"/>
              <w:left w:val="nil"/>
              <w:bottom w:val="single" w:color="808080" w:sz="8" w:space="0"/>
              <w:right w:val="single" w:color="808080" w:sz="8" w:space="0"/>
            </w:tcBorders>
            <w:shd w:val="clear" w:color="auto" w:fill="auto"/>
            <w:vAlign w:val="center"/>
          </w:tcPr>
          <w:p w14:paraId="5B809011">
            <w:pPr>
              <w:widowControl/>
              <w:jc w:val="center"/>
              <w:rPr>
                <w:rFonts w:ascii="宋体" w:hAnsi="宋体" w:cs="宋体"/>
                <w:kern w:val="0"/>
                <w:sz w:val="20"/>
                <w:szCs w:val="20"/>
              </w:rPr>
            </w:pPr>
            <w:r>
              <w:rPr>
                <w:rFonts w:hint="eastAsia" w:ascii="宋体" w:hAnsi="宋体" w:cs="宋体"/>
                <w:kern w:val="0"/>
                <w:sz w:val="20"/>
                <w:szCs w:val="20"/>
              </w:rPr>
              <w:t>温州市燃料集团有限公司仓储物流有限公司</w:t>
            </w:r>
          </w:p>
        </w:tc>
      </w:tr>
      <w:tr w14:paraId="23129FD1">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CD0FAC0">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4337" w:type="pct"/>
            <w:tcBorders>
              <w:top w:val="nil"/>
              <w:left w:val="nil"/>
              <w:bottom w:val="single" w:color="808080" w:sz="8" w:space="0"/>
              <w:right w:val="single" w:color="808080" w:sz="8" w:space="0"/>
            </w:tcBorders>
            <w:shd w:val="clear" w:color="auto" w:fill="auto"/>
            <w:vAlign w:val="center"/>
          </w:tcPr>
          <w:p w14:paraId="7D4AA5A0">
            <w:pPr>
              <w:widowControl/>
              <w:jc w:val="center"/>
              <w:rPr>
                <w:rFonts w:ascii="宋体" w:hAnsi="宋体" w:cs="宋体"/>
                <w:kern w:val="0"/>
                <w:sz w:val="20"/>
                <w:szCs w:val="20"/>
              </w:rPr>
            </w:pPr>
            <w:r>
              <w:rPr>
                <w:rFonts w:hint="eastAsia" w:ascii="宋体" w:hAnsi="宋体" w:cs="宋体"/>
                <w:kern w:val="0"/>
                <w:sz w:val="20"/>
                <w:szCs w:val="20"/>
              </w:rPr>
              <w:t>鸿顺装卸有限公司</w:t>
            </w:r>
          </w:p>
        </w:tc>
      </w:tr>
      <w:tr w14:paraId="7612D0AB">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3C3AD5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4337" w:type="pct"/>
            <w:tcBorders>
              <w:top w:val="nil"/>
              <w:left w:val="nil"/>
              <w:bottom w:val="single" w:color="808080" w:sz="8" w:space="0"/>
              <w:right w:val="single" w:color="808080" w:sz="8" w:space="0"/>
            </w:tcBorders>
            <w:shd w:val="clear" w:color="auto" w:fill="auto"/>
            <w:vAlign w:val="center"/>
          </w:tcPr>
          <w:p w14:paraId="6C33E4FD">
            <w:pPr>
              <w:widowControl/>
              <w:jc w:val="center"/>
              <w:rPr>
                <w:rFonts w:ascii="宋体" w:hAnsi="宋体" w:cs="宋体"/>
                <w:kern w:val="0"/>
                <w:sz w:val="20"/>
                <w:szCs w:val="20"/>
              </w:rPr>
            </w:pPr>
            <w:r>
              <w:rPr>
                <w:rFonts w:hint="eastAsia" w:ascii="宋体" w:hAnsi="宋体" w:cs="宋体"/>
                <w:kern w:val="0"/>
                <w:sz w:val="20"/>
                <w:szCs w:val="20"/>
              </w:rPr>
              <w:t>温州中油石油销售有限公司</w:t>
            </w:r>
          </w:p>
        </w:tc>
      </w:tr>
      <w:tr w14:paraId="374480E1">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0592498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4337" w:type="pct"/>
            <w:tcBorders>
              <w:top w:val="nil"/>
              <w:left w:val="nil"/>
              <w:bottom w:val="single" w:color="808080" w:sz="8" w:space="0"/>
              <w:right w:val="single" w:color="808080" w:sz="8" w:space="0"/>
            </w:tcBorders>
            <w:shd w:val="clear" w:color="auto" w:fill="auto"/>
            <w:vAlign w:val="center"/>
          </w:tcPr>
          <w:p w14:paraId="723622EE">
            <w:pPr>
              <w:widowControl/>
              <w:jc w:val="center"/>
              <w:rPr>
                <w:rFonts w:ascii="宋体" w:hAnsi="宋体" w:cs="宋体"/>
                <w:kern w:val="0"/>
                <w:sz w:val="20"/>
                <w:szCs w:val="20"/>
              </w:rPr>
            </w:pPr>
            <w:r>
              <w:rPr>
                <w:rFonts w:hint="eastAsia" w:ascii="宋体" w:hAnsi="宋体" w:cs="宋体"/>
                <w:kern w:val="0"/>
                <w:sz w:val="20"/>
                <w:szCs w:val="20"/>
              </w:rPr>
              <w:t>浙江中燃华电能源有限公司</w:t>
            </w:r>
          </w:p>
        </w:tc>
      </w:tr>
      <w:tr w14:paraId="3ECC2DD7">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28A115F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4337" w:type="pct"/>
            <w:tcBorders>
              <w:top w:val="nil"/>
              <w:left w:val="nil"/>
              <w:bottom w:val="single" w:color="808080" w:sz="8" w:space="0"/>
              <w:right w:val="single" w:color="808080" w:sz="8" w:space="0"/>
            </w:tcBorders>
            <w:shd w:val="clear" w:color="auto" w:fill="auto"/>
            <w:vAlign w:val="center"/>
          </w:tcPr>
          <w:p w14:paraId="545DACC2">
            <w:pPr>
              <w:widowControl/>
              <w:jc w:val="center"/>
              <w:rPr>
                <w:rFonts w:ascii="宋体" w:hAnsi="宋体" w:cs="宋体"/>
                <w:kern w:val="0"/>
                <w:sz w:val="20"/>
                <w:szCs w:val="20"/>
              </w:rPr>
            </w:pPr>
            <w:r>
              <w:rPr>
                <w:rFonts w:hint="eastAsia" w:ascii="宋体" w:hAnsi="宋体" w:cs="宋体"/>
                <w:kern w:val="0"/>
                <w:sz w:val="20"/>
                <w:szCs w:val="20"/>
              </w:rPr>
              <w:t>温州三盘港码头有限公司</w:t>
            </w:r>
          </w:p>
        </w:tc>
      </w:tr>
      <w:tr w14:paraId="0F92BD6C">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7365FCA">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4337" w:type="pct"/>
            <w:tcBorders>
              <w:top w:val="nil"/>
              <w:left w:val="nil"/>
              <w:bottom w:val="single" w:color="808080" w:sz="8" w:space="0"/>
              <w:right w:val="single" w:color="808080" w:sz="8" w:space="0"/>
            </w:tcBorders>
            <w:shd w:val="clear" w:color="auto" w:fill="auto"/>
            <w:vAlign w:val="center"/>
          </w:tcPr>
          <w:p w14:paraId="40A96787">
            <w:pPr>
              <w:widowControl/>
              <w:jc w:val="center"/>
              <w:rPr>
                <w:rFonts w:ascii="宋体" w:hAnsi="宋体" w:cs="宋体"/>
                <w:kern w:val="0"/>
                <w:sz w:val="20"/>
                <w:szCs w:val="20"/>
              </w:rPr>
            </w:pPr>
            <w:r>
              <w:rPr>
                <w:rFonts w:hint="eastAsia" w:ascii="宋体" w:hAnsi="宋体" w:cs="宋体"/>
                <w:kern w:val="0"/>
                <w:sz w:val="20"/>
                <w:szCs w:val="20"/>
              </w:rPr>
              <w:t>浙江瓯越交建科技股份有限公司</w:t>
            </w:r>
          </w:p>
        </w:tc>
      </w:tr>
      <w:tr w14:paraId="57DC77E9">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C904CB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4337" w:type="pct"/>
            <w:tcBorders>
              <w:top w:val="nil"/>
              <w:left w:val="nil"/>
              <w:bottom w:val="single" w:color="808080" w:sz="8" w:space="0"/>
              <w:right w:val="single" w:color="808080" w:sz="8" w:space="0"/>
            </w:tcBorders>
            <w:shd w:val="clear" w:color="auto" w:fill="auto"/>
            <w:vAlign w:val="center"/>
          </w:tcPr>
          <w:p w14:paraId="1D9F779D">
            <w:pPr>
              <w:widowControl/>
              <w:jc w:val="center"/>
              <w:rPr>
                <w:rFonts w:ascii="宋体" w:hAnsi="宋体" w:cs="宋体"/>
                <w:kern w:val="0"/>
                <w:sz w:val="20"/>
                <w:szCs w:val="20"/>
              </w:rPr>
            </w:pPr>
            <w:r>
              <w:rPr>
                <w:rFonts w:hint="eastAsia" w:ascii="宋体" w:hAnsi="宋体" w:cs="宋体"/>
                <w:kern w:val="0"/>
                <w:sz w:val="20"/>
                <w:szCs w:val="20"/>
              </w:rPr>
              <w:t>温州港集团有限公司状元岙集装箱码头</w:t>
            </w:r>
          </w:p>
        </w:tc>
      </w:tr>
      <w:tr w14:paraId="231D6F38">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0D8CA01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4337" w:type="pct"/>
            <w:tcBorders>
              <w:top w:val="nil"/>
              <w:left w:val="nil"/>
              <w:bottom w:val="single" w:color="808080" w:sz="8" w:space="0"/>
              <w:right w:val="single" w:color="808080" w:sz="8" w:space="0"/>
            </w:tcBorders>
            <w:shd w:val="clear" w:color="auto" w:fill="auto"/>
            <w:vAlign w:val="center"/>
          </w:tcPr>
          <w:p w14:paraId="67B7FB84">
            <w:pPr>
              <w:widowControl/>
              <w:jc w:val="center"/>
              <w:rPr>
                <w:rFonts w:ascii="宋体" w:hAnsi="宋体" w:cs="宋体"/>
                <w:kern w:val="0"/>
                <w:sz w:val="20"/>
                <w:szCs w:val="20"/>
              </w:rPr>
            </w:pPr>
            <w:r>
              <w:rPr>
                <w:rFonts w:hint="eastAsia" w:ascii="宋体" w:hAnsi="宋体" w:cs="宋体"/>
                <w:kern w:val="0"/>
                <w:sz w:val="20"/>
                <w:szCs w:val="20"/>
              </w:rPr>
              <w:t>浙能温州液化天然气有限公司</w:t>
            </w:r>
          </w:p>
        </w:tc>
      </w:tr>
      <w:tr w14:paraId="0F56CA38">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D10A0D3">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13 </w:t>
            </w:r>
          </w:p>
        </w:tc>
        <w:tc>
          <w:tcPr>
            <w:tcW w:w="4337" w:type="pct"/>
            <w:tcBorders>
              <w:top w:val="nil"/>
              <w:left w:val="nil"/>
              <w:bottom w:val="single" w:color="808080" w:sz="8" w:space="0"/>
              <w:right w:val="single" w:color="808080" w:sz="8" w:space="0"/>
            </w:tcBorders>
            <w:shd w:val="clear" w:color="auto" w:fill="auto"/>
            <w:vAlign w:val="center"/>
          </w:tcPr>
          <w:p w14:paraId="5738FFD7">
            <w:pPr>
              <w:widowControl/>
              <w:jc w:val="center"/>
              <w:rPr>
                <w:rFonts w:ascii="宋体" w:hAnsi="宋体" w:cs="宋体"/>
                <w:kern w:val="0"/>
                <w:sz w:val="20"/>
                <w:szCs w:val="20"/>
              </w:rPr>
            </w:pPr>
            <w:r>
              <w:rPr>
                <w:rFonts w:hint="eastAsia" w:ascii="宋体" w:hAnsi="宋体" w:cs="宋体"/>
                <w:kern w:val="0"/>
                <w:sz w:val="20"/>
                <w:szCs w:val="20"/>
              </w:rPr>
              <w:t>浙江宏泰混凝土有限公司</w:t>
            </w:r>
          </w:p>
        </w:tc>
      </w:tr>
      <w:tr w14:paraId="6B6FB26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793B2A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14 </w:t>
            </w:r>
          </w:p>
        </w:tc>
        <w:tc>
          <w:tcPr>
            <w:tcW w:w="4337" w:type="pct"/>
            <w:tcBorders>
              <w:top w:val="nil"/>
              <w:left w:val="nil"/>
              <w:bottom w:val="single" w:color="808080" w:sz="8" w:space="0"/>
              <w:right w:val="single" w:color="808080" w:sz="8" w:space="0"/>
            </w:tcBorders>
            <w:shd w:val="clear" w:color="auto" w:fill="auto"/>
            <w:vAlign w:val="center"/>
          </w:tcPr>
          <w:p w14:paraId="76AB6632">
            <w:pPr>
              <w:widowControl/>
              <w:jc w:val="center"/>
              <w:rPr>
                <w:rFonts w:ascii="宋体" w:hAnsi="宋体" w:cs="宋体"/>
                <w:kern w:val="0"/>
                <w:sz w:val="20"/>
                <w:szCs w:val="20"/>
              </w:rPr>
            </w:pPr>
            <w:r>
              <w:rPr>
                <w:rFonts w:hint="eastAsia" w:ascii="宋体" w:hAnsi="宋体" w:cs="宋体"/>
                <w:kern w:val="0"/>
                <w:sz w:val="20"/>
                <w:szCs w:val="20"/>
              </w:rPr>
              <w:t>温州新世纪中油油品销售有限公司</w:t>
            </w:r>
          </w:p>
        </w:tc>
      </w:tr>
      <w:tr w14:paraId="2622D63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1E01E93">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15 </w:t>
            </w:r>
          </w:p>
        </w:tc>
        <w:tc>
          <w:tcPr>
            <w:tcW w:w="4337" w:type="pct"/>
            <w:tcBorders>
              <w:top w:val="nil"/>
              <w:left w:val="nil"/>
              <w:bottom w:val="single" w:color="808080" w:sz="8" w:space="0"/>
              <w:right w:val="single" w:color="808080" w:sz="8" w:space="0"/>
            </w:tcBorders>
            <w:shd w:val="clear" w:color="auto" w:fill="auto"/>
            <w:vAlign w:val="center"/>
          </w:tcPr>
          <w:p w14:paraId="4A4B3DEE">
            <w:pPr>
              <w:widowControl/>
              <w:jc w:val="center"/>
              <w:rPr>
                <w:rFonts w:ascii="宋体" w:hAnsi="宋体" w:cs="宋体"/>
                <w:kern w:val="0"/>
                <w:sz w:val="20"/>
                <w:szCs w:val="20"/>
              </w:rPr>
            </w:pPr>
            <w:r>
              <w:rPr>
                <w:rFonts w:hint="eastAsia" w:ascii="宋体" w:hAnsi="宋体" w:cs="宋体"/>
                <w:kern w:val="0"/>
                <w:sz w:val="20"/>
                <w:szCs w:val="20"/>
              </w:rPr>
              <w:t>(温州)丽水雕牌化工有限公司</w:t>
            </w:r>
          </w:p>
        </w:tc>
      </w:tr>
      <w:tr w14:paraId="16C718C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ED1C5C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16 </w:t>
            </w:r>
          </w:p>
        </w:tc>
        <w:tc>
          <w:tcPr>
            <w:tcW w:w="4337" w:type="pct"/>
            <w:tcBorders>
              <w:top w:val="nil"/>
              <w:left w:val="nil"/>
              <w:bottom w:val="single" w:color="808080" w:sz="8" w:space="0"/>
              <w:right w:val="single" w:color="808080" w:sz="8" w:space="0"/>
            </w:tcBorders>
            <w:shd w:val="clear" w:color="auto" w:fill="auto"/>
            <w:vAlign w:val="center"/>
          </w:tcPr>
          <w:p w14:paraId="13BBE0DA">
            <w:pPr>
              <w:widowControl/>
              <w:jc w:val="center"/>
              <w:rPr>
                <w:rFonts w:ascii="宋体" w:hAnsi="宋体" w:cs="宋体"/>
                <w:kern w:val="0"/>
                <w:sz w:val="20"/>
                <w:szCs w:val="20"/>
              </w:rPr>
            </w:pPr>
            <w:r>
              <w:rPr>
                <w:rFonts w:hint="eastAsia" w:ascii="宋体" w:hAnsi="宋体" w:cs="宋体"/>
                <w:kern w:val="0"/>
                <w:sz w:val="20"/>
                <w:szCs w:val="20"/>
              </w:rPr>
              <w:t>温州金洋集装箱码头有限公司</w:t>
            </w:r>
          </w:p>
        </w:tc>
      </w:tr>
      <w:tr w14:paraId="7DAF4EA6">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2120AA9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17 </w:t>
            </w:r>
          </w:p>
        </w:tc>
        <w:tc>
          <w:tcPr>
            <w:tcW w:w="4337" w:type="pct"/>
            <w:tcBorders>
              <w:top w:val="nil"/>
              <w:left w:val="nil"/>
              <w:bottom w:val="single" w:color="808080" w:sz="8" w:space="0"/>
              <w:right w:val="single" w:color="808080" w:sz="8" w:space="0"/>
            </w:tcBorders>
            <w:shd w:val="clear" w:color="auto" w:fill="auto"/>
            <w:vAlign w:val="center"/>
          </w:tcPr>
          <w:p w14:paraId="0DF51A99">
            <w:pPr>
              <w:widowControl/>
              <w:jc w:val="center"/>
              <w:rPr>
                <w:rFonts w:ascii="宋体" w:hAnsi="宋体" w:cs="宋体"/>
                <w:kern w:val="0"/>
                <w:sz w:val="20"/>
                <w:szCs w:val="20"/>
              </w:rPr>
            </w:pPr>
            <w:r>
              <w:rPr>
                <w:rFonts w:hint="eastAsia" w:ascii="宋体" w:hAnsi="宋体" w:cs="宋体"/>
                <w:kern w:val="0"/>
                <w:sz w:val="20"/>
                <w:szCs w:val="20"/>
              </w:rPr>
              <w:t>乐清海螺水泥有限责任公司</w:t>
            </w:r>
          </w:p>
        </w:tc>
      </w:tr>
      <w:tr w14:paraId="169269E0">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E6D2375">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18 </w:t>
            </w:r>
          </w:p>
        </w:tc>
        <w:tc>
          <w:tcPr>
            <w:tcW w:w="4337" w:type="pct"/>
            <w:tcBorders>
              <w:top w:val="nil"/>
              <w:left w:val="nil"/>
              <w:bottom w:val="single" w:color="808080" w:sz="8" w:space="0"/>
              <w:right w:val="single" w:color="808080" w:sz="8" w:space="0"/>
            </w:tcBorders>
            <w:shd w:val="clear" w:color="auto" w:fill="auto"/>
            <w:vAlign w:val="center"/>
          </w:tcPr>
          <w:p w14:paraId="51A9C23E">
            <w:pPr>
              <w:widowControl/>
              <w:jc w:val="center"/>
              <w:rPr>
                <w:rFonts w:ascii="宋体" w:hAnsi="宋体" w:cs="宋体"/>
                <w:kern w:val="0"/>
                <w:sz w:val="20"/>
                <w:szCs w:val="20"/>
              </w:rPr>
            </w:pPr>
            <w:r>
              <w:rPr>
                <w:rFonts w:hint="eastAsia" w:ascii="宋体" w:hAnsi="宋体" w:cs="宋体"/>
                <w:kern w:val="0"/>
                <w:sz w:val="20"/>
                <w:szCs w:val="20"/>
              </w:rPr>
              <w:t>浙江浙能乐清发电有限责任公司</w:t>
            </w:r>
          </w:p>
        </w:tc>
      </w:tr>
      <w:tr w14:paraId="71A68E5B">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03ABFE2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 </w:t>
            </w:r>
          </w:p>
        </w:tc>
        <w:tc>
          <w:tcPr>
            <w:tcW w:w="4337" w:type="pct"/>
            <w:tcBorders>
              <w:top w:val="nil"/>
              <w:left w:val="nil"/>
              <w:bottom w:val="single" w:color="808080" w:sz="8" w:space="0"/>
              <w:right w:val="single" w:color="808080" w:sz="8" w:space="0"/>
            </w:tcBorders>
            <w:shd w:val="clear" w:color="auto" w:fill="auto"/>
            <w:vAlign w:val="center"/>
          </w:tcPr>
          <w:p w14:paraId="2042D49F">
            <w:pPr>
              <w:widowControl/>
              <w:jc w:val="center"/>
              <w:rPr>
                <w:rFonts w:ascii="宋体" w:hAnsi="宋体" w:cs="宋体"/>
                <w:kern w:val="0"/>
                <w:sz w:val="20"/>
                <w:szCs w:val="20"/>
              </w:rPr>
            </w:pPr>
            <w:r>
              <w:rPr>
                <w:rFonts w:hint="eastAsia" w:ascii="宋体" w:hAnsi="宋体" w:cs="宋体"/>
                <w:kern w:val="0"/>
                <w:sz w:val="20"/>
                <w:szCs w:val="20"/>
              </w:rPr>
              <w:t>乐清卫城实业有限公司</w:t>
            </w:r>
          </w:p>
        </w:tc>
      </w:tr>
      <w:tr w14:paraId="158429E5">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2D8C5B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20 </w:t>
            </w:r>
          </w:p>
        </w:tc>
        <w:tc>
          <w:tcPr>
            <w:tcW w:w="4337" w:type="pct"/>
            <w:tcBorders>
              <w:top w:val="nil"/>
              <w:left w:val="nil"/>
              <w:bottom w:val="single" w:color="808080" w:sz="8" w:space="0"/>
              <w:right w:val="single" w:color="808080" w:sz="8" w:space="0"/>
            </w:tcBorders>
            <w:shd w:val="clear" w:color="auto" w:fill="auto"/>
            <w:vAlign w:val="center"/>
          </w:tcPr>
          <w:p w14:paraId="15728CB0">
            <w:pPr>
              <w:widowControl/>
              <w:jc w:val="center"/>
              <w:rPr>
                <w:rFonts w:ascii="宋体" w:hAnsi="宋体" w:cs="宋体"/>
                <w:kern w:val="0"/>
                <w:sz w:val="20"/>
                <w:szCs w:val="20"/>
              </w:rPr>
            </w:pPr>
            <w:r>
              <w:rPr>
                <w:rFonts w:hint="eastAsia" w:ascii="宋体" w:hAnsi="宋体" w:cs="宋体"/>
                <w:kern w:val="0"/>
                <w:sz w:val="20"/>
                <w:szCs w:val="20"/>
              </w:rPr>
              <w:t>瑞安市飞云码头货运有限公司</w:t>
            </w:r>
          </w:p>
        </w:tc>
      </w:tr>
      <w:tr w14:paraId="1EE26C46">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0EBD7B58">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21 </w:t>
            </w:r>
          </w:p>
        </w:tc>
        <w:tc>
          <w:tcPr>
            <w:tcW w:w="4337" w:type="pct"/>
            <w:tcBorders>
              <w:top w:val="nil"/>
              <w:left w:val="nil"/>
              <w:bottom w:val="single" w:color="808080" w:sz="8" w:space="0"/>
              <w:right w:val="single" w:color="808080" w:sz="8" w:space="0"/>
            </w:tcBorders>
            <w:shd w:val="clear" w:color="auto" w:fill="auto"/>
            <w:vAlign w:val="center"/>
          </w:tcPr>
          <w:p w14:paraId="57384237">
            <w:pPr>
              <w:widowControl/>
              <w:jc w:val="center"/>
              <w:rPr>
                <w:rFonts w:ascii="宋体" w:hAnsi="宋体" w:cs="宋体"/>
                <w:kern w:val="0"/>
                <w:sz w:val="20"/>
                <w:szCs w:val="20"/>
              </w:rPr>
            </w:pPr>
            <w:r>
              <w:rPr>
                <w:rFonts w:hint="eastAsia" w:ascii="宋体" w:hAnsi="宋体" w:cs="宋体"/>
                <w:kern w:val="0"/>
                <w:sz w:val="20"/>
                <w:szCs w:val="20"/>
              </w:rPr>
              <w:t>中石化瑞安石油分公司滨海油库</w:t>
            </w:r>
          </w:p>
        </w:tc>
      </w:tr>
      <w:tr w14:paraId="37B0F8E2">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6FA2763">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22 </w:t>
            </w:r>
          </w:p>
        </w:tc>
        <w:tc>
          <w:tcPr>
            <w:tcW w:w="4337" w:type="pct"/>
            <w:tcBorders>
              <w:top w:val="nil"/>
              <w:left w:val="nil"/>
              <w:bottom w:val="single" w:color="808080" w:sz="8" w:space="0"/>
              <w:right w:val="single" w:color="808080" w:sz="8" w:space="0"/>
            </w:tcBorders>
            <w:shd w:val="clear" w:color="auto" w:fill="auto"/>
            <w:vAlign w:val="center"/>
          </w:tcPr>
          <w:p w14:paraId="55F711AC">
            <w:pPr>
              <w:widowControl/>
              <w:jc w:val="center"/>
              <w:rPr>
                <w:rFonts w:ascii="宋体" w:hAnsi="宋体" w:cs="宋体"/>
                <w:kern w:val="0"/>
                <w:sz w:val="20"/>
                <w:szCs w:val="20"/>
              </w:rPr>
            </w:pPr>
            <w:r>
              <w:rPr>
                <w:rFonts w:hint="eastAsia" w:ascii="宋体" w:hAnsi="宋体" w:cs="宋体"/>
                <w:kern w:val="0"/>
                <w:sz w:val="20"/>
                <w:szCs w:val="20"/>
              </w:rPr>
              <w:t>瑞安市港务公司</w:t>
            </w:r>
          </w:p>
        </w:tc>
      </w:tr>
      <w:tr w14:paraId="67FDBC78">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1CB0EA0">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23 </w:t>
            </w:r>
          </w:p>
        </w:tc>
        <w:tc>
          <w:tcPr>
            <w:tcW w:w="4337" w:type="pct"/>
            <w:tcBorders>
              <w:top w:val="nil"/>
              <w:left w:val="nil"/>
              <w:bottom w:val="single" w:color="808080" w:sz="8" w:space="0"/>
              <w:right w:val="single" w:color="808080" w:sz="8" w:space="0"/>
            </w:tcBorders>
            <w:shd w:val="clear" w:color="auto" w:fill="auto"/>
            <w:vAlign w:val="center"/>
          </w:tcPr>
          <w:p w14:paraId="1FD9936E">
            <w:pPr>
              <w:widowControl/>
              <w:jc w:val="center"/>
              <w:rPr>
                <w:rFonts w:ascii="宋体" w:hAnsi="宋体" w:cs="宋体"/>
                <w:kern w:val="0"/>
                <w:sz w:val="20"/>
                <w:szCs w:val="20"/>
              </w:rPr>
            </w:pPr>
            <w:r>
              <w:rPr>
                <w:rFonts w:hint="eastAsia" w:ascii="宋体" w:hAnsi="宋体" w:cs="宋体"/>
                <w:kern w:val="0"/>
                <w:sz w:val="20"/>
                <w:szCs w:val="20"/>
              </w:rPr>
              <w:t>瑞安市轮船公司(飞云渡北岸)</w:t>
            </w:r>
          </w:p>
        </w:tc>
      </w:tr>
      <w:tr w14:paraId="121F82A8">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4C9BA2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24 </w:t>
            </w:r>
          </w:p>
        </w:tc>
        <w:tc>
          <w:tcPr>
            <w:tcW w:w="4337" w:type="pct"/>
            <w:tcBorders>
              <w:top w:val="nil"/>
              <w:left w:val="nil"/>
              <w:bottom w:val="single" w:color="808080" w:sz="8" w:space="0"/>
              <w:right w:val="single" w:color="808080" w:sz="8" w:space="0"/>
            </w:tcBorders>
            <w:shd w:val="clear" w:color="auto" w:fill="auto"/>
            <w:vAlign w:val="center"/>
          </w:tcPr>
          <w:p w14:paraId="02D19AF3">
            <w:pPr>
              <w:widowControl/>
              <w:jc w:val="center"/>
              <w:rPr>
                <w:rFonts w:ascii="宋体" w:hAnsi="宋体" w:cs="宋体"/>
                <w:kern w:val="0"/>
                <w:sz w:val="20"/>
                <w:szCs w:val="20"/>
              </w:rPr>
            </w:pPr>
            <w:r>
              <w:rPr>
                <w:rFonts w:hint="eastAsia" w:ascii="宋体" w:hAnsi="宋体" w:cs="宋体"/>
                <w:kern w:val="0"/>
                <w:sz w:val="20"/>
                <w:szCs w:val="20"/>
              </w:rPr>
              <w:t>瑞安市东海燃料有限公司</w:t>
            </w:r>
          </w:p>
        </w:tc>
      </w:tr>
      <w:tr w14:paraId="6D9A8A18">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FCBA37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25 </w:t>
            </w:r>
          </w:p>
        </w:tc>
        <w:tc>
          <w:tcPr>
            <w:tcW w:w="4337" w:type="pct"/>
            <w:tcBorders>
              <w:top w:val="nil"/>
              <w:left w:val="nil"/>
              <w:bottom w:val="single" w:color="808080" w:sz="8" w:space="0"/>
              <w:right w:val="single" w:color="808080" w:sz="8" w:space="0"/>
            </w:tcBorders>
            <w:shd w:val="clear" w:color="auto" w:fill="auto"/>
            <w:vAlign w:val="center"/>
          </w:tcPr>
          <w:p w14:paraId="39586951">
            <w:pPr>
              <w:widowControl/>
              <w:jc w:val="center"/>
              <w:rPr>
                <w:rFonts w:ascii="宋体" w:hAnsi="宋体" w:cs="宋体"/>
                <w:kern w:val="0"/>
                <w:sz w:val="20"/>
                <w:szCs w:val="20"/>
              </w:rPr>
            </w:pPr>
            <w:r>
              <w:rPr>
                <w:rFonts w:hint="eastAsia" w:ascii="宋体" w:hAnsi="宋体" w:cs="宋体"/>
                <w:kern w:val="0"/>
                <w:sz w:val="20"/>
                <w:szCs w:val="20"/>
              </w:rPr>
              <w:t>瑞安市恒升储运有限公司</w:t>
            </w:r>
          </w:p>
        </w:tc>
      </w:tr>
      <w:tr w14:paraId="1C10EE42">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E98F46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26 </w:t>
            </w:r>
          </w:p>
        </w:tc>
        <w:tc>
          <w:tcPr>
            <w:tcW w:w="4337" w:type="pct"/>
            <w:tcBorders>
              <w:top w:val="nil"/>
              <w:left w:val="nil"/>
              <w:bottom w:val="single" w:color="808080" w:sz="8" w:space="0"/>
              <w:right w:val="single" w:color="808080" w:sz="8" w:space="0"/>
            </w:tcBorders>
            <w:shd w:val="clear" w:color="auto" w:fill="auto"/>
            <w:vAlign w:val="center"/>
          </w:tcPr>
          <w:p w14:paraId="5E77A054">
            <w:pPr>
              <w:widowControl/>
              <w:jc w:val="center"/>
              <w:rPr>
                <w:rFonts w:ascii="宋体" w:hAnsi="宋体" w:cs="宋体"/>
                <w:kern w:val="0"/>
                <w:sz w:val="20"/>
                <w:szCs w:val="20"/>
              </w:rPr>
            </w:pPr>
            <w:r>
              <w:rPr>
                <w:rFonts w:hint="eastAsia" w:ascii="宋体" w:hAnsi="宋体" w:cs="宋体"/>
                <w:kern w:val="0"/>
                <w:sz w:val="20"/>
                <w:szCs w:val="20"/>
              </w:rPr>
              <w:t>瑞安市上望渔业有限公司</w:t>
            </w:r>
          </w:p>
        </w:tc>
      </w:tr>
      <w:tr w14:paraId="7B4ACCB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F5759EE">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27 </w:t>
            </w:r>
          </w:p>
        </w:tc>
        <w:tc>
          <w:tcPr>
            <w:tcW w:w="4337" w:type="pct"/>
            <w:tcBorders>
              <w:top w:val="nil"/>
              <w:left w:val="nil"/>
              <w:bottom w:val="single" w:color="808080" w:sz="8" w:space="0"/>
              <w:right w:val="single" w:color="808080" w:sz="8" w:space="0"/>
            </w:tcBorders>
            <w:shd w:val="clear" w:color="auto" w:fill="auto"/>
            <w:vAlign w:val="center"/>
          </w:tcPr>
          <w:p w14:paraId="53AA3549">
            <w:pPr>
              <w:widowControl/>
              <w:jc w:val="center"/>
              <w:rPr>
                <w:rFonts w:ascii="宋体" w:hAnsi="宋体" w:cs="宋体"/>
                <w:kern w:val="0"/>
                <w:sz w:val="20"/>
                <w:szCs w:val="20"/>
              </w:rPr>
            </w:pPr>
            <w:r>
              <w:rPr>
                <w:rFonts w:hint="eastAsia" w:ascii="宋体" w:hAnsi="宋体" w:cs="宋体"/>
                <w:kern w:val="0"/>
                <w:sz w:val="20"/>
                <w:szCs w:val="20"/>
              </w:rPr>
              <w:t>瑞安市万家混凝土有限公司</w:t>
            </w:r>
          </w:p>
        </w:tc>
      </w:tr>
      <w:tr w14:paraId="5928660F">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B3EBE30">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28 </w:t>
            </w:r>
          </w:p>
        </w:tc>
        <w:tc>
          <w:tcPr>
            <w:tcW w:w="4337" w:type="pct"/>
            <w:tcBorders>
              <w:top w:val="nil"/>
              <w:left w:val="nil"/>
              <w:bottom w:val="single" w:color="808080" w:sz="8" w:space="0"/>
              <w:right w:val="single" w:color="808080" w:sz="8" w:space="0"/>
            </w:tcBorders>
            <w:shd w:val="clear" w:color="auto" w:fill="auto"/>
            <w:vAlign w:val="center"/>
          </w:tcPr>
          <w:p w14:paraId="002080DC">
            <w:pPr>
              <w:widowControl/>
              <w:jc w:val="center"/>
              <w:rPr>
                <w:rFonts w:ascii="宋体" w:hAnsi="宋体" w:cs="宋体"/>
                <w:kern w:val="0"/>
                <w:sz w:val="20"/>
                <w:szCs w:val="20"/>
              </w:rPr>
            </w:pPr>
            <w:r>
              <w:rPr>
                <w:rFonts w:hint="eastAsia" w:ascii="宋体" w:hAnsi="宋体" w:cs="宋体"/>
                <w:kern w:val="0"/>
                <w:sz w:val="20"/>
                <w:szCs w:val="20"/>
              </w:rPr>
              <w:t>瑞安市中油油品有限公司江南油库</w:t>
            </w:r>
          </w:p>
        </w:tc>
      </w:tr>
      <w:tr w14:paraId="389DFC2C">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81E2F6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29 </w:t>
            </w:r>
          </w:p>
        </w:tc>
        <w:tc>
          <w:tcPr>
            <w:tcW w:w="4337" w:type="pct"/>
            <w:tcBorders>
              <w:top w:val="nil"/>
              <w:left w:val="nil"/>
              <w:bottom w:val="single" w:color="808080" w:sz="8" w:space="0"/>
              <w:right w:val="single" w:color="808080" w:sz="8" w:space="0"/>
            </w:tcBorders>
            <w:shd w:val="clear" w:color="auto" w:fill="auto"/>
            <w:vAlign w:val="center"/>
          </w:tcPr>
          <w:p w14:paraId="4E175C83">
            <w:pPr>
              <w:widowControl/>
              <w:jc w:val="center"/>
              <w:rPr>
                <w:rFonts w:ascii="宋体" w:hAnsi="宋体" w:cs="宋体"/>
                <w:kern w:val="0"/>
                <w:sz w:val="20"/>
                <w:szCs w:val="20"/>
              </w:rPr>
            </w:pPr>
            <w:r>
              <w:rPr>
                <w:rFonts w:hint="eastAsia" w:ascii="宋体" w:hAnsi="宋体" w:cs="宋体"/>
                <w:kern w:val="0"/>
                <w:sz w:val="20"/>
                <w:szCs w:val="20"/>
              </w:rPr>
              <w:t>永嘉县新力石油化工有限公司</w:t>
            </w:r>
          </w:p>
        </w:tc>
      </w:tr>
      <w:tr w14:paraId="343AB3C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019F98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30 </w:t>
            </w:r>
          </w:p>
        </w:tc>
        <w:tc>
          <w:tcPr>
            <w:tcW w:w="4337" w:type="pct"/>
            <w:tcBorders>
              <w:top w:val="nil"/>
              <w:left w:val="nil"/>
              <w:bottom w:val="single" w:color="808080" w:sz="8" w:space="0"/>
              <w:right w:val="single" w:color="808080" w:sz="8" w:space="0"/>
            </w:tcBorders>
            <w:shd w:val="clear" w:color="auto" w:fill="auto"/>
            <w:vAlign w:val="center"/>
          </w:tcPr>
          <w:p w14:paraId="47A37FEB">
            <w:pPr>
              <w:widowControl/>
              <w:jc w:val="center"/>
              <w:rPr>
                <w:rFonts w:ascii="宋体" w:hAnsi="宋体" w:cs="宋体"/>
                <w:kern w:val="0"/>
                <w:sz w:val="20"/>
                <w:szCs w:val="20"/>
              </w:rPr>
            </w:pPr>
            <w:r>
              <w:rPr>
                <w:rFonts w:hint="eastAsia" w:ascii="宋体" w:hAnsi="宋体" w:cs="宋体"/>
                <w:kern w:val="0"/>
                <w:sz w:val="20"/>
                <w:szCs w:val="20"/>
              </w:rPr>
              <w:t>浙江铁资燃料有限公司</w:t>
            </w:r>
          </w:p>
        </w:tc>
      </w:tr>
      <w:tr w14:paraId="598D83D7">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6E7D6C83">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31 </w:t>
            </w:r>
          </w:p>
        </w:tc>
        <w:tc>
          <w:tcPr>
            <w:tcW w:w="4337" w:type="pct"/>
            <w:tcBorders>
              <w:top w:val="nil"/>
              <w:left w:val="nil"/>
              <w:bottom w:val="single" w:color="808080" w:sz="8" w:space="0"/>
              <w:right w:val="single" w:color="808080" w:sz="8" w:space="0"/>
            </w:tcBorders>
            <w:shd w:val="clear" w:color="auto" w:fill="auto"/>
            <w:vAlign w:val="center"/>
          </w:tcPr>
          <w:p w14:paraId="40468F12">
            <w:pPr>
              <w:widowControl/>
              <w:jc w:val="center"/>
              <w:rPr>
                <w:rFonts w:ascii="宋体" w:hAnsi="宋体" w:cs="宋体"/>
                <w:kern w:val="0"/>
                <w:sz w:val="20"/>
                <w:szCs w:val="20"/>
              </w:rPr>
            </w:pPr>
            <w:r>
              <w:rPr>
                <w:rFonts w:hint="eastAsia" w:ascii="宋体" w:hAnsi="宋体" w:cs="宋体"/>
                <w:kern w:val="0"/>
                <w:sz w:val="20"/>
                <w:szCs w:val="20"/>
              </w:rPr>
              <w:t>永嘉县泰安油品供应有限公司</w:t>
            </w:r>
          </w:p>
        </w:tc>
      </w:tr>
      <w:tr w14:paraId="14F6827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E3FA5E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32 </w:t>
            </w:r>
          </w:p>
        </w:tc>
        <w:tc>
          <w:tcPr>
            <w:tcW w:w="4337" w:type="pct"/>
            <w:tcBorders>
              <w:top w:val="nil"/>
              <w:left w:val="nil"/>
              <w:bottom w:val="single" w:color="808080" w:sz="8" w:space="0"/>
              <w:right w:val="single" w:color="808080" w:sz="8" w:space="0"/>
            </w:tcBorders>
            <w:shd w:val="clear" w:color="auto" w:fill="auto"/>
            <w:vAlign w:val="center"/>
          </w:tcPr>
          <w:p w14:paraId="4ADD3AAC">
            <w:pPr>
              <w:widowControl/>
              <w:jc w:val="center"/>
              <w:rPr>
                <w:rFonts w:ascii="宋体" w:hAnsi="宋体" w:cs="宋体"/>
                <w:kern w:val="0"/>
                <w:sz w:val="20"/>
                <w:szCs w:val="20"/>
              </w:rPr>
            </w:pPr>
            <w:r>
              <w:rPr>
                <w:rFonts w:hint="eastAsia" w:ascii="宋体" w:hAnsi="宋体" w:cs="宋体"/>
                <w:kern w:val="0"/>
                <w:sz w:val="20"/>
                <w:szCs w:val="20"/>
              </w:rPr>
              <w:t>温州三华实业有限公司</w:t>
            </w:r>
          </w:p>
        </w:tc>
      </w:tr>
      <w:tr w14:paraId="6BDB5B00">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659FE4A">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33 </w:t>
            </w:r>
          </w:p>
        </w:tc>
        <w:tc>
          <w:tcPr>
            <w:tcW w:w="4337" w:type="pct"/>
            <w:tcBorders>
              <w:top w:val="nil"/>
              <w:left w:val="nil"/>
              <w:bottom w:val="single" w:color="808080" w:sz="8" w:space="0"/>
              <w:right w:val="single" w:color="808080" w:sz="8" w:space="0"/>
            </w:tcBorders>
            <w:shd w:val="clear" w:color="auto" w:fill="auto"/>
            <w:vAlign w:val="center"/>
          </w:tcPr>
          <w:p w14:paraId="4EC704E5">
            <w:pPr>
              <w:widowControl/>
              <w:jc w:val="center"/>
              <w:rPr>
                <w:rFonts w:ascii="宋体" w:hAnsi="宋体" w:cs="宋体"/>
                <w:kern w:val="0"/>
                <w:sz w:val="20"/>
                <w:szCs w:val="20"/>
              </w:rPr>
            </w:pPr>
            <w:r>
              <w:rPr>
                <w:rFonts w:hint="eastAsia" w:ascii="宋体" w:hAnsi="宋体" w:cs="宋体"/>
                <w:kern w:val="0"/>
                <w:sz w:val="20"/>
                <w:szCs w:val="20"/>
              </w:rPr>
              <w:t>永嘉县西瓯运输装卸有限公司</w:t>
            </w:r>
          </w:p>
        </w:tc>
      </w:tr>
      <w:tr w14:paraId="48603CCC">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E6F25E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34 </w:t>
            </w:r>
          </w:p>
        </w:tc>
        <w:tc>
          <w:tcPr>
            <w:tcW w:w="4337" w:type="pct"/>
            <w:tcBorders>
              <w:top w:val="nil"/>
              <w:left w:val="nil"/>
              <w:bottom w:val="single" w:color="808080" w:sz="8" w:space="0"/>
              <w:right w:val="single" w:color="808080" w:sz="8" w:space="0"/>
            </w:tcBorders>
            <w:shd w:val="clear" w:color="auto" w:fill="auto"/>
            <w:vAlign w:val="center"/>
          </w:tcPr>
          <w:p w14:paraId="374AC316">
            <w:pPr>
              <w:widowControl/>
              <w:jc w:val="center"/>
              <w:rPr>
                <w:rFonts w:ascii="宋体" w:hAnsi="宋体" w:cs="宋体"/>
                <w:kern w:val="0"/>
                <w:sz w:val="20"/>
                <w:szCs w:val="20"/>
              </w:rPr>
            </w:pPr>
            <w:r>
              <w:rPr>
                <w:rFonts w:hint="eastAsia" w:ascii="宋体" w:hAnsi="宋体" w:cs="宋体"/>
                <w:kern w:val="0"/>
                <w:sz w:val="20"/>
                <w:szCs w:val="20"/>
              </w:rPr>
              <w:t>浙江省敖江港务公司（南麂客运码头）</w:t>
            </w:r>
          </w:p>
        </w:tc>
      </w:tr>
      <w:tr w14:paraId="658DE098">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8E1182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35 </w:t>
            </w:r>
          </w:p>
        </w:tc>
        <w:tc>
          <w:tcPr>
            <w:tcW w:w="4337" w:type="pct"/>
            <w:tcBorders>
              <w:top w:val="nil"/>
              <w:left w:val="nil"/>
              <w:bottom w:val="single" w:color="808080" w:sz="8" w:space="0"/>
              <w:right w:val="single" w:color="808080" w:sz="8" w:space="0"/>
            </w:tcBorders>
            <w:shd w:val="clear" w:color="auto" w:fill="auto"/>
            <w:vAlign w:val="center"/>
          </w:tcPr>
          <w:p w14:paraId="123D7B21">
            <w:pPr>
              <w:widowControl/>
              <w:jc w:val="center"/>
              <w:rPr>
                <w:rFonts w:ascii="宋体" w:hAnsi="宋体" w:cs="宋体"/>
                <w:kern w:val="0"/>
                <w:sz w:val="20"/>
                <w:szCs w:val="20"/>
              </w:rPr>
            </w:pPr>
            <w:r>
              <w:rPr>
                <w:rFonts w:hint="eastAsia" w:ascii="宋体" w:hAnsi="宋体" w:cs="宋体"/>
                <w:kern w:val="0"/>
                <w:sz w:val="20"/>
                <w:szCs w:val="20"/>
              </w:rPr>
              <w:t>平阳县旺利码头装卸队（南麂货运码头）</w:t>
            </w:r>
          </w:p>
        </w:tc>
      </w:tr>
      <w:tr w14:paraId="150904F8">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ED299A0">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36 </w:t>
            </w:r>
          </w:p>
        </w:tc>
        <w:tc>
          <w:tcPr>
            <w:tcW w:w="4337" w:type="pct"/>
            <w:tcBorders>
              <w:top w:val="nil"/>
              <w:left w:val="nil"/>
              <w:bottom w:val="single" w:color="808080" w:sz="8" w:space="0"/>
              <w:right w:val="single" w:color="808080" w:sz="8" w:space="0"/>
            </w:tcBorders>
            <w:shd w:val="clear" w:color="auto" w:fill="auto"/>
            <w:vAlign w:val="center"/>
          </w:tcPr>
          <w:p w14:paraId="1321EF08">
            <w:pPr>
              <w:widowControl/>
              <w:jc w:val="center"/>
              <w:rPr>
                <w:rFonts w:ascii="宋体" w:hAnsi="宋体" w:cs="宋体"/>
                <w:kern w:val="0"/>
                <w:sz w:val="20"/>
                <w:szCs w:val="20"/>
              </w:rPr>
            </w:pPr>
            <w:r>
              <w:rPr>
                <w:rFonts w:hint="eastAsia" w:ascii="宋体" w:hAnsi="宋体" w:cs="宋体"/>
                <w:kern w:val="0"/>
                <w:sz w:val="20"/>
                <w:szCs w:val="20"/>
              </w:rPr>
              <w:t>温州隆轩实业有限公司</w:t>
            </w:r>
          </w:p>
        </w:tc>
      </w:tr>
      <w:tr w14:paraId="47314FAB">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AEC7D5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37 </w:t>
            </w:r>
          </w:p>
        </w:tc>
        <w:tc>
          <w:tcPr>
            <w:tcW w:w="4337" w:type="pct"/>
            <w:tcBorders>
              <w:top w:val="nil"/>
              <w:left w:val="nil"/>
              <w:bottom w:val="single" w:color="808080" w:sz="8" w:space="0"/>
              <w:right w:val="single" w:color="808080" w:sz="8" w:space="0"/>
            </w:tcBorders>
            <w:shd w:val="clear" w:color="auto" w:fill="auto"/>
            <w:vAlign w:val="center"/>
          </w:tcPr>
          <w:p w14:paraId="7946C3BA">
            <w:pPr>
              <w:widowControl/>
              <w:jc w:val="center"/>
              <w:rPr>
                <w:rFonts w:ascii="宋体" w:hAnsi="宋体" w:cs="宋体"/>
                <w:kern w:val="0"/>
                <w:sz w:val="20"/>
                <w:szCs w:val="20"/>
              </w:rPr>
            </w:pPr>
            <w:r>
              <w:rPr>
                <w:rFonts w:hint="eastAsia" w:ascii="宋体" w:hAnsi="宋体" w:cs="宋体"/>
                <w:kern w:val="0"/>
                <w:sz w:val="20"/>
                <w:szCs w:val="20"/>
              </w:rPr>
              <w:t>平阳县兴兴建材有限公司</w:t>
            </w:r>
          </w:p>
        </w:tc>
      </w:tr>
      <w:tr w14:paraId="06327630">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250556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38 </w:t>
            </w:r>
          </w:p>
        </w:tc>
        <w:tc>
          <w:tcPr>
            <w:tcW w:w="4337" w:type="pct"/>
            <w:tcBorders>
              <w:top w:val="nil"/>
              <w:left w:val="nil"/>
              <w:bottom w:val="single" w:color="808080" w:sz="8" w:space="0"/>
              <w:right w:val="single" w:color="808080" w:sz="8" w:space="0"/>
            </w:tcBorders>
            <w:shd w:val="clear" w:color="auto" w:fill="auto"/>
            <w:vAlign w:val="center"/>
          </w:tcPr>
          <w:p w14:paraId="54139FD6">
            <w:pPr>
              <w:widowControl/>
              <w:jc w:val="center"/>
              <w:rPr>
                <w:rFonts w:ascii="宋体" w:hAnsi="宋体" w:cs="宋体"/>
                <w:kern w:val="0"/>
                <w:sz w:val="20"/>
                <w:szCs w:val="20"/>
              </w:rPr>
            </w:pPr>
            <w:r>
              <w:rPr>
                <w:rFonts w:hint="eastAsia" w:ascii="宋体" w:hAnsi="宋体" w:cs="宋体"/>
                <w:kern w:val="0"/>
                <w:sz w:val="20"/>
                <w:szCs w:val="20"/>
              </w:rPr>
              <w:t>平阳县鳌江港口开发有限公司</w:t>
            </w:r>
          </w:p>
        </w:tc>
      </w:tr>
      <w:tr w14:paraId="4B0FCC9E">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B096A2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39 </w:t>
            </w:r>
          </w:p>
        </w:tc>
        <w:tc>
          <w:tcPr>
            <w:tcW w:w="4337" w:type="pct"/>
            <w:tcBorders>
              <w:top w:val="nil"/>
              <w:left w:val="nil"/>
              <w:bottom w:val="single" w:color="808080" w:sz="8" w:space="0"/>
              <w:right w:val="single" w:color="808080" w:sz="8" w:space="0"/>
            </w:tcBorders>
            <w:shd w:val="clear" w:color="auto" w:fill="auto"/>
            <w:vAlign w:val="center"/>
          </w:tcPr>
          <w:p w14:paraId="05AA5BD7">
            <w:pPr>
              <w:widowControl/>
              <w:jc w:val="center"/>
              <w:rPr>
                <w:rFonts w:ascii="宋体" w:hAnsi="宋体" w:cs="宋体"/>
                <w:kern w:val="0"/>
                <w:sz w:val="20"/>
                <w:szCs w:val="20"/>
              </w:rPr>
            </w:pPr>
            <w:r>
              <w:rPr>
                <w:rFonts w:hint="eastAsia" w:ascii="宋体" w:hAnsi="宋体" w:cs="宋体"/>
                <w:kern w:val="0"/>
                <w:sz w:val="20"/>
                <w:szCs w:val="20"/>
              </w:rPr>
              <w:t>安澜渡口</w:t>
            </w:r>
          </w:p>
        </w:tc>
      </w:tr>
      <w:tr w14:paraId="1D38DAAB">
        <w:tblPrEx>
          <w:tblCellMar>
            <w:top w:w="0" w:type="dxa"/>
            <w:left w:w="108" w:type="dxa"/>
            <w:bottom w:w="0" w:type="dxa"/>
            <w:right w:w="108" w:type="dxa"/>
          </w:tblCellMar>
        </w:tblPrEx>
        <w:trPr>
          <w:trHeight w:val="240"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127FE4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40 </w:t>
            </w:r>
          </w:p>
        </w:tc>
        <w:tc>
          <w:tcPr>
            <w:tcW w:w="4337" w:type="pct"/>
            <w:tcBorders>
              <w:top w:val="nil"/>
              <w:left w:val="nil"/>
              <w:bottom w:val="single" w:color="808080" w:sz="8" w:space="0"/>
              <w:right w:val="single" w:color="808080" w:sz="8" w:space="0"/>
            </w:tcBorders>
            <w:shd w:val="clear" w:color="auto" w:fill="auto"/>
            <w:vAlign w:val="center"/>
          </w:tcPr>
          <w:p w14:paraId="1D9AE514">
            <w:pPr>
              <w:widowControl/>
              <w:jc w:val="center"/>
              <w:rPr>
                <w:rFonts w:ascii="宋体" w:hAnsi="宋体" w:cs="宋体"/>
                <w:kern w:val="0"/>
                <w:sz w:val="20"/>
                <w:szCs w:val="20"/>
              </w:rPr>
            </w:pPr>
            <w:r>
              <w:rPr>
                <w:rFonts w:hint="eastAsia" w:ascii="宋体" w:hAnsi="宋体" w:cs="宋体"/>
                <w:kern w:val="0"/>
                <w:sz w:val="20"/>
                <w:szCs w:val="20"/>
              </w:rPr>
              <w:t>江心屿码头南岸</w:t>
            </w:r>
          </w:p>
        </w:tc>
      </w:tr>
      <w:tr w14:paraId="20CBF197">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0F6ED66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41 </w:t>
            </w:r>
          </w:p>
        </w:tc>
        <w:tc>
          <w:tcPr>
            <w:tcW w:w="4337" w:type="pct"/>
            <w:tcBorders>
              <w:top w:val="nil"/>
              <w:left w:val="nil"/>
              <w:bottom w:val="single" w:color="808080" w:sz="8" w:space="0"/>
              <w:right w:val="single" w:color="808080" w:sz="8" w:space="0"/>
            </w:tcBorders>
            <w:shd w:val="clear" w:color="auto" w:fill="auto"/>
            <w:vAlign w:val="center"/>
          </w:tcPr>
          <w:p w14:paraId="0F876F26">
            <w:pPr>
              <w:widowControl/>
              <w:jc w:val="center"/>
              <w:rPr>
                <w:rFonts w:ascii="宋体" w:hAnsi="宋体" w:cs="宋体"/>
                <w:kern w:val="0"/>
                <w:sz w:val="20"/>
                <w:szCs w:val="20"/>
              </w:rPr>
            </w:pPr>
            <w:r>
              <w:rPr>
                <w:rFonts w:hint="eastAsia" w:ascii="宋体" w:hAnsi="宋体" w:cs="宋体"/>
                <w:kern w:val="0"/>
                <w:sz w:val="20"/>
                <w:szCs w:val="20"/>
              </w:rPr>
              <w:t>大门镇潭头渡口</w:t>
            </w:r>
          </w:p>
        </w:tc>
      </w:tr>
      <w:tr w14:paraId="5617DCC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ADA9DF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42 </w:t>
            </w:r>
          </w:p>
        </w:tc>
        <w:tc>
          <w:tcPr>
            <w:tcW w:w="4337" w:type="pct"/>
            <w:tcBorders>
              <w:top w:val="nil"/>
              <w:left w:val="nil"/>
              <w:bottom w:val="single" w:color="808080" w:sz="8" w:space="0"/>
              <w:right w:val="single" w:color="808080" w:sz="8" w:space="0"/>
            </w:tcBorders>
            <w:shd w:val="clear" w:color="auto" w:fill="auto"/>
            <w:vAlign w:val="center"/>
          </w:tcPr>
          <w:p w14:paraId="0F283E02">
            <w:pPr>
              <w:widowControl/>
              <w:jc w:val="center"/>
              <w:rPr>
                <w:rFonts w:ascii="宋体" w:hAnsi="宋体" w:cs="宋体"/>
                <w:kern w:val="0"/>
                <w:sz w:val="20"/>
                <w:szCs w:val="20"/>
              </w:rPr>
            </w:pPr>
            <w:r>
              <w:rPr>
                <w:rFonts w:hint="eastAsia" w:ascii="宋体" w:hAnsi="宋体" w:cs="宋体"/>
                <w:kern w:val="0"/>
                <w:sz w:val="20"/>
                <w:szCs w:val="20"/>
              </w:rPr>
              <w:t>瓯北客运码头</w:t>
            </w:r>
          </w:p>
        </w:tc>
      </w:tr>
      <w:tr w14:paraId="5301EFA3">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EAF042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43 </w:t>
            </w:r>
          </w:p>
        </w:tc>
        <w:tc>
          <w:tcPr>
            <w:tcW w:w="4337" w:type="pct"/>
            <w:tcBorders>
              <w:top w:val="nil"/>
              <w:left w:val="nil"/>
              <w:bottom w:val="single" w:color="808080" w:sz="8" w:space="0"/>
              <w:right w:val="single" w:color="808080" w:sz="8" w:space="0"/>
            </w:tcBorders>
            <w:shd w:val="clear" w:color="auto" w:fill="auto"/>
            <w:vAlign w:val="center"/>
          </w:tcPr>
          <w:p w14:paraId="65B7DC60">
            <w:pPr>
              <w:widowControl/>
              <w:jc w:val="center"/>
              <w:rPr>
                <w:rFonts w:ascii="宋体" w:hAnsi="宋体" w:cs="宋体"/>
                <w:kern w:val="0"/>
                <w:sz w:val="20"/>
                <w:szCs w:val="20"/>
              </w:rPr>
            </w:pPr>
            <w:r>
              <w:rPr>
                <w:rFonts w:hint="eastAsia" w:ascii="宋体" w:hAnsi="宋体" w:cs="宋体"/>
                <w:kern w:val="0"/>
                <w:sz w:val="20"/>
                <w:szCs w:val="20"/>
              </w:rPr>
              <w:t>永嘉太平岩渡口</w:t>
            </w:r>
          </w:p>
        </w:tc>
      </w:tr>
      <w:tr w14:paraId="23B059F2">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9478A37">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44 </w:t>
            </w:r>
          </w:p>
        </w:tc>
        <w:tc>
          <w:tcPr>
            <w:tcW w:w="4337" w:type="pct"/>
            <w:tcBorders>
              <w:top w:val="nil"/>
              <w:left w:val="nil"/>
              <w:bottom w:val="single" w:color="808080" w:sz="8" w:space="0"/>
              <w:right w:val="single" w:color="808080" w:sz="8" w:space="0"/>
            </w:tcBorders>
            <w:shd w:val="clear" w:color="auto" w:fill="auto"/>
            <w:vAlign w:val="center"/>
          </w:tcPr>
          <w:p w14:paraId="05AFA142">
            <w:pPr>
              <w:widowControl/>
              <w:jc w:val="center"/>
              <w:rPr>
                <w:rFonts w:ascii="宋体" w:hAnsi="宋体" w:cs="宋体"/>
                <w:kern w:val="0"/>
                <w:sz w:val="20"/>
                <w:szCs w:val="20"/>
              </w:rPr>
            </w:pPr>
            <w:r>
              <w:rPr>
                <w:rFonts w:hint="eastAsia" w:ascii="宋体" w:hAnsi="宋体" w:cs="宋体"/>
                <w:kern w:val="0"/>
                <w:sz w:val="20"/>
                <w:szCs w:val="20"/>
              </w:rPr>
              <w:t>飞云渡口南岸</w:t>
            </w:r>
          </w:p>
        </w:tc>
      </w:tr>
      <w:tr w14:paraId="3E71AE95">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A8215D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45 </w:t>
            </w:r>
          </w:p>
        </w:tc>
        <w:tc>
          <w:tcPr>
            <w:tcW w:w="4337" w:type="pct"/>
            <w:tcBorders>
              <w:top w:val="nil"/>
              <w:left w:val="nil"/>
              <w:bottom w:val="single" w:color="808080" w:sz="8" w:space="0"/>
              <w:right w:val="single" w:color="808080" w:sz="8" w:space="0"/>
            </w:tcBorders>
            <w:shd w:val="clear" w:color="auto" w:fill="auto"/>
            <w:vAlign w:val="center"/>
          </w:tcPr>
          <w:p w14:paraId="3C739B90">
            <w:pPr>
              <w:widowControl/>
              <w:jc w:val="center"/>
              <w:rPr>
                <w:rFonts w:ascii="宋体" w:hAnsi="宋体" w:cs="宋体"/>
                <w:kern w:val="0"/>
                <w:sz w:val="20"/>
                <w:szCs w:val="20"/>
              </w:rPr>
            </w:pPr>
            <w:r>
              <w:rPr>
                <w:rFonts w:hint="eastAsia" w:ascii="宋体" w:hAnsi="宋体" w:cs="宋体"/>
                <w:kern w:val="0"/>
                <w:sz w:val="20"/>
                <w:szCs w:val="20"/>
              </w:rPr>
              <w:t>霞关码头</w:t>
            </w:r>
          </w:p>
        </w:tc>
      </w:tr>
      <w:tr w14:paraId="6D8EAA51">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2240023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46 </w:t>
            </w:r>
          </w:p>
        </w:tc>
        <w:tc>
          <w:tcPr>
            <w:tcW w:w="4337" w:type="pct"/>
            <w:tcBorders>
              <w:top w:val="nil"/>
              <w:left w:val="nil"/>
              <w:bottom w:val="single" w:color="808080" w:sz="8" w:space="0"/>
              <w:right w:val="single" w:color="808080" w:sz="8" w:space="0"/>
            </w:tcBorders>
            <w:shd w:val="clear" w:color="auto" w:fill="auto"/>
            <w:vAlign w:val="center"/>
          </w:tcPr>
          <w:p w14:paraId="26FCCBCF">
            <w:pPr>
              <w:widowControl/>
              <w:jc w:val="center"/>
              <w:rPr>
                <w:rFonts w:ascii="宋体" w:hAnsi="宋体" w:cs="宋体"/>
                <w:kern w:val="0"/>
                <w:sz w:val="20"/>
                <w:szCs w:val="20"/>
              </w:rPr>
            </w:pPr>
            <w:r>
              <w:rPr>
                <w:rFonts w:hint="eastAsia" w:ascii="宋体" w:hAnsi="宋体" w:cs="宋体"/>
                <w:kern w:val="0"/>
                <w:sz w:val="20"/>
                <w:szCs w:val="20"/>
              </w:rPr>
              <w:t>吴家园水库</w:t>
            </w:r>
          </w:p>
        </w:tc>
      </w:tr>
      <w:tr w14:paraId="7FE1EC28">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09DABFC3">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47 </w:t>
            </w:r>
          </w:p>
        </w:tc>
        <w:tc>
          <w:tcPr>
            <w:tcW w:w="4337" w:type="pct"/>
            <w:tcBorders>
              <w:top w:val="nil"/>
              <w:left w:val="nil"/>
              <w:bottom w:val="single" w:color="808080" w:sz="8" w:space="0"/>
              <w:right w:val="single" w:color="808080" w:sz="8" w:space="0"/>
            </w:tcBorders>
            <w:shd w:val="clear" w:color="auto" w:fill="auto"/>
            <w:vAlign w:val="center"/>
          </w:tcPr>
          <w:p w14:paraId="1BCB1FD2">
            <w:pPr>
              <w:widowControl/>
              <w:jc w:val="center"/>
              <w:rPr>
                <w:rFonts w:ascii="宋体" w:hAnsi="宋体" w:cs="宋体"/>
                <w:kern w:val="0"/>
                <w:sz w:val="20"/>
                <w:szCs w:val="20"/>
              </w:rPr>
            </w:pPr>
            <w:r>
              <w:rPr>
                <w:rFonts w:hint="eastAsia" w:ascii="宋体" w:hAnsi="宋体" w:cs="宋体"/>
                <w:kern w:val="0"/>
                <w:sz w:val="20"/>
                <w:szCs w:val="20"/>
              </w:rPr>
              <w:t>苍南县炎亭东沙码头</w:t>
            </w:r>
          </w:p>
        </w:tc>
      </w:tr>
      <w:tr w14:paraId="6A1E8F7F">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AFE4F0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48 </w:t>
            </w:r>
          </w:p>
        </w:tc>
        <w:tc>
          <w:tcPr>
            <w:tcW w:w="4337" w:type="pct"/>
            <w:tcBorders>
              <w:top w:val="nil"/>
              <w:left w:val="nil"/>
              <w:bottom w:val="single" w:color="808080" w:sz="8" w:space="0"/>
              <w:right w:val="single" w:color="808080" w:sz="8" w:space="0"/>
            </w:tcBorders>
            <w:shd w:val="clear" w:color="auto" w:fill="auto"/>
            <w:vAlign w:val="center"/>
          </w:tcPr>
          <w:p w14:paraId="54BCC80E">
            <w:pPr>
              <w:widowControl/>
              <w:jc w:val="center"/>
              <w:rPr>
                <w:rFonts w:ascii="宋体" w:hAnsi="宋体" w:cs="宋体"/>
                <w:kern w:val="0"/>
                <w:sz w:val="20"/>
                <w:szCs w:val="20"/>
              </w:rPr>
            </w:pPr>
            <w:r>
              <w:rPr>
                <w:rFonts w:hint="eastAsia" w:ascii="宋体" w:hAnsi="宋体" w:cs="宋体"/>
                <w:kern w:val="0"/>
                <w:sz w:val="20"/>
                <w:szCs w:val="20"/>
              </w:rPr>
              <w:t>温州市域铁路S3线一期工程</w:t>
            </w:r>
          </w:p>
        </w:tc>
      </w:tr>
      <w:tr w14:paraId="1650E65E">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80E5351">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49 </w:t>
            </w:r>
          </w:p>
        </w:tc>
        <w:tc>
          <w:tcPr>
            <w:tcW w:w="4337" w:type="pct"/>
            <w:tcBorders>
              <w:top w:val="nil"/>
              <w:left w:val="nil"/>
              <w:bottom w:val="single" w:color="808080" w:sz="8" w:space="0"/>
              <w:right w:val="single" w:color="808080" w:sz="8" w:space="0"/>
            </w:tcBorders>
            <w:shd w:val="clear" w:color="auto" w:fill="auto"/>
            <w:vAlign w:val="center"/>
          </w:tcPr>
          <w:p w14:paraId="5BC3A8CD">
            <w:pPr>
              <w:widowControl/>
              <w:jc w:val="center"/>
              <w:rPr>
                <w:rFonts w:ascii="宋体" w:hAnsi="宋体" w:cs="宋体"/>
                <w:kern w:val="0"/>
                <w:sz w:val="20"/>
                <w:szCs w:val="20"/>
              </w:rPr>
            </w:pPr>
            <w:r>
              <w:rPr>
                <w:rFonts w:hint="eastAsia" w:ascii="宋体" w:hAnsi="宋体" w:cs="宋体"/>
                <w:kern w:val="0"/>
                <w:sz w:val="20"/>
                <w:szCs w:val="20"/>
              </w:rPr>
              <w:t>苍南至泰顺高速公路</w:t>
            </w:r>
          </w:p>
        </w:tc>
      </w:tr>
      <w:tr w14:paraId="43C57BF7">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5E6D15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50 </w:t>
            </w:r>
          </w:p>
        </w:tc>
        <w:tc>
          <w:tcPr>
            <w:tcW w:w="4337" w:type="pct"/>
            <w:tcBorders>
              <w:top w:val="nil"/>
              <w:left w:val="nil"/>
              <w:bottom w:val="single" w:color="808080" w:sz="8" w:space="0"/>
              <w:right w:val="single" w:color="808080" w:sz="8" w:space="0"/>
            </w:tcBorders>
            <w:shd w:val="clear" w:color="auto" w:fill="auto"/>
            <w:vAlign w:val="center"/>
          </w:tcPr>
          <w:p w14:paraId="5429B036">
            <w:pPr>
              <w:widowControl/>
              <w:jc w:val="center"/>
              <w:rPr>
                <w:rFonts w:ascii="宋体" w:hAnsi="宋体" w:cs="宋体"/>
                <w:kern w:val="0"/>
                <w:sz w:val="20"/>
                <w:szCs w:val="20"/>
              </w:rPr>
            </w:pPr>
            <w:r>
              <w:rPr>
                <w:rFonts w:hint="eastAsia" w:ascii="宋体" w:hAnsi="宋体" w:cs="宋体"/>
                <w:kern w:val="0"/>
                <w:sz w:val="20"/>
                <w:szCs w:val="20"/>
              </w:rPr>
              <w:t>甬台温高速公路复线瑞安联络线</w:t>
            </w:r>
          </w:p>
        </w:tc>
      </w:tr>
    </w:tbl>
    <w:p w14:paraId="7146F2B9">
      <w:pPr>
        <w:pStyle w:val="76"/>
        <w:numPr>
          <w:ilvl w:val="0"/>
          <w:numId w:val="34"/>
        </w:numPr>
        <w:rPr>
          <w:rFonts w:hint="eastAsia"/>
          <w:lang w:val="en-US" w:eastAsia="zh-CN"/>
        </w:rPr>
      </w:pPr>
      <w:r>
        <w:rPr>
          <w:rFonts w:hint="eastAsia"/>
          <w:lang w:val="en-US" w:eastAsia="zh-CN"/>
        </w:rPr>
        <w:t>高速服务区监测及气象监测</w:t>
      </w:r>
    </w:p>
    <w:tbl>
      <w:tblPr>
        <w:tblStyle w:val="57"/>
        <w:tblpPr w:leftFromText="180" w:rightFromText="180" w:vertAnchor="text" w:horzAnchor="page" w:tblpXSpec="center" w:tblpY="294"/>
        <w:tblOverlap w:val="never"/>
        <w:tblW w:w="4999" w:type="pct"/>
        <w:jc w:val="center"/>
        <w:tblLayout w:type="autofit"/>
        <w:tblCellMar>
          <w:top w:w="0" w:type="dxa"/>
          <w:left w:w="108" w:type="dxa"/>
          <w:bottom w:w="0" w:type="dxa"/>
          <w:right w:w="108" w:type="dxa"/>
        </w:tblCellMar>
      </w:tblPr>
      <w:tblGrid>
        <w:gridCol w:w="1305"/>
        <w:gridCol w:w="8547"/>
      </w:tblGrid>
      <w:tr w14:paraId="0EFD7731">
        <w:trPr>
          <w:trHeight w:val="312" w:hRule="atLeast"/>
          <w:jc w:val="center"/>
        </w:trPr>
        <w:tc>
          <w:tcPr>
            <w:tcW w:w="662" w:type="pct"/>
            <w:vMerge w:val="restart"/>
            <w:tcBorders>
              <w:top w:val="single" w:color="808080" w:sz="8" w:space="0"/>
              <w:left w:val="single" w:color="auto" w:sz="8" w:space="0"/>
              <w:bottom w:val="single" w:color="808080" w:sz="8" w:space="0"/>
              <w:right w:val="single" w:color="808080" w:sz="8" w:space="0"/>
            </w:tcBorders>
            <w:shd w:val="clear" w:color="auto" w:fill="auto"/>
            <w:vAlign w:val="center"/>
          </w:tcPr>
          <w:p w14:paraId="1BBBBE82">
            <w:pPr>
              <w:widowControl/>
              <w:jc w:val="center"/>
              <w:rPr>
                <w:rFonts w:ascii="黑体" w:hAnsi="黑体" w:eastAsia="黑体" w:cs="宋体"/>
                <w:b/>
                <w:bCs/>
                <w:kern w:val="0"/>
                <w:sz w:val="24"/>
              </w:rPr>
            </w:pPr>
            <w:r>
              <w:rPr>
                <w:rFonts w:hint="eastAsia" w:ascii="黑体" w:hAnsi="黑体" w:eastAsia="黑体" w:cs="宋体"/>
                <w:b/>
                <w:bCs/>
                <w:kern w:val="0"/>
                <w:sz w:val="24"/>
              </w:rPr>
              <w:t>序号</w:t>
            </w:r>
          </w:p>
        </w:tc>
        <w:tc>
          <w:tcPr>
            <w:tcW w:w="4337" w:type="pct"/>
            <w:vMerge w:val="restart"/>
            <w:tcBorders>
              <w:top w:val="single" w:color="808080" w:sz="8" w:space="0"/>
              <w:left w:val="single" w:color="808080" w:sz="8" w:space="0"/>
              <w:bottom w:val="single" w:color="808080" w:sz="8" w:space="0"/>
              <w:right w:val="single" w:color="808080" w:sz="8" w:space="0"/>
            </w:tcBorders>
            <w:shd w:val="clear" w:color="auto" w:fill="auto"/>
            <w:vAlign w:val="center"/>
          </w:tcPr>
          <w:p w14:paraId="2B5FE9EF">
            <w:pPr>
              <w:widowControl/>
              <w:jc w:val="center"/>
              <w:rPr>
                <w:rFonts w:ascii="黑体" w:hAnsi="黑体" w:eastAsia="黑体" w:cs="宋体"/>
                <w:b/>
                <w:bCs/>
                <w:kern w:val="0"/>
                <w:sz w:val="24"/>
              </w:rPr>
            </w:pPr>
            <w:r>
              <w:rPr>
                <w:rFonts w:hint="eastAsia" w:ascii="黑体" w:hAnsi="黑体" w:eastAsia="黑体" w:cs="宋体"/>
                <w:b/>
                <w:bCs/>
                <w:kern w:val="0"/>
                <w:sz w:val="24"/>
              </w:rPr>
              <w:t>点位名称</w:t>
            </w:r>
          </w:p>
        </w:tc>
      </w:tr>
      <w:tr w14:paraId="0A180DC5">
        <w:tblPrEx>
          <w:tblCellMar>
            <w:top w:w="0" w:type="dxa"/>
            <w:left w:w="108" w:type="dxa"/>
            <w:bottom w:w="0" w:type="dxa"/>
            <w:right w:w="108" w:type="dxa"/>
          </w:tblCellMar>
        </w:tblPrEx>
        <w:trPr>
          <w:trHeight w:val="312" w:hRule="atLeast"/>
          <w:jc w:val="center"/>
        </w:trPr>
        <w:tc>
          <w:tcPr>
            <w:tcW w:w="662" w:type="pct"/>
            <w:vMerge w:val="continue"/>
            <w:tcBorders>
              <w:top w:val="single" w:color="808080" w:sz="8" w:space="0"/>
              <w:left w:val="single" w:color="auto" w:sz="8" w:space="0"/>
              <w:bottom w:val="single" w:color="808080" w:sz="8" w:space="0"/>
              <w:right w:val="single" w:color="808080" w:sz="8" w:space="0"/>
            </w:tcBorders>
            <w:vAlign w:val="center"/>
          </w:tcPr>
          <w:p w14:paraId="1063C9E7">
            <w:pPr>
              <w:widowControl/>
              <w:jc w:val="left"/>
              <w:rPr>
                <w:rFonts w:ascii="黑体" w:hAnsi="黑体" w:eastAsia="黑体" w:cs="宋体"/>
                <w:b/>
                <w:bCs/>
                <w:kern w:val="0"/>
                <w:sz w:val="24"/>
              </w:rPr>
            </w:pPr>
          </w:p>
        </w:tc>
        <w:tc>
          <w:tcPr>
            <w:tcW w:w="4337" w:type="pct"/>
            <w:vMerge w:val="continue"/>
            <w:tcBorders>
              <w:top w:val="single" w:color="808080" w:sz="8" w:space="0"/>
              <w:left w:val="single" w:color="808080" w:sz="8" w:space="0"/>
              <w:bottom w:val="single" w:color="808080" w:sz="8" w:space="0"/>
              <w:right w:val="single" w:color="808080" w:sz="8" w:space="0"/>
            </w:tcBorders>
            <w:vAlign w:val="center"/>
          </w:tcPr>
          <w:p w14:paraId="006E5377">
            <w:pPr>
              <w:widowControl/>
              <w:jc w:val="left"/>
              <w:rPr>
                <w:rFonts w:ascii="黑体" w:hAnsi="黑体" w:eastAsia="黑体" w:cs="宋体"/>
                <w:b/>
                <w:bCs/>
                <w:kern w:val="0"/>
                <w:sz w:val="24"/>
              </w:rPr>
            </w:pPr>
          </w:p>
        </w:tc>
      </w:tr>
      <w:tr w14:paraId="1A3067DE">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08B796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4337" w:type="pct"/>
            <w:tcBorders>
              <w:top w:val="nil"/>
              <w:left w:val="nil"/>
              <w:bottom w:val="single" w:color="808080" w:sz="8" w:space="0"/>
              <w:right w:val="single" w:color="808080" w:sz="8" w:space="0"/>
            </w:tcBorders>
            <w:shd w:val="clear" w:color="auto" w:fill="auto"/>
            <w:vAlign w:val="center"/>
          </w:tcPr>
          <w:p w14:paraId="37B3214A">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温州南3号</w:t>
            </w:r>
          </w:p>
        </w:tc>
      </w:tr>
      <w:tr w14:paraId="75A3985B">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920695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4337" w:type="pct"/>
            <w:tcBorders>
              <w:top w:val="nil"/>
              <w:left w:val="nil"/>
              <w:bottom w:val="single" w:color="808080" w:sz="8" w:space="0"/>
              <w:right w:val="single" w:color="808080" w:sz="8" w:space="0"/>
            </w:tcBorders>
            <w:shd w:val="clear" w:color="auto" w:fill="auto"/>
            <w:vAlign w:val="center"/>
          </w:tcPr>
          <w:p w14:paraId="089D4C44">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温州南1号</w:t>
            </w:r>
          </w:p>
        </w:tc>
      </w:tr>
      <w:tr w14:paraId="6289A166">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0ED291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4337" w:type="pct"/>
            <w:tcBorders>
              <w:top w:val="nil"/>
              <w:left w:val="nil"/>
              <w:bottom w:val="single" w:color="808080" w:sz="8" w:space="0"/>
              <w:right w:val="single" w:color="808080" w:sz="8" w:space="0"/>
            </w:tcBorders>
            <w:shd w:val="clear" w:color="auto" w:fill="auto"/>
            <w:vAlign w:val="center"/>
          </w:tcPr>
          <w:p w14:paraId="52BFD840">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温州南2号</w:t>
            </w:r>
          </w:p>
        </w:tc>
      </w:tr>
      <w:tr w14:paraId="6DBA676F">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D0E6087">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4337" w:type="pct"/>
            <w:tcBorders>
              <w:top w:val="nil"/>
              <w:left w:val="nil"/>
              <w:bottom w:val="single" w:color="808080" w:sz="8" w:space="0"/>
              <w:right w:val="single" w:color="808080" w:sz="8" w:space="0"/>
            </w:tcBorders>
            <w:shd w:val="clear" w:color="auto" w:fill="auto"/>
            <w:vAlign w:val="center"/>
          </w:tcPr>
          <w:p w14:paraId="239B2A92">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清江服务区(温州方向)1</w:t>
            </w:r>
          </w:p>
        </w:tc>
      </w:tr>
      <w:tr w14:paraId="7B31515C">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6FB9111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4337" w:type="pct"/>
            <w:tcBorders>
              <w:top w:val="nil"/>
              <w:left w:val="nil"/>
              <w:bottom w:val="single" w:color="808080" w:sz="8" w:space="0"/>
              <w:right w:val="single" w:color="808080" w:sz="8" w:space="0"/>
            </w:tcBorders>
            <w:shd w:val="clear" w:color="auto" w:fill="auto"/>
            <w:vAlign w:val="center"/>
          </w:tcPr>
          <w:p w14:paraId="4C4CA7D7">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清江服务区(温州方向)2</w:t>
            </w:r>
          </w:p>
        </w:tc>
      </w:tr>
      <w:tr w14:paraId="78C183CA">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CFFBF29">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4337" w:type="pct"/>
            <w:tcBorders>
              <w:top w:val="nil"/>
              <w:left w:val="nil"/>
              <w:bottom w:val="single" w:color="808080" w:sz="8" w:space="0"/>
              <w:right w:val="single" w:color="808080" w:sz="8" w:space="0"/>
            </w:tcBorders>
            <w:shd w:val="clear" w:color="auto" w:fill="auto"/>
            <w:vAlign w:val="center"/>
          </w:tcPr>
          <w:p w14:paraId="713852CC">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清江服务区(温州方向)3</w:t>
            </w:r>
          </w:p>
        </w:tc>
      </w:tr>
      <w:tr w14:paraId="7A64A1AA">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652A72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4337" w:type="pct"/>
            <w:tcBorders>
              <w:top w:val="nil"/>
              <w:left w:val="nil"/>
              <w:bottom w:val="single" w:color="808080" w:sz="8" w:space="0"/>
              <w:right w:val="single" w:color="808080" w:sz="8" w:space="0"/>
            </w:tcBorders>
            <w:shd w:val="clear" w:color="auto" w:fill="auto"/>
            <w:vAlign w:val="center"/>
          </w:tcPr>
          <w:p w14:paraId="2C877AC1">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清江服务区(温州方向)4</w:t>
            </w:r>
          </w:p>
        </w:tc>
      </w:tr>
      <w:tr w14:paraId="64A60261">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6ADCDE7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4337" w:type="pct"/>
            <w:tcBorders>
              <w:top w:val="nil"/>
              <w:left w:val="nil"/>
              <w:bottom w:val="single" w:color="808080" w:sz="8" w:space="0"/>
              <w:right w:val="single" w:color="808080" w:sz="8" w:space="0"/>
            </w:tcBorders>
            <w:shd w:val="clear" w:color="auto" w:fill="auto"/>
            <w:vAlign w:val="center"/>
          </w:tcPr>
          <w:p w14:paraId="57F8DA18">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清江服务区(温州方向)5</w:t>
            </w:r>
          </w:p>
        </w:tc>
      </w:tr>
      <w:tr w14:paraId="1273BB13">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6CABCB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4337" w:type="pct"/>
            <w:tcBorders>
              <w:top w:val="nil"/>
              <w:left w:val="nil"/>
              <w:bottom w:val="single" w:color="808080" w:sz="8" w:space="0"/>
              <w:right w:val="single" w:color="808080" w:sz="8" w:space="0"/>
            </w:tcBorders>
            <w:shd w:val="clear" w:color="auto" w:fill="auto"/>
            <w:vAlign w:val="center"/>
          </w:tcPr>
          <w:p w14:paraId="4CF054D1">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清江服务区(乐清方向)1</w:t>
            </w:r>
          </w:p>
        </w:tc>
      </w:tr>
      <w:tr w14:paraId="4EFADA43">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0E6FEE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4337" w:type="pct"/>
            <w:tcBorders>
              <w:top w:val="nil"/>
              <w:left w:val="nil"/>
              <w:bottom w:val="single" w:color="808080" w:sz="8" w:space="0"/>
              <w:right w:val="single" w:color="808080" w:sz="8" w:space="0"/>
            </w:tcBorders>
            <w:shd w:val="clear" w:color="auto" w:fill="auto"/>
            <w:vAlign w:val="center"/>
          </w:tcPr>
          <w:p w14:paraId="5025CC95">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清江服务区(乐清方向)2</w:t>
            </w:r>
          </w:p>
        </w:tc>
      </w:tr>
      <w:tr w14:paraId="73FC2BF9">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41D41BE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11 </w:t>
            </w:r>
          </w:p>
        </w:tc>
        <w:tc>
          <w:tcPr>
            <w:tcW w:w="4337" w:type="pct"/>
            <w:tcBorders>
              <w:top w:val="nil"/>
              <w:left w:val="nil"/>
              <w:bottom w:val="single" w:color="808080" w:sz="8" w:space="0"/>
              <w:right w:val="single" w:color="808080" w:sz="8" w:space="0"/>
            </w:tcBorders>
            <w:shd w:val="clear" w:color="auto" w:fill="auto"/>
            <w:vAlign w:val="center"/>
          </w:tcPr>
          <w:p w14:paraId="150BFD8A">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清江服务区(乐清方向)3</w:t>
            </w:r>
          </w:p>
        </w:tc>
      </w:tr>
      <w:tr w14:paraId="71B9C423">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29690AD0">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12 </w:t>
            </w:r>
          </w:p>
        </w:tc>
        <w:tc>
          <w:tcPr>
            <w:tcW w:w="4337" w:type="pct"/>
            <w:tcBorders>
              <w:top w:val="nil"/>
              <w:left w:val="nil"/>
              <w:bottom w:val="single" w:color="808080" w:sz="8" w:space="0"/>
              <w:right w:val="single" w:color="808080" w:sz="8" w:space="0"/>
            </w:tcBorders>
            <w:shd w:val="clear" w:color="auto" w:fill="auto"/>
            <w:vAlign w:val="center"/>
          </w:tcPr>
          <w:p w14:paraId="0B011FB8">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清江服务区(乐清方向)4</w:t>
            </w:r>
          </w:p>
        </w:tc>
      </w:tr>
      <w:tr w14:paraId="3BF75E3C">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067E8A3">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13 </w:t>
            </w:r>
          </w:p>
        </w:tc>
        <w:tc>
          <w:tcPr>
            <w:tcW w:w="4337" w:type="pct"/>
            <w:tcBorders>
              <w:top w:val="nil"/>
              <w:left w:val="nil"/>
              <w:bottom w:val="single" w:color="808080" w:sz="8" w:space="0"/>
              <w:right w:val="single" w:color="808080" w:sz="8" w:space="0"/>
            </w:tcBorders>
            <w:shd w:val="clear" w:color="auto" w:fill="auto"/>
            <w:vAlign w:val="center"/>
          </w:tcPr>
          <w:p w14:paraId="71519FD2">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清江服务区(乐清方向)5</w:t>
            </w:r>
          </w:p>
        </w:tc>
      </w:tr>
      <w:tr w14:paraId="250641E7">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4C00BA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14 </w:t>
            </w:r>
          </w:p>
        </w:tc>
        <w:tc>
          <w:tcPr>
            <w:tcW w:w="4337" w:type="pct"/>
            <w:tcBorders>
              <w:top w:val="nil"/>
              <w:left w:val="nil"/>
              <w:bottom w:val="single" w:color="808080" w:sz="8" w:space="0"/>
              <w:right w:val="single" w:color="808080" w:sz="8" w:space="0"/>
            </w:tcBorders>
            <w:shd w:val="clear" w:color="auto" w:fill="auto"/>
            <w:vAlign w:val="center"/>
          </w:tcPr>
          <w:p w14:paraId="5357151D">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乐清停车区(温州方向)1</w:t>
            </w:r>
          </w:p>
        </w:tc>
      </w:tr>
      <w:tr w14:paraId="1DD8E73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A13C2E3">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15 </w:t>
            </w:r>
          </w:p>
        </w:tc>
        <w:tc>
          <w:tcPr>
            <w:tcW w:w="4337" w:type="pct"/>
            <w:tcBorders>
              <w:top w:val="nil"/>
              <w:left w:val="nil"/>
              <w:bottom w:val="single" w:color="808080" w:sz="8" w:space="0"/>
              <w:right w:val="single" w:color="808080" w:sz="8" w:space="0"/>
            </w:tcBorders>
            <w:shd w:val="clear" w:color="auto" w:fill="auto"/>
            <w:vAlign w:val="center"/>
          </w:tcPr>
          <w:p w14:paraId="62CF0A37">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乐清停车区(温州方向)2</w:t>
            </w:r>
          </w:p>
        </w:tc>
      </w:tr>
      <w:tr w14:paraId="4953020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2ECA149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16 </w:t>
            </w:r>
          </w:p>
        </w:tc>
        <w:tc>
          <w:tcPr>
            <w:tcW w:w="4337" w:type="pct"/>
            <w:tcBorders>
              <w:top w:val="nil"/>
              <w:left w:val="nil"/>
              <w:bottom w:val="single" w:color="808080" w:sz="8" w:space="0"/>
              <w:right w:val="single" w:color="808080" w:sz="8" w:space="0"/>
            </w:tcBorders>
            <w:shd w:val="clear" w:color="auto" w:fill="auto"/>
            <w:vAlign w:val="center"/>
          </w:tcPr>
          <w:p w14:paraId="0AB4C8E2">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乐清停车区(温州方向)3</w:t>
            </w:r>
          </w:p>
        </w:tc>
      </w:tr>
      <w:tr w14:paraId="7C6DC366">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1252B9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17 </w:t>
            </w:r>
          </w:p>
        </w:tc>
        <w:tc>
          <w:tcPr>
            <w:tcW w:w="4337" w:type="pct"/>
            <w:tcBorders>
              <w:top w:val="nil"/>
              <w:left w:val="nil"/>
              <w:bottom w:val="single" w:color="808080" w:sz="8" w:space="0"/>
              <w:right w:val="single" w:color="808080" w:sz="8" w:space="0"/>
            </w:tcBorders>
            <w:shd w:val="clear" w:color="auto" w:fill="auto"/>
            <w:vAlign w:val="center"/>
          </w:tcPr>
          <w:p w14:paraId="57D3D86B">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乐清停车区(温州方向)4</w:t>
            </w:r>
          </w:p>
        </w:tc>
      </w:tr>
      <w:tr w14:paraId="2DC212C6">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259779C1">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18 </w:t>
            </w:r>
          </w:p>
        </w:tc>
        <w:tc>
          <w:tcPr>
            <w:tcW w:w="4337" w:type="pct"/>
            <w:tcBorders>
              <w:top w:val="nil"/>
              <w:left w:val="nil"/>
              <w:bottom w:val="single" w:color="808080" w:sz="8" w:space="0"/>
              <w:right w:val="single" w:color="808080" w:sz="8" w:space="0"/>
            </w:tcBorders>
            <w:shd w:val="clear" w:color="auto" w:fill="auto"/>
            <w:vAlign w:val="center"/>
          </w:tcPr>
          <w:p w14:paraId="620098FD">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乐清停车区(温州方向)5</w:t>
            </w:r>
          </w:p>
        </w:tc>
      </w:tr>
      <w:tr w14:paraId="62372B9B">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6F4C30A5">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 </w:t>
            </w:r>
          </w:p>
        </w:tc>
        <w:tc>
          <w:tcPr>
            <w:tcW w:w="4337" w:type="pct"/>
            <w:tcBorders>
              <w:top w:val="nil"/>
              <w:left w:val="nil"/>
              <w:bottom w:val="single" w:color="808080" w:sz="8" w:space="0"/>
              <w:right w:val="single" w:color="808080" w:sz="8" w:space="0"/>
            </w:tcBorders>
            <w:shd w:val="clear" w:color="auto" w:fill="auto"/>
            <w:vAlign w:val="center"/>
          </w:tcPr>
          <w:p w14:paraId="5D4EB1E4">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乐清停车区(乐清方向)1</w:t>
            </w:r>
          </w:p>
        </w:tc>
      </w:tr>
      <w:tr w14:paraId="4CAD39A2">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7C3D4C56">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20 </w:t>
            </w:r>
          </w:p>
        </w:tc>
        <w:tc>
          <w:tcPr>
            <w:tcW w:w="4337" w:type="pct"/>
            <w:tcBorders>
              <w:top w:val="nil"/>
              <w:left w:val="nil"/>
              <w:bottom w:val="single" w:color="808080" w:sz="8" w:space="0"/>
              <w:right w:val="single" w:color="808080" w:sz="8" w:space="0"/>
            </w:tcBorders>
            <w:shd w:val="clear" w:color="auto" w:fill="auto"/>
            <w:vAlign w:val="center"/>
          </w:tcPr>
          <w:p w14:paraId="21EDC7D5">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乐清停车区(乐清方向)2</w:t>
            </w:r>
          </w:p>
        </w:tc>
      </w:tr>
      <w:tr w14:paraId="1123A23E">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354A26A8">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21 </w:t>
            </w:r>
          </w:p>
        </w:tc>
        <w:tc>
          <w:tcPr>
            <w:tcW w:w="4337" w:type="pct"/>
            <w:tcBorders>
              <w:top w:val="nil"/>
              <w:left w:val="nil"/>
              <w:bottom w:val="single" w:color="808080" w:sz="8" w:space="0"/>
              <w:right w:val="single" w:color="808080" w:sz="8" w:space="0"/>
            </w:tcBorders>
            <w:shd w:val="clear" w:color="auto" w:fill="auto"/>
            <w:vAlign w:val="center"/>
          </w:tcPr>
          <w:p w14:paraId="53A2F198">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乐清停车区(乐清方向)3</w:t>
            </w:r>
          </w:p>
        </w:tc>
      </w:tr>
      <w:tr w14:paraId="7A06C125">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07A23687">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22 </w:t>
            </w:r>
          </w:p>
        </w:tc>
        <w:tc>
          <w:tcPr>
            <w:tcW w:w="4337" w:type="pct"/>
            <w:tcBorders>
              <w:top w:val="nil"/>
              <w:left w:val="nil"/>
              <w:bottom w:val="single" w:color="808080" w:sz="8" w:space="0"/>
              <w:right w:val="single" w:color="808080" w:sz="8" w:space="0"/>
            </w:tcBorders>
            <w:shd w:val="clear" w:color="auto" w:fill="auto"/>
            <w:vAlign w:val="center"/>
          </w:tcPr>
          <w:p w14:paraId="03C8BB9A">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乐清停车区(乐清方向)4</w:t>
            </w:r>
          </w:p>
        </w:tc>
      </w:tr>
      <w:tr w14:paraId="271522C7">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5A44BED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23 </w:t>
            </w:r>
          </w:p>
        </w:tc>
        <w:tc>
          <w:tcPr>
            <w:tcW w:w="4337" w:type="pct"/>
            <w:tcBorders>
              <w:top w:val="nil"/>
              <w:left w:val="nil"/>
              <w:bottom w:val="single" w:color="808080" w:sz="8" w:space="0"/>
              <w:right w:val="single" w:color="808080" w:sz="8" w:space="0"/>
            </w:tcBorders>
            <w:shd w:val="clear" w:color="auto" w:fill="auto"/>
            <w:vAlign w:val="center"/>
          </w:tcPr>
          <w:p w14:paraId="1D35DBCE">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乐清停车区(乐清方向)5</w:t>
            </w:r>
          </w:p>
        </w:tc>
      </w:tr>
      <w:tr w14:paraId="0C97AF3D">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BB6A76C">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24 </w:t>
            </w:r>
          </w:p>
        </w:tc>
        <w:tc>
          <w:tcPr>
            <w:tcW w:w="4337" w:type="pct"/>
            <w:tcBorders>
              <w:top w:val="nil"/>
              <w:left w:val="nil"/>
              <w:bottom w:val="single" w:color="808080" w:sz="8" w:space="0"/>
              <w:right w:val="single" w:color="808080" w:sz="8" w:space="0"/>
            </w:tcBorders>
            <w:shd w:val="clear" w:color="auto" w:fill="auto"/>
            <w:vAlign w:val="center"/>
          </w:tcPr>
          <w:p w14:paraId="1267184B">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桥头服务区---温州方向1</w:t>
            </w:r>
          </w:p>
        </w:tc>
      </w:tr>
      <w:tr w14:paraId="2434BF59">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64337A8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25 </w:t>
            </w:r>
          </w:p>
        </w:tc>
        <w:tc>
          <w:tcPr>
            <w:tcW w:w="4337" w:type="pct"/>
            <w:tcBorders>
              <w:top w:val="nil"/>
              <w:left w:val="nil"/>
              <w:bottom w:val="single" w:color="808080" w:sz="8" w:space="0"/>
              <w:right w:val="single" w:color="808080" w:sz="8" w:space="0"/>
            </w:tcBorders>
            <w:shd w:val="clear" w:color="auto" w:fill="auto"/>
            <w:vAlign w:val="center"/>
          </w:tcPr>
          <w:p w14:paraId="5F89FFF4">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桥头服务区---温州方向2</w:t>
            </w:r>
          </w:p>
        </w:tc>
      </w:tr>
      <w:tr w14:paraId="3860D174">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1CEBFFF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26 </w:t>
            </w:r>
          </w:p>
        </w:tc>
        <w:tc>
          <w:tcPr>
            <w:tcW w:w="4337" w:type="pct"/>
            <w:tcBorders>
              <w:top w:val="nil"/>
              <w:left w:val="nil"/>
              <w:bottom w:val="single" w:color="808080" w:sz="8" w:space="0"/>
              <w:right w:val="single" w:color="808080" w:sz="8" w:space="0"/>
            </w:tcBorders>
            <w:shd w:val="clear" w:color="auto" w:fill="auto"/>
            <w:vAlign w:val="center"/>
          </w:tcPr>
          <w:p w14:paraId="44A17200">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桥头服务区（丽水方向1</w:t>
            </w:r>
          </w:p>
        </w:tc>
      </w:tr>
      <w:tr w14:paraId="32F7543B">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6D63E257">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27 </w:t>
            </w:r>
          </w:p>
        </w:tc>
        <w:tc>
          <w:tcPr>
            <w:tcW w:w="4337" w:type="pct"/>
            <w:tcBorders>
              <w:top w:val="nil"/>
              <w:left w:val="nil"/>
              <w:bottom w:val="single" w:color="808080" w:sz="8" w:space="0"/>
              <w:right w:val="single" w:color="808080" w:sz="8" w:space="0"/>
            </w:tcBorders>
            <w:shd w:val="clear" w:color="auto" w:fill="auto"/>
            <w:vAlign w:val="center"/>
          </w:tcPr>
          <w:p w14:paraId="3F090ED1">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桥头服务区（丽水方向2</w:t>
            </w:r>
          </w:p>
        </w:tc>
      </w:tr>
      <w:tr w14:paraId="2D7C0B32">
        <w:tblPrEx>
          <w:tblCellMar>
            <w:top w:w="0" w:type="dxa"/>
            <w:left w:w="108" w:type="dxa"/>
            <w:bottom w:w="0" w:type="dxa"/>
            <w:right w:w="108" w:type="dxa"/>
          </w:tblCellMar>
        </w:tblPrEx>
        <w:trPr>
          <w:trHeight w:val="49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6D1B9F9E">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28 </w:t>
            </w:r>
          </w:p>
        </w:tc>
        <w:tc>
          <w:tcPr>
            <w:tcW w:w="4337" w:type="pct"/>
            <w:tcBorders>
              <w:top w:val="nil"/>
              <w:left w:val="nil"/>
              <w:bottom w:val="single" w:color="808080" w:sz="8" w:space="0"/>
              <w:right w:val="single" w:color="808080" w:sz="8" w:space="0"/>
            </w:tcBorders>
            <w:shd w:val="clear" w:color="auto" w:fill="auto"/>
            <w:vAlign w:val="center"/>
          </w:tcPr>
          <w:p w14:paraId="317251E4">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桥头服务区（丽水方向3</w:t>
            </w:r>
          </w:p>
        </w:tc>
      </w:tr>
      <w:tr w14:paraId="49AA3A53">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nil"/>
              <w:right w:val="single" w:color="808080" w:sz="8" w:space="0"/>
            </w:tcBorders>
            <w:shd w:val="clear" w:color="auto" w:fill="auto"/>
            <w:vAlign w:val="center"/>
          </w:tcPr>
          <w:p w14:paraId="4FE4FB5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29 </w:t>
            </w:r>
          </w:p>
        </w:tc>
        <w:tc>
          <w:tcPr>
            <w:tcW w:w="4337" w:type="pct"/>
            <w:tcBorders>
              <w:top w:val="nil"/>
              <w:left w:val="nil"/>
              <w:bottom w:val="nil"/>
              <w:right w:val="single" w:color="808080" w:sz="8" w:space="0"/>
            </w:tcBorders>
            <w:shd w:val="clear" w:color="auto" w:fill="auto"/>
            <w:vAlign w:val="center"/>
          </w:tcPr>
          <w:p w14:paraId="2E9E7D7A">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2"/>
                <w:szCs w:val="22"/>
                <w:u w:val="none"/>
                <w:lang w:val="en-US" w:eastAsia="zh-CN"/>
              </w:rPr>
              <w:t>桥头服务区（丽水方向4</w:t>
            </w:r>
          </w:p>
        </w:tc>
      </w:tr>
      <w:tr w14:paraId="403D0F93">
        <w:tblPrEx>
          <w:tblCellMar>
            <w:top w:w="0" w:type="dxa"/>
            <w:left w:w="108" w:type="dxa"/>
            <w:bottom w:w="0" w:type="dxa"/>
            <w:right w:w="108" w:type="dxa"/>
          </w:tblCellMar>
        </w:tblPrEx>
        <w:trPr>
          <w:trHeight w:val="255" w:hRule="atLeast"/>
          <w:jc w:val="center"/>
        </w:trPr>
        <w:tc>
          <w:tcPr>
            <w:tcW w:w="662" w:type="pct"/>
            <w:tcBorders>
              <w:top w:val="nil"/>
              <w:left w:val="single" w:color="auto" w:sz="8" w:space="0"/>
              <w:bottom w:val="single" w:color="808080" w:sz="8" w:space="0"/>
              <w:right w:val="single" w:color="808080" w:sz="8" w:space="0"/>
            </w:tcBorders>
            <w:shd w:val="clear" w:color="auto" w:fill="auto"/>
            <w:vAlign w:val="center"/>
          </w:tcPr>
          <w:p w14:paraId="2BD68B5D">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4337" w:type="pct"/>
            <w:tcBorders>
              <w:top w:val="nil"/>
              <w:left w:val="nil"/>
              <w:bottom w:val="single" w:color="808080" w:sz="8" w:space="0"/>
              <w:right w:val="single" w:color="808080" w:sz="8" w:space="0"/>
            </w:tcBorders>
            <w:shd w:val="clear" w:color="auto" w:fill="auto"/>
            <w:vAlign w:val="center"/>
          </w:tcPr>
          <w:p w14:paraId="6481F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color w:val="000000"/>
                <w:kern w:val="0"/>
                <w:sz w:val="22"/>
                <w:szCs w:val="22"/>
                <w:highlight w:val="none"/>
                <w:lang w:val="en-US" w:eastAsia="zh-CN"/>
              </w:rPr>
              <w:t>气象监测：</w:t>
            </w:r>
            <w:r>
              <w:rPr>
                <w:rFonts w:hint="eastAsia" w:ascii="宋体" w:hAnsi="宋体" w:eastAsia="宋体" w:cs="宋体"/>
                <w:color w:val="000000"/>
                <w:kern w:val="0"/>
                <w:sz w:val="22"/>
                <w:szCs w:val="22"/>
                <w:highlight w:val="none"/>
              </w:rPr>
              <w:t>S331分泰线K10+300</w:t>
            </w:r>
          </w:p>
        </w:tc>
      </w:tr>
    </w:tbl>
    <w:p w14:paraId="215ABF1E">
      <w:pPr>
        <w:pStyle w:val="76"/>
        <w:numPr>
          <w:ilvl w:val="0"/>
          <w:numId w:val="0"/>
        </w:numPr>
        <w:rPr>
          <w:rFonts w:hint="eastAsia"/>
          <w:lang w:val="en-US" w:eastAsia="zh-CN"/>
        </w:rPr>
      </w:pPr>
    </w:p>
    <w:p w14:paraId="14D7DA4B">
      <w:pPr>
        <w:pStyle w:val="76"/>
        <w:numPr>
          <w:ilvl w:val="0"/>
          <w:numId w:val="0"/>
        </w:numPr>
        <w:rPr>
          <w:rFonts w:hint="eastAsia"/>
          <w:lang w:val="en-US" w:eastAsia="zh-CN"/>
        </w:rPr>
      </w:pPr>
    </w:p>
    <w:p w14:paraId="17BF7C81">
      <w:pPr>
        <w:pStyle w:val="76"/>
        <w:numPr>
          <w:ilvl w:val="0"/>
          <w:numId w:val="0"/>
        </w:numPr>
        <w:rPr>
          <w:rFonts w:hint="default"/>
          <w:lang w:val="en-US" w:eastAsia="zh-CN"/>
        </w:rPr>
      </w:pPr>
    </w:p>
    <w:p w14:paraId="6626E1D5">
      <w:pPr>
        <w:pStyle w:val="76"/>
        <w:numPr>
          <w:ilvl w:val="0"/>
          <w:numId w:val="0"/>
        </w:numPr>
        <w:rPr>
          <w:rFonts w:hint="default"/>
          <w:lang w:val="en-US" w:eastAsia="zh-CN"/>
        </w:rPr>
      </w:pPr>
    </w:p>
    <w:p w14:paraId="1F18E24B">
      <w:pPr>
        <w:pStyle w:val="76"/>
        <w:numPr>
          <w:ilvl w:val="0"/>
          <w:numId w:val="0"/>
        </w:numPr>
        <w:rPr>
          <w:rFonts w:hint="default"/>
          <w:lang w:val="en-US" w:eastAsia="zh-CN"/>
        </w:rPr>
      </w:pPr>
    </w:p>
    <w:p w14:paraId="1E30A20E">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部分：业务系统运维</w:t>
      </w:r>
    </w:p>
    <w:p w14:paraId="61798194">
      <w:pPr>
        <w:pStyle w:val="22"/>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bookmarkStart w:id="126" w:name="_Toc27322"/>
      <w:r>
        <w:rPr>
          <w:rFonts w:hint="eastAsia" w:ascii="宋体" w:hAnsi="宋体" w:eastAsia="宋体" w:cs="宋体"/>
          <w:b/>
          <w:bCs/>
          <w:color w:val="auto"/>
          <w:sz w:val="22"/>
          <w:szCs w:val="22"/>
          <w:highlight w:val="none"/>
        </w:rPr>
        <w:t>一、项目概述</w:t>
      </w:r>
      <w:bookmarkEnd w:id="126"/>
    </w:p>
    <w:p w14:paraId="5E19E4D4">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zh-CN" w:eastAsia="zh-CN" w:bidi="ar-SA"/>
        </w:rPr>
        <w:t>业务信息系统运维包含互联网+交通综合执法、网约车申报系统与出租车（网约车）监管系统、市区道路交通运行指数系统、温州港引航管理信息平台、浙江交通运输审批服务平台本地化运维</w:t>
      </w:r>
      <w:r>
        <w:rPr>
          <w:rFonts w:hint="eastAsia" w:ascii="宋体" w:hAnsi="宋体" w:eastAsia="宋体" w:cs="宋体"/>
          <w:bCs/>
          <w:color w:val="auto"/>
          <w:kern w:val="0"/>
          <w:sz w:val="22"/>
          <w:szCs w:val="22"/>
          <w:highlight w:val="none"/>
          <w:lang w:val="en-US" w:eastAsia="zh-CN" w:bidi="ar-SA"/>
        </w:rPr>
        <w:t>、</w:t>
      </w:r>
      <w:r>
        <w:rPr>
          <w:rFonts w:hint="eastAsia" w:ascii="宋体" w:hAnsi="宋体" w:eastAsia="宋体" w:cs="宋体"/>
          <w:bCs/>
          <w:color w:val="auto"/>
          <w:kern w:val="0"/>
          <w:sz w:val="22"/>
          <w:szCs w:val="22"/>
          <w:highlight w:val="none"/>
          <w:lang w:val="zh-CN" w:eastAsia="zh-CN" w:bidi="ar-SA"/>
        </w:rPr>
        <w:t>交通重点区域非现场数字化监管系统、</w:t>
      </w:r>
      <w:r>
        <w:rPr>
          <w:rFonts w:hint="eastAsia" w:ascii="宋体" w:hAnsi="宋体" w:eastAsia="宋体" w:cs="宋体"/>
          <w:bCs/>
          <w:color w:val="auto"/>
          <w:kern w:val="0"/>
          <w:sz w:val="22"/>
          <w:szCs w:val="22"/>
          <w:highlight w:val="none"/>
          <w:lang w:val="en-US" w:eastAsia="zh-CN" w:bidi="ar-SA"/>
        </w:rPr>
        <w:t>温州</w:t>
      </w:r>
      <w:r>
        <w:rPr>
          <w:rFonts w:hint="eastAsia" w:cs="宋体"/>
          <w:color w:val="auto"/>
          <w:sz w:val="22"/>
          <w:szCs w:val="22"/>
          <w:highlight w:val="none"/>
          <w:lang w:val="en-US" w:eastAsia="zh-CN"/>
        </w:rPr>
        <w:t>巡游车移动端应用（数字交通综合执法与服务应用）和</w:t>
      </w:r>
      <w:r>
        <w:rPr>
          <w:rFonts w:hint="default" w:cs="宋体"/>
          <w:color w:val="auto"/>
          <w:sz w:val="22"/>
          <w:szCs w:val="22"/>
          <w:highlight w:val="none"/>
          <w:lang w:val="en-US" w:eastAsia="zh-CN"/>
        </w:rPr>
        <w:t>瓯江数字港航服务于管理平台</w:t>
      </w:r>
      <w:r>
        <w:rPr>
          <w:rFonts w:hint="eastAsia" w:cs="宋体"/>
          <w:color w:val="auto"/>
          <w:sz w:val="22"/>
          <w:szCs w:val="22"/>
          <w:highlight w:val="none"/>
          <w:lang w:val="en-US" w:eastAsia="zh-CN"/>
        </w:rPr>
        <w:t>（数字交通综合执法与服务应用）等8个软件平台组成</w:t>
      </w:r>
      <w:r>
        <w:rPr>
          <w:rFonts w:hint="eastAsia" w:ascii="宋体" w:hAnsi="宋体" w:eastAsia="宋体" w:cs="宋体"/>
          <w:bCs/>
          <w:color w:val="auto"/>
          <w:kern w:val="0"/>
          <w:sz w:val="22"/>
          <w:szCs w:val="22"/>
          <w:highlight w:val="none"/>
          <w:lang w:val="zh-TW"/>
        </w:rPr>
        <w:t>。</w:t>
      </w:r>
    </w:p>
    <w:p w14:paraId="5D16505D">
      <w:pPr>
        <w:pStyle w:val="22"/>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bookmarkStart w:id="127" w:name="_Toc16358"/>
      <w:r>
        <w:rPr>
          <w:rFonts w:hint="eastAsia" w:ascii="宋体" w:hAnsi="宋体" w:eastAsia="宋体" w:cs="宋体"/>
          <w:b/>
          <w:bCs/>
          <w:color w:val="auto"/>
          <w:sz w:val="22"/>
          <w:szCs w:val="22"/>
          <w:highlight w:val="none"/>
        </w:rPr>
        <w:t>二、系统运维内容</w:t>
      </w:r>
      <w:bookmarkEnd w:id="127"/>
    </w:p>
    <w:p w14:paraId="41C72D64">
      <w:pPr>
        <w:pStyle w:val="673"/>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）互联网+交通综合执法</w:t>
      </w:r>
    </w:p>
    <w:p w14:paraId="7CB84492">
      <w:pPr>
        <w:pStyle w:val="55"/>
        <w:spacing w:after="0" w:line="360" w:lineRule="auto"/>
        <w:ind w:firstLine="440" w:firstLineChars="200"/>
        <w:rPr>
          <w:rFonts w:ascii="宋体" w:hAnsi="宋体" w:cs="宋体"/>
          <w:b w:val="0"/>
          <w:sz w:val="22"/>
          <w:szCs w:val="22"/>
        </w:rPr>
      </w:pPr>
      <w:r>
        <w:rPr>
          <w:rFonts w:hint="eastAsia" w:ascii="宋体" w:hAnsi="宋体" w:cs="宋体"/>
          <w:b w:val="0"/>
          <w:sz w:val="22"/>
          <w:szCs w:val="22"/>
        </w:rPr>
        <w:t>互联网+交通综合执法主要用于建设综合执法监管分析系统，对温州市执法工作开展情况进行分类、汇总和分析，形成按时间、行业、部门等多维度的执法监管"一张图"概貌分析，提升行政处罚统计与分析能力。建设案卷质量评价系统，利用人工智能技术，对处罚案卷质量进行辅助评价。通过对接浙江省交通运输行政处罚综合管理系统与省政务服务数据中心，获取相关证照信息，实现处罚办案“一证办”，简化行政相对人携带的材料，也便利办案人员使用。</w:t>
      </w:r>
    </w:p>
    <w:p w14:paraId="326AD053">
      <w:pPr>
        <w:pStyle w:val="55"/>
        <w:spacing w:after="0" w:line="360" w:lineRule="auto"/>
        <w:ind w:firstLine="440" w:firstLineChars="200"/>
        <w:rPr>
          <w:rFonts w:ascii="宋体" w:hAnsi="宋体" w:cs="宋体"/>
          <w:b w:val="0"/>
          <w:sz w:val="22"/>
          <w:szCs w:val="22"/>
        </w:rPr>
      </w:pPr>
      <w:r>
        <w:rPr>
          <w:rFonts w:hint="eastAsia" w:ascii="宋体" w:hAnsi="宋体" w:cs="宋体"/>
          <w:b w:val="0"/>
          <w:sz w:val="22"/>
          <w:szCs w:val="22"/>
        </w:rPr>
        <w:t>1、技术支持：提供</w:t>
      </w:r>
      <w:r>
        <w:rPr>
          <w:rFonts w:ascii="宋体" w:hAnsi="宋体" w:cs="宋体"/>
          <w:b w:val="0"/>
          <w:sz w:val="22"/>
          <w:szCs w:val="22"/>
        </w:rPr>
        <w:t>7*24</w:t>
      </w:r>
      <w:r>
        <w:rPr>
          <w:rFonts w:hint="eastAsia" w:ascii="宋体" w:hAnsi="宋体" w:cs="宋体"/>
          <w:b w:val="0"/>
          <w:sz w:val="22"/>
          <w:szCs w:val="22"/>
        </w:rPr>
        <w:t>小时专门的技术服务工程师热线电话支持，远程在线支持、现场支持等多种服务支持，即时发布消息邮件和技术公告，定期进行系统软件检测、优化和文档更新等。运维服务单位需对问题进行处理跟进，无法马上解决的问题进行收集，并及时跟踪解决情况，做到事事有回应、件件有反馈。具体内容包括：</w:t>
      </w:r>
    </w:p>
    <w:p w14:paraId="14F7A7BA">
      <w:pPr>
        <w:pStyle w:val="55"/>
        <w:numPr>
          <w:ilvl w:val="0"/>
          <w:numId w:val="35"/>
        </w:numPr>
        <w:spacing w:after="0" w:line="360" w:lineRule="auto"/>
        <w:ind w:firstLineChars="0"/>
        <w:rPr>
          <w:rFonts w:ascii="宋体" w:hAnsi="宋体" w:cs="宋体"/>
          <w:b w:val="0"/>
          <w:sz w:val="22"/>
          <w:szCs w:val="22"/>
        </w:rPr>
      </w:pPr>
      <w:r>
        <w:rPr>
          <w:rFonts w:hint="eastAsia" w:ascii="宋体" w:hAnsi="宋体" w:cs="宋体"/>
          <w:b w:val="0"/>
          <w:sz w:val="22"/>
          <w:szCs w:val="22"/>
        </w:rPr>
        <w:t>现场解决系统使用过程中遇到的各类问题。无法现场解决的进行收集，并跟踪、反馈解决情况；</w:t>
      </w:r>
    </w:p>
    <w:p w14:paraId="46D81E7E">
      <w:pPr>
        <w:pStyle w:val="55"/>
        <w:numPr>
          <w:ilvl w:val="0"/>
          <w:numId w:val="35"/>
        </w:numPr>
        <w:spacing w:after="0" w:line="360" w:lineRule="auto"/>
        <w:ind w:firstLineChars="0"/>
        <w:rPr>
          <w:rFonts w:ascii="宋体" w:hAnsi="宋体" w:cs="宋体"/>
          <w:b w:val="0"/>
          <w:sz w:val="22"/>
          <w:szCs w:val="22"/>
        </w:rPr>
      </w:pPr>
      <w:r>
        <w:rPr>
          <w:rFonts w:hint="eastAsia" w:ascii="宋体" w:hAnsi="宋体" w:cs="宋体"/>
          <w:b w:val="0"/>
          <w:sz w:val="22"/>
          <w:szCs w:val="22"/>
        </w:rPr>
        <w:t>对系统新功能进行现场讲解、对新上线的功能进行现场培训；</w:t>
      </w:r>
    </w:p>
    <w:p w14:paraId="2654BDE1">
      <w:pPr>
        <w:pStyle w:val="55"/>
        <w:numPr>
          <w:ilvl w:val="0"/>
          <w:numId w:val="35"/>
        </w:numPr>
        <w:spacing w:after="0" w:line="360" w:lineRule="auto"/>
        <w:ind w:firstLineChars="0"/>
        <w:rPr>
          <w:rFonts w:ascii="宋体" w:hAnsi="宋体" w:cs="宋体"/>
          <w:b w:val="0"/>
          <w:sz w:val="22"/>
          <w:szCs w:val="22"/>
        </w:rPr>
      </w:pPr>
      <w:r>
        <w:rPr>
          <w:rFonts w:hint="eastAsia" w:ascii="宋体" w:hAnsi="宋体" w:cs="宋体"/>
          <w:b w:val="0"/>
          <w:sz w:val="22"/>
          <w:szCs w:val="22"/>
        </w:rPr>
        <w:t>对新需求的可行性咨询进行回复，并提供可靠的方案建议；</w:t>
      </w:r>
    </w:p>
    <w:p w14:paraId="478B80ED">
      <w:pPr>
        <w:pStyle w:val="55"/>
        <w:numPr>
          <w:ilvl w:val="0"/>
          <w:numId w:val="35"/>
        </w:numPr>
        <w:spacing w:after="0" w:line="360" w:lineRule="auto"/>
        <w:ind w:firstLineChars="0"/>
        <w:rPr>
          <w:rFonts w:ascii="宋体" w:hAnsi="宋体" w:cs="宋体"/>
          <w:b w:val="0"/>
          <w:sz w:val="22"/>
          <w:szCs w:val="22"/>
        </w:rPr>
      </w:pPr>
      <w:r>
        <w:rPr>
          <w:rFonts w:hint="eastAsia" w:ascii="宋体" w:hAnsi="宋体" w:cs="宋体"/>
          <w:b w:val="0"/>
          <w:sz w:val="22"/>
          <w:szCs w:val="22"/>
        </w:rPr>
        <w:t>对特殊需求数据查询进行技术支持，统计；</w:t>
      </w:r>
    </w:p>
    <w:p w14:paraId="5726EF35">
      <w:pPr>
        <w:pStyle w:val="55"/>
        <w:numPr>
          <w:ilvl w:val="0"/>
          <w:numId w:val="35"/>
        </w:numPr>
        <w:spacing w:after="0" w:line="360" w:lineRule="auto"/>
        <w:ind w:firstLineChars="0"/>
        <w:rPr>
          <w:rFonts w:ascii="宋体" w:hAnsi="宋体" w:cs="宋体"/>
          <w:b w:val="0"/>
          <w:sz w:val="22"/>
          <w:szCs w:val="22"/>
        </w:rPr>
      </w:pPr>
      <w:r>
        <w:rPr>
          <w:rFonts w:hint="eastAsia" w:ascii="宋体" w:hAnsi="宋体" w:cs="宋体"/>
          <w:b w:val="0"/>
          <w:sz w:val="22"/>
          <w:szCs w:val="22"/>
        </w:rPr>
        <w:t>对提出的新需求进行收集、记录，并对需求确认结果、开发进度进行反馈。</w:t>
      </w:r>
    </w:p>
    <w:p w14:paraId="0291B1CE">
      <w:pPr>
        <w:pStyle w:val="55"/>
        <w:numPr>
          <w:ilvl w:val="0"/>
          <w:numId w:val="35"/>
        </w:numPr>
        <w:spacing w:after="0" w:line="360" w:lineRule="auto"/>
        <w:ind w:firstLineChars="0"/>
        <w:rPr>
          <w:rFonts w:ascii="宋体" w:hAnsi="宋体" w:cs="宋体"/>
          <w:b w:val="0"/>
          <w:sz w:val="22"/>
          <w:szCs w:val="22"/>
        </w:rPr>
      </w:pPr>
      <w:r>
        <w:rPr>
          <w:rFonts w:hint="eastAsia" w:ascii="宋体" w:hAnsi="宋体" w:cs="宋体"/>
          <w:b w:val="0"/>
          <w:sz w:val="22"/>
          <w:szCs w:val="22"/>
        </w:rPr>
        <w:t>做好运维服务报告，根据客户需求定期书面报告工作开展情况。</w:t>
      </w:r>
    </w:p>
    <w:p w14:paraId="7EFCE63D">
      <w:pPr>
        <w:pStyle w:val="55"/>
        <w:spacing w:after="0" w:line="360" w:lineRule="auto"/>
        <w:ind w:firstLine="440" w:firstLineChars="200"/>
        <w:rPr>
          <w:rFonts w:ascii="宋体" w:hAnsi="宋体" w:cs="宋体"/>
          <w:b w:val="0"/>
          <w:sz w:val="22"/>
          <w:szCs w:val="22"/>
        </w:rPr>
      </w:pPr>
      <w:r>
        <w:rPr>
          <w:rFonts w:hint="eastAsia" w:ascii="宋体" w:hAnsi="宋体" w:cs="宋体"/>
          <w:b w:val="0"/>
          <w:sz w:val="22"/>
          <w:szCs w:val="22"/>
        </w:rPr>
        <w:t>2、全市交通运输执法部门用户、操作权限和系统资源维护：</w:t>
      </w:r>
    </w:p>
    <w:p w14:paraId="59ED9EF4">
      <w:pPr>
        <w:pStyle w:val="55"/>
        <w:spacing w:after="0" w:line="360" w:lineRule="auto"/>
        <w:ind w:firstLine="440" w:firstLineChars="200"/>
        <w:rPr>
          <w:rFonts w:hint="eastAsia" w:ascii="宋体" w:hAnsi="宋体" w:cs="宋体"/>
          <w:b w:val="0"/>
          <w:sz w:val="22"/>
          <w:szCs w:val="22"/>
        </w:rPr>
      </w:pPr>
      <w:r>
        <w:rPr>
          <w:rFonts w:hint="eastAsia" w:ascii="宋体" w:hAnsi="宋体" w:cs="宋体"/>
          <w:b w:val="0"/>
          <w:sz w:val="22"/>
          <w:szCs w:val="22"/>
        </w:rPr>
        <w:t>提供全市互联网+交通综合执法应用的软件配置服务，包含但不限于全市交通运输执法部门对应用的用户权限日常维护、开设用户账号、配置用户权限、组织机构调整、软件参数设置、模板导入导出、工作流设置、菜单配置等服务。</w:t>
      </w:r>
    </w:p>
    <w:p w14:paraId="52E19B75">
      <w:pPr>
        <w:rPr>
          <w:rFonts w:hint="default" w:eastAsia="宋体"/>
          <w:lang w:val="en-US" w:eastAsia="zh-CN"/>
        </w:rPr>
      </w:pPr>
      <w:r>
        <w:rPr>
          <w:rFonts w:hint="eastAsia" w:ascii="宋体" w:hAnsi="宋体" w:cs="宋体"/>
          <w:b w:val="0"/>
          <w:sz w:val="22"/>
          <w:szCs w:val="22"/>
          <w:lang w:val="en-US" w:eastAsia="zh-CN"/>
        </w:rPr>
        <w:t xml:space="preserve">    </w:t>
      </w:r>
      <w:r>
        <w:rPr>
          <w:rStyle w:val="731"/>
          <w:rFonts w:hint="eastAsia" w:ascii="新宋体" w:hAnsi="新宋体" w:eastAsia="新宋体" w:cs="新宋体"/>
          <w:color w:val="auto"/>
          <w:highlight w:val="none"/>
          <w:lang w:val="en-US" w:eastAsia="zh-CN"/>
        </w:rPr>
        <w:t>服务期限为合同签订之日起计算，为期一整年。</w:t>
      </w:r>
    </w:p>
    <w:p w14:paraId="7DE3011B">
      <w:pPr>
        <w:pStyle w:val="673"/>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）网约车申报系统与出租车（网约车）监管系统</w:t>
      </w:r>
    </w:p>
    <w:p w14:paraId="2CF0FAD9">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1、每日巡检系统页面、功能模块、数据传输及数据内容，发现异常及时恢复，保障系统用户日常监管工作的顺利开展得到有效的信息化支撑。</w:t>
      </w:r>
    </w:p>
    <w:p w14:paraId="6C7D840C">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2、监测系统运行环境资源、网络等使用情况，及时处理相关故障，定期提供资源应用情况报告；每周监测服务器资源使用情况。</w:t>
      </w:r>
    </w:p>
    <w:p w14:paraId="297D5745">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3、服务器漏洞及应用系统、中间件漏洞检查与修复，根据用户单位统一的扫描结果修复设备、应用相关的安全漏洞，保障整体运行安全。</w:t>
      </w:r>
    </w:p>
    <w:p w14:paraId="0871805A">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4、按照省厅一窗通达的要求，及时优化调整申报接口，符合省厅要求。</w:t>
      </w:r>
    </w:p>
    <w:p w14:paraId="6B90A8EE">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5、业务系统每月率无故障率不低于95%。</w:t>
      </w:r>
    </w:p>
    <w:p w14:paraId="4C1077AC">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6、服务资源维护</w:t>
      </w:r>
    </w:p>
    <w:p w14:paraId="74B226DA">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查服务资源使用情况，处理由于资源有限遇到的使用问题；排除由于连接问题而造成的网络阻塞，失控进程检查；磁盘空间使用情况检查，包括查找无主注册区，删除临时文件和由于不当关机或其他原因而生成的大型文件；服务工作效率检查，按需重新调整系统、分配资源。对服务器启动的服务所产生的的日志进行清理，对出现的问题及时的向相关人员进行反馈，对出现的重大事件进行记录，形成文档。</w:t>
      </w:r>
    </w:p>
    <w:p w14:paraId="528F1358">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7、数据采集维护</w:t>
      </w:r>
    </w:p>
    <w:p w14:paraId="216704EC">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天对出租车GPS采集服务进行巡检，发现问题及时处理，确保数据从采集、解析、统计等环节的正常。目前的GPS数据采集服务有：出租车GPS采集服务、出租车GPS缓存服务、出租车GPS文件存储服务、出租车预警信息解析服务、出租车GPS入库服务、出租车GPS转发服务、出租车GPS解析服务等服务。</w:t>
      </w:r>
    </w:p>
    <w:p w14:paraId="2A31442D">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天对出租车运营信息的采集情况进行巡检，如平台信息（公司信息）、车辆信息、驾驶员信息、营运信息等等。保障每天这些信息的正常采集入库。如在巡检过程中发现问题，应第一时间进行解决，事后形成文档供其他运维人员参考。</w:t>
      </w:r>
    </w:p>
    <w:p w14:paraId="3140F1E9">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根据业务需要实现新数据的接入开发，并纳入每天数据交换采集任务的日常巡检。另外根据业务情况要求，实现数据的共享服务的开发，并对交换任务实行日常巡检。</w:t>
      </w:r>
    </w:p>
    <w:p w14:paraId="66A721FD">
      <w:pPr>
        <w:keepNext w:val="0"/>
        <w:keepLines w:val="0"/>
        <w:pageBreakBefore w:val="0"/>
        <w:numPr>
          <w:ilvl w:val="0"/>
          <w:numId w:val="36"/>
        </w:numPr>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出租车（网约车）监管系统数据库及系统功能优化</w:t>
      </w:r>
    </w:p>
    <w:p w14:paraId="5953A984">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系统数据库维护，保持数据库的稳定性、可靠性，降低故障和数据丢失的风险。</w:t>
      </w:r>
    </w:p>
    <w:p w14:paraId="4B925B18">
      <w:pPr>
        <w:pStyle w:val="51"/>
        <w:keepNext w:val="0"/>
        <w:keepLines w:val="0"/>
        <w:pageBreakBefore w:val="0"/>
        <w:numPr>
          <w:ilvl w:val="0"/>
          <w:numId w:val="37"/>
        </w:numPr>
        <w:kinsoku/>
        <w:wordWrap/>
        <w:overflowPunct/>
        <w:topLinePunct w:val="0"/>
        <w:autoSpaceDE w:val="0"/>
        <w:autoSpaceDN w:val="0"/>
        <w:bidi w:val="0"/>
        <w:snapToGrid/>
        <w:spacing w:beforeAutospacing="0" w:afterAutospacing="0"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定期备份数据，防止数据丢失或损坏，快速恢复与数据库相关的问题。</w:t>
      </w:r>
    </w:p>
    <w:p w14:paraId="317B3637">
      <w:pPr>
        <w:pStyle w:val="51"/>
        <w:keepNext w:val="0"/>
        <w:keepLines w:val="0"/>
        <w:pageBreakBefore w:val="0"/>
        <w:numPr>
          <w:ilvl w:val="0"/>
          <w:numId w:val="37"/>
        </w:numPr>
        <w:kinsoku/>
        <w:wordWrap/>
        <w:overflowPunct/>
        <w:topLinePunct w:val="0"/>
        <w:autoSpaceDE w:val="0"/>
        <w:autoSpaceDN w:val="0"/>
        <w:bidi w:val="0"/>
        <w:snapToGrid/>
        <w:spacing w:beforeAutospacing="0" w:afterAutospacing="0"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对数据库中经常需查询的列创建索引，提高查询速度；优化复杂查询语句，避免不必要的关联和子查询，提高查询效率。</w:t>
      </w:r>
    </w:p>
    <w:p w14:paraId="164F1A72">
      <w:pPr>
        <w:pStyle w:val="51"/>
        <w:keepNext w:val="0"/>
        <w:keepLines w:val="0"/>
        <w:pageBreakBefore w:val="0"/>
        <w:numPr>
          <w:ilvl w:val="0"/>
          <w:numId w:val="37"/>
        </w:numPr>
        <w:kinsoku/>
        <w:wordWrap/>
        <w:overflowPunct/>
        <w:topLinePunct w:val="0"/>
        <w:autoSpaceDE w:val="0"/>
        <w:autoSpaceDN w:val="0"/>
        <w:bidi w:val="0"/>
        <w:snapToGrid/>
        <w:spacing w:beforeAutospacing="0" w:afterAutospacing="0"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定期分析数据库的性能指标，如响应时间、并发连接数和CPU利用率等。根据统计结果，识别性能瓶颈并进行相应的调整和优化。</w:t>
      </w:r>
    </w:p>
    <w:p w14:paraId="7999E616">
      <w:pPr>
        <w:pStyle w:val="51"/>
        <w:keepNext w:val="0"/>
        <w:keepLines w:val="0"/>
        <w:pageBreakBefore w:val="0"/>
        <w:numPr>
          <w:ilvl w:val="0"/>
          <w:numId w:val="37"/>
        </w:numPr>
        <w:kinsoku/>
        <w:wordWrap/>
        <w:overflowPunct/>
        <w:topLinePunct w:val="0"/>
        <w:autoSpaceDE w:val="0"/>
        <w:autoSpaceDN w:val="0"/>
        <w:bidi w:val="0"/>
        <w:snapToGrid/>
        <w:spacing w:beforeAutospacing="0" w:afterAutospacing="0"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实时监控数据库的资源利用情况，包括CPU、内存、磁盘空间等。及时发现并解决资源紧缺或竞争的问题，确保数据库的稳定性和可靠性；</w:t>
      </w:r>
    </w:p>
    <w:p w14:paraId="21ED9952">
      <w:pPr>
        <w:keepNext w:val="0"/>
        <w:keepLines w:val="0"/>
        <w:pageBreakBefore w:val="0"/>
        <w:kinsoku/>
        <w:wordWrap/>
        <w:overflowPunct/>
        <w:topLinePunct w:val="0"/>
        <w:bidi w:val="0"/>
        <w:snapToGrid/>
        <w:spacing w:line="360" w:lineRule="auto"/>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系统功能优化，简化出租车（网约车）监管系统操作流程，提升系统易用性和功能性，满足行业与管理的多样化需求，提高监管效率。</w:t>
      </w:r>
    </w:p>
    <w:p w14:paraId="0F5EB010">
      <w:pPr>
        <w:pStyle w:val="51"/>
        <w:keepNext w:val="0"/>
        <w:keepLines w:val="0"/>
        <w:pageBreakBefore w:val="0"/>
        <w:numPr>
          <w:ilvl w:val="0"/>
          <w:numId w:val="37"/>
        </w:numPr>
        <w:kinsoku/>
        <w:wordWrap/>
        <w:overflowPunct/>
        <w:topLinePunct w:val="0"/>
        <w:autoSpaceDE w:val="0"/>
        <w:autoSpaceDN w:val="0"/>
        <w:bidi w:val="0"/>
        <w:snapToGrid/>
        <w:spacing w:beforeAutospacing="0" w:afterAutospacing="0"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基础信息和订单信息的管理功能进行维护及优化，包括扩展页面展示字段、优化查询筛选条件等，满足不同业务场景的查询需求。例如在订单详情中增加展示司机电话信息；提供在特定时间范围内“有订单无轨迹“条件的查询；合规网约车七天内无轨迹车辆数据的查询；从业资格证有效日期后的驾驶员信息筛选等功能。</w:t>
      </w:r>
    </w:p>
    <w:p w14:paraId="61722790">
      <w:pPr>
        <w:pStyle w:val="51"/>
        <w:keepNext w:val="0"/>
        <w:keepLines w:val="0"/>
        <w:pageBreakBefore w:val="0"/>
        <w:numPr>
          <w:ilvl w:val="0"/>
          <w:numId w:val="37"/>
        </w:numPr>
        <w:kinsoku/>
        <w:wordWrap/>
        <w:overflowPunct/>
        <w:topLinePunct w:val="0"/>
        <w:autoSpaceDE w:val="0"/>
        <w:autoSpaceDN w:val="0"/>
        <w:bidi w:val="0"/>
        <w:snapToGrid/>
        <w:spacing w:beforeAutospacing="0" w:afterAutospacing="0"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计分析功能维护及优化，维护出租车营运日报表、出租车营运月报表、网约车营运日报表、网约车营运月报表、日均营收统计分析、月均营收统计分析、全市合规指数等报表，优化数据收集、处理和分析方法，确保报表的准确性和可靠性。通过数据统计分析更好地掌握出租车和网约车行业的运营状况，为管理者提供有力的数据支持。</w:t>
      </w:r>
    </w:p>
    <w:p w14:paraId="51A69041">
      <w:pPr>
        <w:pStyle w:val="51"/>
        <w:keepNext w:val="0"/>
        <w:keepLines w:val="0"/>
        <w:pageBreakBefore w:val="0"/>
        <w:numPr>
          <w:ilvl w:val="0"/>
          <w:numId w:val="37"/>
        </w:numPr>
        <w:kinsoku/>
        <w:wordWrap/>
        <w:overflowPunct/>
        <w:topLinePunct w:val="0"/>
        <w:autoSpaceDE w:val="0"/>
        <w:autoSpaceDN w:val="0"/>
        <w:bidi w:val="0"/>
        <w:snapToGrid/>
        <w:spacing w:beforeAutospacing="0" w:afterAutospacing="0" w:line="360" w:lineRule="auto"/>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满足行业管理需求，新增“顺风车订单查询”、顺风车司机信息管理、顺风车车辆信息管理功能，实现顺风车的规范化管理。</w:t>
      </w:r>
    </w:p>
    <w:p w14:paraId="36B2C8A2">
      <w:pPr>
        <w:pStyle w:val="51"/>
        <w:keepNext w:val="0"/>
        <w:keepLines w:val="0"/>
        <w:pageBreakBefore w:val="0"/>
        <w:numPr>
          <w:ilvl w:val="0"/>
          <w:numId w:val="0"/>
        </w:numPr>
        <w:kinsoku/>
        <w:wordWrap/>
        <w:overflowPunct/>
        <w:topLinePunct w:val="0"/>
        <w:autoSpaceDE w:val="0"/>
        <w:autoSpaceDN w:val="0"/>
        <w:bidi w:val="0"/>
        <w:snapToGrid/>
        <w:spacing w:beforeAutospacing="0" w:afterAutospacing="0" w:line="360" w:lineRule="auto"/>
        <w:ind w:firstLine="660" w:firstLineChars="300"/>
        <w:rPr>
          <w:rFonts w:hint="default" w:ascii="宋体" w:hAnsi="宋体" w:eastAsia="宋体" w:cs="宋体"/>
          <w:color w:val="auto"/>
          <w:sz w:val="22"/>
          <w:szCs w:val="22"/>
          <w:highlight w:val="none"/>
          <w:lang w:val="en-US"/>
        </w:rPr>
      </w:pPr>
      <w:r>
        <w:rPr>
          <w:rFonts w:hint="eastAsia" w:cs="宋体"/>
          <w:color w:val="auto"/>
          <w:sz w:val="22"/>
          <w:szCs w:val="22"/>
          <w:highlight w:val="none"/>
          <w:lang w:val="en-US" w:eastAsia="zh-CN"/>
        </w:rPr>
        <w:t>9、运维期为2026年1月1日至2026年12月31日</w:t>
      </w:r>
    </w:p>
    <w:p w14:paraId="32BDD60C">
      <w:pPr>
        <w:pStyle w:val="673"/>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）市区道路交通运行指数系统</w:t>
      </w:r>
    </w:p>
    <w:p w14:paraId="554759A4">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1、运行分析服务</w:t>
      </w:r>
    </w:p>
    <w:p w14:paraId="4AC210FA">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为市城市规划设计院交通研究所分析研判市区道路运行情况。</w:t>
      </w:r>
    </w:p>
    <w:p w14:paraId="64F8F28E">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2、治堵服务</w:t>
      </w:r>
    </w:p>
    <w:p w14:paraId="124F67D3">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配合温州市治堵办对相关数据进行梳理。提供定制化报表服务，为每年度省治堵办组织的科技治堵考核提供分析数据。</w:t>
      </w:r>
    </w:p>
    <w:p w14:paraId="3DF053FC">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3、数据服务</w:t>
      </w:r>
    </w:p>
    <w:p w14:paraId="453A75DE">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保障</w:t>
      </w:r>
      <w:r>
        <w:rPr>
          <w:rFonts w:hint="eastAsia" w:ascii="宋体" w:hAnsi="宋体" w:cs="宋体"/>
          <w:bCs/>
          <w:color w:val="auto"/>
          <w:sz w:val="22"/>
          <w:szCs w:val="22"/>
          <w:highlight w:val="none"/>
          <w:lang w:val="en-US" w:eastAsia="zh-CN"/>
        </w:rPr>
        <w:t>数据</w:t>
      </w:r>
      <w:r>
        <w:rPr>
          <w:rFonts w:hint="eastAsia" w:ascii="宋体" w:hAnsi="宋体" w:eastAsia="宋体" w:cs="宋体"/>
          <w:bCs/>
          <w:color w:val="auto"/>
          <w:sz w:val="22"/>
          <w:szCs w:val="22"/>
          <w:highlight w:val="none"/>
        </w:rPr>
        <w:t>底图应用稳定，路况实时数据同步推送。</w:t>
      </w:r>
    </w:p>
    <w:p w14:paraId="33229EA1">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4、运维保障</w:t>
      </w:r>
    </w:p>
    <w:p w14:paraId="17AB4323">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日常保障GIS引擎性能，保障跨平台和跨浏览器使用，对地图浏览效率、数据资源服务接口访问效率和稳定性进行定期检查维护，提供百度地图及地图大数据故障响应、检查、维护服务。</w:t>
      </w:r>
    </w:p>
    <w:p w14:paraId="34DC4CB3">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5、咨询服务</w:t>
      </w:r>
    </w:p>
    <w:p w14:paraId="5EB45B91">
      <w:pPr>
        <w:pStyle w:val="673"/>
        <w:keepNext w:val="0"/>
        <w:keepLines w:val="0"/>
        <w:pageBreakBefore w:val="0"/>
        <w:kinsoku/>
        <w:wordWrap/>
        <w:overflowPunct/>
        <w:topLinePunct w:val="0"/>
        <w:autoSpaceDE w:val="0"/>
        <w:bidi w:val="0"/>
        <w:snapToGrid/>
        <w:spacing w:line="360" w:lineRule="auto"/>
        <w:ind w:left="0" w:leftChars="0"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提供地图运行环境、技术架构、业务应用场景、协议接口访问等技术咨询服务。</w:t>
      </w:r>
    </w:p>
    <w:p w14:paraId="3DABF1D1">
      <w:pPr>
        <w:pStyle w:val="673"/>
        <w:keepNext w:val="0"/>
        <w:keepLines w:val="0"/>
        <w:pageBreakBefore w:val="0"/>
        <w:kinsoku/>
        <w:wordWrap/>
        <w:overflowPunct/>
        <w:topLinePunct w:val="0"/>
        <w:autoSpaceDE w:val="0"/>
        <w:bidi w:val="0"/>
        <w:snapToGrid/>
        <w:spacing w:line="360" w:lineRule="auto"/>
        <w:ind w:left="0" w:leftChars="0" w:firstLine="440" w:firstLineChars="200"/>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6、</w:t>
      </w:r>
      <w:r>
        <w:rPr>
          <w:rFonts w:hint="eastAsia" w:cs="宋体"/>
          <w:color w:val="auto"/>
          <w:sz w:val="22"/>
          <w:szCs w:val="22"/>
          <w:highlight w:val="none"/>
          <w:lang w:val="en-US" w:eastAsia="zh-CN"/>
        </w:rPr>
        <w:t>运维期为2026年1月1日至2026年12月31日。</w:t>
      </w:r>
    </w:p>
    <w:p w14:paraId="4FA47762">
      <w:pPr>
        <w:pStyle w:val="673"/>
        <w:keepNext w:val="0"/>
        <w:keepLines w:val="0"/>
        <w:pageBreakBefore w:val="0"/>
        <w:kinsoku/>
        <w:wordWrap/>
        <w:overflowPunct/>
        <w:topLinePunct w:val="0"/>
        <w:autoSpaceDE w:val="0"/>
        <w:bidi w:val="0"/>
        <w:snapToGrid/>
        <w:spacing w:line="360" w:lineRule="auto"/>
        <w:ind w:left="420" w:leftChars="200" w:firstLine="0" w:firstLine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）温州港引航管理信息平台</w:t>
      </w:r>
    </w:p>
    <w:p w14:paraId="797E73BF">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1、做好对本系统的日常巡检，备份等工作，能保证并完善平台的各个模块正常运行。</w:t>
      </w:r>
    </w:p>
    <w:p w14:paraId="0ECA55AD">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2、做好运行系统的所在服务器（包括操作系统）的日常维护，保证平台的安全性和可靠性。</w:t>
      </w:r>
    </w:p>
    <w:p w14:paraId="197806FE">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3、根据上级及有关部门政策、业务要求的调整，做好对本系统的相关模块的维护与升级。</w:t>
      </w:r>
    </w:p>
    <w:p w14:paraId="5C8994D9">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4、根据引航站对本系统的操作调整、改善与升级等要求，做好相应的维护与升级，包括对考核模块、查询功能等的进一步完善。 </w:t>
      </w:r>
    </w:p>
    <w:p w14:paraId="3C8D7C16">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5、保证平台所需的其他辅助模块（比如短信平台），和船舶导航和监控2个模块所需的AIS数据的正常运行。</w:t>
      </w:r>
    </w:p>
    <w:p w14:paraId="7468E45A">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6、平台发生不可预知的紧急情况，提供7*24小时服务。</w:t>
      </w:r>
    </w:p>
    <w:p w14:paraId="4794E9AC">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7、运维期为2026年1月1日至2026年12月31日。</w:t>
      </w:r>
    </w:p>
    <w:p w14:paraId="69DBD686">
      <w:pPr>
        <w:pStyle w:val="673"/>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）浙江交通运输审批服务平台本地化运维</w:t>
      </w:r>
    </w:p>
    <w:p w14:paraId="3517DF15">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1、相关背景</w:t>
      </w:r>
    </w:p>
    <w:p w14:paraId="7C419988">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2019年机构改革后，各交通政务服系统平台融合使得系统应用较复杂，根据《省交通运输厅关于印发&lt;交通运输政务服务数字化改革专项方案（2022版）&gt;的通知》中关于“要强化运行保障，加强构建‘1+11’（省厅+地市）信息系统运维保障体系，各市要申请本地化运维项目，实现对地市个性化业务建设需求保障和日常运维业务的快速响应。”等要求，需构建温州市交通运输政务服务数字化改革本地化运维团队，确保交通运输政务服务平台可持续发展，实现业务连续性、系统可靠性、数据安全性和操作便利性。</w:t>
      </w:r>
    </w:p>
    <w:p w14:paraId="77A633A2">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2、技术服务要求</w:t>
      </w:r>
    </w:p>
    <w:p w14:paraId="0BEBC300">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（1）人员驻场：构建温州市交通运输政务服务数字化支撑运维团队，安排1名（含）以上技术人员常驻温州市政务服务中心交通政务服务窗口，提供全市交通行政审批窗口及业务处室所需的日常技术支持服务。</w:t>
      </w:r>
    </w:p>
    <w:p w14:paraId="4FB8BA32">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支持：提供7*24小时专门的技术服务工程师热线电话支持，远程在线支持、现场支持等多种服务支持，即时发布消息邮件和技术公告，定期进行系统软件检测、优化和文档更新等。运维服务单位需对问题进行处理跟进，无法马上解决的问题进行收集，并及时跟踪解决情况，做到事事有回应、件件有反馈。具体内容包括：</w:t>
      </w:r>
    </w:p>
    <w:p w14:paraId="7FCA10E9">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现场解决系统使用过程中遇到的各类问题。无法现场解决的进行收集，并跟踪、反馈解决情况；</w:t>
      </w:r>
    </w:p>
    <w:p w14:paraId="0BD0DD39">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对系统新功能进行现场讲解、对新上线的功能进行现场培训；</w:t>
      </w:r>
    </w:p>
    <w:p w14:paraId="30935F77">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对新需求的可行性咨询进行回复，并提供可靠的方案建议；</w:t>
      </w:r>
    </w:p>
    <w:p w14:paraId="15931251">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对特殊需求数据查询进行技术支持，统计；</w:t>
      </w:r>
    </w:p>
    <w:p w14:paraId="126C2518">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对提出的新需求进行收集、记录，并对需求确认结果、开发进度进行反馈。</w:t>
      </w:r>
    </w:p>
    <w:p w14:paraId="19E6C505">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配合管理部门做好权力事项申报等的推广、培训工作；</w:t>
      </w:r>
    </w:p>
    <w:p w14:paraId="66627EB7">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做好现场服务报告，并向客户定期书面报告工作开展情况。</w:t>
      </w:r>
    </w:p>
    <w:p w14:paraId="5CE801B4">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（3）定期组织业务培训，让使用者能够最大限度地掌握该系统的使用方法，要求项目中标单位每年为全市交通政务骨干开展2次以上技术培训。</w:t>
      </w:r>
    </w:p>
    <w:p w14:paraId="7B68A43C">
      <w:pPr>
        <w:pStyle w:val="55"/>
        <w:ind w:firstLine="440" w:firstLineChars="200"/>
        <w:rPr>
          <w:rFonts w:ascii="宋体" w:hAnsi="宋体" w:cs="宋体"/>
          <w:b w:val="0"/>
          <w:bCs/>
          <w:color w:val="auto"/>
          <w:sz w:val="22"/>
          <w:szCs w:val="22"/>
          <w:highlight w:val="none"/>
        </w:rPr>
      </w:pPr>
      <w:r>
        <w:rPr>
          <w:rFonts w:hint="eastAsia" w:ascii="宋体" w:hAnsi="宋体" w:cs="宋体"/>
          <w:b w:val="0"/>
          <w:bCs/>
          <w:color w:val="auto"/>
          <w:sz w:val="22"/>
          <w:szCs w:val="22"/>
          <w:highlight w:val="none"/>
        </w:rPr>
        <w:t>3、政务服务增值式改革对接要求</w:t>
      </w:r>
    </w:p>
    <w:p w14:paraId="3B089CAE">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需对接协调省厅系统研发单位项目团队，提供“最多跑一次”、数字化改革、营商环境“一号工程”和政务服务增值式改革技术任务对接及支撑服务。</w:t>
      </w:r>
    </w:p>
    <w:p w14:paraId="6E8AAB2A">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（1）与浙江省政务网对接咨询服务</w:t>
      </w:r>
    </w:p>
    <w:p w14:paraId="17BD04F1">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积极配合做好审批平台与浙江政务服务网的对接工作，提供问题排查、内容咨询服务和技术支撑工作。</w:t>
      </w:r>
    </w:p>
    <w:p w14:paraId="77AC5C2D">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协助温州市交通运输局解决与浙江政务服务网对接过程中遇到的各种问题，为所有事项的网上办理提供咨询服务和技术支撑，为推进事项的全流程办理提供保障。</w:t>
      </w:r>
    </w:p>
    <w:p w14:paraId="634F7B2F">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（2）与电子印章系统对接运维和咨询服务</w:t>
      </w:r>
    </w:p>
    <w:p w14:paraId="0048246E">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积极配合做好审批平台与电子印章系统的接口运维工作，提供问题排查、内容咨询服务和技术支撑工作。</w:t>
      </w:r>
    </w:p>
    <w:p w14:paraId="0EA098E2">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（3）“数字化改革”场景技术支撑服务</w:t>
      </w:r>
    </w:p>
    <w:p w14:paraId="761639B6">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为温州市交通运输局提供“一窗通达”等相关试点场景的技术支撑服务，保障场景应用的顺畅、平稳运行。</w:t>
      </w:r>
    </w:p>
    <w:p w14:paraId="13423CEF">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（4）“双公示”等改革任务对接咨询服务</w:t>
      </w:r>
    </w:p>
    <w:p w14:paraId="639BE1B0">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积极配合做好“双公示”等相关改革任务的对接工作，提供内容咨询服务。</w:t>
      </w:r>
    </w:p>
    <w:p w14:paraId="1382BE1A">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协助温州市交通运输局解决相关改革任务考核中遇到的各种问题，为全市交通审批部门完成考核任务对接提供保障。</w:t>
      </w:r>
    </w:p>
    <w:p w14:paraId="6AE5C609">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cs="宋体"/>
          <w:color w:val="auto"/>
          <w:sz w:val="22"/>
          <w:szCs w:val="22"/>
          <w:highlight w:val="none"/>
          <w:lang w:val="en-US" w:eastAsia="zh-CN"/>
        </w:rPr>
        <w:t>运维期为2026年1月1日至2026年12月31日。</w:t>
      </w:r>
    </w:p>
    <w:p w14:paraId="6DD39115">
      <w:pPr>
        <w:pStyle w:val="673"/>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）交通重点区域非现场数字化监管系统</w:t>
      </w:r>
    </w:p>
    <w:p w14:paraId="394CBA3E">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lang w:val="en-US" w:eastAsia="zh-CN"/>
        </w:rPr>
      </w:pPr>
      <w:bookmarkStart w:id="128" w:name="_Toc7259"/>
      <w:r>
        <w:rPr>
          <w:rFonts w:hint="eastAsia" w:ascii="宋体" w:hAnsi="宋体" w:eastAsia="宋体" w:cs="宋体"/>
          <w:color w:val="auto"/>
          <w:sz w:val="22"/>
          <w:szCs w:val="22"/>
          <w:highlight w:val="none"/>
          <w:lang w:val="en-US" w:eastAsia="zh-CN"/>
        </w:rPr>
        <w:t>（1）远程支持服务</w:t>
      </w:r>
    </w:p>
    <w:p w14:paraId="1109F162">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积极配合做好重点区域平台运维保障工作，提供远程问题排查、远程电话咨询服务</w:t>
      </w:r>
    </w:p>
    <w:p w14:paraId="084E2FBD">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协助温州市交通运输局解决重点区域平台日常使用过程中遇到的各种问题，为平台使用问题提供咨询服务和技术支撑，保障交通运输局日常业务顺利进展。</w:t>
      </w:r>
    </w:p>
    <w:p w14:paraId="1F0F1DE3">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（2）现场技术支持服务</w:t>
      </w:r>
    </w:p>
    <w:p w14:paraId="2374E038">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本项服务期内，针对温州市交通运输局故障报修需求，如服务台人员远程未能解决问题，则将安排技术人员提供现场服务，技术人员严格按照故障处理时效的要求进行重点区域平台的故障处理，如无法在故障处理时效内解决的及时与客户责任部门进行同步，并给出具体解决时效及方案。</w:t>
      </w:r>
    </w:p>
    <w:p w14:paraId="5E6B4689">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（3）日常巡检服务</w:t>
      </w:r>
    </w:p>
    <w:p w14:paraId="4C58992C">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动提供平台巡检服务，实现系统关键服务每季度手动巡检或者系统自动巡检吗，包括平台基础视频、录像、地图、数据接入、数据存储、实时预警、数据库等服务，及时发现问题、解决问题，重点区域平台的稳定运行。</w:t>
      </w:r>
    </w:p>
    <w:p w14:paraId="36A504E8">
      <w:pPr>
        <w:pStyle w:val="673"/>
        <w:keepNext w:val="0"/>
        <w:keepLines w:val="0"/>
        <w:pageBreakBefore w:val="0"/>
        <w:kinsoku/>
        <w:wordWrap/>
        <w:overflowPunct/>
        <w:topLinePunct w:val="0"/>
        <w:autoSpaceDE w:val="0"/>
        <w:bidi w:val="0"/>
        <w:snapToGrid/>
        <w:spacing w:line="360" w:lineRule="auto"/>
        <w:ind w:firstLine="44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（4）硬件及链路维护服务</w:t>
      </w:r>
    </w:p>
    <w:p w14:paraId="6C78A0E9">
      <w:pPr>
        <w:pStyle w:val="673"/>
        <w:keepNext w:val="0"/>
        <w:keepLines w:val="0"/>
        <w:pageBreakBefore w:val="0"/>
        <w:kinsoku/>
        <w:wordWrap/>
        <w:overflowPunct/>
        <w:topLinePunct w:val="0"/>
        <w:autoSpaceDE w:val="0"/>
        <w:bidi w:val="0"/>
        <w:snapToGrid/>
        <w:spacing w:line="360" w:lineRule="auto"/>
        <w:ind w:firstLine="44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负责重点区域平台相关硬件设备的日常维护，包括但不限于服务器、视频监控前端设备（摄像头、球机等）、传感器、存储设备等，定期对硬件设备进行状态检测、性能优化、灰尘清理及故障维修，如需更换配件，及时向报备并提供适配方案；同时承担平台相关网络链路的维护工作，涵盖数据传输链路、视频传输链路等，定期监测链路连通性、传输速率及稳定性，及时排查链路中断、卡顿、丢包等故障，保障链路通畅，确保平台数据交互、视频传输等核心功能不受影响。</w:t>
      </w:r>
    </w:p>
    <w:p w14:paraId="730E03E7">
      <w:pPr>
        <w:pStyle w:val="76"/>
        <w:numPr>
          <w:ilvl w:val="0"/>
          <w:numId w:val="38"/>
        </w:numPr>
        <w:ind w:left="330" w:leftChars="0" w:firstLine="0" w:firstLineChars="0"/>
        <w:rPr>
          <w:rFonts w:hint="eastAsia" w:cs="宋体"/>
          <w:b/>
          <w:bCs/>
          <w:color w:val="auto"/>
          <w:sz w:val="22"/>
          <w:szCs w:val="22"/>
          <w:highlight w:val="none"/>
          <w:lang w:val="en-US" w:eastAsia="zh-CN"/>
        </w:rPr>
      </w:pPr>
      <w:r>
        <w:rPr>
          <w:rFonts w:hint="eastAsia" w:cs="宋体"/>
          <w:b/>
          <w:bCs/>
          <w:color w:val="auto"/>
          <w:sz w:val="22"/>
          <w:szCs w:val="22"/>
          <w:highlight w:val="none"/>
          <w:lang w:val="en-US" w:eastAsia="zh-CN"/>
        </w:rPr>
        <w:t>温州巡游车移动端应用（数字交通综合执法与服务应用）</w:t>
      </w:r>
    </w:p>
    <w:p w14:paraId="729D4F88">
      <w:pPr>
        <w:numPr>
          <w:ilvl w:val="0"/>
          <w:numId w:val="39"/>
        </w:numPr>
        <w:ind w:left="721" w:hanging="314"/>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 服务资源运维</w:t>
      </w:r>
    </w:p>
    <w:p w14:paraId="1800FFDB">
      <w:pPr>
        <w:spacing w:after="0" w:line="413" w:lineRule="auto"/>
        <w:ind w:left="0" w:firstLine="42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检查服务资源使用情况，处理由于资源有限遇到的使用问题；排除由于连接问题而造成的网络阻塞，失控进程检查；磁盘空间使用情况检查，包括查找无主注册区，删除临时文件和由于不当关机或其他原因而生成的大型文件；服务工作效率检查，按需重新调整系统、分配资源。对服务器启动的服务所产生的的日志进行清理，对出现的问题及时的向相关人员进行反馈，对出现的重大事件进行记录，形成文档。</w:t>
      </w:r>
    </w:p>
    <w:p w14:paraId="79643A50">
      <w:pPr>
        <w:numPr>
          <w:ilvl w:val="0"/>
          <w:numId w:val="39"/>
        </w:numPr>
        <w:ind w:left="721" w:hanging="314"/>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数据库运维</w:t>
      </w:r>
    </w:p>
    <w:p w14:paraId="151E1364">
      <w:pPr>
        <w:spacing w:after="0" w:line="413" w:lineRule="auto"/>
        <w:ind w:left="0" w:firstLine="42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定期的对数据库进行巡检，确保数据库数据库正常运行。定期检查数据库的表空间、连接数、用户登录、数据库性能是否正常。</w:t>
      </w:r>
    </w:p>
    <w:p w14:paraId="12AEB6DD">
      <w:pPr>
        <w:numPr>
          <w:ilvl w:val="0"/>
          <w:numId w:val="39"/>
        </w:numPr>
        <w:ind w:left="721" w:hanging="314"/>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数据交换运维</w:t>
      </w:r>
    </w:p>
    <w:p w14:paraId="53AA06EA">
      <w:pPr>
        <w:spacing w:after="0" w:line="413" w:lineRule="auto"/>
        <w:ind w:left="-15" w:right="91" w:firstLine="41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每月对现有的数据交换进行巡检，发现问题及时处理，确保数据交换正常。目前的数据交换有：人员、业户、车辆的基础数据，案件数据等。</w:t>
      </w:r>
    </w:p>
    <w:p w14:paraId="78A5110F">
      <w:pPr>
        <w:spacing w:after="0" w:line="413" w:lineRule="auto"/>
        <w:ind w:left="0" w:firstLine="42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数据检查工作，进行定期巡检，对系统的数据进行完整性、正确性检查，及时发现数据质量问题。对现有已接入的数据每周进行巡检，对发现问题要及时进行处理，保证数据交换的正常。另外根据业务情况要求，实现数据的共享服务的开发，并对交换任务实行日常巡检。</w:t>
      </w:r>
    </w:p>
    <w:p w14:paraId="0C67AE7A">
      <w:pPr>
        <w:numPr>
          <w:ilvl w:val="0"/>
          <w:numId w:val="39"/>
        </w:numPr>
        <w:ind w:left="721" w:hanging="314"/>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安全运维</w:t>
      </w:r>
    </w:p>
    <w:p w14:paraId="2466F0DC">
      <w:pPr>
        <w:pStyle w:val="76"/>
        <w:numPr>
          <w:ilvl w:val="0"/>
          <w:numId w:val="0"/>
        </w:numPr>
        <w:ind w:left="330" w:left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实时监控安全事件，及时发现并处理安全威胁。根据监控及客户组织的漏洞扫描的结果对系统进行组件升级、安全配置加固等。</w:t>
      </w:r>
    </w:p>
    <w:p w14:paraId="4D13B5AA">
      <w:pPr>
        <w:pStyle w:val="76"/>
        <w:numPr>
          <w:ilvl w:val="0"/>
          <w:numId w:val="0"/>
        </w:numPr>
        <w:ind w:firstLine="440" w:firstLineChars="20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5、运维期为2026年10月31日至2027年12月31日</w:t>
      </w:r>
    </w:p>
    <w:p w14:paraId="642E0B03">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瓯江数字港航服务于管理平台</w:t>
      </w:r>
      <w:r>
        <w:rPr>
          <w:rFonts w:hint="eastAsia" w:ascii="宋体" w:hAnsi="宋体" w:eastAsia="宋体" w:cs="宋体"/>
          <w:color w:val="auto"/>
          <w:kern w:val="2"/>
          <w:sz w:val="22"/>
          <w:szCs w:val="22"/>
          <w:highlight w:val="none"/>
          <w:lang w:val="en-US" w:eastAsia="zh-CN" w:bidi="ar-SA"/>
        </w:rPr>
        <w:t>（数字交通综合执法与服务应用）</w:t>
      </w:r>
    </w:p>
    <w:p w14:paraId="25FB0D85">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r>
        <w:rPr>
          <w:rFonts w:hint="default" w:ascii="宋体" w:hAnsi="宋体" w:eastAsia="宋体" w:cs="宋体"/>
          <w:color w:val="auto"/>
          <w:kern w:val="2"/>
          <w:sz w:val="22"/>
          <w:szCs w:val="22"/>
          <w:highlight w:val="none"/>
          <w:lang w:val="en-US" w:eastAsia="zh-CN" w:bidi="ar-SA"/>
        </w:rPr>
        <w:t>与温州市航标处对接AIS数据服务</w:t>
      </w:r>
    </w:p>
    <w:p w14:paraId="1E471546">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积极配合做AIS数据的对接工作，协助温州市交通运输局解决与温州市航标处对接过程中遇到的各种问题，为AIS数据融合提供技术支撑，为船舶航行提供安全可靠AIS数据。</w:t>
      </w:r>
    </w:p>
    <w:p w14:paraId="5EA23A8A">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(2)信创技术支撑服务</w:t>
      </w:r>
    </w:p>
    <w:p w14:paraId="382C2616">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积极配合温州市交通运输局做好信创国产化改造工作，为信创国产化改造提供技术支撑。</w:t>
      </w:r>
    </w:p>
    <w:p w14:paraId="21818F66">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(3)航道设施维护技术支持</w:t>
      </w:r>
    </w:p>
    <w:p w14:paraId="62015B0A">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为温州市港航管理中心提供在航标、潮位、气象观测站等设施维护的技术支持，建立航道感知设备管理网络，对感知设备24小时无人化监管，提供设备掉线、数据异常等重要提醒和数据分析与查询服务。</w:t>
      </w:r>
    </w:p>
    <w:p w14:paraId="0854D848">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(4)面向公众船舶导航服务</w:t>
      </w:r>
    </w:p>
    <w:p w14:paraId="7FECACE4">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为船方、航运企业提供导航服务，提供桥梁防碰撞和乘潮导航算法和运行逻辑更新和维护工作，积极做好面向公众的航道船舶导航服务。</w:t>
      </w:r>
    </w:p>
    <w:p w14:paraId="3CD3C5A9">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系统日常维护</w:t>
      </w:r>
    </w:p>
    <w:p w14:paraId="0BD3841F">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积极做好系统日常维护工作，针对系统中数字航道“一张图”、感知设备“一张网”、航道服务“多应用”等多项内容，日常检查测试，保障系统数据安全和运行稳定。</w:t>
      </w:r>
    </w:p>
    <w:p w14:paraId="11760262">
      <w:pPr>
        <w:spacing w:after="0" w:line="413" w:lineRule="auto"/>
        <w:ind w:left="0" w:firstLine="42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w:t>
      </w:r>
      <w:r>
        <w:rPr>
          <w:rFonts w:hint="default" w:ascii="宋体" w:hAnsi="宋体" w:eastAsia="宋体" w:cs="宋体"/>
          <w:color w:val="auto"/>
          <w:kern w:val="2"/>
          <w:sz w:val="22"/>
          <w:szCs w:val="22"/>
          <w:highlight w:val="none"/>
          <w:lang w:val="en-US" w:eastAsia="zh-CN" w:bidi="ar-SA"/>
        </w:rPr>
        <w:t>运维期为2026年10月31日至2027年12月31日</w:t>
      </w:r>
    </w:p>
    <w:p w14:paraId="3119A9E7">
      <w:pPr>
        <w:keepNext w:val="0"/>
        <w:keepLines w:val="0"/>
        <w:pageBreakBefore w:val="0"/>
        <w:kinsoku/>
        <w:wordWrap/>
        <w:overflowPunct/>
        <w:topLinePunct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三、运维服务要求</w:t>
      </w:r>
      <w:bookmarkEnd w:id="128"/>
    </w:p>
    <w:p w14:paraId="46917E92">
      <w:pPr>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）服务要求及故障响应时间要求</w:t>
      </w:r>
    </w:p>
    <w:p w14:paraId="2811EB15">
      <w:pPr>
        <w:pStyle w:val="673"/>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1、日常运维技术服务要求</w:t>
      </w:r>
    </w:p>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00"/>
        <w:gridCol w:w="1117"/>
        <w:gridCol w:w="4588"/>
        <w:gridCol w:w="2202"/>
      </w:tblGrid>
      <w:tr w14:paraId="25F2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377" w:type="pct"/>
            <w:tcBorders>
              <w:top w:val="single" w:color="auto" w:sz="4" w:space="0"/>
              <w:left w:val="single" w:color="auto" w:sz="4" w:space="0"/>
              <w:bottom w:val="single" w:color="auto" w:sz="4" w:space="0"/>
              <w:right w:val="single" w:color="auto" w:sz="4" w:space="0"/>
            </w:tcBorders>
            <w:shd w:val="clear" w:color="auto" w:fill="FFFFFF"/>
            <w:vAlign w:val="center"/>
          </w:tcPr>
          <w:p w14:paraId="56D30A36">
            <w:pPr>
              <w:pStyle w:val="744"/>
              <w:keepNext w:val="0"/>
              <w:keepLines w:val="0"/>
              <w:pageBreakBefore w:val="0"/>
              <w:widowControl/>
              <w:kinsoku/>
              <w:wordWrap/>
              <w:overflowPunct/>
              <w:topLinePunct w:val="0"/>
              <w:bidi w:val="0"/>
              <w:snapToGrid/>
              <w:spacing w:line="360" w:lineRule="auto"/>
              <w:jc w:val="center"/>
              <w:rPr>
                <w:rFonts w:hint="eastAsia" w:ascii="宋体" w:hAnsi="宋体" w:eastAsia="宋体" w:cs="宋体"/>
                <w:b/>
                <w:bCs/>
                <w:color w:val="auto"/>
                <w:sz w:val="22"/>
                <w:szCs w:val="22"/>
                <w:highlight w:val="none"/>
              </w:rPr>
            </w:pPr>
            <w:r>
              <w:rPr>
                <w:rStyle w:val="745"/>
                <w:rFonts w:hint="eastAsia" w:ascii="宋体" w:hAnsi="宋体" w:eastAsia="宋体" w:cs="宋体"/>
                <w:b/>
                <w:bCs/>
                <w:color w:val="auto"/>
                <w:sz w:val="22"/>
                <w:szCs w:val="22"/>
                <w:highlight w:val="none"/>
              </w:rPr>
              <w:t>序号</w:t>
            </w:r>
          </w:p>
        </w:tc>
        <w:tc>
          <w:tcPr>
            <w:tcW w:w="609" w:type="pct"/>
            <w:tcBorders>
              <w:top w:val="single" w:color="auto" w:sz="4" w:space="0"/>
              <w:left w:val="nil"/>
              <w:bottom w:val="single" w:color="auto" w:sz="4" w:space="0"/>
              <w:right w:val="single" w:color="auto" w:sz="4" w:space="0"/>
            </w:tcBorders>
            <w:shd w:val="clear" w:color="auto" w:fill="FFFFFF"/>
            <w:vAlign w:val="center"/>
          </w:tcPr>
          <w:p w14:paraId="62DB78CC">
            <w:pPr>
              <w:pStyle w:val="744"/>
              <w:keepNext w:val="0"/>
              <w:keepLines w:val="0"/>
              <w:pageBreakBefore w:val="0"/>
              <w:widowControl/>
              <w:kinsoku/>
              <w:wordWrap/>
              <w:overflowPunct/>
              <w:topLinePunct w:val="0"/>
              <w:bidi w:val="0"/>
              <w:snapToGrid/>
              <w:spacing w:line="360" w:lineRule="auto"/>
              <w:jc w:val="center"/>
              <w:rPr>
                <w:rFonts w:hint="eastAsia" w:ascii="宋体" w:hAnsi="宋体" w:eastAsia="宋体" w:cs="宋体"/>
                <w:b/>
                <w:bCs/>
                <w:color w:val="auto"/>
                <w:sz w:val="22"/>
                <w:szCs w:val="22"/>
                <w:highlight w:val="none"/>
              </w:rPr>
            </w:pPr>
            <w:r>
              <w:rPr>
                <w:rStyle w:val="745"/>
                <w:rFonts w:hint="eastAsia" w:ascii="宋体" w:hAnsi="宋体" w:eastAsia="宋体" w:cs="宋体"/>
                <w:b/>
                <w:bCs/>
                <w:color w:val="auto"/>
                <w:sz w:val="22"/>
                <w:szCs w:val="22"/>
                <w:highlight w:val="none"/>
              </w:rPr>
              <w:t>服务内容</w:t>
            </w:r>
          </w:p>
        </w:tc>
        <w:tc>
          <w:tcPr>
            <w:tcW w:w="567" w:type="pct"/>
            <w:tcBorders>
              <w:top w:val="single" w:color="auto" w:sz="4" w:space="0"/>
              <w:left w:val="nil"/>
              <w:bottom w:val="single" w:color="auto" w:sz="4" w:space="0"/>
              <w:right w:val="single" w:color="auto" w:sz="4" w:space="0"/>
            </w:tcBorders>
            <w:shd w:val="clear" w:color="auto" w:fill="FFFFFF"/>
            <w:vAlign w:val="center"/>
          </w:tcPr>
          <w:p w14:paraId="21DBDE91">
            <w:pPr>
              <w:pStyle w:val="744"/>
              <w:keepNext w:val="0"/>
              <w:keepLines w:val="0"/>
              <w:pageBreakBefore w:val="0"/>
              <w:widowControl/>
              <w:kinsoku/>
              <w:wordWrap/>
              <w:overflowPunct/>
              <w:topLinePunct w:val="0"/>
              <w:bidi w:val="0"/>
              <w:snapToGrid/>
              <w:spacing w:line="360" w:lineRule="auto"/>
              <w:jc w:val="center"/>
              <w:rPr>
                <w:rFonts w:hint="eastAsia" w:ascii="宋体" w:hAnsi="宋体" w:eastAsia="宋体" w:cs="宋体"/>
                <w:b/>
                <w:bCs/>
                <w:color w:val="auto"/>
                <w:sz w:val="22"/>
                <w:szCs w:val="22"/>
                <w:highlight w:val="none"/>
              </w:rPr>
            </w:pPr>
            <w:r>
              <w:rPr>
                <w:rStyle w:val="745"/>
                <w:rFonts w:hint="eastAsia" w:ascii="宋体" w:hAnsi="宋体" w:eastAsia="宋体" w:cs="宋体"/>
                <w:b/>
                <w:bCs/>
                <w:color w:val="auto"/>
                <w:sz w:val="22"/>
                <w:szCs w:val="22"/>
                <w:highlight w:val="none"/>
              </w:rPr>
              <w:t>常规服务时间</w:t>
            </w:r>
          </w:p>
        </w:tc>
        <w:tc>
          <w:tcPr>
            <w:tcW w:w="2328" w:type="pct"/>
            <w:tcBorders>
              <w:top w:val="single" w:color="auto" w:sz="4" w:space="0"/>
              <w:left w:val="nil"/>
              <w:bottom w:val="single" w:color="auto" w:sz="4" w:space="0"/>
              <w:right w:val="single" w:color="auto" w:sz="4" w:space="0"/>
            </w:tcBorders>
            <w:shd w:val="clear" w:color="auto" w:fill="FFFFFF"/>
            <w:vAlign w:val="center"/>
          </w:tcPr>
          <w:p w14:paraId="20C31F28">
            <w:pPr>
              <w:pStyle w:val="744"/>
              <w:keepNext w:val="0"/>
              <w:keepLines w:val="0"/>
              <w:pageBreakBefore w:val="0"/>
              <w:widowControl/>
              <w:kinsoku/>
              <w:wordWrap/>
              <w:overflowPunct/>
              <w:topLinePunct w:val="0"/>
              <w:bidi w:val="0"/>
              <w:snapToGrid/>
              <w:spacing w:line="360" w:lineRule="auto"/>
              <w:jc w:val="center"/>
              <w:rPr>
                <w:rFonts w:hint="eastAsia" w:ascii="宋体" w:hAnsi="宋体" w:eastAsia="宋体" w:cs="宋体"/>
                <w:b/>
                <w:bCs/>
                <w:color w:val="auto"/>
                <w:sz w:val="22"/>
                <w:szCs w:val="22"/>
                <w:highlight w:val="none"/>
              </w:rPr>
            </w:pPr>
            <w:r>
              <w:rPr>
                <w:rStyle w:val="745"/>
                <w:rFonts w:hint="eastAsia" w:ascii="宋体" w:hAnsi="宋体" w:eastAsia="宋体" w:cs="宋体"/>
                <w:b/>
                <w:bCs/>
                <w:color w:val="auto"/>
                <w:sz w:val="22"/>
                <w:szCs w:val="22"/>
                <w:highlight w:val="none"/>
              </w:rPr>
              <w:t>服务说明</w:t>
            </w:r>
          </w:p>
        </w:tc>
        <w:tc>
          <w:tcPr>
            <w:tcW w:w="1117" w:type="pct"/>
            <w:tcBorders>
              <w:top w:val="single" w:color="auto" w:sz="4" w:space="0"/>
              <w:left w:val="nil"/>
              <w:bottom w:val="single" w:color="auto" w:sz="4" w:space="0"/>
              <w:right w:val="single" w:color="auto" w:sz="4" w:space="0"/>
            </w:tcBorders>
            <w:shd w:val="clear" w:color="auto" w:fill="FFFFFF"/>
            <w:vAlign w:val="center"/>
          </w:tcPr>
          <w:p w14:paraId="18777874">
            <w:pPr>
              <w:pStyle w:val="744"/>
              <w:keepNext w:val="0"/>
              <w:keepLines w:val="0"/>
              <w:pageBreakBefore w:val="0"/>
              <w:widowControl/>
              <w:kinsoku/>
              <w:wordWrap/>
              <w:overflowPunct/>
              <w:topLinePunct w:val="0"/>
              <w:bidi w:val="0"/>
              <w:snapToGrid/>
              <w:spacing w:line="360" w:lineRule="auto"/>
              <w:jc w:val="center"/>
              <w:rPr>
                <w:rFonts w:hint="eastAsia" w:ascii="宋体" w:hAnsi="宋体" w:eastAsia="宋体" w:cs="宋体"/>
                <w:b/>
                <w:bCs/>
                <w:color w:val="auto"/>
                <w:sz w:val="22"/>
                <w:szCs w:val="22"/>
                <w:highlight w:val="none"/>
              </w:rPr>
            </w:pPr>
            <w:r>
              <w:rPr>
                <w:rStyle w:val="745"/>
                <w:rFonts w:hint="eastAsia" w:ascii="宋体" w:hAnsi="宋体" w:eastAsia="宋体" w:cs="宋体"/>
                <w:b/>
                <w:bCs/>
                <w:color w:val="auto"/>
                <w:sz w:val="22"/>
                <w:szCs w:val="22"/>
                <w:highlight w:val="none"/>
              </w:rPr>
              <w:t>服务要求</w:t>
            </w:r>
          </w:p>
        </w:tc>
      </w:tr>
      <w:tr w14:paraId="497F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top w:val="single" w:color="auto" w:sz="4" w:space="0"/>
              <w:left w:val="single" w:color="auto" w:sz="4" w:space="0"/>
              <w:bottom w:val="single" w:color="auto" w:sz="4" w:space="0"/>
              <w:right w:val="single" w:color="auto" w:sz="4" w:space="0"/>
            </w:tcBorders>
            <w:vAlign w:val="center"/>
          </w:tcPr>
          <w:p w14:paraId="3F73F20F">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1</w:t>
            </w:r>
          </w:p>
        </w:tc>
        <w:tc>
          <w:tcPr>
            <w:tcW w:w="609" w:type="pct"/>
            <w:tcBorders>
              <w:top w:val="single" w:color="auto" w:sz="4" w:space="0"/>
              <w:left w:val="nil"/>
              <w:bottom w:val="single" w:color="auto" w:sz="4" w:space="0"/>
              <w:right w:val="single" w:color="auto" w:sz="4" w:space="0"/>
            </w:tcBorders>
            <w:vAlign w:val="center"/>
          </w:tcPr>
          <w:p w14:paraId="2C89B67E">
            <w:pPr>
              <w:pStyle w:val="744"/>
              <w:keepNext w:val="0"/>
              <w:keepLines w:val="0"/>
              <w:pageBreakBefore w:val="0"/>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应用软件配置</w:t>
            </w:r>
          </w:p>
        </w:tc>
        <w:tc>
          <w:tcPr>
            <w:tcW w:w="567" w:type="pct"/>
            <w:tcBorders>
              <w:top w:val="single" w:color="auto" w:sz="4" w:space="0"/>
              <w:left w:val="nil"/>
              <w:bottom w:val="single" w:color="auto" w:sz="4" w:space="0"/>
              <w:right w:val="single" w:color="auto" w:sz="4" w:space="0"/>
            </w:tcBorders>
            <w:vAlign w:val="center"/>
          </w:tcPr>
          <w:p w14:paraId="514E8C03">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7×24</w:t>
            </w:r>
          </w:p>
        </w:tc>
        <w:tc>
          <w:tcPr>
            <w:tcW w:w="2328" w:type="pct"/>
            <w:tcBorders>
              <w:top w:val="single" w:color="auto" w:sz="4" w:space="0"/>
              <w:left w:val="nil"/>
              <w:bottom w:val="single" w:color="auto" w:sz="4" w:space="0"/>
              <w:right w:val="single" w:color="auto" w:sz="4" w:space="0"/>
            </w:tcBorders>
            <w:vAlign w:val="center"/>
          </w:tcPr>
          <w:p w14:paraId="1D211436">
            <w:pPr>
              <w:pStyle w:val="744"/>
              <w:keepNext w:val="0"/>
              <w:keepLines w:val="0"/>
              <w:pageBreakBefore w:val="0"/>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服务期内包括但不限于开设用户账号、配置用户权限、组织机构调整、软件参数设置、模板导入导出、工作流设置、菜单配置等。</w:t>
            </w:r>
          </w:p>
        </w:tc>
        <w:tc>
          <w:tcPr>
            <w:tcW w:w="1117" w:type="pct"/>
            <w:tcBorders>
              <w:top w:val="single" w:color="auto" w:sz="4" w:space="0"/>
              <w:left w:val="nil"/>
              <w:bottom w:val="single" w:color="auto" w:sz="4" w:space="0"/>
              <w:right w:val="single" w:color="auto" w:sz="4" w:space="0"/>
            </w:tcBorders>
            <w:vAlign w:val="center"/>
          </w:tcPr>
          <w:p w14:paraId="7C981DE7">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按需提供，不限服务次数</w:t>
            </w:r>
          </w:p>
        </w:tc>
      </w:tr>
      <w:tr w14:paraId="0A53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top w:val="single" w:color="auto" w:sz="4" w:space="0"/>
              <w:left w:val="single" w:color="auto" w:sz="4" w:space="0"/>
              <w:bottom w:val="single" w:color="auto" w:sz="4" w:space="0"/>
              <w:right w:val="single" w:color="auto" w:sz="4" w:space="0"/>
            </w:tcBorders>
            <w:vAlign w:val="center"/>
          </w:tcPr>
          <w:p w14:paraId="45E9D951">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2</w:t>
            </w:r>
          </w:p>
        </w:tc>
        <w:tc>
          <w:tcPr>
            <w:tcW w:w="609" w:type="pct"/>
            <w:tcBorders>
              <w:top w:val="single" w:color="auto" w:sz="4" w:space="0"/>
              <w:left w:val="nil"/>
              <w:bottom w:val="single" w:color="auto" w:sz="4" w:space="0"/>
              <w:right w:val="single" w:color="auto" w:sz="4" w:space="0"/>
            </w:tcBorders>
            <w:vAlign w:val="center"/>
          </w:tcPr>
          <w:p w14:paraId="70372FD5">
            <w:pPr>
              <w:pStyle w:val="744"/>
              <w:keepNext w:val="0"/>
              <w:keepLines w:val="0"/>
              <w:pageBreakBefore w:val="0"/>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联调测试</w:t>
            </w:r>
          </w:p>
        </w:tc>
        <w:tc>
          <w:tcPr>
            <w:tcW w:w="567" w:type="pct"/>
            <w:tcBorders>
              <w:top w:val="single" w:color="auto" w:sz="4" w:space="0"/>
              <w:left w:val="nil"/>
              <w:bottom w:val="single" w:color="auto" w:sz="4" w:space="0"/>
              <w:right w:val="single" w:color="auto" w:sz="4" w:space="0"/>
            </w:tcBorders>
            <w:vAlign w:val="center"/>
          </w:tcPr>
          <w:p w14:paraId="34BD022D">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7×24</w:t>
            </w:r>
          </w:p>
        </w:tc>
        <w:tc>
          <w:tcPr>
            <w:tcW w:w="2328" w:type="pct"/>
            <w:tcBorders>
              <w:top w:val="single" w:color="auto" w:sz="4" w:space="0"/>
              <w:left w:val="nil"/>
              <w:bottom w:val="single" w:color="auto" w:sz="4" w:space="0"/>
              <w:right w:val="single" w:color="auto" w:sz="4" w:space="0"/>
            </w:tcBorders>
            <w:vAlign w:val="center"/>
          </w:tcPr>
          <w:p w14:paraId="48AD13A4">
            <w:pPr>
              <w:pStyle w:val="744"/>
              <w:keepNext w:val="0"/>
              <w:keepLines w:val="0"/>
              <w:pageBreakBefore w:val="0"/>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为配合外部系统的对接进行联调测试。包括外部系统接入与接入外部系统两类调试。</w:t>
            </w:r>
          </w:p>
        </w:tc>
        <w:tc>
          <w:tcPr>
            <w:tcW w:w="1117" w:type="pct"/>
            <w:tcBorders>
              <w:top w:val="single" w:color="auto" w:sz="4" w:space="0"/>
              <w:left w:val="nil"/>
              <w:bottom w:val="single" w:color="auto" w:sz="4" w:space="0"/>
              <w:right w:val="single" w:color="auto" w:sz="4" w:space="0"/>
            </w:tcBorders>
            <w:vAlign w:val="center"/>
          </w:tcPr>
          <w:p w14:paraId="3C1044C8">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按需提供，不限服务次数</w:t>
            </w:r>
          </w:p>
        </w:tc>
      </w:tr>
      <w:tr w14:paraId="2C49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top w:val="single" w:color="auto" w:sz="4" w:space="0"/>
              <w:left w:val="single" w:color="auto" w:sz="4" w:space="0"/>
              <w:bottom w:val="single" w:color="auto" w:sz="4" w:space="0"/>
              <w:right w:val="single" w:color="auto" w:sz="4" w:space="0"/>
            </w:tcBorders>
            <w:vAlign w:val="center"/>
          </w:tcPr>
          <w:p w14:paraId="30F46926">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3</w:t>
            </w:r>
          </w:p>
        </w:tc>
        <w:tc>
          <w:tcPr>
            <w:tcW w:w="609" w:type="pct"/>
            <w:tcBorders>
              <w:top w:val="single" w:color="auto" w:sz="4" w:space="0"/>
              <w:left w:val="nil"/>
              <w:bottom w:val="single" w:color="auto" w:sz="4" w:space="0"/>
              <w:right w:val="single" w:color="auto" w:sz="4" w:space="0"/>
            </w:tcBorders>
            <w:vAlign w:val="center"/>
          </w:tcPr>
          <w:p w14:paraId="6BC20A2C">
            <w:pPr>
              <w:pStyle w:val="744"/>
              <w:keepNext w:val="0"/>
              <w:keepLines w:val="0"/>
              <w:pageBreakBefore w:val="0"/>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技术文档管理</w:t>
            </w:r>
          </w:p>
        </w:tc>
        <w:tc>
          <w:tcPr>
            <w:tcW w:w="567" w:type="pct"/>
            <w:tcBorders>
              <w:top w:val="single" w:color="auto" w:sz="4" w:space="0"/>
              <w:left w:val="nil"/>
              <w:bottom w:val="single" w:color="auto" w:sz="4" w:space="0"/>
              <w:right w:val="single" w:color="auto" w:sz="4" w:space="0"/>
            </w:tcBorders>
            <w:vAlign w:val="center"/>
          </w:tcPr>
          <w:p w14:paraId="77661EF9">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7×24</w:t>
            </w:r>
          </w:p>
        </w:tc>
        <w:tc>
          <w:tcPr>
            <w:tcW w:w="2328" w:type="pct"/>
            <w:tcBorders>
              <w:top w:val="single" w:color="auto" w:sz="4" w:space="0"/>
              <w:left w:val="nil"/>
              <w:bottom w:val="single" w:color="auto" w:sz="4" w:space="0"/>
              <w:right w:val="single" w:color="auto" w:sz="4" w:space="0"/>
            </w:tcBorders>
            <w:vAlign w:val="center"/>
          </w:tcPr>
          <w:p w14:paraId="6D0DDE9D">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kern w:val="2"/>
                <w:sz w:val="22"/>
                <w:szCs w:val="22"/>
                <w:highlight w:val="none"/>
              </w:rPr>
              <w:t>1、根据采购</w:t>
            </w:r>
            <w:r>
              <w:rPr>
                <w:rStyle w:val="745"/>
                <w:rFonts w:hint="eastAsia" w:ascii="宋体" w:hAnsi="宋体" w:eastAsia="宋体" w:cs="宋体"/>
                <w:color w:val="auto"/>
                <w:kern w:val="2"/>
                <w:sz w:val="22"/>
                <w:szCs w:val="22"/>
                <w:highlight w:val="none"/>
                <w:lang w:val="en-US" w:eastAsia="zh-CN"/>
              </w:rPr>
              <w:t>人</w:t>
            </w:r>
            <w:r>
              <w:rPr>
                <w:rStyle w:val="745"/>
                <w:rFonts w:hint="eastAsia" w:ascii="宋体" w:hAnsi="宋体" w:eastAsia="宋体" w:cs="宋体"/>
                <w:color w:val="auto"/>
                <w:kern w:val="2"/>
                <w:sz w:val="22"/>
                <w:szCs w:val="22"/>
                <w:highlight w:val="none"/>
              </w:rPr>
              <w:t>要求提供技术文档管理，包括更新系统应用配置信息、系统安装设置手册编写及维护、数据库管理及更新、系统日常巡检规范手册编写及维护、应急预案制定和维护、操作说明书的编写与修订、每月维护总结及维护台账等内容</w:t>
            </w:r>
            <w:r>
              <w:rPr>
                <w:rStyle w:val="745"/>
                <w:rFonts w:hint="eastAsia" w:ascii="宋体" w:hAnsi="宋体" w:eastAsia="宋体" w:cs="宋体"/>
                <w:color w:val="auto"/>
                <w:sz w:val="22"/>
                <w:szCs w:val="22"/>
                <w:highlight w:val="none"/>
              </w:rPr>
              <w:t>。</w:t>
            </w:r>
          </w:p>
        </w:tc>
        <w:tc>
          <w:tcPr>
            <w:tcW w:w="1117" w:type="pct"/>
            <w:tcBorders>
              <w:top w:val="single" w:color="auto" w:sz="4" w:space="0"/>
              <w:left w:val="nil"/>
              <w:bottom w:val="single" w:color="auto" w:sz="4" w:space="0"/>
              <w:right w:val="single" w:color="auto" w:sz="4" w:space="0"/>
            </w:tcBorders>
            <w:vAlign w:val="center"/>
          </w:tcPr>
          <w:p w14:paraId="5BD0A7E2">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每月总结及维护台账需每月最后一天提供，其余根据实际要求按需提供</w:t>
            </w:r>
          </w:p>
        </w:tc>
      </w:tr>
      <w:tr w14:paraId="649D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top w:val="single" w:color="auto" w:sz="4" w:space="0"/>
              <w:left w:val="single" w:color="auto" w:sz="4" w:space="0"/>
              <w:bottom w:val="single" w:color="auto" w:sz="4" w:space="0"/>
              <w:right w:val="single" w:color="auto" w:sz="4" w:space="0"/>
            </w:tcBorders>
            <w:vAlign w:val="center"/>
          </w:tcPr>
          <w:p w14:paraId="1113FE3F">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4</w:t>
            </w:r>
          </w:p>
        </w:tc>
        <w:tc>
          <w:tcPr>
            <w:tcW w:w="609" w:type="pct"/>
            <w:tcBorders>
              <w:top w:val="single" w:color="auto" w:sz="4" w:space="0"/>
              <w:left w:val="nil"/>
              <w:bottom w:val="single" w:color="auto" w:sz="4" w:space="0"/>
              <w:right w:val="single" w:color="auto" w:sz="4" w:space="0"/>
            </w:tcBorders>
            <w:vAlign w:val="center"/>
          </w:tcPr>
          <w:p w14:paraId="7602469B">
            <w:pPr>
              <w:pStyle w:val="744"/>
              <w:keepNext w:val="0"/>
              <w:keepLines w:val="0"/>
              <w:pageBreakBefore w:val="0"/>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技术协助</w:t>
            </w:r>
          </w:p>
        </w:tc>
        <w:tc>
          <w:tcPr>
            <w:tcW w:w="567" w:type="pct"/>
            <w:tcBorders>
              <w:top w:val="single" w:color="auto" w:sz="4" w:space="0"/>
              <w:left w:val="nil"/>
              <w:bottom w:val="single" w:color="auto" w:sz="4" w:space="0"/>
              <w:right w:val="single" w:color="auto" w:sz="4" w:space="0"/>
            </w:tcBorders>
            <w:vAlign w:val="center"/>
          </w:tcPr>
          <w:p w14:paraId="456D436F">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7×24</w:t>
            </w:r>
          </w:p>
        </w:tc>
        <w:tc>
          <w:tcPr>
            <w:tcW w:w="2328" w:type="pct"/>
            <w:tcBorders>
              <w:top w:val="single" w:color="auto" w:sz="4" w:space="0"/>
              <w:left w:val="nil"/>
              <w:bottom w:val="single" w:color="auto" w:sz="4" w:space="0"/>
              <w:right w:val="single" w:color="auto" w:sz="4" w:space="0"/>
            </w:tcBorders>
            <w:vAlign w:val="center"/>
          </w:tcPr>
          <w:p w14:paraId="31BE3481">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1、技术帮助。为管理者、使用者提供技术帮助，解答与平台使用相关的各类问题。</w:t>
            </w:r>
          </w:p>
          <w:p w14:paraId="36C9CDA5">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2、数据统计。按需求统计平台运行情况，提供相关报表、报告。</w:t>
            </w:r>
          </w:p>
          <w:p w14:paraId="25169187">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3、数据推送接口技术咨询和帮助。</w:t>
            </w:r>
          </w:p>
        </w:tc>
        <w:tc>
          <w:tcPr>
            <w:tcW w:w="1117" w:type="pct"/>
            <w:tcBorders>
              <w:top w:val="single" w:color="auto" w:sz="4" w:space="0"/>
              <w:left w:val="nil"/>
              <w:bottom w:val="single" w:color="auto" w:sz="4" w:space="0"/>
              <w:right w:val="single" w:color="auto" w:sz="4" w:space="0"/>
            </w:tcBorders>
            <w:vAlign w:val="center"/>
          </w:tcPr>
          <w:p w14:paraId="6146B23A">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用户提出技术咨询和疑问时能及时给予解答，保证用户能够在最短的时间内解决问题。</w:t>
            </w:r>
          </w:p>
        </w:tc>
      </w:tr>
      <w:tr w14:paraId="73FD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top w:val="single" w:color="auto" w:sz="4" w:space="0"/>
              <w:left w:val="single" w:color="auto" w:sz="4" w:space="0"/>
              <w:bottom w:val="single" w:color="auto" w:sz="4" w:space="0"/>
              <w:right w:val="single" w:color="auto" w:sz="4" w:space="0"/>
            </w:tcBorders>
            <w:vAlign w:val="center"/>
          </w:tcPr>
          <w:p w14:paraId="5C1FB3D5">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5</w:t>
            </w:r>
          </w:p>
        </w:tc>
        <w:tc>
          <w:tcPr>
            <w:tcW w:w="609" w:type="pct"/>
            <w:tcBorders>
              <w:top w:val="single" w:color="auto" w:sz="4" w:space="0"/>
              <w:left w:val="nil"/>
              <w:bottom w:val="single" w:color="auto" w:sz="4" w:space="0"/>
              <w:right w:val="single" w:color="auto" w:sz="4" w:space="0"/>
            </w:tcBorders>
            <w:vAlign w:val="center"/>
          </w:tcPr>
          <w:p w14:paraId="1C51E0DD">
            <w:pPr>
              <w:pStyle w:val="744"/>
              <w:keepNext w:val="0"/>
              <w:keepLines w:val="0"/>
              <w:pageBreakBefore w:val="0"/>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专家援助</w:t>
            </w:r>
          </w:p>
        </w:tc>
        <w:tc>
          <w:tcPr>
            <w:tcW w:w="567" w:type="pct"/>
            <w:tcBorders>
              <w:top w:val="single" w:color="auto" w:sz="4" w:space="0"/>
              <w:left w:val="nil"/>
              <w:bottom w:val="single" w:color="auto" w:sz="4" w:space="0"/>
              <w:right w:val="single" w:color="auto" w:sz="4" w:space="0"/>
            </w:tcBorders>
            <w:vAlign w:val="center"/>
          </w:tcPr>
          <w:p w14:paraId="36C44B23">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7×24</w:t>
            </w:r>
          </w:p>
        </w:tc>
        <w:tc>
          <w:tcPr>
            <w:tcW w:w="2328" w:type="pct"/>
            <w:tcBorders>
              <w:top w:val="single" w:color="auto" w:sz="4" w:space="0"/>
              <w:left w:val="nil"/>
              <w:bottom w:val="single" w:color="auto" w:sz="4" w:space="0"/>
              <w:right w:val="single" w:color="auto" w:sz="4" w:space="0"/>
            </w:tcBorders>
            <w:vAlign w:val="center"/>
          </w:tcPr>
          <w:p w14:paraId="52B31876">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对遇到的重大事件和疑难问题，召集资深专家级技术人员到现场进行会诊，形成专业技术专家队伍，确保能在最短时间内确定问题根源，找到相应的解决办法并解决问题。</w:t>
            </w:r>
          </w:p>
        </w:tc>
        <w:tc>
          <w:tcPr>
            <w:tcW w:w="1117" w:type="pct"/>
            <w:tcBorders>
              <w:top w:val="single" w:color="auto" w:sz="4" w:space="0"/>
              <w:left w:val="nil"/>
              <w:bottom w:val="single" w:color="auto" w:sz="4" w:space="0"/>
              <w:right w:val="single" w:color="auto" w:sz="4" w:space="0"/>
            </w:tcBorders>
            <w:vAlign w:val="center"/>
          </w:tcPr>
          <w:p w14:paraId="025E37B2">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按需提供，不限服务次数</w:t>
            </w:r>
          </w:p>
        </w:tc>
      </w:tr>
      <w:tr w14:paraId="54B8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top w:val="single" w:color="auto" w:sz="4" w:space="0"/>
              <w:left w:val="single" w:color="auto" w:sz="4" w:space="0"/>
              <w:bottom w:val="single" w:color="auto" w:sz="4" w:space="0"/>
              <w:right w:val="single" w:color="auto" w:sz="4" w:space="0"/>
            </w:tcBorders>
            <w:vAlign w:val="center"/>
          </w:tcPr>
          <w:p w14:paraId="150A4DD0">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6</w:t>
            </w:r>
          </w:p>
        </w:tc>
        <w:tc>
          <w:tcPr>
            <w:tcW w:w="609" w:type="pct"/>
            <w:tcBorders>
              <w:top w:val="single" w:color="auto" w:sz="4" w:space="0"/>
              <w:left w:val="nil"/>
              <w:bottom w:val="single" w:color="auto" w:sz="4" w:space="0"/>
              <w:right w:val="single" w:color="auto" w:sz="4" w:space="0"/>
            </w:tcBorders>
            <w:vAlign w:val="center"/>
          </w:tcPr>
          <w:p w14:paraId="6FC5E844">
            <w:pPr>
              <w:pStyle w:val="744"/>
              <w:keepNext w:val="0"/>
              <w:keepLines w:val="0"/>
              <w:pageBreakBefore w:val="0"/>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二线支持</w:t>
            </w:r>
          </w:p>
        </w:tc>
        <w:tc>
          <w:tcPr>
            <w:tcW w:w="567" w:type="pct"/>
            <w:tcBorders>
              <w:top w:val="single" w:color="auto" w:sz="4" w:space="0"/>
              <w:left w:val="nil"/>
              <w:bottom w:val="single" w:color="auto" w:sz="4" w:space="0"/>
              <w:right w:val="single" w:color="auto" w:sz="4" w:space="0"/>
            </w:tcBorders>
            <w:vAlign w:val="center"/>
          </w:tcPr>
          <w:p w14:paraId="5015E8B5">
            <w:pPr>
              <w:pStyle w:val="744"/>
              <w:keepNext w:val="0"/>
              <w:keepLines w:val="0"/>
              <w:pageBreakBefore w:val="0"/>
              <w:widowControl/>
              <w:kinsoku/>
              <w:wordWrap/>
              <w:overflowPunct/>
              <w:topLinePunct w:val="0"/>
              <w:bidi w:val="0"/>
              <w:snapToGrid/>
              <w:spacing w:line="360" w:lineRule="auto"/>
              <w:jc w:val="center"/>
              <w:rPr>
                <w:rStyle w:val="745"/>
                <w:rFonts w:hint="eastAsia" w:ascii="宋体" w:hAnsi="宋体" w:eastAsia="宋体" w:cs="宋体"/>
                <w:color w:val="auto"/>
                <w:sz w:val="22"/>
                <w:szCs w:val="22"/>
                <w:highlight w:val="none"/>
              </w:rPr>
            </w:pPr>
            <w:r>
              <w:rPr>
                <w:rStyle w:val="745"/>
                <w:rFonts w:hint="eastAsia" w:ascii="宋体" w:hAnsi="宋体" w:eastAsia="宋体" w:cs="宋体"/>
                <w:color w:val="auto"/>
                <w:sz w:val="22"/>
                <w:szCs w:val="22"/>
                <w:highlight w:val="none"/>
              </w:rPr>
              <w:t>7×24</w:t>
            </w:r>
          </w:p>
        </w:tc>
        <w:tc>
          <w:tcPr>
            <w:tcW w:w="2328" w:type="pct"/>
            <w:tcBorders>
              <w:top w:val="single" w:color="auto" w:sz="4" w:space="0"/>
              <w:left w:val="nil"/>
              <w:bottom w:val="single" w:color="auto" w:sz="4" w:space="0"/>
              <w:right w:val="single" w:color="auto" w:sz="4" w:space="0"/>
            </w:tcBorders>
            <w:vAlign w:val="center"/>
          </w:tcPr>
          <w:p w14:paraId="484B785A">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当出现远程或驻场人员无法处理的系统故障时，中标</w:t>
            </w:r>
            <w:r>
              <w:rPr>
                <w:rStyle w:val="745"/>
                <w:rFonts w:hint="eastAsia" w:ascii="宋体" w:hAnsi="宋体" w:eastAsia="宋体" w:cs="宋体"/>
                <w:color w:val="auto"/>
                <w:kern w:val="2"/>
                <w:sz w:val="22"/>
                <w:szCs w:val="22"/>
                <w:highlight w:val="none"/>
                <w:lang w:val="en-US" w:eastAsia="zh-CN"/>
              </w:rPr>
              <w:t>单位</w:t>
            </w:r>
            <w:r>
              <w:rPr>
                <w:rStyle w:val="745"/>
                <w:rFonts w:hint="eastAsia" w:ascii="宋体" w:hAnsi="宋体" w:eastAsia="宋体" w:cs="宋体"/>
                <w:color w:val="auto"/>
                <w:kern w:val="2"/>
                <w:sz w:val="22"/>
                <w:szCs w:val="22"/>
                <w:highlight w:val="none"/>
              </w:rPr>
              <w:t>需派相应的技术人员到现场解决问题，形成一线人员与二线人员互补的技术力量，共同解决问题。</w:t>
            </w:r>
          </w:p>
        </w:tc>
        <w:tc>
          <w:tcPr>
            <w:tcW w:w="1117" w:type="pct"/>
            <w:tcBorders>
              <w:top w:val="single" w:color="auto" w:sz="4" w:space="0"/>
              <w:left w:val="nil"/>
              <w:bottom w:val="single" w:color="auto" w:sz="4" w:space="0"/>
              <w:right w:val="single" w:color="auto" w:sz="4" w:space="0"/>
            </w:tcBorders>
            <w:vAlign w:val="center"/>
          </w:tcPr>
          <w:p w14:paraId="54938D49">
            <w:pPr>
              <w:pStyle w:val="746"/>
              <w:keepNext w:val="0"/>
              <w:keepLines w:val="0"/>
              <w:pageBreakBefore w:val="0"/>
              <w:kinsoku/>
              <w:wordWrap/>
              <w:overflowPunct/>
              <w:topLinePunct w:val="0"/>
              <w:bidi w:val="0"/>
              <w:snapToGrid/>
              <w:spacing w:line="360" w:lineRule="auto"/>
              <w:ind w:firstLine="0" w:firstLineChars="0"/>
              <w:rPr>
                <w:rStyle w:val="745"/>
                <w:rFonts w:hint="eastAsia" w:ascii="宋体" w:hAnsi="宋体" w:eastAsia="宋体" w:cs="宋体"/>
                <w:color w:val="auto"/>
                <w:kern w:val="2"/>
                <w:sz w:val="22"/>
                <w:szCs w:val="22"/>
                <w:highlight w:val="none"/>
              </w:rPr>
            </w:pPr>
            <w:r>
              <w:rPr>
                <w:rStyle w:val="745"/>
                <w:rFonts w:hint="eastAsia" w:ascii="宋体" w:hAnsi="宋体" w:eastAsia="宋体" w:cs="宋体"/>
                <w:color w:val="auto"/>
                <w:kern w:val="2"/>
                <w:sz w:val="22"/>
                <w:szCs w:val="22"/>
                <w:highlight w:val="none"/>
              </w:rPr>
              <w:t>按需提供，不限服务次数</w:t>
            </w:r>
          </w:p>
        </w:tc>
      </w:tr>
    </w:tbl>
    <w:p w14:paraId="67BC2776">
      <w:pPr>
        <w:pStyle w:val="673"/>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2、故障、漏洞处理：</w:t>
      </w:r>
    </w:p>
    <w:p w14:paraId="2EC962E1">
      <w:pPr>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（1）故障、漏洞处理要求</w:t>
      </w:r>
    </w:p>
    <w:tbl>
      <w:tblPr>
        <w:tblStyle w:val="57"/>
        <w:tblW w:w="9850" w:type="dxa"/>
        <w:jc w:val="center"/>
        <w:tblLayout w:type="fixed"/>
        <w:tblCellMar>
          <w:top w:w="0" w:type="dxa"/>
          <w:left w:w="108" w:type="dxa"/>
          <w:bottom w:w="0" w:type="dxa"/>
          <w:right w:w="108" w:type="dxa"/>
        </w:tblCellMar>
      </w:tblPr>
      <w:tblGrid>
        <w:gridCol w:w="750"/>
        <w:gridCol w:w="1200"/>
        <w:gridCol w:w="1100"/>
        <w:gridCol w:w="4600"/>
        <w:gridCol w:w="738"/>
        <w:gridCol w:w="1462"/>
      </w:tblGrid>
      <w:tr w14:paraId="68BB3DCB">
        <w:tblPrEx>
          <w:tblCellMar>
            <w:top w:w="0" w:type="dxa"/>
            <w:left w:w="108" w:type="dxa"/>
            <w:bottom w:w="0" w:type="dxa"/>
            <w:right w:w="108" w:type="dxa"/>
          </w:tblCellMar>
        </w:tblPrEx>
        <w:trPr>
          <w:trHeight w:val="352" w:hRule="atLeast"/>
          <w:jc w:val="center"/>
        </w:trPr>
        <w:tc>
          <w:tcPr>
            <w:tcW w:w="750" w:type="dxa"/>
            <w:vMerge w:val="restart"/>
            <w:tcBorders>
              <w:top w:val="single" w:color="auto" w:sz="4" w:space="0"/>
              <w:left w:val="single" w:color="auto" w:sz="4" w:space="0"/>
              <w:right w:val="single" w:color="auto" w:sz="4" w:space="0"/>
            </w:tcBorders>
            <w:shd w:val="clear" w:color="auto" w:fill="auto"/>
            <w:vAlign w:val="center"/>
          </w:tcPr>
          <w:p w14:paraId="3B2CBE1C">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序号</w:t>
            </w:r>
          </w:p>
        </w:tc>
        <w:tc>
          <w:tcPr>
            <w:tcW w:w="1200" w:type="dxa"/>
            <w:vMerge w:val="restart"/>
            <w:tcBorders>
              <w:top w:val="single" w:color="auto" w:sz="4" w:space="0"/>
              <w:left w:val="single" w:color="auto" w:sz="4" w:space="0"/>
              <w:right w:val="single" w:color="auto" w:sz="4" w:space="0"/>
            </w:tcBorders>
            <w:shd w:val="clear" w:color="auto" w:fill="auto"/>
            <w:vAlign w:val="center"/>
          </w:tcPr>
          <w:p w14:paraId="0171C4C1">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服务内容</w:t>
            </w:r>
          </w:p>
        </w:tc>
        <w:tc>
          <w:tcPr>
            <w:tcW w:w="1100" w:type="dxa"/>
            <w:vMerge w:val="restart"/>
            <w:tcBorders>
              <w:top w:val="single" w:color="auto" w:sz="4" w:space="0"/>
              <w:left w:val="single" w:color="auto" w:sz="4" w:space="0"/>
              <w:right w:val="single" w:color="auto" w:sz="4" w:space="0"/>
            </w:tcBorders>
            <w:shd w:val="clear" w:color="auto" w:fill="auto"/>
            <w:vAlign w:val="center"/>
          </w:tcPr>
          <w:p w14:paraId="554682E0">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常规服务时间</w:t>
            </w:r>
          </w:p>
        </w:tc>
        <w:tc>
          <w:tcPr>
            <w:tcW w:w="4600" w:type="dxa"/>
            <w:vMerge w:val="restart"/>
            <w:tcBorders>
              <w:top w:val="single" w:color="auto" w:sz="4" w:space="0"/>
              <w:left w:val="single" w:color="auto" w:sz="4" w:space="0"/>
              <w:right w:val="single" w:color="auto" w:sz="4" w:space="0"/>
            </w:tcBorders>
            <w:shd w:val="clear" w:color="auto" w:fill="auto"/>
            <w:vAlign w:val="center"/>
          </w:tcPr>
          <w:p w14:paraId="4C71CF27">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服务说明</w:t>
            </w:r>
          </w:p>
        </w:tc>
        <w:tc>
          <w:tcPr>
            <w:tcW w:w="2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A148F1">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服务要求</w:t>
            </w:r>
          </w:p>
        </w:tc>
      </w:tr>
      <w:tr w14:paraId="6A454A03">
        <w:tblPrEx>
          <w:tblCellMar>
            <w:top w:w="0" w:type="dxa"/>
            <w:left w:w="108" w:type="dxa"/>
            <w:bottom w:w="0" w:type="dxa"/>
            <w:right w:w="108" w:type="dxa"/>
          </w:tblCellMar>
        </w:tblPrEx>
        <w:trPr>
          <w:trHeight w:val="352"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14:paraId="1557ECBD">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14:paraId="00AF8D11">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p>
        </w:tc>
        <w:tc>
          <w:tcPr>
            <w:tcW w:w="1100" w:type="dxa"/>
            <w:vMerge w:val="continue"/>
            <w:tcBorders>
              <w:left w:val="single" w:color="auto" w:sz="4" w:space="0"/>
              <w:bottom w:val="single" w:color="auto" w:sz="4" w:space="0"/>
              <w:right w:val="single" w:color="auto" w:sz="4" w:space="0"/>
            </w:tcBorders>
            <w:shd w:val="clear" w:color="auto" w:fill="auto"/>
            <w:vAlign w:val="center"/>
          </w:tcPr>
          <w:p w14:paraId="29326730">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p>
        </w:tc>
        <w:tc>
          <w:tcPr>
            <w:tcW w:w="4600" w:type="dxa"/>
            <w:vMerge w:val="continue"/>
            <w:tcBorders>
              <w:left w:val="single" w:color="auto" w:sz="4" w:space="0"/>
              <w:bottom w:val="single" w:color="auto" w:sz="4" w:space="0"/>
              <w:right w:val="single" w:color="auto" w:sz="4" w:space="0"/>
            </w:tcBorders>
            <w:shd w:val="clear" w:color="auto" w:fill="auto"/>
            <w:vAlign w:val="center"/>
          </w:tcPr>
          <w:p w14:paraId="6F8815E4">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AD65D3D">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周期</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14:paraId="6A14470A">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次数</w:t>
            </w:r>
          </w:p>
        </w:tc>
      </w:tr>
      <w:tr w14:paraId="6A8295F1">
        <w:tblPrEx>
          <w:tblCellMar>
            <w:top w:w="0" w:type="dxa"/>
            <w:left w:w="108" w:type="dxa"/>
            <w:bottom w:w="0" w:type="dxa"/>
            <w:right w:w="108" w:type="dxa"/>
          </w:tblCellMar>
        </w:tblPrEx>
        <w:trPr>
          <w:trHeight w:val="715" w:hRule="atLeast"/>
          <w:jc w:val="center"/>
        </w:trPr>
        <w:tc>
          <w:tcPr>
            <w:tcW w:w="750" w:type="dxa"/>
            <w:vMerge w:val="restart"/>
            <w:tcBorders>
              <w:top w:val="single" w:color="auto" w:sz="4" w:space="0"/>
              <w:left w:val="single" w:color="auto" w:sz="4" w:space="0"/>
              <w:right w:val="single" w:color="auto" w:sz="4" w:space="0"/>
            </w:tcBorders>
            <w:shd w:val="clear" w:color="auto" w:fill="auto"/>
            <w:vAlign w:val="center"/>
          </w:tcPr>
          <w:p w14:paraId="445992A1">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200" w:type="dxa"/>
            <w:vMerge w:val="restart"/>
            <w:tcBorders>
              <w:top w:val="single" w:color="auto" w:sz="4" w:space="0"/>
              <w:left w:val="single" w:color="auto" w:sz="4" w:space="0"/>
              <w:right w:val="single" w:color="auto" w:sz="4" w:space="0"/>
            </w:tcBorders>
            <w:shd w:val="clear" w:color="auto" w:fill="auto"/>
            <w:vAlign w:val="center"/>
          </w:tcPr>
          <w:p w14:paraId="626D5C68">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访问故障处理</w:t>
            </w:r>
          </w:p>
        </w:tc>
        <w:tc>
          <w:tcPr>
            <w:tcW w:w="1100" w:type="dxa"/>
            <w:vMerge w:val="restart"/>
            <w:tcBorders>
              <w:top w:val="single" w:color="auto" w:sz="4" w:space="0"/>
              <w:left w:val="single" w:color="auto" w:sz="4" w:space="0"/>
              <w:right w:val="single" w:color="auto" w:sz="4" w:space="0"/>
            </w:tcBorders>
            <w:shd w:val="clear" w:color="auto" w:fill="auto"/>
            <w:vAlign w:val="center"/>
          </w:tcPr>
          <w:p w14:paraId="4EFDD828">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7×24</w:t>
            </w: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0A52F449">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（1）快速确定故障原因。必要时应积极系统管理方沟通协调寻求技术支持。</w:t>
            </w:r>
          </w:p>
        </w:tc>
        <w:tc>
          <w:tcPr>
            <w:tcW w:w="738" w:type="dxa"/>
            <w:vMerge w:val="restart"/>
            <w:tcBorders>
              <w:top w:val="single" w:color="auto" w:sz="4" w:space="0"/>
              <w:left w:val="single" w:color="auto" w:sz="4" w:space="0"/>
              <w:right w:val="single" w:color="auto" w:sz="4" w:space="0"/>
            </w:tcBorders>
            <w:shd w:val="clear" w:color="auto" w:fill="auto"/>
            <w:vAlign w:val="center"/>
          </w:tcPr>
          <w:p w14:paraId="4DB6C661">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不固定</w:t>
            </w:r>
          </w:p>
        </w:tc>
        <w:tc>
          <w:tcPr>
            <w:tcW w:w="1462" w:type="dxa"/>
            <w:vMerge w:val="restart"/>
            <w:tcBorders>
              <w:top w:val="single" w:color="auto" w:sz="4" w:space="0"/>
              <w:left w:val="single" w:color="auto" w:sz="4" w:space="0"/>
              <w:right w:val="single" w:color="auto" w:sz="4" w:space="0"/>
            </w:tcBorders>
            <w:shd w:val="clear" w:color="auto" w:fill="auto"/>
            <w:vAlign w:val="center"/>
          </w:tcPr>
          <w:p w14:paraId="32C57466">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按需提供，不限服务次数</w:t>
            </w:r>
          </w:p>
        </w:tc>
      </w:tr>
      <w:tr w14:paraId="2D29181C">
        <w:tblPrEx>
          <w:tblCellMar>
            <w:top w:w="0" w:type="dxa"/>
            <w:left w:w="108" w:type="dxa"/>
            <w:bottom w:w="0" w:type="dxa"/>
            <w:right w:w="108" w:type="dxa"/>
          </w:tblCellMar>
        </w:tblPrEx>
        <w:trPr>
          <w:trHeight w:val="715"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14:paraId="1F058352">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14:paraId="2492516F">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100" w:type="dxa"/>
            <w:vMerge w:val="continue"/>
            <w:tcBorders>
              <w:left w:val="single" w:color="auto" w:sz="4" w:space="0"/>
              <w:bottom w:val="single" w:color="auto" w:sz="4" w:space="0"/>
              <w:right w:val="single" w:color="auto" w:sz="4" w:space="0"/>
            </w:tcBorders>
            <w:shd w:val="clear" w:color="auto" w:fill="auto"/>
            <w:vAlign w:val="center"/>
          </w:tcPr>
          <w:p w14:paraId="74245C16">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3034526A">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（2）及时修复故障，保证系统正常访问，各种应用功能正常工作。</w:t>
            </w:r>
          </w:p>
        </w:tc>
        <w:tc>
          <w:tcPr>
            <w:tcW w:w="738" w:type="dxa"/>
            <w:vMerge w:val="continue"/>
            <w:tcBorders>
              <w:left w:val="single" w:color="auto" w:sz="4" w:space="0"/>
              <w:bottom w:val="single" w:color="auto" w:sz="4" w:space="0"/>
              <w:right w:val="single" w:color="auto" w:sz="4" w:space="0"/>
            </w:tcBorders>
            <w:shd w:val="clear" w:color="auto" w:fill="auto"/>
            <w:vAlign w:val="center"/>
          </w:tcPr>
          <w:p w14:paraId="516862BE">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462" w:type="dxa"/>
            <w:vMerge w:val="continue"/>
            <w:tcBorders>
              <w:left w:val="single" w:color="auto" w:sz="4" w:space="0"/>
              <w:bottom w:val="single" w:color="auto" w:sz="4" w:space="0"/>
              <w:right w:val="single" w:color="auto" w:sz="4" w:space="0"/>
            </w:tcBorders>
            <w:shd w:val="clear" w:color="auto" w:fill="auto"/>
            <w:vAlign w:val="center"/>
          </w:tcPr>
          <w:p w14:paraId="716E5185">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r>
      <w:tr w14:paraId="05AFE920">
        <w:tblPrEx>
          <w:tblCellMar>
            <w:top w:w="0" w:type="dxa"/>
            <w:left w:w="108" w:type="dxa"/>
            <w:bottom w:w="0" w:type="dxa"/>
            <w:right w:w="108" w:type="dxa"/>
          </w:tblCellMar>
        </w:tblPrEx>
        <w:trPr>
          <w:trHeight w:val="715" w:hRule="atLeast"/>
          <w:jc w:val="center"/>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73EDA6">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31C14F">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应用功能故障的修复</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80466">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7×24</w:t>
            </w: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2168D3BB">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（1）快速确定故障原因。必要时应积极与管理方沟通协调寻求技术支持。</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38A3A5">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不固定</w:t>
            </w:r>
          </w:p>
        </w:tc>
        <w:tc>
          <w:tcPr>
            <w:tcW w:w="14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ED69AF">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按需提供，不限服务次数</w:t>
            </w:r>
          </w:p>
        </w:tc>
      </w:tr>
      <w:tr w14:paraId="35ACF18D">
        <w:tblPrEx>
          <w:tblCellMar>
            <w:top w:w="0" w:type="dxa"/>
            <w:left w:w="108" w:type="dxa"/>
            <w:bottom w:w="0" w:type="dxa"/>
            <w:right w:w="108" w:type="dxa"/>
          </w:tblCellMar>
        </w:tblPrEx>
        <w:trPr>
          <w:trHeight w:val="715"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98313">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4558E">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3E317">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200B3FDD">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（2）及时修复故障，保证各种应用功能正常工作。</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49FEC">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57C3F">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r>
      <w:tr w14:paraId="52DC3612">
        <w:tblPrEx>
          <w:tblCellMar>
            <w:top w:w="0" w:type="dxa"/>
            <w:left w:w="108" w:type="dxa"/>
            <w:bottom w:w="0" w:type="dxa"/>
            <w:right w:w="108" w:type="dxa"/>
          </w:tblCellMar>
        </w:tblPrEx>
        <w:trPr>
          <w:trHeight w:val="715"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46640">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8E8CA">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F592F">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49FDC95D">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（3）故障处理后分析原因并提供报告。</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B1F0D">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c>
          <w:tcPr>
            <w:tcW w:w="1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534E4">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p>
        </w:tc>
      </w:tr>
      <w:tr w14:paraId="57139BF6">
        <w:tblPrEx>
          <w:tblCellMar>
            <w:top w:w="0" w:type="dxa"/>
            <w:left w:w="108" w:type="dxa"/>
            <w:bottom w:w="0" w:type="dxa"/>
            <w:right w:w="108" w:type="dxa"/>
          </w:tblCellMar>
        </w:tblPrEx>
        <w:trPr>
          <w:trHeight w:val="1065"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A34D7AB">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84CA50F">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功能故障的修复</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F38FEB5">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7×24</w:t>
            </w: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1AA104FE">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保证后台功能可用性和正确性。</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96855C8">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不固定</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14:paraId="4E692FF6">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按需提供，不限服务次数</w:t>
            </w:r>
          </w:p>
        </w:tc>
      </w:tr>
      <w:tr w14:paraId="58386BA3">
        <w:tblPrEx>
          <w:tblCellMar>
            <w:top w:w="0" w:type="dxa"/>
            <w:left w:w="108" w:type="dxa"/>
            <w:bottom w:w="0" w:type="dxa"/>
            <w:right w:w="108" w:type="dxa"/>
          </w:tblCellMar>
        </w:tblPrEx>
        <w:trPr>
          <w:trHeight w:val="1065"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DBE1FC">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771B978">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紧急故障处理服务</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177F9D2F">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7×24</w:t>
            </w: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0DBA0CE0">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制定应急预案、维护应急替换系统、定期进行应急演练。7*24小时应急响应。</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B97C36E">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不固定</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14:paraId="28E3BD93">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按需提供，不限服务次数</w:t>
            </w:r>
          </w:p>
        </w:tc>
      </w:tr>
      <w:tr w14:paraId="57D553BB">
        <w:tblPrEx>
          <w:tblCellMar>
            <w:top w:w="0" w:type="dxa"/>
            <w:left w:w="108" w:type="dxa"/>
            <w:bottom w:w="0" w:type="dxa"/>
            <w:right w:w="108" w:type="dxa"/>
          </w:tblCellMar>
        </w:tblPrEx>
        <w:trPr>
          <w:trHeight w:val="715"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F1FADC">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2B4147C">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提交故障报告</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1D19CB7">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7×24</w:t>
            </w: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79EE6CFC">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故障处理完毕后提交故障处理报告</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25AC5DF">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不固定</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14:paraId="5B5BE43D">
            <w:pPr>
              <w:keepNext w:val="0"/>
              <w:keepLines w:val="0"/>
              <w:pageBreakBefore w:val="0"/>
              <w:widowControl/>
              <w:kinsoku/>
              <w:wordWrap/>
              <w:overflowPunct/>
              <w:topLinePunct w:val="0"/>
              <w:bidi w:val="0"/>
              <w:snapToGrid/>
              <w:spacing w:line="360" w:lineRule="auto"/>
              <w:ind w:firstLine="0" w:firstLineChars="0"/>
              <w:jc w:val="center"/>
              <w:textAlignment w:val="top"/>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按需提供，不限服务次数</w:t>
            </w:r>
          </w:p>
        </w:tc>
      </w:tr>
      <w:tr w14:paraId="78A4FF15">
        <w:tblPrEx>
          <w:tblCellMar>
            <w:top w:w="0" w:type="dxa"/>
            <w:left w:w="108" w:type="dxa"/>
            <w:bottom w:w="0" w:type="dxa"/>
            <w:right w:w="108" w:type="dxa"/>
          </w:tblCellMar>
        </w:tblPrEx>
        <w:trPr>
          <w:trHeight w:val="657" w:hRule="atLeast"/>
          <w:jc w:val="center"/>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37C0A6">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B05358">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修复安全漏洞加固系统防护</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E0E17">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7×8</w:t>
            </w: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399AF9A1">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1、及时响应温州交通运输局信息化部门、网信办、</w:t>
            </w:r>
            <w:r>
              <w:rPr>
                <w:rFonts w:hint="eastAsia" w:ascii="宋体" w:hAnsi="宋体" w:cs="宋体"/>
                <w:color w:val="auto"/>
                <w:kern w:val="0"/>
                <w:sz w:val="22"/>
                <w:szCs w:val="22"/>
                <w:highlight w:val="none"/>
                <w:lang w:val="en-US" w:eastAsia="zh-CN"/>
              </w:rPr>
              <w:t>网安</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数据局及</w:t>
            </w:r>
            <w:r>
              <w:rPr>
                <w:rFonts w:hint="eastAsia" w:ascii="宋体" w:hAnsi="宋体" w:eastAsia="宋体" w:cs="宋体"/>
                <w:color w:val="auto"/>
                <w:kern w:val="0"/>
                <w:sz w:val="22"/>
                <w:szCs w:val="22"/>
                <w:highlight w:val="none"/>
              </w:rPr>
              <w:t>上级部门等单位发出的安全漏洞通报</w:t>
            </w:r>
            <w:r>
              <w:rPr>
                <w:rFonts w:hint="eastAsia" w:ascii="宋体" w:hAnsi="宋体" w:cs="宋体"/>
                <w:color w:val="auto"/>
                <w:kern w:val="0"/>
                <w:sz w:val="22"/>
                <w:szCs w:val="22"/>
                <w:highlight w:val="none"/>
                <w:lang w:val="en-US" w:eastAsia="zh-CN"/>
              </w:rPr>
              <w:t>并要求修复</w:t>
            </w:r>
            <w:r>
              <w:rPr>
                <w:rFonts w:hint="eastAsia" w:ascii="宋体" w:hAnsi="宋体" w:eastAsia="宋体" w:cs="宋体"/>
                <w:color w:val="auto"/>
                <w:kern w:val="0"/>
                <w:sz w:val="22"/>
                <w:szCs w:val="22"/>
                <w:highlight w:val="none"/>
              </w:rPr>
              <w:t>。</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11FBC">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按安全评估报告结果</w:t>
            </w:r>
          </w:p>
        </w:tc>
        <w:tc>
          <w:tcPr>
            <w:tcW w:w="14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88C42">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按需提供，不限服务次数</w:t>
            </w:r>
          </w:p>
        </w:tc>
      </w:tr>
      <w:tr w14:paraId="13391629">
        <w:tblPrEx>
          <w:tblCellMar>
            <w:top w:w="0" w:type="dxa"/>
            <w:left w:w="108" w:type="dxa"/>
            <w:bottom w:w="0" w:type="dxa"/>
            <w:right w:w="108" w:type="dxa"/>
          </w:tblCellMar>
        </w:tblPrEx>
        <w:trPr>
          <w:trHeight w:val="657" w:hRule="atLeast"/>
          <w:jc w:val="center"/>
        </w:trPr>
        <w:tc>
          <w:tcPr>
            <w:tcW w:w="750" w:type="dxa"/>
            <w:vMerge w:val="continue"/>
            <w:tcBorders>
              <w:top w:val="single" w:color="auto" w:sz="4" w:space="0"/>
              <w:left w:val="single" w:color="auto" w:sz="4" w:space="0"/>
              <w:right w:val="single" w:color="auto" w:sz="4" w:space="0"/>
            </w:tcBorders>
            <w:shd w:val="clear" w:color="auto" w:fill="auto"/>
            <w:vAlign w:val="center"/>
          </w:tcPr>
          <w:p w14:paraId="791DE94B">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200" w:type="dxa"/>
            <w:vMerge w:val="continue"/>
            <w:tcBorders>
              <w:top w:val="single" w:color="auto" w:sz="4" w:space="0"/>
              <w:left w:val="single" w:color="auto" w:sz="4" w:space="0"/>
              <w:right w:val="single" w:color="auto" w:sz="4" w:space="0"/>
            </w:tcBorders>
            <w:shd w:val="clear" w:color="auto" w:fill="auto"/>
            <w:vAlign w:val="center"/>
          </w:tcPr>
          <w:p w14:paraId="629B10C5">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100" w:type="dxa"/>
            <w:vMerge w:val="continue"/>
            <w:tcBorders>
              <w:top w:val="single" w:color="auto" w:sz="4" w:space="0"/>
              <w:left w:val="single" w:color="auto" w:sz="4" w:space="0"/>
              <w:right w:val="single" w:color="auto" w:sz="4" w:space="0"/>
            </w:tcBorders>
            <w:shd w:val="clear" w:color="auto" w:fill="auto"/>
            <w:vAlign w:val="center"/>
          </w:tcPr>
          <w:p w14:paraId="4823A4B4">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4E1B5460">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2、针对风险等级为高的漏洞，须在收到报告后的三个工作日内修复解决；针对风险等级为中、低的漏洞，须在收到报告后的</w:t>
            </w:r>
            <w:r>
              <w:rPr>
                <w:rFonts w:hint="eastAsia" w:ascii="宋体" w:hAnsi="宋体" w:cs="宋体"/>
                <w:color w:val="auto"/>
                <w:kern w:val="0"/>
                <w:sz w:val="22"/>
                <w:szCs w:val="22"/>
                <w:highlight w:val="none"/>
                <w:lang w:val="en-US" w:eastAsia="zh-CN"/>
              </w:rPr>
              <w:t>一周</w:t>
            </w:r>
            <w:r>
              <w:rPr>
                <w:rFonts w:hint="eastAsia" w:ascii="宋体" w:hAnsi="宋体" w:eastAsia="宋体" w:cs="宋体"/>
                <w:color w:val="auto"/>
                <w:kern w:val="0"/>
                <w:sz w:val="22"/>
                <w:szCs w:val="22"/>
                <w:highlight w:val="none"/>
              </w:rPr>
              <w:t>内修复解决。</w:t>
            </w:r>
          </w:p>
        </w:tc>
        <w:tc>
          <w:tcPr>
            <w:tcW w:w="738" w:type="dxa"/>
            <w:vMerge w:val="continue"/>
            <w:tcBorders>
              <w:top w:val="single" w:color="auto" w:sz="4" w:space="0"/>
              <w:left w:val="single" w:color="auto" w:sz="4" w:space="0"/>
              <w:right w:val="single" w:color="auto" w:sz="4" w:space="0"/>
            </w:tcBorders>
            <w:shd w:val="clear" w:color="auto" w:fill="auto"/>
            <w:vAlign w:val="center"/>
          </w:tcPr>
          <w:p w14:paraId="6BA0CC12">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462" w:type="dxa"/>
            <w:vMerge w:val="continue"/>
            <w:tcBorders>
              <w:top w:val="single" w:color="auto" w:sz="4" w:space="0"/>
              <w:left w:val="single" w:color="auto" w:sz="4" w:space="0"/>
              <w:right w:val="single" w:color="auto" w:sz="4" w:space="0"/>
            </w:tcBorders>
            <w:shd w:val="clear" w:color="auto" w:fill="auto"/>
            <w:vAlign w:val="center"/>
          </w:tcPr>
          <w:p w14:paraId="1C8718A6">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r>
      <w:tr w14:paraId="74A089D8">
        <w:tblPrEx>
          <w:tblCellMar>
            <w:top w:w="0" w:type="dxa"/>
            <w:left w:w="108" w:type="dxa"/>
            <w:bottom w:w="0" w:type="dxa"/>
            <w:right w:w="108" w:type="dxa"/>
          </w:tblCellMar>
        </w:tblPrEx>
        <w:trPr>
          <w:trHeight w:val="657" w:hRule="atLeast"/>
          <w:jc w:val="center"/>
        </w:trPr>
        <w:tc>
          <w:tcPr>
            <w:tcW w:w="750" w:type="dxa"/>
            <w:vMerge w:val="continue"/>
            <w:tcBorders>
              <w:left w:val="single" w:color="auto" w:sz="4" w:space="0"/>
              <w:right w:val="single" w:color="auto" w:sz="4" w:space="0"/>
            </w:tcBorders>
            <w:shd w:val="clear" w:color="auto" w:fill="auto"/>
            <w:vAlign w:val="center"/>
          </w:tcPr>
          <w:p w14:paraId="6B876B6F">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200" w:type="dxa"/>
            <w:vMerge w:val="continue"/>
            <w:tcBorders>
              <w:left w:val="single" w:color="auto" w:sz="4" w:space="0"/>
              <w:right w:val="single" w:color="auto" w:sz="4" w:space="0"/>
            </w:tcBorders>
            <w:shd w:val="clear" w:color="auto" w:fill="auto"/>
            <w:vAlign w:val="center"/>
          </w:tcPr>
          <w:p w14:paraId="2F4568FA">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100" w:type="dxa"/>
            <w:vMerge w:val="continue"/>
            <w:tcBorders>
              <w:left w:val="single" w:color="auto" w:sz="4" w:space="0"/>
              <w:right w:val="single" w:color="auto" w:sz="4" w:space="0"/>
            </w:tcBorders>
            <w:shd w:val="clear" w:color="auto" w:fill="auto"/>
            <w:vAlign w:val="center"/>
          </w:tcPr>
          <w:p w14:paraId="1607E487">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03FCD9EE">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3、针对紧急漏洞（比如勒索病毒</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任意文件上传、敏感信息泄露等</w:t>
            </w:r>
            <w:r>
              <w:rPr>
                <w:rFonts w:hint="eastAsia" w:ascii="宋体" w:hAnsi="宋体" w:eastAsia="宋体" w:cs="宋体"/>
                <w:color w:val="auto"/>
                <w:kern w:val="0"/>
                <w:sz w:val="22"/>
                <w:szCs w:val="22"/>
                <w:highlight w:val="none"/>
              </w:rPr>
              <w:t>），需立即解决。</w:t>
            </w:r>
          </w:p>
        </w:tc>
        <w:tc>
          <w:tcPr>
            <w:tcW w:w="738" w:type="dxa"/>
            <w:vMerge w:val="continue"/>
            <w:tcBorders>
              <w:left w:val="single" w:color="auto" w:sz="4" w:space="0"/>
              <w:right w:val="single" w:color="auto" w:sz="4" w:space="0"/>
            </w:tcBorders>
            <w:shd w:val="clear" w:color="auto" w:fill="auto"/>
            <w:vAlign w:val="center"/>
          </w:tcPr>
          <w:p w14:paraId="4803E3A7">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462" w:type="dxa"/>
            <w:vMerge w:val="continue"/>
            <w:tcBorders>
              <w:left w:val="single" w:color="auto" w:sz="4" w:space="0"/>
              <w:right w:val="single" w:color="auto" w:sz="4" w:space="0"/>
            </w:tcBorders>
            <w:shd w:val="clear" w:color="auto" w:fill="auto"/>
            <w:vAlign w:val="center"/>
          </w:tcPr>
          <w:p w14:paraId="1C7E4FE7">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r>
      <w:tr w14:paraId="51E4BFF3">
        <w:tblPrEx>
          <w:tblCellMar>
            <w:top w:w="0" w:type="dxa"/>
            <w:left w:w="108" w:type="dxa"/>
            <w:bottom w:w="0" w:type="dxa"/>
            <w:right w:w="108" w:type="dxa"/>
          </w:tblCellMar>
        </w:tblPrEx>
        <w:trPr>
          <w:trHeight w:val="657" w:hRule="atLeast"/>
          <w:jc w:val="center"/>
        </w:trPr>
        <w:tc>
          <w:tcPr>
            <w:tcW w:w="750" w:type="dxa"/>
            <w:vMerge w:val="continue"/>
            <w:tcBorders>
              <w:left w:val="single" w:color="auto" w:sz="4" w:space="0"/>
              <w:right w:val="single" w:color="auto" w:sz="4" w:space="0"/>
            </w:tcBorders>
            <w:shd w:val="clear" w:color="auto" w:fill="auto"/>
            <w:vAlign w:val="center"/>
          </w:tcPr>
          <w:p w14:paraId="7EC24AD6">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200" w:type="dxa"/>
            <w:vMerge w:val="continue"/>
            <w:tcBorders>
              <w:left w:val="single" w:color="auto" w:sz="4" w:space="0"/>
              <w:right w:val="single" w:color="auto" w:sz="4" w:space="0"/>
            </w:tcBorders>
            <w:shd w:val="clear" w:color="auto" w:fill="auto"/>
            <w:vAlign w:val="center"/>
          </w:tcPr>
          <w:p w14:paraId="5D3338F2">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100" w:type="dxa"/>
            <w:vMerge w:val="continue"/>
            <w:tcBorders>
              <w:left w:val="single" w:color="auto" w:sz="4" w:space="0"/>
              <w:right w:val="single" w:color="auto" w:sz="4" w:space="0"/>
            </w:tcBorders>
            <w:shd w:val="clear" w:color="auto" w:fill="auto"/>
            <w:vAlign w:val="center"/>
          </w:tcPr>
          <w:p w14:paraId="2E920FC8">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252B6E97">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4、修复解决后提交安全整改报告</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（如遇到系统较大版本升级改动等特殊情况需要延期解决，须在安全整改报告中说明，并给出具体完成修复时间）</w:t>
            </w:r>
          </w:p>
        </w:tc>
        <w:tc>
          <w:tcPr>
            <w:tcW w:w="738" w:type="dxa"/>
            <w:vMerge w:val="continue"/>
            <w:tcBorders>
              <w:left w:val="single" w:color="auto" w:sz="4" w:space="0"/>
              <w:right w:val="single" w:color="auto" w:sz="4" w:space="0"/>
            </w:tcBorders>
            <w:shd w:val="clear" w:color="auto" w:fill="auto"/>
            <w:vAlign w:val="center"/>
          </w:tcPr>
          <w:p w14:paraId="2F12E86B">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462" w:type="dxa"/>
            <w:vMerge w:val="continue"/>
            <w:tcBorders>
              <w:left w:val="single" w:color="auto" w:sz="4" w:space="0"/>
              <w:right w:val="single" w:color="auto" w:sz="4" w:space="0"/>
            </w:tcBorders>
            <w:shd w:val="clear" w:color="auto" w:fill="auto"/>
            <w:vAlign w:val="center"/>
          </w:tcPr>
          <w:p w14:paraId="54FA7AA6">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r>
      <w:tr w14:paraId="34786864">
        <w:tblPrEx>
          <w:tblCellMar>
            <w:top w:w="0" w:type="dxa"/>
            <w:left w:w="108" w:type="dxa"/>
            <w:bottom w:w="0" w:type="dxa"/>
            <w:right w:w="108" w:type="dxa"/>
          </w:tblCellMar>
        </w:tblPrEx>
        <w:trPr>
          <w:trHeight w:val="657"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14:paraId="2C9E8762">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14:paraId="642B1DFA">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100" w:type="dxa"/>
            <w:vMerge w:val="continue"/>
            <w:tcBorders>
              <w:left w:val="single" w:color="auto" w:sz="4" w:space="0"/>
              <w:bottom w:val="single" w:color="auto" w:sz="4" w:space="0"/>
              <w:right w:val="single" w:color="auto" w:sz="4" w:space="0"/>
            </w:tcBorders>
            <w:shd w:val="clear" w:color="auto" w:fill="auto"/>
            <w:vAlign w:val="center"/>
          </w:tcPr>
          <w:p w14:paraId="789058CB">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4600" w:type="dxa"/>
            <w:tcBorders>
              <w:top w:val="single" w:color="auto" w:sz="4" w:space="0"/>
              <w:left w:val="single" w:color="auto" w:sz="4" w:space="0"/>
              <w:bottom w:val="single" w:color="auto" w:sz="4" w:space="0"/>
              <w:right w:val="single" w:color="auto" w:sz="4" w:space="0"/>
            </w:tcBorders>
            <w:shd w:val="clear" w:color="auto" w:fill="auto"/>
            <w:vAlign w:val="center"/>
          </w:tcPr>
          <w:p w14:paraId="73EC9394">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5、按系统安全等保定级级别的要求进行安全整改。</w:t>
            </w:r>
          </w:p>
        </w:tc>
        <w:tc>
          <w:tcPr>
            <w:tcW w:w="738" w:type="dxa"/>
            <w:vMerge w:val="continue"/>
            <w:tcBorders>
              <w:left w:val="single" w:color="auto" w:sz="4" w:space="0"/>
              <w:bottom w:val="single" w:color="auto" w:sz="4" w:space="0"/>
              <w:right w:val="single" w:color="auto" w:sz="4" w:space="0"/>
            </w:tcBorders>
            <w:shd w:val="clear" w:color="auto" w:fill="auto"/>
            <w:vAlign w:val="center"/>
          </w:tcPr>
          <w:p w14:paraId="289A034D">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c>
          <w:tcPr>
            <w:tcW w:w="1462" w:type="dxa"/>
            <w:vMerge w:val="continue"/>
            <w:tcBorders>
              <w:left w:val="single" w:color="auto" w:sz="4" w:space="0"/>
              <w:bottom w:val="single" w:color="auto" w:sz="4" w:space="0"/>
              <w:right w:val="single" w:color="auto" w:sz="4" w:space="0"/>
            </w:tcBorders>
            <w:shd w:val="clear" w:color="auto" w:fill="auto"/>
            <w:vAlign w:val="center"/>
          </w:tcPr>
          <w:p w14:paraId="5BE8F212">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p>
        </w:tc>
      </w:tr>
    </w:tbl>
    <w:p w14:paraId="3891E611">
      <w:pPr>
        <w:pStyle w:val="673"/>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（2）故障响应、修复时间要求：</w:t>
      </w:r>
    </w:p>
    <w:tbl>
      <w:tblPr>
        <w:tblStyle w:val="5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2"/>
        <w:gridCol w:w="2438"/>
        <w:gridCol w:w="1762"/>
      </w:tblGrid>
      <w:tr w14:paraId="0FE1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762" w:type="dxa"/>
            <w:shd w:val="clear" w:color="auto" w:fill="auto"/>
            <w:noWrap/>
            <w:vAlign w:val="center"/>
          </w:tcPr>
          <w:p w14:paraId="20FDF947">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故障级别</w:t>
            </w:r>
          </w:p>
        </w:tc>
        <w:tc>
          <w:tcPr>
            <w:tcW w:w="2438" w:type="dxa"/>
            <w:shd w:val="clear" w:color="auto" w:fill="auto"/>
            <w:noWrap/>
            <w:vAlign w:val="center"/>
          </w:tcPr>
          <w:p w14:paraId="2872340E">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响应时间</w:t>
            </w:r>
          </w:p>
        </w:tc>
        <w:tc>
          <w:tcPr>
            <w:tcW w:w="1762" w:type="dxa"/>
            <w:shd w:val="clear" w:color="auto" w:fill="auto"/>
            <w:noWrap/>
            <w:vAlign w:val="center"/>
          </w:tcPr>
          <w:p w14:paraId="4976AF19">
            <w:pPr>
              <w:keepNext w:val="0"/>
              <w:keepLines w:val="0"/>
              <w:pageBreakBefore w:val="0"/>
              <w:widowControl/>
              <w:kinsoku/>
              <w:wordWrap/>
              <w:overflowPunct/>
              <w:topLinePunct w:val="0"/>
              <w:bidi w:val="0"/>
              <w:snapToGrid/>
              <w:spacing w:line="360" w:lineRule="auto"/>
              <w:ind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故障解决时间</w:t>
            </w:r>
          </w:p>
        </w:tc>
      </w:tr>
      <w:tr w14:paraId="4EB6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762" w:type="dxa"/>
            <w:noWrap/>
            <w:vAlign w:val="center"/>
          </w:tcPr>
          <w:p w14:paraId="4D9D831B">
            <w:pPr>
              <w:keepNext w:val="0"/>
              <w:keepLines w:val="0"/>
              <w:pageBreakBefore w:val="0"/>
              <w:widowControl/>
              <w:kinsoku/>
              <w:wordWrap/>
              <w:overflowPunct/>
              <w:topLinePunct w:val="0"/>
              <w:bidi w:val="0"/>
              <w:snapToGrid/>
              <w:spacing w:line="360" w:lineRule="auto"/>
              <w:ind w:firstLine="0" w:firstLineChars="0"/>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I级：属于紧急问题；其具体现象为：系统崩溃导致业务停止、数据丢失。</w:t>
            </w:r>
          </w:p>
        </w:tc>
        <w:tc>
          <w:tcPr>
            <w:tcW w:w="2438" w:type="dxa"/>
            <w:noWrap/>
            <w:vAlign w:val="center"/>
          </w:tcPr>
          <w:p w14:paraId="6EEA5371">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30分钟，2小时内提交故障处理方案</w:t>
            </w:r>
          </w:p>
        </w:tc>
        <w:tc>
          <w:tcPr>
            <w:tcW w:w="1762" w:type="dxa"/>
            <w:noWrap/>
            <w:vAlign w:val="center"/>
          </w:tcPr>
          <w:p w14:paraId="2FBE282B">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12小时以内</w:t>
            </w:r>
          </w:p>
        </w:tc>
      </w:tr>
      <w:tr w14:paraId="44B3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762" w:type="dxa"/>
            <w:noWrap/>
            <w:vAlign w:val="center"/>
          </w:tcPr>
          <w:p w14:paraId="40297925">
            <w:pPr>
              <w:keepNext w:val="0"/>
              <w:keepLines w:val="0"/>
              <w:pageBreakBefore w:val="0"/>
              <w:widowControl/>
              <w:kinsoku/>
              <w:wordWrap/>
              <w:overflowPunct/>
              <w:topLinePunct w:val="0"/>
              <w:bidi w:val="0"/>
              <w:snapToGrid/>
              <w:spacing w:line="360" w:lineRule="auto"/>
              <w:ind w:firstLine="0" w:firstLineChars="0"/>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II级：属于严重问题；其具体现象为：出现部分部件失效、系统性能下降但能正常运行，不影响正常业务运作。</w:t>
            </w:r>
          </w:p>
        </w:tc>
        <w:tc>
          <w:tcPr>
            <w:tcW w:w="2438" w:type="dxa"/>
            <w:noWrap/>
            <w:vAlign w:val="center"/>
          </w:tcPr>
          <w:p w14:paraId="0E20D7F6">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30分钟，2小时内提交故障处理方案</w:t>
            </w:r>
          </w:p>
        </w:tc>
        <w:tc>
          <w:tcPr>
            <w:tcW w:w="1762" w:type="dxa"/>
            <w:noWrap/>
            <w:vAlign w:val="center"/>
          </w:tcPr>
          <w:p w14:paraId="396FA71C">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24小时以内</w:t>
            </w:r>
          </w:p>
        </w:tc>
      </w:tr>
      <w:tr w14:paraId="04AA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762" w:type="dxa"/>
            <w:noWrap/>
            <w:vAlign w:val="center"/>
          </w:tcPr>
          <w:p w14:paraId="2AAFCA36">
            <w:pPr>
              <w:keepNext w:val="0"/>
              <w:keepLines w:val="0"/>
              <w:pageBreakBefore w:val="0"/>
              <w:widowControl/>
              <w:kinsoku/>
              <w:wordWrap/>
              <w:overflowPunct/>
              <w:topLinePunct w:val="0"/>
              <w:bidi w:val="0"/>
              <w:snapToGrid/>
              <w:spacing w:line="360" w:lineRule="auto"/>
              <w:ind w:firstLine="0" w:firstLineChars="0"/>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III级：属于较严重问题；其具体现象为：出现系统报错或警告，但业务系统能继续运行且性能不受影响。</w:t>
            </w:r>
          </w:p>
        </w:tc>
        <w:tc>
          <w:tcPr>
            <w:tcW w:w="2438" w:type="dxa"/>
            <w:noWrap/>
            <w:vAlign w:val="center"/>
          </w:tcPr>
          <w:p w14:paraId="751B2568">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30分钟，2小时内提交故障处理方案</w:t>
            </w:r>
          </w:p>
        </w:tc>
        <w:tc>
          <w:tcPr>
            <w:tcW w:w="1762" w:type="dxa"/>
            <w:noWrap/>
            <w:vAlign w:val="center"/>
          </w:tcPr>
          <w:p w14:paraId="235314E1">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48小时以内</w:t>
            </w:r>
          </w:p>
        </w:tc>
      </w:tr>
      <w:tr w14:paraId="7B03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62" w:type="dxa"/>
            <w:noWrap/>
            <w:vAlign w:val="center"/>
          </w:tcPr>
          <w:p w14:paraId="25BD61FD">
            <w:pPr>
              <w:keepNext w:val="0"/>
              <w:keepLines w:val="0"/>
              <w:pageBreakBefore w:val="0"/>
              <w:widowControl/>
              <w:kinsoku/>
              <w:wordWrap/>
              <w:overflowPunct/>
              <w:topLinePunct w:val="0"/>
              <w:bidi w:val="0"/>
              <w:snapToGrid/>
              <w:spacing w:line="360" w:lineRule="auto"/>
              <w:ind w:firstLine="0" w:firstLineChars="0"/>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IV级：属于普通问题；其具体现象为：系统技术功能、安装或配置咨询，或其他显然不影响业务的预约服务。</w:t>
            </w:r>
          </w:p>
        </w:tc>
        <w:tc>
          <w:tcPr>
            <w:tcW w:w="2438" w:type="dxa"/>
            <w:noWrap/>
            <w:vAlign w:val="center"/>
          </w:tcPr>
          <w:p w14:paraId="5814BA42">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30分钟，2小时内提交故障处理方案</w:t>
            </w:r>
          </w:p>
        </w:tc>
        <w:tc>
          <w:tcPr>
            <w:tcW w:w="1762" w:type="dxa"/>
            <w:noWrap/>
            <w:vAlign w:val="center"/>
          </w:tcPr>
          <w:p w14:paraId="7C9D926A">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5天内</w:t>
            </w:r>
          </w:p>
        </w:tc>
      </w:tr>
    </w:tbl>
    <w:p w14:paraId="75D432A0">
      <w:pPr>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（三）考核要求及标准</w:t>
      </w:r>
    </w:p>
    <w:p w14:paraId="36E4BC9C">
      <w:pPr>
        <w:keepNext w:val="0"/>
        <w:keepLines w:val="0"/>
        <w:pageBreakBefore w:val="0"/>
        <w:kinsoku/>
        <w:wordWrap/>
        <w:overflowPunct/>
        <w:topLinePunct w:val="0"/>
        <w:bidi w:val="0"/>
        <w:snapToGrid/>
        <w:spacing w:line="240" w:lineRule="auto"/>
        <w:ind w:firstLine="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交通业务信息系统运维项目</w:t>
      </w:r>
      <w:r>
        <w:rPr>
          <w:rFonts w:hint="eastAsia" w:ascii="宋体" w:hAnsi="宋体" w:cs="宋体"/>
          <w:bCs/>
          <w:color w:val="auto"/>
          <w:sz w:val="22"/>
          <w:szCs w:val="22"/>
          <w:highlight w:val="none"/>
          <w:lang w:val="en-US" w:eastAsia="zh-CN"/>
        </w:rPr>
        <w:t>要求对中标单位</w:t>
      </w:r>
      <w:r>
        <w:rPr>
          <w:rFonts w:hint="eastAsia" w:ascii="宋体" w:hAnsi="宋体" w:eastAsia="宋体" w:cs="宋体"/>
          <w:bCs/>
          <w:color w:val="auto"/>
          <w:sz w:val="22"/>
          <w:szCs w:val="22"/>
          <w:highlight w:val="none"/>
        </w:rPr>
        <w:t>服务期内工作进行考核评估，考评结果用于支付项目10%的剩余款项。具体计算公式为：服务考核分数≥95分，全部支付剩余款项；服务考核分数＜95分，</w:t>
      </w:r>
      <w:r>
        <w:rPr>
          <w:rFonts w:hint="eastAsia" w:ascii="宋体" w:hAnsi="宋体" w:eastAsia="宋体" w:cs="宋体"/>
          <w:color w:val="auto"/>
          <w:sz w:val="22"/>
          <w:szCs w:val="22"/>
          <w:highlight w:val="none"/>
        </w:rPr>
        <w:t>每分按照合同金额的千分之一扣款</w:t>
      </w:r>
      <w:r>
        <w:rPr>
          <w:rFonts w:hint="eastAsia" w:ascii="宋体" w:hAnsi="宋体" w:eastAsia="宋体" w:cs="宋体"/>
          <w:bCs/>
          <w:color w:val="auto"/>
          <w:sz w:val="22"/>
          <w:szCs w:val="22"/>
          <w:highlight w:val="none"/>
        </w:rPr>
        <w:t>。</w:t>
      </w:r>
    </w:p>
    <w:p w14:paraId="6E45D733">
      <w:pPr>
        <w:keepNext w:val="0"/>
        <w:keepLines w:val="0"/>
        <w:pageBreakBefore w:val="0"/>
        <w:kinsoku/>
        <w:wordWrap/>
        <w:overflowPunct/>
        <w:topLinePunct w:val="0"/>
        <w:bidi w:val="0"/>
        <w:snapToGrid/>
        <w:spacing w:line="360" w:lineRule="auto"/>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w:t>
      </w:r>
      <w:r>
        <w:rPr>
          <w:rFonts w:hint="eastAsia" w:ascii="宋体" w:hAnsi="宋体" w:eastAsia="宋体" w:cs="宋体"/>
          <w:bCs/>
          <w:color w:val="auto"/>
          <w:sz w:val="22"/>
          <w:szCs w:val="22"/>
          <w:highlight w:val="none"/>
          <w:lang w:val="en-US" w:eastAsia="zh-CN"/>
        </w:rPr>
        <w:t>人</w:t>
      </w:r>
      <w:r>
        <w:rPr>
          <w:rFonts w:hint="eastAsia" w:ascii="宋体" w:hAnsi="宋体" w:eastAsia="宋体" w:cs="宋体"/>
          <w:bCs/>
          <w:color w:val="auto"/>
          <w:sz w:val="22"/>
          <w:szCs w:val="22"/>
          <w:highlight w:val="none"/>
        </w:rPr>
        <w:t>每月对供应商进行打分，最终分值取全年平均数，具体评分标准如下：</w:t>
      </w:r>
    </w:p>
    <w:tbl>
      <w:tblPr>
        <w:tblStyle w:val="57"/>
        <w:tblW w:w="9963" w:type="dxa"/>
        <w:jc w:val="center"/>
        <w:tblLayout w:type="fixed"/>
        <w:tblCellMar>
          <w:top w:w="0" w:type="dxa"/>
          <w:left w:w="108" w:type="dxa"/>
          <w:bottom w:w="0" w:type="dxa"/>
          <w:right w:w="108" w:type="dxa"/>
        </w:tblCellMar>
      </w:tblPr>
      <w:tblGrid>
        <w:gridCol w:w="713"/>
        <w:gridCol w:w="1200"/>
        <w:gridCol w:w="775"/>
        <w:gridCol w:w="4187"/>
        <w:gridCol w:w="3088"/>
      </w:tblGrid>
      <w:tr w14:paraId="431B2970">
        <w:tblPrEx>
          <w:tblCellMar>
            <w:top w:w="0" w:type="dxa"/>
            <w:left w:w="108" w:type="dxa"/>
            <w:bottom w:w="0" w:type="dxa"/>
            <w:right w:w="108" w:type="dxa"/>
          </w:tblCellMar>
        </w:tblPrEx>
        <w:trPr>
          <w:trHeight w:val="2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67774">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87BD">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名称</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A2638">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分值</w:t>
            </w:r>
          </w:p>
        </w:tc>
        <w:tc>
          <w:tcPr>
            <w:tcW w:w="41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A128">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考核内容</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57445">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说明</w:t>
            </w:r>
          </w:p>
        </w:tc>
      </w:tr>
      <w:tr w14:paraId="3CEB3886">
        <w:tblPrEx>
          <w:tblCellMar>
            <w:top w:w="0" w:type="dxa"/>
            <w:left w:w="108" w:type="dxa"/>
            <w:bottom w:w="0" w:type="dxa"/>
            <w:right w:w="108" w:type="dxa"/>
          </w:tblCellMar>
        </w:tblPrEx>
        <w:trPr>
          <w:trHeight w:val="143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2BF">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8A84">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整体日常维护</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7C14">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0-30</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D392">
            <w:pPr>
              <w:keepNext w:val="0"/>
              <w:keepLines w:val="0"/>
              <w:pageBreakBefore w:val="0"/>
              <w:widowControl/>
              <w:kinsoku/>
              <w:wordWrap/>
              <w:overflowPunct/>
              <w:topLinePunct w:val="0"/>
              <w:bidi w:val="0"/>
              <w:snapToGrid/>
              <w:spacing w:line="360" w:lineRule="auto"/>
              <w:ind w:firstLine="0" w:firstLineChars="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采购</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kern w:val="0"/>
                <w:sz w:val="22"/>
                <w:szCs w:val="22"/>
                <w:highlight w:val="none"/>
              </w:rPr>
              <w:t>根据日常运维技术服务要求，对中标单位每月运维情况进行打分，其中：</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1、应用软件配置(5分)；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2、联调测试（5分）；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3、技术文档管理（5分）；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4、技术协助（5分）；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5、专家援助（5分）；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6、二线支持（5分）。</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639B">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除技术文档管理外，其他分项内容采购</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kern w:val="0"/>
                <w:sz w:val="22"/>
                <w:szCs w:val="22"/>
                <w:highlight w:val="none"/>
              </w:rPr>
              <w:t>当月未提出相应需求的，则此项为满分</w:t>
            </w:r>
          </w:p>
        </w:tc>
      </w:tr>
      <w:tr w14:paraId="725B4A63">
        <w:tblPrEx>
          <w:tblCellMar>
            <w:top w:w="0" w:type="dxa"/>
            <w:left w:w="108" w:type="dxa"/>
            <w:bottom w:w="0" w:type="dxa"/>
            <w:right w:w="108" w:type="dxa"/>
          </w:tblCellMar>
        </w:tblPrEx>
        <w:trPr>
          <w:trHeight w:val="9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59A3">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402A">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各平台针对性服务要求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CC52">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0-30</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9F00">
            <w:pPr>
              <w:keepNext w:val="0"/>
              <w:keepLines w:val="0"/>
              <w:pageBreakBefore w:val="0"/>
              <w:widowControl/>
              <w:kinsoku/>
              <w:wordWrap/>
              <w:overflowPunct/>
              <w:topLinePunct w:val="0"/>
              <w:bidi w:val="0"/>
              <w:snapToGrid/>
              <w:spacing w:line="360" w:lineRule="auto"/>
              <w:ind w:firstLine="0" w:firstLineChars="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采购</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kern w:val="0"/>
                <w:sz w:val="22"/>
                <w:szCs w:val="22"/>
                <w:highlight w:val="none"/>
              </w:rPr>
              <w:t>根据招标文件对各平台分项运维要求，对中标单位服务情况进行打分</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6BB7">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采购</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kern w:val="0"/>
                <w:sz w:val="22"/>
                <w:szCs w:val="22"/>
                <w:highlight w:val="none"/>
              </w:rPr>
              <w:t>根据招标文件要求，如某平台当月未达到招标文件要求，采购</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kern w:val="0"/>
                <w:sz w:val="22"/>
                <w:szCs w:val="22"/>
                <w:highlight w:val="none"/>
              </w:rPr>
              <w:t>根据实际情况酌情扣分</w:t>
            </w:r>
          </w:p>
        </w:tc>
      </w:tr>
      <w:tr w14:paraId="0807D093">
        <w:tblPrEx>
          <w:tblCellMar>
            <w:top w:w="0" w:type="dxa"/>
            <w:left w:w="108" w:type="dxa"/>
            <w:bottom w:w="0" w:type="dxa"/>
            <w:right w:w="108" w:type="dxa"/>
          </w:tblCellMar>
        </w:tblPrEx>
        <w:trPr>
          <w:trHeight w:val="1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AA79">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948D">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故障处理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EE35">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0-30</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E8B4">
            <w:pPr>
              <w:keepNext w:val="0"/>
              <w:keepLines w:val="0"/>
              <w:pageBreakBefore w:val="0"/>
              <w:widowControl/>
              <w:kinsoku/>
              <w:wordWrap/>
              <w:overflowPunct/>
              <w:topLinePunct w:val="0"/>
              <w:bidi w:val="0"/>
              <w:snapToGrid/>
              <w:spacing w:line="360" w:lineRule="auto"/>
              <w:ind w:firstLine="0" w:firstLineChars="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采购</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kern w:val="0"/>
                <w:sz w:val="22"/>
                <w:szCs w:val="22"/>
                <w:highlight w:val="none"/>
              </w:rPr>
              <w:t>根据招标文件故障响应、处理时间要求，对中标单位进行打分，其中：</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1、故障响应时间（10分）；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2、故障处理时间（10分）；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3、漏洞修复时间（10分）。</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DDBF">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中标单位未能按照采购文件要求完成故障响应、处理及漏洞修复的，采购</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kern w:val="0"/>
                <w:sz w:val="22"/>
                <w:szCs w:val="22"/>
                <w:highlight w:val="none"/>
              </w:rPr>
              <w:t>根据实际情况酌情扣分</w:t>
            </w:r>
          </w:p>
        </w:tc>
      </w:tr>
      <w:tr w14:paraId="206BC82C">
        <w:tblPrEx>
          <w:tblCellMar>
            <w:top w:w="0" w:type="dxa"/>
            <w:left w:w="108" w:type="dxa"/>
            <w:bottom w:w="0" w:type="dxa"/>
            <w:right w:w="108" w:type="dxa"/>
          </w:tblCellMar>
        </w:tblPrEx>
        <w:trPr>
          <w:trHeight w:val="11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8D85">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6C7A">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重大活动安全保障</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8F96">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0-10</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5D16">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按需组织开展演练，指导完善各系统平台应急管理和保障措施；重大活动期间（含国家省市护网）做好值班值守，以及事前防范、事中值守取证联防、事后总结工作。</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001A">
            <w:pPr>
              <w:keepNext w:val="0"/>
              <w:keepLines w:val="0"/>
              <w:pageBreakBefore w:val="0"/>
              <w:widowControl/>
              <w:kinsoku/>
              <w:wordWrap/>
              <w:overflowPunct/>
              <w:topLinePunct w:val="0"/>
              <w:bidi w:val="0"/>
              <w:snapToGrid/>
              <w:spacing w:line="360" w:lineRule="auto"/>
              <w:ind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如全年无重大活动，则此项满分</w:t>
            </w:r>
          </w:p>
        </w:tc>
      </w:tr>
    </w:tbl>
    <w:p w14:paraId="5DFD168A">
      <w:pPr>
        <w:keepNext w:val="0"/>
        <w:keepLines w:val="0"/>
        <w:pageBreakBefore w:val="0"/>
        <w:kinsoku/>
        <w:wordWrap/>
        <w:overflowPunct/>
        <w:topLinePunct w:val="0"/>
        <w:autoSpaceDE w:val="0"/>
        <w:bidi w:val="0"/>
        <w:snapToGrid/>
        <w:spacing w:line="360" w:lineRule="auto"/>
        <w:ind w:firstLine="44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（四）系统功能优化</w:t>
      </w:r>
    </w:p>
    <w:p w14:paraId="5309E970">
      <w:pPr>
        <w:keepNext w:val="0"/>
        <w:keepLines w:val="0"/>
        <w:pageBreakBefore w:val="0"/>
        <w:kinsoku/>
        <w:wordWrap/>
        <w:overflowPunct/>
        <w:topLinePunct w:val="0"/>
        <w:autoSpaceDE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使用过程中发现系统功能使用问题或缺陷，及时进行进行系统功能优化整合。</w:t>
      </w:r>
    </w:p>
    <w:p w14:paraId="53EC2ED1">
      <w:pPr>
        <w:keepNext w:val="0"/>
        <w:keepLines w:val="0"/>
        <w:pageBreakBefore w:val="0"/>
        <w:kinsoku/>
        <w:wordWrap/>
        <w:overflowPunct/>
        <w:topLinePunct w:val="0"/>
        <w:bidi w:val="0"/>
        <w:snapToGrid/>
        <w:spacing w:line="360" w:lineRule="auto"/>
        <w:ind w:left="420" w:leftChars="200" w:firstLine="0" w:firstLine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（五）保密要求</w:t>
      </w:r>
    </w:p>
    <w:p w14:paraId="12BD30B3">
      <w:pPr>
        <w:keepNext w:val="0"/>
        <w:keepLines w:val="0"/>
        <w:pageBreakBefore w:val="0"/>
        <w:kinsoku/>
        <w:wordWrap/>
        <w:overflowPunct/>
        <w:topLinePunct w:val="0"/>
        <w:bidi w:val="0"/>
        <w:snapToGrid/>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鉴于中标</w:t>
      </w:r>
      <w:r>
        <w:rPr>
          <w:rFonts w:hint="eastAsia" w:ascii="宋体" w:hAnsi="宋体" w:eastAsia="宋体" w:cs="宋体"/>
          <w:color w:val="auto"/>
          <w:sz w:val="22"/>
          <w:szCs w:val="22"/>
          <w:highlight w:val="none"/>
          <w:lang w:val="en-US" w:eastAsia="zh-CN"/>
        </w:rPr>
        <w:t>单位</w:t>
      </w:r>
      <w:r>
        <w:rPr>
          <w:rFonts w:hint="eastAsia" w:ascii="宋体" w:hAnsi="宋体" w:eastAsia="宋体" w:cs="宋体"/>
          <w:color w:val="auto"/>
          <w:sz w:val="22"/>
          <w:szCs w:val="22"/>
          <w:highlight w:val="none"/>
        </w:rPr>
        <w:t>服务工作过程中可能接触或获得</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相关资料、文档和相关数据等业务信息，可以访问相关软、硬件平台环境，为对业务应用系统、系统设备及软、硬件平台环境进行有效保护，保障</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网络信息安全，要求</w:t>
      </w:r>
      <w:r>
        <w:rPr>
          <w:rFonts w:hint="eastAsia" w:ascii="宋体" w:hAnsi="宋体" w:eastAsia="宋体" w:cs="宋体"/>
          <w:color w:val="auto"/>
          <w:sz w:val="22"/>
          <w:szCs w:val="22"/>
          <w:highlight w:val="none"/>
          <w:lang w:val="en-US" w:eastAsia="zh-CN"/>
        </w:rPr>
        <w:t>中标单位</w:t>
      </w:r>
      <w:r>
        <w:rPr>
          <w:rFonts w:hint="eastAsia" w:ascii="宋体" w:hAnsi="宋体" w:eastAsia="宋体" w:cs="宋体"/>
          <w:color w:val="auto"/>
          <w:sz w:val="22"/>
          <w:szCs w:val="22"/>
          <w:highlight w:val="none"/>
        </w:rPr>
        <w:t>明确承诺，严格遵守相关保密法律、法规，本项目涉及业务信息仅在具体从事该工作的负责人和服务人员范围内知悉，如因</w:t>
      </w:r>
      <w:r>
        <w:rPr>
          <w:rFonts w:hint="eastAsia" w:ascii="宋体" w:hAnsi="宋体" w:eastAsia="宋体" w:cs="宋体"/>
          <w:color w:val="auto"/>
          <w:sz w:val="22"/>
          <w:szCs w:val="22"/>
          <w:highlight w:val="none"/>
          <w:lang w:val="en-US" w:eastAsia="zh-CN"/>
        </w:rPr>
        <w:t>中标单位</w:t>
      </w:r>
      <w:r>
        <w:rPr>
          <w:rFonts w:hint="eastAsia" w:ascii="宋体" w:hAnsi="宋体" w:eastAsia="宋体" w:cs="宋体"/>
          <w:color w:val="auto"/>
          <w:sz w:val="22"/>
          <w:szCs w:val="22"/>
          <w:highlight w:val="none"/>
        </w:rPr>
        <w:t>原因导致信息流失、泄露，造成的一切后果由中标方承担。</w:t>
      </w:r>
    </w:p>
    <w:p w14:paraId="113CC639">
      <w:pPr>
        <w:keepNext w:val="0"/>
        <w:keepLines w:val="0"/>
        <w:pageBreakBefore w:val="0"/>
        <w:kinsoku/>
        <w:wordWrap/>
        <w:overflowPunct/>
        <w:topLinePunct w:val="0"/>
        <w:bidi w:val="0"/>
        <w:snapToGrid/>
        <w:spacing w:line="360" w:lineRule="auto"/>
        <w:ind w:left="420" w:leftChars="200" w:firstLine="0" w:firstLine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（六）相应服务报表要求见下表：</w:t>
      </w:r>
    </w:p>
    <w:tbl>
      <w:tblPr>
        <w:tblStyle w:val="57"/>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252"/>
        <w:gridCol w:w="3658"/>
        <w:gridCol w:w="1941"/>
      </w:tblGrid>
      <w:tr w14:paraId="0290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Pr>
          <w:p w14:paraId="08D0B83F">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52" w:type="dxa"/>
          </w:tcPr>
          <w:p w14:paraId="5B1D7F94">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输出台账</w:t>
            </w:r>
          </w:p>
        </w:tc>
        <w:tc>
          <w:tcPr>
            <w:tcW w:w="3658" w:type="dxa"/>
          </w:tcPr>
          <w:p w14:paraId="16885B6D">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服务内容</w:t>
            </w:r>
          </w:p>
        </w:tc>
        <w:tc>
          <w:tcPr>
            <w:tcW w:w="1941" w:type="dxa"/>
          </w:tcPr>
          <w:p w14:paraId="71394315">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FE9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op w:val="single" w:color="auto" w:sz="4" w:space="0"/>
              <w:left w:val="single" w:color="auto" w:sz="4" w:space="0"/>
              <w:right w:val="single" w:color="auto" w:sz="4" w:space="0"/>
            </w:tcBorders>
          </w:tcPr>
          <w:p w14:paraId="2C7E0B56">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3252" w:type="dxa"/>
            <w:tcBorders>
              <w:top w:val="single" w:color="auto" w:sz="4" w:space="0"/>
              <w:left w:val="single" w:color="auto" w:sz="4" w:space="0"/>
              <w:right w:val="single" w:color="auto" w:sz="4" w:space="0"/>
            </w:tcBorders>
          </w:tcPr>
          <w:p w14:paraId="59BF15CE">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业务系统故障台账</w:t>
            </w:r>
          </w:p>
        </w:tc>
        <w:tc>
          <w:tcPr>
            <w:tcW w:w="3658" w:type="dxa"/>
            <w:vMerge w:val="restart"/>
            <w:tcBorders>
              <w:top w:val="single" w:color="auto" w:sz="4" w:space="0"/>
              <w:left w:val="single" w:color="auto" w:sz="4" w:space="0"/>
              <w:right w:val="single" w:color="auto" w:sz="4" w:space="0"/>
            </w:tcBorders>
            <w:vAlign w:val="center"/>
          </w:tcPr>
          <w:p w14:paraId="321B12E8">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业务系统运维</w:t>
            </w:r>
          </w:p>
        </w:tc>
        <w:tc>
          <w:tcPr>
            <w:tcW w:w="1941" w:type="dxa"/>
            <w:tcBorders>
              <w:top w:val="single" w:color="auto" w:sz="4" w:space="0"/>
              <w:left w:val="single" w:color="auto" w:sz="4" w:space="0"/>
              <w:right w:val="single" w:color="auto" w:sz="4" w:space="0"/>
            </w:tcBorders>
          </w:tcPr>
          <w:p w14:paraId="5425EE9C">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r>
      <w:tr w14:paraId="73E8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op w:val="single" w:color="auto" w:sz="4" w:space="0"/>
              <w:left w:val="single" w:color="auto" w:sz="4" w:space="0"/>
              <w:right w:val="single" w:color="auto" w:sz="4" w:space="0"/>
            </w:tcBorders>
          </w:tcPr>
          <w:p w14:paraId="13962E2D">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3252" w:type="dxa"/>
            <w:tcBorders>
              <w:top w:val="single" w:color="auto" w:sz="4" w:space="0"/>
              <w:left w:val="single" w:color="auto" w:sz="4" w:space="0"/>
              <w:right w:val="single" w:color="auto" w:sz="4" w:space="0"/>
            </w:tcBorders>
          </w:tcPr>
          <w:p w14:paraId="3B8FC0B9">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业务系统维护巡检月报告</w:t>
            </w:r>
          </w:p>
        </w:tc>
        <w:tc>
          <w:tcPr>
            <w:tcW w:w="3658" w:type="dxa"/>
            <w:vMerge w:val="continue"/>
            <w:tcBorders>
              <w:left w:val="single" w:color="auto" w:sz="4" w:space="0"/>
              <w:right w:val="single" w:color="auto" w:sz="4" w:space="0"/>
            </w:tcBorders>
          </w:tcPr>
          <w:p w14:paraId="2237BFE9">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c>
          <w:tcPr>
            <w:tcW w:w="1941" w:type="dxa"/>
            <w:tcBorders>
              <w:top w:val="single" w:color="auto" w:sz="4" w:space="0"/>
              <w:left w:val="single" w:color="auto" w:sz="4" w:space="0"/>
              <w:right w:val="single" w:color="auto" w:sz="4" w:space="0"/>
            </w:tcBorders>
          </w:tcPr>
          <w:p w14:paraId="7693B86A">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r>
      <w:tr w14:paraId="3500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op w:val="single" w:color="auto" w:sz="4" w:space="0"/>
              <w:left w:val="single" w:color="auto" w:sz="4" w:space="0"/>
              <w:bottom w:val="single" w:color="auto" w:sz="4" w:space="0"/>
              <w:right w:val="single" w:color="auto" w:sz="4" w:space="0"/>
            </w:tcBorders>
          </w:tcPr>
          <w:p w14:paraId="54275908">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3252" w:type="dxa"/>
            <w:tcBorders>
              <w:top w:val="single" w:color="auto" w:sz="4" w:space="0"/>
              <w:left w:val="single" w:color="auto" w:sz="4" w:space="0"/>
              <w:bottom w:val="single" w:color="auto" w:sz="4" w:space="0"/>
              <w:right w:val="single" w:color="auto" w:sz="4" w:space="0"/>
            </w:tcBorders>
          </w:tcPr>
          <w:p w14:paraId="66F495AD">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考核评估表</w:t>
            </w:r>
          </w:p>
        </w:tc>
        <w:tc>
          <w:tcPr>
            <w:tcW w:w="3658" w:type="dxa"/>
            <w:vMerge w:val="continue"/>
            <w:tcBorders>
              <w:left w:val="single" w:color="auto" w:sz="4" w:space="0"/>
              <w:right w:val="single" w:color="auto" w:sz="4" w:space="0"/>
            </w:tcBorders>
          </w:tcPr>
          <w:p w14:paraId="2CCE6B05">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c>
          <w:tcPr>
            <w:tcW w:w="1941" w:type="dxa"/>
            <w:tcBorders>
              <w:top w:val="single" w:color="auto" w:sz="4" w:space="0"/>
              <w:left w:val="single" w:color="auto" w:sz="4" w:space="0"/>
              <w:bottom w:val="single" w:color="auto" w:sz="4" w:space="0"/>
              <w:right w:val="single" w:color="auto" w:sz="4" w:space="0"/>
            </w:tcBorders>
          </w:tcPr>
          <w:p w14:paraId="4586A6E7">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r>
      <w:tr w14:paraId="5CD1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op w:val="single" w:color="auto" w:sz="4" w:space="0"/>
              <w:left w:val="single" w:color="auto" w:sz="4" w:space="0"/>
              <w:bottom w:val="single" w:color="auto" w:sz="4" w:space="0"/>
              <w:right w:val="single" w:color="auto" w:sz="4" w:space="0"/>
            </w:tcBorders>
          </w:tcPr>
          <w:p w14:paraId="39839A78">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3252" w:type="dxa"/>
            <w:tcBorders>
              <w:top w:val="single" w:color="auto" w:sz="4" w:space="0"/>
              <w:left w:val="single" w:color="auto" w:sz="4" w:space="0"/>
              <w:bottom w:val="single" w:color="auto" w:sz="4" w:space="0"/>
              <w:right w:val="single" w:color="auto" w:sz="4" w:space="0"/>
            </w:tcBorders>
          </w:tcPr>
          <w:p w14:paraId="2F8C76B6">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年度总结报告</w:t>
            </w:r>
          </w:p>
        </w:tc>
        <w:tc>
          <w:tcPr>
            <w:tcW w:w="3658" w:type="dxa"/>
            <w:vMerge w:val="continue"/>
            <w:tcBorders>
              <w:left w:val="single" w:color="auto" w:sz="4" w:space="0"/>
              <w:right w:val="single" w:color="auto" w:sz="4" w:space="0"/>
            </w:tcBorders>
          </w:tcPr>
          <w:p w14:paraId="289F978C">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c>
          <w:tcPr>
            <w:tcW w:w="1941" w:type="dxa"/>
            <w:tcBorders>
              <w:top w:val="single" w:color="auto" w:sz="4" w:space="0"/>
              <w:left w:val="single" w:color="auto" w:sz="4" w:space="0"/>
              <w:bottom w:val="single" w:color="auto" w:sz="4" w:space="0"/>
              <w:right w:val="single" w:color="auto" w:sz="4" w:space="0"/>
            </w:tcBorders>
          </w:tcPr>
          <w:p w14:paraId="7567AA2B">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r>
      <w:tr w14:paraId="5B62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op w:val="single" w:color="auto" w:sz="4" w:space="0"/>
              <w:left w:val="single" w:color="auto" w:sz="4" w:space="0"/>
              <w:right w:val="single" w:color="auto" w:sz="4" w:space="0"/>
            </w:tcBorders>
          </w:tcPr>
          <w:p w14:paraId="690D7A5B">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3252" w:type="dxa"/>
            <w:tcBorders>
              <w:top w:val="single" w:color="auto" w:sz="4" w:space="0"/>
              <w:left w:val="single" w:color="auto" w:sz="4" w:space="0"/>
              <w:right w:val="single" w:color="auto" w:sz="4" w:space="0"/>
            </w:tcBorders>
          </w:tcPr>
          <w:p w14:paraId="4D913B01">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年度满意度调查表</w:t>
            </w:r>
          </w:p>
        </w:tc>
        <w:tc>
          <w:tcPr>
            <w:tcW w:w="3658" w:type="dxa"/>
            <w:vMerge w:val="continue"/>
            <w:tcBorders>
              <w:left w:val="single" w:color="auto" w:sz="4" w:space="0"/>
              <w:right w:val="single" w:color="auto" w:sz="4" w:space="0"/>
            </w:tcBorders>
          </w:tcPr>
          <w:p w14:paraId="2225D351">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c>
          <w:tcPr>
            <w:tcW w:w="1941" w:type="dxa"/>
            <w:tcBorders>
              <w:top w:val="single" w:color="auto" w:sz="4" w:space="0"/>
              <w:left w:val="single" w:color="auto" w:sz="4" w:space="0"/>
              <w:right w:val="single" w:color="auto" w:sz="4" w:space="0"/>
            </w:tcBorders>
          </w:tcPr>
          <w:p w14:paraId="0E6EF633">
            <w:pPr>
              <w:keepNext w:val="0"/>
              <w:keepLines w:val="0"/>
              <w:pageBreakBefore w:val="0"/>
              <w:kinsoku/>
              <w:wordWrap/>
              <w:overflowPunct/>
              <w:topLinePunct w:val="0"/>
              <w:bidi w:val="0"/>
              <w:snapToGrid/>
              <w:spacing w:line="360" w:lineRule="auto"/>
              <w:ind w:left="420" w:leftChars="200" w:firstLine="0" w:firstLineChars="0"/>
              <w:jc w:val="center"/>
              <w:rPr>
                <w:rFonts w:hint="eastAsia" w:ascii="宋体" w:hAnsi="宋体" w:eastAsia="宋体" w:cs="宋体"/>
                <w:color w:val="auto"/>
                <w:sz w:val="22"/>
                <w:szCs w:val="22"/>
                <w:highlight w:val="none"/>
              </w:rPr>
            </w:pPr>
          </w:p>
        </w:tc>
      </w:tr>
    </w:tbl>
    <w:p w14:paraId="3977593B"/>
    <w:p w14:paraId="36859F95">
      <w:pPr>
        <w:pStyle w:val="21"/>
        <w:rPr>
          <w:rFonts w:hint="eastAsia" w:ascii="新宋体" w:hAnsi="新宋体" w:eastAsia="新宋体" w:cs="新宋体"/>
          <w:color w:val="auto"/>
          <w:highlight w:val="none"/>
        </w:rPr>
      </w:pPr>
    </w:p>
    <w:p w14:paraId="11B2A45B">
      <w:pPr>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lang w:eastAsia="zh-CN"/>
        </w:rPr>
      </w:pPr>
    </w:p>
    <w:p w14:paraId="61A5BCEA">
      <w:pPr>
        <w:jc w:val="center"/>
        <w:rPr>
          <w:rFonts w:hint="eastAsia" w:ascii="新宋体" w:hAnsi="新宋体" w:eastAsia="新宋体" w:cs="新宋体"/>
          <w:color w:val="auto"/>
          <w:sz w:val="22"/>
          <w:szCs w:val="22"/>
          <w:highlight w:val="none"/>
          <w:lang w:eastAsia="zh-CN"/>
        </w:rPr>
      </w:pPr>
    </w:p>
    <w:p w14:paraId="6D686462">
      <w:pPr>
        <w:spacing w:line="240" w:lineRule="auto"/>
        <w:jc w:val="center"/>
        <w:rPr>
          <w:rStyle w:val="80"/>
          <w:rFonts w:hint="eastAsia" w:ascii="新宋体" w:hAnsi="新宋体" w:eastAsia="新宋体" w:cs="新宋体"/>
          <w:color w:val="auto"/>
          <w:sz w:val="36"/>
          <w:szCs w:val="36"/>
          <w:highlight w:val="none"/>
          <w:lang w:val="en-US" w:eastAsia="zh-CN"/>
        </w:rPr>
      </w:pPr>
      <w:r>
        <w:rPr>
          <w:rFonts w:hint="eastAsia" w:ascii="宋体" w:hAnsi="宋体" w:cs="宋体"/>
          <w:b/>
          <w:bCs/>
          <w:color w:val="auto"/>
          <w:sz w:val="36"/>
          <w:szCs w:val="36"/>
          <w:highlight w:val="none"/>
        </w:rPr>
        <w:br w:type="page"/>
      </w:r>
      <w:bookmarkStart w:id="129" w:name="_Toc17706"/>
      <w:r>
        <w:rPr>
          <w:rStyle w:val="80"/>
          <w:rFonts w:hint="eastAsia" w:ascii="新宋体" w:hAnsi="新宋体" w:eastAsia="新宋体" w:cs="新宋体"/>
          <w:color w:val="auto"/>
          <w:sz w:val="36"/>
          <w:szCs w:val="36"/>
          <w:highlight w:val="none"/>
          <w:lang w:val="en-US" w:eastAsia="zh-CN"/>
        </w:rPr>
        <w:t>第六部分</w:t>
      </w:r>
      <w:bookmarkEnd w:id="118"/>
      <w:bookmarkEnd w:id="119"/>
      <w:bookmarkEnd w:id="120"/>
      <w:bookmarkEnd w:id="121"/>
      <w:bookmarkEnd w:id="122"/>
      <w:r>
        <w:rPr>
          <w:rStyle w:val="80"/>
          <w:rFonts w:hint="eastAsia" w:ascii="新宋体" w:hAnsi="新宋体" w:eastAsia="新宋体" w:cs="新宋体"/>
          <w:color w:val="auto"/>
          <w:sz w:val="36"/>
          <w:szCs w:val="36"/>
          <w:highlight w:val="none"/>
          <w:lang w:val="en-US" w:eastAsia="zh-CN"/>
        </w:rPr>
        <w:t xml:space="preserve">   评标原则及方法</w:t>
      </w:r>
      <w:bookmarkEnd w:id="123"/>
    </w:p>
    <w:bookmarkEnd w:id="1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129"/>
    <w:p w14:paraId="3002849A">
      <w:pPr>
        <w:pStyle w:val="22"/>
        <w:keepNext w:val="0"/>
        <w:keepLines w:val="0"/>
        <w:pageBreakBefore w:val="0"/>
        <w:widowControl w:val="0"/>
        <w:kinsoku/>
        <w:wordWrap/>
        <w:overflowPunct w:val="0"/>
        <w:topLinePunct w:val="0"/>
        <w:bidi w:val="0"/>
        <w:spacing w:after="0" w:line="360" w:lineRule="auto"/>
        <w:textAlignment w:val="auto"/>
        <w:rPr>
          <w:rFonts w:ascii="宋体" w:hAnsi="宋体" w:cs="宋体"/>
          <w:b/>
          <w:color w:val="auto"/>
          <w:highlight w:val="none"/>
        </w:rPr>
      </w:pPr>
      <w:bookmarkStart w:id="130" w:name="_Toc221356898"/>
      <w:bookmarkStart w:id="131" w:name="_Toc221356961"/>
      <w:r>
        <w:rPr>
          <w:rFonts w:hint="eastAsia" w:ascii="宋体" w:hAnsi="宋体" w:cs="宋体"/>
          <w:b/>
          <w:color w:val="auto"/>
          <w:highlight w:val="none"/>
        </w:rPr>
        <w:t>一. 总  则</w:t>
      </w:r>
      <w:bookmarkEnd w:id="130"/>
      <w:bookmarkEnd w:id="131"/>
    </w:p>
    <w:p w14:paraId="36219DC1">
      <w:pPr>
        <w:keepNext w:val="0"/>
        <w:keepLines w:val="0"/>
        <w:pageBreakBefore w:val="0"/>
        <w:widowControl w:val="0"/>
        <w:kinsoku/>
        <w:wordWrap/>
        <w:overflowPunct w:val="0"/>
        <w:topLinePunct w:val="0"/>
        <w:bidi w:val="0"/>
        <w:spacing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w:t>
      </w:r>
      <w:r>
        <w:rPr>
          <w:rFonts w:hint="eastAsia" w:ascii="宋体" w:hAnsi="宋体" w:cs="宋体"/>
          <w:color w:val="auto"/>
          <w:sz w:val="22"/>
          <w:szCs w:val="22"/>
          <w:highlight w:val="none"/>
          <w:lang w:val="en-US" w:eastAsia="zh-CN"/>
        </w:rPr>
        <w:t>服务</w:t>
      </w:r>
      <w:r>
        <w:rPr>
          <w:rFonts w:hint="eastAsia" w:ascii="宋体" w:hAnsi="宋体" w:cs="宋体"/>
          <w:color w:val="auto"/>
          <w:sz w:val="22"/>
          <w:szCs w:val="22"/>
          <w:highlight w:val="none"/>
        </w:rPr>
        <w:t>质量、</w:t>
      </w:r>
      <w:r>
        <w:rPr>
          <w:rFonts w:hint="eastAsia" w:ascii="宋体" w:hAnsi="宋体" w:cs="宋体"/>
          <w:color w:val="auto"/>
          <w:sz w:val="22"/>
          <w:szCs w:val="22"/>
          <w:highlight w:val="none"/>
          <w:lang w:val="en-US" w:eastAsia="zh-CN"/>
        </w:rPr>
        <w:t>服务期限</w:t>
      </w:r>
      <w:r>
        <w:rPr>
          <w:rFonts w:hint="eastAsia" w:ascii="宋体" w:hAnsi="宋体" w:cs="宋体"/>
          <w:color w:val="auto"/>
          <w:sz w:val="22"/>
          <w:szCs w:val="22"/>
          <w:highlight w:val="none"/>
        </w:rPr>
        <w:t>，节约投资，最大限度的保护当事人权益，严格按照采购文件的商务、技术要求，对投标文件进行综合评定，提出优选方案，编写评标报告。对落标单位，评委会不作任何落标解释。投标人不得以任何方式干扰招投标工作的进行，一经发现其投标文件将被拒绝。</w:t>
      </w:r>
    </w:p>
    <w:p w14:paraId="6152B84B">
      <w:pPr>
        <w:pStyle w:val="22"/>
        <w:keepNext w:val="0"/>
        <w:keepLines w:val="0"/>
        <w:pageBreakBefore w:val="0"/>
        <w:widowControl w:val="0"/>
        <w:kinsoku/>
        <w:wordWrap/>
        <w:overflowPunct w:val="0"/>
        <w:topLinePunct w:val="0"/>
        <w:bidi w:val="0"/>
        <w:spacing w:after="0" w:line="360" w:lineRule="auto"/>
        <w:textAlignment w:val="auto"/>
        <w:rPr>
          <w:rFonts w:ascii="宋体" w:hAnsi="宋体" w:cs="宋体"/>
          <w:b/>
          <w:color w:val="auto"/>
          <w:highlight w:val="none"/>
        </w:rPr>
      </w:pPr>
      <w:bookmarkStart w:id="132" w:name="_Toc221356962"/>
      <w:bookmarkStart w:id="133" w:name="_Toc221356899"/>
      <w:r>
        <w:rPr>
          <w:rFonts w:hint="eastAsia" w:ascii="宋体" w:hAnsi="宋体" w:cs="宋体"/>
          <w:b/>
          <w:color w:val="auto"/>
          <w:highlight w:val="none"/>
        </w:rPr>
        <w:t>二、评标组织</w:t>
      </w:r>
      <w:bookmarkEnd w:id="132"/>
      <w:bookmarkEnd w:id="133"/>
    </w:p>
    <w:p w14:paraId="6174BE08">
      <w:pPr>
        <w:keepNext w:val="0"/>
        <w:keepLines w:val="0"/>
        <w:pageBreakBefore w:val="0"/>
        <w:widowControl w:val="0"/>
        <w:kinsoku/>
        <w:wordWrap/>
        <w:overflowPunct w:val="0"/>
        <w:topLinePunct w:val="0"/>
        <w:bidi w:val="0"/>
        <w:spacing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评标工作由采购人依法组建的评标委员会负责，评标全过程由有关部门指导监督。</w:t>
      </w:r>
    </w:p>
    <w:p w14:paraId="10CAA7F6">
      <w:pPr>
        <w:keepNext w:val="0"/>
        <w:keepLines w:val="0"/>
        <w:pageBreakBefore w:val="0"/>
        <w:widowControl w:val="0"/>
        <w:kinsoku/>
        <w:wordWrap/>
        <w:topLinePunct w:val="0"/>
        <w:autoSpaceDE w:val="0"/>
        <w:autoSpaceDN w:val="0"/>
        <w:bidi w:val="0"/>
        <w:adjustRightInd w:val="0"/>
        <w:spacing w:line="360" w:lineRule="auto"/>
        <w:textAlignment w:val="auto"/>
        <w:rPr>
          <w:rFonts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lang w:val="zh-CN"/>
        </w:rPr>
        <w:t>三、评标程序</w:t>
      </w:r>
    </w:p>
    <w:p w14:paraId="22CD5736">
      <w:pPr>
        <w:keepNext w:val="0"/>
        <w:keepLines w:val="0"/>
        <w:pageBreakBefore w:val="0"/>
        <w:widowControl w:val="0"/>
        <w:kinsoku/>
        <w:wordWrap/>
        <w:overflowPunct w:val="0"/>
        <w:topLinePunct w:val="0"/>
        <w:bidi w:val="0"/>
        <w:spacing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开标后，采购人或采购代理机构对各投标人的资格进行审查；然后评标委员会对合格投标人的进行符合性审查，按照采购文件中规定的评标方法和标准，对符合性审查合格的投标文件进行商务和技术评估，综合比较与评价。</w:t>
      </w:r>
    </w:p>
    <w:p w14:paraId="5683050A">
      <w:pPr>
        <w:pStyle w:val="22"/>
        <w:keepNext w:val="0"/>
        <w:keepLines w:val="0"/>
        <w:pageBreakBefore w:val="0"/>
        <w:widowControl w:val="0"/>
        <w:kinsoku/>
        <w:wordWrap/>
        <w:topLinePunct w:val="0"/>
        <w:bidi w:val="0"/>
        <w:adjustRightInd w:val="0"/>
        <w:snapToGrid w:val="0"/>
        <w:spacing w:after="0" w:line="360" w:lineRule="auto"/>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四、 评标办法</w:t>
      </w:r>
    </w:p>
    <w:p w14:paraId="34C169F4">
      <w:pPr>
        <w:pStyle w:val="23"/>
        <w:keepNext w:val="0"/>
        <w:keepLines w:val="0"/>
        <w:pageBreakBefore w:val="0"/>
        <w:widowControl w:val="0"/>
        <w:numPr>
          <w:ilvl w:val="0"/>
          <w:numId w:val="0"/>
        </w:numPr>
        <w:kinsoku/>
        <w:wordWrap/>
        <w:topLinePunct w:val="0"/>
        <w:bidi w:val="0"/>
        <w:adjustRightInd/>
        <w:spacing w:line="360" w:lineRule="auto"/>
        <w:ind w:firstLine="442" w:firstLineChars="200"/>
        <w:jc w:val="both"/>
        <w:textAlignment w:val="auto"/>
        <w:rPr>
          <w:rFonts w:cs="宋体"/>
          <w:b/>
          <w:color w:val="auto"/>
          <w:sz w:val="22"/>
          <w:szCs w:val="22"/>
          <w:highlight w:val="none"/>
          <w:u w:val="single"/>
        </w:rPr>
      </w:pPr>
      <w:r>
        <w:rPr>
          <w:rFonts w:hint="eastAsia" w:cs="宋体"/>
          <w:b/>
          <w:color w:val="auto"/>
          <w:sz w:val="22"/>
          <w:highlight w:val="none"/>
        </w:rPr>
        <w:t>本项目评标办法采取百分制综合评分法</w:t>
      </w:r>
      <w:r>
        <w:rPr>
          <w:rFonts w:hint="eastAsia" w:cs="宋体"/>
          <w:color w:val="auto"/>
          <w:sz w:val="22"/>
          <w:highlight w:val="none"/>
        </w:rPr>
        <w:t>，</w:t>
      </w:r>
      <w:r>
        <w:rPr>
          <w:rFonts w:hint="eastAsia" w:cs="宋体"/>
          <w:b/>
          <w:color w:val="auto"/>
          <w:sz w:val="22"/>
          <w:highlight w:val="none"/>
        </w:rPr>
        <w:t>其中</w:t>
      </w:r>
      <w:r>
        <w:rPr>
          <w:rFonts w:hint="eastAsia" w:cs="宋体"/>
          <w:b/>
          <w:bCs/>
          <w:color w:val="auto"/>
          <w:sz w:val="22"/>
          <w:highlight w:val="none"/>
        </w:rPr>
        <w:t>商务技术</w:t>
      </w:r>
      <w:r>
        <w:rPr>
          <w:rFonts w:hint="eastAsia" w:cs="宋体"/>
          <w:b/>
          <w:color w:val="auto"/>
          <w:sz w:val="22"/>
          <w:highlight w:val="none"/>
          <w:lang w:val="en-US" w:eastAsia="zh-CN"/>
        </w:rPr>
        <w:t>8</w:t>
      </w:r>
      <w:r>
        <w:rPr>
          <w:rFonts w:hint="eastAsia" w:cs="宋体"/>
          <w:b/>
          <w:color w:val="auto"/>
          <w:sz w:val="22"/>
          <w:highlight w:val="none"/>
        </w:rPr>
        <w:t>0分（技术权值为</w:t>
      </w:r>
      <w:r>
        <w:rPr>
          <w:rFonts w:hint="eastAsia" w:cs="宋体"/>
          <w:b/>
          <w:color w:val="auto"/>
          <w:sz w:val="22"/>
          <w:highlight w:val="none"/>
          <w:lang w:val="en-US" w:eastAsia="zh-CN"/>
        </w:rPr>
        <w:t>8</w:t>
      </w:r>
      <w:r>
        <w:rPr>
          <w:rFonts w:hint="eastAsia" w:cs="宋体"/>
          <w:b/>
          <w:color w:val="auto"/>
          <w:sz w:val="22"/>
          <w:highlight w:val="none"/>
        </w:rPr>
        <w:t>0%），投标报价</w:t>
      </w:r>
      <w:r>
        <w:rPr>
          <w:rFonts w:hint="eastAsia" w:cs="宋体"/>
          <w:b/>
          <w:color w:val="auto"/>
          <w:sz w:val="22"/>
          <w:highlight w:val="none"/>
          <w:lang w:val="en-US" w:eastAsia="zh-CN"/>
        </w:rPr>
        <w:t>2</w:t>
      </w:r>
      <w:r>
        <w:rPr>
          <w:rFonts w:hint="eastAsia" w:cs="宋体"/>
          <w:b/>
          <w:color w:val="auto"/>
          <w:sz w:val="22"/>
          <w:highlight w:val="none"/>
        </w:rPr>
        <w:t>0分（价格权值为</w:t>
      </w:r>
      <w:r>
        <w:rPr>
          <w:rFonts w:hint="eastAsia" w:cs="宋体"/>
          <w:b/>
          <w:color w:val="auto"/>
          <w:sz w:val="22"/>
          <w:highlight w:val="none"/>
          <w:lang w:val="en-US" w:eastAsia="zh-CN"/>
        </w:rPr>
        <w:t>2</w:t>
      </w:r>
      <w:r>
        <w:rPr>
          <w:rFonts w:hint="eastAsia" w:cs="宋体"/>
          <w:b/>
          <w:color w:val="auto"/>
          <w:sz w:val="22"/>
          <w:highlight w:val="none"/>
        </w:rPr>
        <w:t>0%）。</w:t>
      </w:r>
      <w:r>
        <w:rPr>
          <w:rFonts w:hint="eastAsia" w:cs="宋体"/>
          <w:color w:val="auto"/>
          <w:sz w:val="22"/>
          <w:szCs w:val="22"/>
          <w:highlight w:val="none"/>
        </w:rPr>
        <w:t>即最大限度地满足采购文件实质性要求前提下，按照采购文件中规定的各项评分内容进行综合评审。以最终得分（即</w:t>
      </w:r>
      <w:r>
        <w:rPr>
          <w:rFonts w:hint="eastAsia" w:cs="宋体"/>
          <w:color w:val="auto"/>
          <w:sz w:val="22"/>
          <w:szCs w:val="22"/>
          <w:highlight w:val="none"/>
          <w:lang w:val="en-US" w:eastAsia="zh-CN"/>
        </w:rPr>
        <w:t>商务</w:t>
      </w:r>
      <w:r>
        <w:rPr>
          <w:rFonts w:hint="eastAsia" w:cs="宋体"/>
          <w:color w:val="auto"/>
          <w:sz w:val="22"/>
          <w:szCs w:val="22"/>
          <w:highlight w:val="none"/>
        </w:rPr>
        <w:t>技术分与</w:t>
      </w:r>
      <w:r>
        <w:rPr>
          <w:rFonts w:hint="eastAsia" w:cs="宋体"/>
          <w:color w:val="auto"/>
          <w:sz w:val="22"/>
          <w:szCs w:val="22"/>
          <w:highlight w:val="none"/>
          <w:lang w:val="en-US" w:eastAsia="zh-CN"/>
        </w:rPr>
        <w:t>报价</w:t>
      </w:r>
      <w:r>
        <w:rPr>
          <w:rFonts w:hint="eastAsia" w:cs="宋体"/>
          <w:color w:val="auto"/>
          <w:sz w:val="22"/>
          <w:szCs w:val="22"/>
          <w:highlight w:val="none"/>
        </w:rPr>
        <w:t>分之和）高低进行排序，得分前二名的投标人推荐为中标候选人与备选中标人（得分相同投标报价低的排序前位；得分且投标报价相同的并列，投标文件满足采购文件全部实质性要求，且按照评审因素的量化指标评审得分最高的投标人为中标候选人）。</w:t>
      </w:r>
    </w:p>
    <w:p w14:paraId="6060C462">
      <w:pPr>
        <w:keepNext w:val="0"/>
        <w:keepLines w:val="0"/>
        <w:pageBreakBefore w:val="0"/>
        <w:widowControl w:val="0"/>
        <w:kinsoku/>
        <w:wordWrap/>
        <w:topLinePunct w:val="0"/>
        <w:bidi w:val="0"/>
        <w:spacing w:line="360" w:lineRule="auto"/>
        <w:ind w:firstLine="440" w:firstLineChars="200"/>
        <w:textAlignment w:val="auto"/>
        <w:rPr>
          <w:rFonts w:ascii="宋体" w:hAnsi="宋体" w:cs="宋体"/>
          <w:color w:val="auto"/>
          <w:sz w:val="22"/>
          <w:szCs w:val="22"/>
          <w:highlight w:val="none"/>
        </w:rPr>
      </w:pPr>
      <w:r>
        <w:rPr>
          <w:rFonts w:hint="eastAsia" w:ascii="宋体" w:hAnsi="宋体" w:cs="宋体"/>
          <w:color w:val="auto"/>
          <w:sz w:val="22"/>
          <w:highlight w:val="none"/>
        </w:rPr>
        <w:t>评标过程中遇到特殊情况，由评标委员会遵循公平、公正原则，采取记名投票方式按照少数服从多数原则决定。</w:t>
      </w:r>
    </w:p>
    <w:p w14:paraId="1A58F911">
      <w:pPr>
        <w:pStyle w:val="22"/>
        <w:keepNext w:val="0"/>
        <w:keepLines w:val="0"/>
        <w:pageBreakBefore w:val="0"/>
        <w:widowControl w:val="0"/>
        <w:kinsoku/>
        <w:wordWrap/>
        <w:topLinePunct w:val="0"/>
        <w:bidi w:val="0"/>
        <w:spacing w:after="0" w:line="360" w:lineRule="auto"/>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五、评分细则</w:t>
      </w:r>
    </w:p>
    <w:p w14:paraId="53DACDD1">
      <w:pPr>
        <w:keepNext w:val="0"/>
        <w:keepLines w:val="0"/>
        <w:pageBreakBefore w:val="0"/>
        <w:widowControl w:val="0"/>
        <w:numPr>
          <w:ilvl w:val="0"/>
          <w:numId w:val="40"/>
        </w:numPr>
        <w:kinsoku/>
        <w:wordWrap/>
        <w:topLinePunct w:val="0"/>
        <w:bidi w:val="0"/>
        <w:spacing w:line="360" w:lineRule="auto"/>
        <w:ind w:firstLine="0"/>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商务技术文件的评定（</w:t>
      </w:r>
      <w:r>
        <w:rPr>
          <w:rFonts w:hint="eastAsia" w:ascii="宋体" w:hAnsi="宋体" w:cs="宋体"/>
          <w:b/>
          <w:color w:val="auto"/>
          <w:sz w:val="22"/>
          <w:szCs w:val="22"/>
          <w:highlight w:val="none"/>
          <w:lang w:val="en-US" w:eastAsia="zh-CN"/>
        </w:rPr>
        <w:t>8</w:t>
      </w:r>
      <w:r>
        <w:rPr>
          <w:rFonts w:hint="eastAsia" w:ascii="宋体" w:hAnsi="宋体" w:cs="宋体"/>
          <w:b/>
          <w:color w:val="auto"/>
          <w:sz w:val="22"/>
          <w:szCs w:val="22"/>
          <w:highlight w:val="none"/>
        </w:rPr>
        <w:t>0分）</w:t>
      </w:r>
    </w:p>
    <w:p w14:paraId="7EAA6297">
      <w:pPr>
        <w:keepNext w:val="0"/>
        <w:keepLines w:val="0"/>
        <w:pageBreakBefore w:val="0"/>
        <w:widowControl w:val="0"/>
        <w:kinsoku/>
        <w:wordWrap/>
        <w:topLinePunct w:val="0"/>
        <w:bidi w:val="0"/>
        <w:spacing w:line="360" w:lineRule="auto"/>
        <w:ind w:firstLine="330" w:firstLineChars="15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各评委成员按下列评分项目进行评定，每人一张评分计算表，由评标委员会成员各自评定打分并记实名。</w:t>
      </w:r>
      <w:r>
        <w:rPr>
          <w:rFonts w:hint="eastAsia" w:ascii="宋体" w:hAnsi="宋体" w:cs="宋体"/>
          <w:b/>
          <w:color w:val="auto"/>
          <w:sz w:val="22"/>
          <w:szCs w:val="22"/>
          <w:highlight w:val="none"/>
        </w:rPr>
        <w:t>如任何一张表的一项评分内容分值超过规定的范围，则该张表无效。</w:t>
      </w:r>
      <w:r>
        <w:rPr>
          <w:rFonts w:hint="eastAsia" w:ascii="宋体" w:hAnsi="宋体" w:cs="宋体"/>
          <w:color w:val="auto"/>
          <w:sz w:val="22"/>
          <w:szCs w:val="22"/>
          <w:highlight w:val="none"/>
        </w:rPr>
        <w:t>评标委员会成员对各投标人的各项评分内容评分合计值的算术平均值为该投标人商务技术文件的最终得分（四舍五入，保留小数点后二位）。</w:t>
      </w:r>
    </w:p>
    <w:tbl>
      <w:tblPr>
        <w:tblStyle w:val="5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796"/>
        <w:gridCol w:w="5467"/>
        <w:gridCol w:w="821"/>
        <w:gridCol w:w="912"/>
      </w:tblGrid>
      <w:tr w14:paraId="5B3E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blHeader/>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31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DE9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评分内容</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09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评审标准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71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分值</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59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3282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EB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820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投标人实力</w:t>
            </w:r>
          </w:p>
        </w:tc>
        <w:tc>
          <w:tcPr>
            <w:tcW w:w="2777" w:type="pct"/>
            <w:tcBorders>
              <w:top w:val="single" w:color="000000" w:sz="4" w:space="0"/>
              <w:left w:val="single" w:color="000000" w:sz="4" w:space="0"/>
              <w:right w:val="single" w:color="000000" w:sz="4" w:space="0"/>
            </w:tcBorders>
            <w:shd w:val="clear" w:color="auto" w:fill="auto"/>
            <w:vAlign w:val="center"/>
          </w:tcPr>
          <w:p w14:paraId="5C2868E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投标人具有 ISO/IEC 27001 信息安全管理体系认证证书(证书认证范范围包含“计算机应用软件</w:t>
            </w:r>
            <w:r>
              <w:rPr>
                <w:rFonts w:hint="eastAsia" w:ascii="宋体" w:hAnsi="宋体" w:eastAsia="宋体" w:cs="宋体"/>
                <w:i w:val="0"/>
                <w:iCs w:val="0"/>
                <w:color w:val="auto"/>
                <w:sz w:val="22"/>
                <w:szCs w:val="22"/>
                <w:highlight w:val="none"/>
                <w:u w:val="none"/>
                <w:lang w:val="en-US" w:eastAsia="zh-CN"/>
              </w:rPr>
              <w:t>开发及运维</w:t>
            </w:r>
            <w:r>
              <w:rPr>
                <w:rFonts w:hint="eastAsia" w:ascii="宋体" w:hAnsi="宋体" w:eastAsia="宋体" w:cs="宋体"/>
                <w:i w:val="0"/>
                <w:iCs w:val="0"/>
                <w:color w:val="auto"/>
                <w:sz w:val="22"/>
                <w:szCs w:val="22"/>
                <w:highlight w:val="none"/>
                <w:u w:val="none"/>
              </w:rPr>
              <w:t>”相关内容)、IS020000 信息技术服务管理体系证书(证书认证范范围包含“计算机应用软件开发</w:t>
            </w:r>
            <w:r>
              <w:rPr>
                <w:rFonts w:hint="eastAsia" w:ascii="宋体" w:hAnsi="宋体" w:eastAsia="宋体" w:cs="宋体"/>
                <w:i w:val="0"/>
                <w:iCs w:val="0"/>
                <w:color w:val="auto"/>
                <w:sz w:val="22"/>
                <w:szCs w:val="22"/>
                <w:highlight w:val="none"/>
                <w:u w:val="none"/>
                <w:lang w:val="en-US" w:eastAsia="zh-CN"/>
              </w:rPr>
              <w:t>和</w:t>
            </w:r>
            <w:r>
              <w:rPr>
                <w:rFonts w:hint="eastAsia" w:ascii="宋体" w:hAnsi="宋体" w:eastAsia="宋体" w:cs="宋体"/>
                <w:i w:val="0"/>
                <w:iCs w:val="0"/>
                <w:color w:val="auto"/>
                <w:sz w:val="22"/>
                <w:szCs w:val="22"/>
                <w:highlight w:val="none"/>
                <w:u w:val="none"/>
              </w:rPr>
              <w:t>信息系统软硬件运维服务”相关内容)，每个得2分，最高得4分。</w:t>
            </w:r>
          </w:p>
          <w:p w14:paraId="2D276E26">
            <w:pPr>
              <w:pStyle w:val="76"/>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注：提供有效期内的认证证书扫描件，且证书认证机构须获得国家认证认可监督管理委员会的批准并在有效期内，附认证查询网页截图，否则不得分。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8D0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bidi="ar"/>
              </w:rPr>
              <w:t>4</w:t>
            </w:r>
          </w:p>
        </w:tc>
        <w:tc>
          <w:tcPr>
            <w:tcW w:w="463" w:type="pct"/>
            <w:tcBorders>
              <w:top w:val="single" w:color="000000" w:sz="4" w:space="0"/>
              <w:left w:val="single" w:color="000000" w:sz="4" w:space="0"/>
              <w:right w:val="single" w:color="000000" w:sz="4" w:space="0"/>
            </w:tcBorders>
            <w:shd w:val="clear" w:color="auto" w:fill="auto"/>
            <w:noWrap/>
            <w:vAlign w:val="center"/>
          </w:tcPr>
          <w:p w14:paraId="26C5BA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客观分</w:t>
            </w:r>
          </w:p>
        </w:tc>
      </w:tr>
      <w:tr w14:paraId="6799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E1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C7A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同类项目业绩</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81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投标</w:t>
            </w:r>
            <w:r>
              <w:rPr>
                <w:rFonts w:hint="eastAsia" w:ascii="宋体" w:hAnsi="宋体" w:eastAsia="宋体" w:cs="宋体"/>
                <w:i w:val="0"/>
                <w:iCs w:val="0"/>
                <w:color w:val="auto"/>
                <w:sz w:val="22"/>
                <w:szCs w:val="22"/>
                <w:highlight w:val="none"/>
                <w:u w:val="none"/>
                <w:lang w:val="en-US" w:eastAsia="zh-CN"/>
              </w:rPr>
              <w:t>人自</w:t>
            </w:r>
            <w:r>
              <w:rPr>
                <w:rFonts w:hint="eastAsia" w:ascii="宋体" w:hAnsi="宋体" w:eastAsia="宋体" w:cs="宋体"/>
                <w:i w:val="0"/>
                <w:iCs w:val="0"/>
                <w:color w:val="auto"/>
                <w:sz w:val="22"/>
                <w:szCs w:val="22"/>
                <w:highlight w:val="none"/>
                <w:u w:val="none"/>
              </w:rPr>
              <w:t>202</w:t>
            </w:r>
            <w:r>
              <w:rPr>
                <w:rFonts w:hint="eastAsia" w:ascii="宋体" w:hAnsi="宋体" w:eastAsia="宋体" w:cs="宋体"/>
                <w:i w:val="0"/>
                <w:iCs w:val="0"/>
                <w:color w:val="auto"/>
                <w:sz w:val="22"/>
                <w:szCs w:val="22"/>
                <w:highlight w:val="none"/>
                <w:u w:val="none"/>
                <w:lang w:val="en-US" w:eastAsia="zh-CN"/>
              </w:rPr>
              <w:t>2</w:t>
            </w:r>
            <w:r>
              <w:rPr>
                <w:rFonts w:hint="eastAsia" w:ascii="宋体" w:hAnsi="宋体" w:eastAsia="宋体" w:cs="宋体"/>
                <w:i w:val="0"/>
                <w:iCs w:val="0"/>
                <w:color w:val="auto"/>
                <w:sz w:val="22"/>
                <w:szCs w:val="22"/>
                <w:highlight w:val="none"/>
                <w:u w:val="none"/>
              </w:rPr>
              <w:t>年1年1日至今同类</w:t>
            </w:r>
            <w:r>
              <w:rPr>
                <w:rFonts w:hint="eastAsia" w:ascii="宋体" w:hAnsi="宋体" w:cs="宋体"/>
                <w:i w:val="0"/>
                <w:iCs w:val="0"/>
                <w:color w:val="auto"/>
                <w:sz w:val="22"/>
                <w:szCs w:val="22"/>
                <w:highlight w:val="none"/>
                <w:u w:val="none"/>
                <w:lang w:val="en-US" w:eastAsia="zh-CN"/>
              </w:rPr>
              <w:t>信息化</w:t>
            </w:r>
            <w:r>
              <w:rPr>
                <w:rFonts w:hint="eastAsia" w:ascii="宋体" w:hAnsi="宋体" w:eastAsia="宋体" w:cs="宋体"/>
                <w:i w:val="0"/>
                <w:iCs w:val="0"/>
                <w:color w:val="auto"/>
                <w:sz w:val="22"/>
                <w:szCs w:val="22"/>
                <w:highlight w:val="none"/>
                <w:u w:val="none"/>
              </w:rPr>
              <w:t>项目业绩每个得</w:t>
            </w:r>
            <w:r>
              <w:rPr>
                <w:rFonts w:hint="eastAsia" w:ascii="宋体" w:hAnsi="宋体" w:eastAsia="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分，本项最多得</w:t>
            </w:r>
            <w:r>
              <w:rPr>
                <w:rFonts w:hint="eastAsia" w:ascii="宋体" w:hAnsi="宋体" w:eastAsia="宋体" w:cs="宋体"/>
                <w:i w:val="0"/>
                <w:iCs w:val="0"/>
                <w:color w:val="auto"/>
                <w:sz w:val="22"/>
                <w:szCs w:val="22"/>
                <w:highlight w:val="none"/>
                <w:u w:val="none"/>
                <w:lang w:val="en-US" w:eastAsia="zh-CN"/>
              </w:rPr>
              <w:t>2</w:t>
            </w:r>
            <w:r>
              <w:rPr>
                <w:rFonts w:hint="eastAsia" w:ascii="宋体" w:hAnsi="宋体" w:eastAsia="宋体" w:cs="宋体"/>
                <w:i w:val="0"/>
                <w:iCs w:val="0"/>
                <w:color w:val="auto"/>
                <w:sz w:val="22"/>
                <w:szCs w:val="22"/>
                <w:highlight w:val="none"/>
                <w:u w:val="none"/>
              </w:rPr>
              <w:t>分。</w:t>
            </w:r>
          </w:p>
          <w:p w14:paraId="0CE74E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注：</w:t>
            </w:r>
            <w:r>
              <w:rPr>
                <w:rFonts w:hint="eastAsia" w:ascii="宋体" w:hAnsi="宋体" w:eastAsia="宋体" w:cs="宋体"/>
                <w:b/>
                <w:bCs/>
                <w:i w:val="0"/>
                <w:iCs w:val="0"/>
                <w:color w:val="auto"/>
                <w:sz w:val="22"/>
                <w:szCs w:val="22"/>
                <w:highlight w:val="none"/>
                <w:u w:val="none"/>
              </w:rPr>
              <w:t>业绩证明需提供合同</w:t>
            </w:r>
            <w:r>
              <w:rPr>
                <w:rFonts w:hint="eastAsia" w:ascii="宋体" w:hAnsi="宋体" w:eastAsia="宋体" w:cs="宋体"/>
                <w:b/>
                <w:bCs/>
                <w:i w:val="0"/>
                <w:iCs w:val="0"/>
                <w:color w:val="auto"/>
                <w:sz w:val="22"/>
                <w:szCs w:val="22"/>
                <w:highlight w:val="none"/>
                <w:u w:val="none"/>
                <w:lang w:val="en-US" w:eastAsia="zh-CN"/>
              </w:rPr>
              <w:t>和中标通知书扫描件</w:t>
            </w:r>
            <w:r>
              <w:rPr>
                <w:rFonts w:hint="eastAsia" w:ascii="宋体" w:hAnsi="宋体" w:eastAsia="宋体" w:cs="宋体"/>
                <w:b/>
                <w:bCs/>
                <w:i w:val="0"/>
                <w:iCs w:val="0"/>
                <w:color w:val="auto"/>
                <w:sz w:val="22"/>
                <w:szCs w:val="22"/>
                <w:highlight w:val="none"/>
                <w:u w:val="none"/>
              </w:rPr>
              <w:t>加盖公章</w:t>
            </w:r>
            <w:r>
              <w:rPr>
                <w:rFonts w:hint="eastAsia" w:ascii="宋体" w:hAnsi="宋体" w:eastAsia="宋体" w:cs="宋体"/>
                <w:b/>
                <w:bCs/>
                <w:i w:val="0"/>
                <w:iCs w:val="0"/>
                <w:color w:val="auto"/>
                <w:sz w:val="22"/>
                <w:szCs w:val="22"/>
                <w:highlight w:val="none"/>
                <w:u w:val="none"/>
                <w:lang w:eastAsia="zh-CN"/>
              </w:rPr>
              <w:t>，</w:t>
            </w:r>
            <w:r>
              <w:rPr>
                <w:rFonts w:hint="eastAsia" w:ascii="宋体" w:hAnsi="宋体" w:eastAsia="宋体" w:cs="宋体"/>
                <w:b/>
                <w:bCs/>
                <w:i w:val="0"/>
                <w:iCs w:val="0"/>
                <w:color w:val="auto"/>
                <w:sz w:val="22"/>
                <w:szCs w:val="22"/>
                <w:highlight w:val="none"/>
                <w:u w:val="none"/>
                <w:lang w:val="en-US" w:eastAsia="zh-CN"/>
              </w:rPr>
              <w:t>否则不得分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E7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CA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客观分</w:t>
            </w:r>
          </w:p>
        </w:tc>
      </w:tr>
      <w:tr w14:paraId="3FDA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9" w:type="pct"/>
            <w:vMerge w:val="restart"/>
            <w:tcBorders>
              <w:top w:val="single" w:color="000000" w:sz="4" w:space="0"/>
              <w:left w:val="single" w:color="000000" w:sz="4" w:space="0"/>
              <w:right w:val="single" w:color="000000" w:sz="4" w:space="0"/>
            </w:tcBorders>
            <w:shd w:val="clear" w:color="auto" w:fill="auto"/>
            <w:vAlign w:val="center"/>
          </w:tcPr>
          <w:p w14:paraId="1802E0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12" w:type="pct"/>
            <w:vMerge w:val="restart"/>
            <w:tcBorders>
              <w:top w:val="single" w:color="000000" w:sz="4" w:space="0"/>
              <w:left w:val="single" w:color="000000" w:sz="4" w:space="0"/>
              <w:right w:val="single" w:color="000000" w:sz="4" w:space="0"/>
            </w:tcBorders>
            <w:shd w:val="clear" w:color="auto" w:fill="auto"/>
            <w:vAlign w:val="center"/>
          </w:tcPr>
          <w:p w14:paraId="12F4462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技术服务及力量保障</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94F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项目负责人综合能力：</w:t>
            </w:r>
          </w:p>
          <w:p w14:paraId="60A2221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①项目总负责人具备的系统集成项目管理工程师、IT运维工程师、安全运维工程师、数据分析(高级)证书的每提供一个证书得2分，最高得8分；</w:t>
            </w:r>
          </w:p>
          <w:p w14:paraId="5F527F4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②项目软件部分运维负责人具备高级软件设计师、信息系统运维管理工程师(高级)、信息安全管理(高级)、软件评测师证书的每提供一个得1分，最高得4分；</w:t>
            </w:r>
          </w:p>
          <w:p w14:paraId="4D25B5B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③项目安全部分运维负责人具备信息系统管理工程师、高级安全防范工程师、信息系统监理师、网络安全架构师(高级)证书的每提供一个证书得1分，最高得4分。</w:t>
            </w:r>
          </w:p>
          <w:p w14:paraId="2A412D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2"/>
                <w:szCs w:val="22"/>
                <w:lang w:val="en-US" w:eastAsia="zh-CN"/>
              </w:rPr>
            </w:pPr>
            <w:r>
              <w:rPr>
                <w:rFonts w:hint="eastAsia" w:ascii="宋体" w:hAnsi="宋体" w:eastAsia="宋体" w:cs="宋体"/>
                <w:b/>
                <w:bCs/>
                <w:i w:val="0"/>
                <w:iCs w:val="0"/>
                <w:color w:val="auto"/>
                <w:sz w:val="22"/>
                <w:szCs w:val="22"/>
                <w:highlight w:val="none"/>
                <w:u w:val="none"/>
                <w:lang w:val="en-US" w:eastAsia="zh-CN"/>
              </w:rPr>
              <w:t>注：提供证书扫描件及开标截止期前3个月内任一月社保证明；以上人员证书签发机构为人力资源和社会保障部(厅、局)或工业和信息化部(厅、局、教育与考试中心、人才交流中心)，否则不得分。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A0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C3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客观分</w:t>
            </w:r>
          </w:p>
        </w:tc>
      </w:tr>
      <w:tr w14:paraId="4875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9" w:type="pct"/>
            <w:vMerge w:val="continue"/>
            <w:tcBorders>
              <w:left w:val="single" w:color="000000" w:sz="4" w:space="0"/>
              <w:bottom w:val="single" w:color="000000" w:sz="4" w:space="0"/>
              <w:right w:val="single" w:color="000000" w:sz="4" w:space="0"/>
            </w:tcBorders>
            <w:shd w:val="clear" w:color="auto" w:fill="auto"/>
            <w:vAlign w:val="center"/>
          </w:tcPr>
          <w:p w14:paraId="7E8816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12" w:type="pct"/>
            <w:vMerge w:val="continue"/>
            <w:tcBorders>
              <w:left w:val="single" w:color="000000" w:sz="4" w:space="0"/>
              <w:bottom w:val="single" w:color="000000" w:sz="4" w:space="0"/>
              <w:right w:val="single" w:color="000000" w:sz="4" w:space="0"/>
            </w:tcBorders>
            <w:shd w:val="clear" w:color="auto" w:fill="auto"/>
            <w:vAlign w:val="center"/>
          </w:tcPr>
          <w:p w14:paraId="24994B2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rPr>
            </w:pP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B24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技术团队成员配置（本项最高7分）：</w:t>
            </w:r>
          </w:p>
          <w:p w14:paraId="0E621C2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①软件运维团队配置合理的得7分（团队至少配置8人及以上软件设计师，1人及以上软件评测师，1人及以上系统架构设计师，提供完善的人员配置计划）；</w:t>
            </w:r>
          </w:p>
          <w:p w14:paraId="6240EC2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②软件运维团队配置基本合理的得5分（团队至少配置5人及以上软件设计师，1人及以上软件评测师或系统架构设计师，提供较为完善的人员配置计划）；</w:t>
            </w:r>
          </w:p>
          <w:p w14:paraId="5DAA8E0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③软件运维团队配置欠缺的得3分（团队软件设计低于5人、无软件评测师或系统架构设计师，提供人员配置计划不完善或未提供）；</w:t>
            </w:r>
          </w:p>
          <w:p w14:paraId="78BFC3A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④不提供的得0分。</w:t>
            </w:r>
          </w:p>
          <w:p w14:paraId="3FD26B5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
                <w:bCs/>
                <w:i w:val="0"/>
                <w:iCs w:val="0"/>
                <w:color w:val="auto"/>
                <w:sz w:val="22"/>
                <w:szCs w:val="22"/>
                <w:highlight w:val="none"/>
                <w:u w:val="none"/>
                <w:lang w:val="en-US" w:eastAsia="zh-CN"/>
              </w:rPr>
              <w:t>注：提供证书扫描件及开标截止期前3个月内任一月社保证明；以上人员证书签发机构为人力资源和社会保障部(厅、局)或工业和信息化部(厅、局、教育与考试中心、人才交流中心)，否则不得分。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56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66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客观分</w:t>
            </w:r>
          </w:p>
        </w:tc>
      </w:tr>
      <w:tr w14:paraId="2B0A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C4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DB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项目背景了解</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41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根据投标人对本项目所涉及的交通局相关维护硬件、平台、系统、技术的现有</w:t>
            </w:r>
            <w:r>
              <w:rPr>
                <w:rFonts w:hint="eastAsia" w:ascii="宋体" w:hAnsi="宋体" w:cs="宋体"/>
                <w:i w:val="0"/>
                <w:iCs w:val="0"/>
                <w:color w:val="auto"/>
                <w:sz w:val="22"/>
                <w:szCs w:val="22"/>
                <w:highlight w:val="none"/>
                <w:u w:val="none"/>
                <w:lang w:val="en-US" w:eastAsia="zh-CN"/>
              </w:rPr>
              <w:t>项目背景</w:t>
            </w:r>
            <w:r>
              <w:rPr>
                <w:rFonts w:hint="eastAsia" w:ascii="宋体" w:hAnsi="宋体" w:eastAsia="宋体" w:cs="宋体"/>
                <w:i w:val="0"/>
                <w:iCs w:val="0"/>
                <w:color w:val="auto"/>
                <w:sz w:val="22"/>
                <w:szCs w:val="22"/>
                <w:highlight w:val="none"/>
                <w:u w:val="none"/>
                <w:lang w:val="en-US" w:eastAsia="zh-CN"/>
              </w:rPr>
              <w:t>情况的了解</w:t>
            </w:r>
            <w:r>
              <w:rPr>
                <w:rFonts w:hint="eastAsia" w:ascii="宋体" w:hAnsi="宋体" w:cs="宋体"/>
                <w:i w:val="0"/>
                <w:iCs w:val="0"/>
                <w:color w:val="auto"/>
                <w:sz w:val="22"/>
                <w:szCs w:val="22"/>
                <w:highlight w:val="none"/>
                <w:u w:val="none"/>
                <w:lang w:val="en-US" w:eastAsia="zh-CN"/>
              </w:rPr>
              <w:t>分析是否充分，</w:t>
            </w:r>
            <w:r>
              <w:rPr>
                <w:rFonts w:hint="eastAsia" w:ascii="宋体" w:hAnsi="宋体" w:eastAsia="宋体" w:cs="宋体"/>
                <w:i w:val="0"/>
                <w:iCs w:val="0"/>
                <w:color w:val="auto"/>
                <w:sz w:val="22"/>
                <w:szCs w:val="22"/>
                <w:highlight w:val="none"/>
                <w:u w:val="none"/>
                <w:lang w:val="en-US" w:eastAsia="zh-CN"/>
              </w:rPr>
              <w:t>由评委进行综合打分。（9，7，5，3，0）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6A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A1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主观分</w:t>
            </w:r>
          </w:p>
        </w:tc>
      </w:tr>
      <w:tr w14:paraId="2D47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F7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22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运维方案（含软、硬件）</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33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根据投标人所提供的运维方案（含软、硬件）内容</w:t>
            </w:r>
            <w:r>
              <w:rPr>
                <w:rFonts w:hint="eastAsia" w:ascii="宋体" w:hAnsi="宋体" w:eastAsia="宋体" w:cs="宋体"/>
                <w:i w:val="0"/>
                <w:iCs w:val="0"/>
                <w:color w:val="auto"/>
                <w:sz w:val="22"/>
                <w:szCs w:val="22"/>
                <w:highlight w:val="none"/>
                <w:u w:val="none"/>
                <w:lang w:val="en-US" w:eastAsia="zh-CN"/>
              </w:rPr>
              <w:t>的完整性、科学性、合理性</w:t>
            </w:r>
            <w:r>
              <w:rPr>
                <w:rFonts w:hint="eastAsia" w:ascii="宋体" w:hAnsi="宋体" w:eastAsia="宋体" w:cs="宋体"/>
                <w:i w:val="0"/>
                <w:iCs w:val="0"/>
                <w:color w:val="auto"/>
                <w:sz w:val="22"/>
                <w:szCs w:val="22"/>
                <w:highlight w:val="none"/>
                <w:u w:val="none"/>
              </w:rPr>
              <w:t>由评委进行</w:t>
            </w:r>
            <w:r>
              <w:rPr>
                <w:rFonts w:hint="eastAsia" w:ascii="宋体" w:hAnsi="宋体" w:eastAsia="宋体" w:cs="宋体"/>
                <w:i w:val="0"/>
                <w:iCs w:val="0"/>
                <w:color w:val="auto"/>
                <w:sz w:val="22"/>
                <w:szCs w:val="22"/>
                <w:highlight w:val="none"/>
                <w:u w:val="none"/>
                <w:lang w:val="en-US" w:eastAsia="zh-CN"/>
              </w:rPr>
              <w:t>综合</w:t>
            </w:r>
            <w:r>
              <w:rPr>
                <w:rFonts w:hint="eastAsia" w:ascii="宋体" w:hAnsi="宋体" w:eastAsia="宋体" w:cs="宋体"/>
                <w:i w:val="0"/>
                <w:iCs w:val="0"/>
                <w:color w:val="auto"/>
                <w:sz w:val="22"/>
                <w:szCs w:val="22"/>
                <w:highlight w:val="none"/>
                <w:u w:val="none"/>
              </w:rPr>
              <w:t>打分。</w:t>
            </w:r>
            <w:r>
              <w:rPr>
                <w:rFonts w:hint="eastAsia" w:ascii="宋体" w:hAnsi="宋体" w:eastAsia="宋体" w:cs="宋体"/>
                <w:i w:val="0"/>
                <w:iCs w:val="0"/>
                <w:color w:val="auto"/>
                <w:sz w:val="22"/>
                <w:szCs w:val="22"/>
                <w:highlight w:val="none"/>
                <w:u w:val="none"/>
                <w:lang w:val="en-US" w:eastAsia="zh-CN"/>
              </w:rPr>
              <w:t>（9，7，5，3，0）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95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41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主观分</w:t>
            </w:r>
          </w:p>
        </w:tc>
      </w:tr>
      <w:tr w14:paraId="45E6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FE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50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各项制度、考核、操作规程、文档管理</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48D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根据投标人提供的服务管理制度、维保操作规程、考核办法、维护文档管理</w:t>
            </w:r>
            <w:r>
              <w:rPr>
                <w:rFonts w:hint="eastAsia" w:ascii="宋体" w:hAnsi="宋体" w:eastAsia="宋体" w:cs="宋体"/>
                <w:i w:val="0"/>
                <w:iCs w:val="0"/>
                <w:color w:val="auto"/>
                <w:sz w:val="22"/>
                <w:szCs w:val="22"/>
                <w:highlight w:val="none"/>
                <w:u w:val="none"/>
                <w:lang w:val="en-US" w:eastAsia="zh-CN"/>
              </w:rPr>
              <w:t>等各方面的科学性、完整性、规范性</w:t>
            </w:r>
            <w:r>
              <w:rPr>
                <w:rFonts w:hint="eastAsia" w:ascii="宋体" w:hAnsi="宋体" w:eastAsia="宋体" w:cs="宋体"/>
                <w:i w:val="0"/>
                <w:iCs w:val="0"/>
                <w:color w:val="auto"/>
                <w:sz w:val="22"/>
                <w:szCs w:val="22"/>
                <w:highlight w:val="none"/>
                <w:u w:val="none"/>
              </w:rPr>
              <w:t>由评委进行</w:t>
            </w:r>
            <w:r>
              <w:rPr>
                <w:rFonts w:hint="eastAsia" w:ascii="宋体" w:hAnsi="宋体" w:eastAsia="宋体" w:cs="宋体"/>
                <w:i w:val="0"/>
                <w:iCs w:val="0"/>
                <w:color w:val="auto"/>
                <w:sz w:val="22"/>
                <w:szCs w:val="22"/>
                <w:highlight w:val="none"/>
                <w:u w:val="none"/>
                <w:lang w:val="en-US" w:eastAsia="zh-CN"/>
              </w:rPr>
              <w:t>综合</w:t>
            </w:r>
            <w:r>
              <w:rPr>
                <w:rFonts w:hint="eastAsia" w:ascii="宋体" w:hAnsi="宋体" w:eastAsia="宋体" w:cs="宋体"/>
                <w:i w:val="0"/>
                <w:iCs w:val="0"/>
                <w:color w:val="auto"/>
                <w:sz w:val="22"/>
                <w:szCs w:val="22"/>
                <w:highlight w:val="none"/>
                <w:u w:val="none"/>
              </w:rPr>
              <w:t>打分。</w:t>
            </w:r>
            <w:r>
              <w:rPr>
                <w:rFonts w:hint="eastAsia" w:ascii="宋体" w:hAnsi="宋体" w:eastAsia="宋体" w:cs="宋体"/>
                <w:i w:val="0"/>
                <w:iCs w:val="0"/>
                <w:color w:val="auto"/>
                <w:sz w:val="22"/>
                <w:szCs w:val="22"/>
                <w:highlight w:val="none"/>
                <w:u w:val="none"/>
                <w:lang w:val="en-US" w:eastAsia="zh-CN"/>
              </w:rPr>
              <w:t>（9，7，5，3，0）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A1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CD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主观分</w:t>
            </w:r>
          </w:p>
        </w:tc>
      </w:tr>
      <w:tr w14:paraId="3344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21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1F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质量保证</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E03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根据投标人提供针对运维质量目标、质量保证措施、服务保密承诺、服务质量等内容</w:t>
            </w:r>
            <w:r>
              <w:rPr>
                <w:rFonts w:hint="eastAsia" w:ascii="宋体" w:hAnsi="宋体" w:eastAsia="宋体" w:cs="宋体"/>
                <w:i w:val="0"/>
                <w:iCs w:val="0"/>
                <w:color w:val="auto"/>
                <w:sz w:val="22"/>
                <w:szCs w:val="22"/>
                <w:highlight w:val="none"/>
                <w:u w:val="none"/>
                <w:lang w:val="en-US" w:eastAsia="zh-CN"/>
              </w:rPr>
              <w:t>的</w:t>
            </w:r>
            <w:r>
              <w:rPr>
                <w:rFonts w:hint="eastAsia" w:ascii="宋体" w:hAnsi="宋体" w:eastAsia="宋体" w:cs="宋体"/>
                <w:i w:val="0"/>
                <w:iCs w:val="0"/>
                <w:color w:val="auto"/>
                <w:sz w:val="22"/>
                <w:szCs w:val="22"/>
                <w:highlight w:val="none"/>
                <w:u w:val="none"/>
              </w:rPr>
              <w:t>质量保障方案</w:t>
            </w:r>
            <w:r>
              <w:rPr>
                <w:rFonts w:hint="eastAsia" w:ascii="宋体" w:hAnsi="宋体" w:eastAsia="宋体" w:cs="宋体"/>
                <w:i w:val="0"/>
                <w:iCs w:val="0"/>
                <w:color w:val="auto"/>
                <w:sz w:val="22"/>
                <w:szCs w:val="22"/>
                <w:highlight w:val="none"/>
                <w:u w:val="none"/>
                <w:lang w:val="en-US" w:eastAsia="zh-CN"/>
              </w:rPr>
              <w:t>是否科学、完善、合理，</w:t>
            </w:r>
            <w:r>
              <w:rPr>
                <w:rFonts w:hint="eastAsia" w:ascii="宋体" w:hAnsi="宋体" w:eastAsia="宋体" w:cs="宋体"/>
                <w:i w:val="0"/>
                <w:iCs w:val="0"/>
                <w:color w:val="auto"/>
                <w:sz w:val="22"/>
                <w:szCs w:val="22"/>
                <w:highlight w:val="none"/>
                <w:u w:val="none"/>
              </w:rPr>
              <w:t>由</w:t>
            </w:r>
            <w:r>
              <w:rPr>
                <w:rFonts w:hint="eastAsia" w:ascii="宋体" w:hAnsi="宋体" w:eastAsia="宋体" w:cs="宋体"/>
                <w:i w:val="0"/>
                <w:iCs w:val="0"/>
                <w:color w:val="auto"/>
                <w:sz w:val="22"/>
                <w:szCs w:val="22"/>
                <w:highlight w:val="none"/>
                <w:u w:val="none"/>
                <w:lang w:val="en-US" w:eastAsia="zh-CN"/>
              </w:rPr>
              <w:t>评委综合</w:t>
            </w:r>
            <w:r>
              <w:rPr>
                <w:rFonts w:hint="eastAsia" w:ascii="宋体" w:hAnsi="宋体" w:eastAsia="宋体" w:cs="宋体"/>
                <w:i w:val="0"/>
                <w:iCs w:val="0"/>
                <w:color w:val="auto"/>
                <w:sz w:val="22"/>
                <w:szCs w:val="22"/>
                <w:highlight w:val="none"/>
                <w:u w:val="none"/>
              </w:rPr>
              <w:t>打分。</w:t>
            </w:r>
            <w:r>
              <w:rPr>
                <w:rFonts w:hint="eastAsia" w:ascii="宋体" w:hAnsi="宋体" w:eastAsia="宋体" w:cs="宋体"/>
                <w:i w:val="0"/>
                <w:iCs w:val="0"/>
                <w:color w:val="auto"/>
                <w:sz w:val="22"/>
                <w:szCs w:val="22"/>
                <w:highlight w:val="none"/>
                <w:u w:val="none"/>
                <w:lang w:val="en-US" w:eastAsia="zh-CN"/>
              </w:rPr>
              <w:t>（</w:t>
            </w:r>
            <w:r>
              <w:rPr>
                <w:rFonts w:hint="eastAsia" w:ascii="宋体" w:hAnsi="宋体" w:cs="宋体"/>
                <w:i w:val="0"/>
                <w:iCs w:val="0"/>
                <w:color w:val="auto"/>
                <w:sz w:val="22"/>
                <w:szCs w:val="22"/>
                <w:highlight w:val="none"/>
                <w:u w:val="none"/>
                <w:lang w:val="en-US" w:eastAsia="zh-CN"/>
              </w:rPr>
              <w:t>8</w:t>
            </w:r>
            <w:r>
              <w:rPr>
                <w:rFonts w:hint="eastAsia" w:ascii="宋体" w:hAnsi="宋体" w:eastAsia="宋体" w:cs="宋体"/>
                <w:i w:val="0"/>
                <w:iCs w:val="0"/>
                <w:color w:val="auto"/>
                <w:sz w:val="22"/>
                <w:szCs w:val="22"/>
                <w:highlight w:val="none"/>
                <w:u w:val="none"/>
                <w:lang w:val="en-US" w:eastAsia="zh-CN"/>
              </w:rPr>
              <w:t>，</w:t>
            </w:r>
            <w:r>
              <w:rPr>
                <w:rFonts w:hint="eastAsia" w:ascii="宋体" w:hAnsi="宋体" w:cs="宋体"/>
                <w:i w:val="0"/>
                <w:iCs w:val="0"/>
                <w:color w:val="auto"/>
                <w:sz w:val="22"/>
                <w:szCs w:val="22"/>
                <w:highlight w:val="none"/>
                <w:u w:val="none"/>
                <w:lang w:val="en-US" w:eastAsia="zh-CN"/>
              </w:rPr>
              <w:t>6</w:t>
            </w:r>
            <w:r>
              <w:rPr>
                <w:rFonts w:hint="eastAsia" w:ascii="宋体" w:hAnsi="宋体" w:eastAsia="宋体" w:cs="宋体"/>
                <w:i w:val="0"/>
                <w:iCs w:val="0"/>
                <w:color w:val="auto"/>
                <w:sz w:val="22"/>
                <w:szCs w:val="22"/>
                <w:highlight w:val="none"/>
                <w:u w:val="none"/>
                <w:lang w:val="en-US" w:eastAsia="zh-CN"/>
              </w:rPr>
              <w:t>，4，</w:t>
            </w:r>
            <w:r>
              <w:rPr>
                <w:rFonts w:hint="eastAsia" w:ascii="宋体" w:hAnsi="宋体" w:cs="宋体"/>
                <w:i w:val="0"/>
                <w:iCs w:val="0"/>
                <w:color w:val="auto"/>
                <w:sz w:val="22"/>
                <w:szCs w:val="22"/>
                <w:highlight w:val="none"/>
                <w:u w:val="none"/>
                <w:lang w:val="en-US" w:eastAsia="zh-CN"/>
              </w:rPr>
              <w:t>2</w:t>
            </w:r>
            <w:r>
              <w:rPr>
                <w:rFonts w:hint="eastAsia" w:ascii="宋体" w:hAnsi="宋体" w:eastAsia="宋体" w:cs="宋体"/>
                <w:i w:val="0"/>
                <w:iCs w:val="0"/>
                <w:color w:val="auto"/>
                <w:sz w:val="22"/>
                <w:szCs w:val="22"/>
                <w:highlight w:val="none"/>
                <w:u w:val="none"/>
                <w:lang w:val="en-US" w:eastAsia="zh-CN"/>
              </w:rPr>
              <w:t>，0）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3D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8</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27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主观分</w:t>
            </w:r>
          </w:p>
        </w:tc>
      </w:tr>
      <w:tr w14:paraId="2CE5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F2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72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培训方案</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9DB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根据投标人</w:t>
            </w:r>
            <w:r>
              <w:rPr>
                <w:rFonts w:hint="eastAsia" w:ascii="宋体" w:hAnsi="宋体" w:eastAsia="宋体" w:cs="宋体"/>
                <w:i w:val="0"/>
                <w:iCs w:val="0"/>
                <w:color w:val="auto"/>
                <w:sz w:val="22"/>
                <w:szCs w:val="22"/>
                <w:highlight w:val="none"/>
                <w:u w:val="none"/>
                <w:lang w:val="en-US" w:eastAsia="zh-CN"/>
              </w:rPr>
              <w:t>是否</w:t>
            </w:r>
            <w:r>
              <w:rPr>
                <w:rFonts w:hint="eastAsia" w:ascii="宋体" w:hAnsi="宋体" w:eastAsia="宋体" w:cs="宋体"/>
                <w:i w:val="0"/>
                <w:iCs w:val="0"/>
                <w:color w:val="auto"/>
                <w:sz w:val="22"/>
                <w:szCs w:val="22"/>
                <w:highlight w:val="none"/>
                <w:u w:val="none"/>
              </w:rPr>
              <w:t>针对本次项目建立专业</w:t>
            </w:r>
            <w:r>
              <w:rPr>
                <w:rFonts w:hint="eastAsia" w:ascii="宋体" w:hAnsi="宋体" w:eastAsia="宋体" w:cs="宋体"/>
                <w:i w:val="0"/>
                <w:iCs w:val="0"/>
                <w:color w:val="auto"/>
                <w:sz w:val="22"/>
                <w:szCs w:val="22"/>
                <w:highlight w:val="none"/>
                <w:u w:val="none"/>
                <w:lang w:val="en-US" w:eastAsia="zh-CN"/>
              </w:rPr>
              <w:t>完善</w:t>
            </w:r>
            <w:r>
              <w:rPr>
                <w:rFonts w:hint="eastAsia" w:ascii="宋体" w:hAnsi="宋体" w:eastAsia="宋体" w:cs="宋体"/>
                <w:i w:val="0"/>
                <w:iCs w:val="0"/>
                <w:color w:val="auto"/>
                <w:sz w:val="22"/>
                <w:szCs w:val="22"/>
                <w:highlight w:val="none"/>
                <w:u w:val="none"/>
              </w:rPr>
              <w:t>的培训计划及培训</w:t>
            </w:r>
            <w:r>
              <w:rPr>
                <w:rFonts w:hint="eastAsia" w:ascii="宋体" w:hAnsi="宋体" w:eastAsia="宋体" w:cs="宋体"/>
                <w:i w:val="0"/>
                <w:iCs w:val="0"/>
                <w:color w:val="auto"/>
                <w:sz w:val="22"/>
                <w:szCs w:val="22"/>
                <w:highlight w:val="none"/>
                <w:u w:val="none"/>
                <w:lang w:val="en-US" w:eastAsia="zh-CN"/>
              </w:rPr>
              <w:t>内容</w:t>
            </w:r>
            <w:r>
              <w:rPr>
                <w:rFonts w:hint="eastAsia" w:ascii="宋体" w:hAnsi="宋体" w:eastAsia="宋体" w:cs="宋体"/>
                <w:i w:val="0"/>
                <w:iCs w:val="0"/>
                <w:color w:val="auto"/>
                <w:sz w:val="22"/>
                <w:szCs w:val="22"/>
                <w:highlight w:val="none"/>
                <w:u w:val="none"/>
              </w:rPr>
              <w:t>由评委进行打分。</w:t>
            </w:r>
            <w:r>
              <w:rPr>
                <w:rFonts w:hint="eastAsia" w:ascii="宋体" w:hAnsi="宋体" w:eastAsia="宋体" w:cs="宋体"/>
                <w:i w:val="0"/>
                <w:iCs w:val="0"/>
                <w:color w:val="auto"/>
                <w:sz w:val="22"/>
                <w:szCs w:val="22"/>
                <w:highlight w:val="none"/>
                <w:u w:val="none"/>
                <w:lang w:val="en-US" w:eastAsia="zh-CN"/>
              </w:rPr>
              <w:t>（</w:t>
            </w:r>
            <w:r>
              <w:rPr>
                <w:rFonts w:hint="eastAsia" w:ascii="宋体" w:hAnsi="宋体" w:cs="宋体"/>
                <w:i w:val="0"/>
                <w:iCs w:val="0"/>
                <w:color w:val="auto"/>
                <w:sz w:val="22"/>
                <w:szCs w:val="22"/>
                <w:highlight w:val="none"/>
                <w:u w:val="none"/>
                <w:lang w:val="en-US" w:eastAsia="zh-CN"/>
              </w:rPr>
              <w:t>8</w:t>
            </w:r>
            <w:r>
              <w:rPr>
                <w:rFonts w:hint="eastAsia" w:ascii="宋体" w:hAnsi="宋体" w:eastAsia="宋体" w:cs="宋体"/>
                <w:i w:val="0"/>
                <w:iCs w:val="0"/>
                <w:color w:val="auto"/>
                <w:sz w:val="22"/>
                <w:szCs w:val="22"/>
                <w:highlight w:val="none"/>
                <w:u w:val="none"/>
                <w:lang w:val="en-US" w:eastAsia="zh-CN"/>
              </w:rPr>
              <w:t>，</w:t>
            </w:r>
            <w:r>
              <w:rPr>
                <w:rFonts w:hint="eastAsia" w:ascii="宋体" w:hAnsi="宋体" w:cs="宋体"/>
                <w:i w:val="0"/>
                <w:iCs w:val="0"/>
                <w:color w:val="auto"/>
                <w:sz w:val="22"/>
                <w:szCs w:val="22"/>
                <w:highlight w:val="none"/>
                <w:u w:val="none"/>
                <w:lang w:val="en-US" w:eastAsia="zh-CN"/>
              </w:rPr>
              <w:t>6</w:t>
            </w:r>
            <w:r>
              <w:rPr>
                <w:rFonts w:hint="eastAsia" w:ascii="宋体" w:hAnsi="宋体" w:eastAsia="宋体" w:cs="宋体"/>
                <w:i w:val="0"/>
                <w:iCs w:val="0"/>
                <w:color w:val="auto"/>
                <w:sz w:val="22"/>
                <w:szCs w:val="22"/>
                <w:highlight w:val="none"/>
                <w:u w:val="none"/>
                <w:lang w:val="en-US" w:eastAsia="zh-CN"/>
              </w:rPr>
              <w:t>，4，</w:t>
            </w:r>
            <w:r>
              <w:rPr>
                <w:rFonts w:hint="eastAsia" w:ascii="宋体" w:hAnsi="宋体" w:cs="宋体"/>
                <w:i w:val="0"/>
                <w:iCs w:val="0"/>
                <w:color w:val="auto"/>
                <w:sz w:val="22"/>
                <w:szCs w:val="22"/>
                <w:highlight w:val="none"/>
                <w:u w:val="none"/>
                <w:lang w:val="en-US" w:eastAsia="zh-CN"/>
              </w:rPr>
              <w:t>2</w:t>
            </w:r>
            <w:r>
              <w:rPr>
                <w:rFonts w:hint="eastAsia" w:ascii="宋体" w:hAnsi="宋体" w:eastAsia="宋体" w:cs="宋体"/>
                <w:i w:val="0"/>
                <w:iCs w:val="0"/>
                <w:color w:val="auto"/>
                <w:sz w:val="22"/>
                <w:szCs w:val="22"/>
                <w:highlight w:val="none"/>
                <w:u w:val="none"/>
                <w:lang w:val="en-US" w:eastAsia="zh-CN"/>
              </w:rPr>
              <w:t>，0）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00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8</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D8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主观分</w:t>
            </w:r>
          </w:p>
        </w:tc>
      </w:tr>
      <w:tr w14:paraId="0E13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1D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76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应急方案</w:t>
            </w:r>
          </w:p>
        </w:tc>
        <w:tc>
          <w:tcPr>
            <w:tcW w:w="2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457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根据供应商针对本项目</w:t>
            </w:r>
            <w:r>
              <w:rPr>
                <w:rFonts w:hint="eastAsia" w:ascii="宋体" w:hAnsi="宋体" w:eastAsia="宋体" w:cs="宋体"/>
                <w:i w:val="0"/>
                <w:iCs w:val="0"/>
                <w:color w:val="auto"/>
                <w:sz w:val="22"/>
                <w:szCs w:val="22"/>
                <w:highlight w:val="none"/>
                <w:u w:val="none"/>
                <w:lang w:val="en-US" w:eastAsia="zh-CN"/>
              </w:rPr>
              <w:t>拟定</w:t>
            </w:r>
            <w:r>
              <w:rPr>
                <w:rFonts w:hint="eastAsia" w:ascii="宋体" w:hAnsi="宋体" w:eastAsia="宋体" w:cs="宋体"/>
                <w:i w:val="0"/>
                <w:iCs w:val="0"/>
                <w:color w:val="auto"/>
                <w:sz w:val="22"/>
                <w:szCs w:val="22"/>
                <w:highlight w:val="none"/>
                <w:u w:val="none"/>
              </w:rPr>
              <w:t>应急服务响应</w:t>
            </w:r>
            <w:r>
              <w:rPr>
                <w:rFonts w:hint="eastAsia" w:ascii="宋体" w:hAnsi="宋体" w:eastAsia="宋体" w:cs="宋体"/>
                <w:i w:val="0"/>
                <w:iCs w:val="0"/>
                <w:color w:val="auto"/>
                <w:sz w:val="22"/>
                <w:szCs w:val="22"/>
                <w:highlight w:val="none"/>
                <w:u w:val="none"/>
                <w:lang w:val="en-US" w:eastAsia="zh-CN"/>
              </w:rPr>
              <w:t>方案</w:t>
            </w:r>
            <w:r>
              <w:rPr>
                <w:rFonts w:hint="eastAsia" w:ascii="宋体" w:hAnsi="宋体" w:eastAsia="宋体" w:cs="宋体"/>
                <w:i w:val="0"/>
                <w:iCs w:val="0"/>
                <w:color w:val="auto"/>
                <w:sz w:val="22"/>
                <w:szCs w:val="22"/>
                <w:highlight w:val="none"/>
                <w:u w:val="none"/>
              </w:rPr>
              <w:t>的组织形式的多样性、人员配备的充足性、响应时间的及时性</w:t>
            </w:r>
            <w:r>
              <w:rPr>
                <w:rFonts w:hint="eastAsia" w:ascii="宋体" w:hAnsi="宋体" w:eastAsia="宋体" w:cs="宋体"/>
                <w:i w:val="0"/>
                <w:iCs w:val="0"/>
                <w:color w:val="auto"/>
                <w:sz w:val="22"/>
                <w:szCs w:val="22"/>
                <w:highlight w:val="none"/>
                <w:u w:val="none"/>
                <w:lang w:val="en-US" w:eastAsia="zh-CN"/>
              </w:rPr>
              <w:t>等方面</w:t>
            </w:r>
            <w:r>
              <w:rPr>
                <w:rFonts w:hint="eastAsia" w:ascii="宋体" w:hAnsi="宋体" w:eastAsia="宋体" w:cs="宋体"/>
                <w:i w:val="0"/>
                <w:iCs w:val="0"/>
                <w:color w:val="auto"/>
                <w:sz w:val="22"/>
                <w:szCs w:val="22"/>
                <w:highlight w:val="none"/>
                <w:u w:val="none"/>
              </w:rPr>
              <w:t>由评委进行</w:t>
            </w:r>
            <w:r>
              <w:rPr>
                <w:rFonts w:hint="eastAsia" w:ascii="宋体" w:hAnsi="宋体" w:eastAsia="宋体" w:cs="宋体"/>
                <w:i w:val="0"/>
                <w:iCs w:val="0"/>
                <w:color w:val="auto"/>
                <w:sz w:val="22"/>
                <w:szCs w:val="22"/>
                <w:highlight w:val="none"/>
                <w:u w:val="none"/>
                <w:lang w:val="en-US" w:eastAsia="zh-CN"/>
              </w:rPr>
              <w:t>综合</w:t>
            </w:r>
            <w:r>
              <w:rPr>
                <w:rFonts w:hint="eastAsia" w:ascii="宋体" w:hAnsi="宋体" w:eastAsia="宋体" w:cs="宋体"/>
                <w:i w:val="0"/>
                <w:iCs w:val="0"/>
                <w:color w:val="auto"/>
                <w:sz w:val="22"/>
                <w:szCs w:val="22"/>
                <w:highlight w:val="none"/>
                <w:u w:val="none"/>
              </w:rPr>
              <w:t>打分。</w:t>
            </w:r>
            <w:r>
              <w:rPr>
                <w:rFonts w:hint="eastAsia" w:ascii="宋体" w:hAnsi="宋体" w:eastAsia="宋体" w:cs="宋体"/>
                <w:i w:val="0"/>
                <w:iCs w:val="0"/>
                <w:color w:val="auto"/>
                <w:sz w:val="22"/>
                <w:szCs w:val="22"/>
                <w:highlight w:val="none"/>
                <w:u w:val="none"/>
                <w:lang w:val="en-US" w:eastAsia="zh-CN"/>
              </w:rPr>
              <w:t>（</w:t>
            </w:r>
            <w:r>
              <w:rPr>
                <w:rFonts w:hint="eastAsia" w:ascii="宋体" w:hAnsi="宋体" w:cs="宋体"/>
                <w:i w:val="0"/>
                <w:iCs w:val="0"/>
                <w:color w:val="auto"/>
                <w:sz w:val="22"/>
                <w:szCs w:val="22"/>
                <w:highlight w:val="none"/>
                <w:u w:val="none"/>
                <w:lang w:val="en-US" w:eastAsia="zh-CN"/>
              </w:rPr>
              <w:t>8</w:t>
            </w:r>
            <w:r>
              <w:rPr>
                <w:rFonts w:hint="eastAsia" w:ascii="宋体" w:hAnsi="宋体" w:eastAsia="宋体" w:cs="宋体"/>
                <w:i w:val="0"/>
                <w:iCs w:val="0"/>
                <w:color w:val="auto"/>
                <w:sz w:val="22"/>
                <w:szCs w:val="22"/>
                <w:highlight w:val="none"/>
                <w:u w:val="none"/>
                <w:lang w:val="en-US" w:eastAsia="zh-CN"/>
              </w:rPr>
              <w:t>，</w:t>
            </w:r>
            <w:r>
              <w:rPr>
                <w:rFonts w:hint="eastAsia" w:ascii="宋体" w:hAnsi="宋体" w:cs="宋体"/>
                <w:i w:val="0"/>
                <w:iCs w:val="0"/>
                <w:color w:val="auto"/>
                <w:sz w:val="22"/>
                <w:szCs w:val="22"/>
                <w:highlight w:val="none"/>
                <w:u w:val="none"/>
                <w:lang w:val="en-US" w:eastAsia="zh-CN"/>
              </w:rPr>
              <w:t>6</w:t>
            </w:r>
            <w:r>
              <w:rPr>
                <w:rFonts w:hint="eastAsia" w:ascii="宋体" w:hAnsi="宋体" w:eastAsia="宋体" w:cs="宋体"/>
                <w:i w:val="0"/>
                <w:iCs w:val="0"/>
                <w:color w:val="auto"/>
                <w:sz w:val="22"/>
                <w:szCs w:val="22"/>
                <w:highlight w:val="none"/>
                <w:u w:val="none"/>
                <w:lang w:val="en-US" w:eastAsia="zh-CN"/>
              </w:rPr>
              <w:t>，4，</w:t>
            </w:r>
            <w:r>
              <w:rPr>
                <w:rFonts w:hint="eastAsia" w:ascii="宋体" w:hAnsi="宋体" w:cs="宋体"/>
                <w:i w:val="0"/>
                <w:iCs w:val="0"/>
                <w:color w:val="auto"/>
                <w:sz w:val="22"/>
                <w:szCs w:val="22"/>
                <w:highlight w:val="none"/>
                <w:u w:val="none"/>
                <w:lang w:val="en-US" w:eastAsia="zh-CN"/>
              </w:rPr>
              <w:t>2</w:t>
            </w:r>
            <w:r>
              <w:rPr>
                <w:rFonts w:hint="eastAsia" w:ascii="宋体" w:hAnsi="宋体" w:eastAsia="宋体" w:cs="宋体"/>
                <w:i w:val="0"/>
                <w:iCs w:val="0"/>
                <w:color w:val="auto"/>
                <w:sz w:val="22"/>
                <w:szCs w:val="22"/>
                <w:highlight w:val="none"/>
                <w:u w:val="none"/>
                <w:lang w:val="en-US" w:eastAsia="zh-CN"/>
              </w:rPr>
              <w:t>，0）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7A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8</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2E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主观分</w:t>
            </w:r>
          </w:p>
        </w:tc>
      </w:tr>
    </w:tbl>
    <w:p w14:paraId="19CF84E2">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注：</w:t>
      </w:r>
    </w:p>
    <w:p w14:paraId="5EF3DB6F">
      <w:pPr>
        <w:spacing w:line="440" w:lineRule="exact"/>
        <w:ind w:firstLine="440" w:firstLine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资信及业绩评分项中，若投标供应商为联合体形式，则联合体各方的业绩、资信证书等内容均认定为投标供应商主体资信业绩内容。</w:t>
      </w:r>
    </w:p>
    <w:p w14:paraId="0912F218">
      <w:pPr>
        <w:numPr>
          <w:ilvl w:val="0"/>
          <w:numId w:val="40"/>
        </w:numPr>
        <w:spacing w:line="440" w:lineRule="exact"/>
        <w:ind w:firstLine="0"/>
        <w:rPr>
          <w:rFonts w:ascii="宋体" w:hAnsi="宋体" w:cs="宋体"/>
          <w:b/>
          <w:bCs/>
          <w:color w:val="auto"/>
          <w:sz w:val="22"/>
          <w:szCs w:val="22"/>
          <w:highlight w:val="none"/>
        </w:rPr>
      </w:pPr>
      <w:r>
        <w:rPr>
          <w:rFonts w:hint="eastAsia" w:ascii="宋体" w:hAnsi="宋体" w:cs="宋体"/>
          <w:b/>
          <w:color w:val="auto"/>
          <w:sz w:val="22"/>
          <w:szCs w:val="22"/>
          <w:highlight w:val="none"/>
        </w:rPr>
        <w:t>投标报价评分</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rPr>
        <w:t>0分）：</w:t>
      </w:r>
    </w:p>
    <w:p w14:paraId="491FF702">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2.1满足采购文件要求且投标价格最低的投标报价为评标基准价；</w:t>
      </w:r>
    </w:p>
    <w:p w14:paraId="2930D878">
      <w:pPr>
        <w:keepNext w:val="0"/>
        <w:keepLines w:val="0"/>
        <w:pageBreakBefore w:val="0"/>
        <w:widowControl w:val="0"/>
        <w:kinsoku/>
        <w:wordWrap/>
        <w:overflowPunct/>
        <w:topLinePunct w:val="0"/>
        <w:autoSpaceDE/>
        <w:autoSpaceDN/>
        <w:bidi w:val="0"/>
        <w:adjustRightInd/>
        <w:snapToGrid/>
        <w:spacing w:line="460" w:lineRule="exact"/>
        <w:ind w:left="330"/>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1）有效投标人的投标价等于评标基准价时，其投标报价评分值为满分；</w:t>
      </w:r>
    </w:p>
    <w:p w14:paraId="2DB08F1A">
      <w:pPr>
        <w:keepNext w:val="0"/>
        <w:keepLines w:val="0"/>
        <w:pageBreakBefore w:val="0"/>
        <w:widowControl w:val="0"/>
        <w:kinsoku/>
        <w:wordWrap/>
        <w:overflowPunct/>
        <w:topLinePunct w:val="0"/>
        <w:autoSpaceDE/>
        <w:autoSpaceDN/>
        <w:bidi w:val="0"/>
        <w:adjustRightInd/>
        <w:snapToGrid/>
        <w:spacing w:line="460" w:lineRule="exact"/>
        <w:ind w:left="330"/>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r>
        <w:rPr>
          <w:rFonts w:hint="eastAsia" w:ascii="宋体" w:hAnsi="宋体" w:cs="宋体"/>
          <w:color w:val="auto"/>
          <w:sz w:val="22"/>
          <w:highlight w:val="none"/>
        </w:rPr>
        <w:t>报价得分</w:t>
      </w:r>
      <w:r>
        <w:rPr>
          <w:rFonts w:hint="eastAsia" w:ascii="宋体" w:hAnsi="宋体" w:cs="宋体"/>
          <w:color w:val="auto"/>
          <w:kern w:val="0"/>
          <w:sz w:val="22"/>
          <w:szCs w:val="22"/>
          <w:highlight w:val="none"/>
        </w:rPr>
        <w:t>=（评标基准价/投标人投标报价）×</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rPr>
        <w:t>0</w:t>
      </w:r>
      <w:r>
        <w:rPr>
          <w:rFonts w:hint="eastAsia" w:ascii="宋体" w:hAnsi="宋体" w:cs="宋体"/>
          <w:color w:val="auto"/>
          <w:sz w:val="22"/>
          <w:szCs w:val="22"/>
          <w:highlight w:val="none"/>
        </w:rPr>
        <w:t>（四舍五入，保留小数点后2位）</w:t>
      </w:r>
    </w:p>
    <w:p w14:paraId="03E6E243">
      <w:pPr>
        <w:keepNext w:val="0"/>
        <w:keepLines w:val="0"/>
        <w:pageBreakBefore w:val="0"/>
        <w:widowControl w:val="0"/>
        <w:kinsoku/>
        <w:wordWrap/>
        <w:overflowPunct/>
        <w:topLinePunct w:val="0"/>
        <w:autoSpaceDE/>
        <w:autoSpaceDN/>
        <w:bidi w:val="0"/>
        <w:adjustRightInd/>
        <w:snapToGrid/>
        <w:spacing w:line="460" w:lineRule="exact"/>
        <w:ind w:left="330"/>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rPr>
        <w:t>3</w:t>
      </w:r>
      <w:r>
        <w:rPr>
          <w:rFonts w:hint="eastAsia" w:ascii="宋体" w:hAnsi="宋体" w:cs="宋体"/>
          <w:color w:val="auto"/>
          <w:kern w:val="0"/>
          <w:sz w:val="22"/>
          <w:szCs w:val="22"/>
          <w:highlight w:val="none"/>
        </w:rPr>
        <w:t>）本项目采购预算为人民币</w:t>
      </w:r>
      <w:r>
        <w:rPr>
          <w:rFonts w:hint="eastAsia" w:ascii="宋体" w:hAnsi="宋体" w:cs="宋体"/>
          <w:color w:val="auto"/>
          <w:kern w:val="0"/>
          <w:sz w:val="22"/>
          <w:szCs w:val="22"/>
          <w:highlight w:val="none"/>
          <w:u w:val="single"/>
          <w:lang w:val="en-US" w:eastAsia="zh-CN"/>
        </w:rPr>
        <w:t>344.84</w:t>
      </w:r>
      <w:r>
        <w:rPr>
          <w:rFonts w:hint="eastAsia" w:ascii="宋体" w:hAnsi="宋体" w:cs="宋体"/>
          <w:color w:val="auto"/>
          <w:kern w:val="0"/>
          <w:sz w:val="22"/>
          <w:szCs w:val="22"/>
          <w:highlight w:val="none"/>
          <w:u w:val="single"/>
        </w:rPr>
        <w:t>万</w:t>
      </w:r>
      <w:r>
        <w:rPr>
          <w:rFonts w:hint="eastAsia" w:ascii="宋体" w:hAnsi="宋体" w:cs="宋体"/>
          <w:color w:val="auto"/>
          <w:kern w:val="0"/>
          <w:sz w:val="22"/>
          <w:szCs w:val="22"/>
          <w:highlight w:val="none"/>
        </w:rPr>
        <w:t>元整，如投标人报价超过采购预算，其投标文件作无效标处理。</w:t>
      </w:r>
    </w:p>
    <w:p w14:paraId="2277EC8B">
      <w:pPr>
        <w:keepNext w:val="0"/>
        <w:keepLines w:val="0"/>
        <w:pageBreakBefore w:val="0"/>
        <w:widowControl w:val="0"/>
        <w:kinsoku/>
        <w:wordWrap/>
        <w:overflowPunct/>
        <w:topLinePunct w:val="0"/>
        <w:autoSpaceDE/>
        <w:autoSpaceDN/>
        <w:bidi w:val="0"/>
        <w:adjustRightInd/>
        <w:snapToGrid/>
        <w:spacing w:line="460" w:lineRule="exact"/>
        <w:ind w:left="330"/>
        <w:textAlignment w:val="auto"/>
        <w:rPr>
          <w:rFonts w:ascii="宋体" w:hAnsi="宋体" w:cs="宋体"/>
          <w:color w:val="auto"/>
          <w:kern w:val="0"/>
          <w:sz w:val="22"/>
          <w:szCs w:val="22"/>
          <w:highlight w:val="none"/>
        </w:rPr>
      </w:pPr>
      <w:r>
        <w:rPr>
          <w:rFonts w:ascii="宋体" w:hAnsi="宋体" w:cs="宋体"/>
          <w:color w:val="auto"/>
          <w:kern w:val="0"/>
          <w:sz w:val="22"/>
          <w:szCs w:val="22"/>
          <w:highlight w:val="none"/>
        </w:rPr>
        <w:t>4</w:t>
      </w:r>
      <w:r>
        <w:rPr>
          <w:rFonts w:hint="eastAsia" w:ascii="宋体" w:hAnsi="宋体" w:cs="宋体"/>
          <w:color w:val="auto"/>
          <w:kern w:val="0"/>
          <w:sz w:val="22"/>
          <w:szCs w:val="22"/>
          <w:highlight w:val="none"/>
        </w:rPr>
        <w:t>）所有投标人商务报价均超采购预算，重新组织招标。</w:t>
      </w:r>
    </w:p>
    <w:p w14:paraId="19149AE5">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2.2政府采购政策说明</w:t>
      </w:r>
    </w:p>
    <w:p w14:paraId="2C4D0BD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lang w:eastAsia="zh-CN"/>
        </w:rPr>
      </w:pPr>
      <w:r>
        <w:rPr>
          <w:rFonts w:hint="eastAsia" w:ascii="宋体" w:hAnsi="宋体" w:cs="宋体"/>
          <w:bCs/>
          <w:color w:val="auto"/>
          <w:sz w:val="22"/>
          <w:highlight w:val="none"/>
        </w:rPr>
        <w:t>①</w:t>
      </w:r>
      <w:r>
        <w:rPr>
          <w:rFonts w:hint="eastAsia" w:ascii="宋体" w:hAnsi="宋体" w:eastAsia="宋体" w:cs="宋体"/>
          <w:bCs/>
          <w:color w:val="auto"/>
          <w:sz w:val="22"/>
          <w:szCs w:val="22"/>
          <w:highlight w:val="none"/>
          <w:lang w:eastAsia="zh-CN"/>
        </w:rPr>
        <w:t>本项目</w:t>
      </w:r>
      <w:r>
        <w:rPr>
          <w:rFonts w:hint="eastAsia" w:ascii="宋体" w:hAnsi="宋体" w:cs="宋体"/>
          <w:bCs/>
          <w:color w:val="auto"/>
          <w:sz w:val="22"/>
          <w:szCs w:val="22"/>
          <w:highlight w:val="none"/>
          <w:lang w:eastAsia="zh-CN"/>
        </w:rPr>
        <w:t>非预留部分（见项目分项报价表说明）</w:t>
      </w:r>
      <w:r>
        <w:rPr>
          <w:rFonts w:hint="eastAsia" w:ascii="宋体" w:hAnsi="宋体" w:eastAsia="宋体" w:cs="宋体"/>
          <w:bCs/>
          <w:color w:val="auto"/>
          <w:sz w:val="22"/>
          <w:szCs w:val="22"/>
          <w:highlight w:val="none"/>
          <w:lang w:eastAsia="zh-CN"/>
        </w:rPr>
        <w:t>小型、微型企业享受价格扣除优惠如下：</w:t>
      </w:r>
    </w:p>
    <w:p w14:paraId="62B3440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lang w:eastAsia="zh-CN"/>
        </w:rPr>
      </w:pPr>
      <w:r>
        <w:rPr>
          <w:rFonts w:hint="eastAsia" w:ascii="宋体" w:hAnsi="宋体" w:cs="宋体"/>
          <w:color w:val="auto"/>
          <w:kern w:val="0"/>
          <w:sz w:val="22"/>
          <w:szCs w:val="22"/>
          <w:highlight w:val="none"/>
        </w:rPr>
        <w:t>☑</w:t>
      </w:r>
      <w:r>
        <w:rPr>
          <w:rFonts w:hint="eastAsia" w:ascii="宋体" w:hAnsi="宋体" w:eastAsia="宋体" w:cs="宋体"/>
          <w:bCs/>
          <w:color w:val="auto"/>
          <w:sz w:val="22"/>
          <w:szCs w:val="22"/>
          <w:highlight w:val="none"/>
          <w:lang w:eastAsia="zh-CN"/>
        </w:rPr>
        <w:t>对小型和微型企业的</w:t>
      </w:r>
      <w:r>
        <w:rPr>
          <w:rFonts w:hint="eastAsia" w:ascii="宋体" w:hAnsi="宋体" w:cs="宋体"/>
          <w:bCs/>
          <w:color w:val="auto"/>
          <w:sz w:val="22"/>
          <w:szCs w:val="22"/>
          <w:highlight w:val="none"/>
          <w:lang w:eastAsia="zh-CN"/>
        </w:rPr>
        <w:t>（非预留部分）</w:t>
      </w:r>
      <w:r>
        <w:rPr>
          <w:rFonts w:hint="eastAsia" w:ascii="宋体" w:hAnsi="宋体" w:eastAsia="宋体" w:cs="宋体"/>
          <w:bCs/>
          <w:color w:val="auto"/>
          <w:sz w:val="22"/>
          <w:szCs w:val="22"/>
          <w:highlight w:val="none"/>
          <w:lang w:eastAsia="zh-CN"/>
        </w:rPr>
        <w:t>投标报价给</w:t>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en-US" w:eastAsia="zh-CN"/>
        </w:rPr>
        <w:t>0</w:t>
      </w:r>
      <w:r>
        <w:rPr>
          <w:rFonts w:hint="eastAsia" w:ascii="宋体" w:hAnsi="宋体" w:eastAsia="宋体" w:cs="宋体"/>
          <w:bCs/>
          <w:color w:val="auto"/>
          <w:sz w:val="22"/>
          <w:szCs w:val="22"/>
          <w:highlight w:val="none"/>
          <w:lang w:eastAsia="zh-CN"/>
        </w:rPr>
        <w:t>%的扣除，用扣除后的价格参与评审。</w:t>
      </w:r>
    </w:p>
    <w:p w14:paraId="79D1835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cs="宋体"/>
          <w:color w:val="auto"/>
          <w:kern w:val="0"/>
          <w:sz w:val="22"/>
          <w:szCs w:val="22"/>
          <w:highlight w:val="none"/>
        </w:rPr>
        <w:t>☑</w:t>
      </w:r>
      <w:r>
        <w:rPr>
          <w:rFonts w:hint="eastAsia" w:ascii="宋体" w:hAnsi="宋体" w:eastAsia="宋体" w:cs="宋体"/>
          <w:bCs/>
          <w:color w:val="auto"/>
          <w:sz w:val="22"/>
          <w:szCs w:val="22"/>
          <w:highlight w:val="none"/>
        </w:rPr>
        <w:t>对于联合协议约定小微企业的合同份额占到合同总金额30%以上的，对联合体的</w:t>
      </w:r>
      <w:r>
        <w:rPr>
          <w:rFonts w:hint="eastAsia" w:ascii="宋体" w:hAnsi="宋体" w:cs="宋体"/>
          <w:bCs/>
          <w:color w:val="auto"/>
          <w:sz w:val="22"/>
          <w:szCs w:val="22"/>
          <w:highlight w:val="none"/>
          <w:lang w:eastAsia="zh-CN"/>
        </w:rPr>
        <w:t>（非预留部分）投标报价</w:t>
      </w:r>
      <w:r>
        <w:rPr>
          <w:rFonts w:hint="eastAsia" w:ascii="宋体" w:hAnsi="宋体" w:eastAsia="宋体" w:cs="宋体"/>
          <w:bCs/>
          <w:color w:val="auto"/>
          <w:sz w:val="22"/>
          <w:szCs w:val="22"/>
          <w:highlight w:val="none"/>
        </w:rPr>
        <w:t>报价给予</w:t>
      </w: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rPr>
        <w:t>%的扣除，用扣除后的价格参加评审。</w:t>
      </w:r>
    </w:p>
    <w:p w14:paraId="4144017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cs="宋体"/>
          <w:bCs/>
          <w:color w:val="auto"/>
          <w:sz w:val="22"/>
          <w:highlight w:val="none"/>
        </w:rPr>
      </w:pPr>
      <w:r>
        <w:rPr>
          <w:rFonts w:hint="eastAsia" w:ascii="宋体" w:hAnsi="宋体" w:cs="宋体"/>
          <w:color w:val="auto"/>
          <w:kern w:val="0"/>
          <w:sz w:val="22"/>
          <w:szCs w:val="22"/>
          <w:highlight w:val="none"/>
        </w:rPr>
        <w:t>☑</w:t>
      </w:r>
      <w:r>
        <w:rPr>
          <w:rFonts w:hint="eastAsia" w:ascii="宋体" w:hAnsi="宋体" w:eastAsia="宋体" w:cs="宋体"/>
          <w:bCs/>
          <w:color w:val="auto"/>
          <w:sz w:val="22"/>
          <w:szCs w:val="22"/>
          <w:highlight w:val="none"/>
        </w:rPr>
        <w:t>对于大中型企业的分包意向协议约定小微企业的合同份额占到合同总金额30%以上的，对大中型企业的</w:t>
      </w:r>
      <w:r>
        <w:rPr>
          <w:rFonts w:hint="eastAsia" w:ascii="宋体" w:hAnsi="宋体" w:cs="宋体"/>
          <w:bCs/>
          <w:color w:val="auto"/>
          <w:sz w:val="22"/>
          <w:szCs w:val="22"/>
          <w:highlight w:val="none"/>
          <w:lang w:eastAsia="zh-CN"/>
        </w:rPr>
        <w:t>（非预留部分）投标</w:t>
      </w:r>
      <w:r>
        <w:rPr>
          <w:rFonts w:hint="eastAsia" w:ascii="宋体" w:hAnsi="宋体" w:eastAsia="宋体" w:cs="宋体"/>
          <w:bCs/>
          <w:color w:val="auto"/>
          <w:sz w:val="22"/>
          <w:szCs w:val="22"/>
          <w:highlight w:val="none"/>
        </w:rPr>
        <w:t>报价给予</w:t>
      </w: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rPr>
        <w:t>%的扣除，用扣除后的价格参加评审。</w:t>
      </w:r>
    </w:p>
    <w:p w14:paraId="6E190131">
      <w:pPr>
        <w:spacing w:line="440" w:lineRule="exact"/>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②投标如缺少须提供的一种功能或配置或服务，评标价将在其投标价的基础上加上其他投标人相应分项价格的最高价。如若中标，该缺漏项费用将由中标人自行承担。</w:t>
      </w:r>
    </w:p>
    <w:p w14:paraId="26A0BD50">
      <w:pPr>
        <w:spacing w:line="440" w:lineRule="exact"/>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lang w:val="en-US" w:eastAsia="zh-CN"/>
        </w:rPr>
        <w:t>③</w:t>
      </w:r>
      <w:r>
        <w:rPr>
          <w:rFonts w:hint="eastAsia" w:ascii="宋体" w:hAnsi="宋体" w:cs="宋体"/>
          <w:bCs/>
          <w:color w:val="auto"/>
          <w:sz w:val="22"/>
          <w:highlight w:val="none"/>
        </w:rPr>
        <w:t>政府采购活动中既有本国产品又有非本国产品参与竞争的，依法对本国产品给予价格评审优惠，对本国产品的报价给予20%的价格扣除，用扣除后的价格参与评审。</w:t>
      </w:r>
    </w:p>
    <w:p w14:paraId="00EB1269">
      <w:pPr>
        <w:spacing w:line="440" w:lineRule="exact"/>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lang w:val="en-US" w:eastAsia="zh-CN"/>
        </w:rPr>
        <w:t>④</w:t>
      </w:r>
      <w:r>
        <w:rPr>
          <w:rFonts w:hint="eastAsia" w:ascii="宋体" w:hAnsi="宋体" w:cs="宋体"/>
          <w:bCs/>
          <w:color w:val="auto"/>
          <w:sz w:val="22"/>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581B4D4">
      <w:pPr>
        <w:spacing w:line="440" w:lineRule="exact"/>
        <w:ind w:firstLine="440" w:firstLineChars="200"/>
        <w:rPr>
          <w:rFonts w:ascii="新宋体" w:hAnsi="新宋体" w:eastAsia="新宋体" w:cs="宋体"/>
          <w:bCs/>
          <w:color w:val="auto"/>
          <w:sz w:val="22"/>
          <w:highlight w:val="none"/>
        </w:rPr>
      </w:pPr>
      <w:r>
        <w:rPr>
          <w:rFonts w:hint="eastAsia" w:ascii="宋体" w:hAnsi="宋体" w:cs="宋体"/>
          <w:bCs/>
          <w:color w:val="auto"/>
          <w:sz w:val="22"/>
          <w:highlight w:val="none"/>
          <w:lang w:val="en-US" w:eastAsia="zh-CN"/>
        </w:rPr>
        <w:t>⑤本国产品价格扣除与小微企业价格扣除叠加。具体计算公式为：参加评审价格=产品报价-产品报价*（小微企业价格扣除率+本国产品价格扣除率）。</w:t>
      </w:r>
    </w:p>
    <w:p w14:paraId="59BA0FA7">
      <w:pPr>
        <w:keepNext w:val="0"/>
        <w:keepLines w:val="0"/>
        <w:pageBreakBefore w:val="0"/>
        <w:widowControl w:val="0"/>
        <w:numPr>
          <w:ilvl w:val="0"/>
          <w:numId w:val="40"/>
        </w:numPr>
        <w:kinsoku/>
        <w:wordWrap/>
        <w:overflowPunct/>
        <w:topLinePunct w:val="0"/>
        <w:autoSpaceDE/>
        <w:autoSpaceDN/>
        <w:bidi w:val="0"/>
        <w:adjustRightInd/>
        <w:snapToGrid/>
        <w:spacing w:line="460" w:lineRule="exact"/>
        <w:ind w:firstLine="0"/>
        <w:textAlignment w:val="auto"/>
        <w:rPr>
          <w:rFonts w:ascii="宋体" w:hAnsi="宋体" w:cs="宋体"/>
          <w:b/>
          <w:color w:val="auto"/>
          <w:sz w:val="22"/>
          <w:szCs w:val="22"/>
          <w:highlight w:val="none"/>
        </w:rPr>
      </w:pPr>
      <w:r>
        <w:rPr>
          <w:rFonts w:hint="eastAsia" w:ascii="新宋体" w:hAnsi="新宋体" w:eastAsia="新宋体" w:cs="宋体"/>
          <w:b/>
          <w:color w:val="auto"/>
          <w:sz w:val="22"/>
          <w:szCs w:val="22"/>
          <w:highlight w:val="none"/>
        </w:rPr>
        <w:t>有效投标人的综合得分为商务技术文件得分和投标报价得分的总和。</w:t>
      </w:r>
    </w:p>
    <w:sectPr>
      <w:footerReference r:id="rId9" w:type="first"/>
      <w:headerReference r:id="rId7" w:type="default"/>
      <w:footerReference r:id="rId8" w:type="default"/>
      <w:type w:val="nextColumn"/>
      <w:pgSz w:w="11906" w:h="16838"/>
      <w:pgMar w:top="1134" w:right="1134" w:bottom="1134" w:left="1134" w:header="851" w:footer="85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Verdana,Arial">
    <w:altName w:val="Times New Roman"/>
    <w:panose1 w:val="00000000000000000000"/>
    <w:charset w:val="00"/>
    <w:family w:val="auto"/>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Heiti SC Light">
    <w:altName w:val="微软雅黑"/>
    <w:panose1 w:val="00000000000000000000"/>
    <w:charset w:val="00"/>
    <w:family w:val="auto"/>
    <w:pitch w:val="default"/>
    <w:sig w:usb0="00000000" w:usb1="00000000" w:usb2="00000010" w:usb3="00000000" w:csb0="003E0000" w:csb1="00000000"/>
  </w:font>
  <w:font w:name="Arial Unicode MS">
    <w:altName w:val="宋体"/>
    <w:panose1 w:val="020B0604020002020204"/>
    <w:charset w:val="86"/>
    <w:family w:val="roman"/>
    <w:pitch w:val="default"/>
    <w:sig w:usb0="00000000" w:usb1="00000000" w:usb2="0000003F" w:usb3="00000000" w:csb0="603F01FF" w:csb1="FFFF0000"/>
  </w:font>
  <w:font w:name="ˎ̥">
    <w:altName w:val="微软雅黑"/>
    <w:panose1 w:val="00000000000000000000"/>
    <w:charset w:val="00"/>
    <w:family w:val="roman"/>
    <w:pitch w:val="default"/>
    <w:sig w:usb0="00000000" w:usb1="00000000" w:usb2="00000000" w:usb3="00000000" w:csb0="00040001" w:csb1="00000000"/>
  </w:font>
  <w:font w:name="ZapfDingbatsNr2EFOP-Regular">
    <w:altName w:val="微软雅黑"/>
    <w:panose1 w:val="00000000000000000000"/>
    <w:charset w:val="00"/>
    <w:family w:val="auto"/>
    <w:pitch w:val="default"/>
    <w:sig w:usb0="00000000" w:usb1="00000000" w:usb2="00000010" w:usb3="00000000" w:csb0="00040001" w:csb1="00000000"/>
  </w:font>
  <w:font w:name="Helvetica Neue">
    <w:altName w:val="Arial"/>
    <w:panose1 w:val="00000000000000000000"/>
    <w:charset w:val="00"/>
    <w:family w:val="auto"/>
    <w:pitch w:val="default"/>
    <w:sig w:usb0="00000000" w:usb1="00000000" w:usb2="00000010" w:usb3="00000000" w:csb0="00000001" w:csb1="00000000"/>
  </w:font>
  <w:font w:name="Univers LT Std 47 Cn Lt">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Helvetica">
    <w:panose1 w:val="020B0504020202030204"/>
    <w:charset w:val="00"/>
    <w:family w:val="swiss"/>
    <w:pitch w:val="default"/>
    <w:sig w:usb0="00000007" w:usb1="00000000" w:usb2="00000000" w:usb3="00000000" w:csb0="00000093" w:csb1="00000000"/>
  </w:font>
  <w:font w:name="Univers LT Std 57 Cn">
    <w:altName w:val="Arial"/>
    <w:panose1 w:val="00000000000000000000"/>
    <w:charset w:val="00"/>
    <w:family w:val="swiss"/>
    <w:pitch w:val="default"/>
    <w:sig w:usb0="00000000" w:usb1="00000000" w:usb2="00000000" w:usb3="00000000" w:csb0="00000001" w:csb1="00000000"/>
  </w:font>
  <w:font w:name="Linotype Univers 330 Light">
    <w:altName w:val="宋体"/>
    <w:panose1 w:val="00000000000000000000"/>
    <w:charset w:val="86"/>
    <w:family w:val="swiss"/>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D14D">
    <w:pPr>
      <w:pStyle w:val="37"/>
      <w:ind w:right="360" w:firstLine="4410" w:firstLineChars="2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0C6E">
    <w:pPr>
      <w:pStyle w:val="37"/>
      <w:framePr w:wrap="around" w:vAnchor="text" w:hAnchor="margin" w:xAlign="center" w:y="1"/>
      <w:rPr>
        <w:rStyle w:val="61"/>
      </w:rPr>
    </w:pPr>
    <w:r>
      <w:fldChar w:fldCharType="begin"/>
    </w:r>
    <w:r>
      <w:rPr>
        <w:rStyle w:val="61"/>
      </w:rPr>
      <w:instrText xml:space="preserve">PAGE  </w:instrText>
    </w:r>
    <w:r>
      <w:fldChar w:fldCharType="end"/>
    </w:r>
  </w:p>
  <w:p w14:paraId="2630A532">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788F">
    <w:pPr>
      <w:pStyle w:val="37"/>
      <w:pBdr>
        <w:top w:val="single" w:color="auto" w:sz="4" w:space="1"/>
      </w:pBdr>
      <w:ind w:right="-21" w:rightChars="-10" w:firstLine="4410" w:firstLineChars="2450"/>
      <w:jc w:val="right"/>
      <w:rPr>
        <w:rFonts w:hint="eastAsia" w:ascii="宋体" w:hAnsi="宋体" w:eastAsia="宋体" w:cs="宋体"/>
        <w:lang w:eastAsia="zh-C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302895" cy="132080"/>
              <wp:effectExtent l="0" t="0" r="0" b="0"/>
              <wp:wrapNone/>
              <wp:docPr id="4097" name="文本框 6"/>
              <wp:cNvGraphicFramePr/>
              <a:graphic xmlns:a="http://schemas.openxmlformats.org/drawingml/2006/main">
                <a:graphicData uri="http://schemas.microsoft.com/office/word/2010/wordprocessingShape">
                  <wps:wsp>
                    <wps:cNvSpPr/>
                    <wps:spPr>
                      <a:xfrm>
                        <a:off x="0" y="0"/>
                        <a:ext cx="302895" cy="132080"/>
                      </a:xfrm>
                      <a:prstGeom prst="rect">
                        <a:avLst/>
                      </a:prstGeom>
                      <a:ln>
                        <a:noFill/>
                      </a:ln>
                    </wps:spPr>
                    <wps:txbx>
                      <w:txbxContent>
                        <w:p w14:paraId="6C4BA19D">
                          <w:pPr>
                            <w:pStyle w:val="37"/>
                            <w:rPr>
                              <w:rStyle w:val="61"/>
                              <w:rFonts w:ascii="新宋体" w:hAnsi="新宋体" w:eastAsia="新宋体" w:cs="新宋体"/>
                              <w:b/>
                              <w:sz w:val="16"/>
                              <w:szCs w:val="16"/>
                            </w:rPr>
                          </w:pPr>
                          <w:r>
                            <w:rPr>
                              <w:rFonts w:hint="eastAsia" w:ascii="新宋体" w:hAnsi="新宋体" w:eastAsia="新宋体" w:cs="新宋体"/>
                              <w:b/>
                              <w:sz w:val="16"/>
                              <w:szCs w:val="16"/>
                            </w:rPr>
                            <w:fldChar w:fldCharType="begin"/>
                          </w:r>
                          <w:r>
                            <w:rPr>
                              <w:rStyle w:val="61"/>
                              <w:rFonts w:hint="eastAsia" w:ascii="新宋体" w:hAnsi="新宋体" w:eastAsia="新宋体" w:cs="新宋体"/>
                              <w:b/>
                              <w:sz w:val="16"/>
                              <w:szCs w:val="16"/>
                            </w:rPr>
                            <w:instrText xml:space="preserve">PAGE  </w:instrText>
                          </w:r>
                          <w:r>
                            <w:rPr>
                              <w:rFonts w:hint="eastAsia" w:ascii="新宋体" w:hAnsi="新宋体" w:eastAsia="新宋体" w:cs="新宋体"/>
                              <w:b/>
                              <w:sz w:val="16"/>
                              <w:szCs w:val="16"/>
                            </w:rPr>
                            <w:fldChar w:fldCharType="separate"/>
                          </w:r>
                          <w:r>
                            <w:rPr>
                              <w:rStyle w:val="61"/>
                              <w:rFonts w:ascii="新宋体" w:hAnsi="新宋体" w:eastAsia="新宋体" w:cs="新宋体"/>
                              <w:b/>
                              <w:sz w:val="16"/>
                              <w:szCs w:val="16"/>
                            </w:rPr>
                            <w:t>92</w:t>
                          </w:r>
                          <w:r>
                            <w:rPr>
                              <w:rFonts w:hint="eastAsia" w:ascii="新宋体" w:hAnsi="新宋体" w:eastAsia="新宋体" w:cs="新宋体"/>
                              <w:b/>
                              <w:sz w:val="16"/>
                              <w:szCs w:val="16"/>
                            </w:rPr>
                            <w:fldChar w:fldCharType="end"/>
                          </w:r>
                        </w:p>
                      </w:txbxContent>
                    </wps:txbx>
                    <wps:bodyPr vert="horz" wrap="square" lIns="0" tIns="0" rIns="0" bIns="0" anchor="t" upright="1"/>
                  </wps:wsp>
                </a:graphicData>
              </a:graphic>
            </wp:anchor>
          </w:drawing>
        </mc:Choice>
        <mc:Fallback>
          <w:pict>
            <v:rect id="文本框 6" o:spid="_x0000_s1026" o:spt="1" style="position:absolute;left:0pt;margin-top:0pt;height:10.4pt;width:23.85pt;mso-position-horizontal:center;mso-position-horizontal-relative:margin;z-index:251659264;mso-width-relative:page;mso-height-relative:page;" filled="f" stroked="f" coordsize="21600,21600" o:gfxdata="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&#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mmGY7WAAAAAwEAAA8AAAAAAAAAAQAgAAAAIgAAAGRy&#10;cy9kb3ducmV2LnhtbFBLAQIUABQAAAAIAIdO4kAN/Sy4zgEAAIQDAAAOAAAAAAAAAAEAIAAAACUB&#10;AABkcnMvZTJvRG9jLnhtbFBLBQYAAAAABgAGAFkBAABlBQAAAAA=&#10;">
              <v:fill on="f" focussize="0,0"/>
              <v:stroke on="f"/>
              <v:imagedata o:title=""/>
              <o:lock v:ext="edit" aspectratio="f"/>
              <v:textbox inset="0mm,0mm,0mm,0mm">
                <w:txbxContent>
                  <w:p w14:paraId="6C4BA19D">
                    <w:pPr>
                      <w:pStyle w:val="37"/>
                      <w:rPr>
                        <w:rStyle w:val="61"/>
                        <w:rFonts w:ascii="新宋体" w:hAnsi="新宋体" w:eastAsia="新宋体" w:cs="新宋体"/>
                        <w:b/>
                        <w:sz w:val="16"/>
                        <w:szCs w:val="16"/>
                      </w:rPr>
                    </w:pPr>
                    <w:r>
                      <w:rPr>
                        <w:rFonts w:hint="eastAsia" w:ascii="新宋体" w:hAnsi="新宋体" w:eastAsia="新宋体" w:cs="新宋体"/>
                        <w:b/>
                        <w:sz w:val="16"/>
                        <w:szCs w:val="16"/>
                      </w:rPr>
                      <w:fldChar w:fldCharType="begin"/>
                    </w:r>
                    <w:r>
                      <w:rPr>
                        <w:rStyle w:val="61"/>
                        <w:rFonts w:hint="eastAsia" w:ascii="新宋体" w:hAnsi="新宋体" w:eastAsia="新宋体" w:cs="新宋体"/>
                        <w:b/>
                        <w:sz w:val="16"/>
                        <w:szCs w:val="16"/>
                      </w:rPr>
                      <w:instrText xml:space="preserve">PAGE  </w:instrText>
                    </w:r>
                    <w:r>
                      <w:rPr>
                        <w:rFonts w:hint="eastAsia" w:ascii="新宋体" w:hAnsi="新宋体" w:eastAsia="新宋体" w:cs="新宋体"/>
                        <w:b/>
                        <w:sz w:val="16"/>
                        <w:szCs w:val="16"/>
                      </w:rPr>
                      <w:fldChar w:fldCharType="separate"/>
                    </w:r>
                    <w:r>
                      <w:rPr>
                        <w:rStyle w:val="61"/>
                        <w:rFonts w:ascii="新宋体" w:hAnsi="新宋体" w:eastAsia="新宋体" w:cs="新宋体"/>
                        <w:b/>
                        <w:sz w:val="16"/>
                        <w:szCs w:val="16"/>
                      </w:rPr>
                      <w:t>92</w:t>
                    </w:r>
                    <w:r>
                      <w:rPr>
                        <w:rFonts w:hint="eastAsia" w:ascii="新宋体" w:hAnsi="新宋体" w:eastAsia="新宋体" w:cs="新宋体"/>
                        <w:b/>
                        <w:sz w:val="16"/>
                        <w:szCs w:val="16"/>
                      </w:rPr>
                      <w:fldChar w:fldCharType="end"/>
                    </w:r>
                  </w:p>
                </w:txbxContent>
              </v:textbox>
            </v:rect>
          </w:pict>
        </mc:Fallback>
      </mc:AlternateContent>
    </w:r>
    <w:r>
      <w:rPr>
        <w:rFonts w:hint="eastAsia" w:ascii="宋体" w:hAnsi="宋体" w:cs="宋体"/>
        <w:lang w:eastAsia="zh-CN"/>
      </w:rPr>
      <w:t>温州元信工程项目管理有限公司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815F">
    <w:pPr>
      <w:pStyle w:val="3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098" name="文本框 9"/>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026B520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upright="1">
                      <a:spAutoFit/>
                    </wps:bodyPr>
                  </wps:wsp>
                </a:graphicData>
              </a:graphic>
            </wp:anchor>
          </w:drawing>
        </mc:Choice>
        <mc:Fallback>
          <w:pict>
            <v:rect id="文本框 9"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UWP1bRAAAAAgEAAA8AAAAAAAAAAQAgAAAAIgAA&#10;AGRycy9kb3ducmV2LnhtbFBLAQIUABQAAAAIAIdO4kDrp5Tz1gEAAJsDAAAOAAAAAAAAAAEAIAAA&#10;ACABAABkcnMvZTJvRG9jLnhtbFBLBQYAAAAABgAGAFkBAABoBQAAAAA=&#10;">
              <v:fill on="f" focussize="0,0"/>
              <v:stroke on="f"/>
              <v:imagedata o:title=""/>
              <o:lock v:ext="edit" aspectratio="f"/>
              <v:textbox inset="0mm,0mm,0mm,0mm" style="mso-fit-shape-to-text:t;">
                <w:txbxContent>
                  <w:p w14:paraId="026B520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88804">
    <w:pPr>
      <w:pStyle w:val="38"/>
      <w:pBdr>
        <w:bottom w:val="none" w:color="auto" w:sz="0" w:space="1"/>
      </w:pBdr>
      <w:jc w:val="left"/>
    </w:pPr>
    <w:r>
      <w:rPr>
        <w:rFonts w:hint="eastAsia"/>
      </w:rPr>
      <w:t xml:space="preserve">温州市政府采购采购文件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D0F3">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50B53">
    <w:pPr>
      <w:pStyle w:val="38"/>
      <w:jc w:val="both"/>
      <w:rPr>
        <w:rFonts w:eastAsia="新宋体"/>
      </w:rPr>
    </w:pPr>
    <w:r>
      <w:rPr>
        <w:rFonts w:hint="eastAsia" w:eastAsia="新宋体"/>
      </w:rPr>
      <w:t>温州市政府采购采购文件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3"/>
    <w:multiLevelType w:val="singleLevel"/>
    <w:tmpl w:val="00000003"/>
    <w:lvl w:ilvl="0" w:tentative="0">
      <w:start w:val="1"/>
      <w:numFmt w:val="decimal"/>
      <w:suff w:val="space"/>
      <w:lvlText w:val="%1)"/>
      <w:lvlJc w:val="left"/>
    </w:lvl>
  </w:abstractNum>
  <w:abstractNum w:abstractNumId="4">
    <w:nsid w:val="00000004"/>
    <w:multiLevelType w:val="singleLevel"/>
    <w:tmpl w:val="00000004"/>
    <w:lvl w:ilvl="0" w:tentative="0">
      <w:start w:val="1"/>
      <w:numFmt w:val="decimalEnclosedCircleChinese"/>
      <w:suff w:val="nothing"/>
      <w:lvlText w:val="%1　"/>
      <w:lvlJc w:val="left"/>
      <w:pPr>
        <w:ind w:left="0" w:firstLine="400"/>
      </w:pPr>
      <w:rPr>
        <w:rFonts w:hint="eastAsia"/>
      </w:rPr>
    </w:lvl>
  </w:abstractNum>
  <w:abstractNum w:abstractNumId="5">
    <w:nsid w:val="00000005"/>
    <w:multiLevelType w:val="singleLevel"/>
    <w:tmpl w:val="00000005"/>
    <w:lvl w:ilvl="0" w:tentative="0">
      <w:start w:val="1"/>
      <w:numFmt w:val="decimal"/>
      <w:lvlText w:val="(%1)"/>
      <w:lvlJc w:val="left"/>
      <w:rPr>
        <w:rFonts w:hint="default" w:ascii="新宋体" w:hAnsi="新宋体" w:eastAsia="新宋体" w:cs="新宋体"/>
        <w:b w:val="0"/>
        <w:bCs w:val="0"/>
        <w:i w:val="0"/>
        <w:iCs w:val="0"/>
        <w:smallCaps w:val="0"/>
        <w:color w:val="000000"/>
        <w:spacing w:val="0"/>
        <w:w w:val="100"/>
        <w:position w:val="0"/>
        <w:sz w:val="22"/>
        <w:szCs w:val="19"/>
        <w:u w:val="none"/>
        <w:shd w:val="clear" w:color="auto" w:fill="auto"/>
        <w:lang w:val="zh-TW" w:eastAsia="zh-TW" w:bidi="zh-TW"/>
      </w:rPr>
    </w:lvl>
  </w:abstractNum>
  <w:abstractNum w:abstractNumId="6">
    <w:nsid w:val="00000006"/>
    <w:multiLevelType w:val="singleLevel"/>
    <w:tmpl w:val="00000006"/>
    <w:lvl w:ilvl="0" w:tentative="0">
      <w:start w:val="1"/>
      <w:numFmt w:val="ideographDigital"/>
      <w:lvlText w:val="(%1)"/>
      <w:lvlJc w:val="left"/>
      <w:rPr>
        <w:rFonts w:ascii="宋体" w:hAnsi="宋体" w:eastAsia="宋体" w:cs="宋体"/>
        <w:b w:val="0"/>
        <w:bCs w:val="0"/>
        <w:i w:val="0"/>
        <w:iCs w:val="0"/>
        <w:smallCaps w:val="0"/>
        <w:color w:val="000000"/>
        <w:spacing w:val="0"/>
        <w:w w:val="100"/>
        <w:position w:val="0"/>
        <w:sz w:val="22"/>
        <w:szCs w:val="20"/>
        <w:u w:val="none"/>
        <w:shd w:val="clear" w:color="auto" w:fill="auto"/>
        <w:lang w:val="zh-TW" w:eastAsia="zh-TW" w:bidi="zh-TW"/>
      </w:rPr>
    </w:lvl>
  </w:abstractNum>
  <w:abstractNum w:abstractNumId="7">
    <w:nsid w:val="00000007"/>
    <w:multiLevelType w:val="singleLevel"/>
    <w:tmpl w:val="00000007"/>
    <w:lvl w:ilvl="0" w:tentative="0">
      <w:start w:val="7"/>
      <w:numFmt w:val="chineseCounting"/>
      <w:suff w:val="nothing"/>
      <w:lvlText w:val="%1、"/>
      <w:lvlJc w:val="left"/>
      <w:rPr>
        <w:rFonts w:hint="eastAsia"/>
      </w:rPr>
    </w:lvl>
  </w:abstractNum>
  <w:abstractNum w:abstractNumId="8">
    <w:nsid w:val="00000008"/>
    <w:multiLevelType w:val="singleLevel"/>
    <w:tmpl w:val="00000008"/>
    <w:lvl w:ilvl="0" w:tentative="0">
      <w:start w:val="7"/>
      <w:numFmt w:val="decimal"/>
      <w:suff w:val="nothing"/>
      <w:lvlText w:val="%1、"/>
      <w:lvlJc w:val="left"/>
    </w:lvl>
  </w:abstractNum>
  <w:abstractNum w:abstractNumId="9">
    <w:nsid w:val="00000009"/>
    <w:multiLevelType w:val="multilevel"/>
    <w:tmpl w:val="00000009"/>
    <w:lvl w:ilvl="0" w:tentative="0">
      <w:start w:val="8"/>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0A"/>
    <w:multiLevelType w:val="multilevel"/>
    <w:tmpl w:val="0000000A"/>
    <w:lvl w:ilvl="0" w:tentative="0">
      <w:start w:val="1"/>
      <w:numFmt w:val="bullet"/>
      <w:pStyle w:val="280"/>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11">
    <w:nsid w:val="0000000B"/>
    <w:multiLevelType w:val="multilevel"/>
    <w:tmpl w:val="0000000B"/>
    <w:lvl w:ilvl="0" w:tentative="0">
      <w:start w:val="1"/>
      <w:numFmt w:val="decimal"/>
      <w:pStyle w:val="17"/>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C"/>
    <w:multiLevelType w:val="multilevel"/>
    <w:tmpl w:val="0000000C"/>
    <w:lvl w:ilvl="0" w:tentative="0">
      <w:start w:val="5"/>
      <w:numFmt w:val="decimal"/>
      <w:pStyle w:val="527"/>
      <w:lvlText w:val="%1."/>
      <w:lvlJc w:val="left"/>
      <w:pPr>
        <w:tabs>
          <w:tab w:val="left" w:pos="360"/>
        </w:tabs>
        <w:ind w:left="360" w:hanging="360"/>
      </w:pPr>
      <w:rPr>
        <w:rFonts w:hint="default"/>
      </w:rPr>
    </w:lvl>
    <w:lvl w:ilvl="1" w:tentative="0">
      <w:start w:val="0"/>
      <w:numFmt w:val="none"/>
      <w:pStyle w:val="495"/>
      <w:lvlText w:val=""/>
      <w:lvlJc w:val="left"/>
      <w:pPr>
        <w:tabs>
          <w:tab w:val="left" w:pos="360"/>
        </w:tabs>
      </w:pPr>
    </w:lvl>
    <w:lvl w:ilvl="2" w:tentative="0">
      <w:start w:val="0"/>
      <w:numFmt w:val="none"/>
      <w:pStyle w:val="473"/>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0000000D"/>
    <w:multiLevelType w:val="multilevel"/>
    <w:tmpl w:val="0000000D"/>
    <w:lvl w:ilvl="0" w:tentative="0">
      <w:start w:val="1"/>
      <w:numFmt w:val="bullet"/>
      <w:lvlText w:val=""/>
      <w:lvlJc w:val="left"/>
      <w:pPr>
        <w:tabs>
          <w:tab w:val="left" w:pos="420"/>
        </w:tabs>
        <w:ind w:left="420" w:hanging="420"/>
      </w:pPr>
      <w:rPr>
        <w:rFonts w:hint="default" w:ascii="Symbol" w:hAnsi="Symbol"/>
      </w:rPr>
    </w:lvl>
    <w:lvl w:ilvl="1" w:tentative="0">
      <w:start w:val="1"/>
      <w:numFmt w:val="lowerLetter"/>
      <w:pStyle w:val="705"/>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0E"/>
    <w:multiLevelType w:val="multilevel"/>
    <w:tmpl w:val="0000000E"/>
    <w:lvl w:ilvl="0" w:tentative="0">
      <w:start w:val="1"/>
      <w:numFmt w:val="decimal"/>
      <w:lvlText w:val="（%1）"/>
      <w:lvlJc w:val="left"/>
      <w:pPr>
        <w:tabs>
          <w:tab w:val="left" w:pos="420"/>
        </w:tabs>
        <w:ind w:left="420" w:hanging="420"/>
      </w:pPr>
      <w:rPr>
        <w:rFonts w:hint="eastAsia" w:ascii="新宋体" w:hAnsi="新宋体" w:eastAsia="新宋体"/>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F"/>
    <w:multiLevelType w:val="singleLevel"/>
    <w:tmpl w:val="0000000F"/>
    <w:lvl w:ilvl="0" w:tentative="0">
      <w:start w:val="2"/>
      <w:numFmt w:val="chineseCounting"/>
      <w:suff w:val="nothing"/>
      <w:lvlText w:val="%1、"/>
      <w:lvlJc w:val="left"/>
      <w:rPr>
        <w:rFonts w:hint="eastAsia"/>
      </w:rPr>
    </w:lvl>
  </w:abstractNum>
  <w:abstractNum w:abstractNumId="16">
    <w:nsid w:val="00000010"/>
    <w:multiLevelType w:val="multilevel"/>
    <w:tmpl w:val="00000010"/>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decimalEnclosedCircleChinese"/>
      <w:lvlText w:val="%3　"/>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1"/>
    <w:multiLevelType w:val="singleLevel"/>
    <w:tmpl w:val="00000011"/>
    <w:lvl w:ilvl="0" w:tentative="0">
      <w:start w:val="1"/>
      <w:numFmt w:val="decimal"/>
      <w:suff w:val="nothing"/>
      <w:lvlText w:val="%1．"/>
      <w:lvlJc w:val="left"/>
      <w:pPr>
        <w:ind w:left="0" w:firstLine="400"/>
      </w:pPr>
      <w:rPr>
        <w:rFonts w:hint="default"/>
      </w:rPr>
    </w:lvl>
  </w:abstractNum>
  <w:abstractNum w:abstractNumId="18">
    <w:nsid w:val="00000012"/>
    <w:multiLevelType w:val="multilevel"/>
    <w:tmpl w:val="00000012"/>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9">
    <w:nsid w:val="00000013"/>
    <w:multiLevelType w:val="multilevel"/>
    <w:tmpl w:val="00000013"/>
    <w:lvl w:ilvl="0" w:tentative="0">
      <w:start w:val="1"/>
      <w:numFmt w:val="bullet"/>
      <w:pStyle w:val="601"/>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0">
    <w:nsid w:val="00000014"/>
    <w:multiLevelType w:val="singleLevel"/>
    <w:tmpl w:val="00000014"/>
    <w:lvl w:ilvl="0" w:tentative="0">
      <w:start w:val="1"/>
      <w:numFmt w:val="bullet"/>
      <w:pStyle w:val="661"/>
      <w:lvlText w:val=""/>
      <w:lvlJc w:val="left"/>
      <w:pPr>
        <w:tabs>
          <w:tab w:val="left" w:pos="425"/>
        </w:tabs>
        <w:ind w:left="425" w:hanging="425"/>
      </w:pPr>
      <w:rPr>
        <w:rFonts w:hint="default" w:ascii="Wingdings" w:hAnsi="Wingdings"/>
      </w:rPr>
    </w:lvl>
  </w:abstractNum>
  <w:abstractNum w:abstractNumId="21">
    <w:nsid w:val="00000015"/>
    <w:multiLevelType w:val="multilevel"/>
    <w:tmpl w:val="00000015"/>
    <w:lvl w:ilvl="0" w:tentative="0">
      <w:start w:val="1"/>
      <w:numFmt w:val="decimal"/>
      <w:pStyle w:val="521"/>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00000016"/>
    <w:multiLevelType w:val="multilevel"/>
    <w:tmpl w:val="00000016"/>
    <w:lvl w:ilvl="0" w:tentative="0">
      <w:start w:val="1"/>
      <w:numFmt w:val="bullet"/>
      <w:pStyle w:val="54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00000017"/>
    <w:multiLevelType w:val="singleLevel"/>
    <w:tmpl w:val="00000017"/>
    <w:lvl w:ilvl="0" w:tentative="0">
      <w:start w:val="2"/>
      <w:numFmt w:val="decimal"/>
      <w:suff w:val="nothing"/>
      <w:lvlText w:val="%1、"/>
      <w:lvlJc w:val="left"/>
    </w:lvl>
  </w:abstractNum>
  <w:abstractNum w:abstractNumId="24">
    <w:nsid w:val="00000018"/>
    <w:multiLevelType w:val="multilevel"/>
    <w:tmpl w:val="00000018"/>
    <w:lvl w:ilvl="0" w:tentative="0">
      <w:start w:val="1"/>
      <w:numFmt w:val="decimal"/>
      <w:pStyle w:val="354"/>
      <w:lvlText w:val="%1."/>
      <w:lvlJc w:val="left"/>
      <w:pPr>
        <w:tabs>
          <w:tab w:val="left" w:pos="1497"/>
        </w:tabs>
        <w:ind w:left="1497" w:hanging="420"/>
      </w:pPr>
      <w:rPr>
        <w:rFonts w:hint="eastAsia"/>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5">
    <w:nsid w:val="00000019"/>
    <w:multiLevelType w:val="singleLevel"/>
    <w:tmpl w:val="00000019"/>
    <w:lvl w:ilvl="0" w:tentative="0">
      <w:start w:val="1"/>
      <w:numFmt w:val="chineseCounting"/>
      <w:suff w:val="nothing"/>
      <w:lvlText w:val="%1、"/>
      <w:lvlJc w:val="left"/>
      <w:rPr>
        <w:rFonts w:hint="eastAsia"/>
      </w:rPr>
    </w:lvl>
  </w:abstractNum>
  <w:abstractNum w:abstractNumId="26">
    <w:nsid w:val="0000001A"/>
    <w:multiLevelType w:val="multilevel"/>
    <w:tmpl w:val="0000001A"/>
    <w:lvl w:ilvl="0" w:tentative="0">
      <w:start w:val="1"/>
      <w:numFmt w:val="decimal"/>
      <w:pStyle w:val="294"/>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0000001B"/>
    <w:multiLevelType w:val="multilevel"/>
    <w:tmpl w:val="0000001B"/>
    <w:lvl w:ilvl="0" w:tentative="0">
      <w:start w:val="1"/>
      <w:numFmt w:val="decimal"/>
      <w:pStyle w:val="571"/>
      <w:lvlText w:val="%1)"/>
      <w:lvlJc w:val="left"/>
      <w:pPr>
        <w:ind w:left="420" w:firstLine="0"/>
      </w:pPr>
      <w:rPr>
        <w:rFonts w:hint="eastAsia"/>
      </w:rPr>
    </w:lvl>
    <w:lvl w:ilvl="1" w:tentative="0">
      <w:start w:val="5"/>
      <w:numFmt w:val="decimal"/>
      <w:lvlText w:val="%2）"/>
      <w:lvlJc w:val="left"/>
      <w:pPr>
        <w:ind w:left="370" w:hanging="370"/>
      </w:pPr>
      <w:rPr>
        <w:rFonts w:hint="default"/>
      </w:r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8">
    <w:nsid w:val="0000001C"/>
    <w:multiLevelType w:val="singleLevel"/>
    <w:tmpl w:val="0000001C"/>
    <w:lvl w:ilvl="0" w:tentative="0">
      <w:start w:val="1"/>
      <w:numFmt w:val="chineseCounting"/>
      <w:suff w:val="nothing"/>
      <w:lvlText w:val="%1、"/>
      <w:lvlJc w:val="left"/>
      <w:pPr>
        <w:ind w:left="0" w:firstLine="0"/>
      </w:pPr>
    </w:lvl>
  </w:abstractNum>
  <w:abstractNum w:abstractNumId="29">
    <w:nsid w:val="0000001D"/>
    <w:multiLevelType w:val="multilevel"/>
    <w:tmpl w:val="0000001D"/>
    <w:lvl w:ilvl="0" w:tentative="0">
      <w:start w:val="1"/>
      <w:numFmt w:val="decimal"/>
      <w:pStyle w:val="603"/>
      <w:lvlText w:val="(%1)"/>
      <w:lvlJc w:val="left"/>
      <w:pPr>
        <w:tabs>
          <w:tab w:val="left" w:pos="454"/>
        </w:tabs>
        <w:ind w:left="454"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1E"/>
    <w:multiLevelType w:val="singleLevel"/>
    <w:tmpl w:val="0000001E"/>
    <w:lvl w:ilvl="0" w:tentative="0">
      <w:start w:val="3"/>
      <w:numFmt w:val="chineseCounting"/>
      <w:suff w:val="nothing"/>
      <w:lvlText w:val="%1、"/>
      <w:lvlJc w:val="left"/>
      <w:pPr>
        <w:ind w:left="0" w:firstLine="0"/>
      </w:pPr>
    </w:lvl>
  </w:abstractNum>
  <w:abstractNum w:abstractNumId="31">
    <w:nsid w:val="0000001F"/>
    <w:multiLevelType w:val="singleLevel"/>
    <w:tmpl w:val="0000001F"/>
    <w:lvl w:ilvl="0" w:tentative="0">
      <w:start w:val="7"/>
      <w:numFmt w:val="chineseCounting"/>
      <w:suff w:val="nothing"/>
      <w:lvlText w:val="（%1）"/>
      <w:lvlJc w:val="left"/>
      <w:pPr>
        <w:ind w:left="330" w:leftChars="0" w:firstLine="0" w:firstLineChars="0"/>
      </w:pPr>
      <w:rPr>
        <w:rFonts w:hint="eastAsia"/>
      </w:rPr>
    </w:lvl>
  </w:abstractNum>
  <w:abstractNum w:abstractNumId="32">
    <w:nsid w:val="00000020"/>
    <w:multiLevelType w:val="multilevel"/>
    <w:tmpl w:val="000000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21"/>
    <w:multiLevelType w:val="multilevel"/>
    <w:tmpl w:val="00000021"/>
    <w:lvl w:ilvl="0" w:tentative="0">
      <w:start w:val="1"/>
      <w:numFmt w:val="decimal"/>
      <w:lvlText w:val="%1、"/>
      <w:lvlJc w:val="left"/>
      <w:pPr>
        <w:ind w:left="722"/>
      </w:pPr>
      <w:rPr>
        <w:rFonts w:ascii="宋体" w:hAnsi="宋体" w:eastAsia="宋体" w:cs="宋体"/>
        <w:b w:val="0"/>
        <w:i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color w:val="000000"/>
        <w:sz w:val="21"/>
        <w:szCs w:val="21"/>
        <w:u w:val="none" w:color="000000"/>
        <w:shd w:val="clear" w:color="auto" w:fill="auto"/>
        <w:vertAlign w:val="baseline"/>
      </w:rPr>
    </w:lvl>
  </w:abstractNum>
  <w:abstractNum w:abstractNumId="34">
    <w:nsid w:val="00000022"/>
    <w:multiLevelType w:val="multilevel"/>
    <w:tmpl w:val="00000022"/>
    <w:lvl w:ilvl="0" w:tentative="0">
      <w:start w:val="1"/>
      <w:numFmt w:val="decimal"/>
      <w:pStyle w:val="537"/>
      <w:lvlText w:val="%1)"/>
      <w:lvlJc w:val="left"/>
      <w:pPr>
        <w:ind w:left="845" w:hanging="425"/>
      </w:pPr>
    </w:lvl>
    <w:lvl w:ilvl="1" w:tentative="0">
      <w:start w:val="1"/>
      <w:numFmt w:val="decimal"/>
      <w:lvlText w:val="12.%2"/>
      <w:lvlJc w:val="left"/>
      <w:pPr>
        <w:ind w:left="987" w:hanging="567"/>
      </w:pPr>
      <w:rPr>
        <w:rFonts w:hint="eastAsia"/>
      </w:rPr>
    </w:lvl>
    <w:lvl w:ilvl="2" w:tentative="0">
      <w:start w:val="1"/>
      <w:numFmt w:val="decimal"/>
      <w:lvlText w:val="5.5.%3"/>
      <w:lvlJc w:val="left"/>
      <w:pPr>
        <w:ind w:left="1129" w:hanging="709"/>
      </w:pPr>
      <w:rPr>
        <w:rFonts w:hint="eastAsia"/>
      </w:rPr>
    </w:lvl>
    <w:lvl w:ilvl="3" w:tentative="0">
      <w:start w:val="1"/>
      <w:numFmt w:val="decimal"/>
      <w:pStyle w:val="184"/>
      <w:lvlText w:val="5.4.1.%4"/>
      <w:lvlJc w:val="left"/>
      <w:pPr>
        <w:ind w:left="3965" w:hanging="851"/>
      </w:pPr>
      <w:rPr>
        <w:rFonts w:hint="eastAsia"/>
      </w:rPr>
    </w:lvl>
    <w:lvl w:ilvl="4" w:tentative="0">
      <w:start w:val="1"/>
      <w:numFmt w:val="decimal"/>
      <w:lvlText w:val="%1.%2.%3.%4.%5."/>
      <w:lvlJc w:val="left"/>
      <w:pPr>
        <w:ind w:left="1412" w:hanging="992"/>
      </w:pPr>
    </w:lvl>
    <w:lvl w:ilvl="5" w:tentative="0">
      <w:start w:val="1"/>
      <w:numFmt w:val="decimal"/>
      <w:lvlText w:val="%1.%2.%3.%4.%5.%6."/>
      <w:lvlJc w:val="left"/>
      <w:pPr>
        <w:ind w:left="1554" w:hanging="1134"/>
      </w:pPr>
    </w:lvl>
    <w:lvl w:ilvl="6" w:tentative="0">
      <w:start w:val="1"/>
      <w:numFmt w:val="decimal"/>
      <w:lvlText w:val="%1.%2.%3.%4.%5.%6.%7."/>
      <w:lvlJc w:val="left"/>
      <w:pPr>
        <w:ind w:left="1696" w:hanging="1276"/>
      </w:pPr>
    </w:lvl>
    <w:lvl w:ilvl="7" w:tentative="0">
      <w:start w:val="1"/>
      <w:numFmt w:val="decimal"/>
      <w:lvlText w:val="%1.%2.%3.%4.%5.%6.%7.%8."/>
      <w:lvlJc w:val="left"/>
      <w:pPr>
        <w:ind w:left="1838" w:hanging="1418"/>
      </w:pPr>
    </w:lvl>
    <w:lvl w:ilvl="8" w:tentative="0">
      <w:start w:val="1"/>
      <w:numFmt w:val="decimal"/>
      <w:lvlText w:val="%1.%2.%3.%4.%5.%6.%7.%8.%9."/>
      <w:lvlJc w:val="left"/>
      <w:pPr>
        <w:ind w:left="1979" w:hanging="1559"/>
      </w:pPr>
    </w:lvl>
  </w:abstractNum>
  <w:abstractNum w:abstractNumId="35">
    <w:nsid w:val="00000023"/>
    <w:multiLevelType w:val="multilevel"/>
    <w:tmpl w:val="00000023"/>
    <w:lvl w:ilvl="0" w:tentative="0">
      <w:start w:val="1"/>
      <w:numFmt w:val="bullet"/>
      <w:pStyle w:val="421"/>
      <w:lvlText w:val=""/>
      <w:lvlJc w:val="left"/>
      <w:pPr>
        <w:tabs>
          <w:tab w:val="left" w:pos="1497"/>
        </w:tabs>
        <w:ind w:left="1497" w:hanging="420"/>
      </w:pPr>
      <w:rPr>
        <w:rFonts w:hint="default" w:ascii="Wingdings" w:hAnsi="Wingdings"/>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36">
    <w:nsid w:val="00000024"/>
    <w:multiLevelType w:val="multilevel"/>
    <w:tmpl w:val="00000024"/>
    <w:lvl w:ilvl="0" w:tentative="0">
      <w:start w:val="1"/>
      <w:numFmt w:val="bullet"/>
      <w:lvlText w:val=""/>
      <w:lvlJc w:val="left"/>
      <w:pPr>
        <w:ind w:left="420" w:hanging="420"/>
      </w:pPr>
      <w:rPr>
        <w:rFonts w:hint="default" w:ascii="Wingdings" w:hAnsi="Wingdings"/>
      </w:rPr>
    </w:lvl>
    <w:lvl w:ilvl="1" w:tentative="0">
      <w:start w:val="1"/>
      <w:numFmt w:val="bullet"/>
      <w:pStyle w:val="467"/>
      <w:lvlText w:val=""/>
      <w:lvlJc w:val="left"/>
      <w:pPr>
        <w:ind w:left="840" w:hanging="420"/>
      </w:pPr>
      <w:rPr>
        <w:rFonts w:hint="default" w:ascii="Wingdings" w:hAnsi="Wingdings"/>
      </w:rPr>
    </w:lvl>
    <w:lvl w:ilvl="2" w:tentative="0">
      <w:start w:val="1"/>
      <w:numFmt w:val="bullet"/>
      <w:pStyle w:val="647"/>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00000025"/>
    <w:multiLevelType w:val="multilevel"/>
    <w:tmpl w:val="00000025"/>
    <w:lvl w:ilvl="0" w:tentative="0">
      <w:start w:val="1"/>
      <w:numFmt w:val="decimal"/>
      <w:pStyle w:val="265"/>
      <w:lvlText w:val="2.3.1.2.%1"/>
      <w:lvlJc w:val="left"/>
      <w:pPr>
        <w:ind w:left="420" w:hanging="420"/>
      </w:pPr>
      <w:rPr>
        <w:rFonts w:hint="eastAsia"/>
      </w:rPr>
    </w:lvl>
    <w:lvl w:ilvl="1" w:tentative="0">
      <w:start w:val="1"/>
      <w:numFmt w:val="lowerLetter"/>
      <w:lvlText w:val="%2）"/>
      <w:lvlJc w:val="left"/>
      <w:pPr>
        <w:tabs>
          <w:tab w:val="left" w:pos="1400"/>
        </w:tabs>
        <w:ind w:left="1400" w:hanging="360"/>
      </w:pPr>
      <w:rPr>
        <w:rFonts w:hint="default"/>
      </w:rPr>
    </w:lvl>
    <w:lvl w:ilvl="2" w:tentative="0">
      <w:start w:val="1"/>
      <w:numFmt w:val="decimal"/>
      <w:lvlText w:val="（%3）"/>
      <w:lvlJc w:val="left"/>
      <w:pPr>
        <w:ind w:left="2195" w:hanging="735"/>
      </w:pPr>
      <w:rPr>
        <w:rFonts w:hint="default"/>
      </w:rPr>
    </w:lvl>
    <w:lvl w:ilvl="3" w:tentative="0">
      <w:start w:val="1"/>
      <w:numFmt w:val="decimal"/>
      <w:lvlText w:val="%4."/>
      <w:lvlJc w:val="left"/>
      <w:pPr>
        <w:tabs>
          <w:tab w:val="left" w:pos="2300"/>
        </w:tabs>
        <w:ind w:left="2300" w:hanging="420"/>
      </w:pPr>
    </w:lvl>
    <w:lvl w:ilvl="4" w:tentative="0">
      <w:start w:val="1"/>
      <w:numFmt w:val="lowerLetter"/>
      <w:lvlText w:val="%5)"/>
      <w:lvlJc w:val="left"/>
      <w:pPr>
        <w:tabs>
          <w:tab w:val="left" w:pos="2720"/>
        </w:tabs>
        <w:ind w:left="2720" w:hanging="420"/>
      </w:pPr>
    </w:lvl>
    <w:lvl w:ilvl="5" w:tentative="0">
      <w:start w:val="1"/>
      <w:numFmt w:val="lowerRoman"/>
      <w:lvlText w:val="%6."/>
      <w:lvlJc w:val="right"/>
      <w:pPr>
        <w:tabs>
          <w:tab w:val="left" w:pos="3140"/>
        </w:tabs>
        <w:ind w:left="3140" w:hanging="420"/>
      </w:pPr>
    </w:lvl>
    <w:lvl w:ilvl="6" w:tentative="0">
      <w:start w:val="1"/>
      <w:numFmt w:val="decimal"/>
      <w:lvlText w:val="%7."/>
      <w:lvlJc w:val="left"/>
      <w:pPr>
        <w:tabs>
          <w:tab w:val="left" w:pos="3560"/>
        </w:tabs>
        <w:ind w:left="3560" w:hanging="420"/>
      </w:pPr>
    </w:lvl>
    <w:lvl w:ilvl="7" w:tentative="0">
      <w:start w:val="1"/>
      <w:numFmt w:val="lowerLetter"/>
      <w:lvlText w:val="%8)"/>
      <w:lvlJc w:val="left"/>
      <w:pPr>
        <w:tabs>
          <w:tab w:val="left" w:pos="3980"/>
        </w:tabs>
        <w:ind w:left="3980" w:hanging="420"/>
      </w:pPr>
    </w:lvl>
    <w:lvl w:ilvl="8" w:tentative="0">
      <w:start w:val="1"/>
      <w:numFmt w:val="lowerRoman"/>
      <w:lvlText w:val="%9."/>
      <w:lvlJc w:val="right"/>
      <w:pPr>
        <w:tabs>
          <w:tab w:val="left" w:pos="4400"/>
        </w:tabs>
        <w:ind w:left="4400" w:hanging="420"/>
      </w:pPr>
    </w:lvl>
  </w:abstractNum>
  <w:abstractNum w:abstractNumId="38">
    <w:nsid w:val="00000026"/>
    <w:multiLevelType w:val="singleLevel"/>
    <w:tmpl w:val="00000026"/>
    <w:lvl w:ilvl="0" w:tentative="0">
      <w:start w:val="1"/>
      <w:numFmt w:val="decimalEnclosedCircleChinese"/>
      <w:suff w:val="nothing"/>
      <w:lvlText w:val="%1　"/>
      <w:lvlJc w:val="left"/>
      <w:pPr>
        <w:ind w:left="0" w:firstLine="400"/>
      </w:pPr>
      <w:rPr>
        <w:rFonts w:hint="eastAsia"/>
      </w:rPr>
    </w:lvl>
  </w:abstractNum>
  <w:abstractNum w:abstractNumId="39">
    <w:nsid w:val="00000027"/>
    <w:multiLevelType w:val="multilevel"/>
    <w:tmpl w:val="00000027"/>
    <w:lvl w:ilvl="0" w:tentative="0">
      <w:start w:val="1"/>
      <w:numFmt w:val="bullet"/>
      <w:lvlText w:val=""/>
      <w:lvlJc w:val="left"/>
      <w:pPr>
        <w:ind w:left="84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1"/>
  </w:num>
  <w:num w:numId="2">
    <w:abstractNumId w:val="34"/>
  </w:num>
  <w:num w:numId="3">
    <w:abstractNumId w:val="37"/>
  </w:num>
  <w:num w:numId="4">
    <w:abstractNumId w:val="10"/>
  </w:num>
  <w:num w:numId="5">
    <w:abstractNumId w:val="26"/>
  </w:num>
  <w:num w:numId="6">
    <w:abstractNumId w:val="24"/>
  </w:num>
  <w:num w:numId="7">
    <w:abstractNumId w:val="35"/>
  </w:num>
  <w:num w:numId="8">
    <w:abstractNumId w:val="36"/>
  </w:num>
  <w:num w:numId="9">
    <w:abstractNumId w:val="12"/>
  </w:num>
  <w:num w:numId="10">
    <w:abstractNumId w:val="21"/>
  </w:num>
  <w:num w:numId="11">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9"/>
  </w:num>
  <w:num w:numId="14">
    <w:abstractNumId w:val="29"/>
    <w:lvlOverride w:ilvl="0">
      <w:startOverride w:val="1"/>
    </w:lvlOverride>
  </w:num>
  <w:num w:numId="15">
    <w:abstractNumId w:val="20"/>
  </w:num>
  <w:num w:numId="16">
    <w:abstractNumId w:val="13"/>
  </w:num>
  <w:num w:numId="17">
    <w:abstractNumId w:val="38"/>
  </w:num>
  <w:num w:numId="18">
    <w:abstractNumId w:val="4"/>
  </w:num>
  <w:num w:numId="19">
    <w:abstractNumId w:val="14"/>
  </w:num>
  <w:num w:numId="20">
    <w:abstractNumId w:val="3"/>
  </w:num>
  <w:num w:numId="21">
    <w:abstractNumId w:val="16"/>
  </w:num>
  <w:num w:numId="22">
    <w:abstractNumId w:val="28"/>
    <w:lvlOverride w:ilvl="0">
      <w:startOverride w:val="1"/>
    </w:lvlOverride>
  </w:num>
  <w:num w:numId="23">
    <w:abstractNumId w:val="30"/>
    <w:lvlOverride w:ilvl="0">
      <w:startOverride w:val="3"/>
    </w:lvlOverride>
  </w:num>
  <w:num w:numId="24">
    <w:abstractNumId w:val="32"/>
  </w:num>
  <w:num w:numId="25">
    <w:abstractNumId w:val="0"/>
  </w:num>
  <w:num w:numId="26">
    <w:abstractNumId w:val="15"/>
  </w:num>
  <w:num w:numId="27">
    <w:abstractNumId w:val="7"/>
  </w:num>
  <w:num w:numId="28">
    <w:abstractNumId w:val="6"/>
  </w:num>
  <w:num w:numId="29">
    <w:abstractNumId w:val="5"/>
  </w:num>
  <w:num w:numId="30">
    <w:abstractNumId w:val="2"/>
  </w:num>
  <w:num w:numId="31">
    <w:abstractNumId w:val="1"/>
  </w:num>
  <w:num w:numId="32">
    <w:abstractNumId w:val="25"/>
  </w:num>
  <w:num w:numId="33">
    <w:abstractNumId w:val="23"/>
  </w:num>
  <w:num w:numId="34">
    <w:abstractNumId w:val="8"/>
  </w:num>
  <w:num w:numId="35">
    <w:abstractNumId w:val="18"/>
  </w:num>
  <w:num w:numId="36">
    <w:abstractNumId w:val="9"/>
  </w:num>
  <w:num w:numId="37">
    <w:abstractNumId w:val="39"/>
  </w:num>
  <w:num w:numId="38">
    <w:abstractNumId w:val="31"/>
  </w:num>
  <w:num w:numId="39">
    <w:abstractNumId w:val="3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0B262A5"/>
    <w:rsid w:val="17BC785C"/>
    <w:rsid w:val="30682D28"/>
    <w:rsid w:val="52A83593"/>
    <w:rsid w:val="6DA0203F"/>
    <w:rsid w:val="796730F0"/>
    <w:rsid w:val="7C8E26FE"/>
    <w:rsid w:val="7EDC2ED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99"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0"/>
    <w:pPr>
      <w:keepNext/>
      <w:jc w:val="center"/>
      <w:outlineLvl w:val="0"/>
    </w:pPr>
    <w:rPr>
      <w:rFonts w:ascii="楷体_GB2312" w:hAnsi="Tahoma" w:eastAsia="楷体_GB2312"/>
      <w:b/>
      <w:bCs/>
    </w:rPr>
  </w:style>
  <w:style w:type="paragraph" w:styleId="4">
    <w:name w:val="heading 2"/>
    <w:basedOn w:val="1"/>
    <w:next w:val="1"/>
    <w:link w:val="8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4"/>
    <w:next w:val="1"/>
    <w:link w:val="82"/>
    <w:qFormat/>
    <w:uiPriority w:val="0"/>
    <w:pPr>
      <w:keepNext/>
      <w:keepLines/>
      <w:spacing w:before="260" w:after="260" w:line="415" w:lineRule="auto"/>
      <w:outlineLvl w:val="2"/>
    </w:pPr>
    <w:rPr>
      <w:sz w:val="32"/>
      <w:szCs w:val="32"/>
    </w:rPr>
  </w:style>
  <w:style w:type="paragraph" w:styleId="6">
    <w:name w:val="heading 4"/>
    <w:basedOn w:val="5"/>
    <w:next w:val="1"/>
    <w:link w:val="83"/>
    <w:qFormat/>
    <w:uiPriority w:val="0"/>
    <w:pPr>
      <w:keepNext/>
      <w:keepLines/>
      <w:spacing w:before="280" w:after="290" w:line="372" w:lineRule="auto"/>
      <w:outlineLvl w:val="3"/>
    </w:pPr>
    <w:rPr>
      <w:rFonts w:ascii="Cambria" w:hAnsi="Cambria"/>
      <w:sz w:val="28"/>
      <w:szCs w:val="28"/>
    </w:rPr>
  </w:style>
  <w:style w:type="paragraph" w:styleId="7">
    <w:name w:val="heading 5"/>
    <w:basedOn w:val="1"/>
    <w:next w:val="1"/>
    <w:link w:val="84"/>
    <w:qFormat/>
    <w:uiPriority w:val="0"/>
    <w:pPr>
      <w:keepNext/>
      <w:keepLines/>
      <w:spacing w:before="280" w:after="290" w:line="372" w:lineRule="auto"/>
      <w:outlineLvl w:val="4"/>
    </w:pPr>
    <w:rPr>
      <w:rFonts w:ascii="仿宋_GB2312" w:hAnsi="Tahoma"/>
      <w:b/>
      <w:bCs/>
      <w:sz w:val="28"/>
      <w:szCs w:val="28"/>
    </w:rPr>
  </w:style>
  <w:style w:type="paragraph" w:styleId="8">
    <w:name w:val="heading 6"/>
    <w:basedOn w:val="1"/>
    <w:next w:val="1"/>
    <w:link w:val="85"/>
    <w:qFormat/>
    <w:uiPriority w:val="0"/>
    <w:pPr>
      <w:keepNext/>
      <w:keepLines/>
      <w:spacing w:before="240" w:after="64" w:line="319" w:lineRule="auto"/>
      <w:outlineLvl w:val="5"/>
    </w:pPr>
    <w:rPr>
      <w:rFonts w:ascii="Arial" w:hAnsi="Arial" w:eastAsia="黑体"/>
      <w:b/>
      <w:bCs/>
      <w:sz w:val="24"/>
    </w:rPr>
  </w:style>
  <w:style w:type="paragraph" w:styleId="9">
    <w:name w:val="heading 7"/>
    <w:basedOn w:val="1"/>
    <w:next w:val="1"/>
    <w:link w:val="86"/>
    <w:qFormat/>
    <w:uiPriority w:val="0"/>
    <w:pPr>
      <w:widowControl/>
      <w:tabs>
        <w:tab w:val="left" w:pos="765"/>
      </w:tabs>
      <w:autoSpaceDE w:val="0"/>
      <w:autoSpaceDN w:val="0"/>
      <w:adjustRightInd w:val="0"/>
      <w:spacing w:line="360" w:lineRule="auto"/>
      <w:ind w:left="1134" w:hanging="680"/>
      <w:jc w:val="left"/>
      <w:outlineLvl w:val="6"/>
    </w:pPr>
    <w:rPr>
      <w:rFonts w:ascii="Arial" w:hAnsi="Arial" w:eastAsia="黑体"/>
      <w:b/>
      <w:kern w:val="0"/>
      <w:szCs w:val="21"/>
    </w:rPr>
  </w:style>
  <w:style w:type="paragraph" w:styleId="10">
    <w:name w:val="heading 8"/>
    <w:basedOn w:val="1"/>
    <w:next w:val="1"/>
    <w:link w:val="87"/>
    <w:qFormat/>
    <w:uiPriority w:val="0"/>
    <w:pPr>
      <w:keepLines/>
      <w:tabs>
        <w:tab w:val="left" w:pos="1638"/>
      </w:tabs>
      <w:autoSpaceDE w:val="0"/>
      <w:autoSpaceDN w:val="0"/>
      <w:adjustRightInd w:val="0"/>
      <w:spacing w:before="240" w:after="64" w:line="317" w:lineRule="auto"/>
      <w:ind w:left="1638" w:hanging="1440"/>
      <w:jc w:val="left"/>
      <w:outlineLvl w:val="7"/>
    </w:pPr>
    <w:rPr>
      <w:rFonts w:ascii="Arial" w:hAnsi="Arial" w:eastAsia="黑体"/>
      <w:b/>
      <w:kern w:val="0"/>
      <w:sz w:val="24"/>
      <w:szCs w:val="32"/>
    </w:rPr>
  </w:style>
  <w:style w:type="paragraph" w:styleId="11">
    <w:name w:val="heading 9"/>
    <w:basedOn w:val="1"/>
    <w:next w:val="1"/>
    <w:link w:val="88"/>
    <w:qFormat/>
    <w:uiPriority w:val="0"/>
    <w:pPr>
      <w:keepLines/>
      <w:tabs>
        <w:tab w:val="left" w:pos="1782"/>
      </w:tabs>
      <w:autoSpaceDE w:val="0"/>
      <w:autoSpaceDN w:val="0"/>
      <w:adjustRightInd w:val="0"/>
      <w:spacing w:before="240" w:after="64" w:line="317" w:lineRule="auto"/>
      <w:ind w:left="1782" w:hanging="1584"/>
      <w:jc w:val="left"/>
      <w:outlineLvl w:val="8"/>
    </w:pPr>
    <w:rPr>
      <w:rFonts w:ascii="Arial" w:hAnsi="Arial" w:eastAsia="黑体"/>
      <w:b/>
      <w:kern w:val="0"/>
      <w:szCs w:val="32"/>
    </w:rPr>
  </w:style>
  <w:style w:type="character" w:default="1" w:styleId="59">
    <w:name w:val="Default Paragraph Font"/>
    <w:qFormat/>
    <w:uiPriority w:val="1"/>
  </w:style>
  <w:style w:type="table" w:default="1" w:styleId="57">
    <w:name w:val="Normal Table"/>
    <w:qFormat/>
    <w:uiPriority w:val="99"/>
    <w:tblPr>
      <w:tblCellMar>
        <w:top w:w="0" w:type="dxa"/>
        <w:left w:w="108" w:type="dxa"/>
        <w:bottom w:w="0" w:type="dxa"/>
        <w:right w:w="108" w:type="dxa"/>
      </w:tblCellMar>
    </w:tblPr>
  </w:style>
  <w:style w:type="paragraph" w:styleId="2">
    <w:name w:val="macro"/>
    <w:link w:val="7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toc 7"/>
    <w:basedOn w:val="1"/>
    <w:next w:val="1"/>
    <w:qFormat/>
    <w:uiPriority w:val="39"/>
    <w:pPr>
      <w:autoSpaceDE w:val="0"/>
      <w:autoSpaceDN w:val="0"/>
      <w:adjustRightInd w:val="0"/>
      <w:ind w:left="2520" w:leftChars="1200"/>
      <w:jc w:val="left"/>
    </w:pPr>
    <w:rPr>
      <w:kern w:val="0"/>
      <w:sz w:val="20"/>
      <w:szCs w:val="20"/>
    </w:rPr>
  </w:style>
  <w:style w:type="paragraph" w:styleId="13">
    <w:name w:val="Note Heading"/>
    <w:basedOn w:val="1"/>
    <w:next w:val="1"/>
    <w:link w:val="89"/>
    <w:qFormat/>
    <w:uiPriority w:val="0"/>
    <w:pPr>
      <w:jc w:val="left"/>
    </w:pPr>
    <w:rPr>
      <w:rFonts w:eastAsia="黑体"/>
      <w:sz w:val="28"/>
      <w:szCs w:val="20"/>
    </w:rPr>
  </w:style>
  <w:style w:type="paragraph" w:styleId="14">
    <w:name w:val="List Number"/>
    <w:basedOn w:val="1"/>
    <w:qFormat/>
    <w:uiPriority w:val="0"/>
    <w:pPr>
      <w:tabs>
        <w:tab w:val="left" w:pos="360"/>
      </w:tabs>
      <w:ind w:left="360" w:hanging="360" w:hangingChars="200"/>
    </w:pPr>
  </w:style>
  <w:style w:type="paragraph" w:styleId="15">
    <w:name w:val="Normal Indent"/>
    <w:basedOn w:val="1"/>
    <w:next w:val="1"/>
    <w:link w:val="90"/>
    <w:qFormat/>
    <w:uiPriority w:val="0"/>
    <w:pPr>
      <w:adjustRightInd w:val="0"/>
      <w:spacing w:line="312" w:lineRule="atLeast"/>
      <w:ind w:firstLine="420"/>
      <w:textAlignment w:val="baseline"/>
    </w:pPr>
    <w:rPr>
      <w:kern w:val="0"/>
      <w:szCs w:val="20"/>
    </w:rPr>
  </w:style>
  <w:style w:type="paragraph" w:styleId="16">
    <w:name w:val="caption"/>
    <w:basedOn w:val="1"/>
    <w:next w:val="1"/>
    <w:link w:val="91"/>
    <w:qFormat/>
    <w:uiPriority w:val="0"/>
    <w:pPr>
      <w:autoSpaceDE w:val="0"/>
      <w:autoSpaceDN w:val="0"/>
      <w:adjustRightInd w:val="0"/>
      <w:jc w:val="left"/>
    </w:pPr>
    <w:rPr>
      <w:rFonts w:ascii="Arial" w:hAnsi="Arial" w:eastAsia="黑体"/>
      <w:kern w:val="0"/>
      <w:sz w:val="20"/>
      <w:szCs w:val="20"/>
    </w:rPr>
  </w:style>
  <w:style w:type="paragraph" w:styleId="17">
    <w:name w:val="List Bullet"/>
    <w:basedOn w:val="1"/>
    <w:qFormat/>
    <w:uiPriority w:val="0"/>
    <w:pPr>
      <w:numPr>
        <w:ilvl w:val="0"/>
        <w:numId w:val="1"/>
      </w:numPr>
      <w:tabs>
        <w:tab w:val="clear" w:pos="1080"/>
      </w:tabs>
    </w:pPr>
    <w:rPr>
      <w:rFonts w:ascii="Calibri" w:hAnsi="Calibri"/>
      <w:szCs w:val="22"/>
    </w:rPr>
  </w:style>
  <w:style w:type="paragraph" w:styleId="18">
    <w:name w:val="Document Map"/>
    <w:basedOn w:val="1"/>
    <w:link w:val="92"/>
    <w:qFormat/>
    <w:uiPriority w:val="0"/>
    <w:pPr>
      <w:shd w:val="clear" w:color="auto" w:fill="000080"/>
    </w:pPr>
  </w:style>
  <w:style w:type="paragraph" w:styleId="19">
    <w:name w:val="annotation text"/>
    <w:basedOn w:val="1"/>
    <w:link w:val="93"/>
    <w:qFormat/>
    <w:uiPriority w:val="0"/>
    <w:pPr>
      <w:jc w:val="left"/>
    </w:pPr>
  </w:style>
  <w:style w:type="paragraph" w:styleId="20">
    <w:name w:val="Salutation"/>
    <w:basedOn w:val="1"/>
    <w:next w:val="1"/>
    <w:link w:val="94"/>
    <w:qFormat/>
    <w:uiPriority w:val="0"/>
    <w:pPr>
      <w:tabs>
        <w:tab w:val="left" w:pos="840"/>
      </w:tabs>
      <w:autoSpaceDE w:val="0"/>
      <w:autoSpaceDN w:val="0"/>
      <w:adjustRightInd w:val="0"/>
      <w:jc w:val="left"/>
    </w:pPr>
    <w:rPr>
      <w:kern w:val="0"/>
      <w:sz w:val="20"/>
      <w:szCs w:val="20"/>
    </w:rPr>
  </w:style>
  <w:style w:type="paragraph" w:styleId="21">
    <w:name w:val="Body Text 3"/>
    <w:basedOn w:val="1"/>
    <w:link w:val="95"/>
    <w:qFormat/>
    <w:uiPriority w:val="0"/>
    <w:pPr>
      <w:autoSpaceDE w:val="0"/>
      <w:autoSpaceDN w:val="0"/>
      <w:adjustRightInd w:val="0"/>
      <w:jc w:val="center"/>
    </w:pPr>
    <w:rPr>
      <w:kern w:val="0"/>
      <w:sz w:val="20"/>
      <w:szCs w:val="20"/>
    </w:rPr>
  </w:style>
  <w:style w:type="paragraph" w:styleId="22">
    <w:name w:val="Body Text"/>
    <w:basedOn w:val="1"/>
    <w:link w:val="96"/>
    <w:qFormat/>
    <w:uiPriority w:val="0"/>
    <w:pPr>
      <w:spacing w:after="120"/>
    </w:pPr>
    <w:rPr>
      <w:rFonts w:ascii="Tahoma" w:hAnsi="Tahoma"/>
    </w:rPr>
  </w:style>
  <w:style w:type="paragraph" w:styleId="23">
    <w:name w:val="Body Text Indent"/>
    <w:basedOn w:val="1"/>
    <w:link w:val="98"/>
    <w:qFormat/>
    <w:uiPriority w:val="0"/>
    <w:pPr>
      <w:adjustRightInd w:val="0"/>
      <w:spacing w:line="360" w:lineRule="auto"/>
      <w:ind w:firstLine="490"/>
      <w:jc w:val="left"/>
    </w:pPr>
    <w:rPr>
      <w:rFonts w:ascii="宋体" w:hAnsi="宋体"/>
      <w:sz w:val="24"/>
      <w:szCs w:val="20"/>
    </w:rPr>
  </w:style>
  <w:style w:type="paragraph" w:styleId="24">
    <w:name w:val="List Number 3"/>
    <w:basedOn w:val="1"/>
    <w:qFormat/>
    <w:uiPriority w:val="0"/>
    <w:pPr>
      <w:tabs>
        <w:tab w:val="left" w:pos="1200"/>
      </w:tabs>
      <w:ind w:left="1200" w:leftChars="400" w:hanging="360" w:hangingChars="200"/>
    </w:pPr>
  </w:style>
  <w:style w:type="paragraph" w:styleId="25">
    <w:name w:val="Block Text"/>
    <w:basedOn w:val="1"/>
    <w:qFormat/>
    <w:uiPriority w:val="99"/>
    <w:pPr>
      <w:spacing w:after="120"/>
      <w:ind w:left="1440" w:leftChars="700" w:right="1440" w:rightChars="700"/>
    </w:pPr>
    <w:rPr>
      <w:szCs w:val="22"/>
    </w:rPr>
  </w:style>
  <w:style w:type="paragraph" w:styleId="26">
    <w:name w:val="List Bullet 2"/>
    <w:basedOn w:val="1"/>
    <w:qFormat/>
    <w:uiPriority w:val="0"/>
    <w:pPr>
      <w:tabs>
        <w:tab w:val="left" w:pos="780"/>
      </w:tabs>
      <w:spacing w:line="360" w:lineRule="auto"/>
      <w:ind w:left="780" w:leftChars="200" w:hanging="360" w:hangingChars="200"/>
    </w:pPr>
  </w:style>
  <w:style w:type="paragraph" w:styleId="27">
    <w:name w:val="toc 5"/>
    <w:basedOn w:val="1"/>
    <w:next w:val="1"/>
    <w:qFormat/>
    <w:uiPriority w:val="39"/>
    <w:pPr>
      <w:autoSpaceDE w:val="0"/>
      <w:autoSpaceDN w:val="0"/>
      <w:adjustRightInd w:val="0"/>
      <w:ind w:left="1680" w:leftChars="800"/>
      <w:jc w:val="left"/>
    </w:pPr>
    <w:rPr>
      <w:kern w:val="0"/>
      <w:sz w:val="20"/>
      <w:szCs w:val="20"/>
    </w:rPr>
  </w:style>
  <w:style w:type="paragraph" w:styleId="28">
    <w:name w:val="toc 3"/>
    <w:basedOn w:val="1"/>
    <w:next w:val="1"/>
    <w:qFormat/>
    <w:uiPriority w:val="39"/>
    <w:pPr>
      <w:ind w:left="840" w:leftChars="400"/>
    </w:pPr>
  </w:style>
  <w:style w:type="paragraph" w:styleId="29">
    <w:name w:val="Plain Text"/>
    <w:basedOn w:val="1"/>
    <w:next w:val="30"/>
    <w:link w:val="99"/>
    <w:qFormat/>
    <w:uiPriority w:val="0"/>
    <w:rPr>
      <w:rFonts w:ascii="宋体" w:hAnsi="Courier New"/>
      <w:szCs w:val="20"/>
    </w:rPr>
  </w:style>
  <w:style w:type="paragraph" w:styleId="30">
    <w:name w:val="toc 2"/>
    <w:basedOn w:val="1"/>
    <w:next w:val="1"/>
    <w:qFormat/>
    <w:uiPriority w:val="39"/>
    <w:pPr>
      <w:ind w:left="420" w:leftChars="200"/>
    </w:pPr>
  </w:style>
  <w:style w:type="paragraph" w:styleId="31">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2">
    <w:name w:val="toc 8"/>
    <w:basedOn w:val="1"/>
    <w:next w:val="1"/>
    <w:qFormat/>
    <w:uiPriority w:val="39"/>
    <w:pPr>
      <w:autoSpaceDE w:val="0"/>
      <w:autoSpaceDN w:val="0"/>
      <w:adjustRightInd w:val="0"/>
      <w:ind w:left="2940" w:leftChars="1400"/>
      <w:jc w:val="left"/>
    </w:pPr>
    <w:rPr>
      <w:kern w:val="0"/>
      <w:sz w:val="20"/>
      <w:szCs w:val="20"/>
    </w:rPr>
  </w:style>
  <w:style w:type="paragraph" w:styleId="33">
    <w:name w:val="Date"/>
    <w:basedOn w:val="1"/>
    <w:next w:val="1"/>
    <w:link w:val="100"/>
    <w:qFormat/>
    <w:uiPriority w:val="99"/>
    <w:pPr>
      <w:spacing w:line="440" w:lineRule="exact"/>
    </w:pPr>
    <w:rPr>
      <w:spacing w:val="12"/>
      <w:sz w:val="24"/>
      <w:szCs w:val="20"/>
    </w:rPr>
  </w:style>
  <w:style w:type="paragraph" w:styleId="34">
    <w:name w:val="Body Text Indent 2"/>
    <w:basedOn w:val="1"/>
    <w:link w:val="101"/>
    <w:qFormat/>
    <w:uiPriority w:val="0"/>
    <w:pPr>
      <w:spacing w:after="120" w:line="480" w:lineRule="auto"/>
      <w:ind w:left="420" w:leftChars="200"/>
    </w:pPr>
  </w:style>
  <w:style w:type="paragraph" w:styleId="35">
    <w:name w:val="endnote text"/>
    <w:basedOn w:val="1"/>
    <w:link w:val="102"/>
    <w:qFormat/>
    <w:uiPriority w:val="0"/>
    <w:pPr>
      <w:spacing w:line="360" w:lineRule="auto"/>
      <w:ind w:firstLine="720" w:firstLineChars="200"/>
    </w:pPr>
    <w:rPr>
      <w:sz w:val="24"/>
    </w:rPr>
  </w:style>
  <w:style w:type="paragraph" w:styleId="36">
    <w:name w:val="Balloon Text"/>
    <w:basedOn w:val="1"/>
    <w:link w:val="103"/>
    <w:qFormat/>
    <w:uiPriority w:val="99"/>
    <w:rPr>
      <w:sz w:val="18"/>
      <w:szCs w:val="18"/>
    </w:rPr>
  </w:style>
  <w:style w:type="paragraph" w:styleId="37">
    <w:name w:val="footer"/>
    <w:basedOn w:val="1"/>
    <w:link w:val="104"/>
    <w:qFormat/>
    <w:uiPriority w:val="0"/>
    <w:pPr>
      <w:tabs>
        <w:tab w:val="center" w:pos="4153"/>
        <w:tab w:val="right" w:pos="8306"/>
      </w:tabs>
      <w:snapToGrid w:val="0"/>
      <w:jc w:val="left"/>
    </w:pPr>
    <w:rPr>
      <w:sz w:val="18"/>
      <w:szCs w:val="18"/>
    </w:rPr>
  </w:style>
  <w:style w:type="paragraph" w:styleId="38">
    <w:name w:val="header"/>
    <w:basedOn w:val="1"/>
    <w:link w:val="105"/>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06"/>
    <w:qFormat/>
    <w:uiPriority w:val="0"/>
    <w:pPr>
      <w:autoSpaceDE w:val="0"/>
      <w:autoSpaceDN w:val="0"/>
      <w:adjustRightInd w:val="0"/>
      <w:spacing w:after="600" w:line="312" w:lineRule="atLeast"/>
      <w:jc w:val="center"/>
      <w:textAlignment w:val="baseline"/>
    </w:pPr>
    <w:rPr>
      <w:rFonts w:ascii="Tahoma" w:hAnsi="Tahoma" w:eastAsia="仿宋_GB2312"/>
      <w:kern w:val="0"/>
      <w:sz w:val="24"/>
      <w:szCs w:val="20"/>
    </w:rPr>
  </w:style>
  <w:style w:type="paragraph" w:styleId="40">
    <w:name w:val="toc 1"/>
    <w:basedOn w:val="1"/>
    <w:next w:val="1"/>
    <w:qFormat/>
    <w:uiPriority w:val="39"/>
    <w:pPr>
      <w:spacing w:line="360" w:lineRule="exact"/>
      <w:ind w:left="718" w:hanging="718" w:hangingChars="342"/>
    </w:pPr>
    <w:rPr>
      <w:rFonts w:ascii="Arial" w:hAnsi="Arial" w:eastAsia="楷体_GB2312" w:cs="Arial"/>
    </w:rPr>
  </w:style>
  <w:style w:type="paragraph" w:styleId="41">
    <w:name w:val="toc 4"/>
    <w:basedOn w:val="1"/>
    <w:next w:val="1"/>
    <w:qFormat/>
    <w:uiPriority w:val="39"/>
    <w:pPr>
      <w:autoSpaceDE w:val="0"/>
      <w:autoSpaceDN w:val="0"/>
      <w:adjustRightInd w:val="0"/>
      <w:ind w:left="1260" w:leftChars="600"/>
      <w:jc w:val="left"/>
    </w:pPr>
    <w:rPr>
      <w:kern w:val="0"/>
      <w:sz w:val="20"/>
      <w:szCs w:val="20"/>
    </w:rPr>
  </w:style>
  <w:style w:type="paragraph" w:styleId="42">
    <w:name w:val="Subtitle"/>
    <w:basedOn w:val="1"/>
    <w:next w:val="1"/>
    <w:link w:val="107"/>
    <w:qFormat/>
    <w:uiPriority w:val="0"/>
    <w:pPr>
      <w:spacing w:before="240" w:after="60" w:line="312" w:lineRule="auto"/>
      <w:jc w:val="center"/>
      <w:outlineLvl w:val="1"/>
    </w:pPr>
    <w:rPr>
      <w:rFonts w:ascii="Cambria" w:hAnsi="Cambria"/>
      <w:b/>
      <w:bCs/>
      <w:kern w:val="28"/>
      <w:sz w:val="32"/>
      <w:szCs w:val="32"/>
    </w:rPr>
  </w:style>
  <w:style w:type="paragraph" w:styleId="43">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4">
    <w:name w:val="List"/>
    <w:basedOn w:val="1"/>
    <w:qFormat/>
    <w:uiPriority w:val="0"/>
    <w:pPr>
      <w:ind w:left="200" w:hanging="200" w:hangingChars="200"/>
    </w:pPr>
    <w:rPr>
      <w:sz w:val="28"/>
    </w:rPr>
  </w:style>
  <w:style w:type="paragraph" w:styleId="45">
    <w:name w:val="footnote text"/>
    <w:basedOn w:val="1"/>
    <w:link w:val="108"/>
    <w:qFormat/>
    <w:uiPriority w:val="99"/>
    <w:pPr>
      <w:snapToGrid w:val="0"/>
      <w:spacing w:line="360" w:lineRule="auto"/>
      <w:jc w:val="left"/>
    </w:pPr>
    <w:rPr>
      <w:sz w:val="18"/>
      <w:szCs w:val="18"/>
    </w:rPr>
  </w:style>
  <w:style w:type="paragraph" w:styleId="46">
    <w:name w:val="toc 6"/>
    <w:basedOn w:val="1"/>
    <w:next w:val="1"/>
    <w:qFormat/>
    <w:uiPriority w:val="39"/>
    <w:pPr>
      <w:autoSpaceDE w:val="0"/>
      <w:autoSpaceDN w:val="0"/>
      <w:adjustRightInd w:val="0"/>
      <w:ind w:left="2100" w:leftChars="1000"/>
      <w:jc w:val="left"/>
    </w:pPr>
    <w:rPr>
      <w:kern w:val="0"/>
      <w:sz w:val="20"/>
      <w:szCs w:val="20"/>
    </w:rPr>
  </w:style>
  <w:style w:type="paragraph" w:styleId="47">
    <w:name w:val="Body Text Indent 3"/>
    <w:basedOn w:val="1"/>
    <w:link w:val="109"/>
    <w:qFormat/>
    <w:uiPriority w:val="99"/>
    <w:pPr>
      <w:spacing w:after="120"/>
      <w:ind w:left="420" w:leftChars="200"/>
    </w:pPr>
    <w:rPr>
      <w:sz w:val="16"/>
      <w:szCs w:val="16"/>
    </w:rPr>
  </w:style>
  <w:style w:type="paragraph" w:styleId="48">
    <w:name w:val="toc 9"/>
    <w:basedOn w:val="1"/>
    <w:next w:val="1"/>
    <w:qFormat/>
    <w:uiPriority w:val="39"/>
    <w:pPr>
      <w:autoSpaceDE w:val="0"/>
      <w:autoSpaceDN w:val="0"/>
      <w:adjustRightInd w:val="0"/>
      <w:ind w:left="3360" w:leftChars="1600"/>
      <w:jc w:val="left"/>
    </w:pPr>
    <w:rPr>
      <w:kern w:val="0"/>
      <w:sz w:val="20"/>
      <w:szCs w:val="20"/>
    </w:rPr>
  </w:style>
  <w:style w:type="paragraph" w:styleId="49">
    <w:name w:val="Body Text 2"/>
    <w:basedOn w:val="1"/>
    <w:link w:val="110"/>
    <w:qFormat/>
    <w:uiPriority w:val="0"/>
    <w:pPr>
      <w:autoSpaceDE w:val="0"/>
      <w:autoSpaceDN w:val="0"/>
      <w:adjustRightInd w:val="0"/>
      <w:spacing w:after="120" w:line="480" w:lineRule="auto"/>
      <w:jc w:val="left"/>
    </w:pPr>
    <w:rPr>
      <w:kern w:val="0"/>
      <w:sz w:val="20"/>
      <w:szCs w:val="20"/>
    </w:rPr>
  </w:style>
  <w:style w:type="paragraph" w:styleId="50">
    <w:name w:val="HTML Preformatted"/>
    <w:basedOn w:val="1"/>
    <w:link w:val="1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51">
    <w:name w:val="Normal (Web)"/>
    <w:basedOn w:val="1"/>
    <w:link w:val="112"/>
    <w:qFormat/>
    <w:uiPriority w:val="99"/>
    <w:pPr>
      <w:widowControl/>
      <w:spacing w:before="100" w:beforeAutospacing="1" w:after="100" w:afterAutospacing="1"/>
      <w:jc w:val="left"/>
    </w:pPr>
    <w:rPr>
      <w:rFonts w:ascii="宋体" w:hAnsi="宋体"/>
      <w:color w:val="000000"/>
      <w:kern w:val="0"/>
      <w:sz w:val="24"/>
    </w:rPr>
  </w:style>
  <w:style w:type="paragraph" w:styleId="52">
    <w:name w:val="index 1"/>
    <w:basedOn w:val="1"/>
    <w:next w:val="1"/>
    <w:qFormat/>
    <w:uiPriority w:val="0"/>
    <w:pPr>
      <w:spacing w:line="220" w:lineRule="exact"/>
      <w:jc w:val="center"/>
    </w:pPr>
    <w:rPr>
      <w:rFonts w:ascii="仿宋_GB2312" w:eastAsia="仿宋_GB2312"/>
      <w:szCs w:val="21"/>
    </w:rPr>
  </w:style>
  <w:style w:type="paragraph" w:styleId="53">
    <w:name w:val="Title"/>
    <w:basedOn w:val="1"/>
    <w:next w:val="1"/>
    <w:link w:val="113"/>
    <w:qFormat/>
    <w:uiPriority w:val="0"/>
    <w:pPr>
      <w:autoSpaceDE w:val="0"/>
      <w:autoSpaceDN w:val="0"/>
      <w:adjustRightInd w:val="0"/>
      <w:spacing w:before="240" w:after="60"/>
      <w:jc w:val="center"/>
      <w:outlineLvl w:val="0"/>
    </w:pPr>
    <w:rPr>
      <w:rFonts w:ascii="Cambria" w:hAnsi="Cambria"/>
      <w:b/>
      <w:bCs/>
      <w:kern w:val="0"/>
      <w:sz w:val="32"/>
      <w:szCs w:val="32"/>
    </w:rPr>
  </w:style>
  <w:style w:type="paragraph" w:styleId="54">
    <w:name w:val="annotation subject"/>
    <w:basedOn w:val="19"/>
    <w:next w:val="19"/>
    <w:link w:val="114"/>
    <w:qFormat/>
    <w:uiPriority w:val="0"/>
    <w:rPr>
      <w:b/>
      <w:bCs/>
    </w:rPr>
  </w:style>
  <w:style w:type="paragraph" w:styleId="55">
    <w:name w:val="Body Text First Indent"/>
    <w:basedOn w:val="22"/>
    <w:next w:val="1"/>
    <w:link w:val="97"/>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56">
    <w:name w:val="Body Text First Indent 2"/>
    <w:basedOn w:val="23"/>
    <w:link w:val="115"/>
    <w:qFormat/>
    <w:uiPriority w:val="0"/>
    <w:pPr>
      <w:adjustRightInd/>
      <w:spacing w:after="120"/>
      <w:ind w:left="420" w:leftChars="200" w:firstLine="420" w:firstLineChars="200"/>
      <w:jc w:val="both"/>
    </w:pPr>
    <w:rPr>
      <w:szCs w:val="24"/>
    </w:rPr>
  </w:style>
  <w:style w:type="table" w:styleId="58">
    <w:name w:val="Table Grid"/>
    <w:basedOn w:val="5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22"/>
    <w:rPr>
      <w:rFonts w:ascii="仿宋_GB2312" w:eastAsia="仿宋_GB2312"/>
      <w:bCs/>
      <w:sz w:val="32"/>
      <w:szCs w:val="32"/>
    </w:rPr>
  </w:style>
  <w:style w:type="character" w:styleId="61">
    <w:name w:val="page number"/>
    <w:qFormat/>
    <w:uiPriority w:val="0"/>
    <w:rPr>
      <w:szCs w:val="20"/>
    </w:rPr>
  </w:style>
  <w:style w:type="character" w:styleId="62">
    <w:name w:val="FollowedHyperlink"/>
    <w:qFormat/>
    <w:uiPriority w:val="99"/>
    <w:rPr>
      <w:rFonts w:ascii="仿宋_GB2312" w:eastAsia="仿宋_GB2312"/>
      <w:b/>
      <w:color w:val="800080"/>
      <w:sz w:val="32"/>
      <w:szCs w:val="32"/>
      <w:u w:val="single"/>
    </w:rPr>
  </w:style>
  <w:style w:type="character" w:styleId="63">
    <w:name w:val="Emphasis"/>
    <w:qFormat/>
    <w:uiPriority w:val="20"/>
    <w:rPr>
      <w:i/>
      <w:iCs/>
    </w:rPr>
  </w:style>
  <w:style w:type="character" w:styleId="64">
    <w:name w:val="line number"/>
    <w:qFormat/>
    <w:uiPriority w:val="0"/>
    <w:rPr>
      <w:rFonts w:ascii="仿宋_GB2312" w:hAnsi="Tahoma" w:eastAsia="仿宋_GB2312"/>
      <w:b/>
      <w:sz w:val="32"/>
      <w:szCs w:val="32"/>
    </w:rPr>
  </w:style>
  <w:style w:type="character" w:styleId="65">
    <w:name w:val="HTML Definition"/>
    <w:qFormat/>
    <w:uiPriority w:val="99"/>
    <w:rPr>
      <w:szCs w:val="20"/>
    </w:rPr>
  </w:style>
  <w:style w:type="character" w:styleId="66">
    <w:name w:val="HTML Typewriter"/>
    <w:qFormat/>
    <w:uiPriority w:val="0"/>
    <w:rPr>
      <w:rFonts w:ascii="宋体" w:hAnsi="宋体" w:eastAsia="宋体" w:cs="宋体"/>
      <w:sz w:val="24"/>
      <w:szCs w:val="24"/>
    </w:rPr>
  </w:style>
  <w:style w:type="character" w:styleId="67">
    <w:name w:val="HTML Acronym"/>
    <w:qFormat/>
    <w:uiPriority w:val="99"/>
    <w:rPr>
      <w:szCs w:val="20"/>
    </w:rPr>
  </w:style>
  <w:style w:type="character" w:styleId="68">
    <w:name w:val="HTML Variable"/>
    <w:qFormat/>
    <w:uiPriority w:val="99"/>
    <w:rPr>
      <w:szCs w:val="20"/>
    </w:rPr>
  </w:style>
  <w:style w:type="character" w:styleId="69">
    <w:name w:val="Hyperlink"/>
    <w:qFormat/>
    <w:uiPriority w:val="99"/>
    <w:rPr>
      <w:rFonts w:ascii="仿宋_GB2312" w:eastAsia="仿宋_GB2312"/>
      <w:color w:val="000000"/>
      <w:sz w:val="20"/>
      <w:szCs w:val="20"/>
      <w:u w:val="none"/>
    </w:rPr>
  </w:style>
  <w:style w:type="character" w:styleId="70">
    <w:name w:val="HTML Code"/>
    <w:qFormat/>
    <w:uiPriority w:val="99"/>
    <w:rPr>
      <w:rFonts w:hint="eastAsia" w:ascii="微软雅黑" w:hAnsi="微软雅黑" w:eastAsia="微软雅黑" w:cs="微软雅黑"/>
      <w:sz w:val="20"/>
      <w:szCs w:val="20"/>
    </w:rPr>
  </w:style>
  <w:style w:type="character" w:styleId="71">
    <w:name w:val="annotation reference"/>
    <w:qFormat/>
    <w:uiPriority w:val="0"/>
    <w:rPr>
      <w:sz w:val="21"/>
      <w:szCs w:val="21"/>
    </w:rPr>
  </w:style>
  <w:style w:type="character" w:styleId="72">
    <w:name w:val="HTML Cite"/>
    <w:qFormat/>
    <w:uiPriority w:val="0"/>
    <w:rPr>
      <w:color w:val="008000"/>
    </w:rPr>
  </w:style>
  <w:style w:type="character" w:styleId="73">
    <w:name w:val="footnote reference"/>
    <w:qFormat/>
    <w:uiPriority w:val="99"/>
    <w:rPr>
      <w:vertAlign w:val="superscript"/>
    </w:rPr>
  </w:style>
  <w:style w:type="character" w:styleId="74">
    <w:name w:val="HTML Keyboard"/>
    <w:qFormat/>
    <w:uiPriority w:val="99"/>
    <w:rPr>
      <w:rFonts w:hint="eastAsia" w:ascii="微软雅黑" w:hAnsi="微软雅黑" w:eastAsia="微软雅黑" w:cs="微软雅黑"/>
      <w:sz w:val="20"/>
      <w:szCs w:val="20"/>
    </w:rPr>
  </w:style>
  <w:style w:type="character" w:styleId="75">
    <w:name w:val="HTML Sample"/>
    <w:qFormat/>
    <w:uiPriority w:val="0"/>
    <w:rPr>
      <w:rFonts w:hint="eastAsia" w:ascii="微软雅黑" w:hAnsi="微软雅黑" w:eastAsia="微软雅黑" w:cs="微软雅黑"/>
      <w:szCs w:val="20"/>
    </w:rPr>
  </w:style>
  <w:style w:type="paragraph" w:customStyle="1" w:styleId="76">
    <w:name w:val="[Normal]"/>
    <w:qFormat/>
    <w:uiPriority w:val="0"/>
    <w:rPr>
      <w:rFonts w:ascii="宋体" w:hAnsi="宋体" w:eastAsia="宋体" w:cs="Times New Roman"/>
      <w:sz w:val="24"/>
      <w:szCs w:val="22"/>
      <w:lang w:val="zh-CN" w:eastAsia="zh-CN" w:bidi="ar-SA"/>
    </w:rPr>
  </w:style>
  <w:style w:type="paragraph" w:customStyle="1" w:styleId="77">
    <w:name w:val="Body Text First Indent1"/>
    <w:basedOn w:val="22"/>
    <w:next w:val="46"/>
    <w:qFormat/>
    <w:uiPriority w:val="0"/>
    <w:pPr>
      <w:ind w:firstLine="420" w:firstLineChars="100"/>
    </w:pPr>
    <w:rPr>
      <w:rFonts w:ascii="Calibri" w:hAnsi="Calibri" w:cs="Calibri"/>
      <w:szCs w:val="21"/>
    </w:rPr>
  </w:style>
  <w:style w:type="paragraph" w:customStyle="1" w:styleId="78">
    <w:name w:val="Fließtext"/>
    <w:basedOn w:val="1"/>
    <w:qFormat/>
    <w:uiPriority w:val="0"/>
    <w:pPr>
      <w:overflowPunct w:val="0"/>
      <w:autoSpaceDE w:val="0"/>
      <w:autoSpaceDN w:val="0"/>
      <w:textAlignment w:val="baseline"/>
    </w:pPr>
    <w:rPr>
      <w:rFonts w:cs="宋体"/>
      <w:kern w:val="28"/>
      <w:szCs w:val="20"/>
    </w:rPr>
  </w:style>
  <w:style w:type="character" w:customStyle="1" w:styleId="79">
    <w:name w:val="宏文本 字符"/>
    <w:link w:val="2"/>
    <w:qFormat/>
    <w:uiPriority w:val="0"/>
    <w:rPr>
      <w:rFonts w:ascii="Courier New" w:hAnsi="Courier New"/>
      <w:kern w:val="2"/>
      <w:sz w:val="24"/>
      <w:szCs w:val="24"/>
      <w:lang w:val="en-US" w:eastAsia="zh-CN" w:bidi="ar-SA"/>
    </w:rPr>
  </w:style>
  <w:style w:type="character" w:customStyle="1" w:styleId="80">
    <w:name w:val="标题 1 字符"/>
    <w:link w:val="3"/>
    <w:qFormat/>
    <w:uiPriority w:val="0"/>
    <w:rPr>
      <w:rFonts w:ascii="楷体_GB2312" w:hAnsi="Tahoma" w:eastAsia="楷体_GB2312"/>
      <w:b/>
      <w:bCs/>
      <w:kern w:val="2"/>
      <w:sz w:val="21"/>
      <w:szCs w:val="24"/>
    </w:rPr>
  </w:style>
  <w:style w:type="character" w:customStyle="1" w:styleId="81">
    <w:name w:val="标题 2 字符"/>
    <w:link w:val="4"/>
    <w:qFormat/>
    <w:uiPriority w:val="0"/>
    <w:rPr>
      <w:rFonts w:ascii="Arial" w:hAnsi="Arial" w:eastAsia="黑体"/>
      <w:b/>
      <w:bCs/>
      <w:kern w:val="2"/>
      <w:sz w:val="32"/>
      <w:szCs w:val="32"/>
    </w:rPr>
  </w:style>
  <w:style w:type="character" w:customStyle="1" w:styleId="82">
    <w:name w:val="标题 3 字符"/>
    <w:link w:val="5"/>
    <w:qFormat/>
    <w:uiPriority w:val="0"/>
    <w:rPr>
      <w:b/>
      <w:bCs/>
      <w:kern w:val="2"/>
      <w:sz w:val="32"/>
      <w:szCs w:val="32"/>
    </w:rPr>
  </w:style>
  <w:style w:type="character" w:customStyle="1" w:styleId="83">
    <w:name w:val="标题 4 字符"/>
    <w:link w:val="6"/>
    <w:qFormat/>
    <w:uiPriority w:val="0"/>
    <w:rPr>
      <w:rFonts w:ascii="Cambria" w:hAnsi="Cambria"/>
      <w:b/>
      <w:bCs/>
      <w:kern w:val="2"/>
      <w:sz w:val="28"/>
      <w:szCs w:val="28"/>
    </w:rPr>
  </w:style>
  <w:style w:type="character" w:customStyle="1" w:styleId="84">
    <w:name w:val="标题 5 字符"/>
    <w:link w:val="7"/>
    <w:qFormat/>
    <w:uiPriority w:val="0"/>
    <w:rPr>
      <w:rFonts w:ascii="仿宋_GB2312" w:hAnsi="Tahoma"/>
      <w:b/>
      <w:bCs/>
      <w:kern w:val="2"/>
      <w:sz w:val="28"/>
      <w:szCs w:val="28"/>
    </w:rPr>
  </w:style>
  <w:style w:type="character" w:customStyle="1" w:styleId="85">
    <w:name w:val="标题 6 字符1"/>
    <w:link w:val="8"/>
    <w:qFormat/>
    <w:uiPriority w:val="0"/>
    <w:rPr>
      <w:rFonts w:ascii="Arial" w:hAnsi="Arial" w:eastAsia="黑体"/>
      <w:b/>
      <w:bCs/>
      <w:kern w:val="2"/>
      <w:sz w:val="24"/>
      <w:szCs w:val="24"/>
    </w:rPr>
  </w:style>
  <w:style w:type="character" w:customStyle="1" w:styleId="86">
    <w:name w:val="标题 7 字符"/>
    <w:link w:val="9"/>
    <w:qFormat/>
    <w:uiPriority w:val="0"/>
    <w:rPr>
      <w:rFonts w:ascii="Arial" w:hAnsi="Arial" w:eastAsia="黑体"/>
      <w:b/>
      <w:sz w:val="21"/>
      <w:szCs w:val="21"/>
    </w:rPr>
  </w:style>
  <w:style w:type="character" w:customStyle="1" w:styleId="87">
    <w:name w:val="标题 8 字符"/>
    <w:link w:val="10"/>
    <w:qFormat/>
    <w:uiPriority w:val="0"/>
    <w:rPr>
      <w:rFonts w:ascii="Arial" w:hAnsi="Arial" w:eastAsia="黑体"/>
      <w:b/>
      <w:sz w:val="24"/>
      <w:szCs w:val="32"/>
    </w:rPr>
  </w:style>
  <w:style w:type="character" w:customStyle="1" w:styleId="88">
    <w:name w:val="标题 9 字符"/>
    <w:link w:val="11"/>
    <w:qFormat/>
    <w:uiPriority w:val="0"/>
    <w:rPr>
      <w:rFonts w:ascii="Arial" w:hAnsi="Arial" w:eastAsia="黑体"/>
      <w:b/>
      <w:sz w:val="21"/>
      <w:szCs w:val="32"/>
    </w:rPr>
  </w:style>
  <w:style w:type="character" w:customStyle="1" w:styleId="89">
    <w:name w:val="注释标题 字符"/>
    <w:link w:val="13"/>
    <w:qFormat/>
    <w:uiPriority w:val="0"/>
    <w:rPr>
      <w:rFonts w:eastAsia="黑体"/>
      <w:kern w:val="2"/>
      <w:sz w:val="28"/>
    </w:rPr>
  </w:style>
  <w:style w:type="character" w:customStyle="1" w:styleId="90">
    <w:name w:val="正文缩进 字符1"/>
    <w:link w:val="15"/>
    <w:qFormat/>
    <w:uiPriority w:val="0"/>
    <w:rPr>
      <w:rFonts w:eastAsia="宋体"/>
      <w:sz w:val="21"/>
      <w:lang w:val="en-US" w:eastAsia="zh-CN" w:bidi="ar-SA"/>
    </w:rPr>
  </w:style>
  <w:style w:type="character" w:customStyle="1" w:styleId="91">
    <w:name w:val="题注 字符"/>
    <w:link w:val="16"/>
    <w:qFormat/>
    <w:uiPriority w:val="0"/>
    <w:rPr>
      <w:rFonts w:ascii="Arial" w:hAnsi="Arial" w:eastAsia="黑体" w:cs="Arial"/>
    </w:rPr>
  </w:style>
  <w:style w:type="character" w:customStyle="1" w:styleId="92">
    <w:name w:val="文档结构图 字符"/>
    <w:link w:val="18"/>
    <w:qFormat/>
    <w:uiPriority w:val="0"/>
    <w:rPr>
      <w:kern w:val="2"/>
      <w:sz w:val="21"/>
      <w:szCs w:val="24"/>
      <w:shd w:val="clear" w:color="auto" w:fill="000080"/>
    </w:rPr>
  </w:style>
  <w:style w:type="character" w:customStyle="1" w:styleId="93">
    <w:name w:val="批注文字 字符1"/>
    <w:link w:val="19"/>
    <w:qFormat/>
    <w:uiPriority w:val="0"/>
    <w:rPr>
      <w:kern w:val="2"/>
      <w:sz w:val="21"/>
      <w:szCs w:val="24"/>
    </w:rPr>
  </w:style>
  <w:style w:type="character" w:customStyle="1" w:styleId="94">
    <w:name w:val="称呼 字符"/>
    <w:link w:val="20"/>
    <w:qFormat/>
    <w:uiPriority w:val="0"/>
    <w:rPr>
      <w:szCs w:val="20"/>
    </w:rPr>
  </w:style>
  <w:style w:type="character" w:customStyle="1" w:styleId="95">
    <w:name w:val="正文文本 3 字符"/>
    <w:link w:val="21"/>
    <w:qFormat/>
    <w:uiPriority w:val="0"/>
    <w:rPr>
      <w:szCs w:val="20"/>
    </w:rPr>
  </w:style>
  <w:style w:type="character" w:customStyle="1" w:styleId="96">
    <w:name w:val="正文文本 字符1"/>
    <w:link w:val="22"/>
    <w:qFormat/>
    <w:uiPriority w:val="0"/>
    <w:rPr>
      <w:rFonts w:ascii="Tahoma" w:hAnsi="Tahoma"/>
      <w:kern w:val="2"/>
      <w:sz w:val="21"/>
      <w:szCs w:val="24"/>
    </w:rPr>
  </w:style>
  <w:style w:type="character" w:customStyle="1" w:styleId="97">
    <w:name w:val="正文文本首行缩进 字符"/>
    <w:link w:val="55"/>
    <w:qFormat/>
    <w:uiPriority w:val="0"/>
    <w:rPr>
      <w:rFonts w:ascii="仿宋_GB2312"/>
      <w:b/>
      <w:sz w:val="32"/>
      <w:szCs w:val="32"/>
    </w:rPr>
  </w:style>
  <w:style w:type="character" w:customStyle="1" w:styleId="98">
    <w:name w:val="正文文本缩进 字符"/>
    <w:link w:val="23"/>
    <w:qFormat/>
    <w:uiPriority w:val="0"/>
    <w:rPr>
      <w:rFonts w:ascii="宋体" w:hAnsi="宋体"/>
      <w:kern w:val="2"/>
      <w:sz w:val="24"/>
    </w:rPr>
  </w:style>
  <w:style w:type="character" w:customStyle="1" w:styleId="99">
    <w:name w:val="纯文本 字符"/>
    <w:link w:val="29"/>
    <w:qFormat/>
    <w:uiPriority w:val="0"/>
    <w:rPr>
      <w:rFonts w:ascii="宋体" w:hAnsi="Courier New" w:eastAsia="宋体"/>
      <w:kern w:val="2"/>
      <w:sz w:val="21"/>
      <w:lang w:val="en-US" w:eastAsia="zh-CN" w:bidi="ar-SA"/>
    </w:rPr>
  </w:style>
  <w:style w:type="character" w:customStyle="1" w:styleId="100">
    <w:name w:val="日期 字符"/>
    <w:link w:val="33"/>
    <w:qFormat/>
    <w:uiPriority w:val="99"/>
    <w:rPr>
      <w:spacing w:val="12"/>
      <w:kern w:val="2"/>
      <w:sz w:val="24"/>
    </w:rPr>
  </w:style>
  <w:style w:type="character" w:customStyle="1" w:styleId="101">
    <w:name w:val="正文文本缩进 2 字符"/>
    <w:link w:val="34"/>
    <w:qFormat/>
    <w:uiPriority w:val="0"/>
    <w:rPr>
      <w:kern w:val="2"/>
      <w:sz w:val="21"/>
      <w:szCs w:val="24"/>
    </w:rPr>
  </w:style>
  <w:style w:type="character" w:customStyle="1" w:styleId="102">
    <w:name w:val="尾注文本 字符"/>
    <w:link w:val="35"/>
    <w:qFormat/>
    <w:uiPriority w:val="0"/>
    <w:rPr>
      <w:kern w:val="2"/>
      <w:sz w:val="24"/>
      <w:szCs w:val="24"/>
    </w:rPr>
  </w:style>
  <w:style w:type="character" w:customStyle="1" w:styleId="103">
    <w:name w:val="批注框文本 字符"/>
    <w:link w:val="36"/>
    <w:qFormat/>
    <w:uiPriority w:val="99"/>
    <w:rPr>
      <w:kern w:val="2"/>
      <w:sz w:val="18"/>
      <w:szCs w:val="18"/>
    </w:rPr>
  </w:style>
  <w:style w:type="character" w:customStyle="1" w:styleId="104">
    <w:name w:val="页脚 字符"/>
    <w:link w:val="37"/>
    <w:qFormat/>
    <w:uiPriority w:val="0"/>
    <w:rPr>
      <w:kern w:val="2"/>
      <w:sz w:val="18"/>
      <w:szCs w:val="18"/>
    </w:rPr>
  </w:style>
  <w:style w:type="character" w:customStyle="1" w:styleId="105">
    <w:name w:val="页眉 字符"/>
    <w:link w:val="38"/>
    <w:qFormat/>
    <w:uiPriority w:val="0"/>
    <w:rPr>
      <w:kern w:val="2"/>
      <w:sz w:val="18"/>
      <w:szCs w:val="18"/>
    </w:rPr>
  </w:style>
  <w:style w:type="character" w:customStyle="1" w:styleId="106">
    <w:name w:val="签名 字符"/>
    <w:link w:val="39"/>
    <w:qFormat/>
    <w:uiPriority w:val="0"/>
    <w:rPr>
      <w:rFonts w:ascii="Tahoma" w:hAnsi="Tahoma" w:eastAsia="仿宋_GB2312"/>
      <w:sz w:val="24"/>
      <w:szCs w:val="20"/>
    </w:rPr>
  </w:style>
  <w:style w:type="character" w:customStyle="1" w:styleId="107">
    <w:name w:val="副标题 字符"/>
    <w:link w:val="42"/>
    <w:qFormat/>
    <w:uiPriority w:val="0"/>
    <w:rPr>
      <w:rFonts w:ascii="Cambria" w:hAnsi="Cambria"/>
      <w:b/>
      <w:bCs/>
      <w:kern w:val="28"/>
      <w:sz w:val="32"/>
      <w:szCs w:val="32"/>
    </w:rPr>
  </w:style>
  <w:style w:type="character" w:customStyle="1" w:styleId="108">
    <w:name w:val="脚注文本 字符"/>
    <w:link w:val="45"/>
    <w:qFormat/>
    <w:uiPriority w:val="99"/>
    <w:rPr>
      <w:kern w:val="2"/>
      <w:sz w:val="18"/>
      <w:szCs w:val="18"/>
    </w:rPr>
  </w:style>
  <w:style w:type="character" w:customStyle="1" w:styleId="109">
    <w:name w:val="正文文本缩进 3 字符"/>
    <w:link w:val="47"/>
    <w:qFormat/>
    <w:uiPriority w:val="99"/>
    <w:rPr>
      <w:kern w:val="2"/>
      <w:sz w:val="16"/>
      <w:szCs w:val="16"/>
    </w:rPr>
  </w:style>
  <w:style w:type="character" w:customStyle="1" w:styleId="110">
    <w:name w:val="正文文本 2 字符"/>
    <w:link w:val="49"/>
    <w:qFormat/>
    <w:uiPriority w:val="0"/>
    <w:rPr>
      <w:szCs w:val="20"/>
    </w:rPr>
  </w:style>
  <w:style w:type="character" w:customStyle="1" w:styleId="111">
    <w:name w:val="HTML 预设格式 字符"/>
    <w:link w:val="50"/>
    <w:qFormat/>
    <w:uiPriority w:val="0"/>
    <w:rPr>
      <w:rFonts w:ascii="微软雅黑" w:hAnsi="微软雅黑" w:eastAsia="微软雅黑"/>
      <w:sz w:val="24"/>
      <w:szCs w:val="24"/>
    </w:rPr>
  </w:style>
  <w:style w:type="character" w:customStyle="1" w:styleId="112">
    <w:name w:val="普通(网站) 字符"/>
    <w:link w:val="51"/>
    <w:qFormat/>
    <w:uiPriority w:val="99"/>
    <w:rPr>
      <w:rFonts w:ascii="宋体" w:hAnsi="宋体"/>
      <w:color w:val="000000"/>
      <w:sz w:val="24"/>
      <w:szCs w:val="24"/>
    </w:rPr>
  </w:style>
  <w:style w:type="character" w:customStyle="1" w:styleId="113">
    <w:name w:val="标题 字符"/>
    <w:link w:val="53"/>
    <w:qFormat/>
    <w:uiPriority w:val="0"/>
    <w:rPr>
      <w:rFonts w:ascii="Cambria" w:hAnsi="Cambria"/>
      <w:b/>
      <w:bCs/>
      <w:sz w:val="32"/>
      <w:szCs w:val="32"/>
    </w:rPr>
  </w:style>
  <w:style w:type="character" w:customStyle="1" w:styleId="114">
    <w:name w:val="批注主题 字符"/>
    <w:link w:val="54"/>
    <w:qFormat/>
    <w:uiPriority w:val="0"/>
    <w:rPr>
      <w:b/>
      <w:bCs/>
      <w:kern w:val="2"/>
      <w:sz w:val="21"/>
      <w:szCs w:val="24"/>
    </w:rPr>
  </w:style>
  <w:style w:type="character" w:customStyle="1" w:styleId="115">
    <w:name w:val="正文文本首行缩进 2 字符"/>
    <w:link w:val="56"/>
    <w:qFormat/>
    <w:uiPriority w:val="0"/>
    <w:rPr>
      <w:rFonts w:ascii="宋体" w:hAnsi="宋体"/>
      <w:kern w:val="2"/>
      <w:sz w:val="24"/>
      <w:szCs w:val="24"/>
    </w:rPr>
  </w:style>
  <w:style w:type="character" w:customStyle="1" w:styleId="116">
    <w:name w:val="标题 Char"/>
    <w:qFormat/>
    <w:uiPriority w:val="0"/>
    <w:rPr>
      <w:rFonts w:ascii="宋体,Verdana,Arial" w:hAnsi="宋体,Verdana,Arial" w:eastAsia="Cambria"/>
      <w:b/>
      <w:bCs/>
      <w:sz w:val="32"/>
      <w:szCs w:val="32"/>
    </w:rPr>
  </w:style>
  <w:style w:type="character" w:customStyle="1" w:styleId="117">
    <w:name w:val="正文居中 Char Char"/>
    <w:qFormat/>
    <w:uiPriority w:val="0"/>
    <w:rPr>
      <w:kern w:val="2"/>
      <w:sz w:val="21"/>
      <w:szCs w:val="24"/>
    </w:rPr>
  </w:style>
  <w:style w:type="character" w:customStyle="1" w:styleId="118">
    <w:name w:val="样式1 Char"/>
    <w:link w:val="119"/>
    <w:qFormat/>
    <w:uiPriority w:val="0"/>
    <w:rPr>
      <w:rFonts w:ascii="宋体" w:hAnsi="宋体"/>
      <w:kern w:val="2"/>
      <w:sz w:val="21"/>
      <w:szCs w:val="21"/>
    </w:rPr>
  </w:style>
  <w:style w:type="paragraph" w:customStyle="1" w:styleId="119">
    <w:name w:val="样式1"/>
    <w:basedOn w:val="1"/>
    <w:next w:val="6"/>
    <w:link w:val="118"/>
    <w:qFormat/>
    <w:uiPriority w:val="0"/>
    <w:pPr>
      <w:spacing w:line="360" w:lineRule="auto"/>
      <w:ind w:firstLine="420" w:firstLineChars="200"/>
    </w:pPr>
    <w:rPr>
      <w:rFonts w:ascii="宋体" w:hAnsi="宋体"/>
      <w:szCs w:val="21"/>
    </w:rPr>
  </w:style>
  <w:style w:type="character" w:customStyle="1" w:styleId="120">
    <w:name w:val="font21"/>
    <w:basedOn w:val="59"/>
    <w:qFormat/>
    <w:uiPriority w:val="0"/>
    <w:rPr>
      <w:rFonts w:hint="default" w:ascii="Times New Roman" w:hAnsi="Times New Roman" w:cs="Times New Roman"/>
      <w:color w:val="000000"/>
      <w:sz w:val="20"/>
      <w:szCs w:val="20"/>
      <w:u w:val="none"/>
    </w:rPr>
  </w:style>
  <w:style w:type="character" w:customStyle="1" w:styleId="121">
    <w:name w:val="正文首行缩进 2 Char3"/>
    <w:qFormat/>
    <w:uiPriority w:val="99"/>
  </w:style>
  <w:style w:type="character" w:customStyle="1" w:styleId="122">
    <w:name w:val="正文文本缩进 Char1"/>
    <w:qFormat/>
    <w:uiPriority w:val="99"/>
    <w:rPr>
      <w:kern w:val="2"/>
      <w:sz w:val="21"/>
      <w:szCs w:val="24"/>
    </w:rPr>
  </w:style>
  <w:style w:type="character" w:customStyle="1" w:styleId="123">
    <w:name w:val="正文缩进 字符"/>
    <w:qFormat/>
    <w:uiPriority w:val="0"/>
    <w:rPr>
      <w:rFonts w:eastAsia="宋体"/>
      <w:sz w:val="21"/>
      <w:lang w:val="en-US" w:eastAsia="zh-CN" w:bidi="ar-SA"/>
    </w:rPr>
  </w:style>
  <w:style w:type="character" w:customStyle="1" w:styleId="124">
    <w:name w:val="Char Char Char Char Char Char Char Char Char"/>
    <w:qFormat/>
    <w:uiPriority w:val="0"/>
    <w:rPr>
      <w:rFonts w:ascii="宋体" w:hAnsi="Courier New" w:eastAsia="宋体"/>
      <w:b/>
      <w:sz w:val="21"/>
      <w:szCs w:val="21"/>
      <w:lang w:val="en-US" w:eastAsia="zh-CN" w:bidi="ar-SA"/>
    </w:rPr>
  </w:style>
  <w:style w:type="character" w:customStyle="1" w:styleId="125">
    <w:name w:val="pages"/>
    <w:qFormat/>
    <w:uiPriority w:val="0"/>
    <w:rPr>
      <w:color w:val="999999"/>
      <w:szCs w:val="20"/>
    </w:rPr>
  </w:style>
  <w:style w:type="character" w:customStyle="1" w:styleId="126">
    <w:name w:val="update"/>
    <w:qFormat/>
    <w:uiPriority w:val="0"/>
    <w:rPr>
      <w:szCs w:val="20"/>
    </w:rPr>
  </w:style>
  <w:style w:type="character" w:customStyle="1" w:styleId="127">
    <w:name w:val="Char Char19"/>
    <w:qFormat/>
    <w:uiPriority w:val="0"/>
    <w:rPr>
      <w:rFonts w:ascii="Cambria" w:hAnsi="Cambria" w:eastAsia="仿宋_GB2312"/>
      <w:b/>
      <w:bCs/>
      <w:kern w:val="2"/>
      <w:sz w:val="32"/>
      <w:szCs w:val="32"/>
    </w:rPr>
  </w:style>
  <w:style w:type="character" w:customStyle="1" w:styleId="128">
    <w:name w:val="批注文字 字符"/>
    <w:qFormat/>
    <w:uiPriority w:val="0"/>
    <w:rPr>
      <w:rFonts w:eastAsia="宋体"/>
      <w:kern w:val="2"/>
      <w:sz w:val="36"/>
      <w:szCs w:val="24"/>
      <w:lang w:val="en-US" w:eastAsia="zh-CN" w:bidi="ar-SA"/>
    </w:rPr>
  </w:style>
  <w:style w:type="character" w:customStyle="1" w:styleId="129">
    <w:name w:val="Footer-Even Char"/>
    <w:qFormat/>
    <w:uiPriority w:val="0"/>
    <w:rPr>
      <w:rFonts w:ascii="仿宋_GB2312" w:eastAsia="仿宋_GB2312"/>
      <w:b/>
      <w:sz w:val="18"/>
      <w:szCs w:val="18"/>
    </w:rPr>
  </w:style>
  <w:style w:type="character" w:customStyle="1" w:styleId="130">
    <w:name w:val="fr"/>
    <w:qFormat/>
    <w:uiPriority w:val="0"/>
    <w:rPr>
      <w:szCs w:val="20"/>
    </w:rPr>
  </w:style>
  <w:style w:type="character" w:customStyle="1" w:styleId="131">
    <w:name w:val="style21"/>
    <w:qFormat/>
    <w:uiPriority w:val="0"/>
    <w:rPr>
      <w:rFonts w:ascii="仿宋_GB2312" w:eastAsia="仿宋_GB2312"/>
      <w:b/>
      <w:sz w:val="15"/>
      <w:szCs w:val="15"/>
    </w:rPr>
  </w:style>
  <w:style w:type="character" w:customStyle="1" w:styleId="132">
    <w:name w:val="正文2 Char"/>
    <w:link w:val="133"/>
    <w:qFormat/>
    <w:uiPriority w:val="0"/>
    <w:rPr>
      <w:sz w:val="24"/>
    </w:rPr>
  </w:style>
  <w:style w:type="paragraph" w:customStyle="1" w:styleId="133">
    <w:name w:val="正文2"/>
    <w:basedOn w:val="1"/>
    <w:link w:val="132"/>
    <w:qFormat/>
    <w:uiPriority w:val="0"/>
    <w:pPr>
      <w:autoSpaceDE w:val="0"/>
      <w:autoSpaceDN w:val="0"/>
      <w:adjustRightInd w:val="0"/>
      <w:spacing w:before="156" w:line="360" w:lineRule="auto"/>
      <w:ind w:firstLine="510" w:firstLineChars="200"/>
      <w:jc w:val="left"/>
    </w:pPr>
    <w:rPr>
      <w:kern w:val="0"/>
      <w:sz w:val="24"/>
      <w:szCs w:val="20"/>
    </w:rPr>
  </w:style>
  <w:style w:type="character" w:customStyle="1" w:styleId="134">
    <w:name w:val="doc1"/>
    <w:qFormat/>
    <w:uiPriority w:val="0"/>
    <w:rPr>
      <w:szCs w:val="20"/>
    </w:rPr>
  </w:style>
  <w:style w:type="character" w:customStyle="1" w:styleId="135">
    <w:name w:val="heading 5 Char2"/>
    <w:qFormat/>
    <w:uiPriority w:val="0"/>
    <w:rPr>
      <w:rFonts w:ascii="仿宋_GB2312" w:eastAsia="仿宋_GB2312"/>
      <w:b/>
      <w:bCs/>
      <w:kern w:val="2"/>
      <w:sz w:val="28"/>
      <w:szCs w:val="28"/>
    </w:rPr>
  </w:style>
  <w:style w:type="character" w:customStyle="1" w:styleId="136">
    <w:name w:val="标题 4 Char1"/>
    <w:qFormat/>
    <w:uiPriority w:val="0"/>
    <w:rPr>
      <w:rFonts w:ascii="Cambria" w:hAnsi="Cambria"/>
      <w:b/>
      <w:bCs/>
      <w:kern w:val="2"/>
      <w:sz w:val="28"/>
      <w:szCs w:val="28"/>
    </w:rPr>
  </w:style>
  <w:style w:type="character" w:customStyle="1" w:styleId="137">
    <w:name w:val="pt141"/>
    <w:qFormat/>
    <w:uiPriority w:val="0"/>
    <w:rPr>
      <w:rFonts w:ascii="仿宋_GB2312" w:eastAsia="仿宋_GB2312"/>
      <w:b/>
      <w:color w:val="330066"/>
      <w:spacing w:val="450"/>
      <w:sz w:val="22"/>
      <w:szCs w:val="22"/>
    </w:rPr>
  </w:style>
  <w:style w:type="character" w:customStyle="1" w:styleId="138">
    <w:name w:val="authcode"/>
    <w:qFormat/>
    <w:uiPriority w:val="0"/>
    <w:rPr>
      <w:szCs w:val="20"/>
    </w:rPr>
  </w:style>
  <w:style w:type="character" w:customStyle="1" w:styleId="139">
    <w:name w:val="样式2 Char"/>
    <w:qFormat/>
    <w:uiPriority w:val="0"/>
    <w:rPr>
      <w:rFonts w:ascii="Arial" w:hAnsi="Arial" w:eastAsia="黑体"/>
      <w:b/>
      <w:bCs/>
      <w:sz w:val="36"/>
      <w:szCs w:val="32"/>
    </w:rPr>
  </w:style>
  <w:style w:type="character" w:customStyle="1" w:styleId="140">
    <w:name w:val="题注 Char"/>
    <w:qFormat/>
    <w:uiPriority w:val="0"/>
    <w:rPr>
      <w:rFonts w:ascii="Arial" w:hAnsi="Arial" w:eastAsia="黑体" w:cs="Arial"/>
    </w:rPr>
  </w:style>
  <w:style w:type="character" w:customStyle="1" w:styleId="141">
    <w:name w:val="heading 4 Char1"/>
    <w:qFormat/>
    <w:uiPriority w:val="0"/>
    <w:rPr>
      <w:rFonts w:ascii="Cambria" w:hAnsi="Cambria" w:eastAsia="宋体"/>
      <w:b/>
      <w:bCs/>
      <w:kern w:val="2"/>
      <w:sz w:val="28"/>
      <w:szCs w:val="28"/>
      <w:lang w:val="en-US" w:eastAsia="zh-CN" w:bidi="ar-SA"/>
    </w:rPr>
  </w:style>
  <w:style w:type="character" w:customStyle="1" w:styleId="142">
    <w:name w:val="Heading 2 Hidden Char1 Char"/>
    <w:qFormat/>
    <w:uiPriority w:val="0"/>
    <w:rPr>
      <w:rFonts w:ascii="宋体" w:hAnsi="Times New Roman" w:eastAsia="宋体" w:cs="Times New Roman"/>
      <w:kern w:val="0"/>
      <w:sz w:val="24"/>
      <w:szCs w:val="24"/>
    </w:rPr>
  </w:style>
  <w:style w:type="character" w:customStyle="1" w:styleId="143">
    <w:name w:val="编号正文缩进 Char Char"/>
    <w:qFormat/>
    <w:uiPriority w:val="0"/>
    <w:rPr>
      <w:sz w:val="24"/>
    </w:rPr>
  </w:style>
  <w:style w:type="character" w:customStyle="1" w:styleId="144">
    <w:name w:val="heading 5 Char1"/>
    <w:qFormat/>
    <w:uiPriority w:val="0"/>
    <w:rPr>
      <w:rFonts w:ascii="仿宋_GB2312" w:eastAsia="宋体"/>
      <w:b/>
      <w:bCs/>
      <w:kern w:val="2"/>
      <w:sz w:val="28"/>
      <w:szCs w:val="28"/>
      <w:lang w:val="en-US" w:eastAsia="zh-CN" w:bidi="ar-SA"/>
    </w:rPr>
  </w:style>
  <w:style w:type="character" w:customStyle="1" w:styleId="145">
    <w:name w:val="正文文本 Char Char"/>
    <w:qFormat/>
    <w:uiPriority w:val="0"/>
    <w:rPr>
      <w:rFonts w:ascii="Times New Roman" w:hAnsi="Times New Roman"/>
      <w:kern w:val="2"/>
      <w:sz w:val="21"/>
      <w:szCs w:val="24"/>
    </w:rPr>
  </w:style>
  <w:style w:type="character" w:customStyle="1" w:styleId="146">
    <w:name w:val="Char Char20"/>
    <w:qFormat/>
    <w:uiPriority w:val="0"/>
    <w:rPr>
      <w:rFonts w:ascii="仿宋_GB2312" w:eastAsia="仿宋_GB2312"/>
      <w:b/>
      <w:bCs/>
      <w:kern w:val="44"/>
      <w:sz w:val="44"/>
      <w:szCs w:val="44"/>
    </w:rPr>
  </w:style>
  <w:style w:type="character" w:customStyle="1" w:styleId="147">
    <w:name w:val="段落 Char"/>
    <w:link w:val="148"/>
    <w:qFormat/>
    <w:uiPriority w:val="0"/>
    <w:rPr>
      <w:kern w:val="2"/>
    </w:rPr>
  </w:style>
  <w:style w:type="paragraph" w:customStyle="1" w:styleId="148">
    <w:name w:val="段落"/>
    <w:basedOn w:val="1"/>
    <w:link w:val="147"/>
    <w:qFormat/>
    <w:uiPriority w:val="0"/>
    <w:pPr>
      <w:spacing w:line="360" w:lineRule="auto"/>
      <w:ind w:firstLine="200" w:firstLineChars="200"/>
    </w:pPr>
    <w:rPr>
      <w:sz w:val="20"/>
      <w:szCs w:val="20"/>
    </w:rPr>
  </w:style>
  <w:style w:type="character" w:customStyle="1" w:styleId="149">
    <w:name w:val="批注主题 Char"/>
    <w:qFormat/>
    <w:uiPriority w:val="99"/>
    <w:rPr>
      <w:rFonts w:eastAsia="宋体"/>
      <w:b/>
      <w:bCs/>
      <w:kern w:val="2"/>
      <w:sz w:val="21"/>
      <w:szCs w:val="24"/>
      <w:lang w:val="en-US" w:eastAsia="zh-CN" w:bidi="ar-SA"/>
    </w:rPr>
  </w:style>
  <w:style w:type="character" w:customStyle="1" w:styleId="150">
    <w:name w:val="正文文本 3 Char"/>
    <w:qFormat/>
    <w:uiPriority w:val="0"/>
  </w:style>
  <w:style w:type="character" w:customStyle="1" w:styleId="151">
    <w:name w:val="样式 样式 正文首行缩进 + 首行缩进:  2 字符 + 首行缩进:  2 字符 Char"/>
    <w:link w:val="152"/>
    <w:qFormat/>
    <w:uiPriority w:val="0"/>
    <w:rPr>
      <w:rFonts w:cs="宋体"/>
      <w:kern w:val="2"/>
      <w:sz w:val="24"/>
    </w:rPr>
  </w:style>
  <w:style w:type="paragraph" w:customStyle="1" w:styleId="152">
    <w:name w:val="样式 样式 正文首行缩进 + 首行缩进:  2 字符 + 首行缩进:  2 字符"/>
    <w:basedOn w:val="1"/>
    <w:link w:val="151"/>
    <w:qFormat/>
    <w:uiPriority w:val="0"/>
    <w:pPr>
      <w:spacing w:line="440" w:lineRule="exact"/>
      <w:ind w:firstLine="200" w:firstLineChars="200"/>
    </w:pPr>
    <w:rPr>
      <w:sz w:val="24"/>
      <w:szCs w:val="20"/>
    </w:rPr>
  </w:style>
  <w:style w:type="character" w:customStyle="1" w:styleId="153">
    <w:name w:val="页脚 Char"/>
    <w:qFormat/>
    <w:uiPriority w:val="99"/>
    <w:rPr>
      <w:rFonts w:eastAsia="仿宋_GB2312"/>
      <w:kern w:val="2"/>
      <w:sz w:val="18"/>
      <w:szCs w:val="18"/>
      <w:lang w:val="en-US" w:eastAsia="zh-CN" w:bidi="ar-SA"/>
    </w:rPr>
  </w:style>
  <w:style w:type="character" w:customStyle="1" w:styleId="154">
    <w:name w:val="标题 Char1"/>
    <w:qFormat/>
    <w:uiPriority w:val="0"/>
    <w:rPr>
      <w:rFonts w:ascii="Cambria" w:hAnsi="Cambria" w:cs="Times New Roman"/>
      <w:b/>
      <w:bCs/>
      <w:kern w:val="2"/>
      <w:sz w:val="32"/>
      <w:szCs w:val="32"/>
    </w:rPr>
  </w:style>
  <w:style w:type="character" w:customStyle="1" w:styleId="155">
    <w:name w:val="Char Char18"/>
    <w:qFormat/>
    <w:uiPriority w:val="0"/>
    <w:rPr>
      <w:rFonts w:ascii="仿宋_GB2312" w:eastAsia="仿宋_GB2312"/>
      <w:b/>
      <w:bCs/>
      <w:kern w:val="2"/>
      <w:sz w:val="32"/>
      <w:szCs w:val="32"/>
    </w:rPr>
  </w:style>
  <w:style w:type="character" w:customStyle="1" w:styleId="156">
    <w:name w:val="表格 Char"/>
    <w:qFormat/>
    <w:uiPriority w:val="0"/>
    <w:rPr>
      <w:rFonts w:ascii="Calibri" w:hAnsi="Calibri" w:cs="黑体"/>
      <w:kern w:val="2"/>
      <w:sz w:val="21"/>
      <w:szCs w:val="21"/>
    </w:rPr>
  </w:style>
  <w:style w:type="character" w:customStyle="1" w:styleId="157">
    <w:name w:val="样式 宋体1"/>
    <w:qFormat/>
    <w:uiPriority w:val="0"/>
    <w:rPr>
      <w:rFonts w:ascii="宋体" w:hAnsi="宋体" w:eastAsia="宋体"/>
      <w:sz w:val="24"/>
    </w:rPr>
  </w:style>
  <w:style w:type="character" w:customStyle="1" w:styleId="158">
    <w:name w:val="引用 Char1"/>
    <w:qFormat/>
    <w:uiPriority w:val="99"/>
    <w:rPr>
      <w:rFonts w:ascii="Tahoma" w:hAnsi="Tahoma"/>
      <w:i/>
      <w:iCs/>
      <w:color w:val="000000"/>
      <w:kern w:val="2"/>
      <w:sz w:val="21"/>
      <w:szCs w:val="24"/>
    </w:rPr>
  </w:style>
  <w:style w:type="character" w:customStyle="1" w:styleId="159">
    <w:name w:val="正文缩进 Char1"/>
    <w:qFormat/>
    <w:uiPriority w:val="0"/>
    <w:rPr>
      <w:sz w:val="21"/>
    </w:rPr>
  </w:style>
  <w:style w:type="character" w:customStyle="1" w:styleId="160">
    <w:name w:val="普通(网站) Char"/>
    <w:qFormat/>
    <w:uiPriority w:val="99"/>
    <w:rPr>
      <w:rFonts w:ascii="宋体" w:hAnsi="宋体"/>
      <w:color w:val="000000"/>
      <w:sz w:val="24"/>
      <w:szCs w:val="24"/>
    </w:rPr>
  </w:style>
  <w:style w:type="character" w:customStyle="1" w:styleId="161">
    <w:name w:val="Char Char17"/>
    <w:qFormat/>
    <w:uiPriority w:val="0"/>
    <w:rPr>
      <w:rFonts w:ascii="Cambria" w:hAnsi="Cambria" w:eastAsia="仿宋_GB2312"/>
      <w:b/>
      <w:bCs/>
      <w:kern w:val="2"/>
      <w:sz w:val="28"/>
      <w:szCs w:val="28"/>
    </w:rPr>
  </w:style>
  <w:style w:type="character" w:customStyle="1" w:styleId="162">
    <w:name w:val="文档结构图 Char"/>
    <w:qFormat/>
    <w:uiPriority w:val="99"/>
    <w:rPr>
      <w:rFonts w:eastAsia="宋体"/>
      <w:kern w:val="2"/>
      <w:sz w:val="21"/>
      <w:szCs w:val="24"/>
      <w:lang w:val="en-US" w:eastAsia="zh-CN" w:bidi="ar-SA"/>
    </w:rPr>
  </w:style>
  <w:style w:type="character" w:customStyle="1" w:styleId="163">
    <w:name w:val="表格标题 Char Char"/>
    <w:qFormat/>
    <w:uiPriority w:val="0"/>
    <w:rPr>
      <w:rFonts w:ascii="黑体" w:hAnsi="黑体" w:eastAsia="黑体"/>
      <w:b/>
      <w:color w:val="FFFFFF"/>
      <w:kern w:val="2"/>
      <w:sz w:val="21"/>
      <w:szCs w:val="24"/>
    </w:rPr>
  </w:style>
  <w:style w:type="character" w:customStyle="1" w:styleId="164">
    <w:name w:val="heading 6 Char1"/>
    <w:qFormat/>
    <w:uiPriority w:val="0"/>
    <w:rPr>
      <w:rFonts w:ascii="Arial" w:hAnsi="Arial" w:eastAsia="黑体"/>
      <w:b/>
      <w:kern w:val="2"/>
      <w:sz w:val="24"/>
      <w:szCs w:val="24"/>
      <w:lang w:val="en-US" w:eastAsia="zh-CN" w:bidi="ar-SA"/>
    </w:rPr>
  </w:style>
  <w:style w:type="character" w:customStyle="1" w:styleId="165">
    <w:name w:val="样式2 Char Char"/>
    <w:link w:val="166"/>
    <w:qFormat/>
    <w:uiPriority w:val="0"/>
    <w:rPr>
      <w:rFonts w:ascii="宋体" w:hAnsi="宋体"/>
      <w:b/>
      <w:bCs/>
      <w:kern w:val="2"/>
      <w:sz w:val="28"/>
      <w:szCs w:val="28"/>
    </w:rPr>
  </w:style>
  <w:style w:type="paragraph" w:customStyle="1" w:styleId="166">
    <w:name w:val="样式2"/>
    <w:basedOn w:val="4"/>
    <w:link w:val="165"/>
    <w:qFormat/>
    <w:uiPriority w:val="0"/>
    <w:pPr>
      <w:snapToGrid w:val="0"/>
      <w:spacing w:afterLines="50" w:line="480" w:lineRule="exact"/>
      <w:ind w:firstLine="556"/>
    </w:pPr>
    <w:rPr>
      <w:rFonts w:ascii="宋体" w:hAnsi="宋体" w:eastAsia="宋体"/>
      <w:sz w:val="28"/>
      <w:szCs w:val="28"/>
    </w:rPr>
  </w:style>
  <w:style w:type="character" w:customStyle="1" w:styleId="167">
    <w:name w:val="3级 Char"/>
    <w:link w:val="168"/>
    <w:qFormat/>
    <w:uiPriority w:val="0"/>
    <w:rPr>
      <w:rFonts w:ascii="Calibri" w:hAnsi="Calibri"/>
      <w:b/>
      <w:bCs/>
      <w:sz w:val="28"/>
      <w:szCs w:val="32"/>
    </w:rPr>
  </w:style>
  <w:style w:type="paragraph" w:customStyle="1" w:styleId="168">
    <w:name w:val="3级"/>
    <w:basedOn w:val="5"/>
    <w:next w:val="55"/>
    <w:link w:val="167"/>
    <w:qFormat/>
    <w:uiPriority w:val="0"/>
    <w:pPr>
      <w:spacing w:line="416" w:lineRule="auto"/>
      <w:ind w:right="100" w:rightChars="100"/>
    </w:pPr>
    <w:rPr>
      <w:rFonts w:ascii="Calibri" w:hAnsi="Calibri"/>
      <w:kern w:val="0"/>
      <w:sz w:val="28"/>
    </w:rPr>
  </w:style>
  <w:style w:type="character" w:customStyle="1" w:styleId="169">
    <w:name w:val="正文文本缩进 3 Char"/>
    <w:qFormat/>
    <w:uiPriority w:val="99"/>
    <w:rPr>
      <w:kern w:val="2"/>
      <w:sz w:val="16"/>
      <w:szCs w:val="16"/>
    </w:rPr>
  </w:style>
  <w:style w:type="character" w:customStyle="1" w:styleId="170">
    <w:name w:val="标题 6 字符"/>
    <w:qFormat/>
    <w:uiPriority w:val="0"/>
    <w:rPr>
      <w:rFonts w:ascii="黑体" w:hAnsi="黑体" w:eastAsia="黑体" w:cs="黑体"/>
      <w:b/>
      <w:bCs/>
      <w:kern w:val="2"/>
      <w:sz w:val="24"/>
      <w:szCs w:val="28"/>
    </w:rPr>
  </w:style>
  <w:style w:type="character" w:customStyle="1" w:styleId="171">
    <w:name w:val="Plain Text Char"/>
    <w:qFormat/>
    <w:uiPriority w:val="0"/>
    <w:rPr>
      <w:rFonts w:ascii="宋体" w:hAnsi="Courier New" w:eastAsia="宋体" w:cs="Times New Roman"/>
      <w:sz w:val="21"/>
      <w:szCs w:val="21"/>
    </w:rPr>
  </w:style>
  <w:style w:type="character" w:customStyle="1" w:styleId="172">
    <w:name w:val="日期 Char2"/>
    <w:qFormat/>
    <w:uiPriority w:val="99"/>
    <w:rPr>
      <w:kern w:val="2"/>
      <w:sz w:val="21"/>
      <w:szCs w:val="24"/>
    </w:rPr>
  </w:style>
  <w:style w:type="character" w:customStyle="1" w:styleId="173">
    <w:name w:val="box-header-con"/>
    <w:qFormat/>
    <w:uiPriority w:val="0"/>
  </w:style>
  <w:style w:type="character" w:customStyle="1" w:styleId="174">
    <w:name w:val="批注文字 Char1"/>
    <w:qFormat/>
    <w:uiPriority w:val="0"/>
    <w:rPr>
      <w:kern w:val="2"/>
      <w:sz w:val="21"/>
      <w:szCs w:val="24"/>
    </w:rPr>
  </w:style>
  <w:style w:type="character" w:customStyle="1" w:styleId="175">
    <w:name w:val="Char Char6"/>
    <w:qFormat/>
    <w:uiPriority w:val="0"/>
    <w:rPr>
      <w:rFonts w:ascii="Times New Roman" w:hAnsi="Times New Roman" w:eastAsia="宋体" w:cs="Times New Roman"/>
      <w:szCs w:val="24"/>
    </w:rPr>
  </w:style>
  <w:style w:type="character" w:customStyle="1" w:styleId="176">
    <w:name w:val="样式 样式 四号 首行缩进:  0.74 厘米 行距: 1.5 倍行距 + 宋体 四号 行距: 1.5 倍行距 Char"/>
    <w:link w:val="177"/>
    <w:qFormat/>
    <w:uiPriority w:val="0"/>
    <w:rPr>
      <w:rFonts w:ascii="宋体" w:hAnsi="宋体" w:cs="宋体"/>
      <w:kern w:val="2"/>
      <w:sz w:val="28"/>
    </w:rPr>
  </w:style>
  <w:style w:type="paragraph" w:customStyle="1" w:styleId="177">
    <w:name w:val="样式 样式 四号 首行缩进:  0.74 厘米 行距: 1.5 倍行距 + 宋体 四号 行距: 1.5 倍行距"/>
    <w:basedOn w:val="1"/>
    <w:link w:val="176"/>
    <w:qFormat/>
    <w:uiPriority w:val="0"/>
    <w:pPr>
      <w:spacing w:line="360" w:lineRule="auto"/>
      <w:ind w:firstLine="560" w:firstLineChars="200"/>
    </w:pPr>
    <w:rPr>
      <w:rFonts w:ascii="宋体" w:hAnsi="宋体"/>
      <w:sz w:val="28"/>
      <w:szCs w:val="20"/>
    </w:rPr>
  </w:style>
  <w:style w:type="character" w:customStyle="1" w:styleId="178">
    <w:name w:val="日期 Char1"/>
    <w:qFormat/>
    <w:uiPriority w:val="0"/>
    <w:rPr>
      <w:rFonts w:ascii="Calibri" w:hAnsi="Calibri" w:cs="黑体"/>
      <w:kern w:val="2"/>
      <w:sz w:val="24"/>
      <w:szCs w:val="22"/>
    </w:rPr>
  </w:style>
  <w:style w:type="character" w:customStyle="1" w:styleId="179">
    <w:name w:val="dandyren_title1"/>
    <w:qFormat/>
    <w:uiPriority w:val="0"/>
    <w:rPr>
      <w:rFonts w:ascii="仿宋_GB2312" w:eastAsia="仿宋_GB2312"/>
      <w:b/>
      <w:bCs/>
      <w:color w:val="FF6633"/>
      <w:sz w:val="18"/>
      <w:szCs w:val="18"/>
    </w:rPr>
  </w:style>
  <w:style w:type="character" w:customStyle="1" w:styleId="180">
    <w:name w:val="普通文字1 Char"/>
    <w:qFormat/>
    <w:uiPriority w:val="0"/>
    <w:rPr>
      <w:rFonts w:ascii="宋体" w:hAnsi="Courier New" w:eastAsia="宋体" w:cs="Courier New"/>
      <w:kern w:val="2"/>
      <w:sz w:val="21"/>
      <w:szCs w:val="21"/>
      <w:lang w:val="en-US" w:eastAsia="zh-CN" w:bidi="ar-SA"/>
    </w:rPr>
  </w:style>
  <w:style w:type="character" w:customStyle="1" w:styleId="181">
    <w:name w:val="param_td1"/>
    <w:qFormat/>
    <w:uiPriority w:val="0"/>
    <w:rPr>
      <w:rFonts w:ascii="仿宋_GB2312" w:hAnsi="Tahoma" w:eastAsia="仿宋_GB2312"/>
      <w:b/>
      <w:sz w:val="32"/>
      <w:szCs w:val="32"/>
    </w:rPr>
  </w:style>
  <w:style w:type="character" w:customStyle="1" w:styleId="182">
    <w:name w:val="样式4 Char"/>
    <w:link w:val="183"/>
    <w:qFormat/>
    <w:uiPriority w:val="0"/>
    <w:rPr>
      <w:rFonts w:ascii="Arial" w:hAnsi="Arial" w:eastAsia="黑体"/>
      <w:b/>
      <w:bCs/>
      <w:kern w:val="2"/>
      <w:sz w:val="24"/>
      <w:szCs w:val="28"/>
    </w:rPr>
  </w:style>
  <w:style w:type="paragraph" w:customStyle="1" w:styleId="183">
    <w:name w:val="样式4"/>
    <w:basedOn w:val="184"/>
    <w:next w:val="1"/>
    <w:link w:val="182"/>
    <w:qFormat/>
    <w:uiPriority w:val="0"/>
    <w:pPr>
      <w:numPr>
        <w:ilvl w:val="0"/>
        <w:numId w:val="0"/>
      </w:numPr>
      <w:spacing w:line="377" w:lineRule="auto"/>
      <w:ind w:left="851" w:right="0" w:rightChars="0" w:hanging="851"/>
      <w:jc w:val="both"/>
    </w:pPr>
    <w:rPr>
      <w:rFonts w:ascii="Arial" w:hAnsi="Arial" w:eastAsia="黑体"/>
      <w:kern w:val="2"/>
    </w:rPr>
  </w:style>
  <w:style w:type="paragraph" w:customStyle="1" w:styleId="184">
    <w:name w:val="4级"/>
    <w:basedOn w:val="6"/>
    <w:next w:val="56"/>
    <w:qFormat/>
    <w:uiPriority w:val="0"/>
    <w:pPr>
      <w:keepNext w:val="0"/>
      <w:numPr>
        <w:ilvl w:val="3"/>
        <w:numId w:val="2"/>
      </w:numPr>
      <w:adjustRightInd w:val="0"/>
      <w:spacing w:beforeLines="50" w:afterLines="50" w:line="376" w:lineRule="auto"/>
      <w:ind w:right="210" w:rightChars="100"/>
      <w:jc w:val="left"/>
      <w:textAlignment w:val="baseline"/>
    </w:pPr>
    <w:rPr>
      <w:kern w:val="0"/>
      <w:sz w:val="24"/>
    </w:rPr>
  </w:style>
  <w:style w:type="character" w:customStyle="1" w:styleId="185">
    <w:name w:val="heading 1 Char1"/>
    <w:qFormat/>
    <w:uiPriority w:val="0"/>
    <w:rPr>
      <w:rFonts w:ascii="仿宋_GB2312" w:eastAsia="宋体"/>
      <w:b/>
      <w:bCs/>
      <w:kern w:val="44"/>
      <w:sz w:val="44"/>
      <w:szCs w:val="44"/>
      <w:lang w:val="en-US" w:eastAsia="zh-CN" w:bidi="ar-SA"/>
    </w:rPr>
  </w:style>
  <w:style w:type="character" w:customStyle="1" w:styleId="186">
    <w:name w:val="正文文本缩进 3 Char1"/>
    <w:qFormat/>
    <w:uiPriority w:val="0"/>
    <w:rPr>
      <w:rFonts w:ascii="Calibri" w:hAnsi="Calibri" w:cs="黑体"/>
      <w:kern w:val="2"/>
      <w:sz w:val="16"/>
      <w:szCs w:val="16"/>
    </w:rPr>
  </w:style>
  <w:style w:type="character" w:customStyle="1" w:styleId="187">
    <w:name w:val="宏文本 Char"/>
    <w:qFormat/>
    <w:uiPriority w:val="0"/>
    <w:rPr>
      <w:rFonts w:ascii="Courier New" w:hAnsi="Courier New"/>
      <w:kern w:val="2"/>
      <w:sz w:val="24"/>
      <w:szCs w:val="24"/>
    </w:rPr>
  </w:style>
  <w:style w:type="character" w:customStyle="1" w:styleId="188">
    <w:name w:val="*正文 Char"/>
    <w:link w:val="189"/>
    <w:qFormat/>
    <w:uiPriority w:val="0"/>
    <w:rPr>
      <w:rFonts w:ascii="仿宋_GB2312" w:eastAsia="仿宋_GB2312"/>
      <w:kern w:val="2"/>
      <w:sz w:val="24"/>
      <w:szCs w:val="28"/>
      <w:lang w:val="zh-CN"/>
    </w:rPr>
  </w:style>
  <w:style w:type="paragraph" w:customStyle="1" w:styleId="189">
    <w:name w:val="*正文"/>
    <w:basedOn w:val="1"/>
    <w:link w:val="188"/>
    <w:qFormat/>
    <w:uiPriority w:val="0"/>
    <w:pPr>
      <w:widowControl/>
      <w:spacing w:line="360" w:lineRule="auto"/>
      <w:ind w:firstLine="200" w:firstLineChars="200"/>
      <w:jc w:val="left"/>
    </w:pPr>
    <w:rPr>
      <w:rFonts w:ascii="仿宋_GB2312" w:eastAsia="仿宋_GB2312"/>
      <w:sz w:val="24"/>
      <w:szCs w:val="28"/>
      <w:lang w:val="zh-CN"/>
    </w:rPr>
  </w:style>
  <w:style w:type="character" w:customStyle="1" w:styleId="190">
    <w:name w:val="栏目标题 Char Char"/>
    <w:qFormat/>
    <w:uiPriority w:val="0"/>
    <w:rPr>
      <w:rFonts w:ascii="黑体" w:hAnsi="黑体" w:eastAsia="黑体"/>
      <w:b/>
      <w:kern w:val="2"/>
      <w:sz w:val="21"/>
      <w:szCs w:val="24"/>
    </w:rPr>
  </w:style>
  <w:style w:type="character" w:customStyle="1" w:styleId="191">
    <w:name w:val="批注框文本 Char2"/>
    <w:qFormat/>
    <w:uiPriority w:val="99"/>
    <w:rPr>
      <w:kern w:val="2"/>
      <w:sz w:val="18"/>
      <w:szCs w:val="18"/>
    </w:rPr>
  </w:style>
  <w:style w:type="character" w:customStyle="1" w:styleId="192">
    <w:name w:val="heading 5 Char"/>
    <w:qFormat/>
    <w:uiPriority w:val="0"/>
    <w:rPr>
      <w:rFonts w:ascii="Arial" w:hAnsi="Arial" w:eastAsia="黑体"/>
      <w:b/>
      <w:sz w:val="21"/>
      <w:szCs w:val="21"/>
    </w:rPr>
  </w:style>
  <w:style w:type="character" w:customStyle="1" w:styleId="193">
    <w:name w:val="符号正文缩进 Char Char"/>
    <w:qFormat/>
    <w:uiPriority w:val="0"/>
    <w:rPr>
      <w:sz w:val="24"/>
    </w:rPr>
  </w:style>
  <w:style w:type="character" w:customStyle="1" w:styleId="194">
    <w:name w:val="引用 Char"/>
    <w:link w:val="195"/>
    <w:qFormat/>
    <w:uiPriority w:val="29"/>
    <w:rPr>
      <w:rFonts w:ascii="Calibri" w:hAnsi="Calibri"/>
      <w:b/>
      <w:i/>
      <w:iCs/>
      <w:color w:val="000000"/>
      <w:sz w:val="32"/>
      <w:szCs w:val="32"/>
    </w:rPr>
  </w:style>
  <w:style w:type="paragraph" w:customStyle="1" w:styleId="195">
    <w:name w:val="引用1"/>
    <w:basedOn w:val="1"/>
    <w:next w:val="1"/>
    <w:link w:val="194"/>
    <w:qFormat/>
    <w:uiPriority w:val="29"/>
    <w:rPr>
      <w:rFonts w:ascii="Calibri" w:hAnsi="Calibri"/>
      <w:b/>
      <w:i/>
      <w:iCs/>
      <w:color w:val="000000"/>
      <w:kern w:val="0"/>
      <w:sz w:val="32"/>
      <w:szCs w:val="32"/>
    </w:rPr>
  </w:style>
  <w:style w:type="character" w:customStyle="1" w:styleId="196">
    <w:name w:val="Char Char61"/>
    <w:qFormat/>
    <w:uiPriority w:val="0"/>
    <w:rPr>
      <w:rFonts w:ascii="Times New Roman" w:hAnsi="Times New Roman" w:eastAsia="宋体" w:cs="Times New Roman"/>
      <w:szCs w:val="24"/>
    </w:rPr>
  </w:style>
  <w:style w:type="character" w:customStyle="1" w:styleId="197">
    <w:name w:val="正文首行缩进 2 Char1"/>
    <w:qFormat/>
    <w:uiPriority w:val="0"/>
  </w:style>
  <w:style w:type="character" w:customStyle="1" w:styleId="198">
    <w:name w:val="font01"/>
    <w:qFormat/>
    <w:uiPriority w:val="0"/>
    <w:rPr>
      <w:rFonts w:hint="eastAsia" w:ascii="宋体" w:hAnsi="宋体" w:eastAsia="宋体" w:cs="宋体"/>
      <w:color w:val="000000"/>
      <w:sz w:val="22"/>
      <w:szCs w:val="22"/>
      <w:u w:val="none"/>
    </w:rPr>
  </w:style>
  <w:style w:type="character" w:customStyle="1" w:styleId="199">
    <w:name w:val="正文首行缩进 2 Char2"/>
    <w:qFormat/>
    <w:uiPriority w:val="0"/>
    <w:rPr>
      <w:rFonts w:ascii="Calibri" w:hAnsi="Calibri" w:cs="黑体"/>
      <w:kern w:val="2"/>
      <w:sz w:val="21"/>
      <w:szCs w:val="24"/>
    </w:rPr>
  </w:style>
  <w:style w:type="character" w:customStyle="1" w:styleId="200">
    <w:name w:val="样式 正文文本 Char Char Char"/>
    <w:qFormat/>
    <w:uiPriority w:val="0"/>
    <w:rPr>
      <w:rFonts w:ascii="Arial" w:hAnsi="Arial" w:eastAsia="宋体"/>
      <w:color w:val="000000"/>
      <w:kern w:val="2"/>
      <w:sz w:val="21"/>
      <w:lang w:val="en-US" w:eastAsia="zh-CN" w:bidi="ar-SA"/>
    </w:rPr>
  </w:style>
  <w:style w:type="character" w:customStyle="1" w:styleId="201">
    <w:name w:val="Table of contents|1 + Spacing 3 pt"/>
    <w:qFormat/>
    <w:uiPriority w:val="0"/>
    <w:rPr>
      <w:rFonts w:ascii="PMingLiU" w:hAnsi="PMingLiU" w:eastAsia="PMingLiU" w:cs="PMingLiU"/>
      <w:color w:val="000000"/>
      <w:spacing w:val="60"/>
      <w:w w:val="100"/>
      <w:position w:val="0"/>
      <w:sz w:val="20"/>
      <w:szCs w:val="20"/>
      <w:u w:val="none"/>
      <w:lang w:val="zh-CN" w:eastAsia="zh-CN" w:bidi="zh-CN"/>
    </w:rPr>
  </w:style>
  <w:style w:type="character" w:customStyle="1" w:styleId="202">
    <w:name w:val="HTML 预设格式 Char"/>
    <w:qFormat/>
    <w:uiPriority w:val="0"/>
    <w:rPr>
      <w:rFonts w:ascii="微软雅黑" w:hAnsi="微软雅黑" w:eastAsia="微软雅黑"/>
      <w:sz w:val="24"/>
      <w:szCs w:val="24"/>
    </w:rPr>
  </w:style>
  <w:style w:type="character" w:customStyle="1" w:styleId="203">
    <w:name w:val="投标正文 Char"/>
    <w:link w:val="204"/>
    <w:qFormat/>
    <w:uiPriority w:val="0"/>
    <w:rPr>
      <w:rFonts w:ascii="Calibri" w:hAnsi="Calibri"/>
      <w:sz w:val="24"/>
      <w:szCs w:val="24"/>
    </w:rPr>
  </w:style>
  <w:style w:type="paragraph" w:customStyle="1" w:styleId="204">
    <w:name w:val="投标正文"/>
    <w:basedOn w:val="1"/>
    <w:link w:val="203"/>
    <w:qFormat/>
    <w:uiPriority w:val="0"/>
    <w:pPr>
      <w:spacing w:line="360" w:lineRule="auto"/>
      <w:ind w:left="100" w:firstLine="480" w:firstLineChars="200"/>
    </w:pPr>
    <w:rPr>
      <w:rFonts w:ascii="Calibri" w:hAnsi="Calibri"/>
      <w:kern w:val="0"/>
      <w:sz w:val="24"/>
    </w:rPr>
  </w:style>
  <w:style w:type="character" w:customStyle="1" w:styleId="205">
    <w:name w:val="hover15"/>
    <w:qFormat/>
    <w:uiPriority w:val="0"/>
    <w:rPr>
      <w:szCs w:val="20"/>
      <w:u w:val="single"/>
    </w:rPr>
  </w:style>
  <w:style w:type="character" w:customStyle="1" w:styleId="206">
    <w:name w:val="正文文本 Char"/>
    <w:qFormat/>
    <w:uiPriority w:val="99"/>
    <w:rPr>
      <w:rFonts w:ascii="仿宋_GB2312" w:eastAsia="宋体"/>
      <w:b/>
      <w:kern w:val="2"/>
      <w:sz w:val="21"/>
      <w:szCs w:val="24"/>
      <w:lang w:val="en-US" w:eastAsia="zh-CN" w:bidi="ar-SA"/>
    </w:rPr>
  </w:style>
  <w:style w:type="character" w:customStyle="1" w:styleId="207">
    <w:name w:val="标题 1 Char1"/>
    <w:qFormat/>
    <w:uiPriority w:val="0"/>
    <w:rPr>
      <w:rFonts w:ascii="楷体_GB2312" w:hAnsi="Tahoma" w:eastAsia="楷体_GB2312"/>
      <w:b/>
      <w:bCs/>
      <w:kern w:val="2"/>
      <w:sz w:val="21"/>
      <w:szCs w:val="24"/>
    </w:rPr>
  </w:style>
  <w:style w:type="character" w:customStyle="1" w:styleId="208">
    <w:name w:val="批注文字 Char2"/>
    <w:qFormat/>
    <w:uiPriority w:val="99"/>
    <w:rPr>
      <w:kern w:val="2"/>
      <w:sz w:val="21"/>
      <w:szCs w:val="24"/>
    </w:rPr>
  </w:style>
  <w:style w:type="character" w:customStyle="1" w:styleId="209">
    <w:name w:val="font11"/>
    <w:basedOn w:val="59"/>
    <w:qFormat/>
    <w:uiPriority w:val="0"/>
    <w:rPr>
      <w:rFonts w:hint="eastAsia" w:ascii="宋体" w:hAnsi="宋体" w:eastAsia="宋体" w:cs="宋体"/>
      <w:color w:val="000000"/>
      <w:sz w:val="20"/>
      <w:szCs w:val="20"/>
      <w:u w:val="none"/>
      <w:vertAlign w:val="superscript"/>
    </w:rPr>
  </w:style>
  <w:style w:type="character" w:customStyle="1" w:styleId="210">
    <w:name w:val="Style2"/>
    <w:qFormat/>
    <w:uiPriority w:val="0"/>
    <w:rPr>
      <w:rFonts w:ascii="Calibri" w:hAnsi="宋体" w:eastAsia="宋体" w:cs="Times New Roman"/>
      <w:sz w:val="22"/>
      <w:szCs w:val="22"/>
      <w:lang w:eastAsia="zh-CN"/>
    </w:rPr>
  </w:style>
  <w:style w:type="character" w:customStyle="1" w:styleId="211">
    <w:name w:val="正文1 Char Char"/>
    <w:link w:val="212"/>
    <w:qFormat/>
    <w:uiPriority w:val="0"/>
    <w:rPr>
      <w:rFonts w:ascii="宋体" w:hAnsi="宋体" w:cs="宋体"/>
      <w:b/>
      <w:sz w:val="21"/>
      <w:szCs w:val="32"/>
    </w:rPr>
  </w:style>
  <w:style w:type="paragraph" w:customStyle="1" w:styleId="212">
    <w:name w:val="正文1"/>
    <w:basedOn w:val="1"/>
    <w:link w:val="211"/>
    <w:qFormat/>
    <w:uiPriority w:val="0"/>
    <w:pPr>
      <w:widowControl/>
      <w:spacing w:line="360" w:lineRule="auto"/>
      <w:ind w:left="360" w:firstLine="420"/>
      <w:jc w:val="left"/>
    </w:pPr>
    <w:rPr>
      <w:rFonts w:ascii="宋体" w:hAnsi="宋体"/>
      <w:b/>
      <w:kern w:val="0"/>
      <w:szCs w:val="32"/>
    </w:rPr>
  </w:style>
  <w:style w:type="character" w:customStyle="1" w:styleId="213">
    <w:name w:val="Style4"/>
    <w:qFormat/>
    <w:uiPriority w:val="0"/>
    <w:rPr>
      <w:rFonts w:ascii="Calibri" w:hAnsi="宋体" w:eastAsia="宋体" w:cs="Times New Roman"/>
      <w:szCs w:val="22"/>
      <w:lang w:eastAsia="zh-CN"/>
    </w:rPr>
  </w:style>
  <w:style w:type="character" w:customStyle="1" w:styleId="214">
    <w:name w:val="正文文本缩进 3 Char2"/>
    <w:qFormat/>
    <w:uiPriority w:val="99"/>
    <w:rPr>
      <w:kern w:val="2"/>
      <w:sz w:val="16"/>
      <w:szCs w:val="16"/>
    </w:rPr>
  </w:style>
  <w:style w:type="character" w:customStyle="1" w:styleId="215">
    <w:name w:val="heading 4 Char"/>
    <w:qFormat/>
    <w:uiPriority w:val="0"/>
    <w:rPr>
      <w:rFonts w:ascii="Arial" w:hAnsi="Arial" w:eastAsia="黑体" w:cs="Times New Roman"/>
      <w:b/>
      <w:sz w:val="21"/>
      <w:szCs w:val="21"/>
    </w:rPr>
  </w:style>
  <w:style w:type="character" w:customStyle="1" w:styleId="216">
    <w:name w:val="heading 2 Char"/>
    <w:qFormat/>
    <w:uiPriority w:val="0"/>
    <w:rPr>
      <w:rFonts w:ascii="Arial" w:hAnsi="Arial" w:eastAsia="黑体" w:cs="Times New Roman"/>
      <w:b/>
      <w:sz w:val="30"/>
      <w:szCs w:val="24"/>
    </w:rPr>
  </w:style>
  <w:style w:type="character" w:customStyle="1" w:styleId="217">
    <w:name w:val="HTML 预设格式 Char2"/>
    <w:qFormat/>
    <w:uiPriority w:val="99"/>
    <w:rPr>
      <w:rFonts w:ascii="Courier New" w:hAnsi="Courier New" w:cs="Courier New"/>
      <w:kern w:val="2"/>
    </w:rPr>
  </w:style>
  <w:style w:type="character" w:customStyle="1" w:styleId="218">
    <w:name w:val="标题样式 Char"/>
    <w:link w:val="219"/>
    <w:qFormat/>
    <w:uiPriority w:val="0"/>
    <w:rPr>
      <w:b/>
    </w:rPr>
  </w:style>
  <w:style w:type="paragraph" w:customStyle="1" w:styleId="219">
    <w:name w:val="标题样式"/>
    <w:basedOn w:val="1"/>
    <w:link w:val="218"/>
    <w:qFormat/>
    <w:uiPriority w:val="0"/>
    <w:pPr>
      <w:spacing w:beforeLines="50" w:afterLines="50"/>
    </w:pPr>
    <w:rPr>
      <w:b/>
      <w:kern w:val="0"/>
      <w:sz w:val="20"/>
      <w:szCs w:val="20"/>
    </w:rPr>
  </w:style>
  <w:style w:type="character" w:customStyle="1" w:styleId="220">
    <w:name w:val="Ò³Ã¼ Char Char1"/>
    <w:qFormat/>
    <w:uiPriority w:val="0"/>
    <w:rPr>
      <w:rFonts w:ascii="仿宋_GB2312" w:eastAsia="宋体"/>
      <w:b/>
      <w:kern w:val="2"/>
      <w:sz w:val="18"/>
      <w:szCs w:val="18"/>
      <w:lang w:val="en-US" w:eastAsia="zh-CN" w:bidi="ar-SA"/>
    </w:rPr>
  </w:style>
  <w:style w:type="character" w:customStyle="1" w:styleId="221">
    <w:name w:val="apple-converted-space"/>
    <w:qFormat/>
    <w:uiPriority w:val="0"/>
  </w:style>
  <w:style w:type="character" w:customStyle="1" w:styleId="222">
    <w:name w:val="表格用 Char Char"/>
    <w:link w:val="223"/>
    <w:qFormat/>
    <w:uiPriority w:val="0"/>
    <w:rPr>
      <w:sz w:val="21"/>
      <w:szCs w:val="24"/>
    </w:rPr>
  </w:style>
  <w:style w:type="paragraph" w:customStyle="1" w:styleId="223">
    <w:name w:val="表格用"/>
    <w:basedOn w:val="1"/>
    <w:link w:val="222"/>
    <w:qFormat/>
    <w:uiPriority w:val="0"/>
    <w:rPr>
      <w:kern w:val="0"/>
    </w:rPr>
  </w:style>
  <w:style w:type="character" w:customStyle="1" w:styleId="224">
    <w:name w:val="标题 2 Char1"/>
    <w:qFormat/>
    <w:uiPriority w:val="0"/>
    <w:rPr>
      <w:rFonts w:ascii="Arial" w:hAnsi="Arial" w:eastAsia="黑体"/>
      <w:b/>
      <w:bCs/>
      <w:kern w:val="2"/>
      <w:sz w:val="32"/>
      <w:szCs w:val="32"/>
    </w:rPr>
  </w:style>
  <w:style w:type="character" w:customStyle="1" w:styleId="225">
    <w:name w:val="count"/>
    <w:qFormat/>
    <w:uiPriority w:val="0"/>
  </w:style>
  <w:style w:type="character" w:customStyle="1" w:styleId="226">
    <w:name w:val="标题1"/>
    <w:qFormat/>
    <w:uiPriority w:val="0"/>
  </w:style>
  <w:style w:type="character" w:customStyle="1" w:styleId="227">
    <w:name w:val="标题 6 Char"/>
    <w:qFormat/>
    <w:uiPriority w:val="0"/>
    <w:rPr>
      <w:rFonts w:ascii="Arial" w:hAnsi="Arial" w:eastAsia="黑体"/>
      <w:b/>
      <w:bCs/>
      <w:kern w:val="2"/>
      <w:sz w:val="24"/>
      <w:szCs w:val="24"/>
    </w:rPr>
  </w:style>
  <w:style w:type="character" w:customStyle="1" w:styleId="228">
    <w:name w:val="heading 1 Char"/>
    <w:qFormat/>
    <w:uiPriority w:val="0"/>
    <w:rPr>
      <w:rFonts w:ascii="Arial" w:hAnsi="Arial" w:eastAsia="黑体"/>
      <w:b/>
      <w:sz w:val="36"/>
      <w:szCs w:val="36"/>
    </w:rPr>
  </w:style>
  <w:style w:type="character" w:customStyle="1" w:styleId="229">
    <w:name w:val="style41"/>
    <w:qFormat/>
    <w:uiPriority w:val="0"/>
    <w:rPr>
      <w:rFonts w:ascii="仿宋_GB2312" w:eastAsia="仿宋_GB2312"/>
      <w:b/>
      <w:color w:val="auto"/>
      <w:sz w:val="32"/>
      <w:szCs w:val="32"/>
    </w:rPr>
  </w:style>
  <w:style w:type="character" w:customStyle="1" w:styleId="230">
    <w:name w:val="正文00 Char"/>
    <w:link w:val="231"/>
    <w:qFormat/>
    <w:uiPriority w:val="0"/>
    <w:rPr>
      <w:rFonts w:ascii="宋体" w:hAnsi="宋体"/>
      <w:kern w:val="2"/>
      <w:sz w:val="24"/>
      <w:szCs w:val="24"/>
    </w:rPr>
  </w:style>
  <w:style w:type="paragraph" w:customStyle="1" w:styleId="231">
    <w:name w:val="正文00"/>
    <w:basedOn w:val="1"/>
    <w:link w:val="230"/>
    <w:qFormat/>
    <w:uiPriority w:val="0"/>
    <w:pPr>
      <w:spacing w:line="360" w:lineRule="auto"/>
      <w:ind w:firstLine="480" w:firstLineChars="200"/>
    </w:pPr>
    <w:rPr>
      <w:rFonts w:ascii="宋体" w:hAnsi="宋体"/>
      <w:sz w:val="24"/>
    </w:rPr>
  </w:style>
  <w:style w:type="character" w:customStyle="1" w:styleId="232">
    <w:name w:val="_正文段落 Char"/>
    <w:link w:val="233"/>
    <w:qFormat/>
    <w:uiPriority w:val="0"/>
    <w:rPr>
      <w:kern w:val="2"/>
      <w:sz w:val="21"/>
      <w:szCs w:val="24"/>
    </w:rPr>
  </w:style>
  <w:style w:type="paragraph" w:customStyle="1" w:styleId="233">
    <w:name w:val="_正文段落"/>
    <w:basedOn w:val="1"/>
    <w:link w:val="232"/>
    <w:qFormat/>
    <w:uiPriority w:val="0"/>
    <w:pPr>
      <w:spacing w:beforeLines="15" w:afterLines="15" w:line="360" w:lineRule="auto"/>
      <w:ind w:firstLine="200" w:firstLineChars="200"/>
    </w:pPr>
  </w:style>
  <w:style w:type="character" w:customStyle="1" w:styleId="234">
    <w:name w:val="图片题注 Char"/>
    <w:link w:val="235"/>
    <w:qFormat/>
    <w:uiPriority w:val="0"/>
    <w:rPr>
      <w:rFonts w:ascii="Calibri Light" w:hAnsi="Calibri Light" w:eastAsia="黑体" w:cs="黑体"/>
      <w:bCs/>
      <w:kern w:val="2"/>
    </w:rPr>
  </w:style>
  <w:style w:type="paragraph" w:customStyle="1" w:styleId="235">
    <w:name w:val="图片题注"/>
    <w:basedOn w:val="16"/>
    <w:link w:val="234"/>
    <w:qFormat/>
    <w:uiPriority w:val="0"/>
    <w:pPr>
      <w:autoSpaceDE/>
      <w:autoSpaceDN/>
      <w:adjustRightInd/>
      <w:spacing w:line="360" w:lineRule="auto"/>
      <w:jc w:val="center"/>
    </w:pPr>
    <w:rPr>
      <w:rFonts w:ascii="Calibri Light" w:hAnsi="Calibri Light"/>
      <w:bCs/>
      <w:kern w:val="2"/>
    </w:rPr>
  </w:style>
  <w:style w:type="character" w:customStyle="1" w:styleId="236">
    <w:name w:val="heading 1 Char2"/>
    <w:qFormat/>
    <w:uiPriority w:val="0"/>
    <w:rPr>
      <w:rFonts w:ascii="仿宋_GB2312" w:eastAsia="仿宋_GB2312"/>
      <w:b/>
      <w:bCs/>
      <w:kern w:val="44"/>
      <w:sz w:val="44"/>
      <w:szCs w:val="44"/>
    </w:rPr>
  </w:style>
  <w:style w:type="character" w:customStyle="1" w:styleId="237">
    <w:name w:val="标题 4 Char"/>
    <w:qFormat/>
    <w:uiPriority w:val="9"/>
    <w:rPr>
      <w:rFonts w:ascii="Arial" w:hAnsi="Arial" w:eastAsia="黑体"/>
      <w:b/>
      <w:bCs/>
      <w:kern w:val="2"/>
      <w:sz w:val="28"/>
      <w:szCs w:val="28"/>
      <w:lang w:val="en-US" w:eastAsia="zh-CN" w:bidi="ar-SA"/>
    </w:rPr>
  </w:style>
  <w:style w:type="character" w:customStyle="1" w:styleId="238">
    <w:name w:val="Title1"/>
    <w:qFormat/>
    <w:uiPriority w:val="0"/>
  </w:style>
  <w:style w:type="character" w:customStyle="1" w:styleId="239">
    <w:name w:val="font31"/>
    <w:qFormat/>
    <w:uiPriority w:val="0"/>
    <w:rPr>
      <w:rFonts w:hint="eastAsia" w:ascii="宋体" w:hAnsi="宋体" w:eastAsia="宋体" w:cs="宋体"/>
      <w:color w:val="000000"/>
      <w:sz w:val="20"/>
      <w:szCs w:val="20"/>
      <w:u w:val="none"/>
    </w:rPr>
  </w:style>
  <w:style w:type="character" w:customStyle="1" w:styleId="240">
    <w:name w:val="正文靠右 Char Char"/>
    <w:qFormat/>
    <w:uiPriority w:val="0"/>
    <w:rPr>
      <w:kern w:val="2"/>
      <w:sz w:val="21"/>
      <w:szCs w:val="24"/>
    </w:rPr>
  </w:style>
  <w:style w:type="character" w:customStyle="1" w:styleId="241">
    <w:name w:val="Footer-Even Char2"/>
    <w:qFormat/>
    <w:uiPriority w:val="0"/>
    <w:rPr>
      <w:rFonts w:ascii="仿宋_GB2312" w:eastAsia="仿宋_GB2312"/>
      <w:b/>
      <w:kern w:val="2"/>
      <w:sz w:val="18"/>
      <w:szCs w:val="18"/>
    </w:rPr>
  </w:style>
  <w:style w:type="character" w:customStyle="1" w:styleId="242">
    <w:name w:val="upload"/>
    <w:qFormat/>
    <w:uiPriority w:val="0"/>
    <w:rPr>
      <w:szCs w:val="20"/>
    </w:rPr>
  </w:style>
  <w:style w:type="character" w:customStyle="1" w:styleId="243">
    <w:name w:val="注释正文"/>
    <w:qFormat/>
    <w:uiPriority w:val="0"/>
    <w:rPr>
      <w:rFonts w:eastAsia="宋体"/>
      <w:sz w:val="28"/>
      <w:u w:val="single"/>
    </w:rPr>
  </w:style>
  <w:style w:type="character" w:customStyle="1" w:styleId="244">
    <w:name w:val="不明显强调1"/>
    <w:qFormat/>
    <w:uiPriority w:val="0"/>
    <w:rPr>
      <w:i/>
      <w:iCs/>
      <w:color w:val="808080"/>
    </w:rPr>
  </w:style>
  <w:style w:type="character" w:customStyle="1" w:styleId="245">
    <w:name w:val="注释正文＋下划线 Char"/>
    <w:link w:val="246"/>
    <w:qFormat/>
    <w:uiPriority w:val="0"/>
    <w:rPr>
      <w:rFonts w:ascii="宋体" w:hAnsi="宋体"/>
      <w:kern w:val="2"/>
      <w:sz w:val="28"/>
      <w:szCs w:val="28"/>
      <w:u w:val="single"/>
    </w:rPr>
  </w:style>
  <w:style w:type="paragraph" w:customStyle="1" w:styleId="246">
    <w:name w:val="注释正文＋下划线"/>
    <w:basedOn w:val="1"/>
    <w:link w:val="245"/>
    <w:qFormat/>
    <w:uiPriority w:val="0"/>
    <w:rPr>
      <w:rFonts w:ascii="宋体" w:hAnsi="宋体"/>
      <w:sz w:val="28"/>
      <w:szCs w:val="28"/>
      <w:u w:val="single"/>
    </w:rPr>
  </w:style>
  <w:style w:type="character" w:customStyle="1" w:styleId="247">
    <w:name w:val="gray6"/>
    <w:qFormat/>
    <w:uiPriority w:val="0"/>
    <w:rPr>
      <w:rFonts w:ascii="仿宋_GB2312" w:hAnsi="Tahoma" w:eastAsia="仿宋_GB2312"/>
      <w:b/>
      <w:sz w:val="32"/>
      <w:szCs w:val="32"/>
    </w:rPr>
  </w:style>
  <w:style w:type="character" w:customStyle="1" w:styleId="248">
    <w:name w:val="font12"/>
    <w:qFormat/>
    <w:uiPriority w:val="0"/>
    <w:rPr>
      <w:rFonts w:hint="eastAsia" w:ascii="宋体" w:hAnsi="宋体" w:eastAsia="宋体" w:cs="宋体"/>
      <w:color w:val="000000"/>
      <w:sz w:val="20"/>
      <w:szCs w:val="20"/>
      <w:u w:val="none"/>
    </w:rPr>
  </w:style>
  <w:style w:type="character" w:customStyle="1" w:styleId="249">
    <w:name w:val="正文缩进 Char"/>
    <w:qFormat/>
    <w:uiPriority w:val="99"/>
    <w:rPr>
      <w:rFonts w:eastAsia="仿宋_GB2312"/>
      <w:sz w:val="21"/>
      <w:lang w:val="en-US" w:eastAsia="zh-CN" w:bidi="ar-SA"/>
    </w:rPr>
  </w:style>
  <w:style w:type="character" w:customStyle="1" w:styleId="250">
    <w:name w:val="ändrad Char"/>
    <w:qFormat/>
    <w:uiPriority w:val="0"/>
    <w:rPr>
      <w:rFonts w:ascii="仿宋_GB2312" w:eastAsia="宋体"/>
      <w:b/>
      <w:kern w:val="2"/>
      <w:sz w:val="21"/>
      <w:szCs w:val="24"/>
      <w:lang w:val="en-US" w:eastAsia="zh-CN" w:bidi="ar-SA"/>
    </w:rPr>
  </w:style>
  <w:style w:type="character" w:customStyle="1" w:styleId="251">
    <w:name w:val="列出段落 Char"/>
    <w:link w:val="252"/>
    <w:qFormat/>
    <w:uiPriority w:val="0"/>
    <w:rPr>
      <w:kern w:val="2"/>
      <w:sz w:val="21"/>
      <w:szCs w:val="24"/>
    </w:rPr>
  </w:style>
  <w:style w:type="paragraph" w:customStyle="1" w:styleId="252">
    <w:name w:val="List Paragraph2"/>
    <w:basedOn w:val="1"/>
    <w:link w:val="251"/>
    <w:qFormat/>
    <w:uiPriority w:val="0"/>
    <w:pPr>
      <w:ind w:firstLine="420" w:firstLineChars="200"/>
    </w:pPr>
  </w:style>
  <w:style w:type="character" w:customStyle="1" w:styleId="253">
    <w:name w:val="legend"/>
    <w:qFormat/>
    <w:uiPriority w:val="0"/>
    <w:rPr>
      <w:rFonts w:ascii="Arial" w:hAnsi="Arial" w:cs="Arial"/>
      <w:b/>
      <w:color w:val="73B304"/>
      <w:sz w:val="16"/>
      <w:szCs w:val="16"/>
      <w:shd w:val="clear" w:color="auto" w:fill="FFFFFF"/>
    </w:rPr>
  </w:style>
  <w:style w:type="character" w:customStyle="1" w:styleId="254">
    <w:name w:val="正文文本 Char1"/>
    <w:qFormat/>
    <w:uiPriority w:val="0"/>
    <w:rPr>
      <w:rFonts w:ascii="Tahoma" w:hAnsi="Tahoma"/>
      <w:kern w:val="2"/>
      <w:sz w:val="21"/>
      <w:szCs w:val="24"/>
    </w:rPr>
  </w:style>
  <w:style w:type="character" w:customStyle="1" w:styleId="255">
    <w:name w:val="标题 8 Char"/>
    <w:qFormat/>
    <w:uiPriority w:val="0"/>
    <w:rPr>
      <w:rFonts w:ascii="Arial" w:hAnsi="Arial" w:eastAsia="黑体"/>
      <w:b/>
      <w:sz w:val="24"/>
      <w:szCs w:val="32"/>
    </w:rPr>
  </w:style>
  <w:style w:type="character" w:customStyle="1" w:styleId="256">
    <w:name w:val="页眉 Char2"/>
    <w:qFormat/>
    <w:uiPriority w:val="99"/>
    <w:rPr>
      <w:kern w:val="2"/>
      <w:sz w:val="18"/>
      <w:szCs w:val="18"/>
    </w:rPr>
  </w:style>
  <w:style w:type="character" w:customStyle="1" w:styleId="257">
    <w:name w:val="签名 Char"/>
    <w:qFormat/>
    <w:uiPriority w:val="0"/>
    <w:rPr>
      <w:rFonts w:ascii="Tahoma" w:hAnsi="Tahoma" w:eastAsia="仿宋_GB2312"/>
      <w:sz w:val="24"/>
    </w:rPr>
  </w:style>
  <w:style w:type="character" w:customStyle="1" w:styleId="258">
    <w:name w:val="样式 正文文本 Char Char"/>
    <w:link w:val="259"/>
    <w:qFormat/>
    <w:uiPriority w:val="0"/>
    <w:rPr>
      <w:rFonts w:ascii="Arial" w:hAnsi="Arial" w:cs="宋体"/>
      <w:color w:val="000000"/>
      <w:kern w:val="2"/>
      <w:sz w:val="21"/>
    </w:rPr>
  </w:style>
  <w:style w:type="paragraph" w:customStyle="1" w:styleId="259">
    <w:name w:val="样式 正文文本"/>
    <w:basedOn w:val="1"/>
    <w:link w:val="258"/>
    <w:qFormat/>
    <w:uiPriority w:val="0"/>
    <w:pPr>
      <w:adjustRightInd w:val="0"/>
      <w:snapToGrid w:val="0"/>
      <w:spacing w:line="400" w:lineRule="exact"/>
      <w:ind w:firstLine="200" w:firstLineChars="200"/>
    </w:pPr>
    <w:rPr>
      <w:rFonts w:ascii="Arial" w:hAnsi="Arial"/>
      <w:color w:val="000000"/>
      <w:szCs w:val="20"/>
    </w:rPr>
  </w:style>
  <w:style w:type="character" w:customStyle="1" w:styleId="260">
    <w:name w:val="style111"/>
    <w:qFormat/>
    <w:uiPriority w:val="0"/>
    <w:rPr>
      <w:sz w:val="27"/>
      <w:szCs w:val="27"/>
    </w:rPr>
  </w:style>
  <w:style w:type="character" w:customStyle="1" w:styleId="261">
    <w:name w:val="明显强调1"/>
    <w:qFormat/>
    <w:uiPriority w:val="0"/>
    <w:rPr>
      <w:b/>
      <w:bCs/>
      <w:i/>
      <w:iCs/>
      <w:color w:val="4F81BD"/>
    </w:rPr>
  </w:style>
  <w:style w:type="character" w:customStyle="1" w:styleId="262">
    <w:name w:val="NormalCharacter"/>
    <w:qFormat/>
    <w:uiPriority w:val="0"/>
  </w:style>
  <w:style w:type="character" w:customStyle="1" w:styleId="263">
    <w:name w:val="页脚 Char2"/>
    <w:qFormat/>
    <w:uiPriority w:val="99"/>
    <w:rPr>
      <w:kern w:val="2"/>
      <w:sz w:val="18"/>
      <w:szCs w:val="18"/>
    </w:rPr>
  </w:style>
  <w:style w:type="character" w:customStyle="1" w:styleId="264">
    <w:name w:val="1.1.1.1.1 Char"/>
    <w:link w:val="265"/>
    <w:qFormat/>
    <w:uiPriority w:val="0"/>
    <w:rPr>
      <w:rFonts w:ascii="Arial" w:hAnsi="Arial" w:eastAsia="黑体"/>
      <w:b/>
      <w:bCs/>
      <w:kern w:val="2"/>
      <w:sz w:val="24"/>
      <w:szCs w:val="28"/>
    </w:rPr>
  </w:style>
  <w:style w:type="paragraph" w:customStyle="1" w:styleId="265">
    <w:name w:val="1.1.1.1.1"/>
    <w:basedOn w:val="266"/>
    <w:next w:val="15"/>
    <w:link w:val="264"/>
    <w:qFormat/>
    <w:uiPriority w:val="0"/>
    <w:pPr>
      <w:keepLines/>
      <w:numPr>
        <w:ilvl w:val="0"/>
        <w:numId w:val="3"/>
      </w:numPr>
      <w:spacing w:before="240" w:after="240" w:line="377" w:lineRule="auto"/>
      <w:ind w:firstLine="0" w:firstLineChars="0"/>
      <w:outlineLvl w:val="4"/>
    </w:pPr>
    <w:rPr>
      <w:rFonts w:ascii="Arial" w:hAnsi="Arial" w:eastAsia="黑体"/>
      <w:bCs/>
      <w:sz w:val="24"/>
      <w:szCs w:val="28"/>
    </w:rPr>
  </w:style>
  <w:style w:type="paragraph" w:customStyle="1" w:styleId="266">
    <w:name w:val="样式5"/>
    <w:basedOn w:val="15"/>
    <w:link w:val="267"/>
    <w:qFormat/>
    <w:uiPriority w:val="0"/>
    <w:pPr>
      <w:adjustRightInd/>
      <w:spacing w:line="360" w:lineRule="auto"/>
      <w:ind w:firstLine="200" w:firstLineChars="200"/>
      <w:textAlignment w:val="auto"/>
    </w:pPr>
    <w:rPr>
      <w:rFonts w:ascii="仿宋_GB2312"/>
      <w:b/>
      <w:kern w:val="2"/>
      <w:sz w:val="28"/>
      <w:szCs w:val="21"/>
    </w:rPr>
  </w:style>
  <w:style w:type="character" w:customStyle="1" w:styleId="267">
    <w:name w:val="样式5 Char"/>
    <w:link w:val="266"/>
    <w:qFormat/>
    <w:uiPriority w:val="0"/>
    <w:rPr>
      <w:rFonts w:ascii="仿宋_GB2312"/>
      <w:b/>
      <w:kern w:val="2"/>
      <w:sz w:val="28"/>
      <w:szCs w:val="21"/>
    </w:rPr>
  </w:style>
  <w:style w:type="character" w:customStyle="1" w:styleId="268">
    <w:name w:val="表格标题 Char"/>
    <w:link w:val="269"/>
    <w:qFormat/>
    <w:uiPriority w:val="0"/>
    <w:rPr>
      <w:rFonts w:ascii="黑体" w:hAnsi="黑体" w:eastAsia="黑体"/>
      <w:b/>
      <w:color w:val="FFFFFF"/>
      <w:kern w:val="2"/>
      <w:sz w:val="21"/>
      <w:szCs w:val="24"/>
    </w:rPr>
  </w:style>
  <w:style w:type="paragraph" w:customStyle="1" w:styleId="269">
    <w:name w:val="表格标题"/>
    <w:basedOn w:val="1"/>
    <w:link w:val="268"/>
    <w:qFormat/>
    <w:uiPriority w:val="0"/>
    <w:rPr>
      <w:rFonts w:ascii="黑体" w:hAnsi="黑体" w:eastAsia="黑体"/>
      <w:b/>
      <w:color w:val="FFFFFF"/>
    </w:rPr>
  </w:style>
  <w:style w:type="character" w:customStyle="1" w:styleId="270">
    <w:name w:val="标题 9 Char"/>
    <w:qFormat/>
    <w:uiPriority w:val="0"/>
    <w:rPr>
      <w:rFonts w:ascii="Arial" w:hAnsi="Arial" w:eastAsia="黑体"/>
      <w:b/>
      <w:sz w:val="21"/>
      <w:szCs w:val="32"/>
    </w:rPr>
  </w:style>
  <w:style w:type="character" w:customStyle="1" w:styleId="271">
    <w:name w:val="PI Char"/>
    <w:qFormat/>
    <w:uiPriority w:val="0"/>
    <w:rPr>
      <w:rFonts w:ascii="宋体" w:hAnsi="宋体" w:eastAsia="仿宋_GB2312"/>
      <w:b/>
      <w:sz w:val="24"/>
      <w:szCs w:val="32"/>
    </w:rPr>
  </w:style>
  <w:style w:type="character" w:customStyle="1" w:styleId="272">
    <w:name w:val="Char Char22"/>
    <w:qFormat/>
    <w:uiPriority w:val="0"/>
    <w:rPr>
      <w:rFonts w:ascii="Arial" w:hAnsi="Arial" w:eastAsia="黑体"/>
      <w:b/>
      <w:bCs/>
      <w:kern w:val="44"/>
      <w:sz w:val="30"/>
      <w:szCs w:val="44"/>
      <w:lang w:val="en-US" w:eastAsia="zh-CN" w:bidi="ar-SA"/>
    </w:rPr>
  </w:style>
  <w:style w:type="character" w:customStyle="1" w:styleId="273">
    <w:name w:val="heading 3 Char"/>
    <w:qFormat/>
    <w:uiPriority w:val="0"/>
    <w:rPr>
      <w:rFonts w:ascii="Arial" w:hAnsi="Arial" w:eastAsia="黑体"/>
      <w:b/>
      <w:sz w:val="28"/>
      <w:szCs w:val="24"/>
    </w:rPr>
  </w:style>
  <w:style w:type="character" w:customStyle="1" w:styleId="274">
    <w:name w:val="标题 Char2"/>
    <w:qFormat/>
    <w:uiPriority w:val="10"/>
    <w:rPr>
      <w:rFonts w:ascii="Cambria" w:hAnsi="Cambria" w:cs="Times New Roman"/>
      <w:b/>
      <w:bCs/>
      <w:kern w:val="2"/>
      <w:sz w:val="32"/>
      <w:szCs w:val="32"/>
    </w:rPr>
  </w:style>
  <w:style w:type="character" w:customStyle="1" w:styleId="275">
    <w:name w:val="文档结构图 Char1"/>
    <w:qFormat/>
    <w:uiPriority w:val="0"/>
    <w:rPr>
      <w:kern w:val="2"/>
      <w:sz w:val="21"/>
      <w:szCs w:val="24"/>
      <w:shd w:val="clear" w:color="auto" w:fill="000080"/>
    </w:rPr>
  </w:style>
  <w:style w:type="character" w:customStyle="1" w:styleId="276">
    <w:name w:val="heading 4 Char2"/>
    <w:qFormat/>
    <w:uiPriority w:val="0"/>
    <w:rPr>
      <w:rFonts w:ascii="Cambria" w:hAnsi="Cambria" w:eastAsia="仿宋_GB2312"/>
      <w:b/>
      <w:bCs/>
      <w:kern w:val="2"/>
      <w:sz w:val="28"/>
      <w:szCs w:val="28"/>
    </w:rPr>
  </w:style>
  <w:style w:type="character" w:customStyle="1" w:styleId="277">
    <w:name w:val="Char Char Char"/>
    <w:qFormat/>
    <w:uiPriority w:val="0"/>
    <w:rPr>
      <w:rFonts w:ascii="宋体" w:hAnsi="宋体" w:eastAsia="宋体"/>
      <w:kern w:val="2"/>
      <w:sz w:val="18"/>
      <w:szCs w:val="18"/>
      <w:lang w:val="en-US" w:eastAsia="zh-CN" w:bidi="ar-SA"/>
    </w:rPr>
  </w:style>
  <w:style w:type="character" w:customStyle="1" w:styleId="278">
    <w:name w:val="小标题 Char Char"/>
    <w:qFormat/>
    <w:uiPriority w:val="0"/>
    <w:rPr>
      <w:rFonts w:ascii="黑体" w:hAnsi="黑体" w:eastAsia="黑体"/>
      <w:b/>
      <w:bCs/>
      <w:kern w:val="2"/>
      <w:sz w:val="48"/>
      <w:szCs w:val="48"/>
    </w:rPr>
  </w:style>
  <w:style w:type="character" w:customStyle="1" w:styleId="279">
    <w:name w:val="正文4 Char Char"/>
    <w:link w:val="280"/>
    <w:qFormat/>
    <w:uiPriority w:val="0"/>
    <w:rPr>
      <w:kern w:val="2"/>
    </w:rPr>
  </w:style>
  <w:style w:type="paragraph" w:customStyle="1" w:styleId="280">
    <w:name w:val="正文4"/>
    <w:basedOn w:val="1"/>
    <w:link w:val="279"/>
    <w:qFormat/>
    <w:uiPriority w:val="0"/>
    <w:pPr>
      <w:numPr>
        <w:ilvl w:val="0"/>
        <w:numId w:val="4"/>
      </w:numPr>
      <w:spacing w:before="60" w:after="60" w:line="360" w:lineRule="auto"/>
      <w:ind w:firstLine="0"/>
    </w:pPr>
    <w:rPr>
      <w:sz w:val="20"/>
      <w:szCs w:val="20"/>
    </w:rPr>
  </w:style>
  <w:style w:type="character" w:customStyle="1" w:styleId="281">
    <w:name w:val="Char1"/>
    <w:qFormat/>
    <w:uiPriority w:val="0"/>
    <w:rPr>
      <w:rFonts w:ascii="宋体" w:hAnsi="宋体" w:eastAsia="宋体"/>
      <w:b/>
      <w:kern w:val="2"/>
      <w:sz w:val="24"/>
      <w:szCs w:val="24"/>
      <w:lang w:val="en-US" w:eastAsia="zh-CN" w:bidi="ar-SA"/>
    </w:rPr>
  </w:style>
  <w:style w:type="character" w:customStyle="1" w:styleId="282">
    <w:name w:val="Char Char2"/>
    <w:qFormat/>
    <w:uiPriority w:val="0"/>
    <w:rPr>
      <w:rFonts w:ascii="Arial" w:hAnsi="Arial" w:eastAsia="黑体"/>
      <w:b/>
      <w:bCs/>
      <w:kern w:val="44"/>
      <w:sz w:val="30"/>
      <w:szCs w:val="44"/>
      <w:lang w:val="en-US" w:eastAsia="zh-CN" w:bidi="ar-SA"/>
    </w:rPr>
  </w:style>
  <w:style w:type="character" w:customStyle="1" w:styleId="283">
    <w:name w:val="不明显参考1"/>
    <w:qFormat/>
    <w:uiPriority w:val="0"/>
    <w:rPr>
      <w:smallCaps/>
      <w:color w:val="C0504D"/>
      <w:u w:val="single"/>
    </w:rPr>
  </w:style>
  <w:style w:type="character" w:customStyle="1" w:styleId="284">
    <w:name w:val="password"/>
    <w:qFormat/>
    <w:uiPriority w:val="0"/>
    <w:rPr>
      <w:szCs w:val="20"/>
    </w:rPr>
  </w:style>
  <w:style w:type="character" w:customStyle="1" w:styleId="285">
    <w:name w:val="题注 Char1"/>
    <w:qFormat/>
    <w:uiPriority w:val="0"/>
    <w:rPr>
      <w:rFonts w:ascii="Arial" w:hAnsi="Arial" w:eastAsia="黑体" w:cs="Arial"/>
      <w:kern w:val="2"/>
    </w:rPr>
  </w:style>
  <w:style w:type="character" w:customStyle="1" w:styleId="286">
    <w:name w:val="标题 7 Char"/>
    <w:qFormat/>
    <w:uiPriority w:val="0"/>
    <w:rPr>
      <w:rFonts w:ascii="Arial" w:hAnsi="Arial" w:eastAsia="黑体"/>
      <w:b/>
      <w:sz w:val="21"/>
      <w:szCs w:val="21"/>
    </w:rPr>
  </w:style>
  <w:style w:type="character" w:customStyle="1" w:styleId="287">
    <w:name w:val="强调划线"/>
    <w:qFormat/>
    <w:uiPriority w:val="0"/>
    <w:rPr>
      <w:u w:val="single"/>
    </w:rPr>
  </w:style>
  <w:style w:type="character" w:customStyle="1" w:styleId="288">
    <w:name w:val="正文文本缩进 2 Char1"/>
    <w:qFormat/>
    <w:uiPriority w:val="0"/>
    <w:rPr>
      <w:kern w:val="2"/>
      <w:sz w:val="21"/>
      <w:szCs w:val="24"/>
    </w:rPr>
  </w:style>
  <w:style w:type="character" w:customStyle="1" w:styleId="289">
    <w:name w:val="HTML 预设格式 Char1"/>
    <w:qFormat/>
    <w:uiPriority w:val="99"/>
    <w:rPr>
      <w:rFonts w:ascii="Courier New" w:hAnsi="Courier New" w:cs="Courier New"/>
      <w:kern w:val="2"/>
    </w:rPr>
  </w:style>
  <w:style w:type="character" w:customStyle="1" w:styleId="290">
    <w:name w:val="red"/>
    <w:qFormat/>
    <w:uiPriority w:val="0"/>
    <w:rPr>
      <w:color w:val="FF0000"/>
      <w:szCs w:val="20"/>
    </w:rPr>
  </w:style>
  <w:style w:type="character" w:customStyle="1" w:styleId="291">
    <w:name w:val="签名 Char1"/>
    <w:qFormat/>
    <w:uiPriority w:val="99"/>
    <w:rPr>
      <w:kern w:val="2"/>
      <w:sz w:val="21"/>
      <w:szCs w:val="24"/>
    </w:rPr>
  </w:style>
  <w:style w:type="character" w:customStyle="1" w:styleId="292">
    <w:name w:val="文档结构图 Char2"/>
    <w:qFormat/>
    <w:uiPriority w:val="0"/>
    <w:rPr>
      <w:rFonts w:ascii="Microsoft YaHei UI" w:eastAsia="Microsoft YaHei UI"/>
      <w:sz w:val="18"/>
      <w:szCs w:val="18"/>
    </w:rPr>
  </w:style>
  <w:style w:type="character" w:customStyle="1" w:styleId="293">
    <w:name w:val="111 Char"/>
    <w:link w:val="294"/>
    <w:qFormat/>
    <w:uiPriority w:val="0"/>
    <w:rPr>
      <w:kern w:val="2"/>
    </w:rPr>
  </w:style>
  <w:style w:type="paragraph" w:customStyle="1" w:styleId="294">
    <w:name w:val="111"/>
    <w:basedOn w:val="148"/>
    <w:link w:val="293"/>
    <w:qFormat/>
    <w:uiPriority w:val="0"/>
    <w:pPr>
      <w:numPr>
        <w:ilvl w:val="0"/>
        <w:numId w:val="5"/>
      </w:numPr>
      <w:ind w:firstLine="0" w:firstLineChars="0"/>
    </w:pPr>
  </w:style>
  <w:style w:type="character" w:customStyle="1" w:styleId="295">
    <w:name w:val="页眉 Char1"/>
    <w:qFormat/>
    <w:uiPriority w:val="0"/>
    <w:rPr>
      <w:kern w:val="2"/>
      <w:sz w:val="18"/>
      <w:szCs w:val="18"/>
    </w:rPr>
  </w:style>
  <w:style w:type="character" w:customStyle="1" w:styleId="296">
    <w:name w:val="aaaaaaaaaaaaaa Char Char"/>
    <w:link w:val="297"/>
    <w:qFormat/>
    <w:uiPriority w:val="0"/>
    <w:rPr>
      <w:kern w:val="2"/>
    </w:rPr>
  </w:style>
  <w:style w:type="paragraph" w:customStyle="1" w:styleId="297">
    <w:name w:val="aaaaaaaaaaaaaa"/>
    <w:basedOn w:val="1"/>
    <w:link w:val="296"/>
    <w:qFormat/>
    <w:uiPriority w:val="0"/>
    <w:pPr>
      <w:spacing w:line="360" w:lineRule="auto"/>
      <w:ind w:firstLine="485" w:firstLineChars="202"/>
    </w:pPr>
    <w:rPr>
      <w:sz w:val="20"/>
      <w:szCs w:val="20"/>
    </w:rPr>
  </w:style>
  <w:style w:type="character" w:customStyle="1" w:styleId="298">
    <w:name w:val="页眉注释 Char Char"/>
    <w:qFormat/>
    <w:uiPriority w:val="0"/>
    <w:rPr>
      <w:rFonts w:ascii="华文细黑" w:hAnsi="华文细黑" w:eastAsia="华文细黑"/>
      <w:b/>
      <w:color w:val="FFFFFF"/>
      <w:kern w:val="2"/>
      <w:sz w:val="18"/>
      <w:szCs w:val="18"/>
    </w:rPr>
  </w:style>
  <w:style w:type="character" w:customStyle="1" w:styleId="299">
    <w:name w:val="大标题 Char"/>
    <w:link w:val="300"/>
    <w:qFormat/>
    <w:uiPriority w:val="0"/>
    <w:rPr>
      <w:rFonts w:ascii="黑体" w:hAnsi="黑体" w:eastAsia="黑体"/>
      <w:b/>
      <w:bCs/>
      <w:kern w:val="2"/>
      <w:sz w:val="72"/>
      <w:szCs w:val="72"/>
    </w:rPr>
  </w:style>
  <w:style w:type="paragraph" w:customStyle="1" w:styleId="300">
    <w:name w:val="大标题"/>
    <w:basedOn w:val="1"/>
    <w:link w:val="299"/>
    <w:qFormat/>
    <w:uiPriority w:val="0"/>
    <w:pPr>
      <w:spacing w:line="40" w:lineRule="atLeast"/>
    </w:pPr>
    <w:rPr>
      <w:rFonts w:ascii="黑体" w:hAnsi="黑体" w:eastAsia="黑体"/>
      <w:b/>
      <w:bCs/>
      <w:sz w:val="72"/>
      <w:szCs w:val="72"/>
    </w:rPr>
  </w:style>
  <w:style w:type="character" w:customStyle="1" w:styleId="301">
    <w:name w:val="正文文本 2 Char"/>
    <w:qFormat/>
    <w:uiPriority w:val="0"/>
  </w:style>
  <w:style w:type="character" w:customStyle="1" w:styleId="302">
    <w:name w:val="Ò³Ã¼ Char Char2"/>
    <w:qFormat/>
    <w:uiPriority w:val="0"/>
    <w:rPr>
      <w:rFonts w:ascii="仿宋_GB2312" w:eastAsia="仿宋_GB2312"/>
      <w:b/>
      <w:kern w:val="2"/>
      <w:sz w:val="18"/>
      <w:szCs w:val="18"/>
    </w:rPr>
  </w:style>
  <w:style w:type="character" w:customStyle="1" w:styleId="303">
    <w:name w:val="脚注文本 Char1"/>
    <w:qFormat/>
    <w:uiPriority w:val="99"/>
    <w:rPr>
      <w:kern w:val="2"/>
      <w:sz w:val="18"/>
      <w:szCs w:val="18"/>
    </w:rPr>
  </w:style>
  <w:style w:type="character" w:customStyle="1" w:styleId="304">
    <w:name w:val="标题 2 Char"/>
    <w:qFormat/>
    <w:uiPriority w:val="0"/>
    <w:rPr>
      <w:rFonts w:ascii="Arial" w:hAnsi="Arial" w:eastAsia="黑体"/>
      <w:b/>
      <w:bCs/>
      <w:kern w:val="2"/>
      <w:sz w:val="32"/>
      <w:szCs w:val="32"/>
      <w:lang w:val="en-US" w:eastAsia="zh-CN" w:bidi="ar-SA"/>
    </w:rPr>
  </w:style>
  <w:style w:type="character" w:customStyle="1" w:styleId="305">
    <w:name w:val="样式 标题 3 + 黑体 小四 Char Char"/>
    <w:link w:val="306"/>
    <w:qFormat/>
    <w:uiPriority w:val="0"/>
    <w:rPr>
      <w:rFonts w:ascii="黑体" w:hAnsi="Arial" w:eastAsia="黑体"/>
      <w:bCs/>
      <w:sz w:val="24"/>
      <w:szCs w:val="24"/>
    </w:rPr>
  </w:style>
  <w:style w:type="paragraph" w:customStyle="1" w:styleId="306">
    <w:name w:val="样式 标题 3 + 黑体 小四"/>
    <w:basedOn w:val="5"/>
    <w:link w:val="305"/>
    <w:qFormat/>
    <w:uiPriority w:val="0"/>
    <w:pPr>
      <w:spacing w:line="413" w:lineRule="auto"/>
    </w:pPr>
    <w:rPr>
      <w:rFonts w:ascii="黑体" w:hAnsi="Arial" w:eastAsia="黑体"/>
      <w:b w:val="0"/>
      <w:kern w:val="0"/>
      <w:sz w:val="24"/>
      <w:szCs w:val="24"/>
    </w:rPr>
  </w:style>
  <w:style w:type="character" w:customStyle="1" w:styleId="307">
    <w:name w:val="文档正文 Char"/>
    <w:link w:val="308"/>
    <w:qFormat/>
    <w:uiPriority w:val="0"/>
    <w:rPr>
      <w:sz w:val="24"/>
    </w:rPr>
  </w:style>
  <w:style w:type="paragraph" w:customStyle="1" w:styleId="308">
    <w:name w:val="文档正文"/>
    <w:basedOn w:val="1"/>
    <w:link w:val="307"/>
    <w:qFormat/>
    <w:uiPriority w:val="0"/>
    <w:pPr>
      <w:adjustRightInd w:val="0"/>
      <w:spacing w:line="300" w:lineRule="auto"/>
      <w:ind w:firstLine="567"/>
      <w:textAlignment w:val="baseline"/>
    </w:pPr>
    <w:rPr>
      <w:kern w:val="0"/>
      <w:sz w:val="24"/>
      <w:szCs w:val="20"/>
    </w:rPr>
  </w:style>
  <w:style w:type="character" w:customStyle="1" w:styleId="309">
    <w:name w:val="批注框文本 Char1"/>
    <w:qFormat/>
    <w:uiPriority w:val="99"/>
    <w:rPr>
      <w:rFonts w:hint="eastAsia" w:ascii="Heiti SC Light" w:hAnsi="宋体" w:eastAsia="Heiti SC Light" w:cs="Times New Roman"/>
      <w:sz w:val="18"/>
      <w:szCs w:val="18"/>
    </w:rPr>
  </w:style>
  <w:style w:type="character" w:customStyle="1" w:styleId="310">
    <w:name w:val="PI Char1"/>
    <w:qFormat/>
    <w:uiPriority w:val="0"/>
    <w:rPr>
      <w:rFonts w:ascii="仿宋_GB2312" w:eastAsia="宋体"/>
      <w:b/>
      <w:kern w:val="2"/>
      <w:sz w:val="24"/>
      <w:szCs w:val="24"/>
      <w:lang w:val="en-US" w:eastAsia="zh-CN" w:bidi="ar-SA"/>
    </w:rPr>
  </w:style>
  <w:style w:type="character" w:customStyle="1" w:styleId="311">
    <w:name w:val="正文居中 Char"/>
    <w:link w:val="312"/>
    <w:qFormat/>
    <w:uiPriority w:val="0"/>
    <w:rPr>
      <w:kern w:val="2"/>
      <w:sz w:val="21"/>
      <w:szCs w:val="24"/>
    </w:rPr>
  </w:style>
  <w:style w:type="paragraph" w:customStyle="1" w:styleId="312">
    <w:name w:val="正文居中"/>
    <w:basedOn w:val="1"/>
    <w:link w:val="311"/>
    <w:qFormat/>
    <w:uiPriority w:val="0"/>
    <w:pPr>
      <w:jc w:val="center"/>
    </w:pPr>
  </w:style>
  <w:style w:type="character" w:customStyle="1" w:styleId="313">
    <w:name w:val="Char Char"/>
    <w:qFormat/>
    <w:uiPriority w:val="0"/>
    <w:rPr>
      <w:rFonts w:ascii="宋体" w:hAnsi="Courier New" w:eastAsia="宋体"/>
      <w:kern w:val="2"/>
      <w:sz w:val="21"/>
      <w:lang w:val="en-US" w:eastAsia="zh-CN" w:bidi="ar-SA"/>
    </w:rPr>
  </w:style>
  <w:style w:type="character" w:customStyle="1" w:styleId="314">
    <w:name w:val="正文文本缩进 Char"/>
    <w:qFormat/>
    <w:uiPriority w:val="0"/>
    <w:rPr>
      <w:rFonts w:ascii="宋体" w:hAnsi="宋体"/>
      <w:kern w:val="2"/>
      <w:sz w:val="24"/>
    </w:rPr>
  </w:style>
  <w:style w:type="character" w:customStyle="1" w:styleId="315">
    <w:name w:val="Style1"/>
    <w:qFormat/>
    <w:uiPriority w:val="0"/>
    <w:rPr>
      <w:rFonts w:ascii="Calibri" w:hAnsi="宋体" w:eastAsia="宋体" w:cs="Times New Roman"/>
      <w:sz w:val="22"/>
      <w:szCs w:val="22"/>
      <w:lang w:eastAsia="zh-CN"/>
    </w:rPr>
  </w:style>
  <w:style w:type="character" w:customStyle="1" w:styleId="316">
    <w:name w:val="题注(图注) Char"/>
    <w:qFormat/>
    <w:uiPriority w:val="0"/>
    <w:rPr>
      <w:rFonts w:ascii="Arial Unicode MS" w:hAnsi="Arial Unicode MS" w:eastAsia="宋体" w:cs="宋体"/>
      <w:szCs w:val="20"/>
      <w:lang w:val="en-US" w:eastAsia="zh-CN"/>
    </w:rPr>
  </w:style>
  <w:style w:type="character" w:customStyle="1" w:styleId="317">
    <w:name w:val="注释题目"/>
    <w:qFormat/>
    <w:uiPriority w:val="0"/>
    <w:rPr>
      <w:rFonts w:eastAsia="黑体"/>
      <w:sz w:val="28"/>
      <w:u w:val="none"/>
    </w:rPr>
  </w:style>
  <w:style w:type="character" w:customStyle="1" w:styleId="318">
    <w:name w:val="宏文本 Char2"/>
    <w:qFormat/>
    <w:uiPriority w:val="99"/>
    <w:rPr>
      <w:rFonts w:ascii="Courier New" w:hAnsi="Courier New" w:cs="Courier New"/>
      <w:kern w:val="2"/>
      <w:sz w:val="24"/>
      <w:szCs w:val="24"/>
    </w:rPr>
  </w:style>
  <w:style w:type="character" w:customStyle="1" w:styleId="319">
    <w:name w:val="副标题 Char2"/>
    <w:qFormat/>
    <w:uiPriority w:val="11"/>
    <w:rPr>
      <w:rFonts w:ascii="Cambria" w:hAnsi="Cambria" w:cs="Times New Roman"/>
      <w:b/>
      <w:bCs/>
      <w:kern w:val="28"/>
      <w:sz w:val="32"/>
      <w:szCs w:val="32"/>
    </w:rPr>
  </w:style>
  <w:style w:type="character" w:customStyle="1" w:styleId="320">
    <w:name w:val="zbggmain style9"/>
    <w:qFormat/>
    <w:uiPriority w:val="0"/>
    <w:rPr>
      <w:szCs w:val="20"/>
    </w:rPr>
  </w:style>
  <w:style w:type="character" w:customStyle="1" w:styleId="321">
    <w:name w:val="正文首行缩进 2 Char"/>
    <w:qFormat/>
    <w:uiPriority w:val="0"/>
    <w:rPr>
      <w:rFonts w:ascii="宋体" w:hAnsi="宋体"/>
      <w:kern w:val="2"/>
      <w:sz w:val="24"/>
      <w:szCs w:val="24"/>
    </w:rPr>
  </w:style>
  <w:style w:type="character" w:customStyle="1" w:styleId="322">
    <w:name w:val="批注主题 Char2"/>
    <w:qFormat/>
    <w:uiPriority w:val="99"/>
    <w:rPr>
      <w:b/>
      <w:bCs/>
      <w:kern w:val="2"/>
      <w:sz w:val="21"/>
      <w:szCs w:val="24"/>
    </w:rPr>
  </w:style>
  <w:style w:type="character" w:customStyle="1" w:styleId="323">
    <w:name w:val="纯文本 Char"/>
    <w:qFormat/>
    <w:uiPriority w:val="0"/>
    <w:rPr>
      <w:rFonts w:ascii="仿宋_GB2312" w:hAnsi="Wingdings" w:eastAsia="仿宋_GB2312"/>
      <w:sz w:val="21"/>
      <w:szCs w:val="21"/>
      <w:lang w:val="en-US" w:eastAsia="zh-CN" w:bidi="ar-SA"/>
    </w:rPr>
  </w:style>
  <w:style w:type="character" w:customStyle="1" w:styleId="324">
    <w:name w:val="表正文 Char2"/>
    <w:qFormat/>
    <w:uiPriority w:val="0"/>
    <w:rPr>
      <w:rFonts w:ascii="Times New Roman" w:hAnsi="Times New Roman" w:eastAsia="宋体" w:cs="Times New Roman"/>
      <w:szCs w:val="24"/>
    </w:rPr>
  </w:style>
  <w:style w:type="character" w:customStyle="1" w:styleId="325">
    <w:name w:val="正文首行缩进 Char3"/>
    <w:qFormat/>
    <w:uiPriority w:val="99"/>
    <w:rPr>
      <w:lang w:val="en-US" w:eastAsia="zh-CN" w:bidi="ar-SA"/>
    </w:rPr>
  </w:style>
  <w:style w:type="character" w:customStyle="1" w:styleId="326">
    <w:name w:val="标题 1 Char"/>
    <w:qFormat/>
    <w:uiPriority w:val="0"/>
    <w:rPr>
      <w:rFonts w:eastAsia="宋体"/>
      <w:b/>
      <w:bCs/>
      <w:kern w:val="44"/>
      <w:sz w:val="44"/>
      <w:szCs w:val="44"/>
      <w:lang w:val="en-US" w:eastAsia="zh-CN" w:bidi="ar-SA"/>
    </w:rPr>
  </w:style>
  <w:style w:type="character" w:customStyle="1" w:styleId="327">
    <w:name w:val="纯文本 Char2"/>
    <w:qFormat/>
    <w:uiPriority w:val="99"/>
    <w:rPr>
      <w:rFonts w:ascii="宋体" w:hAnsi="Courier New" w:cs="Courier New"/>
      <w:kern w:val="2"/>
      <w:sz w:val="21"/>
      <w:szCs w:val="21"/>
    </w:rPr>
  </w:style>
  <w:style w:type="character" w:customStyle="1" w:styleId="328">
    <w:name w:val="文档结构图 Char3"/>
    <w:qFormat/>
    <w:uiPriority w:val="99"/>
    <w:rPr>
      <w:rFonts w:ascii="宋体"/>
      <w:kern w:val="2"/>
      <w:sz w:val="18"/>
      <w:szCs w:val="18"/>
    </w:rPr>
  </w:style>
  <w:style w:type="character" w:customStyle="1" w:styleId="329">
    <w:name w:val="日期 Char"/>
    <w:qFormat/>
    <w:uiPriority w:val="99"/>
    <w:rPr>
      <w:spacing w:val="12"/>
      <w:kern w:val="2"/>
      <w:sz w:val="24"/>
    </w:rPr>
  </w:style>
  <w:style w:type="character" w:customStyle="1" w:styleId="330">
    <w:name w:val="正文缩进 Char2"/>
    <w:qFormat/>
    <w:uiPriority w:val="0"/>
    <w:rPr>
      <w:rFonts w:ascii="Tahoma" w:hAnsi="Tahoma" w:eastAsia="宋体"/>
      <w:b/>
      <w:bCs/>
      <w:kern w:val="2"/>
      <w:sz w:val="24"/>
      <w:szCs w:val="24"/>
      <w:lang w:val="en-US" w:eastAsia="zh-CN" w:bidi="ar-SA"/>
    </w:rPr>
  </w:style>
  <w:style w:type="character" w:customStyle="1" w:styleId="331">
    <w:name w:val="副标题 Char"/>
    <w:qFormat/>
    <w:uiPriority w:val="0"/>
    <w:rPr>
      <w:rFonts w:ascii="Cambria" w:hAnsi="Cambria"/>
      <w:b/>
      <w:bCs/>
      <w:kern w:val="28"/>
      <w:sz w:val="32"/>
      <w:szCs w:val="32"/>
    </w:rPr>
  </w:style>
  <w:style w:type="character" w:customStyle="1" w:styleId="332">
    <w:name w:val="正文靠右 Char"/>
    <w:link w:val="333"/>
    <w:qFormat/>
    <w:uiPriority w:val="0"/>
    <w:rPr>
      <w:kern w:val="2"/>
      <w:sz w:val="21"/>
      <w:szCs w:val="24"/>
    </w:rPr>
  </w:style>
  <w:style w:type="paragraph" w:customStyle="1" w:styleId="333">
    <w:name w:val="正文靠右"/>
    <w:basedOn w:val="1"/>
    <w:link w:val="332"/>
    <w:qFormat/>
    <w:uiPriority w:val="0"/>
    <w:pPr>
      <w:jc w:val="right"/>
    </w:pPr>
  </w:style>
  <w:style w:type="character" w:customStyle="1" w:styleId="334">
    <w:name w:val="p91"/>
    <w:qFormat/>
    <w:uiPriority w:val="0"/>
    <w:rPr>
      <w:rFonts w:hint="eastAsia" w:ascii="宋体" w:hAnsi="宋体" w:eastAsia="宋体"/>
      <w:spacing w:val="360"/>
      <w:sz w:val="18"/>
      <w:szCs w:val="18"/>
    </w:rPr>
  </w:style>
  <w:style w:type="character" w:customStyle="1" w:styleId="335">
    <w:name w:val="size31"/>
    <w:qFormat/>
    <w:uiPriority w:val="0"/>
    <w:rPr>
      <w:rFonts w:hint="default" w:ascii="Arial" w:hAnsi="Arial" w:cs="Arial"/>
      <w:color w:val="2D2D2D"/>
      <w:spacing w:val="285"/>
      <w:sz w:val="18"/>
      <w:szCs w:val="18"/>
    </w:rPr>
  </w:style>
  <w:style w:type="character" w:customStyle="1" w:styleId="336">
    <w:name w:val="2级 Char"/>
    <w:link w:val="337"/>
    <w:qFormat/>
    <w:uiPriority w:val="0"/>
    <w:rPr>
      <w:rFonts w:ascii="Cambria" w:hAnsi="Cambria"/>
      <w:b/>
      <w:bCs/>
      <w:sz w:val="28"/>
      <w:szCs w:val="32"/>
    </w:rPr>
  </w:style>
  <w:style w:type="paragraph" w:customStyle="1" w:styleId="337">
    <w:name w:val="2级"/>
    <w:basedOn w:val="4"/>
    <w:next w:val="56"/>
    <w:link w:val="336"/>
    <w:qFormat/>
    <w:uiPriority w:val="0"/>
    <w:pPr>
      <w:spacing w:line="416" w:lineRule="auto"/>
    </w:pPr>
    <w:rPr>
      <w:rFonts w:ascii="Cambria" w:hAnsi="Cambria" w:eastAsia="宋体"/>
      <w:kern w:val="0"/>
      <w:sz w:val="28"/>
    </w:rPr>
  </w:style>
  <w:style w:type="character" w:customStyle="1" w:styleId="338">
    <w:name w:val="页眉注释 Char"/>
    <w:link w:val="339"/>
    <w:qFormat/>
    <w:uiPriority w:val="0"/>
    <w:rPr>
      <w:rFonts w:ascii="华文细黑" w:hAnsi="华文细黑" w:eastAsia="华文细黑"/>
      <w:b/>
      <w:color w:val="FFFFFF"/>
      <w:kern w:val="2"/>
      <w:sz w:val="18"/>
      <w:szCs w:val="18"/>
    </w:rPr>
  </w:style>
  <w:style w:type="paragraph" w:customStyle="1" w:styleId="339">
    <w:name w:val="页眉注释"/>
    <w:basedOn w:val="1"/>
    <w:link w:val="338"/>
    <w:qFormat/>
    <w:uiPriority w:val="0"/>
    <w:pPr>
      <w:spacing w:line="0" w:lineRule="atLeast"/>
      <w:jc w:val="center"/>
    </w:pPr>
    <w:rPr>
      <w:rFonts w:ascii="华文细黑" w:hAnsi="华文细黑" w:eastAsia="华文细黑"/>
      <w:b/>
      <w:color w:val="FFFFFF"/>
      <w:sz w:val="18"/>
      <w:szCs w:val="18"/>
    </w:rPr>
  </w:style>
  <w:style w:type="character" w:customStyle="1" w:styleId="340">
    <w:name w:val="正文（首行缩进2字符） Char"/>
    <w:link w:val="341"/>
    <w:qFormat/>
    <w:uiPriority w:val="0"/>
    <w:rPr>
      <w:kern w:val="2"/>
      <w:sz w:val="22"/>
      <w:szCs w:val="24"/>
    </w:rPr>
  </w:style>
  <w:style w:type="paragraph" w:customStyle="1" w:styleId="341">
    <w:name w:val="正文（首行缩进2字符）"/>
    <w:basedOn w:val="1"/>
    <w:link w:val="340"/>
    <w:qFormat/>
    <w:uiPriority w:val="0"/>
    <w:pPr>
      <w:jc w:val="center"/>
    </w:pPr>
    <w:rPr>
      <w:sz w:val="22"/>
    </w:rPr>
  </w:style>
  <w:style w:type="character" w:customStyle="1" w:styleId="342">
    <w:name w:val="正文文本 2 Char1"/>
    <w:qFormat/>
    <w:uiPriority w:val="0"/>
    <w:rPr>
      <w:rFonts w:ascii="Calibri" w:hAnsi="Calibri" w:cs="黑体"/>
      <w:kern w:val="2"/>
      <w:sz w:val="24"/>
      <w:szCs w:val="22"/>
    </w:rPr>
  </w:style>
  <w:style w:type="character" w:customStyle="1" w:styleId="343">
    <w:name w:val="脚注文本 Char"/>
    <w:qFormat/>
    <w:uiPriority w:val="99"/>
    <w:rPr>
      <w:kern w:val="2"/>
      <w:sz w:val="18"/>
      <w:szCs w:val="18"/>
    </w:rPr>
  </w:style>
  <w:style w:type="character" w:customStyle="1" w:styleId="344">
    <w:name w:val="宏文本 Char1"/>
    <w:qFormat/>
    <w:uiPriority w:val="99"/>
    <w:rPr>
      <w:rFonts w:ascii="Courier New" w:hAnsi="Courier New" w:cs="Courier New"/>
      <w:kern w:val="2"/>
      <w:sz w:val="24"/>
      <w:szCs w:val="24"/>
    </w:rPr>
  </w:style>
  <w:style w:type="character" w:customStyle="1" w:styleId="345">
    <w:name w:val="标书标题 3 Char Char Char"/>
    <w:link w:val="346"/>
    <w:qFormat/>
    <w:uiPriority w:val="0"/>
    <w:rPr>
      <w:rFonts w:ascii="Arial" w:hAnsi="Arial" w:eastAsia="仿宋_GB2312" w:cs="Times New Roman"/>
      <w:b/>
      <w:kern w:val="2"/>
      <w:sz w:val="24"/>
      <w:szCs w:val="32"/>
    </w:rPr>
  </w:style>
  <w:style w:type="paragraph" w:customStyle="1" w:styleId="346">
    <w:name w:val="标书标题 3 Char"/>
    <w:basedOn w:val="1"/>
    <w:link w:val="345"/>
    <w:qFormat/>
    <w:uiPriority w:val="0"/>
    <w:pPr>
      <w:tabs>
        <w:tab w:val="left" w:pos="720"/>
      </w:tabs>
      <w:spacing w:line="360" w:lineRule="auto"/>
      <w:outlineLvl w:val="2"/>
    </w:pPr>
    <w:rPr>
      <w:rFonts w:ascii="Arial" w:hAnsi="Arial" w:eastAsia="仿宋_GB2312"/>
      <w:b/>
      <w:sz w:val="24"/>
      <w:szCs w:val="32"/>
    </w:rPr>
  </w:style>
  <w:style w:type="character" w:customStyle="1" w:styleId="347">
    <w:name w:val="heading 2 Char2"/>
    <w:qFormat/>
    <w:uiPriority w:val="0"/>
    <w:rPr>
      <w:rFonts w:ascii="Cambria" w:hAnsi="Cambria" w:eastAsia="仿宋_GB2312"/>
      <w:b/>
      <w:bCs/>
      <w:kern w:val="2"/>
      <w:sz w:val="32"/>
      <w:szCs w:val="32"/>
    </w:rPr>
  </w:style>
  <w:style w:type="character" w:customStyle="1" w:styleId="348">
    <w:name w:val="me04"/>
    <w:qFormat/>
    <w:uiPriority w:val="0"/>
    <w:rPr>
      <w:rFonts w:ascii="仿宋_GB2312" w:hAnsi="Tahoma" w:eastAsia="仿宋_GB2312"/>
      <w:b/>
      <w:sz w:val="32"/>
      <w:szCs w:val="32"/>
    </w:rPr>
  </w:style>
  <w:style w:type="character" w:customStyle="1" w:styleId="349">
    <w:name w:val="注释标题 Char2"/>
    <w:qFormat/>
    <w:uiPriority w:val="99"/>
    <w:rPr>
      <w:kern w:val="2"/>
      <w:sz w:val="21"/>
      <w:szCs w:val="24"/>
    </w:rPr>
  </w:style>
  <w:style w:type="character" w:customStyle="1" w:styleId="350">
    <w:name w:val="正文文本缩进 2 Char"/>
    <w:qFormat/>
    <w:uiPriority w:val="0"/>
    <w:rPr>
      <w:kern w:val="2"/>
      <w:sz w:val="21"/>
      <w:szCs w:val="24"/>
    </w:rPr>
  </w:style>
  <w:style w:type="character" w:customStyle="1" w:styleId="351">
    <w:name w:val="font161"/>
    <w:qFormat/>
    <w:uiPriority w:val="0"/>
    <w:rPr>
      <w:b/>
      <w:bCs/>
      <w:sz w:val="32"/>
      <w:szCs w:val="32"/>
    </w:rPr>
  </w:style>
  <w:style w:type="character" w:customStyle="1" w:styleId="352">
    <w:name w:val="Char Char16"/>
    <w:qFormat/>
    <w:uiPriority w:val="0"/>
    <w:rPr>
      <w:rFonts w:ascii="仿宋_GB2312" w:eastAsia="仿宋_GB2312"/>
      <w:b/>
      <w:bCs/>
      <w:kern w:val="2"/>
      <w:sz w:val="28"/>
      <w:szCs w:val="28"/>
    </w:rPr>
  </w:style>
  <w:style w:type="character" w:customStyle="1" w:styleId="353">
    <w:name w:val="编号正文缩进 Char"/>
    <w:link w:val="354"/>
    <w:qFormat/>
    <w:uiPriority w:val="0"/>
    <w:rPr>
      <w:sz w:val="24"/>
    </w:rPr>
  </w:style>
  <w:style w:type="paragraph" w:customStyle="1" w:styleId="354">
    <w:name w:val="编号正文缩进"/>
    <w:basedOn w:val="15"/>
    <w:link w:val="353"/>
    <w:qFormat/>
    <w:uiPriority w:val="0"/>
    <w:pPr>
      <w:numPr>
        <w:ilvl w:val="0"/>
        <w:numId w:val="6"/>
      </w:numPr>
      <w:spacing w:line="400" w:lineRule="atLeast"/>
    </w:pPr>
    <w:rPr>
      <w:sz w:val="24"/>
    </w:rPr>
  </w:style>
  <w:style w:type="character" w:customStyle="1" w:styleId="355">
    <w:name w:val="smalltxt1"/>
    <w:qFormat/>
    <w:uiPriority w:val="0"/>
    <w:rPr>
      <w:rFonts w:hint="default" w:ascii="ˎ̥" w:hAnsi="ˎ̥" w:eastAsia="仿宋_GB2312"/>
      <w:b/>
      <w:sz w:val="24"/>
      <w:szCs w:val="24"/>
    </w:rPr>
  </w:style>
  <w:style w:type="character" w:customStyle="1" w:styleId="356">
    <w:name w:val="注释标题 Char"/>
    <w:qFormat/>
    <w:uiPriority w:val="0"/>
    <w:rPr>
      <w:rFonts w:eastAsia="黑体"/>
      <w:kern w:val="2"/>
      <w:sz w:val="28"/>
    </w:rPr>
  </w:style>
  <w:style w:type="character" w:customStyle="1" w:styleId="357">
    <w:name w:val="批注文字 Char"/>
    <w:qFormat/>
    <w:uiPriority w:val="0"/>
    <w:rPr>
      <w:rFonts w:eastAsia="宋体"/>
      <w:kern w:val="2"/>
      <w:sz w:val="21"/>
      <w:szCs w:val="24"/>
      <w:lang w:val="en-US" w:eastAsia="zh-CN" w:bidi="ar-SA"/>
    </w:rPr>
  </w:style>
  <w:style w:type="character" w:customStyle="1" w:styleId="358">
    <w:name w:val="正文文本 3 Char1"/>
    <w:qFormat/>
    <w:uiPriority w:val="99"/>
    <w:rPr>
      <w:kern w:val="2"/>
      <w:sz w:val="16"/>
      <w:szCs w:val="16"/>
    </w:rPr>
  </w:style>
  <w:style w:type="character" w:customStyle="1" w:styleId="359">
    <w:name w:val="headline-content"/>
    <w:qFormat/>
    <w:uiPriority w:val="0"/>
  </w:style>
  <w:style w:type="character" w:customStyle="1" w:styleId="360">
    <w:name w:val="op-map-singlepoint-info-right1"/>
    <w:qFormat/>
    <w:uiPriority w:val="0"/>
    <w:rPr>
      <w:szCs w:val="20"/>
    </w:rPr>
  </w:style>
  <w:style w:type="character" w:customStyle="1" w:styleId="361">
    <w:name w:val="正文首行缩进 Char1"/>
    <w:qFormat/>
    <w:uiPriority w:val="0"/>
    <w:rPr>
      <w:rFonts w:ascii="Tahoma" w:hAnsi="Tahoma"/>
      <w:kern w:val="2"/>
      <w:sz w:val="21"/>
      <w:szCs w:val="24"/>
    </w:rPr>
  </w:style>
  <w:style w:type="character" w:customStyle="1" w:styleId="362">
    <w:name w:val="med1"/>
    <w:qFormat/>
    <w:uiPriority w:val="0"/>
  </w:style>
  <w:style w:type="character" w:customStyle="1" w:styleId="363">
    <w:name w:val="样式 宋体"/>
    <w:qFormat/>
    <w:uiPriority w:val="0"/>
    <w:rPr>
      <w:rFonts w:ascii="宋体" w:hAnsi="宋体" w:eastAsia="宋体"/>
      <w:b/>
      <w:sz w:val="24"/>
      <w:szCs w:val="24"/>
    </w:rPr>
  </w:style>
  <w:style w:type="character" w:customStyle="1" w:styleId="364">
    <w:name w:val="目录标题 Char Char"/>
    <w:qFormat/>
    <w:uiPriority w:val="0"/>
    <w:rPr>
      <w:rFonts w:eastAsia="黑体"/>
      <w:b/>
      <w:bCs/>
      <w:kern w:val="2"/>
      <w:sz w:val="44"/>
      <w:szCs w:val="44"/>
    </w:rPr>
  </w:style>
  <w:style w:type="character" w:customStyle="1" w:styleId="365">
    <w:name w:val="标题 3 Char"/>
    <w:qFormat/>
    <w:uiPriority w:val="0"/>
    <w:rPr>
      <w:rFonts w:ascii="黑体" w:hAnsi="宋体" w:eastAsia="黑体"/>
      <w:bCs/>
      <w:kern w:val="2"/>
      <w:sz w:val="28"/>
      <w:szCs w:val="28"/>
      <w:lang w:val="en-US" w:eastAsia="zh-CN" w:bidi="ar-SA"/>
    </w:rPr>
  </w:style>
  <w:style w:type="character" w:customStyle="1" w:styleId="366">
    <w:name w:val="apple-style-span"/>
    <w:qFormat/>
    <w:uiPriority w:val="0"/>
  </w:style>
  <w:style w:type="character" w:styleId="367">
    <w:name w:val="Placeholder Text"/>
    <w:qFormat/>
    <w:uiPriority w:val="99"/>
    <w:rPr>
      <w:color w:val="808080"/>
    </w:rPr>
  </w:style>
  <w:style w:type="character" w:customStyle="1" w:styleId="368">
    <w:name w:val="Char Char201"/>
    <w:qFormat/>
    <w:uiPriority w:val="0"/>
    <w:rPr>
      <w:rFonts w:ascii="Cambria" w:hAnsi="Cambria" w:eastAsia="宋体" w:cs="Times New Roman"/>
      <w:b/>
      <w:bCs/>
      <w:sz w:val="32"/>
      <w:szCs w:val="32"/>
    </w:rPr>
  </w:style>
  <w:style w:type="character" w:customStyle="1" w:styleId="369">
    <w:name w:val="Char Char111"/>
    <w:qFormat/>
    <w:uiPriority w:val="0"/>
    <w:rPr>
      <w:rFonts w:ascii="Times New Roman" w:hAnsi="Times New Roman" w:eastAsia="宋体" w:cs="Times New Roman"/>
      <w:sz w:val="18"/>
      <w:szCs w:val="18"/>
    </w:rPr>
  </w:style>
  <w:style w:type="character" w:customStyle="1" w:styleId="370">
    <w:name w:val="称呼 Char1"/>
    <w:qFormat/>
    <w:uiPriority w:val="99"/>
    <w:rPr>
      <w:kern w:val="2"/>
      <w:sz w:val="21"/>
      <w:szCs w:val="24"/>
    </w:rPr>
  </w:style>
  <w:style w:type="character" w:customStyle="1" w:styleId="371">
    <w:name w:val="heading 3 Char1"/>
    <w:qFormat/>
    <w:uiPriority w:val="0"/>
    <w:rPr>
      <w:rFonts w:ascii="仿宋_GB2312" w:eastAsia="宋体"/>
      <w:b/>
      <w:bCs/>
      <w:kern w:val="2"/>
      <w:sz w:val="32"/>
      <w:szCs w:val="32"/>
      <w:lang w:val="en-US" w:eastAsia="zh-CN" w:bidi="ar-SA"/>
    </w:rPr>
  </w:style>
  <w:style w:type="character" w:customStyle="1" w:styleId="372">
    <w:name w:val="页脚 Char1"/>
    <w:qFormat/>
    <w:uiPriority w:val="0"/>
    <w:rPr>
      <w:kern w:val="2"/>
      <w:sz w:val="18"/>
      <w:szCs w:val="18"/>
    </w:rPr>
  </w:style>
  <w:style w:type="character" w:customStyle="1" w:styleId="373">
    <w:name w:val="PI Char2"/>
    <w:qFormat/>
    <w:uiPriority w:val="0"/>
    <w:rPr>
      <w:rFonts w:ascii="仿宋_GB2312" w:eastAsia="仿宋_GB2312"/>
      <w:b/>
      <w:kern w:val="2"/>
      <w:sz w:val="24"/>
      <w:szCs w:val="24"/>
    </w:rPr>
  </w:style>
  <w:style w:type="character" w:customStyle="1" w:styleId="374">
    <w:name w:val="heading 2 Char1"/>
    <w:qFormat/>
    <w:uiPriority w:val="0"/>
    <w:rPr>
      <w:rFonts w:ascii="Cambria" w:hAnsi="Cambria" w:eastAsia="宋体"/>
      <w:b/>
      <w:bCs/>
      <w:kern w:val="2"/>
      <w:sz w:val="32"/>
      <w:szCs w:val="32"/>
      <w:lang w:val="en-US" w:eastAsia="zh-CN" w:bidi="ar-SA"/>
    </w:rPr>
  </w:style>
  <w:style w:type="character" w:customStyle="1" w:styleId="375">
    <w:name w:val="标题 3 Char1"/>
    <w:qFormat/>
    <w:uiPriority w:val="0"/>
    <w:rPr>
      <w:b/>
      <w:bCs/>
      <w:kern w:val="2"/>
      <w:sz w:val="32"/>
      <w:szCs w:val="32"/>
    </w:rPr>
  </w:style>
  <w:style w:type="character" w:customStyle="1" w:styleId="376">
    <w:name w:val="heading 9 Char1"/>
    <w:qFormat/>
    <w:uiPriority w:val="0"/>
    <w:rPr>
      <w:rFonts w:ascii="Arial" w:hAnsi="Arial" w:eastAsia="黑体"/>
      <w:b/>
      <w:sz w:val="21"/>
      <w:szCs w:val="32"/>
      <w:lang w:val="en-US" w:eastAsia="zh-CN" w:bidi="ar-SA"/>
    </w:rPr>
  </w:style>
  <w:style w:type="character" w:customStyle="1" w:styleId="377">
    <w:name w:val="doc"/>
    <w:qFormat/>
    <w:uiPriority w:val="0"/>
    <w:rPr>
      <w:szCs w:val="20"/>
    </w:rPr>
  </w:style>
  <w:style w:type="character" w:customStyle="1" w:styleId="378">
    <w:name w:val="heading 7 Char1"/>
    <w:qFormat/>
    <w:uiPriority w:val="0"/>
    <w:rPr>
      <w:rFonts w:ascii="Arial" w:hAnsi="Arial" w:eastAsia="黑体"/>
      <w:b/>
      <w:sz w:val="21"/>
      <w:szCs w:val="21"/>
      <w:lang w:val="en-US" w:eastAsia="zh-CN" w:bidi="ar-SA"/>
    </w:rPr>
  </w:style>
  <w:style w:type="character" w:customStyle="1" w:styleId="379">
    <w:name w:val="批注主题 Char1"/>
    <w:qFormat/>
    <w:uiPriority w:val="0"/>
    <w:rPr>
      <w:b/>
      <w:bCs/>
      <w:kern w:val="2"/>
      <w:sz w:val="21"/>
      <w:szCs w:val="24"/>
    </w:rPr>
  </w:style>
  <w:style w:type="character" w:customStyle="1" w:styleId="380">
    <w:name w:val="明显引用 Char1"/>
    <w:qFormat/>
    <w:uiPriority w:val="99"/>
    <w:rPr>
      <w:rFonts w:ascii="Tahoma" w:hAnsi="Tahoma"/>
      <w:b/>
      <w:bCs/>
      <w:i/>
      <w:iCs/>
      <w:color w:val="4F81BD"/>
      <w:kern w:val="2"/>
      <w:sz w:val="21"/>
      <w:szCs w:val="24"/>
    </w:rPr>
  </w:style>
  <w:style w:type="character" w:customStyle="1" w:styleId="381">
    <w:name w:val="正文文本 字符"/>
    <w:qFormat/>
    <w:uiPriority w:val="0"/>
    <w:rPr>
      <w:rFonts w:eastAsia="Cambria"/>
      <w:kern w:val="2"/>
      <w:sz w:val="21"/>
      <w:szCs w:val="24"/>
      <w:lang w:val="en-US" w:eastAsia="zh-CN" w:bidi="ar-SA"/>
    </w:rPr>
  </w:style>
  <w:style w:type="character" w:customStyle="1" w:styleId="382">
    <w:name w:val="Char Char1"/>
    <w:qFormat/>
    <w:uiPriority w:val="0"/>
    <w:rPr>
      <w:rFonts w:ascii="宋体" w:hAnsi="Courier New" w:eastAsia="宋体"/>
      <w:kern w:val="2"/>
      <w:sz w:val="21"/>
      <w:lang w:val="en-US" w:eastAsia="zh-CN" w:bidi="ar-SA"/>
    </w:rPr>
  </w:style>
  <w:style w:type="character" w:customStyle="1" w:styleId="383">
    <w:name w:val="Char Char Char1"/>
    <w:qFormat/>
    <w:uiPriority w:val="0"/>
    <w:rPr>
      <w:rFonts w:ascii="宋体" w:hAnsi="Courier New" w:eastAsia="仿宋_GB2312"/>
      <w:b/>
      <w:sz w:val="21"/>
      <w:szCs w:val="21"/>
    </w:rPr>
  </w:style>
  <w:style w:type="character" w:customStyle="1" w:styleId="384">
    <w:name w:val="正文文本 2 Char2"/>
    <w:qFormat/>
    <w:uiPriority w:val="99"/>
    <w:rPr>
      <w:kern w:val="2"/>
      <w:sz w:val="21"/>
      <w:szCs w:val="24"/>
    </w:rPr>
  </w:style>
  <w:style w:type="character" w:customStyle="1" w:styleId="385">
    <w:name w:val="正文文本缩进 2 Char2"/>
    <w:qFormat/>
    <w:uiPriority w:val="99"/>
    <w:rPr>
      <w:kern w:val="2"/>
      <w:sz w:val="21"/>
      <w:szCs w:val="24"/>
    </w:rPr>
  </w:style>
  <w:style w:type="character" w:customStyle="1" w:styleId="386">
    <w:name w:val="Texte Char Char"/>
    <w:qFormat/>
    <w:uiPriority w:val="0"/>
    <w:rPr>
      <w:rFonts w:ascii="宋体" w:hAnsi="Courier New" w:eastAsia="宋体"/>
      <w:b/>
      <w:sz w:val="21"/>
      <w:szCs w:val="21"/>
      <w:lang w:val="en-US" w:eastAsia="zh-CN" w:bidi="ar-SA"/>
    </w:rPr>
  </w:style>
  <w:style w:type="character" w:customStyle="1" w:styleId="387">
    <w:name w:val="无间隔 Char"/>
    <w:link w:val="388"/>
    <w:qFormat/>
    <w:uiPriority w:val="0"/>
    <w:rPr>
      <w:sz w:val="22"/>
      <w:szCs w:val="22"/>
      <w:lang w:val="en-US" w:eastAsia="zh-CN" w:bidi="ar-SA"/>
    </w:rPr>
  </w:style>
  <w:style w:type="paragraph" w:customStyle="1" w:styleId="388">
    <w:name w:val="无间隔1"/>
    <w:link w:val="387"/>
    <w:qFormat/>
    <w:uiPriority w:val="0"/>
    <w:rPr>
      <w:rFonts w:ascii="Times New Roman" w:hAnsi="Times New Roman" w:eastAsia="宋体" w:cs="Times New Roman"/>
      <w:sz w:val="22"/>
      <w:szCs w:val="22"/>
      <w:lang w:val="en-US" w:eastAsia="zh-CN" w:bidi="ar-SA"/>
    </w:rPr>
  </w:style>
  <w:style w:type="character" w:customStyle="1" w:styleId="389">
    <w:name w:val="明显引用 Char"/>
    <w:link w:val="390"/>
    <w:qFormat/>
    <w:uiPriority w:val="0"/>
    <w:rPr>
      <w:rFonts w:ascii="Calibri" w:hAnsi="Calibri"/>
      <w:b/>
      <w:bCs/>
      <w:i/>
      <w:iCs/>
      <w:color w:val="4F81BD"/>
      <w:sz w:val="32"/>
      <w:szCs w:val="32"/>
    </w:rPr>
  </w:style>
  <w:style w:type="paragraph" w:customStyle="1" w:styleId="390">
    <w:name w:val="明显引用1"/>
    <w:basedOn w:val="1"/>
    <w:next w:val="1"/>
    <w:link w:val="389"/>
    <w:qFormat/>
    <w:uiPriority w:val="0"/>
    <w:pPr>
      <w:pBdr>
        <w:bottom w:val="single" w:color="4F81BD" w:sz="4" w:space="4"/>
      </w:pBdr>
      <w:spacing w:before="200" w:after="280"/>
      <w:ind w:left="936" w:right="936"/>
    </w:pPr>
    <w:rPr>
      <w:rFonts w:ascii="Calibri" w:hAnsi="Calibri"/>
      <w:b/>
      <w:bCs/>
      <w:i/>
      <w:iCs/>
      <w:color w:val="4F81BD"/>
      <w:kern w:val="0"/>
      <w:sz w:val="32"/>
      <w:szCs w:val="32"/>
    </w:rPr>
  </w:style>
  <w:style w:type="character" w:customStyle="1" w:styleId="391">
    <w:name w:val="小标题 Char"/>
    <w:link w:val="392"/>
    <w:qFormat/>
    <w:uiPriority w:val="0"/>
    <w:rPr>
      <w:rFonts w:eastAsia="黑体"/>
    </w:rPr>
  </w:style>
  <w:style w:type="paragraph" w:customStyle="1" w:styleId="392">
    <w:name w:val="小标题"/>
    <w:basedOn w:val="1"/>
    <w:link w:val="391"/>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character" w:customStyle="1" w:styleId="393">
    <w:name w:val="Style5"/>
    <w:qFormat/>
    <w:uiPriority w:val="0"/>
    <w:rPr>
      <w:rFonts w:ascii="Calibri" w:hAnsi="宋体" w:eastAsia="宋体" w:cs="Times New Roman"/>
      <w:sz w:val="22"/>
      <w:szCs w:val="22"/>
      <w:lang w:eastAsia="zh-CN"/>
    </w:rPr>
  </w:style>
  <w:style w:type="character" w:customStyle="1" w:styleId="394">
    <w:name w:val="Style3"/>
    <w:qFormat/>
    <w:uiPriority w:val="0"/>
    <w:rPr>
      <w:rFonts w:ascii="Calibri" w:hAnsi="宋体" w:eastAsia="宋体" w:cs="Times New Roman"/>
      <w:szCs w:val="22"/>
      <w:lang w:eastAsia="zh-CN"/>
    </w:rPr>
  </w:style>
  <w:style w:type="character" w:customStyle="1" w:styleId="395">
    <w:name w:val="页眉 Char"/>
    <w:qFormat/>
    <w:uiPriority w:val="99"/>
    <w:rPr>
      <w:rFonts w:eastAsia="仿宋_GB2312"/>
      <w:kern w:val="2"/>
      <w:sz w:val="18"/>
      <w:szCs w:val="18"/>
      <w:lang w:val="en-US" w:eastAsia="zh-CN" w:bidi="ar-SA"/>
    </w:rPr>
  </w:style>
  <w:style w:type="character" w:customStyle="1" w:styleId="396">
    <w:name w:val="栏目标题 Char"/>
    <w:link w:val="397"/>
    <w:qFormat/>
    <w:uiPriority w:val="0"/>
    <w:rPr>
      <w:rFonts w:ascii="黑体" w:hAnsi="黑体" w:eastAsia="黑体"/>
      <w:b/>
      <w:kern w:val="2"/>
      <w:sz w:val="21"/>
      <w:szCs w:val="24"/>
    </w:rPr>
  </w:style>
  <w:style w:type="paragraph" w:customStyle="1" w:styleId="397">
    <w:name w:val="栏目标题"/>
    <w:basedOn w:val="1"/>
    <w:link w:val="396"/>
    <w:qFormat/>
    <w:uiPriority w:val="0"/>
    <w:pPr>
      <w:jc w:val="center"/>
    </w:pPr>
    <w:rPr>
      <w:rFonts w:ascii="黑体" w:hAnsi="黑体" w:eastAsia="黑体"/>
      <w:b/>
    </w:rPr>
  </w:style>
  <w:style w:type="character" w:customStyle="1" w:styleId="398">
    <w:name w:val="Ò³Ã¼ Char Char"/>
    <w:qFormat/>
    <w:uiPriority w:val="0"/>
    <w:rPr>
      <w:rFonts w:ascii="仿宋_GB2312" w:eastAsia="仿宋_GB2312"/>
      <w:b/>
      <w:sz w:val="18"/>
      <w:szCs w:val="18"/>
    </w:rPr>
  </w:style>
  <w:style w:type="character" w:customStyle="1" w:styleId="399">
    <w:name w:val="input"/>
    <w:qFormat/>
    <w:uiPriority w:val="0"/>
    <w:rPr>
      <w:szCs w:val="20"/>
    </w:rPr>
  </w:style>
  <w:style w:type="character" w:customStyle="1" w:styleId="400">
    <w:name w:val="red1"/>
    <w:qFormat/>
    <w:uiPriority w:val="0"/>
    <w:rPr>
      <w:color w:val="FF0000"/>
      <w:szCs w:val="20"/>
    </w:rPr>
  </w:style>
  <w:style w:type="character" w:customStyle="1" w:styleId="401">
    <w:name w:val="目录标题 Char"/>
    <w:link w:val="402"/>
    <w:qFormat/>
    <w:uiPriority w:val="0"/>
    <w:rPr>
      <w:rFonts w:eastAsia="黑体"/>
      <w:b/>
      <w:bCs/>
      <w:kern w:val="2"/>
      <w:sz w:val="44"/>
      <w:szCs w:val="44"/>
    </w:rPr>
  </w:style>
  <w:style w:type="paragraph" w:customStyle="1" w:styleId="402">
    <w:name w:val="目录标题1"/>
    <w:basedOn w:val="1"/>
    <w:link w:val="401"/>
    <w:qFormat/>
    <w:uiPriority w:val="0"/>
    <w:pPr>
      <w:jc w:val="center"/>
    </w:pPr>
    <w:rPr>
      <w:rFonts w:eastAsia="黑体"/>
      <w:b/>
      <w:bCs/>
      <w:sz w:val="44"/>
      <w:szCs w:val="44"/>
    </w:rPr>
  </w:style>
  <w:style w:type="character" w:customStyle="1" w:styleId="403">
    <w:name w:val="正文缩进 Char1 Char"/>
    <w:qFormat/>
    <w:uiPriority w:val="0"/>
    <w:rPr>
      <w:rFonts w:ascii="仿宋_GB2312" w:eastAsia="宋体"/>
      <w:b/>
      <w:sz w:val="21"/>
      <w:szCs w:val="32"/>
      <w:lang w:val="en-US" w:eastAsia="zh-CN" w:bidi="ar-SA"/>
    </w:rPr>
  </w:style>
  <w:style w:type="character" w:customStyle="1" w:styleId="404">
    <w:name w:val="内容文本 Char"/>
    <w:link w:val="405"/>
    <w:qFormat/>
    <w:uiPriority w:val="0"/>
    <w:rPr>
      <w:rFonts w:ascii="宋体" w:hAnsi="宋体"/>
      <w:sz w:val="24"/>
      <w:szCs w:val="24"/>
      <w:lang w:eastAsia="en-US" w:bidi="en-US"/>
    </w:rPr>
  </w:style>
  <w:style w:type="paragraph" w:customStyle="1" w:styleId="405">
    <w:name w:val="内容文本"/>
    <w:basedOn w:val="252"/>
    <w:link w:val="404"/>
    <w:qFormat/>
    <w:uiPriority w:val="0"/>
    <w:pPr>
      <w:spacing w:line="360" w:lineRule="auto"/>
      <w:ind w:firstLine="200"/>
      <w:contextualSpacing/>
      <w:jc w:val="left"/>
    </w:pPr>
    <w:rPr>
      <w:rFonts w:ascii="宋体" w:hAnsi="宋体"/>
      <w:kern w:val="0"/>
      <w:sz w:val="24"/>
      <w:lang w:eastAsia="en-US" w:bidi="en-US"/>
    </w:rPr>
  </w:style>
  <w:style w:type="character" w:customStyle="1" w:styleId="406">
    <w:name w:val="哈哈正文 Char"/>
    <w:link w:val="407"/>
    <w:qFormat/>
    <w:uiPriority w:val="0"/>
    <w:rPr>
      <w:rFonts w:ascii="宋体" w:hAnsi="宋体" w:cs="宋体"/>
      <w:kern w:val="2"/>
      <w:sz w:val="24"/>
    </w:rPr>
  </w:style>
  <w:style w:type="paragraph" w:customStyle="1" w:styleId="407">
    <w:name w:val="哈哈正文"/>
    <w:basedOn w:val="1"/>
    <w:link w:val="406"/>
    <w:qFormat/>
    <w:uiPriority w:val="0"/>
    <w:pPr>
      <w:spacing w:line="360" w:lineRule="auto"/>
      <w:ind w:firstLine="200" w:firstLineChars="200"/>
    </w:pPr>
    <w:rPr>
      <w:rFonts w:ascii="宋体" w:hAnsi="宋体"/>
      <w:sz w:val="24"/>
      <w:szCs w:val="20"/>
    </w:rPr>
  </w:style>
  <w:style w:type="character" w:customStyle="1" w:styleId="408">
    <w:name w:val="书籍标题1"/>
    <w:qFormat/>
    <w:uiPriority w:val="0"/>
    <w:rPr>
      <w:b/>
      <w:bCs/>
      <w:smallCaps/>
      <w:spacing w:val="5"/>
    </w:rPr>
  </w:style>
  <w:style w:type="character" w:customStyle="1" w:styleId="409">
    <w:name w:val="Char Char21"/>
    <w:qFormat/>
    <w:uiPriority w:val="0"/>
    <w:rPr>
      <w:rFonts w:ascii="Times New Roman" w:hAnsi="Times New Roman" w:eastAsia="宋体" w:cs="Times New Roman"/>
      <w:b/>
      <w:bCs/>
      <w:kern w:val="44"/>
      <w:sz w:val="44"/>
      <w:szCs w:val="44"/>
    </w:rPr>
  </w:style>
  <w:style w:type="character" w:customStyle="1" w:styleId="410">
    <w:name w:val="大标题 Char Char"/>
    <w:qFormat/>
    <w:uiPriority w:val="0"/>
    <w:rPr>
      <w:rFonts w:ascii="黑体" w:hAnsi="黑体" w:eastAsia="黑体"/>
      <w:b/>
      <w:bCs/>
      <w:kern w:val="2"/>
      <w:sz w:val="72"/>
      <w:szCs w:val="72"/>
    </w:rPr>
  </w:style>
  <w:style w:type="character" w:customStyle="1" w:styleId="411">
    <w:name w:val="正文首行缩进 Char2"/>
    <w:qFormat/>
    <w:uiPriority w:val="0"/>
    <w:rPr>
      <w:rFonts w:ascii="仿宋_GB2312"/>
      <w:b/>
      <w:sz w:val="32"/>
      <w:szCs w:val="32"/>
    </w:rPr>
  </w:style>
  <w:style w:type="character" w:customStyle="1" w:styleId="412">
    <w:name w:val="blue1"/>
    <w:qFormat/>
    <w:uiPriority w:val="0"/>
    <w:rPr>
      <w:rFonts w:ascii="仿宋_GB2312" w:hAnsi="Tahoma" w:eastAsia="仿宋_GB2312"/>
      <w:b/>
      <w:sz w:val="32"/>
      <w:szCs w:val="32"/>
    </w:rPr>
  </w:style>
  <w:style w:type="character" w:customStyle="1" w:styleId="413">
    <w:name w:val="注释正文＋下划线 Char Char"/>
    <w:qFormat/>
    <w:uiPriority w:val="0"/>
    <w:rPr>
      <w:rFonts w:ascii="宋体" w:hAnsi="宋体"/>
      <w:kern w:val="2"/>
      <w:sz w:val="28"/>
      <w:szCs w:val="28"/>
      <w:u w:val="single"/>
    </w:rPr>
  </w:style>
  <w:style w:type="character" w:customStyle="1" w:styleId="414">
    <w:name w:val="Footer-Even Char1"/>
    <w:qFormat/>
    <w:uiPriority w:val="0"/>
    <w:rPr>
      <w:rFonts w:ascii="仿宋_GB2312" w:eastAsia="宋体"/>
      <w:b/>
      <w:kern w:val="2"/>
      <w:sz w:val="18"/>
      <w:szCs w:val="18"/>
      <w:lang w:val="en-US" w:eastAsia="zh-CN" w:bidi="ar-SA"/>
    </w:rPr>
  </w:style>
  <w:style w:type="character" w:customStyle="1" w:styleId="415">
    <w:name w:val="Char Char15"/>
    <w:qFormat/>
    <w:uiPriority w:val="0"/>
    <w:rPr>
      <w:rFonts w:ascii="Arial" w:hAnsi="Arial" w:eastAsia="黑体"/>
      <w:b/>
      <w:sz w:val="24"/>
      <w:szCs w:val="24"/>
    </w:rPr>
  </w:style>
  <w:style w:type="character" w:customStyle="1" w:styleId="416">
    <w:name w:val="heading 3 Char2"/>
    <w:qFormat/>
    <w:uiPriority w:val="0"/>
    <w:rPr>
      <w:rFonts w:ascii="仿宋_GB2312" w:eastAsia="仿宋_GB2312"/>
      <w:b/>
      <w:bCs/>
      <w:kern w:val="2"/>
      <w:sz w:val="32"/>
      <w:szCs w:val="32"/>
    </w:rPr>
  </w:style>
  <w:style w:type="character" w:customStyle="1" w:styleId="417">
    <w:name w:val="hui"/>
    <w:qFormat/>
    <w:uiPriority w:val="0"/>
    <w:rPr>
      <w:rFonts w:ascii="仿宋_GB2312" w:hAnsi="Tahoma" w:eastAsia="仿宋_GB2312"/>
      <w:b/>
      <w:sz w:val="32"/>
      <w:szCs w:val="32"/>
    </w:rPr>
  </w:style>
  <w:style w:type="character" w:customStyle="1" w:styleId="418">
    <w:name w:val="A3"/>
    <w:qFormat/>
    <w:uiPriority w:val="0"/>
    <w:rPr>
      <w:rFonts w:ascii="ZapfDingbatsNr2EFOP-Regular" w:eastAsia="ZapfDingbatsNr2EFOP-Regular" w:cs="ZapfDingbatsNr2EFOP-Regular"/>
      <w:color w:val="211D1E"/>
      <w:sz w:val="14"/>
      <w:szCs w:val="14"/>
    </w:rPr>
  </w:style>
  <w:style w:type="character" w:customStyle="1" w:styleId="419">
    <w:name w:val="hover30"/>
    <w:qFormat/>
    <w:uiPriority w:val="0"/>
    <w:rPr>
      <w:szCs w:val="20"/>
    </w:rPr>
  </w:style>
  <w:style w:type="character" w:customStyle="1" w:styleId="420">
    <w:name w:val="符号正文缩进 Char"/>
    <w:link w:val="421"/>
    <w:qFormat/>
    <w:uiPriority w:val="0"/>
    <w:rPr>
      <w:sz w:val="24"/>
    </w:rPr>
  </w:style>
  <w:style w:type="paragraph" w:customStyle="1" w:styleId="421">
    <w:name w:val="符号正文缩进"/>
    <w:basedOn w:val="15"/>
    <w:link w:val="420"/>
    <w:qFormat/>
    <w:uiPriority w:val="0"/>
    <w:pPr>
      <w:numPr>
        <w:ilvl w:val="0"/>
        <w:numId w:val="7"/>
      </w:numPr>
      <w:spacing w:line="400" w:lineRule="atLeast"/>
    </w:pPr>
    <w:rPr>
      <w:sz w:val="24"/>
    </w:rPr>
  </w:style>
  <w:style w:type="character" w:customStyle="1" w:styleId="422">
    <w:name w:val="num"/>
    <w:qFormat/>
    <w:uiPriority w:val="0"/>
    <w:rPr>
      <w:b/>
      <w:color w:val="FF7800"/>
      <w:szCs w:val="20"/>
    </w:rPr>
  </w:style>
  <w:style w:type="character" w:customStyle="1" w:styleId="423">
    <w:name w:val="正文首行缩进 Char"/>
    <w:qFormat/>
    <w:uiPriority w:val="0"/>
    <w:rPr>
      <w:rFonts w:ascii="仿宋_GB2312" w:eastAsia="宋体"/>
      <w:b/>
      <w:kern w:val="2"/>
      <w:sz w:val="21"/>
      <w:szCs w:val="24"/>
      <w:lang w:val="en-US" w:eastAsia="zh-CN" w:bidi="ar-SA"/>
    </w:rPr>
  </w:style>
  <w:style w:type="character" w:customStyle="1" w:styleId="424">
    <w:name w:val="Table Text Char Char"/>
    <w:link w:val="425"/>
    <w:qFormat/>
    <w:uiPriority w:val="0"/>
    <w:rPr>
      <w:sz w:val="24"/>
    </w:rPr>
  </w:style>
  <w:style w:type="paragraph" w:customStyle="1" w:styleId="425">
    <w:name w:val="Table Text"/>
    <w:basedOn w:val="1"/>
    <w:link w:val="424"/>
    <w:qFormat/>
    <w:uiPriority w:val="0"/>
    <w:pPr>
      <w:widowControl/>
      <w:autoSpaceDE w:val="0"/>
      <w:autoSpaceDN w:val="0"/>
      <w:adjustRightInd w:val="0"/>
      <w:spacing w:before="60" w:after="60"/>
      <w:jc w:val="left"/>
    </w:pPr>
    <w:rPr>
      <w:kern w:val="0"/>
      <w:sz w:val="24"/>
      <w:szCs w:val="20"/>
    </w:rPr>
  </w:style>
  <w:style w:type="character" w:customStyle="1" w:styleId="426">
    <w:name w:val="Char Char211"/>
    <w:qFormat/>
    <w:uiPriority w:val="0"/>
    <w:rPr>
      <w:rFonts w:ascii="Times New Roman" w:hAnsi="Times New Roman" w:eastAsia="宋体" w:cs="Times New Roman"/>
      <w:b/>
      <w:bCs/>
      <w:kern w:val="44"/>
      <w:sz w:val="44"/>
      <w:szCs w:val="44"/>
    </w:rPr>
  </w:style>
  <w:style w:type="character" w:customStyle="1" w:styleId="427">
    <w:name w:val="Char Char11"/>
    <w:qFormat/>
    <w:uiPriority w:val="0"/>
    <w:rPr>
      <w:rFonts w:ascii="Times New Roman" w:hAnsi="Times New Roman" w:eastAsia="宋体" w:cs="Times New Roman"/>
      <w:sz w:val="18"/>
      <w:szCs w:val="18"/>
    </w:rPr>
  </w:style>
  <w:style w:type="character" w:customStyle="1" w:styleId="428">
    <w:name w:val="表格题注 Char"/>
    <w:link w:val="429"/>
    <w:qFormat/>
    <w:uiPriority w:val="0"/>
    <w:rPr>
      <w:rFonts w:ascii="Calibri Light" w:hAnsi="Calibri Light" w:eastAsia="黑体" w:cs="黑体"/>
      <w:bCs/>
      <w:kern w:val="2"/>
      <w:sz w:val="21"/>
      <w:szCs w:val="21"/>
    </w:rPr>
  </w:style>
  <w:style w:type="paragraph" w:customStyle="1" w:styleId="429">
    <w:name w:val="表格题注"/>
    <w:basedOn w:val="16"/>
    <w:link w:val="428"/>
    <w:qFormat/>
    <w:uiPriority w:val="0"/>
    <w:pPr>
      <w:keepNext/>
      <w:autoSpaceDE/>
      <w:autoSpaceDN/>
      <w:adjustRightInd/>
      <w:spacing w:line="360" w:lineRule="auto"/>
      <w:jc w:val="center"/>
    </w:pPr>
    <w:rPr>
      <w:rFonts w:ascii="Calibri Light" w:hAnsi="Calibri Light"/>
      <w:bCs/>
      <w:kern w:val="2"/>
      <w:sz w:val="21"/>
      <w:szCs w:val="21"/>
    </w:rPr>
  </w:style>
  <w:style w:type="character" w:customStyle="1" w:styleId="430">
    <w:name w:val="明显参考1"/>
    <w:qFormat/>
    <w:uiPriority w:val="0"/>
    <w:rPr>
      <w:b/>
      <w:bCs/>
      <w:smallCaps/>
      <w:color w:val="C0504D"/>
      <w:spacing w:val="5"/>
      <w:u w:val="single"/>
    </w:rPr>
  </w:style>
  <w:style w:type="character" w:customStyle="1" w:styleId="431">
    <w:name w:val="副标题 Char1"/>
    <w:qFormat/>
    <w:uiPriority w:val="11"/>
    <w:rPr>
      <w:rFonts w:ascii="Cambria" w:hAnsi="Cambria" w:cs="Times New Roman"/>
      <w:b/>
      <w:bCs/>
      <w:kern w:val="28"/>
      <w:sz w:val="32"/>
      <w:szCs w:val="32"/>
    </w:rPr>
  </w:style>
  <w:style w:type="character" w:customStyle="1" w:styleId="432">
    <w:name w:val="称呼 Char"/>
    <w:qFormat/>
    <w:uiPriority w:val="0"/>
  </w:style>
  <w:style w:type="character" w:customStyle="1" w:styleId="433">
    <w:name w:val="heading 8 Char1"/>
    <w:qFormat/>
    <w:uiPriority w:val="0"/>
    <w:rPr>
      <w:rFonts w:ascii="Arial" w:hAnsi="Arial" w:eastAsia="黑体"/>
      <w:b/>
      <w:sz w:val="24"/>
      <w:szCs w:val="32"/>
      <w:lang w:val="en-US" w:eastAsia="zh-CN" w:bidi="ar-SA"/>
    </w:rPr>
  </w:style>
  <w:style w:type="character" w:customStyle="1" w:styleId="434">
    <w:name w:val="release-day"/>
    <w:qFormat/>
    <w:uiPriority w:val="0"/>
    <w:rPr>
      <w:szCs w:val="20"/>
      <w:bdr w:val="single" w:color="BDEBB0" w:sz="4" w:space="0"/>
      <w:shd w:val="clear" w:color="auto" w:fill="F5FFF1"/>
    </w:rPr>
  </w:style>
  <w:style w:type="character" w:customStyle="1" w:styleId="435">
    <w:name w:val="纯文本 Char1"/>
    <w:qFormat/>
    <w:uiPriority w:val="0"/>
    <w:rPr>
      <w:rFonts w:ascii="宋体" w:hAnsi="Courier New"/>
      <w:kern w:val="2"/>
      <w:sz w:val="21"/>
    </w:rPr>
  </w:style>
  <w:style w:type="character" w:customStyle="1" w:styleId="436">
    <w:name w:val="批注框文本 Char"/>
    <w:qFormat/>
    <w:uiPriority w:val="99"/>
    <w:rPr>
      <w:kern w:val="2"/>
      <w:sz w:val="18"/>
      <w:szCs w:val="18"/>
    </w:rPr>
  </w:style>
  <w:style w:type="character" w:customStyle="1" w:styleId="437">
    <w:name w:val="表格 Char Char"/>
    <w:link w:val="438"/>
    <w:qFormat/>
    <w:uiPriority w:val="0"/>
    <w:rPr>
      <w:rFonts w:ascii="宋体" w:hAnsi="宋体"/>
      <w:b/>
      <w:sz w:val="32"/>
      <w:szCs w:val="32"/>
    </w:rPr>
  </w:style>
  <w:style w:type="paragraph" w:customStyle="1" w:styleId="438">
    <w:name w:val="表格"/>
    <w:basedOn w:val="1"/>
    <w:link w:val="437"/>
    <w:qFormat/>
    <w:uiPriority w:val="0"/>
    <w:pPr>
      <w:autoSpaceDE w:val="0"/>
      <w:autoSpaceDN w:val="0"/>
      <w:adjustRightInd w:val="0"/>
      <w:snapToGrid w:val="0"/>
      <w:ind w:firstLine="42" w:firstLineChars="21"/>
      <w:jc w:val="left"/>
    </w:pPr>
    <w:rPr>
      <w:rFonts w:ascii="宋体" w:hAnsi="宋体"/>
      <w:b/>
      <w:kern w:val="0"/>
      <w:sz w:val="32"/>
      <w:szCs w:val="32"/>
    </w:rPr>
  </w:style>
  <w:style w:type="character" w:customStyle="1" w:styleId="439">
    <w:name w:val="列出段落 Char1"/>
    <w:qFormat/>
    <w:uiPriority w:val="0"/>
    <w:rPr>
      <w:kern w:val="2"/>
      <w:sz w:val="21"/>
    </w:rPr>
  </w:style>
  <w:style w:type="character" w:customStyle="1" w:styleId="440">
    <w:name w:val="标题 5 Char"/>
    <w:qFormat/>
    <w:uiPriority w:val="0"/>
    <w:rPr>
      <w:rFonts w:ascii="仿宋_GB2312" w:hAnsi="Tahoma"/>
      <w:b/>
      <w:bCs/>
      <w:kern w:val="2"/>
      <w:sz w:val="28"/>
      <w:szCs w:val="28"/>
    </w:rPr>
  </w:style>
  <w:style w:type="character" w:customStyle="1" w:styleId="441">
    <w:name w:val="A6"/>
    <w:qFormat/>
    <w:uiPriority w:val="0"/>
    <w:rPr>
      <w:rFonts w:cs="Helvetica Neue"/>
      <w:color w:val="3E667A"/>
      <w:sz w:val="14"/>
      <w:szCs w:val="14"/>
    </w:rPr>
  </w:style>
  <w:style w:type="character" w:customStyle="1" w:styleId="442">
    <w:name w:val="注释标题 Char1"/>
    <w:qFormat/>
    <w:uiPriority w:val="0"/>
    <w:rPr>
      <w:kern w:val="2"/>
      <w:sz w:val="21"/>
      <w:szCs w:val="24"/>
    </w:rPr>
  </w:style>
  <w:style w:type="paragraph" w:customStyle="1" w:styleId="443">
    <w:name w:val="Pa8"/>
    <w:basedOn w:val="1"/>
    <w:next w:val="1"/>
    <w:qFormat/>
    <w:uiPriority w:val="0"/>
    <w:pPr>
      <w:autoSpaceDE w:val="0"/>
      <w:autoSpaceDN w:val="0"/>
      <w:adjustRightInd w:val="0"/>
      <w:spacing w:after="20" w:line="141" w:lineRule="atLeast"/>
      <w:jc w:val="left"/>
    </w:pPr>
    <w:rPr>
      <w:rFonts w:ascii="Univers LT Std 47 Cn Lt" w:eastAsia="Univers LT Std 47 Cn Lt"/>
      <w:kern w:val="0"/>
      <w:sz w:val="24"/>
    </w:rPr>
  </w:style>
  <w:style w:type="paragraph" w:customStyle="1" w:styleId="444">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45">
    <w:name w:val="样式 标题 4正文四级标题 + 宋体 小五 行距: 固定值 12 磅1"/>
    <w:basedOn w:val="1"/>
    <w:qFormat/>
    <w:uiPriority w:val="0"/>
    <w:pPr>
      <w:tabs>
        <w:tab w:val="left" w:pos="2580"/>
      </w:tabs>
      <w:ind w:left="2580" w:hanging="420"/>
    </w:pPr>
    <w:rPr>
      <w:sz w:val="20"/>
    </w:rPr>
  </w:style>
  <w:style w:type="paragraph" w:customStyle="1" w:styleId="446">
    <w:name w:val="样式 标题 3 + (中文) 黑体 小四 非加粗 段前: 7.8 磅 段后: 0 磅 行距: 固定值 20 磅"/>
    <w:basedOn w:val="5"/>
    <w:qFormat/>
    <w:uiPriority w:val="0"/>
    <w:pPr>
      <w:spacing w:before="0" w:after="0" w:line="400" w:lineRule="exact"/>
    </w:pPr>
    <w:rPr>
      <w:rFonts w:ascii="仿宋_GB2312" w:eastAsia="黑体" w:cs="宋体"/>
      <w:b w:val="0"/>
      <w:bCs w:val="0"/>
      <w:sz w:val="24"/>
      <w:szCs w:val="20"/>
    </w:rPr>
  </w:style>
  <w:style w:type="paragraph" w:customStyle="1" w:styleId="44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448">
    <w:name w:val="Char12"/>
    <w:basedOn w:val="1"/>
    <w:qFormat/>
    <w:uiPriority w:val="0"/>
    <w:rPr>
      <w:rFonts w:ascii="Tahoma" w:hAnsi="Tahoma"/>
      <w:sz w:val="24"/>
      <w:szCs w:val="20"/>
    </w:rPr>
  </w:style>
  <w:style w:type="paragraph" w:customStyle="1" w:styleId="449">
    <w:name w:val="Revision1"/>
    <w:qFormat/>
    <w:uiPriority w:val="99"/>
    <w:rPr>
      <w:rFonts w:ascii="Times New Roman" w:hAnsi="Times New Roman" w:eastAsia="宋体" w:cs="Times New Roman"/>
      <w:kern w:val="2"/>
      <w:sz w:val="21"/>
      <w:szCs w:val="24"/>
      <w:lang w:val="en-US" w:eastAsia="zh-CN" w:bidi="ar-SA"/>
    </w:rPr>
  </w:style>
  <w:style w:type="paragraph" w:customStyle="1" w:styleId="450">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451">
    <w:name w:val="内文"/>
    <w:qFormat/>
    <w:uiPriority w:val="0"/>
    <w:pPr>
      <w:adjustRightInd w:val="0"/>
      <w:snapToGrid w:val="0"/>
      <w:spacing w:line="400" w:lineRule="exact"/>
      <w:ind w:firstLine="200" w:firstLineChars="200"/>
      <w:jc w:val="both"/>
    </w:pPr>
    <w:rPr>
      <w:rFonts w:ascii="Arial" w:hAnsi="Arial" w:eastAsia="宋体" w:cs="Times New Roman"/>
      <w:kern w:val="2"/>
      <w:sz w:val="21"/>
      <w:lang w:val="en-US" w:eastAsia="zh-CN" w:bidi="ar-SA"/>
    </w:rPr>
  </w:style>
  <w:style w:type="paragraph" w:customStyle="1" w:styleId="4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53">
    <w:name w:val="样式_5 + 小五"/>
    <w:basedOn w:val="1"/>
    <w:qFormat/>
    <w:uiPriority w:val="0"/>
    <w:pPr>
      <w:keepNext/>
      <w:keepLines/>
      <w:tabs>
        <w:tab w:val="left" w:pos="1088"/>
      </w:tabs>
      <w:spacing w:before="280" w:after="290" w:line="376" w:lineRule="auto"/>
      <w:ind w:left="724" w:hanging="724"/>
      <w:outlineLvl w:val="4"/>
    </w:pPr>
    <w:rPr>
      <w:b/>
      <w:bCs/>
      <w:kern w:val="0"/>
      <w:sz w:val="18"/>
      <w:szCs w:val="18"/>
    </w:rPr>
  </w:style>
  <w:style w:type="paragraph" w:customStyle="1" w:styleId="454">
    <w:name w:val="Char Char Char2"/>
    <w:basedOn w:val="1"/>
    <w:next w:val="1"/>
    <w:qFormat/>
    <w:uiPriority w:val="0"/>
    <w:pPr>
      <w:shd w:val="clear" w:color="auto" w:fill="000080"/>
    </w:pPr>
    <w:rPr>
      <w:rFonts w:ascii="Tahoma" w:hAnsi="Tahoma"/>
      <w:sz w:val="24"/>
    </w:rPr>
  </w:style>
  <w:style w:type="paragraph" w:customStyle="1" w:styleId="455">
    <w:name w:val="表格正文"/>
    <w:basedOn w:val="15"/>
    <w:qFormat/>
    <w:uiPriority w:val="0"/>
    <w:pPr>
      <w:adjustRightInd/>
      <w:spacing w:beforeLines="30" w:afterLines="20" w:line="360" w:lineRule="auto"/>
      <w:ind w:firstLine="0"/>
      <w:textAlignment w:val="auto"/>
    </w:pPr>
    <w:rPr>
      <w:rFonts w:ascii="Arial" w:hAnsi="Arial"/>
      <w:kern w:val="2"/>
      <w:szCs w:val="21"/>
    </w:rPr>
  </w:style>
  <w:style w:type="paragraph" w:customStyle="1" w:styleId="456">
    <w:name w:val="Body text|25"/>
    <w:basedOn w:val="1"/>
    <w:qFormat/>
    <w:uiPriority w:val="0"/>
    <w:pPr>
      <w:shd w:val="clear" w:color="auto" w:fill="FFFFFF"/>
      <w:spacing w:before="120" w:line="341" w:lineRule="exact"/>
      <w:ind w:hanging="100"/>
      <w:jc w:val="distribute"/>
    </w:pPr>
    <w:rPr>
      <w:rFonts w:ascii="PMingLiU" w:hAnsi="PMingLiU" w:eastAsia="PMingLiU" w:cs="PMingLiU"/>
      <w:sz w:val="20"/>
      <w:szCs w:val="20"/>
    </w:rPr>
  </w:style>
  <w:style w:type="paragraph" w:customStyle="1" w:styleId="457">
    <w:name w:val="Table Heading"/>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458">
    <w:name w:val="标题 2P"/>
    <w:basedOn w:val="4"/>
    <w:next w:val="15"/>
    <w:qFormat/>
    <w:uiPriority w:val="0"/>
    <w:pPr>
      <w:keepNext w:val="0"/>
      <w:tabs>
        <w:tab w:val="left" w:pos="576"/>
        <w:tab w:val="left" w:pos="1800"/>
      </w:tabs>
      <w:adjustRightInd w:val="0"/>
      <w:spacing w:before="240" w:after="120" w:line="360" w:lineRule="auto"/>
      <w:ind w:left="576" w:hanging="576"/>
      <w:textAlignment w:val="baseline"/>
    </w:pPr>
    <w:rPr>
      <w:rFonts w:ascii="Times New Roman" w:hAnsi="Times New Roman" w:cs="宋体"/>
      <w:kern w:val="0"/>
      <w:szCs w:val="20"/>
    </w:rPr>
  </w:style>
  <w:style w:type="paragraph" w:customStyle="1" w:styleId="459">
    <w:name w:val="样式_5"/>
    <w:basedOn w:val="7"/>
    <w:qFormat/>
    <w:uiPriority w:val="0"/>
    <w:pPr>
      <w:keepNext w:val="0"/>
      <w:adjustRightInd w:val="0"/>
      <w:spacing w:line="376" w:lineRule="auto"/>
      <w:textAlignment w:val="baseline"/>
    </w:pPr>
    <w:rPr>
      <w:rFonts w:ascii="宋体" w:hAnsi="宋体"/>
      <w:kern w:val="0"/>
      <w:sz w:val="18"/>
      <w:szCs w:val="18"/>
    </w:rPr>
  </w:style>
  <w:style w:type="paragraph" w:customStyle="1" w:styleId="460">
    <w:name w:val="正文（首行缩进）"/>
    <w:basedOn w:val="23"/>
    <w:qFormat/>
    <w:uiPriority w:val="0"/>
    <w:pPr>
      <w:widowControl/>
      <w:overflowPunct w:val="0"/>
      <w:autoSpaceDE w:val="0"/>
      <w:autoSpaceDN w:val="0"/>
      <w:spacing w:beforeLines="50" w:after="120" w:line="400" w:lineRule="exact"/>
      <w:ind w:left="200" w:leftChars="200" w:firstLine="200" w:firstLineChars="200"/>
      <w:textAlignment w:val="baseline"/>
    </w:pPr>
    <w:rPr>
      <w:rFonts w:ascii="仿宋_GB2312" w:hAnsi="Times New Roman"/>
      <w:b/>
      <w:spacing w:val="10"/>
      <w:kern w:val="0"/>
    </w:rPr>
  </w:style>
  <w:style w:type="paragraph" w:customStyle="1" w:styleId="461">
    <w:name w:val="Body text|22"/>
    <w:basedOn w:val="1"/>
    <w:qFormat/>
    <w:uiPriority w:val="0"/>
    <w:pPr>
      <w:shd w:val="clear" w:color="auto" w:fill="FFFFFF"/>
      <w:spacing w:before="140" w:line="403" w:lineRule="exact"/>
      <w:ind w:hanging="580"/>
    </w:pPr>
    <w:rPr>
      <w:rFonts w:ascii="PMingLiU" w:hAnsi="PMingLiU" w:eastAsia="PMingLiU"/>
      <w:spacing w:val="20"/>
      <w:kern w:val="0"/>
      <w:sz w:val="20"/>
      <w:szCs w:val="20"/>
    </w:rPr>
  </w:style>
  <w:style w:type="paragraph" w:customStyle="1" w:styleId="46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463">
    <w:name w:val="xl110"/>
    <w:basedOn w:val="1"/>
    <w:qFormat/>
    <w:uiPriority w:val="0"/>
    <w:pPr>
      <w:widowControl/>
      <w:pBdr>
        <w:top w:val="single" w:color="auto" w:sz="4" w:space="0"/>
        <w:left w:val="single" w:color="auto" w:sz="8" w:space="0"/>
        <w:bottom w:val="single" w:color="auto" w:sz="4" w:space="0"/>
        <w:right w:val="single" w:color="auto" w:sz="4" w:space="0"/>
      </w:pBdr>
      <w:shd w:val="clear" w:color="000000" w:fill="92CDDC"/>
      <w:spacing w:before="100" w:beforeAutospacing="1" w:after="100" w:afterAutospacing="1"/>
      <w:jc w:val="center"/>
      <w:textAlignment w:val="top"/>
    </w:pPr>
    <w:rPr>
      <w:rFonts w:ascii="宋体" w:hAnsi="宋体" w:cs="宋体"/>
      <w:kern w:val="0"/>
      <w:sz w:val="24"/>
    </w:rPr>
  </w:style>
  <w:style w:type="paragraph" w:customStyle="1" w:styleId="464">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465">
    <w:name w:val="1"/>
    <w:basedOn w:val="1"/>
    <w:qFormat/>
    <w:uiPriority w:val="0"/>
  </w:style>
  <w:style w:type="paragraph" w:customStyle="1" w:styleId="466">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top"/>
    </w:pPr>
    <w:rPr>
      <w:rFonts w:ascii="宋体" w:hAnsi="宋体" w:cs="宋体"/>
      <w:kern w:val="0"/>
      <w:sz w:val="24"/>
    </w:rPr>
  </w:style>
  <w:style w:type="paragraph" w:customStyle="1" w:styleId="467">
    <w:name w:val="标题2"/>
    <w:basedOn w:val="4"/>
    <w:qFormat/>
    <w:uiPriority w:val="0"/>
    <w:pPr>
      <w:numPr>
        <w:ilvl w:val="1"/>
        <w:numId w:val="8"/>
      </w:numPr>
      <w:spacing w:before="240" w:after="240" w:line="360" w:lineRule="auto"/>
    </w:pPr>
    <w:rPr>
      <w:rFonts w:ascii="Times New Roman" w:hAnsi="Times New Roman"/>
      <w:sz w:val="36"/>
    </w:rPr>
  </w:style>
  <w:style w:type="paragraph" w:customStyle="1" w:styleId="468">
    <w:name w:val="xl95"/>
    <w:basedOn w:val="1"/>
    <w:qFormat/>
    <w:uiPriority w:val="0"/>
    <w:pPr>
      <w:widowControl/>
      <w:pBdr>
        <w:top w:val="single" w:color="auto" w:sz="8" w:space="0"/>
        <w:left w:val="single" w:color="auto" w:sz="4" w:space="0"/>
        <w:bottom w:val="single" w:color="auto" w:sz="4" w:space="0"/>
        <w:right w:val="single" w:color="auto" w:sz="8" w:space="0"/>
      </w:pBdr>
      <w:shd w:val="clear" w:color="000000" w:fill="92D050"/>
      <w:spacing w:before="100" w:beforeAutospacing="1" w:after="100" w:afterAutospacing="1"/>
      <w:jc w:val="left"/>
    </w:pPr>
    <w:rPr>
      <w:rFonts w:ascii="Arial" w:hAnsi="Arial" w:cs="Arial"/>
      <w:b/>
      <w:bCs/>
      <w:kern w:val="0"/>
      <w:sz w:val="24"/>
    </w:rPr>
  </w:style>
  <w:style w:type="paragraph" w:customStyle="1" w:styleId="469">
    <w:name w:val="TOC 标题1"/>
    <w:basedOn w:val="3"/>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471">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472">
    <w:name w:val="二级条标题"/>
    <w:basedOn w:val="473"/>
    <w:next w:val="1"/>
    <w:qFormat/>
    <w:uiPriority w:val="0"/>
    <w:pPr>
      <w:numPr>
        <w:ilvl w:val="3"/>
        <w:numId w:val="0"/>
      </w:numPr>
      <w:tabs>
        <w:tab w:val="left" w:pos="360"/>
      </w:tabs>
      <w:outlineLvl w:val="3"/>
    </w:pPr>
  </w:style>
  <w:style w:type="paragraph" w:customStyle="1" w:styleId="473">
    <w:name w:val="一级条标题"/>
    <w:next w:val="1"/>
    <w:qFormat/>
    <w:uiPriority w:val="0"/>
    <w:pPr>
      <w:numPr>
        <w:ilvl w:val="2"/>
        <w:numId w:val="9"/>
      </w:numPr>
      <w:outlineLvl w:val="2"/>
    </w:pPr>
    <w:rPr>
      <w:rFonts w:ascii="Times New Roman" w:hAnsi="Times New Roman" w:eastAsia="黑体" w:cs="Times New Roman"/>
      <w:sz w:val="21"/>
      <w:lang w:val="en-US" w:eastAsia="zh-CN" w:bidi="ar-SA"/>
    </w:rPr>
  </w:style>
  <w:style w:type="paragraph" w:customStyle="1" w:styleId="474">
    <w:name w:val="subtitle 2"/>
    <w:basedOn w:val="1"/>
    <w:qFormat/>
    <w:uiPriority w:val="0"/>
    <w:pPr>
      <w:spacing w:before="240" w:after="240" w:line="312" w:lineRule="atLeast"/>
    </w:pPr>
    <w:rPr>
      <w:rFonts w:eastAsia="黑体"/>
      <w:snapToGrid w:val="0"/>
      <w:kern w:val="0"/>
      <w:sz w:val="24"/>
      <w:szCs w:val="20"/>
    </w:rPr>
  </w:style>
  <w:style w:type="paragraph" w:customStyle="1" w:styleId="475">
    <w:name w:val="Char Char1 Char"/>
    <w:basedOn w:val="1"/>
    <w:qFormat/>
    <w:uiPriority w:val="0"/>
    <w:pPr>
      <w:spacing w:line="360" w:lineRule="auto"/>
    </w:pPr>
    <w:rPr>
      <w:sz w:val="24"/>
    </w:rPr>
  </w:style>
  <w:style w:type="paragraph" w:customStyle="1" w:styleId="476">
    <w:name w:val="Char1 Char Char Char1"/>
    <w:basedOn w:val="1"/>
    <w:qFormat/>
    <w:uiPriority w:val="0"/>
    <w:pPr>
      <w:widowControl/>
      <w:spacing w:after="120"/>
      <w:jc w:val="left"/>
    </w:pPr>
    <w:rPr>
      <w:rFonts w:ascii="Verdana" w:hAnsi="Verdana" w:eastAsia="仿宋_GB2312"/>
      <w:szCs w:val="20"/>
      <w:lang w:eastAsia="en-US"/>
    </w:rPr>
  </w:style>
  <w:style w:type="paragraph" w:customStyle="1" w:styleId="477">
    <w:name w:val="Blockquote"/>
    <w:basedOn w:val="1"/>
    <w:qFormat/>
    <w:uiPriority w:val="0"/>
    <w:pPr>
      <w:autoSpaceDE w:val="0"/>
      <w:autoSpaceDN w:val="0"/>
      <w:spacing w:before="100" w:after="100"/>
      <w:ind w:left="360" w:right="360"/>
      <w:jc w:val="left"/>
    </w:pPr>
    <w:rPr>
      <w:szCs w:val="20"/>
    </w:rPr>
  </w:style>
  <w:style w:type="paragraph" w:customStyle="1" w:styleId="478">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479">
    <w:name w:val="Char Char Char Char Char Char Char Char Char Char Char Char Char"/>
    <w:basedOn w:val="1"/>
    <w:qFormat/>
    <w:uiPriority w:val="0"/>
  </w:style>
  <w:style w:type="paragraph" w:customStyle="1" w:styleId="480">
    <w:name w:val="列出段落3"/>
    <w:basedOn w:val="1"/>
    <w:qFormat/>
    <w:uiPriority w:val="0"/>
    <w:pPr>
      <w:spacing w:line="360" w:lineRule="auto"/>
      <w:ind w:firstLine="420" w:firstLineChars="200"/>
    </w:pPr>
    <w:rPr>
      <w:rFonts w:ascii="Calibri" w:hAnsi="Calibri"/>
      <w:sz w:val="24"/>
      <w:szCs w:val="22"/>
    </w:rPr>
  </w:style>
  <w:style w:type="paragraph" w:customStyle="1" w:styleId="481">
    <w:name w:val="font8"/>
    <w:basedOn w:val="1"/>
    <w:qFormat/>
    <w:uiPriority w:val="0"/>
    <w:pPr>
      <w:widowControl/>
      <w:spacing w:before="100" w:beforeAutospacing="1" w:after="100" w:afterAutospacing="1"/>
      <w:jc w:val="left"/>
    </w:pPr>
    <w:rPr>
      <w:rFonts w:ascii="黑体" w:hAnsi="宋体" w:eastAsia="黑体" w:cs="宋体"/>
      <w:color w:val="000000"/>
      <w:kern w:val="0"/>
      <w:sz w:val="20"/>
      <w:szCs w:val="20"/>
    </w:rPr>
  </w:style>
  <w:style w:type="paragraph" w:customStyle="1" w:styleId="482">
    <w:name w:val="正文文本缩进 31"/>
    <w:basedOn w:val="1"/>
    <w:qFormat/>
    <w:uiPriority w:val="0"/>
    <w:pPr>
      <w:tabs>
        <w:tab w:val="left" w:pos="0"/>
      </w:tabs>
      <w:spacing w:line="360" w:lineRule="auto"/>
      <w:ind w:firstLine="504" w:firstLineChars="209"/>
    </w:pPr>
    <w:rPr>
      <w:rFonts w:ascii="宋体"/>
      <w:b/>
      <w:bCs/>
      <w:sz w:val="24"/>
    </w:rPr>
  </w:style>
  <w:style w:type="paragraph" w:customStyle="1" w:styleId="483">
    <w:name w:val="表格文字"/>
    <w:basedOn w:val="1"/>
    <w:qFormat/>
    <w:uiPriority w:val="0"/>
    <w:pPr>
      <w:spacing w:line="420" w:lineRule="atLeast"/>
      <w:jc w:val="left"/>
    </w:pPr>
    <w:rPr>
      <w:szCs w:val="20"/>
    </w:rPr>
  </w:style>
  <w:style w:type="paragraph" w:customStyle="1" w:styleId="484">
    <w:name w:val="样式 (西文) Times New Roman 四号 段后: 6 磅 行距: 固定值 20 磅 首行缩进:  1.92 ..."/>
    <w:basedOn w:val="1"/>
    <w:qFormat/>
    <w:uiPriority w:val="0"/>
    <w:pPr>
      <w:spacing w:beforeLines="50" w:afterLines="50" w:line="360" w:lineRule="auto"/>
      <w:ind w:firstLine="200" w:firstLineChars="200"/>
    </w:pPr>
    <w:rPr>
      <w:rFonts w:cs="宋体"/>
      <w:sz w:val="28"/>
      <w:szCs w:val="20"/>
    </w:rPr>
  </w:style>
  <w:style w:type="paragraph" w:customStyle="1" w:styleId="48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486">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87">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488">
    <w:name w:val="样式 标题 4正文四级标题 + 宋体 小五 行距: 固定值 12 磅"/>
    <w:basedOn w:val="6"/>
    <w:qFormat/>
    <w:uiPriority w:val="0"/>
    <w:pPr>
      <w:keepNext w:val="0"/>
      <w:tabs>
        <w:tab w:val="left" w:pos="2160"/>
      </w:tabs>
      <w:adjustRightInd w:val="0"/>
      <w:spacing w:line="240" w:lineRule="exact"/>
      <w:ind w:left="2160" w:hanging="420"/>
      <w:textAlignment w:val="baseline"/>
    </w:pPr>
    <w:rPr>
      <w:rFonts w:ascii="宋体" w:hAnsi="宋体" w:cs="宋体"/>
      <w:color w:val="000000"/>
      <w:sz w:val="18"/>
      <w:szCs w:val="32"/>
    </w:rPr>
  </w:style>
  <w:style w:type="paragraph" w:customStyle="1" w:styleId="489">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490">
    <w:name w:val="Char Char Char Char3"/>
    <w:basedOn w:val="18"/>
    <w:qFormat/>
    <w:uiPriority w:val="0"/>
    <w:rPr>
      <w:rFonts w:ascii="Cambria" w:hAnsi="Cambria" w:eastAsia="仿宋_GB2312" w:cs="新宋体"/>
      <w:sz w:val="24"/>
    </w:rPr>
  </w:style>
  <w:style w:type="paragraph" w:customStyle="1" w:styleId="491">
    <w:name w:val="默认段落字体 Para Char Char Char Char Char Char Char Char Char1 Char Char Char Char Char Char Char"/>
    <w:basedOn w:val="18"/>
    <w:qFormat/>
    <w:uiPriority w:val="0"/>
    <w:rPr>
      <w:rFonts w:ascii="Tahoma" w:hAnsi="Tahoma"/>
      <w:sz w:val="24"/>
    </w:rPr>
  </w:style>
  <w:style w:type="paragraph" w:customStyle="1" w:styleId="492">
    <w:name w:val="14"/>
    <w:basedOn w:val="1"/>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493">
    <w:name w:val="标准段落"/>
    <w:basedOn w:val="1"/>
    <w:qFormat/>
    <w:uiPriority w:val="0"/>
    <w:pPr>
      <w:spacing w:after="120" w:line="360" w:lineRule="auto"/>
      <w:ind w:firstLine="420"/>
    </w:pPr>
    <w:rPr>
      <w:rFonts w:ascii="黑体" w:hAnsi="宋体" w:eastAsia="黑体"/>
      <w:b/>
      <w:spacing w:val="6"/>
      <w:szCs w:val="22"/>
    </w:rPr>
  </w:style>
  <w:style w:type="paragraph" w:customStyle="1" w:styleId="4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495">
    <w:name w:val="章标题"/>
    <w:next w:val="1"/>
    <w:qFormat/>
    <w:uiPriority w:val="0"/>
    <w:pPr>
      <w:numPr>
        <w:ilvl w:val="1"/>
        <w:numId w:val="9"/>
      </w:numPr>
      <w:spacing w:beforeLines="50" w:afterLines="50"/>
      <w:jc w:val="both"/>
      <w:outlineLvl w:val="1"/>
    </w:pPr>
    <w:rPr>
      <w:rFonts w:ascii="黑体" w:hAnsi="Times New Roman" w:eastAsia="黑体" w:cs="Times New Roman"/>
      <w:sz w:val="21"/>
      <w:lang w:val="en-US" w:eastAsia="zh-CN" w:bidi="ar-SA"/>
    </w:rPr>
  </w:style>
  <w:style w:type="paragraph" w:customStyle="1" w:styleId="496">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top"/>
    </w:pPr>
    <w:rPr>
      <w:rFonts w:ascii="宋体" w:hAnsi="宋体" w:cs="宋体"/>
      <w:kern w:val="0"/>
      <w:sz w:val="24"/>
    </w:rPr>
  </w:style>
  <w:style w:type="paragraph" w:customStyle="1" w:styleId="49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98">
    <w:name w:val="xl25"/>
    <w:basedOn w:val="1"/>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499">
    <w:name w:val="Table Contents"/>
    <w:basedOn w:val="1"/>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500">
    <w:name w:val="编号1"/>
    <w:basedOn w:val="1"/>
    <w:qFormat/>
    <w:uiPriority w:val="0"/>
    <w:pPr>
      <w:spacing w:line="360" w:lineRule="auto"/>
      <w:jc w:val="left"/>
    </w:pPr>
    <w:rPr>
      <w:sz w:val="24"/>
    </w:rPr>
  </w:style>
  <w:style w:type="paragraph" w:customStyle="1" w:styleId="501">
    <w:name w:val="列表段落1"/>
    <w:basedOn w:val="1"/>
    <w:qFormat/>
    <w:uiPriority w:val="99"/>
    <w:pPr>
      <w:spacing w:before="120" w:after="120"/>
      <w:ind w:firstLine="420"/>
    </w:pPr>
    <w:rPr>
      <w:rFonts w:ascii="宋体" w:hAnsi="宋体" w:eastAsia="仿宋"/>
      <w:sz w:val="24"/>
    </w:rPr>
  </w:style>
  <w:style w:type="paragraph" w:customStyle="1" w:styleId="502">
    <w:name w:val="Char Char Char Char11"/>
    <w:basedOn w:val="18"/>
    <w:qFormat/>
    <w:uiPriority w:val="0"/>
    <w:rPr>
      <w:rFonts w:ascii="Tahoma" w:hAnsi="Tahoma"/>
      <w:sz w:val="24"/>
    </w:rPr>
  </w:style>
  <w:style w:type="paragraph" w:customStyle="1" w:styleId="503">
    <w:name w:val="三级条标题"/>
    <w:basedOn w:val="472"/>
    <w:next w:val="1"/>
    <w:qFormat/>
    <w:uiPriority w:val="0"/>
    <w:pPr>
      <w:numPr>
        <w:ilvl w:val="4"/>
        <w:numId w:val="0"/>
      </w:numPr>
      <w:outlineLvl w:val="4"/>
    </w:pPr>
  </w:style>
  <w:style w:type="paragraph" w:customStyle="1" w:styleId="504">
    <w:name w:val="_Style 11"/>
    <w:basedOn w:val="1"/>
    <w:qFormat/>
    <w:uiPriority w:val="0"/>
    <w:pPr>
      <w:tabs>
        <w:tab w:val="left" w:pos="360"/>
      </w:tabs>
    </w:pPr>
    <w:rPr>
      <w:szCs w:val="22"/>
    </w:rPr>
  </w:style>
  <w:style w:type="paragraph" w:customStyle="1" w:styleId="50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506">
    <w:name w:val="xl96"/>
    <w:basedOn w:val="1"/>
    <w:qFormat/>
    <w:uiPriority w:val="0"/>
    <w:pPr>
      <w:widowControl/>
      <w:pBdr>
        <w:top w:val="single" w:color="auto" w:sz="8" w:space="0"/>
        <w:left w:val="single" w:color="auto" w:sz="8" w:space="0"/>
        <w:bottom w:val="single" w:color="auto" w:sz="4" w:space="0"/>
        <w:right w:val="single" w:color="auto" w:sz="4" w:space="0"/>
      </w:pBdr>
      <w:shd w:val="clear" w:color="000000" w:fill="92D050"/>
      <w:spacing w:before="100" w:beforeAutospacing="1" w:after="100" w:afterAutospacing="1"/>
      <w:jc w:val="center"/>
    </w:pPr>
    <w:rPr>
      <w:rFonts w:ascii="Arial" w:hAnsi="Arial" w:cs="Arial"/>
      <w:b/>
      <w:bCs/>
      <w:kern w:val="0"/>
      <w:sz w:val="24"/>
    </w:rPr>
  </w:style>
  <w:style w:type="paragraph" w:customStyle="1" w:styleId="507">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508">
    <w:name w:val="样式 首行缩进:  2 字符1"/>
    <w:basedOn w:val="1"/>
    <w:qFormat/>
    <w:uiPriority w:val="0"/>
    <w:pPr>
      <w:spacing w:line="360" w:lineRule="auto"/>
      <w:ind w:firstLine="540" w:firstLineChars="225"/>
    </w:pPr>
    <w:rPr>
      <w:sz w:val="24"/>
      <w:szCs w:val="20"/>
    </w:rPr>
  </w:style>
  <w:style w:type="paragraph" w:customStyle="1" w:styleId="509">
    <w:name w:val="样式 四号 行距: 1.5 倍行距"/>
    <w:basedOn w:val="1"/>
    <w:qFormat/>
    <w:uiPriority w:val="0"/>
    <w:pPr>
      <w:spacing w:line="312" w:lineRule="auto"/>
      <w:ind w:firstLine="202" w:firstLineChars="202"/>
    </w:pPr>
    <w:rPr>
      <w:rFonts w:cs="宋体"/>
      <w:sz w:val="24"/>
      <w:szCs w:val="20"/>
    </w:rPr>
  </w:style>
  <w:style w:type="paragraph" w:customStyle="1" w:styleId="510">
    <w:name w:val="样式 仿宋_GB2312 四号 黑色 行距: 1.5 倍行距"/>
    <w:basedOn w:val="1"/>
    <w:qFormat/>
    <w:uiPriority w:val="0"/>
    <w:pPr>
      <w:suppressAutoHyphens/>
      <w:spacing w:before="156" w:line="360" w:lineRule="auto"/>
      <w:ind w:firstLine="560" w:firstLineChars="200"/>
      <w:jc w:val="left"/>
    </w:pPr>
    <w:rPr>
      <w:rFonts w:ascii="仿宋_GB2312" w:eastAsia="仿宋_GB2312"/>
      <w:color w:val="000000"/>
      <w:kern w:val="1"/>
      <w:sz w:val="28"/>
      <w:szCs w:val="20"/>
      <w:lang w:eastAsia="ar-SA"/>
    </w:rPr>
  </w:style>
  <w:style w:type="paragraph" w:customStyle="1" w:styleId="51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12">
    <w:name w:val="Char Char Char Char Char Char"/>
    <w:basedOn w:val="1"/>
    <w:qFormat/>
    <w:uiPriority w:val="0"/>
    <w:rPr>
      <w:rFonts w:ascii="Tahoma" w:hAnsi="Tahoma"/>
      <w:sz w:val="24"/>
      <w:szCs w:val="20"/>
    </w:rPr>
  </w:style>
  <w:style w:type="paragraph" w:customStyle="1" w:styleId="513">
    <w:name w:val="Normal Indent1"/>
    <w:basedOn w:val="1"/>
    <w:qFormat/>
    <w:uiPriority w:val="0"/>
    <w:pPr>
      <w:ind w:firstLine="420" w:firstLineChars="200"/>
    </w:pPr>
  </w:style>
  <w:style w:type="paragraph" w:customStyle="1" w:styleId="514">
    <w:name w:val="Char11"/>
    <w:basedOn w:val="1"/>
    <w:qFormat/>
    <w:uiPriority w:val="0"/>
    <w:rPr>
      <w:rFonts w:ascii="Tahoma" w:hAnsi="Tahoma"/>
      <w:sz w:val="24"/>
      <w:szCs w:val="20"/>
    </w:rPr>
  </w:style>
  <w:style w:type="paragraph" w:customStyle="1" w:styleId="515">
    <w:name w:val="Char"/>
    <w:basedOn w:val="1"/>
    <w:qFormat/>
    <w:uiPriority w:val="0"/>
    <w:pPr>
      <w:widowControl/>
      <w:spacing w:line="400" w:lineRule="exact"/>
      <w:jc w:val="center"/>
    </w:pPr>
    <w:rPr>
      <w:rFonts w:ascii="Verdana" w:hAnsi="Verdana"/>
      <w:kern w:val="0"/>
      <w:szCs w:val="20"/>
      <w:lang w:eastAsia="en-US"/>
    </w:rPr>
  </w:style>
  <w:style w:type="paragraph" w:customStyle="1" w:styleId="516">
    <w:name w:val="正文－恩普"/>
    <w:basedOn w:val="15"/>
    <w:qFormat/>
    <w:uiPriority w:val="0"/>
    <w:pPr>
      <w:adjustRightInd/>
      <w:spacing w:line="360" w:lineRule="auto"/>
      <w:ind w:firstLine="200" w:firstLineChars="200"/>
      <w:textAlignment w:val="auto"/>
    </w:pPr>
    <w:rPr>
      <w:rFonts w:ascii="仿宋_GB2312"/>
      <w:b/>
      <w:kern w:val="2"/>
      <w:sz w:val="24"/>
      <w:szCs w:val="24"/>
    </w:rPr>
  </w:style>
  <w:style w:type="paragraph" w:customStyle="1" w:styleId="517">
    <w:name w:val="正文 首行缩进:  2 字符 Char"/>
    <w:basedOn w:val="1"/>
    <w:qFormat/>
    <w:uiPriority w:val="0"/>
    <w:pPr>
      <w:spacing w:line="360" w:lineRule="auto"/>
      <w:ind w:firstLine="480"/>
    </w:pPr>
    <w:rPr>
      <w:rFonts w:cs="宋体"/>
      <w:sz w:val="24"/>
      <w:szCs w:val="20"/>
    </w:rPr>
  </w:style>
  <w:style w:type="paragraph" w:customStyle="1" w:styleId="51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top"/>
    </w:pPr>
    <w:rPr>
      <w:rFonts w:ascii="宋体" w:hAnsi="宋体" w:cs="宋体"/>
      <w:kern w:val="0"/>
      <w:sz w:val="24"/>
    </w:rPr>
  </w:style>
  <w:style w:type="paragraph" w:customStyle="1" w:styleId="519">
    <w:name w:val="xl108"/>
    <w:basedOn w:val="1"/>
    <w:qFormat/>
    <w:uiPriority w:val="0"/>
    <w:pPr>
      <w:widowControl/>
      <w:pBdr>
        <w:top w:val="single" w:color="auto" w:sz="4" w:space="0"/>
        <w:left w:val="single" w:color="auto" w:sz="8" w:space="0"/>
        <w:bottom w:val="single" w:color="auto" w:sz="4" w:space="0"/>
        <w:right w:val="single" w:color="auto" w:sz="4" w:space="0"/>
      </w:pBdr>
      <w:shd w:val="clear" w:color="000000" w:fill="FABF8F"/>
      <w:spacing w:before="100" w:beforeAutospacing="1" w:after="100" w:afterAutospacing="1"/>
      <w:jc w:val="center"/>
      <w:textAlignment w:val="top"/>
    </w:pPr>
    <w:rPr>
      <w:rFonts w:ascii="宋体" w:hAnsi="宋体" w:cs="宋体"/>
      <w:kern w:val="0"/>
      <w:sz w:val="24"/>
    </w:rPr>
  </w:style>
  <w:style w:type="paragraph" w:customStyle="1" w:styleId="520">
    <w:name w:val="纯文本1"/>
    <w:basedOn w:val="1"/>
    <w:qFormat/>
    <w:uiPriority w:val="0"/>
    <w:pPr>
      <w:adjustRightInd w:val="0"/>
      <w:textAlignment w:val="baseline"/>
    </w:pPr>
    <w:rPr>
      <w:rFonts w:ascii="宋体" w:hAnsi="Courier New" w:eastAsia="楷体_GB2312"/>
      <w:sz w:val="26"/>
      <w:szCs w:val="20"/>
    </w:rPr>
  </w:style>
  <w:style w:type="paragraph" w:customStyle="1" w:styleId="521">
    <w:name w:val="1级编号"/>
    <w:basedOn w:val="1"/>
    <w:qFormat/>
    <w:uiPriority w:val="0"/>
    <w:pPr>
      <w:numPr>
        <w:ilvl w:val="0"/>
        <w:numId w:val="10"/>
      </w:numPr>
      <w:spacing w:line="276" w:lineRule="auto"/>
      <w:ind w:left="993" w:hanging="573"/>
      <w:jc w:val="left"/>
    </w:pPr>
    <w:rPr>
      <w:rFonts w:ascii="Calibri" w:hAnsi="宋体"/>
      <w:szCs w:val="21"/>
    </w:rPr>
  </w:style>
  <w:style w:type="paragraph" w:customStyle="1" w:styleId="522">
    <w:name w:val="Char Char Char Char1"/>
    <w:basedOn w:val="1"/>
    <w:qFormat/>
    <w:uiPriority w:val="0"/>
    <w:rPr>
      <w:szCs w:val="20"/>
    </w:rPr>
  </w:style>
  <w:style w:type="paragraph" w:customStyle="1" w:styleId="523">
    <w:name w:val="p0"/>
    <w:basedOn w:val="1"/>
    <w:qFormat/>
    <w:uiPriority w:val="0"/>
    <w:pPr>
      <w:widowControl/>
      <w:shd w:val="clear" w:color="auto" w:fill="FFFFFF"/>
      <w:spacing w:before="32" w:line="235" w:lineRule="atLeast"/>
      <w:ind w:left="160"/>
      <w:jc w:val="left"/>
    </w:pPr>
    <w:rPr>
      <w:rFonts w:ascii="宋体" w:hAnsi="宋体" w:cs="宋体"/>
      <w:kern w:val="0"/>
      <w:sz w:val="24"/>
    </w:rPr>
  </w:style>
  <w:style w:type="paragraph" w:customStyle="1" w:styleId="52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25">
    <w:name w:val="Pa5"/>
    <w:basedOn w:val="526"/>
    <w:next w:val="526"/>
    <w:qFormat/>
    <w:uiPriority w:val="0"/>
    <w:pPr>
      <w:spacing w:after="60" w:line="161" w:lineRule="atLeast"/>
    </w:pPr>
    <w:rPr>
      <w:rFonts w:ascii="Univers LT Std 57 Cn" w:hAnsi="Univers LT Std 57 Cn" w:cs="Times New Roman"/>
      <w:color w:val="auto"/>
    </w:rPr>
  </w:style>
  <w:style w:type="paragraph" w:customStyle="1" w:styleId="5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7">
    <w:name w:val="前言、引言标题"/>
    <w:next w:val="1"/>
    <w:qFormat/>
    <w:uiPriority w:val="0"/>
    <w:pPr>
      <w:numPr>
        <w:ilvl w:val="0"/>
        <w:numId w:val="9"/>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28">
    <w:name w:val="正文字缩2字"/>
    <w:basedOn w:val="1"/>
    <w:qFormat/>
    <w:uiPriority w:val="0"/>
    <w:pPr>
      <w:spacing w:before="60" w:after="60" w:line="360" w:lineRule="auto"/>
      <w:ind w:left="200" w:leftChars="200" w:firstLine="200" w:firstLineChars="200"/>
    </w:pPr>
    <w:rPr>
      <w:sz w:val="24"/>
    </w:rPr>
  </w:style>
  <w:style w:type="paragraph" w:customStyle="1" w:styleId="529">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530">
    <w:name w:val="项目符号（宋艳）"/>
    <w:basedOn w:val="1"/>
    <w:qFormat/>
    <w:uiPriority w:val="0"/>
    <w:pPr>
      <w:tabs>
        <w:tab w:val="left" w:pos="360"/>
        <w:tab w:val="left" w:pos="840"/>
      </w:tabs>
      <w:spacing w:line="360" w:lineRule="auto"/>
      <w:ind w:left="840" w:firstLine="480"/>
    </w:pPr>
    <w:rPr>
      <w:rFonts w:hAnsi="宋体"/>
      <w:color w:val="000000"/>
      <w:sz w:val="24"/>
      <w:szCs w:val="20"/>
    </w:rPr>
  </w:style>
  <w:style w:type="paragraph" w:customStyle="1" w:styleId="53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532">
    <w:name w:val="图表脚注"/>
    <w:next w:val="533"/>
    <w:qFormat/>
    <w:uiPriority w:val="0"/>
    <w:pPr>
      <w:tabs>
        <w:tab w:val="left" w:pos="3080"/>
      </w:tabs>
      <w:ind w:left="300" w:leftChars="200" w:hanging="100" w:hangingChars="100"/>
      <w:jc w:val="both"/>
    </w:pPr>
    <w:rPr>
      <w:rFonts w:ascii="宋体" w:hAnsi="Times New Roman" w:eastAsia="宋体" w:cs="Times New Roman"/>
      <w:sz w:val="18"/>
      <w:lang w:val="en-US" w:eastAsia="zh-CN" w:bidi="ar-SA"/>
    </w:rPr>
  </w:style>
  <w:style w:type="paragraph" w:customStyle="1" w:styleId="5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4">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535">
    <w:name w:val="样式 标题 2 + 居中"/>
    <w:basedOn w:val="4"/>
    <w:qFormat/>
    <w:uiPriority w:val="0"/>
    <w:pPr>
      <w:spacing w:beforeLines="50" w:beforeAutospacing="1" w:afterLines="50" w:afterAutospacing="1" w:line="360" w:lineRule="auto"/>
      <w:jc w:val="center"/>
    </w:pPr>
    <w:rPr>
      <w:rFonts w:cs="宋体"/>
      <w:szCs w:val="20"/>
    </w:rPr>
  </w:style>
  <w:style w:type="paragraph" w:customStyle="1" w:styleId="536">
    <w:name w:val="Char Char Char Char Char Char Char"/>
    <w:basedOn w:val="1"/>
    <w:next w:val="1"/>
    <w:qFormat/>
    <w:uiPriority w:val="0"/>
    <w:pPr>
      <w:tabs>
        <w:tab w:val="left" w:pos="425"/>
      </w:tabs>
      <w:spacing w:beforeLines="50" w:afterLines="100" w:line="360" w:lineRule="auto"/>
      <w:ind w:left="1105" w:hanging="748"/>
      <w:jc w:val="center"/>
    </w:pPr>
    <w:rPr>
      <w:szCs w:val="20"/>
    </w:rPr>
  </w:style>
  <w:style w:type="paragraph" w:customStyle="1" w:styleId="537">
    <w:name w:val="1级"/>
    <w:basedOn w:val="3"/>
    <w:next w:val="56"/>
    <w:qFormat/>
    <w:uiPriority w:val="0"/>
    <w:pPr>
      <w:keepLines/>
      <w:pageBreakBefore/>
      <w:numPr>
        <w:ilvl w:val="0"/>
        <w:numId w:val="2"/>
      </w:numPr>
      <w:spacing w:before="340" w:after="330" w:line="578" w:lineRule="auto"/>
      <w:jc w:val="left"/>
    </w:pPr>
    <w:rPr>
      <w:rFonts w:ascii="Calibri" w:hAnsi="Calibri" w:eastAsia="宋体"/>
      <w:kern w:val="44"/>
      <w:sz w:val="32"/>
      <w:szCs w:val="32"/>
    </w:rPr>
  </w:style>
  <w:style w:type="paragraph" w:customStyle="1" w:styleId="538">
    <w:name w:val="Char Char1 Char Char Char Char Char Char Char Char Char Char Char Char Char Char"/>
    <w:basedOn w:val="1"/>
    <w:qFormat/>
    <w:uiPriority w:val="0"/>
    <w:pPr>
      <w:widowControl/>
      <w:autoSpaceDE w:val="0"/>
      <w:autoSpaceDN w:val="0"/>
      <w:adjustRightInd w:val="0"/>
      <w:spacing w:after="160" w:line="240" w:lineRule="exact"/>
      <w:jc w:val="left"/>
    </w:pPr>
    <w:rPr>
      <w:kern w:val="0"/>
      <w:sz w:val="20"/>
      <w:szCs w:val="20"/>
    </w:rPr>
  </w:style>
  <w:style w:type="paragraph" w:customStyle="1" w:styleId="539">
    <w:name w:val="H 4"/>
    <w:basedOn w:val="6"/>
    <w:next w:val="1"/>
    <w:qFormat/>
    <w:uiPriority w:val="0"/>
    <w:pPr>
      <w:spacing w:before="120" w:after="120" w:line="240" w:lineRule="auto"/>
    </w:pPr>
    <w:rPr>
      <w:rFonts w:ascii="宋体" w:hAnsi="宋体"/>
      <w:szCs w:val="24"/>
      <w:lang w:val="zh-CN"/>
    </w:rPr>
  </w:style>
  <w:style w:type="paragraph" w:customStyle="1" w:styleId="540">
    <w:name w:val="列出段落5"/>
    <w:basedOn w:val="1"/>
    <w:qFormat/>
    <w:uiPriority w:val="0"/>
    <w:pPr>
      <w:ind w:firstLine="420" w:firstLineChars="200"/>
    </w:pPr>
  </w:style>
  <w:style w:type="paragraph" w:customStyle="1" w:styleId="541">
    <w:name w:val="样式 标题 3正文三级标题 + 小五 左 行距: 固定值 12 磅"/>
    <w:basedOn w:val="5"/>
    <w:qFormat/>
    <w:uiPriority w:val="0"/>
    <w:pPr>
      <w:spacing w:line="240" w:lineRule="exact"/>
      <w:jc w:val="left"/>
    </w:pPr>
    <w:rPr>
      <w:rFonts w:cs="宋体"/>
      <w:sz w:val="18"/>
      <w:szCs w:val="20"/>
    </w:rPr>
  </w:style>
  <w:style w:type="paragraph" w:customStyle="1" w:styleId="542">
    <w:name w:val="技术报告正文"/>
    <w:basedOn w:val="1"/>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5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544">
    <w:name w:val="样式 首行缩进:  2 字符"/>
    <w:basedOn w:val="1"/>
    <w:qFormat/>
    <w:uiPriority w:val="0"/>
    <w:pPr>
      <w:widowControl/>
      <w:numPr>
        <w:ilvl w:val="0"/>
        <w:numId w:val="11"/>
      </w:numPr>
    </w:pPr>
    <w:rPr>
      <w:rFonts w:ascii="宋体" w:hAnsi="宋体" w:cs="宋体"/>
      <w:bCs/>
      <w:color w:val="000000"/>
      <w:kern w:val="0"/>
      <w:sz w:val="24"/>
    </w:rPr>
  </w:style>
  <w:style w:type="paragraph" w:customStyle="1" w:styleId="5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6">
    <w:name w:val="Table of contents|1"/>
    <w:basedOn w:val="1"/>
    <w:qFormat/>
    <w:uiPriority w:val="0"/>
    <w:pPr>
      <w:shd w:val="clear" w:color="auto" w:fill="FFFFFF"/>
      <w:spacing w:before="500" w:after="100" w:line="200" w:lineRule="exact"/>
      <w:jc w:val="distribute"/>
    </w:pPr>
    <w:rPr>
      <w:rFonts w:ascii="PMingLiU" w:hAnsi="PMingLiU" w:eastAsia="PMingLiU"/>
      <w:spacing w:val="10"/>
      <w:kern w:val="0"/>
      <w:sz w:val="20"/>
      <w:szCs w:val="20"/>
    </w:rPr>
  </w:style>
  <w:style w:type="paragraph" w:customStyle="1" w:styleId="547">
    <w:name w:val="xl106"/>
    <w:basedOn w:val="1"/>
    <w:qFormat/>
    <w:uiPriority w:val="0"/>
    <w:pPr>
      <w:widowControl/>
      <w:pBdr>
        <w:top w:val="single" w:color="auto" w:sz="4" w:space="0"/>
        <w:left w:val="single" w:color="auto" w:sz="8" w:space="0"/>
        <w:bottom w:val="single" w:color="auto" w:sz="4" w:space="0"/>
        <w:right w:val="single" w:color="auto" w:sz="4" w:space="0"/>
      </w:pBdr>
      <w:shd w:val="clear" w:color="000000" w:fill="FFC000"/>
      <w:spacing w:before="100" w:beforeAutospacing="1" w:after="100" w:afterAutospacing="1"/>
      <w:jc w:val="center"/>
      <w:textAlignment w:val="top"/>
    </w:pPr>
    <w:rPr>
      <w:rFonts w:ascii="宋体" w:hAnsi="宋体" w:cs="宋体"/>
      <w:kern w:val="0"/>
      <w:sz w:val="24"/>
    </w:rPr>
  </w:style>
  <w:style w:type="paragraph" w:customStyle="1" w:styleId="548">
    <w:name w:val="默认段落字体 Para Char Char Char Char"/>
    <w:basedOn w:val="1"/>
    <w:qFormat/>
    <w:uiPriority w:val="0"/>
    <w:rPr>
      <w:sz w:val="20"/>
    </w:rPr>
  </w:style>
  <w:style w:type="paragraph" w:customStyle="1" w:styleId="549">
    <w:name w:val="xl9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550">
    <w:name w:val="样式 标题 3 + 黑体 小四 非加粗"/>
    <w:basedOn w:val="5"/>
    <w:qFormat/>
    <w:uiPriority w:val="0"/>
    <w:pPr>
      <w:spacing w:line="413" w:lineRule="auto"/>
    </w:pPr>
    <w:rPr>
      <w:rFonts w:ascii="黑体" w:hAnsi="黑体" w:eastAsia="黑体"/>
      <w:b w:val="0"/>
      <w:bCs w:val="0"/>
      <w:kern w:val="0"/>
      <w:sz w:val="24"/>
    </w:rPr>
  </w:style>
  <w:style w:type="paragraph" w:customStyle="1" w:styleId="551">
    <w:name w:val="正文缩进1"/>
    <w:basedOn w:val="1"/>
    <w:next w:val="23"/>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55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53">
    <w:name w:val="表格文字加粗"/>
    <w:basedOn w:val="483"/>
    <w:qFormat/>
    <w:uiPriority w:val="0"/>
    <w:pPr>
      <w:spacing w:line="240" w:lineRule="auto"/>
    </w:pPr>
    <w:rPr>
      <w:rFonts w:ascii="宋体" w:hAnsi="宋体" w:cs="宋体"/>
      <w:b/>
      <w:bCs/>
      <w:sz w:val="18"/>
      <w:szCs w:val="18"/>
    </w:rPr>
  </w:style>
  <w:style w:type="paragraph" w:customStyle="1" w:styleId="5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555">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556">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557">
    <w:name w:val="Pa3"/>
    <w:basedOn w:val="1"/>
    <w:next w:val="1"/>
    <w:qFormat/>
    <w:uiPriority w:val="0"/>
    <w:pPr>
      <w:autoSpaceDE w:val="0"/>
      <w:autoSpaceDN w:val="0"/>
      <w:adjustRightInd w:val="0"/>
      <w:spacing w:line="191" w:lineRule="atLeast"/>
      <w:jc w:val="left"/>
    </w:pPr>
    <w:rPr>
      <w:rFonts w:ascii="Linotype Univers 330 Light" w:eastAsia="Linotype Univers 330 Light"/>
      <w:kern w:val="0"/>
      <w:sz w:val="24"/>
    </w:rPr>
  </w:style>
  <w:style w:type="paragraph" w:customStyle="1" w:styleId="558">
    <w:name w:val="样式 标题 4 + 非加粗"/>
    <w:basedOn w:val="6"/>
    <w:qFormat/>
    <w:uiPriority w:val="0"/>
    <w:pPr>
      <w:keepNext w:val="0"/>
      <w:tabs>
        <w:tab w:val="left" w:pos="0"/>
      </w:tabs>
      <w:adjustRightInd w:val="0"/>
      <w:textAlignment w:val="baseline"/>
    </w:pPr>
    <w:rPr>
      <w:rFonts w:ascii="Arial" w:hAnsi="Arial" w:eastAsia="黑体"/>
      <w:sz w:val="24"/>
      <w:szCs w:val="20"/>
    </w:rPr>
  </w:style>
  <w:style w:type="paragraph" w:customStyle="1" w:styleId="559">
    <w:name w:val="blockquote"/>
    <w:basedOn w:val="1"/>
    <w:qFormat/>
    <w:uiPriority w:val="0"/>
    <w:pPr>
      <w:widowControl/>
      <w:spacing w:before="100" w:beforeAutospacing="1" w:after="100" w:afterAutospacing="1"/>
      <w:jc w:val="left"/>
    </w:pPr>
    <w:rPr>
      <w:rFonts w:ascii="宋体" w:hAnsi="宋体"/>
    </w:rPr>
  </w:style>
  <w:style w:type="paragraph" w:customStyle="1" w:styleId="560">
    <w:name w:val="Char1 Char Char Char Char1"/>
    <w:basedOn w:val="18"/>
    <w:qFormat/>
    <w:uiPriority w:val="0"/>
    <w:rPr>
      <w:rFonts w:ascii="Tahoma" w:hAnsi="Tahoma" w:cs="Tahoma"/>
      <w:kern w:val="0"/>
      <w:sz w:val="18"/>
    </w:rPr>
  </w:style>
  <w:style w:type="paragraph" w:customStyle="1" w:styleId="561">
    <w:name w:val="xl107"/>
    <w:basedOn w:val="1"/>
    <w:qFormat/>
    <w:uiPriority w:val="0"/>
    <w:pPr>
      <w:widowControl/>
      <w:pBdr>
        <w:top w:val="single" w:color="auto" w:sz="4" w:space="0"/>
        <w:left w:val="single" w:color="auto" w:sz="4" w:space="0"/>
        <w:bottom w:val="single" w:color="auto" w:sz="4" w:space="0"/>
        <w:right w:val="single" w:color="auto" w:sz="8" w:space="0"/>
      </w:pBdr>
      <w:shd w:val="clear" w:color="000000" w:fill="92CDDC"/>
      <w:spacing w:before="100" w:beforeAutospacing="1" w:after="100" w:afterAutospacing="1"/>
      <w:jc w:val="center"/>
      <w:textAlignment w:val="top"/>
    </w:pPr>
    <w:rPr>
      <w:rFonts w:ascii="宋体" w:hAnsi="宋体" w:cs="宋体"/>
      <w:kern w:val="0"/>
      <w:sz w:val="24"/>
    </w:rPr>
  </w:style>
  <w:style w:type="paragraph" w:customStyle="1" w:styleId="562">
    <w:name w:val="缩正文"/>
    <w:basedOn w:val="56"/>
    <w:qFormat/>
    <w:uiPriority w:val="0"/>
    <w:pPr>
      <w:spacing w:line="240" w:lineRule="auto"/>
      <w:ind w:left="2268" w:leftChars="0" w:firstLine="0" w:firstLineChars="0"/>
    </w:pPr>
    <w:rPr>
      <w:rFonts w:ascii="Times New Roman" w:hAnsi="Times New Roman"/>
      <w:sz w:val="21"/>
      <w:szCs w:val="20"/>
    </w:rPr>
  </w:style>
  <w:style w:type="paragraph" w:customStyle="1" w:styleId="563">
    <w:name w:val="Table Paragraph"/>
    <w:basedOn w:val="1"/>
    <w:qFormat/>
    <w:uiPriority w:val="1"/>
    <w:pPr>
      <w:autoSpaceDE w:val="0"/>
      <w:autoSpaceDN w:val="0"/>
      <w:adjustRightInd w:val="0"/>
      <w:jc w:val="left"/>
    </w:pPr>
    <w:rPr>
      <w:kern w:val="0"/>
      <w:sz w:val="24"/>
    </w:rPr>
  </w:style>
  <w:style w:type="paragraph" w:customStyle="1" w:styleId="564">
    <w:name w:val="Item List in Tabl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565">
    <w:name w:val="实施日期"/>
    <w:basedOn w:val="1"/>
    <w:qFormat/>
    <w:uiPriority w:val="0"/>
    <w:pPr>
      <w:widowControl/>
      <w:tabs>
        <w:tab w:val="left" w:pos="2660"/>
      </w:tabs>
      <w:ind w:left="2660" w:hanging="420"/>
      <w:jc w:val="right"/>
    </w:pPr>
    <w:rPr>
      <w:rFonts w:eastAsia="黑体"/>
      <w:kern w:val="0"/>
      <w:sz w:val="28"/>
      <w:szCs w:val="20"/>
    </w:rPr>
  </w:style>
  <w:style w:type="paragraph" w:customStyle="1" w:styleId="566">
    <w:name w:val="NICMAN Body Text"/>
    <w:basedOn w:val="1"/>
    <w:next w:val="22"/>
    <w:qFormat/>
    <w:uiPriority w:val="0"/>
    <w:pPr>
      <w:autoSpaceDE w:val="0"/>
      <w:autoSpaceDN w:val="0"/>
      <w:adjustRightInd w:val="0"/>
      <w:spacing w:after="120"/>
      <w:jc w:val="left"/>
    </w:pPr>
    <w:rPr>
      <w:kern w:val="0"/>
      <w:sz w:val="20"/>
      <w:szCs w:val="20"/>
    </w:rPr>
  </w:style>
  <w:style w:type="paragraph" w:customStyle="1" w:styleId="567">
    <w:name w:val="Char Char Char Char12"/>
    <w:basedOn w:val="1"/>
    <w:qFormat/>
    <w:uiPriority w:val="0"/>
    <w:rPr>
      <w:rFonts w:ascii="Tahoma" w:hAnsi="Tahoma"/>
      <w:sz w:val="24"/>
      <w:szCs w:val="20"/>
    </w:rPr>
  </w:style>
  <w:style w:type="paragraph" w:customStyle="1" w:styleId="568">
    <w:name w:val="_Style 256"/>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9">
    <w:name w:val="无间隔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纯文本11"/>
    <w:basedOn w:val="1"/>
    <w:qFormat/>
    <w:uiPriority w:val="0"/>
    <w:pPr>
      <w:adjustRightInd w:val="0"/>
      <w:textAlignment w:val="baseline"/>
    </w:pPr>
    <w:rPr>
      <w:rFonts w:ascii="宋体" w:hAnsi="Courier New" w:eastAsia="楷体_GB2312"/>
      <w:sz w:val="26"/>
      <w:szCs w:val="20"/>
    </w:rPr>
  </w:style>
  <w:style w:type="paragraph" w:customStyle="1" w:styleId="571">
    <w:name w:val="编号，小四"/>
    <w:basedOn w:val="1"/>
    <w:qFormat/>
    <w:uiPriority w:val="0"/>
    <w:pPr>
      <w:numPr>
        <w:ilvl w:val="0"/>
        <w:numId w:val="12"/>
      </w:numPr>
      <w:spacing w:line="360" w:lineRule="auto"/>
    </w:pPr>
    <w:rPr>
      <w:rFonts w:ascii="Arial" w:hAnsi="Arial" w:cs="宋体"/>
      <w:sz w:val="24"/>
      <w:szCs w:val="20"/>
    </w:rPr>
  </w:style>
  <w:style w:type="paragraph" w:customStyle="1" w:styleId="57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573">
    <w:name w:val="font9"/>
    <w:basedOn w:val="1"/>
    <w:qFormat/>
    <w:uiPriority w:val="0"/>
    <w:pPr>
      <w:widowControl/>
      <w:spacing w:before="100" w:beforeAutospacing="1" w:after="100" w:afterAutospacing="1"/>
      <w:jc w:val="left"/>
    </w:pPr>
    <w:rPr>
      <w:rFonts w:ascii="黑体" w:hAnsi="宋体" w:eastAsia="黑体" w:cs="宋体"/>
      <w:color w:val="000000"/>
      <w:kern w:val="0"/>
      <w:sz w:val="20"/>
      <w:szCs w:val="20"/>
    </w:rPr>
  </w:style>
  <w:style w:type="paragraph" w:customStyle="1" w:styleId="574">
    <w:name w:val="单位"/>
    <w:basedOn w:val="1"/>
    <w:qFormat/>
    <w:uiPriority w:val="0"/>
    <w:pPr>
      <w:adjustRightInd w:val="0"/>
      <w:jc w:val="center"/>
      <w:textAlignment w:val="baseline"/>
    </w:pPr>
    <w:rPr>
      <w:rFonts w:ascii="宋体"/>
      <w:b/>
      <w:kern w:val="0"/>
      <w:sz w:val="32"/>
      <w:szCs w:val="20"/>
    </w:rPr>
  </w:style>
  <w:style w:type="paragraph" w:customStyle="1" w:styleId="575">
    <w:name w:val="Char Char1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576">
    <w:name w:val="表格文字（大）"/>
    <w:basedOn w:val="1"/>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577">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578">
    <w:name w:val="样式3"/>
    <w:basedOn w:val="6"/>
    <w:qFormat/>
    <w:uiPriority w:val="0"/>
    <w:pPr>
      <w:keepNext w:val="0"/>
      <w:adjustRightInd w:val="0"/>
      <w:spacing w:before="260" w:after="260" w:line="416" w:lineRule="auto"/>
      <w:textAlignment w:val="baseline"/>
    </w:pPr>
    <w:rPr>
      <w:rFonts w:ascii="宋体" w:hAnsi="宋体"/>
      <w:color w:val="000000"/>
      <w:sz w:val="32"/>
      <w:szCs w:val="32"/>
    </w:rPr>
  </w:style>
  <w:style w:type="paragraph" w:customStyle="1" w:styleId="579">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top"/>
    </w:pPr>
    <w:rPr>
      <w:rFonts w:ascii="宋体" w:hAnsi="宋体" w:cs="宋体"/>
      <w:kern w:val="0"/>
      <w:sz w:val="24"/>
    </w:rPr>
  </w:style>
  <w:style w:type="paragraph" w:customStyle="1" w:styleId="580">
    <w:name w:val="标题 4P"/>
    <w:basedOn w:val="6"/>
    <w:next w:val="15"/>
    <w:qFormat/>
    <w:uiPriority w:val="0"/>
    <w:pPr>
      <w:keepNext w:val="0"/>
      <w:keepLines w:val="0"/>
      <w:tabs>
        <w:tab w:val="left" w:pos="864"/>
        <w:tab w:val="left" w:pos="1716"/>
        <w:tab w:val="left" w:pos="1800"/>
      </w:tabs>
      <w:adjustRightInd w:val="0"/>
      <w:spacing w:before="0" w:after="0" w:line="240" w:lineRule="atLeast"/>
      <w:ind w:left="482" w:hanging="482" w:hangingChars="200"/>
      <w:textAlignment w:val="baseline"/>
    </w:pPr>
    <w:rPr>
      <w:rFonts w:ascii="Times New Roman" w:hAnsi="Times New Roman" w:cs="宋体"/>
      <w:sz w:val="24"/>
      <w:szCs w:val="24"/>
    </w:rPr>
  </w:style>
  <w:style w:type="paragraph" w:customStyle="1" w:styleId="581">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582">
    <w:name w:val="1Text"/>
    <w:basedOn w:val="1"/>
    <w:qFormat/>
    <w:uiPriority w:val="0"/>
    <w:pPr>
      <w:spacing w:beforeLines="50" w:afterLines="50" w:line="360" w:lineRule="auto"/>
      <w:ind w:firstLine="480" w:firstLineChars="200"/>
      <w:jc w:val="left"/>
    </w:pPr>
    <w:rPr>
      <w:rFonts w:ascii="Calibri" w:hAnsi="Calibri"/>
      <w:kern w:val="0"/>
      <w:sz w:val="24"/>
    </w:rPr>
  </w:style>
  <w:style w:type="paragraph" w:customStyle="1" w:styleId="583">
    <w:name w:val="Char Char Char Char"/>
    <w:basedOn w:val="1"/>
    <w:qFormat/>
    <w:uiPriority w:val="0"/>
    <w:pPr>
      <w:autoSpaceDE w:val="0"/>
      <w:autoSpaceDN w:val="0"/>
      <w:adjustRightInd w:val="0"/>
      <w:jc w:val="left"/>
    </w:pPr>
    <w:rPr>
      <w:rFonts w:ascii="Tahoma" w:hAnsi="Tahoma"/>
      <w:kern w:val="0"/>
      <w:sz w:val="24"/>
      <w:szCs w:val="20"/>
    </w:rPr>
  </w:style>
  <w:style w:type="paragraph" w:customStyle="1" w:styleId="5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85">
    <w:name w:val="_Style 33"/>
    <w:basedOn w:val="1"/>
    <w:qFormat/>
    <w:uiPriority w:val="0"/>
  </w:style>
  <w:style w:type="paragraph" w:customStyle="1" w:styleId="586">
    <w:name w:val="方案"/>
    <w:basedOn w:val="1"/>
    <w:qFormat/>
    <w:uiPriority w:val="0"/>
    <w:pPr>
      <w:jc w:val="right"/>
    </w:pPr>
    <w:rPr>
      <w:rFonts w:eastAsia="黑体"/>
      <w:b/>
      <w:sz w:val="52"/>
    </w:rPr>
  </w:style>
  <w:style w:type="paragraph" w:customStyle="1" w:styleId="587">
    <w:name w:val="xl320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b/>
      <w:bCs/>
      <w:kern w:val="0"/>
      <w:sz w:val="24"/>
    </w:rPr>
  </w:style>
  <w:style w:type="paragraph" w:customStyle="1" w:styleId="588">
    <w:name w:val="样式 标题 5正文四级标题 + 宋体 小五 行距: 固定值 12 磅1"/>
    <w:basedOn w:val="7"/>
    <w:qFormat/>
    <w:uiPriority w:val="0"/>
    <w:pPr>
      <w:keepNext w:val="0"/>
      <w:tabs>
        <w:tab w:val="left" w:pos="2580"/>
      </w:tabs>
      <w:adjustRightInd w:val="0"/>
      <w:spacing w:line="240" w:lineRule="exact"/>
      <w:ind w:left="2580" w:hanging="420"/>
      <w:textAlignment w:val="baseline"/>
    </w:pPr>
    <w:rPr>
      <w:rFonts w:ascii="宋体" w:hAnsi="宋体" w:cs="宋体"/>
      <w:kern w:val="0"/>
      <w:sz w:val="18"/>
      <w:szCs w:val="20"/>
    </w:rPr>
  </w:style>
  <w:style w:type="paragraph" w:customStyle="1" w:styleId="589">
    <w:name w:val="列出段落1"/>
    <w:basedOn w:val="1"/>
    <w:qFormat/>
    <w:uiPriority w:val="0"/>
    <w:pPr>
      <w:ind w:firstLine="420" w:firstLineChars="200"/>
    </w:pPr>
    <w:rPr>
      <w:szCs w:val="20"/>
    </w:rPr>
  </w:style>
  <w:style w:type="paragraph" w:customStyle="1" w:styleId="590">
    <w:name w:val="招标文件－标准正文"/>
    <w:basedOn w:val="29"/>
    <w:qFormat/>
    <w:uiPriority w:val="0"/>
    <w:pPr>
      <w:spacing w:line="360" w:lineRule="auto"/>
    </w:pPr>
    <w:rPr>
      <w:rFonts w:ascii="Times New Roman" w:hAnsi="Times New Roman" w:cs="宋体"/>
      <w:color w:val="000000"/>
      <w:sz w:val="24"/>
    </w:rPr>
  </w:style>
  <w:style w:type="paragraph" w:customStyle="1" w:styleId="59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592">
    <w:name w:val="图表1"/>
    <w:basedOn w:val="1"/>
    <w:qFormat/>
    <w:uiPriority w:val="0"/>
    <w:pPr>
      <w:jc w:val="center"/>
    </w:pPr>
    <w:rPr>
      <w:sz w:val="20"/>
    </w:rPr>
  </w:style>
  <w:style w:type="paragraph" w:customStyle="1" w:styleId="593">
    <w:name w:val="CM106"/>
    <w:basedOn w:val="526"/>
    <w:next w:val="526"/>
    <w:qFormat/>
    <w:uiPriority w:val="0"/>
    <w:rPr>
      <w:rFonts w:cs="Times New Roman"/>
      <w:color w:val="auto"/>
    </w:rPr>
  </w:style>
  <w:style w:type="paragraph" w:customStyle="1" w:styleId="594">
    <w:name w:val="xl98"/>
    <w:basedOn w:val="1"/>
    <w:qFormat/>
    <w:uiPriority w:val="0"/>
    <w:pPr>
      <w:widowControl/>
      <w:pBdr>
        <w:top w:val="single" w:color="auto" w:sz="8" w:space="0"/>
        <w:left w:val="single" w:color="auto" w:sz="4" w:space="0"/>
        <w:bottom w:val="single" w:color="auto" w:sz="4" w:space="0"/>
        <w:right w:val="single" w:color="auto" w:sz="8" w:space="0"/>
      </w:pBdr>
      <w:shd w:val="clear" w:color="000000" w:fill="92D050"/>
      <w:spacing w:before="100" w:beforeAutospacing="1" w:after="100" w:afterAutospacing="1"/>
      <w:jc w:val="center"/>
    </w:pPr>
    <w:rPr>
      <w:rFonts w:ascii="Arial" w:hAnsi="Arial" w:cs="Arial"/>
      <w:b/>
      <w:bCs/>
      <w:kern w:val="0"/>
      <w:sz w:val="24"/>
    </w:rPr>
  </w:style>
  <w:style w:type="paragraph" w:customStyle="1" w:styleId="595">
    <w:name w:val="Char Char3"/>
    <w:basedOn w:val="1"/>
    <w:qFormat/>
    <w:uiPriority w:val="0"/>
    <w:rPr>
      <w:rFonts w:ascii="仿宋_GB2312" w:eastAsia="仿宋_GB2312"/>
      <w:b/>
      <w:sz w:val="32"/>
      <w:szCs w:val="32"/>
    </w:rPr>
  </w:style>
  <w:style w:type="paragraph" w:customStyle="1" w:styleId="596">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7">
    <w:name w:val="Char3 Char Char Char Char Char Char"/>
    <w:basedOn w:val="1"/>
    <w:qFormat/>
    <w:uiPriority w:val="0"/>
    <w:pPr>
      <w:spacing w:line="360" w:lineRule="auto"/>
    </w:pPr>
    <w:rPr>
      <w:rFonts w:ascii="Arial" w:hAnsi="Arial" w:eastAsia="黑体" w:cs="Arial"/>
      <w:snapToGrid w:val="0"/>
      <w:kern w:val="0"/>
      <w:szCs w:val="21"/>
    </w:rPr>
  </w:style>
  <w:style w:type="paragraph" w:customStyle="1" w:styleId="598">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599">
    <w:name w:val="默认段落字体 Para Char Char Char Char Char Char Char"/>
    <w:basedOn w:val="1"/>
    <w:qFormat/>
    <w:uiPriority w:val="0"/>
    <w:pPr>
      <w:adjustRightInd w:val="0"/>
      <w:spacing w:line="360" w:lineRule="auto"/>
    </w:pPr>
    <w:rPr>
      <w:rFonts w:ascii="Tahoma" w:hAnsi="Tahoma"/>
      <w:kern w:val="0"/>
      <w:sz w:val="24"/>
      <w:szCs w:val="20"/>
    </w:rPr>
  </w:style>
  <w:style w:type="paragraph" w:customStyle="1" w:styleId="60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01">
    <w:name w:val="符号2"/>
    <w:basedOn w:val="1"/>
    <w:qFormat/>
    <w:uiPriority w:val="0"/>
    <w:pPr>
      <w:widowControl/>
      <w:numPr>
        <w:ilvl w:val="0"/>
        <w:numId w:val="13"/>
      </w:numPr>
      <w:spacing w:line="360" w:lineRule="auto"/>
      <w:jc w:val="left"/>
    </w:pPr>
    <w:rPr>
      <w:rFonts w:ascii="仿宋_GB2312" w:eastAsia="仿宋_GB2312"/>
      <w:sz w:val="28"/>
    </w:rPr>
  </w:style>
  <w:style w:type="paragraph" w:customStyle="1" w:styleId="602">
    <w:name w:val="Char3"/>
    <w:basedOn w:val="1"/>
    <w:qFormat/>
    <w:uiPriority w:val="0"/>
    <w:rPr>
      <w:rFonts w:ascii="Tahoma" w:hAnsi="Tahoma"/>
      <w:sz w:val="24"/>
      <w:szCs w:val="20"/>
    </w:rPr>
  </w:style>
  <w:style w:type="paragraph" w:customStyle="1" w:styleId="603">
    <w:name w:val="编号正文"/>
    <w:basedOn w:val="22"/>
    <w:qFormat/>
    <w:uiPriority w:val="0"/>
    <w:pPr>
      <w:numPr>
        <w:ilvl w:val="0"/>
        <w:numId w:val="14"/>
      </w:numPr>
      <w:adjustRightInd w:val="0"/>
      <w:snapToGrid w:val="0"/>
      <w:spacing w:beforeLines="30" w:after="60" w:line="300" w:lineRule="auto"/>
      <w:jc w:val="left"/>
    </w:pPr>
    <w:rPr>
      <w:rFonts w:ascii="Times New Roman" w:hAnsi="Times New Roman"/>
      <w:kern w:val="0"/>
      <w:sz w:val="24"/>
      <w:szCs w:val="20"/>
    </w:rPr>
  </w:style>
  <w:style w:type="paragraph" w:customStyle="1" w:styleId="604">
    <w:name w:val="正文文字表格居中"/>
    <w:basedOn w:val="1"/>
    <w:next w:val="49"/>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605">
    <w:name w:val="xl105"/>
    <w:basedOn w:val="1"/>
    <w:qFormat/>
    <w:uiPriority w:val="0"/>
    <w:pPr>
      <w:widowControl/>
      <w:pBdr>
        <w:top w:val="single" w:color="auto" w:sz="4" w:space="0"/>
        <w:left w:val="single" w:color="auto" w:sz="4" w:space="0"/>
        <w:bottom w:val="single" w:color="auto" w:sz="4" w:space="0"/>
        <w:right w:val="single" w:color="auto" w:sz="8" w:space="0"/>
      </w:pBdr>
      <w:shd w:val="clear" w:color="000000" w:fill="FABF8F"/>
      <w:spacing w:before="100" w:beforeAutospacing="1" w:after="100" w:afterAutospacing="1"/>
      <w:jc w:val="center"/>
      <w:textAlignment w:val="top"/>
    </w:pPr>
    <w:rPr>
      <w:rFonts w:ascii="宋体" w:hAnsi="宋体" w:cs="宋体"/>
      <w:kern w:val="0"/>
      <w:sz w:val="24"/>
    </w:rPr>
  </w:style>
  <w:style w:type="paragraph" w:customStyle="1" w:styleId="606">
    <w:name w:val="Char Char1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0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609">
    <w:name w:val="列出段落4"/>
    <w:basedOn w:val="1"/>
    <w:qFormat/>
    <w:uiPriority w:val="0"/>
    <w:pPr>
      <w:ind w:firstLine="420" w:firstLineChars="200"/>
    </w:pPr>
  </w:style>
  <w:style w:type="paragraph" w:customStyle="1" w:styleId="6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1">
    <w:name w:val="修订1"/>
    <w:qFormat/>
    <w:uiPriority w:val="0"/>
    <w:rPr>
      <w:rFonts w:ascii="Times New Roman" w:hAnsi="Times New Roman" w:eastAsia="宋体" w:cs="Times New Roman"/>
      <w:kern w:val="2"/>
      <w:sz w:val="21"/>
      <w:szCs w:val="24"/>
      <w:lang w:val="en-US" w:eastAsia="zh-CN" w:bidi="ar-SA"/>
    </w:rPr>
  </w:style>
  <w:style w:type="paragraph" w:customStyle="1" w:styleId="612">
    <w:name w:val="文字"/>
    <w:basedOn w:val="1"/>
    <w:qFormat/>
    <w:uiPriority w:val="0"/>
    <w:pPr>
      <w:tabs>
        <w:tab w:val="left" w:pos="8520"/>
      </w:tabs>
      <w:spacing w:line="312" w:lineRule="auto"/>
      <w:ind w:right="-210" w:firstLine="556"/>
    </w:pPr>
    <w:rPr>
      <w:rFonts w:ascii="宋体"/>
      <w:sz w:val="28"/>
      <w:szCs w:val="20"/>
    </w:rPr>
  </w:style>
  <w:style w:type="paragraph" w:customStyle="1" w:styleId="613">
    <w:name w:val="注释"/>
    <w:basedOn w:val="1"/>
    <w:qFormat/>
    <w:uiPriority w:val="0"/>
    <w:pPr>
      <w:adjustRightInd w:val="0"/>
      <w:snapToGrid w:val="0"/>
      <w:spacing w:before="60" w:after="60" w:line="300" w:lineRule="auto"/>
      <w:ind w:firstLine="200" w:firstLineChars="200"/>
    </w:pPr>
    <w:rPr>
      <w:bCs/>
      <w:i/>
      <w:color w:val="3366FF"/>
      <w:sz w:val="24"/>
      <w:szCs w:val="20"/>
    </w:rPr>
  </w:style>
  <w:style w:type="paragraph" w:customStyle="1" w:styleId="614">
    <w:name w:val="默认段落字体 Para Char Char Char Char Char Char Char Char Char1 Char Char Char Char"/>
    <w:basedOn w:val="1"/>
    <w:qFormat/>
    <w:uiPriority w:val="0"/>
    <w:rPr>
      <w:rFonts w:ascii="Tahoma" w:hAnsi="Tahoma"/>
      <w:sz w:val="24"/>
      <w:szCs w:val="20"/>
    </w:rPr>
  </w:style>
  <w:style w:type="paragraph" w:customStyle="1" w:styleId="615">
    <w:name w:val="Char13"/>
    <w:basedOn w:val="1"/>
    <w:qFormat/>
    <w:uiPriority w:val="0"/>
    <w:pPr>
      <w:autoSpaceDE w:val="0"/>
      <w:autoSpaceDN w:val="0"/>
      <w:adjustRightInd w:val="0"/>
      <w:jc w:val="left"/>
    </w:pPr>
    <w:rPr>
      <w:rFonts w:ascii="仿宋_GB2312" w:eastAsia="仿宋_GB2312"/>
      <w:b/>
      <w:kern w:val="0"/>
      <w:sz w:val="32"/>
      <w:szCs w:val="32"/>
    </w:rPr>
  </w:style>
  <w:style w:type="paragraph" w:customStyle="1" w:styleId="616">
    <w:name w:val="Body text|3"/>
    <w:basedOn w:val="1"/>
    <w:qFormat/>
    <w:uiPriority w:val="0"/>
    <w:pPr>
      <w:shd w:val="clear" w:color="auto" w:fill="FFFFFF"/>
      <w:spacing w:before="500" w:after="2360" w:line="280" w:lineRule="exact"/>
    </w:pPr>
    <w:rPr>
      <w:rFonts w:ascii="PMingLiU" w:hAnsi="PMingLiU" w:eastAsia="PMingLiU" w:cs="PMingLiU"/>
      <w:b/>
      <w:bCs/>
      <w:spacing w:val="20"/>
      <w:sz w:val="28"/>
      <w:szCs w:val="28"/>
    </w:rPr>
  </w:style>
  <w:style w:type="paragraph" w:customStyle="1" w:styleId="617">
    <w:name w:val="xl10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Arial" w:hAnsi="Arial" w:cs="Arial"/>
      <w:kern w:val="0"/>
      <w:sz w:val="22"/>
      <w:szCs w:val="22"/>
    </w:rPr>
  </w:style>
  <w:style w:type="paragraph" w:customStyle="1" w:styleId="618">
    <w:name w:val="List Paragraph1"/>
    <w:basedOn w:val="1"/>
    <w:qFormat/>
    <w:uiPriority w:val="0"/>
    <w:pPr>
      <w:spacing w:line="360" w:lineRule="auto"/>
      <w:ind w:firstLine="420" w:firstLineChars="200"/>
    </w:pPr>
    <w:rPr>
      <w:rFonts w:ascii="Calibri" w:hAnsi="Calibri"/>
      <w:sz w:val="24"/>
      <w:szCs w:val="22"/>
    </w:rPr>
  </w:style>
  <w:style w:type="paragraph" w:customStyle="1" w:styleId="619">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620">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621">
    <w:name w:val="百姓X"/>
    <w:basedOn w:val="1"/>
    <w:qFormat/>
    <w:uiPriority w:val="0"/>
    <w:pPr>
      <w:spacing w:before="120" w:after="120" w:line="360" w:lineRule="auto"/>
      <w:ind w:firstLine="540"/>
    </w:pPr>
    <w:rPr>
      <w:rFonts w:ascii="宋体" w:hAnsi="宋体"/>
      <w:sz w:val="24"/>
      <w:szCs w:val="28"/>
    </w:rPr>
  </w:style>
  <w:style w:type="paragraph" w:customStyle="1" w:styleId="622">
    <w:name w:val="【注意】"/>
    <w:basedOn w:val="1"/>
    <w:next w:val="1"/>
    <w:qFormat/>
    <w:uiPriority w:val="0"/>
    <w:pPr>
      <w:spacing w:before="120" w:after="120"/>
      <w:jc w:val="left"/>
    </w:pPr>
    <w:rPr>
      <w:rFonts w:ascii="宋体" w:hAnsi="Arial"/>
      <w:szCs w:val="20"/>
    </w:rPr>
  </w:style>
  <w:style w:type="paragraph" w:customStyle="1" w:styleId="623">
    <w:name w:val="_Style 25"/>
    <w:basedOn w:val="1"/>
    <w:qFormat/>
    <w:uiPriority w:val="0"/>
  </w:style>
  <w:style w:type="paragraph" w:customStyle="1" w:styleId="624">
    <w:name w:val="album-div"/>
    <w:basedOn w:val="1"/>
    <w:qFormat/>
    <w:uiPriority w:val="0"/>
    <w:pPr>
      <w:widowControl/>
      <w:spacing w:before="100" w:beforeAutospacing="1" w:after="100" w:afterAutospacing="1"/>
      <w:jc w:val="left"/>
    </w:pPr>
    <w:rPr>
      <w:rFonts w:ascii="宋体" w:hAnsi="宋体" w:cs="宋体"/>
      <w:kern w:val="0"/>
      <w:sz w:val="24"/>
    </w:rPr>
  </w:style>
  <w:style w:type="paragraph" w:customStyle="1" w:styleId="625">
    <w:name w:val="xl113"/>
    <w:basedOn w:val="1"/>
    <w:qFormat/>
    <w:uiPriority w:val="0"/>
    <w:pPr>
      <w:widowControl/>
      <w:pBdr>
        <w:top w:val="single" w:color="auto" w:sz="4" w:space="0"/>
        <w:left w:val="single" w:color="auto" w:sz="8" w:space="0"/>
        <w:bottom w:val="single" w:color="auto" w:sz="4" w:space="0"/>
        <w:right w:val="single" w:color="auto" w:sz="4" w:space="0"/>
      </w:pBdr>
      <w:shd w:val="clear" w:color="000000" w:fill="B7DEE8"/>
      <w:spacing w:before="100" w:beforeAutospacing="1" w:after="100" w:afterAutospacing="1"/>
      <w:jc w:val="center"/>
      <w:textAlignment w:val="top"/>
    </w:pPr>
    <w:rPr>
      <w:rFonts w:ascii="宋体" w:hAnsi="宋体" w:cs="宋体"/>
      <w:kern w:val="0"/>
      <w:sz w:val="24"/>
    </w:rPr>
  </w:style>
  <w:style w:type="paragraph" w:customStyle="1" w:styleId="626">
    <w:name w:val="标题 3H"/>
    <w:basedOn w:val="5"/>
    <w:next w:val="15"/>
    <w:qFormat/>
    <w:uiPriority w:val="0"/>
    <w:pPr>
      <w:keepNext w:val="0"/>
      <w:tabs>
        <w:tab w:val="left" w:pos="862"/>
      </w:tabs>
      <w:adjustRightInd w:val="0"/>
      <w:spacing w:before="120" w:after="0" w:line="360" w:lineRule="auto"/>
      <w:ind w:left="561" w:hanging="561"/>
      <w:textAlignment w:val="baseline"/>
    </w:pPr>
    <w:rPr>
      <w:rFonts w:eastAsia="黑体" w:cs="宋体"/>
      <w:kern w:val="0"/>
      <w:sz w:val="28"/>
      <w:szCs w:val="20"/>
    </w:rPr>
  </w:style>
  <w:style w:type="paragraph" w:customStyle="1" w:styleId="627">
    <w:name w:val="xl76"/>
    <w:basedOn w:val="1"/>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628">
    <w:name w:val="内文正文"/>
    <w:basedOn w:val="29"/>
    <w:qFormat/>
    <w:uiPriority w:val="0"/>
    <w:pPr>
      <w:adjustRightInd w:val="0"/>
      <w:snapToGrid w:val="0"/>
      <w:spacing w:line="400" w:lineRule="exact"/>
      <w:ind w:firstLine="200" w:firstLineChars="200"/>
    </w:pPr>
    <w:rPr>
      <w:rFonts w:ascii="Arial" w:hAnsi="Arial" w:cs="Courier New"/>
      <w:b/>
      <w:color w:val="000000"/>
      <w:kern w:val="0"/>
      <w:szCs w:val="21"/>
    </w:rPr>
  </w:style>
  <w:style w:type="paragraph" w:customStyle="1" w:styleId="629">
    <w:name w:val="五级条标题"/>
    <w:basedOn w:val="630"/>
    <w:next w:val="1"/>
    <w:qFormat/>
    <w:uiPriority w:val="0"/>
    <w:pPr>
      <w:numPr>
        <w:ilvl w:val="6"/>
        <w:numId w:val="0"/>
      </w:numPr>
      <w:tabs>
        <w:tab w:val="left" w:pos="360"/>
      </w:tabs>
      <w:outlineLvl w:val="6"/>
    </w:pPr>
  </w:style>
  <w:style w:type="paragraph" w:customStyle="1" w:styleId="630">
    <w:name w:val="四级条标题"/>
    <w:basedOn w:val="503"/>
    <w:next w:val="1"/>
    <w:qFormat/>
    <w:uiPriority w:val="0"/>
    <w:pPr>
      <w:numPr>
        <w:ilvl w:val="5"/>
        <w:numId w:val="0"/>
      </w:numPr>
      <w:outlineLvl w:val="5"/>
    </w:pPr>
  </w:style>
  <w:style w:type="paragraph" w:customStyle="1" w:styleId="631">
    <w:name w:val="Char Char Char Char Char Char Char Char Char Char Char Char Char1"/>
    <w:basedOn w:val="1"/>
    <w:qFormat/>
    <w:uiPriority w:val="0"/>
    <w:rPr>
      <w:rFonts w:ascii="Tahoma" w:hAnsi="Tahoma"/>
      <w:sz w:val="24"/>
      <w:szCs w:val="20"/>
    </w:rPr>
  </w:style>
  <w:style w:type="paragraph" w:customStyle="1" w:styleId="632">
    <w:name w:val="目录"/>
    <w:basedOn w:val="40"/>
    <w:qFormat/>
    <w:uiPriority w:val="0"/>
    <w:pPr>
      <w:tabs>
        <w:tab w:val="right" w:leader="dot" w:pos="7937"/>
        <w:tab w:val="right" w:leader="dot" w:pos="9628"/>
      </w:tabs>
      <w:adjustRightInd w:val="0"/>
      <w:spacing w:before="120" w:after="120" w:line="360" w:lineRule="auto"/>
      <w:jc w:val="center"/>
      <w:textAlignment w:val="baseline"/>
    </w:pPr>
    <w:rPr>
      <w:rFonts w:ascii="宋体" w:hAnsi="Times New Roman" w:eastAsia="黑体" w:cs="Times New Roman"/>
      <w:kern w:val="0"/>
      <w:sz w:val="30"/>
      <w:szCs w:val="20"/>
    </w:rPr>
  </w:style>
  <w:style w:type="paragraph" w:customStyle="1" w:styleId="633">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634">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635">
    <w:name w:val="样式 四号 首行缩进:  1 厘米"/>
    <w:basedOn w:val="1"/>
    <w:qFormat/>
    <w:uiPriority w:val="0"/>
    <w:pPr>
      <w:spacing w:line="440" w:lineRule="exact"/>
      <w:ind w:firstLine="567"/>
    </w:pPr>
    <w:rPr>
      <w:rFonts w:cs="宋体"/>
      <w:sz w:val="28"/>
      <w:szCs w:val="20"/>
    </w:rPr>
  </w:style>
  <w:style w:type="paragraph" w:customStyle="1" w:styleId="636">
    <w:name w:val="xl83"/>
    <w:basedOn w:val="1"/>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637">
    <w:name w:val="保留正文"/>
    <w:basedOn w:val="22"/>
    <w:qFormat/>
    <w:uiPriority w:val="0"/>
    <w:pPr>
      <w:keepNext/>
      <w:spacing w:after="160"/>
    </w:pPr>
    <w:rPr>
      <w:rFonts w:ascii="仿宋_GB2312"/>
      <w:b/>
    </w:rPr>
  </w:style>
  <w:style w:type="paragraph" w:customStyle="1" w:styleId="638">
    <w:name w:val="列出段落6"/>
    <w:basedOn w:val="1"/>
    <w:qFormat/>
    <w:uiPriority w:val="0"/>
    <w:pPr>
      <w:ind w:firstLine="420" w:firstLineChars="200"/>
    </w:pPr>
  </w:style>
  <w:style w:type="paragraph" w:customStyle="1" w:styleId="639">
    <w:name w:val="正文缩进2"/>
    <w:basedOn w:val="1"/>
    <w:qFormat/>
    <w:uiPriority w:val="0"/>
    <w:pPr>
      <w:ind w:firstLine="420"/>
    </w:pPr>
    <w:rPr>
      <w:szCs w:val="20"/>
    </w:rPr>
  </w:style>
  <w:style w:type="paragraph" w:customStyle="1" w:styleId="640">
    <w:name w:val="xl93"/>
    <w:basedOn w:val="1"/>
    <w:qFormat/>
    <w:uiPriority w:val="0"/>
    <w:pPr>
      <w:widowControl/>
      <w:pBdr>
        <w:top w:val="single" w:color="auto" w:sz="8" w:space="0"/>
        <w:left w:val="single" w:color="auto" w:sz="8" w:space="0"/>
        <w:bottom w:val="single" w:color="auto" w:sz="4" w:space="0"/>
        <w:right w:val="single" w:color="auto" w:sz="4" w:space="0"/>
      </w:pBdr>
      <w:shd w:val="clear" w:color="000000" w:fill="92D050"/>
      <w:spacing w:before="100" w:beforeAutospacing="1" w:after="100" w:afterAutospacing="1"/>
      <w:jc w:val="left"/>
    </w:pPr>
    <w:rPr>
      <w:rFonts w:ascii="Arial" w:hAnsi="Arial" w:cs="Arial"/>
      <w:b/>
      <w:bCs/>
      <w:kern w:val="0"/>
      <w:sz w:val="24"/>
    </w:rPr>
  </w:style>
  <w:style w:type="paragraph" w:customStyle="1" w:styleId="641">
    <w:name w:val="xl94"/>
    <w:basedOn w:val="1"/>
    <w:qFormat/>
    <w:uiPriority w:val="0"/>
    <w:pPr>
      <w:widowControl/>
      <w:pBdr>
        <w:top w:val="single" w:color="auto" w:sz="8"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Arial" w:hAnsi="Arial" w:cs="Arial"/>
      <w:b/>
      <w:bCs/>
      <w:kern w:val="0"/>
      <w:sz w:val="24"/>
    </w:rPr>
  </w:style>
  <w:style w:type="paragraph" w:customStyle="1" w:styleId="642">
    <w:name w:val="简单回函地址"/>
    <w:basedOn w:val="1"/>
    <w:qFormat/>
    <w:uiPriority w:val="0"/>
  </w:style>
  <w:style w:type="paragraph" w:customStyle="1" w:styleId="643">
    <w:name w:val="样式"/>
    <w:basedOn w:val="1"/>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644">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645">
    <w:name w:val="Char1 Char Char Char Char"/>
    <w:basedOn w:val="18"/>
    <w:qFormat/>
    <w:uiPriority w:val="0"/>
    <w:rPr>
      <w:rFonts w:ascii="Tahoma" w:hAnsi="Tahoma" w:cs="Tahoma"/>
      <w:kern w:val="0"/>
      <w:sz w:val="18"/>
    </w:rPr>
  </w:style>
  <w:style w:type="paragraph" w:customStyle="1" w:styleId="64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47">
    <w:name w:val="标题3"/>
    <w:basedOn w:val="5"/>
    <w:qFormat/>
    <w:uiPriority w:val="0"/>
    <w:pPr>
      <w:numPr>
        <w:ilvl w:val="2"/>
        <w:numId w:val="8"/>
      </w:numPr>
      <w:spacing w:line="416" w:lineRule="auto"/>
      <w:jc w:val="left"/>
    </w:pPr>
    <w:rPr>
      <w:rFonts w:eastAsia="黑体" w:cs="Arial"/>
    </w:rPr>
  </w:style>
  <w:style w:type="paragraph" w:customStyle="1" w:styleId="648">
    <w:name w:val="Char Char Char Char Char Char Char1"/>
    <w:basedOn w:val="1"/>
    <w:qFormat/>
    <w:uiPriority w:val="0"/>
    <w:pPr>
      <w:widowControl/>
      <w:spacing w:after="160" w:line="240" w:lineRule="exact"/>
      <w:jc w:val="left"/>
    </w:pPr>
    <w:rPr>
      <w:szCs w:val="20"/>
    </w:rPr>
  </w:style>
  <w:style w:type="paragraph" w:customStyle="1" w:styleId="649">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650">
    <w:name w:val="Char Char Char Char Char Char Char Char Char1 Char"/>
    <w:basedOn w:val="1"/>
    <w:qFormat/>
    <w:uiPriority w:val="0"/>
  </w:style>
  <w:style w:type="paragraph" w:customStyle="1" w:styleId="651">
    <w:name w:val="正文内容"/>
    <w:basedOn w:val="1"/>
    <w:qFormat/>
    <w:uiPriority w:val="0"/>
    <w:pPr>
      <w:spacing w:line="360" w:lineRule="auto"/>
      <w:ind w:firstLine="480"/>
    </w:pPr>
    <w:rPr>
      <w:rFonts w:ascii="宋体" w:hAnsi="宋体"/>
      <w:sz w:val="24"/>
      <w:szCs w:val="20"/>
    </w:rPr>
  </w:style>
  <w:style w:type="paragraph" w:customStyle="1" w:styleId="65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53">
    <w:name w:val="xl2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5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5">
    <w:name w:val="xl10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656">
    <w:name w:val="正文常用"/>
    <w:basedOn w:val="1"/>
    <w:qFormat/>
    <w:uiPriority w:val="0"/>
    <w:pPr>
      <w:spacing w:line="360" w:lineRule="auto"/>
      <w:ind w:firstLine="420"/>
    </w:pPr>
    <w:rPr>
      <w:rFonts w:ascii="宋体" w:hAnsi="宋体"/>
      <w:color w:val="000000"/>
      <w:sz w:val="24"/>
      <w:szCs w:val="21"/>
    </w:rPr>
  </w:style>
  <w:style w:type="paragraph" w:customStyle="1" w:styleId="657">
    <w:name w:val="默认段落字体 Para Char"/>
    <w:basedOn w:val="1"/>
    <w:qFormat/>
    <w:uiPriority w:val="0"/>
    <w:pPr>
      <w:spacing w:beforeLines="50" w:afterLines="50"/>
    </w:pPr>
    <w:rPr>
      <w:rFonts w:ascii="Tahoma" w:hAnsi="Tahoma"/>
      <w:sz w:val="24"/>
      <w:szCs w:val="20"/>
    </w:rPr>
  </w:style>
  <w:style w:type="paragraph" w:customStyle="1" w:styleId="658">
    <w:name w:val="纯文本2"/>
    <w:basedOn w:val="1"/>
    <w:qFormat/>
    <w:uiPriority w:val="0"/>
    <w:pPr>
      <w:adjustRightInd w:val="0"/>
      <w:snapToGrid w:val="0"/>
      <w:spacing w:line="288" w:lineRule="auto"/>
      <w:ind w:firstLine="200" w:firstLineChars="200"/>
    </w:pPr>
    <w:rPr>
      <w:rFonts w:ascii="宋体" w:hAnsi="Courier New"/>
    </w:rPr>
  </w:style>
  <w:style w:type="paragraph" w:customStyle="1" w:styleId="659">
    <w:name w:val="样式 标题 3 + 黑色 段前: 5 磅 段后: 5 磅 行距: 1.5 倍行距"/>
    <w:basedOn w:val="1"/>
    <w:qFormat/>
    <w:uiPriority w:val="0"/>
    <w:pPr>
      <w:ind w:left="855" w:hanging="855"/>
    </w:pPr>
    <w:rPr>
      <w:sz w:val="24"/>
      <w:szCs w:val="20"/>
    </w:rPr>
  </w:style>
  <w:style w:type="paragraph" w:customStyle="1" w:styleId="6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1">
    <w:name w:val="项目符1"/>
    <w:basedOn w:val="1"/>
    <w:next w:val="1"/>
    <w:qFormat/>
    <w:uiPriority w:val="0"/>
    <w:pPr>
      <w:numPr>
        <w:ilvl w:val="0"/>
        <w:numId w:val="15"/>
      </w:numPr>
      <w:spacing w:before="60" w:line="360" w:lineRule="auto"/>
    </w:pPr>
    <w:rPr>
      <w:spacing w:val="6"/>
      <w:szCs w:val="20"/>
    </w:rPr>
  </w:style>
  <w:style w:type="paragraph" w:customStyle="1" w:styleId="662">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663">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664">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665">
    <w:name w:val="样式_4"/>
    <w:basedOn w:val="6"/>
    <w:next w:val="6"/>
    <w:qFormat/>
    <w:uiPriority w:val="0"/>
    <w:pPr>
      <w:keepNext w:val="0"/>
      <w:tabs>
        <w:tab w:val="left" w:pos="851"/>
      </w:tabs>
      <w:adjustRightInd w:val="0"/>
      <w:spacing w:line="240" w:lineRule="exact"/>
      <w:ind w:left="851" w:hanging="851"/>
      <w:textAlignment w:val="baseline"/>
    </w:pPr>
    <w:rPr>
      <w:rFonts w:ascii="宋体" w:hAnsi="宋体"/>
      <w:color w:val="000000"/>
      <w:sz w:val="24"/>
    </w:rPr>
  </w:style>
  <w:style w:type="paragraph" w:customStyle="1" w:styleId="666">
    <w:name w:val="Heading #2|1"/>
    <w:basedOn w:val="1"/>
    <w:qFormat/>
    <w:uiPriority w:val="0"/>
    <w:pPr>
      <w:shd w:val="clear" w:color="auto" w:fill="FFFFFF"/>
      <w:spacing w:line="280" w:lineRule="exact"/>
      <w:outlineLvl w:val="1"/>
    </w:pPr>
    <w:rPr>
      <w:rFonts w:ascii="PMingLiU" w:hAnsi="PMingLiU" w:eastAsia="PMingLiU" w:cs="PMingLiU"/>
      <w:b/>
      <w:bCs/>
      <w:spacing w:val="20"/>
      <w:sz w:val="28"/>
      <w:szCs w:val="28"/>
    </w:rPr>
  </w:style>
  <w:style w:type="paragraph" w:customStyle="1" w:styleId="667">
    <w:name w:val="button"/>
    <w:basedOn w:val="1"/>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668">
    <w:name w:val="列出段落2"/>
    <w:basedOn w:val="1"/>
    <w:qFormat/>
    <w:uiPriority w:val="0"/>
    <w:pPr>
      <w:spacing w:line="360" w:lineRule="auto"/>
      <w:ind w:firstLine="420" w:firstLineChars="200"/>
    </w:pPr>
    <w:rPr>
      <w:rFonts w:ascii="Calibri" w:hAnsi="Calibri"/>
      <w:sz w:val="24"/>
      <w:szCs w:val="22"/>
    </w:rPr>
  </w:style>
  <w:style w:type="paragraph" w:customStyle="1" w:styleId="669">
    <w:name w:val="xl109"/>
    <w:basedOn w:val="1"/>
    <w:qFormat/>
    <w:uiPriority w:val="0"/>
    <w:pPr>
      <w:widowControl/>
      <w:pBdr>
        <w:top w:val="single" w:color="auto" w:sz="4" w:space="0"/>
        <w:left w:val="single" w:color="auto" w:sz="4" w:space="0"/>
        <w:bottom w:val="single" w:color="auto" w:sz="4" w:space="0"/>
        <w:right w:val="single" w:color="auto" w:sz="8" w:space="0"/>
      </w:pBdr>
      <w:shd w:val="clear" w:color="000000" w:fill="B7DEE8"/>
      <w:spacing w:before="100" w:beforeAutospacing="1" w:after="100" w:afterAutospacing="1"/>
      <w:jc w:val="center"/>
      <w:textAlignment w:val="top"/>
    </w:pPr>
    <w:rPr>
      <w:rFonts w:ascii="宋体" w:hAnsi="宋体" w:cs="宋体"/>
      <w:kern w:val="0"/>
      <w:sz w:val="24"/>
    </w:rPr>
  </w:style>
  <w:style w:type="paragraph" w:customStyle="1" w:styleId="67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671">
    <w:name w:val="样式 标题 2 +"/>
    <w:basedOn w:val="4"/>
    <w:qFormat/>
    <w:uiPriority w:val="0"/>
    <w:pPr>
      <w:keepNext w:val="0"/>
      <w:keepLines w:val="0"/>
      <w:widowControl/>
      <w:tabs>
        <w:tab w:val="left" w:pos="1134"/>
      </w:tabs>
      <w:spacing w:before="360" w:after="120" w:line="240" w:lineRule="auto"/>
    </w:pPr>
    <w:rPr>
      <w:rFonts w:ascii="黑体" w:hAnsi="宋体" w:eastAsia="宋体"/>
      <w:kern w:val="0"/>
      <w:sz w:val="30"/>
      <w:szCs w:val="30"/>
    </w:rPr>
  </w:style>
  <w:style w:type="paragraph" w:customStyle="1" w:styleId="672">
    <w:name w:val="pic-info"/>
    <w:basedOn w:val="1"/>
    <w:qFormat/>
    <w:uiPriority w:val="0"/>
    <w:pPr>
      <w:widowControl/>
      <w:spacing w:before="100" w:beforeAutospacing="1" w:after="100" w:afterAutospacing="1"/>
      <w:jc w:val="left"/>
    </w:pPr>
    <w:rPr>
      <w:rFonts w:ascii="宋体" w:hAnsi="宋体" w:cs="宋体"/>
      <w:kern w:val="0"/>
      <w:sz w:val="24"/>
    </w:rPr>
  </w:style>
  <w:style w:type="paragraph" w:styleId="673">
    <w:name w:val="List Paragraph"/>
    <w:basedOn w:val="1"/>
    <w:qFormat/>
    <w:uiPriority w:val="0"/>
    <w:pPr>
      <w:ind w:firstLine="420" w:firstLineChars="200"/>
    </w:pPr>
    <w:rPr>
      <w:rFonts w:ascii="Calibri" w:hAnsi="Calibri"/>
      <w:szCs w:val="22"/>
    </w:rPr>
  </w:style>
  <w:style w:type="paragraph" w:customStyle="1" w:styleId="674">
    <w:name w:val="1 Char"/>
    <w:basedOn w:val="15"/>
    <w:qFormat/>
    <w:uiPriority w:val="0"/>
    <w:pPr>
      <w:adjustRightInd/>
      <w:spacing w:line="360" w:lineRule="auto"/>
      <w:ind w:firstLine="200" w:firstLineChars="200"/>
      <w:textAlignment w:val="auto"/>
    </w:pPr>
    <w:rPr>
      <w:rFonts w:ascii="仿宋_GB2312"/>
      <w:b/>
      <w:kern w:val="2"/>
      <w:szCs w:val="32"/>
    </w:rPr>
  </w:style>
  <w:style w:type="paragraph" w:customStyle="1" w:styleId="675">
    <w:name w:val="xl89"/>
    <w:basedOn w:val="1"/>
    <w:qFormat/>
    <w:uiPriority w:val="0"/>
    <w:pPr>
      <w:widowControl/>
      <w:spacing w:before="100" w:beforeAutospacing="1" w:after="100" w:afterAutospacing="1"/>
      <w:jc w:val="left"/>
    </w:pPr>
    <w:rPr>
      <w:rFonts w:ascii="宋体" w:hAnsi="宋体" w:cs="宋体"/>
      <w:kern w:val="0"/>
      <w:sz w:val="24"/>
    </w:rPr>
  </w:style>
  <w:style w:type="paragraph" w:customStyle="1" w:styleId="676">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677">
    <w:name w:val="T4"/>
    <w:basedOn w:val="1"/>
    <w:qFormat/>
    <w:uiPriority w:val="0"/>
    <w:pPr>
      <w:adjustRightInd w:val="0"/>
      <w:spacing w:line="360" w:lineRule="atLeast"/>
    </w:pPr>
    <w:rPr>
      <w:rFonts w:ascii="宋体"/>
      <w:kern w:val="0"/>
      <w:sz w:val="22"/>
      <w:szCs w:val="20"/>
    </w:rPr>
  </w:style>
  <w:style w:type="paragraph" w:customStyle="1" w:styleId="67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79">
    <w:name w:val="xl97"/>
    <w:basedOn w:val="1"/>
    <w:qFormat/>
    <w:uiPriority w:val="0"/>
    <w:pPr>
      <w:widowControl/>
      <w:pBdr>
        <w:top w:val="single" w:color="auto" w:sz="8"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Arial" w:hAnsi="Arial" w:cs="Arial"/>
      <w:b/>
      <w:bCs/>
      <w:kern w:val="0"/>
      <w:sz w:val="24"/>
    </w:rPr>
  </w:style>
  <w:style w:type="paragraph" w:customStyle="1" w:styleId="68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681">
    <w:name w:val="Char1 Char Char Char"/>
    <w:basedOn w:val="1"/>
    <w:qFormat/>
    <w:uiPriority w:val="0"/>
    <w:rPr>
      <w:szCs w:val="20"/>
    </w:rPr>
  </w:style>
  <w:style w:type="paragraph" w:customStyle="1" w:styleId="682">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bCs w:val="0"/>
      <w:kern w:val="44"/>
      <w:sz w:val="32"/>
      <w:szCs w:val="20"/>
    </w:rPr>
  </w:style>
  <w:style w:type="paragraph" w:customStyle="1" w:styleId="6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684">
    <w:name w:val="样式 标题 1Level 1Level 11h1II+IHeading1H1-Heading 1Header 1..."/>
    <w:basedOn w:val="3"/>
    <w:qFormat/>
    <w:uiPriority w:val="0"/>
    <w:pPr>
      <w:keepLines/>
      <w:pageBreakBefore/>
      <w:spacing w:before="100" w:after="100" w:line="360" w:lineRule="auto"/>
      <w:ind w:left="1680" w:hanging="420"/>
      <w:jc w:val="left"/>
    </w:pPr>
    <w:rPr>
      <w:rFonts w:ascii="Arial" w:hAnsi="Arial" w:eastAsia="黑体" w:cs="宋体"/>
      <w:kern w:val="44"/>
      <w:sz w:val="44"/>
      <w:szCs w:val="20"/>
    </w:rPr>
  </w:style>
  <w:style w:type="paragraph" w:customStyle="1" w:styleId="685">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686">
    <w:name w:val="features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87">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688">
    <w:name w:val="公文正文"/>
    <w:basedOn w:val="1"/>
    <w:qFormat/>
    <w:uiPriority w:val="0"/>
    <w:pPr>
      <w:spacing w:before="156" w:line="360" w:lineRule="auto"/>
      <w:ind w:firstLine="360" w:firstLineChars="200"/>
    </w:pPr>
    <w:rPr>
      <w:rFonts w:ascii="仿宋_GB2312" w:eastAsia="仿宋_GB2312"/>
      <w:sz w:val="24"/>
    </w:rPr>
  </w:style>
  <w:style w:type="paragraph" w:customStyle="1" w:styleId="689">
    <w:name w:val="xl103"/>
    <w:basedOn w:val="1"/>
    <w:qFormat/>
    <w:uiPriority w:val="0"/>
    <w:pPr>
      <w:widowControl/>
      <w:pBdr>
        <w:top w:val="single" w:color="auto" w:sz="4" w:space="0"/>
        <w:left w:val="single" w:color="auto" w:sz="4" w:space="0"/>
        <w:bottom w:val="single" w:color="auto" w:sz="4" w:space="0"/>
        <w:right w:val="single" w:color="auto" w:sz="8" w:space="0"/>
      </w:pBdr>
      <w:shd w:val="clear" w:color="000000" w:fill="FFC000"/>
      <w:spacing w:before="100" w:beforeAutospacing="1" w:after="100" w:afterAutospacing="1"/>
      <w:jc w:val="center"/>
      <w:textAlignment w:val="top"/>
    </w:pPr>
    <w:rPr>
      <w:rFonts w:ascii="宋体" w:hAnsi="宋体" w:cs="宋体"/>
      <w:kern w:val="0"/>
      <w:sz w:val="24"/>
    </w:rPr>
  </w:style>
  <w:style w:type="paragraph" w:customStyle="1" w:styleId="69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1">
    <w:name w:val="普通正文"/>
    <w:basedOn w:val="1"/>
    <w:qFormat/>
    <w:uiPriority w:val="0"/>
    <w:pPr>
      <w:adjustRightInd w:val="0"/>
      <w:spacing w:before="100" w:line="360" w:lineRule="auto"/>
      <w:textAlignment w:val="baseline"/>
    </w:pPr>
    <w:rPr>
      <w:rFonts w:ascii="宋体"/>
      <w:kern w:val="0"/>
      <w:sz w:val="24"/>
      <w:szCs w:val="20"/>
    </w:rPr>
  </w:style>
  <w:style w:type="paragraph" w:customStyle="1" w:styleId="692">
    <w:name w:val="样式6"/>
    <w:basedOn w:val="16"/>
    <w:qFormat/>
    <w:uiPriority w:val="0"/>
    <w:pPr>
      <w:keepNext/>
      <w:autoSpaceDE/>
      <w:autoSpaceDN/>
      <w:adjustRightInd/>
      <w:jc w:val="center"/>
    </w:pPr>
    <w:rPr>
      <w:rFonts w:ascii="宋体" w:hAnsi="宋体" w:eastAsia="宋体"/>
      <w:kern w:val="2"/>
    </w:rPr>
  </w:style>
  <w:style w:type="paragraph" w:customStyle="1" w:styleId="693">
    <w:name w:val="Test2"/>
    <w:basedOn w:val="4"/>
    <w:qFormat/>
    <w:uiPriority w:val="0"/>
    <w:pPr>
      <w:keepNext w:val="0"/>
      <w:keepLines w:val="0"/>
      <w:widowControl/>
      <w:tabs>
        <w:tab w:val="left" w:pos="774"/>
      </w:tabs>
      <w:autoSpaceDE w:val="0"/>
      <w:autoSpaceDN w:val="0"/>
      <w:adjustRightInd w:val="0"/>
      <w:snapToGrid w:val="0"/>
      <w:spacing w:before="360" w:after="360" w:line="240" w:lineRule="atLeast"/>
      <w:ind w:left="774" w:hanging="576"/>
      <w:jc w:val="left"/>
    </w:pPr>
    <w:rPr>
      <w:rFonts w:ascii="宋体" w:eastAsia="宋体"/>
      <w:b w:val="0"/>
      <w:bCs w:val="0"/>
      <w:snapToGrid w:val="0"/>
      <w:kern w:val="0"/>
      <w:sz w:val="28"/>
    </w:rPr>
  </w:style>
  <w:style w:type="paragraph" w:customStyle="1" w:styleId="694">
    <w:name w:val="Char Char Char Char Char Char Char Char Char Char Char Char Char Char"/>
    <w:basedOn w:val="1"/>
    <w:qFormat/>
    <w:uiPriority w:val="0"/>
    <w:pPr>
      <w:widowControl/>
      <w:spacing w:after="160" w:line="240" w:lineRule="exact"/>
      <w:jc w:val="left"/>
    </w:pPr>
    <w:rPr>
      <w:bCs/>
    </w:rPr>
  </w:style>
  <w:style w:type="paragraph" w:customStyle="1" w:styleId="695">
    <w:name w:val="Plain Text1"/>
    <w:basedOn w:val="1"/>
    <w:qFormat/>
    <w:uiPriority w:val="0"/>
    <w:pPr>
      <w:widowControl/>
      <w:overflowPunct w:val="0"/>
      <w:autoSpaceDE w:val="0"/>
      <w:autoSpaceDN w:val="0"/>
      <w:adjustRightInd w:val="0"/>
      <w:jc w:val="left"/>
      <w:textAlignment w:val="baseline"/>
    </w:pPr>
    <w:rPr>
      <w:rFonts w:ascii="仿宋_GB2312" w:hAnsi="Wingdings" w:eastAsia="仿宋_GB2312"/>
      <w:szCs w:val="21"/>
    </w:rPr>
  </w:style>
  <w:style w:type="paragraph" w:customStyle="1" w:styleId="696">
    <w:name w:val="样式 正文缩进 + 首行缩进:  2 字符"/>
    <w:basedOn w:val="15"/>
    <w:qFormat/>
    <w:uiPriority w:val="0"/>
    <w:pPr>
      <w:adjustRightInd/>
      <w:spacing w:line="360" w:lineRule="auto"/>
      <w:ind w:firstLine="200" w:firstLineChars="200"/>
      <w:textAlignment w:val="auto"/>
    </w:pPr>
    <w:rPr>
      <w:rFonts w:cs="宋体"/>
      <w:kern w:val="2"/>
      <w:sz w:val="24"/>
    </w:rPr>
  </w:style>
  <w:style w:type="paragraph" w:customStyle="1" w:styleId="697">
    <w:name w:val="方案文档"/>
    <w:basedOn w:val="1"/>
    <w:qFormat/>
    <w:uiPriority w:val="0"/>
    <w:pPr>
      <w:spacing w:before="120" w:after="120" w:line="360" w:lineRule="auto"/>
      <w:ind w:left="210" w:leftChars="100" w:right="210" w:rightChars="100" w:firstLine="567"/>
    </w:pPr>
    <w:rPr>
      <w:rFonts w:ascii="Arial" w:hAnsi="Arial"/>
      <w:sz w:val="24"/>
    </w:rPr>
  </w:style>
  <w:style w:type="paragraph" w:customStyle="1" w:styleId="698">
    <w:name w:val="Char Char Char Char2"/>
    <w:basedOn w:val="18"/>
    <w:qFormat/>
    <w:uiPriority w:val="0"/>
    <w:pPr>
      <w:spacing w:line="360" w:lineRule="auto"/>
    </w:pPr>
    <w:rPr>
      <w:rFonts w:ascii="Tahoma" w:hAnsi="Tahoma"/>
      <w:sz w:val="24"/>
    </w:rPr>
  </w:style>
  <w:style w:type="paragraph" w:customStyle="1" w:styleId="699">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700">
    <w:name w:val="_Style 341"/>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0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702">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703">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704">
    <w:name w:val="正文段"/>
    <w:basedOn w:val="1"/>
    <w:qFormat/>
    <w:uiPriority w:val="0"/>
    <w:pPr>
      <w:widowControl/>
      <w:snapToGrid w:val="0"/>
      <w:spacing w:afterLines="50"/>
      <w:ind w:firstLine="200" w:firstLineChars="200"/>
    </w:pPr>
    <w:rPr>
      <w:kern w:val="0"/>
      <w:sz w:val="24"/>
      <w:szCs w:val="20"/>
    </w:rPr>
  </w:style>
  <w:style w:type="paragraph" w:customStyle="1" w:styleId="705">
    <w:name w:val="Bulleted List"/>
    <w:basedOn w:val="1"/>
    <w:qFormat/>
    <w:uiPriority w:val="0"/>
    <w:pPr>
      <w:numPr>
        <w:ilvl w:val="1"/>
        <w:numId w:val="16"/>
      </w:numPr>
      <w:tabs>
        <w:tab w:val="left" w:pos="420"/>
      </w:tabs>
    </w:pPr>
  </w:style>
  <w:style w:type="paragraph" w:customStyle="1" w:styleId="70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707">
    <w:name w:val="示例"/>
    <w:next w:val="1"/>
    <w:qFormat/>
    <w:uiPriority w:val="0"/>
    <w:pPr>
      <w:tabs>
        <w:tab w:val="left" w:pos="425"/>
        <w:tab w:val="left" w:pos="816"/>
      </w:tabs>
      <w:ind w:left="425" w:firstLine="419" w:firstLineChars="233"/>
      <w:jc w:val="both"/>
    </w:pPr>
    <w:rPr>
      <w:rFonts w:ascii="宋体" w:hAnsi="Times New Roman" w:eastAsia="宋体" w:cs="Times New Roman"/>
      <w:sz w:val="18"/>
      <w:lang w:val="en-US" w:eastAsia="zh-CN" w:bidi="ar-SA"/>
    </w:rPr>
  </w:style>
  <w:style w:type="paragraph" w:customStyle="1" w:styleId="708">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709">
    <w:name w:val="xl29"/>
    <w:basedOn w:val="1"/>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710">
    <w:name w:val="样式 标题 3h33rd level3Heading 3 - old + 居中 左侧:  9.8 毫米 首行缩进: ...1"/>
    <w:basedOn w:val="5"/>
    <w:qFormat/>
    <w:uiPriority w:val="0"/>
    <w:pPr>
      <w:keepLines w:val="0"/>
      <w:tabs>
        <w:tab w:val="left" w:pos="1275"/>
      </w:tabs>
      <w:spacing w:beforeLines="50" w:afterLines="50" w:line="240" w:lineRule="auto"/>
      <w:ind w:left="1275" w:hanging="720"/>
      <w:jc w:val="center"/>
    </w:pPr>
    <w:rPr>
      <w:rFonts w:ascii="宋体" w:cs="宋体"/>
      <w:sz w:val="28"/>
      <w:szCs w:val="20"/>
    </w:rPr>
  </w:style>
  <w:style w:type="paragraph" w:customStyle="1" w:styleId="711">
    <w:name w:val="哈哈表格"/>
    <w:basedOn w:val="1"/>
    <w:qFormat/>
    <w:uiPriority w:val="0"/>
    <w:pPr>
      <w:spacing w:line="360" w:lineRule="auto"/>
    </w:pPr>
    <w:rPr>
      <w:rFonts w:ascii="宋体" w:hAnsi="宋体" w:cs="宋体"/>
      <w:sz w:val="24"/>
      <w:szCs w:val="20"/>
    </w:rPr>
  </w:style>
  <w:style w:type="paragraph" w:customStyle="1" w:styleId="712">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713">
    <w:name w:val="普通 (Web)"/>
    <w:basedOn w:val="1"/>
    <w:qFormat/>
    <w:uiPriority w:val="0"/>
    <w:pPr>
      <w:widowControl/>
      <w:spacing w:before="100" w:after="100"/>
      <w:jc w:val="left"/>
    </w:pPr>
    <w:rPr>
      <w:rFonts w:ascii="宋体" w:hAnsi="宋体"/>
      <w:kern w:val="0"/>
      <w:sz w:val="24"/>
    </w:rPr>
  </w:style>
  <w:style w:type="table" w:customStyle="1" w:styleId="714">
    <w:name w:val="网格表 5 深色 - 着色 21"/>
    <w:basedOn w:val="57"/>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BE4D5"/>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ED7D31"/>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ED7D31"/>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ED7D31"/>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ED7D31"/>
      </w:tcPr>
    </w:tblStylePr>
    <w:tblStylePr w:type="band1Vert">
      <w:tcPr>
        <w:shd w:val="clear" w:color="auto" w:fill="F7CAAC"/>
      </w:tcPr>
    </w:tblStylePr>
    <w:tblStylePr w:type="band1Horz">
      <w:tcPr>
        <w:shd w:val="clear" w:color="auto" w:fill="F7CAAC"/>
      </w:tcPr>
    </w:tblStylePr>
  </w:style>
  <w:style w:type="table" w:customStyle="1" w:styleId="715">
    <w:name w:val="清单表 4 - 着色 11"/>
    <w:basedOn w:val="57"/>
    <w:qFormat/>
    <w:uiPriority w:val="49"/>
    <w:rPr>
      <w:rFonts w:ascii="Calibri" w:hAnsi="Calibri"/>
      <w:kern w:val="2"/>
      <w:sz w:val="21"/>
      <w:szCs w:val="22"/>
    </w:rPr>
    <w:tblPr>
      <w:tblBorders>
        <w:top w:val="single" w:color="9CC2E5" w:sz="4" w:space="0"/>
        <w:left w:val="single" w:color="9CC2E5" w:sz="4" w:space="0"/>
        <w:bottom w:val="single" w:color="9CC2E5" w:sz="4" w:space="0"/>
        <w:right w:val="single" w:color="9CC2E5" w:sz="4" w:space="0"/>
        <w:insideH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9CC2E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716">
    <w:name w:val="网格表 4 - 着色 51"/>
    <w:basedOn w:val="57"/>
    <w:qFormat/>
    <w:uiPriority w:val="49"/>
    <w:rPr>
      <w:rFonts w:ascii="Calibri" w:hAnsi="Calibri"/>
      <w:kern w:val="2"/>
      <w:sz w:val="21"/>
      <w:szCs w:val="22"/>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auto" w:fill="4BACC6"/>
      </w:tcPr>
    </w:tblStylePr>
    <w:tblStylePr w:type="lastRow">
      <w:rPr>
        <w:b/>
        <w:bCs/>
      </w:rPr>
      <w:tcPr>
        <w:tcBorders>
          <w:top w:val="double" w:color="4BACC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717">
    <w:name w:val="网格型浅色2"/>
    <w:basedOn w:val="57"/>
    <w:qFormat/>
    <w:uiPriority w:val="40"/>
    <w:rPr>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18">
    <w:name w:val="网格型浅色1"/>
    <w:basedOn w:val="57"/>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19">
    <w:name w:val="浅色网格 - 强调文字颜色 11"/>
    <w:basedOn w:val="57"/>
    <w:qFormat/>
    <w:uiPriority w:val="62"/>
    <w:rPr>
      <w:rFonts w:ascii="Calibri" w:hAnsi="Calibri"/>
      <w:kern w:val="2"/>
      <w:sz w:val="21"/>
      <w:szCs w:val="22"/>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eastAsia="微软雅黑"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eastAsia="微软雅黑"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eastAsia="微软雅黑" w:cs="Times New Roman"/>
        <w:b/>
        <w:bCs/>
      </w:rPr>
    </w:tblStylePr>
    <w:tblStylePr w:type="lastCol">
      <w:rPr>
        <w:rFonts w:eastAsia="微软雅黑"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720">
    <w:name w:val="清单表 3 - 着色 11"/>
    <w:basedOn w:val="57"/>
    <w:qFormat/>
    <w:uiPriority w:val="48"/>
    <w:rPr>
      <w:rFonts w:ascii="Calibri" w:hAnsi="Calibri"/>
      <w:kern w:val="2"/>
      <w:sz w:val="21"/>
      <w:szCs w:val="22"/>
    </w:rPr>
    <w:tblPr>
      <w:tblBorders>
        <w:top w:val="single" w:color="5B9BD5" w:sz="4" w:space="0"/>
        <w:left w:val="single" w:color="5B9BD5" w:sz="4" w:space="0"/>
        <w:bottom w:val="single" w:color="5B9BD5" w:sz="4" w:space="0"/>
        <w:right w:val="single" w:color="5B9BD5" w:sz="4" w:space="0"/>
      </w:tblBorders>
    </w:tblPr>
    <w:tblStylePr w:type="firstRow">
      <w:rPr>
        <w:b/>
        <w:bCs/>
        <w:color w:val="FFFFFF"/>
      </w:rPr>
      <w:tcPr>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5B9BD5" w:sz="4" w:space="0"/>
          <w:bottom w:val="nil"/>
          <w:right w:val="single" w:color="5B9BD5" w:sz="4" w:space="0"/>
          <w:insideH w:val="nil"/>
          <w:insideV w:val="nil"/>
          <w:tl2br w:val="nil"/>
          <w:tr2bl w:val="nil"/>
        </w:tcBorders>
      </w:tcPr>
    </w:tblStylePr>
    <w:tblStylePr w:type="band1Horz">
      <w:tcPr>
        <w:tcBorders>
          <w:top w:val="single" w:color="5B9BD5" w:sz="4" w:space="0"/>
          <w:left w:val="nil"/>
          <w:bottom w:val="single" w:color="5B9BD5"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5B9BD5" w:sz="4" w:space="0"/>
          <w:left w:val="nil"/>
          <w:bottom w:val="nil"/>
          <w:right w:val="nil"/>
          <w:insideH w:val="nil"/>
          <w:insideV w:val="nil"/>
          <w:tl2br w:val="nil"/>
          <w:tr2bl w:val="nil"/>
        </w:tcBorders>
      </w:tcPr>
    </w:tblStylePr>
    <w:tblStylePr w:type="swCell">
      <w:tcPr>
        <w:tcBorders>
          <w:top w:val="double" w:color="5B9BD5" w:sz="4" w:space="0"/>
          <w:left w:val="nil"/>
          <w:bottom w:val="nil"/>
          <w:right w:val="nil"/>
          <w:insideH w:val="nil"/>
          <w:insideV w:val="nil"/>
          <w:tl2br w:val="nil"/>
          <w:tr2bl w:val="nil"/>
        </w:tcBorders>
      </w:tcPr>
    </w:tblStylePr>
  </w:style>
  <w:style w:type="table" w:customStyle="1" w:styleId="721">
    <w:name w:val="网格表 4 - 着色 31"/>
    <w:basedOn w:val="57"/>
    <w:qFormat/>
    <w:uiPriority w:val="49"/>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22">
    <w:name w:val="中等深浅底纹 2 - 强调文字颜色 11"/>
    <w:basedOn w:val="57"/>
    <w:qFormat/>
    <w:uiPriority w:val="64"/>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tcBorders>
          <w:top w:val="nil"/>
          <w:left w:val="nil"/>
          <w:bottom w:val="nil"/>
          <w:right w:val="nil"/>
          <w:insideH w:val="nil"/>
          <w:insideV w:val="nil"/>
          <w:tl2br w:val="nil"/>
          <w:tr2bl w:val="nil"/>
        </w:tcBorders>
        <w:shd w:val="clear" w:color="auto" w:fill="4F81BD"/>
      </w:tcPr>
    </w:tblStylePr>
    <w:tblStylePr w:type="band1Vert">
      <w:tcPr>
        <w:tcBorders>
          <w:top w:val="nil"/>
          <w:left w:val="nil"/>
          <w:bottom w:val="nil"/>
          <w:right w:val="nil"/>
          <w:insideH w:val="nil"/>
          <w:insideV w:val="nil"/>
          <w:tl2br w:val="nil"/>
          <w:tr2bl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723">
    <w:name w:val="网格表 4 - 着色 11"/>
    <w:basedOn w:val="57"/>
    <w:qFormat/>
    <w:uiPriority w:val="49"/>
    <w:rPr>
      <w:rFonts w:ascii="Calibri" w:hAnsi="Calibri"/>
      <w:kern w:val="2"/>
      <w:sz w:val="21"/>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724">
    <w:name w:val="清单表 3 - 着色 31"/>
    <w:basedOn w:val="57"/>
    <w:qFormat/>
    <w:uiPriority w:val="48"/>
    <w:rPr>
      <w:rFonts w:ascii="Calibri" w:hAnsi="Calibri"/>
      <w:kern w:val="2"/>
      <w:sz w:val="21"/>
      <w:szCs w:val="22"/>
    </w:rPr>
    <w:tblPr>
      <w:tblBorders>
        <w:top w:val="single" w:color="A5A5A5" w:sz="4" w:space="0"/>
        <w:left w:val="single" w:color="A5A5A5" w:sz="4" w:space="0"/>
        <w:bottom w:val="single" w:color="A5A5A5" w:sz="4" w:space="0"/>
        <w:right w:val="single" w:color="A5A5A5" w:sz="4" w:space="0"/>
      </w:tblBorders>
    </w:tblPr>
    <w:tblStylePr w:type="firstRow">
      <w:rPr>
        <w:b/>
        <w:bCs/>
        <w:color w:val="FFFFFF"/>
      </w:rPr>
      <w:tcPr>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A5A5A5" w:sz="4" w:space="0"/>
          <w:bottom w:val="nil"/>
          <w:right w:val="single" w:color="A5A5A5" w:sz="4" w:space="0"/>
          <w:insideH w:val="nil"/>
          <w:insideV w:val="nil"/>
          <w:tl2br w:val="nil"/>
          <w:tr2bl w:val="nil"/>
        </w:tcBorders>
      </w:tcPr>
    </w:tblStylePr>
    <w:tblStylePr w:type="band1Horz">
      <w:tcPr>
        <w:tcBorders>
          <w:top w:val="single" w:color="A5A5A5" w:sz="4" w:space="0"/>
          <w:left w:val="nil"/>
          <w:bottom w:val="single" w:color="A5A5A5"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A5A5A5" w:sz="4" w:space="0"/>
          <w:left w:val="nil"/>
          <w:bottom w:val="nil"/>
          <w:right w:val="nil"/>
          <w:insideH w:val="nil"/>
          <w:insideV w:val="nil"/>
          <w:tl2br w:val="nil"/>
          <w:tr2bl w:val="nil"/>
        </w:tcBorders>
      </w:tcPr>
    </w:tblStylePr>
    <w:tblStylePr w:type="swCell">
      <w:tcPr>
        <w:tcBorders>
          <w:top w:val="double" w:color="A5A5A5" w:sz="4" w:space="0"/>
          <w:left w:val="nil"/>
          <w:bottom w:val="nil"/>
          <w:right w:val="nil"/>
          <w:insideH w:val="nil"/>
          <w:insideV w:val="nil"/>
          <w:tl2br w:val="nil"/>
          <w:tr2bl w:val="nil"/>
        </w:tcBorders>
      </w:tcPr>
    </w:tblStylePr>
  </w:style>
  <w:style w:type="table" w:customStyle="1" w:styleId="725">
    <w:name w:val="浅色列表 - 强调文字颜色 51"/>
    <w:basedOn w:val="57"/>
    <w:qFormat/>
    <w:uiPriority w:val="61"/>
    <w:rPr>
      <w:rFonts w:ascii="Calibri" w:hAnsi="Calibri"/>
      <w:kern w:val="2"/>
      <w:sz w:val="21"/>
      <w:szCs w:val="22"/>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cPr>
        <w:shd w:val="clear" w:color="auto" w:fill="4BACC6"/>
      </w:tcPr>
    </w:tblStylePr>
    <w:tblStylePr w:type="lastRow">
      <w:pPr>
        <w:spacing w:before="0" w:after="0" w:line="240" w:lineRule="auto"/>
      </w:pPr>
      <w:rPr>
        <w:b/>
        <w:bCs/>
      </w:r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customStyle="1" w:styleId="726">
    <w:name w:val="浅色列表 - 强调文字颜色 11"/>
    <w:basedOn w:val="57"/>
    <w:qFormat/>
    <w:uiPriority w:val="61"/>
    <w:rPr>
      <w:rFonts w:ascii="Calibri" w:hAnsi="Calibri"/>
      <w:kern w:val="2"/>
      <w:sz w:val="21"/>
      <w:szCs w:val="22"/>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727">
    <w:name w:val="浅色底纹1"/>
    <w:basedOn w:val="57"/>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728">
    <w:name w:val="表格1"/>
    <w:qFormat/>
    <w:uiPriority w:val="0"/>
    <w:pPr>
      <w:spacing w:line="360" w:lineRule="auto"/>
    </w:pPr>
    <w:rPr>
      <w:rFonts w:ascii="Calibri" w:hAnsi="Calibri" w:eastAsia="宋体" w:cs="Times New Roman"/>
      <w:kern w:val="2"/>
      <w:sz w:val="24"/>
      <w:lang w:val="en-US" w:eastAsia="zh-CN" w:bidi="ar-SA"/>
    </w:rPr>
  </w:style>
  <w:style w:type="paragraph" w:customStyle="1" w:styleId="729">
    <w:name w:val="UserStyle_0"/>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730">
    <w:name w:val="列出段落7"/>
    <w:basedOn w:val="1"/>
    <w:qFormat/>
    <w:uiPriority w:val="99"/>
    <w:pPr>
      <w:ind w:firstLine="420" w:firstLineChars="200"/>
    </w:pPr>
  </w:style>
  <w:style w:type="character" w:customStyle="1" w:styleId="731">
    <w:name w:val="fontstyle01"/>
    <w:qFormat/>
    <w:uiPriority w:val="0"/>
    <w:rPr>
      <w:rFonts w:hint="eastAsia" w:ascii="宋体" w:hAnsi="宋体" w:eastAsia="宋体"/>
      <w:color w:val="000000"/>
      <w:sz w:val="22"/>
      <w:szCs w:val="22"/>
    </w:rPr>
  </w:style>
  <w:style w:type="character" w:customStyle="1" w:styleId="732">
    <w:name w:val="font81"/>
    <w:qFormat/>
    <w:uiPriority w:val="0"/>
    <w:rPr>
      <w:rFonts w:hint="default" w:ascii="Times New Roman" w:hAnsi="Times New Roman" w:cs="Times New Roman"/>
      <w:b/>
      <w:bCs/>
      <w:color w:val="000000"/>
      <w:sz w:val="24"/>
      <w:szCs w:val="24"/>
      <w:u w:val="none"/>
    </w:rPr>
  </w:style>
  <w:style w:type="character" w:customStyle="1" w:styleId="733">
    <w:name w:val="font91"/>
    <w:qFormat/>
    <w:uiPriority w:val="0"/>
    <w:rPr>
      <w:rFonts w:hint="default" w:ascii="Times New Roman" w:hAnsi="Times New Roman" w:cs="Times New Roman"/>
      <w:color w:val="000000"/>
      <w:sz w:val="24"/>
      <w:szCs w:val="24"/>
      <w:u w:val="none"/>
    </w:rPr>
  </w:style>
  <w:style w:type="character" w:customStyle="1" w:styleId="734">
    <w:name w:val="font101"/>
    <w:qFormat/>
    <w:uiPriority w:val="0"/>
    <w:rPr>
      <w:rFonts w:hint="default" w:ascii="仿宋_GB2312" w:eastAsia="仿宋_GB2312" w:cs="仿宋_GB2312"/>
      <w:color w:val="000000"/>
      <w:sz w:val="24"/>
      <w:szCs w:val="24"/>
      <w:u w:val="none"/>
    </w:rPr>
  </w:style>
  <w:style w:type="paragraph" w:customStyle="1" w:styleId="735">
    <w:name w:val="Body text|1"/>
    <w:basedOn w:val="1"/>
    <w:qFormat/>
    <w:uiPriority w:val="0"/>
    <w:pPr>
      <w:spacing w:line="466" w:lineRule="auto"/>
      <w:ind w:firstLine="400"/>
    </w:pPr>
    <w:rPr>
      <w:rFonts w:ascii="宋体" w:hAnsi="宋体" w:cs="宋体"/>
      <w:sz w:val="20"/>
      <w:szCs w:val="20"/>
      <w:lang w:val="zh-TW" w:eastAsia="zh-TW" w:bidi="zh-TW"/>
    </w:rPr>
  </w:style>
  <w:style w:type="character" w:customStyle="1" w:styleId="736">
    <w:name w:val="font61"/>
    <w:qFormat/>
    <w:uiPriority w:val="0"/>
    <w:rPr>
      <w:rFonts w:hint="eastAsia" w:ascii="宋体" w:hAnsi="宋体" w:eastAsia="宋体" w:cs="宋体"/>
      <w:color w:val="000000"/>
      <w:sz w:val="22"/>
      <w:szCs w:val="22"/>
      <w:u w:val="none"/>
    </w:rPr>
  </w:style>
  <w:style w:type="paragraph" w:customStyle="1" w:styleId="737">
    <w:name w:val="Revision_205b4b7a-0649-4b28-987f-429e28dadf30"/>
    <w:qFormat/>
    <w:uiPriority w:val="99"/>
    <w:rPr>
      <w:rFonts w:ascii="Times New Roman" w:hAnsi="Times New Roman" w:eastAsia="宋体" w:cs="Times New Roman"/>
      <w:kern w:val="2"/>
      <w:sz w:val="21"/>
      <w:szCs w:val="24"/>
      <w:lang w:val="en-US" w:eastAsia="zh-CN" w:bidi="ar-SA"/>
    </w:rPr>
  </w:style>
  <w:style w:type="paragraph" w:customStyle="1" w:styleId="738">
    <w:name w:val="NH-3"/>
    <w:basedOn w:val="5"/>
    <w:qFormat/>
    <w:uiPriority w:val="0"/>
    <w:pPr>
      <w:spacing w:before="0" w:after="0" w:line="560" w:lineRule="exact"/>
      <w:ind w:left="0" w:firstLine="140"/>
    </w:pPr>
    <w:rPr>
      <w:rFonts w:ascii="Times New Roman" w:hAnsi="Times New Roman"/>
      <w:b w:val="0"/>
      <w:color w:val="FF0000"/>
    </w:rPr>
  </w:style>
  <w:style w:type="paragraph" w:customStyle="1" w:styleId="739">
    <w:name w:val="NH-4"/>
    <w:basedOn w:val="6"/>
    <w:qFormat/>
    <w:uiPriority w:val="0"/>
    <w:pPr>
      <w:keepNext w:val="0"/>
      <w:keepLines w:val="0"/>
      <w:jc w:val="both"/>
    </w:pPr>
    <w:rPr>
      <w:b w:val="0"/>
      <w:bCs w:val="0"/>
      <w:sz w:val="28"/>
    </w:rPr>
  </w:style>
  <w:style w:type="table" w:customStyle="1" w:styleId="740">
    <w:name w:val="Table Normal"/>
    <w:qFormat/>
    <w:uiPriority w:val="0"/>
    <w:tblPr>
      <w:tblCellMar>
        <w:top w:w="0" w:type="dxa"/>
        <w:left w:w="0" w:type="dxa"/>
        <w:bottom w:w="0" w:type="dxa"/>
        <w:right w:w="0" w:type="dxa"/>
      </w:tblCellMar>
    </w:tblPr>
  </w:style>
  <w:style w:type="table" w:customStyle="1" w:styleId="741">
    <w:name w:val="TableGrid"/>
    <w:qFormat/>
    <w:uiPriority w:val="0"/>
    <w:tblPr>
      <w:tblCellMar>
        <w:top w:w="0" w:type="dxa"/>
        <w:left w:w="0" w:type="dxa"/>
        <w:bottom w:w="0" w:type="dxa"/>
        <w:right w:w="0" w:type="dxa"/>
      </w:tblCellMar>
    </w:tblPr>
  </w:style>
  <w:style w:type="paragraph" w:customStyle="1" w:styleId="742">
    <w:name w:val="正文空2字"/>
    <w:basedOn w:val="74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743">
    <w:name w:val="左对齐正文"/>
    <w:qFormat/>
    <w:uiPriority w:val="99"/>
    <w:rPr>
      <w:rFonts w:ascii="Calibri" w:hAnsi="Calibri" w:eastAsia="仿宋_GB2312" w:cs="Calibri"/>
      <w:kern w:val="2"/>
      <w:sz w:val="32"/>
      <w:szCs w:val="32"/>
      <w:lang w:val="en-US" w:eastAsia="zh-CN" w:bidi="ar-SA"/>
    </w:rPr>
  </w:style>
  <w:style w:type="paragraph" w:customStyle="1" w:styleId="744">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45">
    <w:name w:val="10"/>
    <w:qFormat/>
    <w:uiPriority w:val="0"/>
    <w:rPr>
      <w:rFonts w:hint="default" w:ascii="Times New Roman" w:hAnsi="Times New Roman" w:cs="Times New Roman"/>
    </w:rPr>
  </w:style>
  <w:style w:type="paragraph" w:customStyle="1" w:styleId="746">
    <w:name w:val="H表_1"/>
    <w:basedOn w:val="1"/>
    <w:qFormat/>
    <w:uiPriority w:val="0"/>
    <w:pPr>
      <w:widowControl/>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1a67c-1f8d-4d8f-9414-7e6e78ac239b}">
  <ds:schemaRefs/>
</ds:datastoreItem>
</file>

<file path=docProps/app.xml><?xml version="1.0" encoding="utf-8"?>
<Properties xmlns="http://schemas.openxmlformats.org/officeDocument/2006/extended-properties" xmlns:vt="http://schemas.openxmlformats.org/officeDocument/2006/docPropsVTypes">
  <Company>HP</Company>
  <Pages>95</Pages>
  <Words>18162</Words>
  <Characters>19088</Characters>
  <Paragraphs>4782</Paragraphs>
  <TotalTime>4</TotalTime>
  <ScaleCrop>false</ScaleCrop>
  <LinksUpToDate>false</LinksUpToDate>
  <CharactersWithSpaces>19328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2024-02-21T23:32:00Z</dcterms:created>
  <dc:creator>can</dc:creator>
  <cp:lastModifiedBy>w®</cp:lastModifiedBy>
  <cp:lastPrinted>2019-08-03T00:39:00Z</cp:lastPrinted>
  <dcterms:modified xsi:type="dcterms:W3CDTF">2026-01-16T06:52:33Z</dcterms:modified>
  <dc:title>温州市政府集中采购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AC22423964E0469FBACEC75DA55583BB_13</vt:lpwstr>
  </property>
  <property fmtid="{D5CDD505-2E9C-101B-9397-08002B2CF9AE}" pid="4" name="KSOTemplateDocerSaveRecord">
    <vt:lpwstr>eyJoZGlkIjoiODQ4Y2FiM2Y2MWU2MDVmMTUxYjFkMDg4YjU4NmRhYmEiLCJ1c2VySWQiOiI5MzM4NjQ2MTUifQ==</vt:lpwstr>
  </property>
</Properties>
</file>