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C7ED4">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p>
    <w:p w14:paraId="0078DF57">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auto"/>
          <w:kern w:val="0"/>
          <w:sz w:val="52"/>
          <w:szCs w:val="52"/>
          <w:highlight w:val="none"/>
        </w:rPr>
      </w:pPr>
    </w:p>
    <w:p w14:paraId="206E88AF">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b/>
          <w:color w:val="auto"/>
          <w:kern w:val="0"/>
          <w:sz w:val="52"/>
          <w:szCs w:val="52"/>
          <w:highlight w:val="none"/>
        </w:rPr>
      </w:pPr>
      <w:r>
        <w:rPr>
          <w:rFonts w:hint="eastAsia" w:ascii="宋体"/>
          <w:b/>
          <w:color w:val="auto"/>
          <w:kern w:val="0"/>
          <w:sz w:val="52"/>
          <w:szCs w:val="52"/>
          <w:highlight w:val="none"/>
        </w:rPr>
        <w:t>台州市政府采购</w:t>
      </w:r>
    </w:p>
    <w:p w14:paraId="243F0396">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eastAsia="宋体"/>
          <w:b/>
          <w:color w:val="auto"/>
          <w:kern w:val="0"/>
          <w:sz w:val="32"/>
          <w:highlight w:val="none"/>
          <w:lang w:val="en-US" w:eastAsia="zh-CN"/>
        </w:rPr>
      </w:pPr>
      <w:r>
        <w:rPr>
          <w:rFonts w:hint="eastAsia" w:ascii="宋体"/>
          <w:b/>
          <w:color w:val="auto"/>
          <w:kern w:val="0"/>
          <w:sz w:val="52"/>
          <w:szCs w:val="52"/>
          <w:highlight w:val="none"/>
          <w:lang w:val="en-US" w:eastAsia="zh-CN"/>
        </w:rPr>
        <w:t>公开</w:t>
      </w:r>
      <w:r>
        <w:rPr>
          <w:rFonts w:hint="eastAsia" w:ascii="宋体"/>
          <w:b/>
          <w:color w:val="auto"/>
          <w:kern w:val="0"/>
          <w:sz w:val="52"/>
          <w:szCs w:val="52"/>
          <w:highlight w:val="none"/>
        </w:rPr>
        <w:t>招标</w:t>
      </w:r>
      <w:r>
        <w:rPr>
          <w:rFonts w:hint="eastAsia" w:ascii="宋体"/>
          <w:b/>
          <w:color w:val="auto"/>
          <w:kern w:val="0"/>
          <w:sz w:val="52"/>
          <w:szCs w:val="52"/>
          <w:highlight w:val="none"/>
          <w:lang w:val="en-US" w:eastAsia="zh-CN"/>
        </w:rPr>
        <w:t>采购</w:t>
      </w:r>
      <w:r>
        <w:rPr>
          <w:rFonts w:hint="eastAsia" w:ascii="宋体"/>
          <w:b/>
          <w:color w:val="auto"/>
          <w:kern w:val="0"/>
          <w:sz w:val="52"/>
          <w:szCs w:val="52"/>
          <w:highlight w:val="none"/>
        </w:rPr>
        <w:t>文件</w:t>
      </w:r>
    </w:p>
    <w:p w14:paraId="255C1A9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eastAsia="宋体"/>
          <w:b/>
          <w:color w:val="auto"/>
          <w:kern w:val="0"/>
          <w:sz w:val="32"/>
          <w:highlight w:val="none"/>
          <w:lang w:val="en-US" w:eastAsia="zh-CN"/>
        </w:rPr>
      </w:pPr>
    </w:p>
    <w:p w14:paraId="67D9B66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b/>
          <w:color w:val="auto"/>
          <w:kern w:val="0"/>
          <w:sz w:val="32"/>
          <w:highlight w:val="none"/>
          <w:lang w:val="en-US" w:eastAsia="zh-CN"/>
        </w:rPr>
      </w:pPr>
      <w:r>
        <w:rPr>
          <w:rFonts w:hint="eastAsia" w:ascii="宋体" w:eastAsia="宋体"/>
          <w:b/>
          <w:color w:val="auto"/>
          <w:kern w:val="0"/>
          <w:sz w:val="32"/>
          <w:highlight w:val="none"/>
          <w:lang w:val="en-US" w:eastAsia="zh-CN"/>
        </w:rPr>
        <w:t>台财采确临[2025]4736号</w:t>
      </w:r>
      <w:r>
        <w:rPr>
          <w:rFonts w:hint="eastAsia" w:ascii="宋体"/>
          <w:b/>
          <w:color w:val="auto"/>
          <w:kern w:val="0"/>
          <w:sz w:val="32"/>
          <w:highlight w:val="none"/>
          <w:lang w:val="en-US" w:eastAsia="zh-CN"/>
        </w:rPr>
        <w:t>、4735号</w:t>
      </w:r>
    </w:p>
    <w:p w14:paraId="0B04441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both"/>
        <w:rPr>
          <w:rFonts w:hint="eastAsia" w:ascii="宋体" w:eastAsia="宋体"/>
          <w:b/>
          <w:color w:val="auto"/>
          <w:kern w:val="0"/>
          <w:sz w:val="32"/>
          <w:highlight w:val="none"/>
          <w:lang w:eastAsia="zh-CN"/>
        </w:rPr>
      </w:pPr>
    </w:p>
    <w:p w14:paraId="092DA0E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both"/>
        <w:rPr>
          <w:rFonts w:hint="eastAsia" w:ascii="宋体" w:eastAsia="宋体"/>
          <w:b/>
          <w:color w:val="auto"/>
          <w:kern w:val="0"/>
          <w:sz w:val="32"/>
          <w:highlight w:val="none"/>
          <w:lang w:eastAsia="zh-CN"/>
        </w:rPr>
      </w:pPr>
    </w:p>
    <w:p w14:paraId="52F7EE8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both"/>
        <w:rPr>
          <w:rFonts w:ascii="宋体"/>
          <w:color w:val="auto"/>
          <w:kern w:val="0"/>
          <w:sz w:val="24"/>
          <w:highlight w:val="none"/>
        </w:rPr>
      </w:pPr>
    </w:p>
    <w:p w14:paraId="3D5498A8">
      <w:pPr>
        <w:autoSpaceDE w:val="0"/>
        <w:autoSpaceDN w:val="0"/>
        <w:adjustRightInd w:val="0"/>
        <w:spacing w:line="360" w:lineRule="auto"/>
        <w:jc w:val="left"/>
        <w:rPr>
          <w:rFonts w:ascii="宋体"/>
          <w:color w:val="auto"/>
          <w:kern w:val="0"/>
          <w:sz w:val="28"/>
          <w:highlight w:val="none"/>
        </w:rPr>
      </w:pPr>
    </w:p>
    <w:p w14:paraId="739A03EC">
      <w:pPr>
        <w:autoSpaceDE w:val="0"/>
        <w:autoSpaceDN w:val="0"/>
        <w:adjustRightInd w:val="0"/>
        <w:spacing w:line="360" w:lineRule="auto"/>
        <w:jc w:val="both"/>
        <w:rPr>
          <w:rFonts w:hint="eastAsia" w:ascii="宋体"/>
          <w:color w:val="auto"/>
          <w:kern w:val="0"/>
          <w:sz w:val="28"/>
          <w:highlight w:val="none"/>
        </w:rPr>
      </w:pPr>
    </w:p>
    <w:p w14:paraId="52E36159">
      <w:pPr>
        <w:autoSpaceDE w:val="0"/>
        <w:autoSpaceDN w:val="0"/>
        <w:adjustRightInd w:val="0"/>
        <w:spacing w:line="360" w:lineRule="auto"/>
        <w:jc w:val="center"/>
        <w:rPr>
          <w:rFonts w:hint="eastAsia" w:ascii="宋体" w:eastAsia="宋体"/>
          <w:color w:val="auto"/>
          <w:kern w:val="0"/>
          <w:sz w:val="28"/>
          <w:highlight w:val="none"/>
          <w:lang w:eastAsia="zh-CN"/>
        </w:rPr>
      </w:pPr>
      <w:r>
        <w:rPr>
          <w:rFonts w:hint="eastAsia" w:ascii="宋体"/>
          <w:color w:val="auto"/>
          <w:kern w:val="0"/>
          <w:sz w:val="28"/>
          <w:highlight w:val="none"/>
        </w:rPr>
        <w:t>采购项目：</w:t>
      </w:r>
      <w:r>
        <w:rPr>
          <w:rFonts w:hint="eastAsia" w:ascii="宋体"/>
          <w:color w:val="auto"/>
          <w:kern w:val="0"/>
          <w:sz w:val="28"/>
          <w:highlight w:val="none"/>
          <w:lang w:eastAsia="zh-CN"/>
        </w:rPr>
        <w:t>台州市低效用地再开发试点项目</w:t>
      </w:r>
    </w:p>
    <w:p w14:paraId="0AD5D773">
      <w:pPr>
        <w:autoSpaceDE w:val="0"/>
        <w:autoSpaceDN w:val="0"/>
        <w:adjustRightInd w:val="0"/>
        <w:spacing w:line="360" w:lineRule="auto"/>
        <w:jc w:val="center"/>
        <w:rPr>
          <w:rFonts w:ascii="宋体"/>
          <w:color w:val="auto"/>
          <w:kern w:val="0"/>
          <w:sz w:val="28"/>
          <w:highlight w:val="none"/>
        </w:rPr>
      </w:pPr>
      <w:r>
        <w:rPr>
          <w:rFonts w:hint="eastAsia" w:ascii="宋体"/>
          <w:color w:val="auto"/>
          <w:kern w:val="0"/>
          <w:sz w:val="28"/>
          <w:highlight w:val="none"/>
        </w:rPr>
        <w:t>采 购 人：台州市自然资源和规划局（盖章）</w:t>
      </w:r>
    </w:p>
    <w:p w14:paraId="3D9D5315">
      <w:pPr>
        <w:autoSpaceDE w:val="0"/>
        <w:autoSpaceDN w:val="0"/>
        <w:adjustRightInd w:val="0"/>
        <w:spacing w:line="360" w:lineRule="auto"/>
        <w:rPr>
          <w:rFonts w:ascii="宋体"/>
          <w:color w:val="auto"/>
          <w:kern w:val="0"/>
          <w:sz w:val="28"/>
          <w:highlight w:val="none"/>
        </w:rPr>
      </w:pPr>
    </w:p>
    <w:p w14:paraId="71DF264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both"/>
        <w:rPr>
          <w:rFonts w:ascii="宋体"/>
          <w:color w:val="auto"/>
          <w:kern w:val="0"/>
          <w:sz w:val="32"/>
          <w:highlight w:val="none"/>
        </w:rPr>
      </w:pPr>
    </w:p>
    <w:p w14:paraId="1254AF8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auto"/>
          <w:kern w:val="0"/>
          <w:sz w:val="32"/>
          <w:highlight w:val="none"/>
        </w:rPr>
      </w:pPr>
    </w:p>
    <w:p w14:paraId="0DFB0DF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台州市建设咨询有限公司（盖章）</w:t>
      </w:r>
    </w:p>
    <w:p w14:paraId="281775B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color w:val="auto"/>
          <w:highlight w:val="none"/>
        </w:rPr>
      </w:pPr>
      <w:r>
        <w:rPr>
          <w:rFonts w:hint="eastAsia" w:ascii="宋体" w:hAnsi="宋体" w:cs="宋体"/>
          <w:color w:val="auto"/>
          <w:kern w:val="0"/>
          <w:sz w:val="28"/>
          <w:szCs w:val="28"/>
          <w:highlight w:val="none"/>
          <w:lang w:val="en-US" w:eastAsia="zh-CN"/>
        </w:rPr>
        <w:t>2025</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lang w:val="en-US" w:eastAsia="zh-CN"/>
        </w:rPr>
        <w:t>08</w:t>
      </w:r>
      <w:r>
        <w:rPr>
          <w:rFonts w:hint="eastAsia" w:ascii="宋体" w:hAnsi="宋体" w:cs="宋体"/>
          <w:color w:val="auto"/>
          <w:kern w:val="0"/>
          <w:sz w:val="28"/>
          <w:szCs w:val="28"/>
          <w:highlight w:val="none"/>
        </w:rPr>
        <w:t>月</w:t>
      </w:r>
    </w:p>
    <w:p w14:paraId="30DF70DF">
      <w:pPr>
        <w:spacing w:line="360" w:lineRule="auto"/>
        <w:rPr>
          <w:color w:val="auto"/>
          <w:highlight w:val="none"/>
        </w:rPr>
      </w:pPr>
    </w:p>
    <w:p w14:paraId="74F0679C">
      <w:pPr>
        <w:pStyle w:val="26"/>
        <w:rPr>
          <w:color w:val="auto"/>
          <w:highlight w:val="none"/>
        </w:rPr>
      </w:pPr>
    </w:p>
    <w:p w14:paraId="107ACA7B">
      <w:pPr>
        <w:pStyle w:val="26"/>
        <w:rPr>
          <w:color w:val="auto"/>
          <w:highlight w:val="none"/>
        </w:rPr>
      </w:pPr>
    </w:p>
    <w:p w14:paraId="4F18D98A">
      <w:pPr>
        <w:spacing w:line="480" w:lineRule="auto"/>
        <w:jc w:val="center"/>
        <w:rPr>
          <w:rFonts w:ascii="宋体" w:hAnsi="宋体"/>
          <w:color w:val="auto"/>
          <w:kern w:val="0"/>
          <w:sz w:val="28"/>
          <w:szCs w:val="28"/>
          <w:highlight w:val="none"/>
        </w:rPr>
        <w:sectPr>
          <w:pgSz w:w="11906" w:h="16838"/>
          <w:pgMar w:top="1247" w:right="1361" w:bottom="1247" w:left="1361" w:header="851" w:footer="851" w:gutter="0"/>
          <w:pgNumType w:fmt="numberInDash"/>
          <w:cols w:space="720" w:num="1"/>
          <w:docGrid w:type="lines" w:linePitch="312" w:charSpace="0"/>
        </w:sectPr>
      </w:pPr>
    </w:p>
    <w:sdt>
      <w:sdtPr>
        <w:rPr>
          <w:rFonts w:ascii="宋体" w:hAnsi="宋体"/>
          <w:color w:val="auto"/>
          <w:kern w:val="0"/>
          <w:sz w:val="28"/>
          <w:szCs w:val="28"/>
          <w:highlight w:val="none"/>
        </w:rPr>
        <w:id w:val="147471336"/>
        <w:docPartObj>
          <w:docPartGallery w:val="Table of Contents"/>
          <w:docPartUnique/>
        </w:docPartObj>
      </w:sdtPr>
      <w:sdtEndPr>
        <w:rPr>
          <w:rFonts w:ascii="宋体" w:hAnsi="宋体"/>
          <w:color w:val="auto"/>
          <w:kern w:val="0"/>
          <w:sz w:val="20"/>
          <w:szCs w:val="20"/>
          <w:highlight w:val="none"/>
        </w:rPr>
      </w:sdtEndPr>
      <w:sdtContent>
        <w:p w14:paraId="401ED91B">
          <w:pPr>
            <w:spacing w:line="480" w:lineRule="auto"/>
            <w:jc w:val="center"/>
            <w:rPr>
              <w:rFonts w:ascii="宋体" w:hAnsi="宋体"/>
              <w:color w:val="auto"/>
              <w:kern w:val="0"/>
              <w:sz w:val="28"/>
              <w:szCs w:val="28"/>
              <w:highlight w:val="none"/>
            </w:rPr>
          </w:pPr>
          <w:bookmarkStart w:id="0" w:name="_Toc25017_WPSOffice_Type1"/>
        </w:p>
        <w:p w14:paraId="1EBA1180">
          <w:pPr>
            <w:spacing w:line="480" w:lineRule="auto"/>
            <w:jc w:val="center"/>
            <w:rPr>
              <w:color w:val="auto"/>
              <w:sz w:val="28"/>
              <w:szCs w:val="28"/>
              <w:highlight w:val="none"/>
            </w:rPr>
          </w:pPr>
          <w:r>
            <w:rPr>
              <w:rFonts w:ascii="宋体" w:hAnsi="宋体"/>
              <w:b/>
              <w:bCs/>
              <w:color w:val="auto"/>
              <w:sz w:val="36"/>
              <w:szCs w:val="36"/>
              <w:highlight w:val="none"/>
            </w:rPr>
            <w:t>目</w:t>
          </w:r>
          <w:r>
            <w:rPr>
              <w:rFonts w:hint="eastAsia" w:ascii="宋体" w:hAnsi="宋体"/>
              <w:b/>
              <w:bCs/>
              <w:color w:val="auto"/>
              <w:sz w:val="36"/>
              <w:szCs w:val="36"/>
              <w:highlight w:val="none"/>
            </w:rPr>
            <w:t xml:space="preserve">  </w:t>
          </w:r>
          <w:r>
            <w:rPr>
              <w:rFonts w:ascii="宋体" w:hAnsi="宋体"/>
              <w:b/>
              <w:bCs/>
              <w:color w:val="auto"/>
              <w:sz w:val="36"/>
              <w:szCs w:val="36"/>
              <w:highlight w:val="none"/>
            </w:rPr>
            <w:t>录</w:t>
          </w:r>
        </w:p>
        <w:p w14:paraId="3E74480D">
          <w:pPr>
            <w:pStyle w:val="17"/>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"_Toc4350_WPSOffice_Level1" </w:instrText>
          </w:r>
          <w:r>
            <w:rPr>
              <w:color w:val="auto"/>
              <w:highlight w:val="none"/>
            </w:rPr>
            <w:fldChar w:fldCharType="separate"/>
          </w:r>
          <w:r>
            <w:rPr>
              <w:rFonts w:hint="eastAsia" w:eastAsiaTheme="minorEastAsia" w:cstheme="minorBidi"/>
              <w:color w:val="auto"/>
              <w:sz w:val="28"/>
              <w:szCs w:val="28"/>
              <w:highlight w:val="none"/>
            </w:rPr>
            <w:t>第一章 投标邀请</w:t>
          </w:r>
          <w:r>
            <w:rPr>
              <w:rFonts w:eastAsiaTheme="minorEastAsia" w:cstheme="minorBidi"/>
              <w:color w:val="auto"/>
              <w:sz w:val="28"/>
              <w:szCs w:val="28"/>
              <w:highlight w:val="none"/>
            </w:rPr>
            <w:tab/>
          </w:r>
          <w:bookmarkStart w:id="1" w:name="_Toc4350_WPSOffice_Level1Page"/>
          <w:r>
            <w:rPr>
              <w:rFonts w:eastAsiaTheme="minorEastAsia" w:cstheme="minorBidi"/>
              <w:color w:val="auto"/>
              <w:sz w:val="28"/>
              <w:szCs w:val="28"/>
              <w:highlight w:val="none"/>
            </w:rPr>
            <w:t>3</w:t>
          </w:r>
          <w:bookmarkEnd w:id="1"/>
          <w:r>
            <w:rPr>
              <w:rFonts w:eastAsiaTheme="minorEastAsia" w:cstheme="minorBidi"/>
              <w:color w:val="auto"/>
              <w:sz w:val="28"/>
              <w:szCs w:val="28"/>
              <w:highlight w:val="none"/>
            </w:rPr>
            <w:fldChar w:fldCharType="end"/>
          </w:r>
        </w:p>
        <w:p w14:paraId="3D239CF4">
          <w:pPr>
            <w:pStyle w:val="17"/>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"_Toc25017_WPSOffice_Level1" </w:instrText>
          </w:r>
          <w:r>
            <w:rPr>
              <w:color w:val="auto"/>
              <w:highlight w:val="none"/>
            </w:rPr>
            <w:fldChar w:fldCharType="separate"/>
          </w:r>
          <w:r>
            <w:rPr>
              <w:rFonts w:hint="eastAsia" w:eastAsiaTheme="minorEastAsia" w:cstheme="minorBidi"/>
              <w:color w:val="auto"/>
              <w:sz w:val="28"/>
              <w:szCs w:val="28"/>
              <w:highlight w:val="none"/>
            </w:rPr>
            <w:t xml:space="preserve">第二章 </w:t>
          </w:r>
          <w:r>
            <w:rPr>
              <w:rFonts w:hint="eastAsia" w:eastAsiaTheme="minorEastAsia" w:cstheme="minorBidi"/>
              <w:color w:val="auto"/>
              <w:sz w:val="28"/>
              <w:szCs w:val="28"/>
              <w:highlight w:val="none"/>
              <w:lang w:eastAsia="zh-CN"/>
            </w:rPr>
            <w:t>供应商</w:t>
          </w:r>
          <w:r>
            <w:rPr>
              <w:rFonts w:hint="eastAsia" w:eastAsiaTheme="minorEastAsia" w:cstheme="minorBidi"/>
              <w:color w:val="auto"/>
              <w:sz w:val="28"/>
              <w:szCs w:val="28"/>
              <w:highlight w:val="none"/>
            </w:rPr>
            <w:t>须知</w:t>
          </w:r>
          <w:r>
            <w:rPr>
              <w:rFonts w:eastAsiaTheme="minorEastAsia" w:cstheme="minorBidi"/>
              <w:color w:val="auto"/>
              <w:sz w:val="28"/>
              <w:szCs w:val="28"/>
              <w:highlight w:val="none"/>
            </w:rPr>
            <w:tab/>
          </w:r>
          <w:r>
            <w:rPr>
              <w:rFonts w:hint="eastAsia" w:eastAsiaTheme="minorEastAsia" w:cstheme="minorBidi"/>
              <w:color w:val="auto"/>
              <w:sz w:val="28"/>
              <w:szCs w:val="28"/>
              <w:highlight w:val="none"/>
            </w:rPr>
            <w:t>5</w:t>
          </w:r>
          <w:r>
            <w:rPr>
              <w:rFonts w:hint="eastAsia" w:eastAsiaTheme="minorEastAsia" w:cstheme="minorBidi"/>
              <w:color w:val="auto"/>
              <w:sz w:val="28"/>
              <w:szCs w:val="28"/>
              <w:highlight w:val="none"/>
            </w:rPr>
            <w:fldChar w:fldCharType="end"/>
          </w:r>
        </w:p>
        <w:p w14:paraId="40E76AB1">
          <w:pPr>
            <w:pStyle w:val="17"/>
            <w:tabs>
              <w:tab w:val="right" w:leader="dot" w:pos="8620"/>
            </w:tabs>
            <w:ind w:right="638" w:rightChars="304"/>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"_Toc13072_WPSOffice_Level1" </w:instrText>
          </w:r>
          <w:r>
            <w:rPr>
              <w:color w:val="auto"/>
              <w:highlight w:val="none"/>
            </w:rPr>
            <w:fldChar w:fldCharType="separate"/>
          </w:r>
          <w:r>
            <w:rPr>
              <w:rFonts w:hint="eastAsia" w:eastAsiaTheme="minorEastAsia" w:cstheme="minorBidi"/>
              <w:color w:val="auto"/>
              <w:sz w:val="28"/>
              <w:szCs w:val="28"/>
              <w:highlight w:val="none"/>
            </w:rPr>
            <w:t>第三章 招标需求</w:t>
          </w:r>
          <w:r>
            <w:rPr>
              <w:rFonts w:eastAsiaTheme="minorEastAsia" w:cstheme="minorBidi"/>
              <w:color w:val="auto"/>
              <w:sz w:val="28"/>
              <w:szCs w:val="28"/>
              <w:highlight w:val="none"/>
            </w:rPr>
            <w:tab/>
          </w:r>
          <w:r>
            <w:rPr>
              <w:rFonts w:hint="eastAsia" w:eastAsiaTheme="minorEastAsia" w:cstheme="minorBidi"/>
              <w:color w:val="auto"/>
              <w:sz w:val="28"/>
              <w:szCs w:val="28"/>
              <w:highlight w:val="none"/>
            </w:rPr>
            <w:t>1</w:t>
          </w:r>
          <w:r>
            <w:rPr>
              <w:rFonts w:hint="eastAsia" w:eastAsiaTheme="minorEastAsia" w:cstheme="minorBidi"/>
              <w:color w:val="auto"/>
              <w:sz w:val="28"/>
              <w:szCs w:val="28"/>
              <w:highlight w:val="none"/>
            </w:rPr>
            <w:fldChar w:fldCharType="end"/>
          </w:r>
          <w:r>
            <w:rPr>
              <w:rFonts w:hint="eastAsia" w:eastAsiaTheme="minorEastAsia" w:cstheme="minorBidi"/>
              <w:color w:val="auto"/>
              <w:sz w:val="28"/>
              <w:szCs w:val="28"/>
              <w:highlight w:val="none"/>
            </w:rPr>
            <w:t>4</w:t>
          </w:r>
        </w:p>
        <w:p w14:paraId="2213CE3E">
          <w:pPr>
            <w:pStyle w:val="17"/>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"_Toc31173_WPSOffice_Level1" </w:instrText>
          </w:r>
          <w:r>
            <w:rPr>
              <w:color w:val="auto"/>
              <w:highlight w:val="none"/>
            </w:rPr>
            <w:fldChar w:fldCharType="separate"/>
          </w:r>
          <w:r>
            <w:rPr>
              <w:rFonts w:hint="eastAsia" w:eastAsiaTheme="minorEastAsia" w:cstheme="minorBidi"/>
              <w:color w:val="auto"/>
              <w:sz w:val="28"/>
              <w:szCs w:val="28"/>
              <w:highlight w:val="none"/>
            </w:rPr>
            <w:t>第四章 评标</w:t>
          </w:r>
          <w:r>
            <w:rPr>
              <w:rFonts w:eastAsiaTheme="minorEastAsia" w:cstheme="minorBidi"/>
              <w:color w:val="auto"/>
              <w:sz w:val="28"/>
              <w:szCs w:val="28"/>
              <w:highlight w:val="none"/>
            </w:rPr>
            <w:tab/>
          </w:r>
          <w:bookmarkStart w:id="2" w:name="_Toc31173_WPSOffice_Level1Page"/>
          <w:r>
            <w:rPr>
              <w:rFonts w:eastAsiaTheme="minorEastAsia" w:cstheme="minorBidi"/>
              <w:color w:val="auto"/>
              <w:sz w:val="28"/>
              <w:szCs w:val="28"/>
              <w:highlight w:val="none"/>
            </w:rPr>
            <w:t>22</w:t>
          </w:r>
          <w:bookmarkEnd w:id="2"/>
          <w:r>
            <w:rPr>
              <w:rFonts w:eastAsiaTheme="minorEastAsia" w:cstheme="minorBidi"/>
              <w:color w:val="auto"/>
              <w:sz w:val="28"/>
              <w:szCs w:val="28"/>
              <w:highlight w:val="none"/>
            </w:rPr>
            <w:fldChar w:fldCharType="end"/>
          </w:r>
        </w:p>
        <w:p w14:paraId="0893006A">
          <w:pPr>
            <w:pStyle w:val="17"/>
            <w:tabs>
              <w:tab w:val="right" w:leader="dot" w:pos="8620"/>
            </w:tabs>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"_Toc27944_WPSOffice_Level1" </w:instrText>
          </w:r>
          <w:r>
            <w:rPr>
              <w:color w:val="auto"/>
              <w:highlight w:val="none"/>
            </w:rPr>
            <w:fldChar w:fldCharType="separate"/>
          </w:r>
          <w:r>
            <w:rPr>
              <w:rFonts w:hint="eastAsia" w:eastAsiaTheme="minorEastAsia" w:cstheme="minorBidi"/>
              <w:color w:val="auto"/>
              <w:sz w:val="28"/>
              <w:szCs w:val="28"/>
              <w:highlight w:val="none"/>
            </w:rPr>
            <w:t>第五章 拟签订的合同文本</w:t>
          </w:r>
          <w:r>
            <w:rPr>
              <w:rFonts w:eastAsiaTheme="minorEastAsia" w:cstheme="minorBidi"/>
              <w:color w:val="auto"/>
              <w:sz w:val="28"/>
              <w:szCs w:val="28"/>
              <w:highlight w:val="none"/>
            </w:rPr>
            <w:tab/>
          </w:r>
          <w:bookmarkStart w:id="3" w:name="_Toc27944_WPSOffice_Level1Page"/>
          <w:r>
            <w:rPr>
              <w:rFonts w:eastAsiaTheme="minorEastAsia" w:cstheme="minorBidi"/>
              <w:color w:val="auto"/>
              <w:sz w:val="28"/>
              <w:szCs w:val="28"/>
              <w:highlight w:val="none"/>
            </w:rPr>
            <w:t>35</w:t>
          </w:r>
          <w:bookmarkEnd w:id="3"/>
          <w:r>
            <w:rPr>
              <w:rFonts w:eastAsiaTheme="minorEastAsia" w:cstheme="minorBidi"/>
              <w:color w:val="auto"/>
              <w:sz w:val="28"/>
              <w:szCs w:val="28"/>
              <w:highlight w:val="none"/>
            </w:rPr>
            <w:fldChar w:fldCharType="end"/>
          </w:r>
        </w:p>
        <w:p w14:paraId="4E6F570C">
          <w:pPr>
            <w:pStyle w:val="17"/>
            <w:tabs>
              <w:tab w:val="right" w:leader="dot" w:pos="8620"/>
            </w:tabs>
            <w:rPr>
              <w:color w:val="auto"/>
              <w:highlight w:val="none"/>
            </w:rPr>
          </w:pPr>
          <w:r>
            <w:rPr>
              <w:color w:val="auto"/>
              <w:highlight w:val="none"/>
            </w:rPr>
            <w:fldChar w:fldCharType="begin"/>
          </w:r>
          <w:r>
            <w:rPr>
              <w:color w:val="auto"/>
              <w:highlight w:val="none"/>
            </w:rPr>
            <w:instrText xml:space="preserve"> HYPERLINK \l "_Toc5481_WPSOffice_Level1" </w:instrText>
          </w:r>
          <w:r>
            <w:rPr>
              <w:color w:val="auto"/>
              <w:highlight w:val="none"/>
            </w:rPr>
            <w:fldChar w:fldCharType="separate"/>
          </w:r>
          <w:r>
            <w:rPr>
              <w:rFonts w:hint="eastAsia" w:eastAsiaTheme="minorEastAsia" w:cstheme="minorBidi"/>
              <w:color w:val="auto"/>
              <w:sz w:val="28"/>
              <w:szCs w:val="28"/>
              <w:highlight w:val="none"/>
            </w:rPr>
            <w:t>第六章 投标文件格式</w:t>
          </w:r>
          <w:r>
            <w:rPr>
              <w:rFonts w:eastAsiaTheme="minorEastAsia" w:cstheme="minorBidi"/>
              <w:color w:val="auto"/>
              <w:sz w:val="28"/>
              <w:szCs w:val="28"/>
              <w:highlight w:val="none"/>
            </w:rPr>
            <w:tab/>
          </w:r>
          <w:bookmarkStart w:id="4" w:name="_Toc5481_WPSOffice_Level1Page"/>
          <w:r>
            <w:rPr>
              <w:rFonts w:eastAsiaTheme="minorEastAsia" w:cstheme="minorBidi"/>
              <w:color w:val="auto"/>
              <w:sz w:val="28"/>
              <w:szCs w:val="28"/>
              <w:highlight w:val="none"/>
            </w:rPr>
            <w:t>41</w:t>
          </w:r>
          <w:bookmarkEnd w:id="4"/>
          <w:r>
            <w:rPr>
              <w:rFonts w:eastAsiaTheme="minorEastAsia" w:cstheme="minorBidi"/>
              <w:color w:val="auto"/>
              <w:sz w:val="28"/>
              <w:szCs w:val="28"/>
              <w:highlight w:val="none"/>
            </w:rPr>
            <w:fldChar w:fldCharType="end"/>
          </w:r>
        </w:p>
      </w:sdtContent>
    </w:sdt>
    <w:bookmarkEnd w:id="0"/>
    <w:p w14:paraId="70E9EA80">
      <w:pPr>
        <w:spacing w:line="480" w:lineRule="auto"/>
        <w:rPr>
          <w:color w:val="auto"/>
          <w:sz w:val="28"/>
          <w:szCs w:val="28"/>
          <w:highlight w:val="none"/>
        </w:rPr>
      </w:pPr>
    </w:p>
    <w:p w14:paraId="5C8CD706">
      <w:pPr>
        <w:spacing w:line="360" w:lineRule="auto"/>
        <w:rPr>
          <w:color w:val="auto"/>
          <w:highlight w:val="none"/>
        </w:rPr>
      </w:pPr>
    </w:p>
    <w:p w14:paraId="1A8F5BDD">
      <w:pPr>
        <w:spacing w:line="360" w:lineRule="auto"/>
        <w:rPr>
          <w:color w:val="auto"/>
          <w:highlight w:val="none"/>
        </w:rPr>
      </w:pPr>
    </w:p>
    <w:p w14:paraId="7BBCD93E">
      <w:pPr>
        <w:spacing w:line="360" w:lineRule="auto"/>
        <w:rPr>
          <w:color w:val="auto"/>
          <w:highlight w:val="none"/>
        </w:rPr>
      </w:pPr>
    </w:p>
    <w:p w14:paraId="0DD895F6">
      <w:pPr>
        <w:spacing w:line="360" w:lineRule="auto"/>
        <w:rPr>
          <w:color w:val="auto"/>
          <w:highlight w:val="none"/>
        </w:rPr>
      </w:pPr>
    </w:p>
    <w:p w14:paraId="5127B29F">
      <w:pPr>
        <w:spacing w:line="360" w:lineRule="auto"/>
        <w:rPr>
          <w:color w:val="auto"/>
          <w:highlight w:val="none"/>
        </w:rPr>
      </w:pPr>
    </w:p>
    <w:p w14:paraId="23299900">
      <w:pPr>
        <w:spacing w:line="360" w:lineRule="auto"/>
        <w:rPr>
          <w:color w:val="auto"/>
          <w:highlight w:val="none"/>
        </w:rPr>
      </w:pPr>
    </w:p>
    <w:p w14:paraId="086CACAF">
      <w:pPr>
        <w:spacing w:line="360" w:lineRule="auto"/>
        <w:rPr>
          <w:color w:val="auto"/>
          <w:highlight w:val="none"/>
        </w:rPr>
      </w:pPr>
    </w:p>
    <w:p w14:paraId="58F64949">
      <w:pPr>
        <w:spacing w:line="360" w:lineRule="auto"/>
        <w:rPr>
          <w:color w:val="auto"/>
          <w:highlight w:val="none"/>
        </w:rPr>
      </w:pPr>
    </w:p>
    <w:p w14:paraId="1BAE5700">
      <w:pPr>
        <w:spacing w:line="360" w:lineRule="auto"/>
        <w:rPr>
          <w:color w:val="auto"/>
          <w:highlight w:val="none"/>
        </w:rPr>
      </w:pPr>
    </w:p>
    <w:p w14:paraId="7DEC86AB">
      <w:pPr>
        <w:spacing w:line="360" w:lineRule="auto"/>
        <w:rPr>
          <w:color w:val="auto"/>
          <w:highlight w:val="none"/>
        </w:rPr>
      </w:pPr>
    </w:p>
    <w:p w14:paraId="0B1B91AB">
      <w:pPr>
        <w:spacing w:line="360" w:lineRule="auto"/>
        <w:rPr>
          <w:color w:val="auto"/>
          <w:highlight w:val="none"/>
        </w:rPr>
      </w:pPr>
    </w:p>
    <w:p w14:paraId="65D7799C">
      <w:pPr>
        <w:spacing w:line="360" w:lineRule="auto"/>
        <w:rPr>
          <w:color w:val="auto"/>
          <w:highlight w:val="none"/>
        </w:rPr>
      </w:pPr>
    </w:p>
    <w:p w14:paraId="0C6B4406">
      <w:pPr>
        <w:spacing w:line="360" w:lineRule="auto"/>
        <w:rPr>
          <w:color w:val="auto"/>
          <w:highlight w:val="none"/>
        </w:rPr>
      </w:pPr>
    </w:p>
    <w:p w14:paraId="488A7FE7">
      <w:pPr>
        <w:spacing w:line="360" w:lineRule="auto"/>
        <w:rPr>
          <w:color w:val="auto"/>
          <w:highlight w:val="none"/>
        </w:rPr>
      </w:pPr>
    </w:p>
    <w:p w14:paraId="2761925A">
      <w:pPr>
        <w:spacing w:line="360" w:lineRule="auto"/>
        <w:rPr>
          <w:color w:val="auto"/>
          <w:highlight w:val="none"/>
        </w:rPr>
      </w:pPr>
    </w:p>
    <w:p w14:paraId="535F8545">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sz w:val="36"/>
          <w:szCs w:val="36"/>
          <w:highlight w:val="none"/>
        </w:rPr>
        <w:sectPr>
          <w:footerReference r:id="rId3" w:type="default"/>
          <w:pgSz w:w="11906" w:h="16838"/>
          <w:pgMar w:top="1247" w:right="1361" w:bottom="1247" w:left="1361" w:header="851" w:footer="851" w:gutter="0"/>
          <w:pgNumType w:fmt="numberInDash" w:start="1"/>
          <w:cols w:space="720" w:num="1"/>
          <w:docGrid w:type="lines" w:linePitch="312" w:charSpace="0"/>
        </w:sectPr>
      </w:pPr>
      <w:bookmarkStart w:id="5" w:name="_Toc4350_WPSOffice_Level1"/>
    </w:p>
    <w:p w14:paraId="7FACF3C2">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sz w:val="36"/>
          <w:szCs w:val="36"/>
          <w:highlight w:val="none"/>
        </w:rPr>
      </w:pPr>
      <w:r>
        <w:rPr>
          <w:rFonts w:hint="eastAsia" w:ascii="宋体" w:hAnsi="宋体" w:cs="宋体"/>
          <w:b/>
          <w:color w:val="auto"/>
          <w:kern w:val="0"/>
          <w:sz w:val="36"/>
          <w:szCs w:val="36"/>
          <w:highlight w:val="none"/>
        </w:rPr>
        <w:t>投标邀请</w:t>
      </w:r>
      <w:bookmarkEnd w:id="5"/>
    </w:p>
    <w:p w14:paraId="7EA088DE">
      <w:pPr>
        <w:pStyle w:val="5"/>
        <w:keepNext w:val="0"/>
        <w:keepLines w:val="0"/>
        <w:pageBreakBefore w:val="0"/>
        <w:kinsoku/>
        <w:wordWrap/>
        <w:overflowPunct/>
        <w:topLinePunct w:val="0"/>
        <w:bidi w:val="0"/>
        <w:spacing w:line="360" w:lineRule="auto"/>
        <w:ind w:firstLine="480" w:firstLineChars="200"/>
        <w:textAlignment w:val="auto"/>
        <w:rPr>
          <w:rFonts w:cs="宋体"/>
          <w:b w:val="0"/>
          <w:color w:val="auto"/>
          <w:sz w:val="24"/>
          <w:szCs w:val="24"/>
          <w:highlight w:val="none"/>
        </w:rPr>
      </w:pPr>
      <w:bookmarkStart w:id="6" w:name="_Toc35393790"/>
      <w:bookmarkStart w:id="7" w:name="_Toc28359002"/>
      <w:bookmarkStart w:id="8" w:name="_Toc28359079"/>
      <w:bookmarkStart w:id="9" w:name="_Toc35393621"/>
      <w:bookmarkStart w:id="10" w:name="_Hlk24379207"/>
      <w:r>
        <w:rPr>
          <w:rFonts w:hint="eastAsia" w:cs="宋体"/>
          <w:b w:val="0"/>
          <w:color w:val="auto"/>
          <w:sz w:val="24"/>
          <w:szCs w:val="24"/>
          <w:highlight w:val="none"/>
          <w:u w:val="single"/>
        </w:rPr>
        <w:t>台州市建设咨询有限公司</w:t>
      </w:r>
      <w:r>
        <w:rPr>
          <w:rFonts w:hint="eastAsia" w:cs="宋体"/>
          <w:b w:val="0"/>
          <w:color w:val="auto"/>
          <w:sz w:val="24"/>
          <w:szCs w:val="24"/>
          <w:highlight w:val="none"/>
        </w:rPr>
        <w:t>受</w:t>
      </w:r>
      <w:r>
        <w:rPr>
          <w:rFonts w:hint="eastAsia" w:cs="宋体"/>
          <w:b w:val="0"/>
          <w:color w:val="auto"/>
          <w:sz w:val="24"/>
          <w:szCs w:val="24"/>
          <w:highlight w:val="none"/>
          <w:u w:val="single"/>
        </w:rPr>
        <w:t>台州市自然资源和规划局</w:t>
      </w:r>
      <w:r>
        <w:rPr>
          <w:rFonts w:hint="eastAsia" w:cs="宋体"/>
          <w:b w:val="0"/>
          <w:color w:val="auto"/>
          <w:sz w:val="24"/>
          <w:szCs w:val="24"/>
          <w:highlight w:val="none"/>
        </w:rPr>
        <w:t>委托，就</w:t>
      </w:r>
      <w:r>
        <w:rPr>
          <w:rFonts w:hint="eastAsia" w:cs="宋体"/>
          <w:b w:val="0"/>
          <w:color w:val="auto"/>
          <w:sz w:val="24"/>
          <w:szCs w:val="24"/>
          <w:highlight w:val="none"/>
          <w:u w:val="single"/>
          <w:lang w:eastAsia="zh-CN"/>
        </w:rPr>
        <w:t>台州市低效用地再开发试点项目</w:t>
      </w:r>
      <w:r>
        <w:rPr>
          <w:rFonts w:hint="eastAsia" w:cs="宋体"/>
          <w:b w:val="0"/>
          <w:color w:val="auto"/>
          <w:sz w:val="24"/>
          <w:szCs w:val="24"/>
          <w:highlight w:val="none"/>
        </w:rPr>
        <w:t>进行公开招标，欢迎符合资格条件的国内</w:t>
      </w:r>
      <w:r>
        <w:rPr>
          <w:rFonts w:hint="eastAsia" w:cs="宋体"/>
          <w:b w:val="0"/>
          <w:color w:val="auto"/>
          <w:sz w:val="24"/>
          <w:szCs w:val="24"/>
          <w:highlight w:val="none"/>
          <w:lang w:eastAsia="zh-CN"/>
        </w:rPr>
        <w:t>供应商</w:t>
      </w:r>
      <w:r>
        <w:rPr>
          <w:rFonts w:hint="eastAsia" w:cs="宋体"/>
          <w:b w:val="0"/>
          <w:color w:val="auto"/>
          <w:sz w:val="24"/>
          <w:szCs w:val="24"/>
          <w:highlight w:val="none"/>
        </w:rPr>
        <w:t>参加投标。</w:t>
      </w:r>
    </w:p>
    <w:p w14:paraId="1D0FEB65">
      <w:pPr>
        <w:pStyle w:val="5"/>
        <w:keepNext w:val="0"/>
        <w:keepLines w:val="0"/>
        <w:pageBreakBefore w:val="0"/>
        <w:kinsoku/>
        <w:wordWrap/>
        <w:overflowPunct/>
        <w:topLinePunct w:val="0"/>
        <w:bidi w:val="0"/>
        <w:spacing w:line="360" w:lineRule="auto"/>
        <w:ind w:firstLine="482" w:firstLineChars="200"/>
        <w:textAlignment w:val="auto"/>
        <w:rPr>
          <w:rFonts w:cs="宋体"/>
          <w:bCs/>
          <w:color w:val="auto"/>
          <w:sz w:val="24"/>
          <w:szCs w:val="24"/>
          <w:highlight w:val="none"/>
        </w:rPr>
      </w:pPr>
      <w:r>
        <w:rPr>
          <w:rFonts w:hint="eastAsia" w:cs="宋体"/>
          <w:bCs/>
          <w:color w:val="auto"/>
          <w:sz w:val="24"/>
          <w:szCs w:val="24"/>
          <w:highlight w:val="none"/>
        </w:rPr>
        <w:t>一、项目基本情况</w:t>
      </w:r>
      <w:bookmarkEnd w:id="6"/>
      <w:bookmarkEnd w:id="7"/>
      <w:bookmarkEnd w:id="8"/>
      <w:bookmarkEnd w:id="9"/>
    </w:p>
    <w:p w14:paraId="1D22CA3B">
      <w:pPr>
        <w:keepNext w:val="0"/>
        <w:keepLines w:val="0"/>
        <w:pageBreakBefore w:val="0"/>
        <w:kinsoku/>
        <w:wordWrap/>
        <w:overflowPunct/>
        <w:topLinePunct w:val="0"/>
        <w:bidi w:val="0"/>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val="en-US" w:eastAsia="zh-CN"/>
        </w:rPr>
        <w:t>台财采确临[2025]4736号、4735号</w:t>
      </w:r>
    </w:p>
    <w:bookmarkEnd w:id="10"/>
    <w:p w14:paraId="69ED02F0">
      <w:pPr>
        <w:keepNext w:val="0"/>
        <w:keepLines w:val="0"/>
        <w:pageBreakBefore w:val="0"/>
        <w:kinsoku/>
        <w:wordWrap/>
        <w:overflowPunct/>
        <w:topLinePunct w:val="0"/>
        <w:bidi w:val="0"/>
        <w:spacing w:line="360" w:lineRule="auto"/>
        <w:ind w:firstLine="480" w:firstLineChars="200"/>
        <w:textAlignment w:val="auto"/>
        <w:rPr>
          <w:rFonts w:hint="eastAsia" w:eastAsia="宋体"/>
          <w:color w:val="auto"/>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台州市低效用地再开发试点项目</w:t>
      </w:r>
    </w:p>
    <w:tbl>
      <w:tblPr>
        <w:tblStyle w:val="21"/>
        <w:tblpPr w:leftFromText="181" w:rightFromText="181" w:bottomFromText="170" w:vertAnchor="text" w:tblpXSpec="center" w:tblpY="1"/>
        <w:tblOverlap w:val="never"/>
        <w:tblW w:w="55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3885"/>
        <w:gridCol w:w="1527"/>
        <w:gridCol w:w="708"/>
        <w:gridCol w:w="911"/>
        <w:gridCol w:w="1232"/>
        <w:gridCol w:w="1619"/>
      </w:tblGrid>
      <w:tr w14:paraId="41420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82" w:type="pct"/>
            <w:vAlign w:val="center"/>
          </w:tcPr>
          <w:p w14:paraId="5CD8832F">
            <w:pPr>
              <w:keepNext w:val="0"/>
              <w:keepLines w:val="0"/>
              <w:pageBreakBefore w:val="0"/>
              <w:tabs>
                <w:tab w:val="left" w:pos="8280"/>
              </w:tabs>
              <w:kinsoku/>
              <w:wordWrap/>
              <w:overflowPunct/>
              <w:topLinePunct w:val="0"/>
              <w:autoSpaceDE w:val="0"/>
              <w:autoSpaceDN w:val="0"/>
              <w:bidi w:val="0"/>
              <w:adjustRightInd w:val="0"/>
              <w:spacing w:line="240" w:lineRule="auto"/>
              <w:jc w:val="center"/>
              <w:textAlignment w:val="auto"/>
              <w:rPr>
                <w:rFonts w:ascii="宋体" w:hAnsi="宋体" w:cs="宋体"/>
                <w:b/>
                <w:color w:val="auto"/>
                <w:szCs w:val="21"/>
                <w:highlight w:val="none"/>
              </w:rPr>
            </w:pPr>
            <w:r>
              <w:rPr>
                <w:rFonts w:hint="eastAsia" w:ascii="宋体" w:hAnsi="宋体" w:cs="宋体"/>
                <w:b/>
                <w:color w:val="auto"/>
                <w:szCs w:val="21"/>
                <w:highlight w:val="none"/>
              </w:rPr>
              <w:t>标项号</w:t>
            </w:r>
          </w:p>
        </w:tc>
        <w:tc>
          <w:tcPr>
            <w:tcW w:w="1855" w:type="pct"/>
            <w:vAlign w:val="center"/>
          </w:tcPr>
          <w:p w14:paraId="045F1726">
            <w:pPr>
              <w:keepNext w:val="0"/>
              <w:keepLines w:val="0"/>
              <w:pageBreakBefore w:val="0"/>
              <w:tabs>
                <w:tab w:val="left" w:pos="8280"/>
              </w:tabs>
              <w:kinsoku/>
              <w:wordWrap/>
              <w:overflowPunct/>
              <w:topLinePunct w:val="0"/>
              <w:autoSpaceDE w:val="0"/>
              <w:autoSpaceDN w:val="0"/>
              <w:bidi w:val="0"/>
              <w:adjustRightInd w:val="0"/>
              <w:spacing w:line="240" w:lineRule="auto"/>
              <w:ind w:firstLine="105" w:firstLineChars="50"/>
              <w:jc w:val="center"/>
              <w:textAlignment w:val="auto"/>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项目名称</w:t>
            </w:r>
          </w:p>
        </w:tc>
        <w:tc>
          <w:tcPr>
            <w:tcW w:w="729" w:type="pct"/>
            <w:vAlign w:val="center"/>
          </w:tcPr>
          <w:p w14:paraId="04D20A47">
            <w:pPr>
              <w:keepNext w:val="0"/>
              <w:keepLines w:val="0"/>
              <w:pageBreakBefore w:val="0"/>
              <w:tabs>
                <w:tab w:val="left" w:pos="8280"/>
              </w:tabs>
              <w:kinsoku/>
              <w:wordWrap/>
              <w:overflowPunct/>
              <w:topLinePunct w:val="0"/>
              <w:autoSpaceDE w:val="0"/>
              <w:autoSpaceDN w:val="0"/>
              <w:bidi w:val="0"/>
              <w:adjustRightInd w:val="0"/>
              <w:spacing w:line="240" w:lineRule="auto"/>
              <w:ind w:firstLine="105" w:firstLineChars="50"/>
              <w:jc w:val="center"/>
              <w:textAlignment w:val="auto"/>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采购内容</w:t>
            </w:r>
          </w:p>
        </w:tc>
        <w:tc>
          <w:tcPr>
            <w:tcW w:w="338" w:type="pct"/>
            <w:vAlign w:val="center"/>
          </w:tcPr>
          <w:p w14:paraId="636A4B37">
            <w:pPr>
              <w:keepNext w:val="0"/>
              <w:keepLines w:val="0"/>
              <w:pageBreakBefore w:val="0"/>
              <w:tabs>
                <w:tab w:val="left" w:pos="8280"/>
              </w:tabs>
              <w:kinsoku/>
              <w:wordWrap/>
              <w:overflowPunct/>
              <w:topLinePunct w:val="0"/>
              <w:autoSpaceDE w:val="0"/>
              <w:autoSpaceDN w:val="0"/>
              <w:bidi w:val="0"/>
              <w:adjustRightInd w:val="0"/>
              <w:spacing w:line="240" w:lineRule="auto"/>
              <w:jc w:val="center"/>
              <w:textAlignment w:val="auto"/>
              <w:rPr>
                <w:rFonts w:ascii="宋体" w:hAnsi="宋体" w:cs="宋体"/>
                <w:b/>
                <w:color w:val="auto"/>
                <w:szCs w:val="21"/>
                <w:highlight w:val="none"/>
              </w:rPr>
            </w:pPr>
            <w:r>
              <w:rPr>
                <w:rFonts w:hint="eastAsia" w:ascii="宋体" w:hAnsi="宋体" w:cs="宋体"/>
                <w:b/>
                <w:color w:val="auto"/>
                <w:kern w:val="0"/>
                <w:szCs w:val="21"/>
                <w:highlight w:val="none"/>
              </w:rPr>
              <w:t>数量</w:t>
            </w:r>
          </w:p>
        </w:tc>
        <w:tc>
          <w:tcPr>
            <w:tcW w:w="435" w:type="pct"/>
            <w:vAlign w:val="center"/>
          </w:tcPr>
          <w:p w14:paraId="38CAAE77">
            <w:pPr>
              <w:keepNext w:val="0"/>
              <w:keepLines w:val="0"/>
              <w:pageBreakBefore w:val="0"/>
              <w:tabs>
                <w:tab w:val="left" w:pos="8280"/>
              </w:tabs>
              <w:kinsoku/>
              <w:wordWrap/>
              <w:overflowPunct/>
              <w:topLinePunct w:val="0"/>
              <w:autoSpaceDE w:val="0"/>
              <w:autoSpaceDN w:val="0"/>
              <w:bidi w:val="0"/>
              <w:adjustRightInd w:val="0"/>
              <w:spacing w:line="240" w:lineRule="auto"/>
              <w:jc w:val="center"/>
              <w:textAlignment w:val="auto"/>
              <w:rPr>
                <w:rFonts w:ascii="宋体" w:hAnsi="宋体" w:cs="宋体"/>
                <w:b/>
                <w:color w:val="auto"/>
                <w:szCs w:val="21"/>
                <w:highlight w:val="none"/>
              </w:rPr>
            </w:pPr>
            <w:r>
              <w:rPr>
                <w:rFonts w:hint="eastAsia" w:ascii="宋体" w:hAnsi="宋体" w:cs="宋体"/>
                <w:b/>
                <w:color w:val="auto"/>
                <w:szCs w:val="21"/>
                <w:highlight w:val="none"/>
              </w:rPr>
              <w:t>单位</w:t>
            </w:r>
          </w:p>
        </w:tc>
        <w:tc>
          <w:tcPr>
            <w:tcW w:w="588" w:type="pct"/>
            <w:vAlign w:val="center"/>
          </w:tcPr>
          <w:p w14:paraId="6704681A">
            <w:pPr>
              <w:keepNext w:val="0"/>
              <w:keepLines w:val="0"/>
              <w:pageBreakBefore w:val="0"/>
              <w:tabs>
                <w:tab w:val="left" w:pos="8280"/>
              </w:tabs>
              <w:kinsoku/>
              <w:wordWrap/>
              <w:overflowPunct/>
              <w:topLinePunct w:val="0"/>
              <w:autoSpaceDE w:val="0"/>
              <w:autoSpaceDN w:val="0"/>
              <w:bidi w:val="0"/>
              <w:adjustRightInd w:val="0"/>
              <w:spacing w:line="240" w:lineRule="auto"/>
              <w:jc w:val="center"/>
              <w:textAlignment w:val="auto"/>
              <w:rPr>
                <w:rFonts w:ascii="宋体" w:hAnsi="宋体" w:cs="宋体"/>
                <w:b/>
                <w:color w:val="auto"/>
                <w:szCs w:val="21"/>
                <w:highlight w:val="none"/>
              </w:rPr>
            </w:pPr>
            <w:r>
              <w:rPr>
                <w:rFonts w:hint="eastAsia" w:ascii="宋体" w:hAnsi="宋体" w:cs="宋体"/>
                <w:b/>
                <w:color w:val="auto"/>
                <w:szCs w:val="21"/>
                <w:highlight w:val="none"/>
              </w:rPr>
              <w:t>预算</w:t>
            </w:r>
          </w:p>
          <w:p w14:paraId="233018EB">
            <w:pPr>
              <w:keepNext w:val="0"/>
              <w:keepLines w:val="0"/>
              <w:pageBreakBefore w:val="0"/>
              <w:tabs>
                <w:tab w:val="left" w:pos="8280"/>
              </w:tabs>
              <w:kinsoku/>
              <w:wordWrap/>
              <w:overflowPunct/>
              <w:topLinePunct w:val="0"/>
              <w:autoSpaceDE w:val="0"/>
              <w:autoSpaceDN w:val="0"/>
              <w:bidi w:val="0"/>
              <w:adjustRightInd w:val="0"/>
              <w:spacing w:line="240" w:lineRule="auto"/>
              <w:jc w:val="center"/>
              <w:textAlignment w:val="auto"/>
              <w:rPr>
                <w:rFonts w:ascii="宋体" w:hAnsi="宋体" w:cs="宋体"/>
                <w:b/>
                <w:color w:val="auto"/>
                <w:szCs w:val="21"/>
                <w:highlight w:val="none"/>
              </w:rPr>
            </w:pPr>
            <w:r>
              <w:rPr>
                <w:rFonts w:hint="eastAsia" w:ascii="宋体" w:hAnsi="宋体" w:cs="宋体"/>
                <w:b/>
                <w:color w:val="auto"/>
                <w:szCs w:val="21"/>
                <w:highlight w:val="none"/>
              </w:rPr>
              <w:t>（万元）</w:t>
            </w:r>
          </w:p>
        </w:tc>
        <w:tc>
          <w:tcPr>
            <w:tcW w:w="770" w:type="pct"/>
            <w:vAlign w:val="center"/>
          </w:tcPr>
          <w:p w14:paraId="095F55B8">
            <w:pPr>
              <w:keepNext w:val="0"/>
              <w:keepLines w:val="0"/>
              <w:pageBreakBefore w:val="0"/>
              <w:kinsoku/>
              <w:wordWrap/>
              <w:overflowPunct/>
              <w:topLinePunct w:val="0"/>
              <w:bidi w:val="0"/>
              <w:spacing w:line="240" w:lineRule="auto"/>
              <w:jc w:val="center"/>
              <w:textAlignment w:val="auto"/>
              <w:rPr>
                <w:rFonts w:ascii="宋体" w:hAnsi="宋体" w:cs="宋体"/>
                <w:b/>
                <w:color w:val="auto"/>
                <w:szCs w:val="21"/>
                <w:highlight w:val="none"/>
              </w:rPr>
            </w:pPr>
            <w:r>
              <w:rPr>
                <w:rFonts w:hint="eastAsia" w:ascii="宋体" w:hAnsi="宋体" w:cs="宋体"/>
                <w:b/>
                <w:color w:val="auto"/>
                <w:szCs w:val="21"/>
                <w:highlight w:val="none"/>
              </w:rPr>
              <w:t>最高限价</w:t>
            </w:r>
          </w:p>
          <w:p w14:paraId="15825134">
            <w:pPr>
              <w:keepNext w:val="0"/>
              <w:keepLines w:val="0"/>
              <w:pageBreakBefore w:val="0"/>
              <w:kinsoku/>
              <w:wordWrap/>
              <w:overflowPunct/>
              <w:topLinePunct w:val="0"/>
              <w:bidi w:val="0"/>
              <w:spacing w:line="240" w:lineRule="auto"/>
              <w:jc w:val="center"/>
              <w:textAlignment w:val="auto"/>
              <w:rPr>
                <w:rFonts w:ascii="宋体" w:hAnsi="宋体" w:cs="宋体"/>
                <w:b/>
                <w:color w:val="auto"/>
                <w:szCs w:val="21"/>
                <w:highlight w:val="none"/>
              </w:rPr>
            </w:pPr>
            <w:r>
              <w:rPr>
                <w:rFonts w:hint="eastAsia" w:ascii="宋体" w:hAnsi="宋体" w:cs="宋体"/>
                <w:b/>
                <w:color w:val="auto"/>
                <w:szCs w:val="21"/>
                <w:highlight w:val="none"/>
              </w:rPr>
              <w:t>（万元）</w:t>
            </w:r>
          </w:p>
        </w:tc>
      </w:tr>
      <w:tr w14:paraId="2ED0B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82" w:type="pct"/>
            <w:vAlign w:val="center"/>
          </w:tcPr>
          <w:p w14:paraId="46A6FA6B">
            <w:pPr>
              <w:keepNext w:val="0"/>
              <w:keepLines w:val="0"/>
              <w:pageBreakBefore w:val="0"/>
              <w:tabs>
                <w:tab w:val="left" w:pos="8280"/>
              </w:tabs>
              <w:kinsoku/>
              <w:wordWrap/>
              <w:overflowPunct/>
              <w:topLinePunct w:val="0"/>
              <w:autoSpaceDE w:val="0"/>
              <w:autoSpaceDN w:val="0"/>
              <w:bidi w:val="0"/>
              <w:adjustRightInd w:val="0"/>
              <w:spacing w:line="240" w:lineRule="auto"/>
              <w:jc w:val="center"/>
              <w:textAlignment w:val="auto"/>
              <w:rPr>
                <w:rFonts w:ascii="宋体" w:hAnsi="宋体" w:cs="宋体"/>
                <w:b/>
                <w:color w:val="auto"/>
                <w:szCs w:val="21"/>
                <w:highlight w:val="none"/>
              </w:rPr>
            </w:pPr>
            <w:r>
              <w:rPr>
                <w:rFonts w:hint="eastAsia" w:ascii="宋体" w:hAnsi="宋体" w:cs="宋体"/>
                <w:b/>
                <w:color w:val="auto"/>
                <w:szCs w:val="21"/>
                <w:highlight w:val="none"/>
              </w:rPr>
              <w:t>1</w:t>
            </w:r>
          </w:p>
        </w:tc>
        <w:tc>
          <w:tcPr>
            <w:tcW w:w="1855" w:type="pct"/>
            <w:vAlign w:val="center"/>
          </w:tcPr>
          <w:p w14:paraId="776BC6E8">
            <w:pPr>
              <w:keepNext w:val="0"/>
              <w:keepLines w:val="0"/>
              <w:pageBreakBefore w:val="0"/>
              <w:tabs>
                <w:tab w:val="left" w:pos="8280"/>
              </w:tabs>
              <w:kinsoku/>
              <w:wordWrap/>
              <w:overflowPunct/>
              <w:topLinePunct w:val="0"/>
              <w:autoSpaceDE w:val="0"/>
              <w:autoSpaceDN w:val="0"/>
              <w:bidi w:val="0"/>
              <w:adjustRightInd w:val="0"/>
              <w:spacing w:line="240" w:lineRule="auto"/>
              <w:jc w:val="both"/>
              <w:textAlignment w:val="auto"/>
              <w:rPr>
                <w:rFonts w:hint="eastAsia" w:ascii="宋体" w:hAnsi="宋体" w:eastAsia="宋体" w:cs="宋体"/>
                <w:b/>
                <w:bCs/>
                <w:color w:val="auto"/>
                <w:sz w:val="20"/>
                <w:szCs w:val="20"/>
                <w:highlight w:val="none"/>
                <w:lang w:eastAsia="zh-CN"/>
              </w:rPr>
            </w:pPr>
            <w:r>
              <w:rPr>
                <w:rFonts w:hint="eastAsia" w:ascii="宋体" w:hAnsi="宋体" w:cs="宋体"/>
                <w:b/>
                <w:bCs/>
                <w:color w:val="auto"/>
                <w:sz w:val="22"/>
                <w:szCs w:val="22"/>
                <w:highlight w:val="none"/>
                <w:lang w:eastAsia="zh-CN"/>
              </w:rPr>
              <w:t>台州市低效用地再开发试点项目（标项一）</w:t>
            </w:r>
          </w:p>
        </w:tc>
        <w:tc>
          <w:tcPr>
            <w:tcW w:w="729" w:type="pct"/>
            <w:vAlign w:val="center"/>
          </w:tcPr>
          <w:p w14:paraId="524370B6">
            <w:pPr>
              <w:keepNext w:val="0"/>
              <w:keepLines w:val="0"/>
              <w:pageBreakBefore w:val="0"/>
              <w:tabs>
                <w:tab w:val="left" w:pos="8280"/>
              </w:tabs>
              <w:kinsoku/>
              <w:wordWrap/>
              <w:overflowPunct/>
              <w:topLinePunct w:val="0"/>
              <w:autoSpaceDE w:val="0"/>
              <w:autoSpaceDN w:val="0"/>
              <w:bidi w:val="0"/>
              <w:adjustRightInd w:val="0"/>
              <w:spacing w:line="240" w:lineRule="auto"/>
              <w:jc w:val="center"/>
              <w:textAlignment w:val="auto"/>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详见招标需求</w:t>
            </w:r>
          </w:p>
        </w:tc>
        <w:tc>
          <w:tcPr>
            <w:tcW w:w="338" w:type="pct"/>
            <w:vAlign w:val="center"/>
          </w:tcPr>
          <w:p w14:paraId="0CFEA2B3">
            <w:pPr>
              <w:keepNext w:val="0"/>
              <w:keepLines w:val="0"/>
              <w:pageBreakBefore w:val="0"/>
              <w:tabs>
                <w:tab w:val="left" w:pos="8280"/>
              </w:tabs>
              <w:kinsoku/>
              <w:wordWrap/>
              <w:overflowPunct/>
              <w:topLinePunct w:val="0"/>
              <w:autoSpaceDE w:val="0"/>
              <w:autoSpaceDN w:val="0"/>
              <w:bidi w:val="0"/>
              <w:adjustRightInd w:val="0"/>
              <w:spacing w:line="240" w:lineRule="auto"/>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1</w:t>
            </w:r>
          </w:p>
        </w:tc>
        <w:tc>
          <w:tcPr>
            <w:tcW w:w="435" w:type="pct"/>
            <w:vAlign w:val="center"/>
          </w:tcPr>
          <w:p w14:paraId="0521A2BF">
            <w:pPr>
              <w:keepNext w:val="0"/>
              <w:keepLines w:val="0"/>
              <w:pageBreakBefore w:val="0"/>
              <w:tabs>
                <w:tab w:val="left" w:pos="8280"/>
              </w:tabs>
              <w:kinsoku/>
              <w:wordWrap/>
              <w:overflowPunct/>
              <w:topLinePunct w:val="0"/>
              <w:autoSpaceDE w:val="0"/>
              <w:autoSpaceDN w:val="0"/>
              <w:bidi w:val="0"/>
              <w:adjustRightInd w:val="0"/>
              <w:spacing w:line="240" w:lineRule="auto"/>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项</w:t>
            </w:r>
          </w:p>
        </w:tc>
        <w:tc>
          <w:tcPr>
            <w:tcW w:w="588" w:type="pct"/>
            <w:vAlign w:val="center"/>
          </w:tcPr>
          <w:p w14:paraId="5E3DD565">
            <w:pPr>
              <w:keepNext w:val="0"/>
              <w:keepLines w:val="0"/>
              <w:pageBreakBefore w:val="0"/>
              <w:tabs>
                <w:tab w:val="left" w:pos="8280"/>
              </w:tabs>
              <w:kinsoku/>
              <w:wordWrap/>
              <w:overflowPunct/>
              <w:topLinePunct w:val="0"/>
              <w:autoSpaceDE w:val="0"/>
              <w:autoSpaceDN w:val="0"/>
              <w:bidi w:val="0"/>
              <w:adjustRightInd w:val="0"/>
              <w:spacing w:line="240" w:lineRule="auto"/>
              <w:jc w:val="center"/>
              <w:textAlignment w:val="auto"/>
              <w:rPr>
                <w:rFonts w:hint="default"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300</w:t>
            </w:r>
          </w:p>
        </w:tc>
        <w:tc>
          <w:tcPr>
            <w:tcW w:w="770" w:type="pct"/>
            <w:vAlign w:val="center"/>
          </w:tcPr>
          <w:p w14:paraId="25506AEC">
            <w:pPr>
              <w:keepNext w:val="0"/>
              <w:keepLines w:val="0"/>
              <w:pageBreakBefore w:val="0"/>
              <w:tabs>
                <w:tab w:val="left" w:pos="8280"/>
              </w:tabs>
              <w:kinsoku/>
              <w:wordWrap/>
              <w:overflowPunct/>
              <w:topLinePunct w:val="0"/>
              <w:autoSpaceDE w:val="0"/>
              <w:autoSpaceDN w:val="0"/>
              <w:bidi w:val="0"/>
              <w:adjustRightInd w:val="0"/>
              <w:spacing w:line="240" w:lineRule="auto"/>
              <w:jc w:val="center"/>
              <w:textAlignment w:val="auto"/>
              <w:rPr>
                <w:rFonts w:hint="default"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300</w:t>
            </w:r>
          </w:p>
        </w:tc>
      </w:tr>
      <w:tr w14:paraId="7A102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82" w:type="pct"/>
            <w:vAlign w:val="center"/>
          </w:tcPr>
          <w:p w14:paraId="31D6385E">
            <w:pPr>
              <w:keepNext w:val="0"/>
              <w:keepLines w:val="0"/>
              <w:pageBreakBefore w:val="0"/>
              <w:tabs>
                <w:tab w:val="left" w:pos="8280"/>
              </w:tabs>
              <w:kinsoku/>
              <w:wordWrap/>
              <w:overflowPunct/>
              <w:topLinePunct w:val="0"/>
              <w:autoSpaceDE w:val="0"/>
              <w:autoSpaceDN w:val="0"/>
              <w:bidi w:val="0"/>
              <w:adjustRightInd w:val="0"/>
              <w:spacing w:line="240" w:lineRule="auto"/>
              <w:jc w:val="center"/>
              <w:textAlignment w:val="auto"/>
              <w:rPr>
                <w:rFonts w:hint="eastAsia" w:ascii="宋体" w:hAnsi="宋体" w:eastAsia="宋体" w:cs="宋体"/>
                <w:b/>
                <w:color w:val="auto"/>
                <w:szCs w:val="21"/>
                <w:highlight w:val="none"/>
                <w:lang w:eastAsia="zh-CN"/>
              </w:rPr>
            </w:pPr>
            <w:bookmarkStart w:id="11" w:name="_Toc35393791"/>
            <w:bookmarkStart w:id="12" w:name="_Toc28359003"/>
            <w:bookmarkStart w:id="13" w:name="_Toc28359080"/>
            <w:bookmarkStart w:id="14" w:name="_Toc35393622"/>
            <w:r>
              <w:rPr>
                <w:rFonts w:hint="eastAsia" w:ascii="宋体" w:hAnsi="宋体" w:cs="宋体"/>
                <w:b/>
                <w:color w:val="auto"/>
                <w:szCs w:val="21"/>
                <w:highlight w:val="none"/>
                <w:lang w:val="en-US" w:eastAsia="zh-CN"/>
              </w:rPr>
              <w:t>2</w:t>
            </w:r>
          </w:p>
        </w:tc>
        <w:tc>
          <w:tcPr>
            <w:tcW w:w="1855" w:type="pct"/>
            <w:vAlign w:val="center"/>
          </w:tcPr>
          <w:p w14:paraId="7B44DCB3">
            <w:pPr>
              <w:keepNext w:val="0"/>
              <w:keepLines w:val="0"/>
              <w:pageBreakBefore w:val="0"/>
              <w:tabs>
                <w:tab w:val="left" w:pos="8280"/>
              </w:tabs>
              <w:kinsoku/>
              <w:wordWrap/>
              <w:overflowPunct/>
              <w:topLinePunct w:val="0"/>
              <w:autoSpaceDE w:val="0"/>
              <w:autoSpaceDN w:val="0"/>
              <w:bidi w:val="0"/>
              <w:adjustRightInd w:val="0"/>
              <w:spacing w:line="240" w:lineRule="auto"/>
              <w:jc w:val="both"/>
              <w:textAlignment w:val="auto"/>
              <w:rPr>
                <w:rFonts w:hint="eastAsia" w:ascii="宋体" w:hAnsi="宋体" w:eastAsia="宋体" w:cs="宋体"/>
                <w:b/>
                <w:bCs/>
                <w:color w:val="auto"/>
                <w:sz w:val="20"/>
                <w:szCs w:val="20"/>
                <w:highlight w:val="none"/>
                <w:lang w:eastAsia="zh-CN"/>
              </w:rPr>
            </w:pPr>
            <w:r>
              <w:rPr>
                <w:rFonts w:hint="eastAsia" w:ascii="宋体" w:hAnsi="宋体" w:cs="宋体"/>
                <w:b/>
                <w:bCs/>
                <w:color w:val="auto"/>
                <w:sz w:val="22"/>
                <w:szCs w:val="22"/>
                <w:highlight w:val="none"/>
                <w:lang w:eastAsia="zh-CN"/>
              </w:rPr>
              <w:t>台州市低效用地再开发试点项目（标项二）</w:t>
            </w:r>
          </w:p>
        </w:tc>
        <w:tc>
          <w:tcPr>
            <w:tcW w:w="729" w:type="pct"/>
            <w:vAlign w:val="center"/>
          </w:tcPr>
          <w:p w14:paraId="7F7E51E5">
            <w:pPr>
              <w:keepNext w:val="0"/>
              <w:keepLines w:val="0"/>
              <w:pageBreakBefore w:val="0"/>
              <w:tabs>
                <w:tab w:val="left" w:pos="8280"/>
              </w:tabs>
              <w:kinsoku/>
              <w:wordWrap/>
              <w:overflowPunct/>
              <w:topLinePunct w:val="0"/>
              <w:autoSpaceDE w:val="0"/>
              <w:autoSpaceDN w:val="0"/>
              <w:bidi w:val="0"/>
              <w:adjustRightInd w:val="0"/>
              <w:spacing w:line="240" w:lineRule="auto"/>
              <w:jc w:val="center"/>
              <w:textAlignment w:val="auto"/>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lang w:val="en-US" w:eastAsia="zh-CN"/>
              </w:rPr>
              <w:t>详见招标需求</w:t>
            </w:r>
          </w:p>
        </w:tc>
        <w:tc>
          <w:tcPr>
            <w:tcW w:w="338" w:type="pct"/>
            <w:vAlign w:val="center"/>
          </w:tcPr>
          <w:p w14:paraId="6FA96DD0">
            <w:pPr>
              <w:keepNext w:val="0"/>
              <w:keepLines w:val="0"/>
              <w:pageBreakBefore w:val="0"/>
              <w:tabs>
                <w:tab w:val="left" w:pos="8280"/>
              </w:tabs>
              <w:kinsoku/>
              <w:wordWrap/>
              <w:overflowPunct/>
              <w:topLinePunct w:val="0"/>
              <w:autoSpaceDE w:val="0"/>
              <w:autoSpaceDN w:val="0"/>
              <w:bidi w:val="0"/>
              <w:adjustRightInd w:val="0"/>
              <w:spacing w:line="240" w:lineRule="auto"/>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435" w:type="pct"/>
            <w:vAlign w:val="center"/>
          </w:tcPr>
          <w:p w14:paraId="7DAE4FED">
            <w:pPr>
              <w:keepNext w:val="0"/>
              <w:keepLines w:val="0"/>
              <w:pageBreakBefore w:val="0"/>
              <w:tabs>
                <w:tab w:val="left" w:pos="8280"/>
              </w:tabs>
              <w:kinsoku/>
              <w:wordWrap/>
              <w:overflowPunct/>
              <w:topLinePunct w:val="0"/>
              <w:autoSpaceDE w:val="0"/>
              <w:autoSpaceDN w:val="0"/>
              <w:bidi w:val="0"/>
              <w:adjustRightInd w:val="0"/>
              <w:spacing w:line="240" w:lineRule="auto"/>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项</w:t>
            </w:r>
          </w:p>
        </w:tc>
        <w:tc>
          <w:tcPr>
            <w:tcW w:w="588" w:type="pct"/>
            <w:vAlign w:val="center"/>
          </w:tcPr>
          <w:p w14:paraId="44FC46B3">
            <w:pPr>
              <w:keepNext w:val="0"/>
              <w:keepLines w:val="0"/>
              <w:pageBreakBefore w:val="0"/>
              <w:tabs>
                <w:tab w:val="left" w:pos="8280"/>
              </w:tabs>
              <w:kinsoku/>
              <w:wordWrap/>
              <w:overflowPunct/>
              <w:topLinePunct w:val="0"/>
              <w:autoSpaceDE w:val="0"/>
              <w:autoSpaceDN w:val="0"/>
              <w:bidi w:val="0"/>
              <w:adjustRightInd w:val="0"/>
              <w:spacing w:line="240" w:lineRule="auto"/>
              <w:jc w:val="center"/>
              <w:textAlignment w:val="auto"/>
              <w:rPr>
                <w:rFonts w:hint="default"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150</w:t>
            </w:r>
          </w:p>
        </w:tc>
        <w:tc>
          <w:tcPr>
            <w:tcW w:w="770" w:type="pct"/>
            <w:vAlign w:val="center"/>
          </w:tcPr>
          <w:p w14:paraId="3A75CF8E">
            <w:pPr>
              <w:keepNext w:val="0"/>
              <w:keepLines w:val="0"/>
              <w:pageBreakBefore w:val="0"/>
              <w:tabs>
                <w:tab w:val="left" w:pos="8280"/>
              </w:tabs>
              <w:kinsoku/>
              <w:wordWrap/>
              <w:overflowPunct/>
              <w:topLinePunct w:val="0"/>
              <w:autoSpaceDE w:val="0"/>
              <w:autoSpaceDN w:val="0"/>
              <w:bidi w:val="0"/>
              <w:adjustRightInd w:val="0"/>
              <w:spacing w:line="240" w:lineRule="auto"/>
              <w:jc w:val="center"/>
              <w:textAlignment w:val="auto"/>
              <w:rPr>
                <w:rFonts w:hint="default"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150</w:t>
            </w:r>
          </w:p>
        </w:tc>
      </w:tr>
      <w:tr w14:paraId="31BF9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000" w:type="pct"/>
            <w:gridSpan w:val="7"/>
            <w:vAlign w:val="center"/>
          </w:tcPr>
          <w:p w14:paraId="0B0A268F">
            <w:pPr>
              <w:keepNext w:val="0"/>
              <w:keepLines w:val="0"/>
              <w:pageBreakBefore w:val="0"/>
              <w:tabs>
                <w:tab w:val="left" w:pos="8280"/>
              </w:tabs>
              <w:kinsoku/>
              <w:wordWrap/>
              <w:overflowPunct/>
              <w:topLinePunct w:val="0"/>
              <w:autoSpaceDE w:val="0"/>
              <w:autoSpaceDN w:val="0"/>
              <w:bidi w:val="0"/>
              <w:adjustRightInd w:val="0"/>
              <w:spacing w:line="240" w:lineRule="auto"/>
              <w:jc w:val="both"/>
              <w:textAlignment w:val="auto"/>
              <w:rPr>
                <w:rFonts w:hint="default"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本项目兼投兼中</w:t>
            </w:r>
          </w:p>
        </w:tc>
      </w:tr>
    </w:tbl>
    <w:p w14:paraId="29D74DAE">
      <w:pPr>
        <w:pStyle w:val="5"/>
        <w:keepNext w:val="0"/>
        <w:keepLines w:val="0"/>
        <w:pageBreakBefore w:val="0"/>
        <w:tabs>
          <w:tab w:val="left" w:pos="9660"/>
          <w:tab w:val="clear" w:pos="8280"/>
        </w:tabs>
        <w:kinsoku/>
        <w:wordWrap/>
        <w:overflowPunct/>
        <w:topLinePunct w:val="0"/>
        <w:bidi w:val="0"/>
        <w:spacing w:line="360" w:lineRule="auto"/>
        <w:ind w:right="23" w:firstLine="482" w:firstLineChars="200"/>
        <w:jc w:val="left"/>
        <w:textAlignment w:val="auto"/>
        <w:rPr>
          <w:rFonts w:hint="eastAsia" w:eastAsia="宋体" w:cs="宋体"/>
          <w:bCs/>
          <w:color w:val="auto"/>
          <w:sz w:val="24"/>
          <w:szCs w:val="24"/>
          <w:highlight w:val="none"/>
          <w:lang w:eastAsia="zh-CN"/>
        </w:rPr>
      </w:pPr>
      <w:r>
        <w:rPr>
          <w:rFonts w:hint="eastAsia" w:cs="宋体"/>
          <w:bCs/>
          <w:color w:val="auto"/>
          <w:sz w:val="24"/>
          <w:szCs w:val="24"/>
          <w:highlight w:val="none"/>
        </w:rPr>
        <w:t>二、</w:t>
      </w:r>
      <w:r>
        <w:rPr>
          <w:rFonts w:hint="eastAsia" w:asciiTheme="minorEastAsia" w:hAnsiTheme="minorEastAsia" w:eastAsiaTheme="minorEastAsia"/>
          <w:color w:val="auto"/>
          <w:sz w:val="24"/>
          <w:highlight w:val="none"/>
          <w:lang w:eastAsia="zh-CN"/>
        </w:rPr>
        <w:t>供应商</w:t>
      </w:r>
      <w:r>
        <w:rPr>
          <w:rFonts w:hint="eastAsia" w:cs="宋体"/>
          <w:bCs/>
          <w:color w:val="auto"/>
          <w:sz w:val="24"/>
          <w:szCs w:val="24"/>
          <w:highlight w:val="none"/>
        </w:rPr>
        <w:t>的资格要求</w:t>
      </w:r>
      <w:bookmarkEnd w:id="11"/>
      <w:bookmarkEnd w:id="12"/>
      <w:bookmarkEnd w:id="13"/>
      <w:bookmarkEnd w:id="14"/>
      <w:r>
        <w:rPr>
          <w:rFonts w:hint="eastAsia" w:cs="宋体"/>
          <w:bCs/>
          <w:color w:val="auto"/>
          <w:sz w:val="24"/>
          <w:szCs w:val="24"/>
          <w:highlight w:val="none"/>
          <w:lang w:eastAsia="zh-CN"/>
        </w:rPr>
        <w:t>（</w:t>
      </w:r>
      <w:r>
        <w:rPr>
          <w:rFonts w:hint="eastAsia" w:cs="宋体"/>
          <w:bCs/>
          <w:color w:val="auto"/>
          <w:sz w:val="24"/>
          <w:szCs w:val="24"/>
          <w:highlight w:val="none"/>
          <w:lang w:val="en-US" w:eastAsia="zh-CN"/>
        </w:rPr>
        <w:t>标项一、标项二</w:t>
      </w:r>
      <w:r>
        <w:rPr>
          <w:rFonts w:hint="eastAsia" w:cs="宋体"/>
          <w:bCs/>
          <w:color w:val="auto"/>
          <w:sz w:val="24"/>
          <w:szCs w:val="24"/>
          <w:highlight w:val="none"/>
          <w:lang w:eastAsia="zh-CN"/>
        </w:rPr>
        <w:t>）</w:t>
      </w:r>
    </w:p>
    <w:p w14:paraId="7393041D">
      <w:pPr>
        <w:keepNext w:val="0"/>
        <w:keepLines w:val="0"/>
        <w:pageBreakBefore w:val="0"/>
        <w:kinsoku/>
        <w:wordWrap/>
        <w:overflowPunct/>
        <w:topLinePunct w:val="0"/>
        <w:bidi w:val="0"/>
        <w:spacing w:line="360" w:lineRule="auto"/>
        <w:ind w:left="12"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（一）满足《中华人民共和国政府采购法》第二十二条规定。</w:t>
      </w:r>
    </w:p>
    <w:p w14:paraId="149BC3C2">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lang w:val="en-US" w:eastAsia="zh-CN"/>
        </w:rPr>
      </w:pPr>
      <w:bookmarkStart w:id="15" w:name="_Toc35393623"/>
      <w:bookmarkStart w:id="16" w:name="_Toc28359081"/>
      <w:bookmarkStart w:id="17" w:name="_Toc35393792"/>
      <w:bookmarkStart w:id="18" w:name="_Toc28359004"/>
      <w:r>
        <w:rPr>
          <w:rFonts w:hint="eastAsia" w:ascii="宋体" w:hAnsi="宋体" w:cs="宋体"/>
          <w:color w:val="auto"/>
          <w:sz w:val="24"/>
          <w:highlight w:val="none"/>
        </w:rPr>
        <w:t>（二）</w:t>
      </w:r>
      <w:r>
        <w:rPr>
          <w:rFonts w:hint="eastAsia" w:ascii="宋体" w:hAnsi="宋体" w:cs="宋体"/>
          <w:color w:val="auto"/>
          <w:sz w:val="24"/>
          <w:highlight w:val="none"/>
          <w:lang w:val="en-US" w:eastAsia="zh-CN"/>
        </w:rPr>
        <w:t>标项一</w:t>
      </w:r>
      <w:r>
        <w:rPr>
          <w:rFonts w:hint="eastAsia" w:ascii="宋体" w:hAnsi="宋体" w:cs="宋体"/>
          <w:color w:val="auto"/>
          <w:sz w:val="24"/>
          <w:highlight w:val="none"/>
        </w:rPr>
        <w:t>特定资格要求：具有城乡规划编制</w:t>
      </w:r>
      <w:r>
        <w:rPr>
          <w:rFonts w:hint="eastAsia" w:ascii="宋体" w:hAnsi="宋体" w:cs="宋体"/>
          <w:color w:val="auto"/>
          <w:sz w:val="24"/>
          <w:highlight w:val="none"/>
          <w:lang w:eastAsia="zh-CN"/>
        </w:rPr>
        <w:t>乙级</w:t>
      </w:r>
      <w:r>
        <w:rPr>
          <w:rFonts w:hint="eastAsia" w:ascii="宋体" w:hAnsi="宋体" w:cs="宋体"/>
          <w:color w:val="auto"/>
          <w:sz w:val="24"/>
          <w:highlight w:val="none"/>
        </w:rPr>
        <w:t>及以上资质</w:t>
      </w:r>
      <w:r>
        <w:rPr>
          <w:rFonts w:hint="eastAsia" w:ascii="宋体" w:hAnsi="宋体" w:cs="宋体"/>
          <w:color w:val="auto"/>
          <w:sz w:val="24"/>
          <w:highlight w:val="none"/>
          <w:lang w:val="en-US" w:eastAsia="zh-CN"/>
        </w:rPr>
        <w:t>或土地规划</w:t>
      </w:r>
      <w:r>
        <w:rPr>
          <w:rFonts w:hint="eastAsia" w:ascii="宋体" w:hAnsi="宋体" w:cs="宋体"/>
          <w:color w:val="auto"/>
          <w:sz w:val="24"/>
          <w:highlight w:val="none"/>
        </w:rPr>
        <w:t>编制</w:t>
      </w:r>
      <w:r>
        <w:rPr>
          <w:rFonts w:hint="eastAsia" w:ascii="宋体" w:hAnsi="宋体" w:cs="宋体"/>
          <w:color w:val="auto"/>
          <w:sz w:val="24"/>
          <w:highlight w:val="none"/>
          <w:lang w:eastAsia="zh-CN"/>
        </w:rPr>
        <w:t>乙级</w:t>
      </w:r>
      <w:r>
        <w:rPr>
          <w:rFonts w:hint="eastAsia" w:ascii="宋体" w:hAnsi="宋体" w:cs="宋体"/>
          <w:color w:val="auto"/>
          <w:sz w:val="24"/>
          <w:highlight w:val="none"/>
        </w:rPr>
        <w:t>及以上资质。</w:t>
      </w:r>
      <w:r>
        <w:rPr>
          <w:rFonts w:hint="eastAsia" w:ascii="宋体" w:hAnsi="宋体" w:cs="宋体"/>
          <w:color w:val="auto"/>
          <w:sz w:val="24"/>
          <w:highlight w:val="none"/>
          <w:lang w:val="en-US" w:eastAsia="zh-CN"/>
        </w:rPr>
        <w:t>标项二特定资格要求：具有测绘乙级及以上资质（专业类别：地理信息系统工程方面）。</w:t>
      </w:r>
    </w:p>
    <w:p w14:paraId="7D579E46">
      <w:pPr>
        <w:keepNext w:val="0"/>
        <w:keepLines w:val="0"/>
        <w:pageBreakBefore w:val="0"/>
        <w:shd w:val="clear"/>
        <w:kinsoku/>
        <w:wordWrap/>
        <w:overflowPunct/>
        <w:topLinePunct w:val="0"/>
        <w:bidi w:val="0"/>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（三）本项目</w:t>
      </w:r>
      <w:r>
        <w:rPr>
          <w:rFonts w:hint="eastAsia" w:ascii="宋体" w:hAnsi="宋体" w:cs="宋体"/>
          <w:b/>
          <w:bCs/>
          <w:color w:val="auto"/>
          <w:sz w:val="24"/>
          <w:highlight w:val="none"/>
        </w:rPr>
        <w:t>接受</w:t>
      </w:r>
      <w:r>
        <w:rPr>
          <w:rFonts w:hint="eastAsia" w:ascii="宋体" w:hAnsi="宋体" w:cs="宋体"/>
          <w:color w:val="auto"/>
          <w:sz w:val="24"/>
          <w:highlight w:val="none"/>
        </w:rPr>
        <w:t>联合体投标。</w:t>
      </w:r>
    </w:p>
    <w:p w14:paraId="0312BBE9">
      <w:pPr>
        <w:keepNext w:val="0"/>
        <w:keepLines w:val="0"/>
        <w:pageBreakBefore w:val="0"/>
        <w:shd w:val="clear"/>
        <w:kinsoku/>
        <w:wordWrap/>
        <w:overflowPunct/>
        <w:topLinePunct w:val="0"/>
        <w:bidi w:val="0"/>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标项一以</w:t>
      </w:r>
      <w:r>
        <w:rPr>
          <w:rFonts w:hint="eastAsia" w:ascii="宋体" w:hAnsi="宋体" w:cs="宋体"/>
          <w:color w:val="auto"/>
          <w:sz w:val="24"/>
          <w:highlight w:val="none"/>
        </w:rPr>
        <w:t>联合体投标的，应满足下列要求：联合体的</w:t>
      </w:r>
      <w:r>
        <w:rPr>
          <w:rFonts w:hint="eastAsia" w:ascii="宋体" w:hAnsi="宋体" w:cs="宋体"/>
          <w:color w:val="auto"/>
          <w:sz w:val="24"/>
          <w:highlight w:val="none"/>
          <w:lang w:val="en-US" w:eastAsia="zh-CN"/>
        </w:rPr>
        <w:t>牵头单位</w:t>
      </w:r>
      <w:r>
        <w:rPr>
          <w:rFonts w:hint="eastAsia" w:ascii="宋体" w:hAnsi="宋体" w:cs="宋体"/>
          <w:color w:val="auto"/>
          <w:sz w:val="24"/>
          <w:highlight w:val="none"/>
        </w:rPr>
        <w:t>和成员单位均应当具备招标文件规定的供应商资格要求</w:t>
      </w:r>
      <w:r>
        <w:rPr>
          <w:rFonts w:hint="eastAsia" w:ascii="宋体" w:hAnsi="宋体" w:cs="宋体"/>
          <w:color w:val="auto"/>
          <w:sz w:val="24"/>
          <w:highlight w:val="none"/>
          <w:lang w:val="en-US" w:eastAsia="zh-CN"/>
        </w:rPr>
        <w:t>。由同一专业的单位组成的联合体，按照资质等级较低的单位确定资质等级。</w:t>
      </w:r>
      <w:r>
        <w:rPr>
          <w:rFonts w:hint="eastAsia" w:ascii="宋体" w:hAnsi="宋体" w:cs="宋体"/>
          <w:color w:val="auto"/>
          <w:sz w:val="24"/>
          <w:highlight w:val="none"/>
        </w:rPr>
        <w:t>联合体所有成员（含联合体牵头人）数量不得超过2家。联合体各方应按采购文件要求签订联合体协议书，明确联合体牵头人和各方权利义务，并承诺就中标项目向采购单位承担连带责任；联合体各方不得再以自己名义单独在同一项目中投标，也不得组成新的联合体参加同一项目投标。</w:t>
      </w:r>
    </w:p>
    <w:p w14:paraId="4455970D">
      <w:pPr>
        <w:keepNext w:val="0"/>
        <w:keepLines w:val="0"/>
        <w:pageBreakBefore w:val="0"/>
        <w:shd w:val="clear"/>
        <w:kinsoku/>
        <w:wordWrap/>
        <w:overflowPunct/>
        <w:topLinePunct w:val="0"/>
        <w:bidi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标项二以</w:t>
      </w:r>
      <w:r>
        <w:rPr>
          <w:rFonts w:hint="eastAsia" w:ascii="宋体" w:hAnsi="宋体" w:cs="宋体"/>
          <w:color w:val="auto"/>
          <w:sz w:val="24"/>
          <w:highlight w:val="none"/>
        </w:rPr>
        <w:t>联合体投标的，应满足下列要求：联合体的</w:t>
      </w:r>
      <w:r>
        <w:rPr>
          <w:rFonts w:hint="eastAsia" w:ascii="宋体" w:hAnsi="宋体" w:cs="宋体"/>
          <w:color w:val="auto"/>
          <w:sz w:val="24"/>
          <w:highlight w:val="none"/>
          <w:lang w:val="en-US" w:eastAsia="zh-CN"/>
        </w:rPr>
        <w:t>牵头单位</w:t>
      </w:r>
      <w:r>
        <w:rPr>
          <w:rFonts w:hint="eastAsia" w:ascii="宋体" w:hAnsi="宋体" w:cs="宋体"/>
          <w:color w:val="auto"/>
          <w:sz w:val="24"/>
          <w:highlight w:val="none"/>
        </w:rPr>
        <w:t>和成员单位均应当具备招标文件规定的供应商资格要求</w:t>
      </w:r>
      <w:r>
        <w:rPr>
          <w:rFonts w:hint="eastAsia" w:ascii="宋体" w:hAnsi="宋体" w:cs="宋体"/>
          <w:color w:val="auto"/>
          <w:sz w:val="24"/>
          <w:highlight w:val="none"/>
          <w:lang w:val="en-US" w:eastAsia="zh-CN"/>
        </w:rPr>
        <w:t>。由同一专业的单位组成的联合体，按照资质等级较低的单位确定资质等级。</w:t>
      </w:r>
      <w:r>
        <w:rPr>
          <w:rFonts w:hint="eastAsia" w:ascii="宋体" w:hAnsi="宋体" w:cs="宋体"/>
          <w:color w:val="auto"/>
          <w:sz w:val="24"/>
          <w:highlight w:val="none"/>
        </w:rPr>
        <w:t>联合体所有成员（含联合体牵头人）数量不得超过2家。联合体各方应按采购文件要求签订联合体协议书，明确联合体牵头人和各方权利义务，并承诺就中标项目向采购单位承担连带责任；联合体各方不得再以自己名义单独在同一项目中投标，也不得组成新的联合体参加同一项目投标。</w:t>
      </w:r>
    </w:p>
    <w:p w14:paraId="6E06EC47">
      <w:pPr>
        <w:keepNext w:val="0"/>
        <w:keepLines w:val="0"/>
        <w:pageBreakBefore w:val="0"/>
        <w:shd w:val="clear"/>
        <w:kinsoku/>
        <w:wordWrap/>
        <w:overflowPunct/>
        <w:topLinePunct w:val="0"/>
        <w:bidi w:val="0"/>
        <w:spacing w:line="360" w:lineRule="auto"/>
        <w:ind w:firstLine="480" w:firstLineChars="200"/>
        <w:jc w:val="left"/>
        <w:textAlignment w:val="auto"/>
        <w:rPr>
          <w:rFonts w:ascii="宋体" w:hAnsi="宋体" w:cs="宋体"/>
          <w:b/>
          <w:bCs/>
          <w:color w:val="auto"/>
          <w:sz w:val="24"/>
          <w:highlight w:val="none"/>
        </w:rPr>
      </w:pPr>
      <w:r>
        <w:rPr>
          <w:rFonts w:hint="eastAsia" w:ascii="宋体" w:hAnsi="宋体" w:cs="宋体"/>
          <w:color w:val="auto"/>
          <w:sz w:val="24"/>
          <w:highlight w:val="none"/>
        </w:rPr>
        <w:t>（四）本项目专门面向中小企业采购项目。（以联合体形式投标时，联合体各方</w:t>
      </w:r>
      <w:r>
        <w:rPr>
          <w:rFonts w:hint="eastAsia" w:ascii="宋体" w:hAnsi="宋体" w:cs="宋体"/>
          <w:color w:val="auto"/>
          <w:sz w:val="24"/>
          <w:highlight w:val="none"/>
          <w:lang w:val="en-US" w:eastAsia="zh-CN"/>
        </w:rPr>
        <w:t>须</w:t>
      </w:r>
      <w:r>
        <w:rPr>
          <w:rFonts w:hint="eastAsia" w:ascii="宋体" w:hAnsi="宋体" w:cs="宋体"/>
          <w:color w:val="auto"/>
          <w:sz w:val="24"/>
          <w:highlight w:val="none"/>
        </w:rPr>
        <w:t>均</w:t>
      </w:r>
      <w:r>
        <w:rPr>
          <w:rFonts w:hint="eastAsia" w:ascii="宋体" w:hAnsi="宋体" w:cs="宋体"/>
          <w:color w:val="auto"/>
          <w:sz w:val="24"/>
          <w:highlight w:val="none"/>
          <w:lang w:val="en-US" w:eastAsia="zh-CN"/>
        </w:rPr>
        <w:t>为中小企业</w:t>
      </w:r>
      <w:r>
        <w:rPr>
          <w:rFonts w:hint="eastAsia" w:ascii="宋体" w:hAnsi="宋体" w:cs="宋体"/>
          <w:color w:val="auto"/>
          <w:sz w:val="24"/>
          <w:highlight w:val="none"/>
        </w:rPr>
        <w:t>）</w:t>
      </w:r>
    </w:p>
    <w:p w14:paraId="7E8A1FAC">
      <w:pPr>
        <w:keepNext w:val="0"/>
        <w:keepLines w:val="0"/>
        <w:pageBreakBefore w:val="0"/>
        <w:kinsoku/>
        <w:wordWrap/>
        <w:overflowPunct/>
        <w:topLinePunct w:val="0"/>
        <w:bidi w:val="0"/>
        <w:spacing w:line="360" w:lineRule="auto"/>
        <w:ind w:firstLine="480" w:firstLineChars="200"/>
        <w:jc w:val="left"/>
        <w:textAlignment w:val="auto"/>
        <w:rPr>
          <w:rFonts w:ascii="宋体" w:hAnsi="宋体" w:cs="宋体"/>
          <w:b/>
          <w:bCs/>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五</w:t>
      </w:r>
      <w:r>
        <w:rPr>
          <w:rFonts w:hint="eastAsia" w:ascii="宋体" w:hAnsi="宋体" w:cs="宋体"/>
          <w:color w:val="auto"/>
          <w:sz w:val="24"/>
          <w:highlight w:val="none"/>
          <w:lang w:eastAsia="zh-CN"/>
        </w:rPr>
        <w:t>）</w:t>
      </w:r>
      <w:r>
        <w:rPr>
          <w:rFonts w:hint="eastAsia" w:ascii="宋体" w:hAnsi="宋体" w:cs="宋体"/>
          <w:color w:val="auto"/>
          <w:sz w:val="24"/>
          <w:highlight w:val="none"/>
        </w:rPr>
        <w:t>信用记录：未被列入“信用中国”失信被执行人或重大税收违法案件当事人名单；未处于“中国政府采购网”</w:t>
      </w:r>
      <w:r>
        <w:rPr>
          <w:color w:val="auto"/>
          <w:highlight w:val="none"/>
        </w:rPr>
        <w:fldChar w:fldCharType="begin"/>
      </w:r>
      <w:r>
        <w:rPr>
          <w:color w:val="auto"/>
          <w:highlight w:val="none"/>
        </w:rPr>
        <w:instrText xml:space="preserve"> HYPERLINK "http://www.ccgp.gov.cn）政府采购严重违法失信行为信息记录中的禁止参加政府采购活动期间。" </w:instrText>
      </w:r>
      <w:r>
        <w:rPr>
          <w:color w:val="auto"/>
          <w:highlight w:val="none"/>
        </w:rPr>
        <w:fldChar w:fldCharType="separate"/>
      </w:r>
      <w:r>
        <w:rPr>
          <w:rFonts w:hint="eastAsia" w:ascii="宋体" w:hAnsi="宋体" w:cs="宋体"/>
          <w:color w:val="auto"/>
          <w:sz w:val="24"/>
          <w:highlight w:val="none"/>
        </w:rPr>
        <w:t>政府采购严重违法失信行为信息记录中的禁止参加政府采购活动期间。</w:t>
      </w:r>
      <w:r>
        <w:rPr>
          <w:rFonts w:hint="eastAsia" w:ascii="宋体" w:hAnsi="宋体" w:cs="宋体"/>
          <w:color w:val="auto"/>
          <w:sz w:val="24"/>
          <w:highlight w:val="none"/>
        </w:rPr>
        <w:fldChar w:fldCharType="end"/>
      </w:r>
    </w:p>
    <w:p w14:paraId="15E32909">
      <w:pPr>
        <w:keepNext w:val="0"/>
        <w:keepLines w:val="0"/>
        <w:pageBreakBefore w:val="0"/>
        <w:kinsoku/>
        <w:wordWrap/>
        <w:overflowPunct/>
        <w:topLinePunct w:val="0"/>
        <w:bidi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六</w:t>
      </w:r>
      <w:r>
        <w:rPr>
          <w:rFonts w:hint="eastAsia" w:ascii="宋体" w:hAnsi="宋体" w:cs="宋体"/>
          <w:color w:val="auto"/>
          <w:sz w:val="24"/>
          <w:highlight w:val="none"/>
        </w:rPr>
        <w:t>）法律、行政法规规定的其他条件：单位负责人为同一人或者存在直接控股、管理关系的不同供应商，不得同时参加同一项目投标；为本项目提供整体设计、规范编制或者项目管理、监理、检测等服务的供应商，不得再参与本项目投标。</w:t>
      </w:r>
    </w:p>
    <w:p w14:paraId="76781A71">
      <w:pPr>
        <w:pStyle w:val="5"/>
        <w:keepNext w:val="0"/>
        <w:keepLines w:val="0"/>
        <w:pageBreakBefore w:val="0"/>
        <w:tabs>
          <w:tab w:val="left" w:pos="9660"/>
          <w:tab w:val="clear" w:pos="8280"/>
        </w:tabs>
        <w:kinsoku/>
        <w:wordWrap/>
        <w:overflowPunct/>
        <w:topLinePunct w:val="0"/>
        <w:bidi w:val="0"/>
        <w:spacing w:line="360" w:lineRule="auto"/>
        <w:ind w:right="23" w:firstLine="480" w:firstLineChars="200"/>
        <w:jc w:val="left"/>
        <w:textAlignment w:val="auto"/>
        <w:rPr>
          <w:rFonts w:hint="eastAsia" w:ascii="宋体" w:hAnsi="宋体" w:cs="宋体"/>
          <w:b w:val="0"/>
          <w:bCs/>
          <w:color w:val="auto"/>
          <w:sz w:val="24"/>
          <w:highlight w:val="none"/>
        </w:rPr>
      </w:pPr>
      <w:r>
        <w:rPr>
          <w:rFonts w:hint="eastAsia" w:ascii="宋体" w:hAnsi="宋体" w:cs="宋体"/>
          <w:b w:val="0"/>
          <w:bCs/>
          <w:color w:val="auto"/>
          <w:sz w:val="24"/>
          <w:highlight w:val="none"/>
        </w:rPr>
        <w:t>（七）公益一类事业单位，既不属于政府购买服务的购买主体，也不属于承接主体，不得参与承接政府购买服务。</w:t>
      </w:r>
    </w:p>
    <w:p w14:paraId="5A0A89B3">
      <w:pPr>
        <w:pStyle w:val="5"/>
        <w:keepNext w:val="0"/>
        <w:keepLines w:val="0"/>
        <w:pageBreakBefore w:val="0"/>
        <w:tabs>
          <w:tab w:val="left" w:pos="9660"/>
          <w:tab w:val="clear" w:pos="8280"/>
        </w:tabs>
        <w:kinsoku/>
        <w:wordWrap/>
        <w:overflowPunct/>
        <w:topLinePunct w:val="0"/>
        <w:bidi w:val="0"/>
        <w:spacing w:line="360" w:lineRule="auto"/>
        <w:ind w:right="23" w:firstLine="482" w:firstLineChars="200"/>
        <w:jc w:val="left"/>
        <w:textAlignment w:val="auto"/>
        <w:rPr>
          <w:rFonts w:cs="宋体"/>
          <w:bCs/>
          <w:color w:val="auto"/>
          <w:sz w:val="24"/>
          <w:szCs w:val="24"/>
          <w:highlight w:val="none"/>
        </w:rPr>
      </w:pPr>
      <w:r>
        <w:rPr>
          <w:rFonts w:hint="eastAsia" w:cs="宋体"/>
          <w:bCs/>
          <w:color w:val="auto"/>
          <w:sz w:val="24"/>
          <w:szCs w:val="24"/>
          <w:highlight w:val="none"/>
        </w:rPr>
        <w:t>三、获取招标文件</w:t>
      </w:r>
      <w:bookmarkEnd w:id="15"/>
      <w:bookmarkEnd w:id="16"/>
      <w:bookmarkEnd w:id="17"/>
      <w:bookmarkEnd w:id="18"/>
    </w:p>
    <w:p w14:paraId="00A4F355">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（一）时间：</w:t>
      </w:r>
      <w:r>
        <w:rPr>
          <w:rFonts w:hint="eastAsia" w:ascii="宋体" w:hAnsi="宋体" w:cs="宋体"/>
          <w:color w:val="auto"/>
          <w:sz w:val="24"/>
          <w:highlight w:val="none"/>
          <w:u w:val="single"/>
        </w:rPr>
        <w:t>发布之日起</w:t>
      </w:r>
      <w:r>
        <w:rPr>
          <w:rFonts w:hint="eastAsia" w:ascii="宋体" w:hAnsi="宋体" w:cs="宋体"/>
          <w:color w:val="auto"/>
          <w:sz w:val="24"/>
          <w:highlight w:val="none"/>
        </w:rPr>
        <w:t>至</w:t>
      </w:r>
      <w:r>
        <w:rPr>
          <w:rFonts w:hint="eastAsia" w:ascii="宋体" w:hAnsi="宋体" w:cs="宋体"/>
          <w:color w:val="auto"/>
          <w:sz w:val="24"/>
          <w:highlight w:val="none"/>
          <w:u w:val="single"/>
        </w:rPr>
        <w:t>投标截止时间</w:t>
      </w:r>
      <w:r>
        <w:rPr>
          <w:rFonts w:hint="eastAsia" w:ascii="宋体" w:hAnsi="宋体" w:cs="宋体"/>
          <w:color w:val="auto"/>
          <w:sz w:val="24"/>
          <w:highlight w:val="none"/>
          <w:u w:val="single"/>
          <w:lang w:eastAsia="zh-CN"/>
        </w:rPr>
        <w:t>。</w:t>
      </w:r>
    </w:p>
    <w:p w14:paraId="7873BF92">
      <w:pPr>
        <w:keepNext w:val="0"/>
        <w:keepLines w:val="0"/>
        <w:pageBreakBefore w:val="0"/>
        <w:kinsoku/>
        <w:wordWrap/>
        <w:overflowPunct/>
        <w:topLinePunct w:val="0"/>
        <w:bidi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（二）方式：浙江政府采购网（</w:t>
      </w:r>
      <w:r>
        <w:rPr>
          <w:rFonts w:ascii="宋体" w:hAnsi="宋体" w:cs="宋体"/>
          <w:color w:val="auto"/>
          <w:sz w:val="24"/>
          <w:highlight w:val="none"/>
        </w:rPr>
        <w:t>https://zfcg.czt.zj.gov.cn</w:t>
      </w:r>
      <w:r>
        <w:rPr>
          <w:rFonts w:hint="eastAsia" w:ascii="宋体" w:hAnsi="宋体" w:cs="宋体"/>
          <w:color w:val="auto"/>
          <w:sz w:val="24"/>
          <w:highlight w:val="none"/>
        </w:rPr>
        <w:t>）免费下载</w:t>
      </w:r>
    </w:p>
    <w:p w14:paraId="56C06487">
      <w:pPr>
        <w:pStyle w:val="5"/>
        <w:keepNext w:val="0"/>
        <w:keepLines w:val="0"/>
        <w:pageBreakBefore w:val="0"/>
        <w:kinsoku/>
        <w:wordWrap/>
        <w:overflowPunct/>
        <w:topLinePunct w:val="0"/>
        <w:bidi w:val="0"/>
        <w:spacing w:line="360" w:lineRule="auto"/>
        <w:ind w:right="0" w:firstLine="482" w:firstLineChars="200"/>
        <w:textAlignment w:val="auto"/>
        <w:rPr>
          <w:rFonts w:cs="宋体"/>
          <w:bCs/>
          <w:color w:val="auto"/>
          <w:sz w:val="24"/>
          <w:szCs w:val="24"/>
          <w:highlight w:val="none"/>
        </w:rPr>
      </w:pPr>
      <w:bookmarkStart w:id="19" w:name="_Toc35393793"/>
      <w:bookmarkStart w:id="20" w:name="_Toc28359005"/>
      <w:bookmarkStart w:id="21" w:name="_Toc35393624"/>
      <w:bookmarkStart w:id="22" w:name="_Toc28359082"/>
      <w:r>
        <w:rPr>
          <w:rFonts w:hint="eastAsia" w:cs="宋体"/>
          <w:bCs/>
          <w:color w:val="auto"/>
          <w:sz w:val="24"/>
          <w:szCs w:val="24"/>
          <w:highlight w:val="none"/>
        </w:rPr>
        <w:t>四、提交投标文件</w:t>
      </w:r>
      <w:bookmarkEnd w:id="19"/>
      <w:bookmarkEnd w:id="20"/>
      <w:bookmarkEnd w:id="21"/>
      <w:bookmarkEnd w:id="22"/>
    </w:p>
    <w:p w14:paraId="1E54BAD1">
      <w:pPr>
        <w:keepNext w:val="0"/>
        <w:keepLines w:val="0"/>
        <w:pageBreakBefore w:val="0"/>
        <w:kinsoku/>
        <w:wordWrap/>
        <w:overflowPunct/>
        <w:topLinePunct w:val="0"/>
        <w:bidi w:val="0"/>
        <w:spacing w:line="360" w:lineRule="auto"/>
        <w:ind w:firstLine="480" w:firstLineChars="200"/>
        <w:jc w:val="left"/>
        <w:textAlignment w:val="auto"/>
        <w:rPr>
          <w:rFonts w:ascii="宋体" w:hAnsi="宋体" w:cs="宋体"/>
          <w:color w:val="auto"/>
          <w:sz w:val="24"/>
          <w:highlight w:val="none"/>
        </w:rPr>
      </w:pPr>
      <w:bookmarkStart w:id="23" w:name="_Toc28359007"/>
      <w:bookmarkStart w:id="24" w:name="_Toc35393794"/>
      <w:bookmarkStart w:id="25" w:name="_Toc35393625"/>
      <w:bookmarkStart w:id="26" w:name="_Toc28359084"/>
      <w:r>
        <w:rPr>
          <w:rFonts w:hint="eastAsia" w:ascii="宋体" w:hAnsi="宋体" w:cs="宋体"/>
          <w:color w:val="auto"/>
          <w:sz w:val="24"/>
          <w:highlight w:val="none"/>
        </w:rPr>
        <w:t>（一）截止时间（开标时间）：</w:t>
      </w:r>
      <w:r>
        <w:rPr>
          <w:rFonts w:hint="eastAsia" w:ascii="宋体" w:hAnsi="宋体" w:cs="宋体"/>
          <w:bCs/>
          <w:color w:val="auto"/>
          <w:sz w:val="24"/>
          <w:highlight w:val="none"/>
          <w:u w:val="single"/>
          <w:lang w:val="en-US" w:eastAsia="zh-CN"/>
        </w:rPr>
        <w:t>2025</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09</w:t>
      </w:r>
      <w:r>
        <w:rPr>
          <w:rFonts w:hint="eastAsia" w:ascii="宋体" w:hAnsi="宋体" w:cs="宋体"/>
          <w:bCs/>
          <w:color w:val="auto"/>
          <w:sz w:val="24"/>
          <w:highlight w:val="none"/>
          <w:u w:val="single"/>
        </w:rPr>
        <w:t>点</w:t>
      </w:r>
      <w:r>
        <w:rPr>
          <w:rFonts w:hint="eastAsia" w:ascii="宋体" w:hAnsi="宋体" w:cs="宋体"/>
          <w:bCs/>
          <w:color w:val="auto"/>
          <w:sz w:val="24"/>
          <w:highlight w:val="none"/>
          <w:u w:val="single"/>
          <w:lang w:val="en-US" w:eastAsia="zh-CN"/>
        </w:rPr>
        <w:t>00</w:t>
      </w:r>
      <w:r>
        <w:rPr>
          <w:rFonts w:hint="eastAsia" w:ascii="宋体" w:hAnsi="宋体" w:cs="宋体"/>
          <w:bCs/>
          <w:color w:val="auto"/>
          <w:sz w:val="24"/>
          <w:highlight w:val="none"/>
          <w:u w:val="single"/>
        </w:rPr>
        <w:t>分</w:t>
      </w:r>
      <w:r>
        <w:rPr>
          <w:rFonts w:hint="eastAsia" w:ascii="宋体" w:hAnsi="宋体" w:cs="宋体"/>
          <w:color w:val="auto"/>
          <w:sz w:val="24"/>
          <w:highlight w:val="none"/>
        </w:rPr>
        <w:t>（北京时间）</w:t>
      </w:r>
    </w:p>
    <w:p w14:paraId="73862670">
      <w:pPr>
        <w:keepNext w:val="0"/>
        <w:keepLines w:val="0"/>
        <w:pageBreakBefore w:val="0"/>
        <w:kinsoku/>
        <w:wordWrap/>
        <w:overflowPunct/>
        <w:topLinePunct w:val="0"/>
        <w:bidi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（二）投标网址：浙江政府采购云平台（http://www.zcygov.cn）</w:t>
      </w:r>
    </w:p>
    <w:bookmarkEnd w:id="23"/>
    <w:bookmarkEnd w:id="24"/>
    <w:bookmarkEnd w:id="25"/>
    <w:bookmarkEnd w:id="26"/>
    <w:p w14:paraId="5A89A421">
      <w:pPr>
        <w:pStyle w:val="20"/>
        <w:keepNext w:val="0"/>
        <w:keepLines w:val="0"/>
        <w:pageBreakBefore w:val="0"/>
        <w:kinsoku/>
        <w:wordWrap/>
        <w:overflowPunct/>
        <w:topLinePunct w:val="0"/>
        <w:bidi w:val="0"/>
        <w:spacing w:after="0" w:line="360" w:lineRule="auto"/>
        <w:ind w:left="0" w:leftChars="0" w:firstLine="482" w:firstLineChars="200"/>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五、发布公告</w:t>
      </w:r>
    </w:p>
    <w:p w14:paraId="4C843E81">
      <w:pPr>
        <w:pStyle w:val="20"/>
        <w:keepNext w:val="0"/>
        <w:keepLines w:val="0"/>
        <w:pageBreakBefore w:val="0"/>
        <w:kinsoku/>
        <w:wordWrap/>
        <w:overflowPunct/>
        <w:topLinePunct w:val="0"/>
        <w:bidi w:val="0"/>
        <w:spacing w:after="0" w:line="360" w:lineRule="auto"/>
        <w:ind w:left="0" w:leftChars="0" w:firstLine="480" w:firstLineChars="200"/>
        <w:textAlignment w:val="auto"/>
        <w:rPr>
          <w:rFonts w:ascii="宋体" w:hAnsi="宋体" w:cs="宋体"/>
          <w:color w:val="auto"/>
          <w:kern w:val="0"/>
          <w:sz w:val="24"/>
          <w:highlight w:val="none"/>
        </w:rPr>
      </w:pPr>
      <w:r>
        <w:rPr>
          <w:rFonts w:hint="eastAsia" w:ascii="宋体" w:hAnsi="宋体" w:cs="宋体"/>
          <w:color w:val="auto"/>
          <w:sz w:val="24"/>
          <w:highlight w:val="none"/>
        </w:rPr>
        <w:t>（一）公告网址：</w:t>
      </w:r>
      <w:r>
        <w:rPr>
          <w:rFonts w:hint="eastAsia" w:ascii="宋体" w:hAnsi="宋体" w:cs="宋体"/>
          <w:color w:val="auto"/>
          <w:kern w:val="0"/>
          <w:sz w:val="24"/>
          <w:highlight w:val="none"/>
        </w:rPr>
        <w:t>浙江政府采购网（</w:t>
      </w:r>
      <w:r>
        <w:rPr>
          <w:rFonts w:hint="eastAsia" w:ascii="宋体" w:hAnsi="宋体" w:cs="宋体"/>
          <w:color w:val="auto"/>
          <w:sz w:val="24"/>
          <w:highlight w:val="none"/>
        </w:rPr>
        <w:t>https://zfcg.czt.zj.gov.cn</w:t>
      </w:r>
      <w:r>
        <w:rPr>
          <w:rFonts w:hint="eastAsia" w:ascii="宋体" w:hAnsi="宋体" w:cs="宋体"/>
          <w:color w:val="auto"/>
          <w:kern w:val="0"/>
          <w:sz w:val="24"/>
          <w:highlight w:val="none"/>
        </w:rPr>
        <w:t>）、台州市公共资源交易网（https://tzztb.zjtz.gov.cn）</w:t>
      </w:r>
    </w:p>
    <w:p w14:paraId="0D50EEA5">
      <w:pPr>
        <w:pStyle w:val="20"/>
        <w:keepNext w:val="0"/>
        <w:keepLines w:val="0"/>
        <w:pageBreakBefore w:val="0"/>
        <w:kinsoku/>
        <w:wordWrap/>
        <w:overflowPunct/>
        <w:topLinePunct w:val="0"/>
        <w:bidi w:val="0"/>
        <w:spacing w:after="0" w:line="360" w:lineRule="auto"/>
        <w:ind w:left="0" w:leftChars="0" w:firstLine="480" w:firstLineChars="200"/>
        <w:textAlignment w:val="auto"/>
        <w:rPr>
          <w:rFonts w:ascii="宋体" w:hAnsi="宋体" w:cs="宋体"/>
          <w:color w:val="auto"/>
          <w:kern w:val="0"/>
          <w:sz w:val="24"/>
          <w:highlight w:val="none"/>
        </w:rPr>
      </w:pPr>
      <w:r>
        <w:rPr>
          <w:rFonts w:hint="eastAsia" w:ascii="宋体" w:hAnsi="宋体" w:cs="宋体"/>
          <w:color w:val="auto"/>
          <w:sz w:val="24"/>
          <w:highlight w:val="none"/>
        </w:rPr>
        <w:t>（二）公告期限：</w:t>
      </w:r>
      <w:r>
        <w:rPr>
          <w:rFonts w:hint="eastAsia" w:ascii="宋体" w:hAnsi="宋体" w:cs="宋体"/>
          <w:color w:val="auto"/>
          <w:kern w:val="0"/>
          <w:sz w:val="24"/>
          <w:highlight w:val="none"/>
        </w:rPr>
        <w:t>本公告期限自发布之日起五个工作日</w:t>
      </w:r>
    </w:p>
    <w:p w14:paraId="76A13790">
      <w:pPr>
        <w:pStyle w:val="5"/>
        <w:keepNext w:val="0"/>
        <w:keepLines w:val="0"/>
        <w:pageBreakBefore w:val="0"/>
        <w:kinsoku/>
        <w:wordWrap/>
        <w:overflowPunct/>
        <w:topLinePunct w:val="0"/>
        <w:bidi w:val="0"/>
        <w:spacing w:line="360" w:lineRule="auto"/>
        <w:ind w:right="0" w:firstLine="482" w:firstLineChars="200"/>
        <w:textAlignment w:val="auto"/>
        <w:rPr>
          <w:rFonts w:cs="宋体"/>
          <w:bCs/>
          <w:color w:val="auto"/>
          <w:sz w:val="24"/>
          <w:szCs w:val="24"/>
          <w:highlight w:val="none"/>
        </w:rPr>
      </w:pPr>
      <w:bookmarkStart w:id="27" w:name="_Toc35393626"/>
      <w:bookmarkStart w:id="28" w:name="_Toc35393795"/>
      <w:r>
        <w:rPr>
          <w:rFonts w:hint="eastAsia" w:cs="宋体"/>
          <w:bCs/>
          <w:color w:val="auto"/>
          <w:sz w:val="24"/>
          <w:szCs w:val="24"/>
          <w:highlight w:val="none"/>
        </w:rPr>
        <w:t>六、</w:t>
      </w:r>
      <w:bookmarkEnd w:id="27"/>
      <w:bookmarkEnd w:id="28"/>
      <w:r>
        <w:rPr>
          <w:rFonts w:hint="eastAsia" w:cs="宋体"/>
          <w:bCs/>
          <w:color w:val="auto"/>
          <w:sz w:val="24"/>
          <w:szCs w:val="24"/>
          <w:highlight w:val="none"/>
        </w:rPr>
        <w:t>注册报名</w:t>
      </w:r>
    </w:p>
    <w:p w14:paraId="07AC742F">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Theme="minorEastAsia" w:hAnsiTheme="minorEastAsia" w:eastAsiaTheme="minorEastAsia"/>
          <w:color w:val="auto"/>
          <w:sz w:val="24"/>
          <w:highlight w:val="none"/>
          <w:lang w:eastAsia="zh-CN"/>
        </w:rPr>
        <w:t>供应商</w:t>
      </w:r>
      <w:r>
        <w:rPr>
          <w:rFonts w:hint="eastAsia" w:ascii="宋体" w:hAnsi="宋体" w:cs="宋体"/>
          <w:color w:val="auto"/>
          <w:sz w:val="24"/>
          <w:highlight w:val="none"/>
        </w:rPr>
        <w:t>需登录浙江省政府采购网（https://zfcg.czt.zj.gov.cn/）进行注册后报名。</w:t>
      </w:r>
    </w:p>
    <w:p w14:paraId="1DF9D3FE">
      <w:pPr>
        <w:pStyle w:val="5"/>
        <w:keepNext w:val="0"/>
        <w:keepLines w:val="0"/>
        <w:pageBreakBefore w:val="0"/>
        <w:kinsoku/>
        <w:wordWrap/>
        <w:overflowPunct/>
        <w:topLinePunct w:val="0"/>
        <w:bidi w:val="0"/>
        <w:spacing w:line="360" w:lineRule="auto"/>
        <w:ind w:right="0" w:firstLine="482" w:firstLineChars="200"/>
        <w:textAlignment w:val="auto"/>
        <w:rPr>
          <w:rFonts w:cs="宋体"/>
          <w:bCs/>
          <w:color w:val="auto"/>
          <w:sz w:val="24"/>
          <w:szCs w:val="24"/>
          <w:highlight w:val="none"/>
        </w:rPr>
      </w:pPr>
      <w:bookmarkStart w:id="29" w:name="_Toc28359085"/>
      <w:bookmarkStart w:id="30" w:name="_Toc35393796"/>
      <w:bookmarkStart w:id="31" w:name="_Toc35393627"/>
      <w:bookmarkStart w:id="32" w:name="_Toc28359008"/>
      <w:r>
        <w:rPr>
          <w:rFonts w:hint="eastAsia" w:cs="宋体"/>
          <w:bCs/>
          <w:color w:val="auto"/>
          <w:sz w:val="24"/>
          <w:szCs w:val="24"/>
          <w:highlight w:val="none"/>
        </w:rPr>
        <w:t>七、</w:t>
      </w:r>
      <w:bookmarkEnd w:id="29"/>
      <w:bookmarkEnd w:id="30"/>
      <w:bookmarkEnd w:id="31"/>
      <w:bookmarkEnd w:id="32"/>
      <w:r>
        <w:rPr>
          <w:rFonts w:hint="eastAsia" w:cs="宋体"/>
          <w:bCs/>
          <w:color w:val="auto"/>
          <w:sz w:val="24"/>
          <w:szCs w:val="24"/>
          <w:highlight w:val="none"/>
        </w:rPr>
        <w:t>联系方式</w:t>
      </w:r>
    </w:p>
    <w:p w14:paraId="29B3226E">
      <w:pPr>
        <w:keepNext w:val="0"/>
        <w:keepLines w:val="0"/>
        <w:pageBreakBefore w:val="0"/>
        <w:kinsoku/>
        <w:wordWrap/>
        <w:overflowPunct/>
        <w:topLinePunct w:val="0"/>
        <w:bidi w:val="0"/>
        <w:snapToGrid w:val="0"/>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 xml:space="preserve">（一）采购人（受理招标文件相关质疑及答复） </w:t>
      </w:r>
    </w:p>
    <w:p w14:paraId="159AB900">
      <w:pPr>
        <w:keepNext w:val="0"/>
        <w:keepLines w:val="0"/>
        <w:pageBreakBefore w:val="0"/>
        <w:kinsoku/>
        <w:wordWrap/>
        <w:overflowPunct/>
        <w:topLinePunct w:val="0"/>
        <w:bidi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名 称：</w:t>
      </w:r>
      <w:r>
        <w:rPr>
          <w:rFonts w:hint="eastAsia" w:cs="宋体"/>
          <w:color w:val="auto"/>
          <w:sz w:val="24"/>
          <w:highlight w:val="none"/>
          <w:u w:val="single"/>
        </w:rPr>
        <w:t>台州市自然资源和规划局</w:t>
      </w:r>
    </w:p>
    <w:p w14:paraId="468A11E1">
      <w:pPr>
        <w:keepNext w:val="0"/>
        <w:keepLines w:val="0"/>
        <w:pageBreakBefore w:val="0"/>
        <w:kinsoku/>
        <w:wordWrap/>
        <w:overflowPunct/>
        <w:topLinePunct w:val="0"/>
        <w:bidi w:val="0"/>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台州市椒江区市府大道468号</w:t>
      </w:r>
    </w:p>
    <w:p w14:paraId="1CCA82E1">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联系人：</w:t>
      </w:r>
      <w:bookmarkStart w:id="33" w:name="_Toc28359086"/>
      <w:bookmarkStart w:id="34" w:name="_Toc28359009"/>
      <w:r>
        <w:rPr>
          <w:rFonts w:hint="eastAsia" w:ascii="宋体" w:hAnsi="宋体" w:cs="宋体"/>
          <w:color w:val="auto"/>
          <w:sz w:val="24"/>
          <w:highlight w:val="none"/>
          <w:u w:val="single"/>
        </w:rPr>
        <w:t>王老师</w:t>
      </w:r>
    </w:p>
    <w:p w14:paraId="4638A213">
      <w:pPr>
        <w:keepNext w:val="0"/>
        <w:keepLines w:val="0"/>
        <w:pageBreakBefore w:val="0"/>
        <w:kinsoku/>
        <w:wordWrap/>
        <w:overflowPunct/>
        <w:topLinePunct w:val="0"/>
        <w:bidi w:val="0"/>
        <w:spacing w:line="360" w:lineRule="auto"/>
        <w:ind w:firstLine="480" w:firstLineChars="200"/>
        <w:textAlignment w:val="auto"/>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0576-88513621</w:t>
      </w:r>
    </w:p>
    <w:bookmarkEnd w:id="33"/>
    <w:bookmarkEnd w:id="34"/>
    <w:p w14:paraId="593F40E7">
      <w:pPr>
        <w:keepNext w:val="0"/>
        <w:keepLines w:val="0"/>
        <w:pageBreakBefore w:val="0"/>
        <w:kinsoku/>
        <w:wordWrap/>
        <w:overflowPunct/>
        <w:topLinePunct w:val="0"/>
        <w:bidi w:val="0"/>
        <w:spacing w:line="360" w:lineRule="auto"/>
        <w:ind w:firstLine="482" w:firstLineChars="200"/>
        <w:textAlignment w:val="auto"/>
        <w:rPr>
          <w:rFonts w:ascii="宋体" w:hAnsi="宋体" w:cs="宋体"/>
          <w:b/>
          <w:color w:val="auto"/>
          <w:sz w:val="24"/>
          <w:highlight w:val="none"/>
        </w:rPr>
      </w:pPr>
      <w:r>
        <w:rPr>
          <w:rFonts w:hint="eastAsia" w:ascii="宋体" w:hAnsi="宋体" w:cs="宋体"/>
          <w:b/>
          <w:bCs/>
          <w:color w:val="auto"/>
          <w:sz w:val="24"/>
          <w:highlight w:val="none"/>
        </w:rPr>
        <w:t>（二）采购组织机构</w:t>
      </w:r>
    </w:p>
    <w:p w14:paraId="04FAFBB8">
      <w:pPr>
        <w:keepNext w:val="0"/>
        <w:keepLines w:val="0"/>
        <w:pageBreakBefore w:val="0"/>
        <w:kinsoku/>
        <w:wordWrap/>
        <w:overflowPunct/>
        <w:topLinePunct w:val="0"/>
        <w:bidi w:val="0"/>
        <w:spacing w:line="360" w:lineRule="auto"/>
        <w:ind w:firstLine="480" w:firstLineChars="200"/>
        <w:textAlignment w:val="auto"/>
        <w:rPr>
          <w:rFonts w:hint="eastAsia" w:ascii="宋体" w:hAnsi="宋体" w:cs="宋体"/>
          <w:color w:val="auto"/>
          <w:sz w:val="24"/>
          <w:highlight w:val="none"/>
        </w:rPr>
      </w:pPr>
      <w:bookmarkStart w:id="35" w:name="_Toc28359087"/>
      <w:bookmarkStart w:id="36" w:name="_Toc28359010"/>
      <w:r>
        <w:rPr>
          <w:rFonts w:hint="eastAsia" w:ascii="宋体" w:hAnsi="宋体" w:cs="宋体"/>
          <w:color w:val="auto"/>
          <w:sz w:val="24"/>
          <w:highlight w:val="none"/>
        </w:rPr>
        <w:t>名 称：</w:t>
      </w:r>
      <w:r>
        <w:rPr>
          <w:rFonts w:hint="eastAsia" w:ascii="宋体" w:hAnsi="宋体" w:cs="宋体"/>
          <w:color w:val="auto"/>
          <w:sz w:val="24"/>
          <w:highlight w:val="none"/>
          <w:u w:val="single"/>
        </w:rPr>
        <w:t>台州市建设咨询有限公司</w:t>
      </w:r>
    </w:p>
    <w:p w14:paraId="7F0DEB1F">
      <w:pPr>
        <w:keepNext w:val="0"/>
        <w:keepLines w:val="0"/>
        <w:pageBreakBefore w:val="0"/>
        <w:kinsoku/>
        <w:wordWrap/>
        <w:overflowPunct/>
        <w:topLinePunct w:val="0"/>
        <w:bidi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浙江省台州市市府大道507号台州国际商务广场1幢</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楼</w:t>
      </w:r>
    </w:p>
    <w:p w14:paraId="39593205">
      <w:pPr>
        <w:keepNext w:val="0"/>
        <w:keepLines w:val="0"/>
        <w:pageBreakBefore w:val="0"/>
        <w:kinsoku/>
        <w:wordWrap/>
        <w:overflowPunct/>
        <w:topLinePunct w:val="0"/>
        <w:bidi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项目联系人：</w:t>
      </w:r>
      <w:r>
        <w:rPr>
          <w:rFonts w:hint="eastAsia" w:ascii="宋体" w:hAnsi="宋体" w:cs="宋体"/>
          <w:color w:val="auto"/>
          <w:sz w:val="24"/>
          <w:highlight w:val="none"/>
          <w:u w:val="single"/>
          <w:lang w:val="en-US" w:eastAsia="zh-CN"/>
        </w:rPr>
        <w:t>章家炀</w:t>
      </w:r>
    </w:p>
    <w:p w14:paraId="679768AA">
      <w:pPr>
        <w:keepNext w:val="0"/>
        <w:keepLines w:val="0"/>
        <w:pageBreakBefore w:val="0"/>
        <w:kinsoku/>
        <w:wordWrap/>
        <w:overflowPunct/>
        <w:topLinePunct w:val="0"/>
        <w:bidi w:val="0"/>
        <w:spacing w:line="360" w:lineRule="auto"/>
        <w:ind w:firstLine="480" w:firstLineChars="200"/>
        <w:textAlignment w:val="auto"/>
        <w:rPr>
          <w:rFonts w:hint="default" w:ascii="宋体" w:hAnsi="宋体" w:cs="宋体"/>
          <w:color w:val="auto"/>
          <w:sz w:val="24"/>
          <w:highlight w:val="none"/>
          <w:lang w:val="en-US"/>
        </w:rPr>
      </w:pPr>
      <w:r>
        <w:rPr>
          <w:rFonts w:hint="eastAsia" w:ascii="宋体" w:hAnsi="宋体" w:cs="宋体"/>
          <w:color w:val="auto"/>
          <w:sz w:val="24"/>
          <w:highlight w:val="none"/>
        </w:rPr>
        <w:t>联系电话：</w:t>
      </w:r>
      <w:r>
        <w:rPr>
          <w:rFonts w:hint="eastAsia" w:ascii="宋体" w:hAnsi="宋体" w:cs="宋体"/>
          <w:color w:val="auto"/>
          <w:sz w:val="24"/>
          <w:highlight w:val="none"/>
          <w:u w:val="single"/>
          <w:lang w:eastAsia="zh-CN"/>
        </w:rPr>
        <w:t>0576-885177</w:t>
      </w:r>
      <w:r>
        <w:rPr>
          <w:rFonts w:hint="eastAsia" w:ascii="宋体" w:hAnsi="宋体" w:cs="宋体"/>
          <w:color w:val="auto"/>
          <w:sz w:val="24"/>
          <w:highlight w:val="none"/>
          <w:u w:val="single"/>
          <w:lang w:val="en-US" w:eastAsia="zh-CN"/>
        </w:rPr>
        <w:t>91</w:t>
      </w:r>
    </w:p>
    <w:p w14:paraId="018EBD68">
      <w:pPr>
        <w:keepNext w:val="0"/>
        <w:keepLines w:val="0"/>
        <w:pageBreakBefore w:val="0"/>
        <w:kinsoku/>
        <w:wordWrap/>
        <w:overflowPunct/>
        <w:topLinePunct w:val="0"/>
        <w:bidi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受理联系人：</w:t>
      </w:r>
      <w:r>
        <w:rPr>
          <w:rFonts w:hint="eastAsia" w:ascii="宋体" w:hAnsi="宋体" w:cs="宋体"/>
          <w:color w:val="auto"/>
          <w:sz w:val="24"/>
          <w:highlight w:val="none"/>
          <w:u w:val="single"/>
        </w:rPr>
        <w:t>徐瑜（受理相关质疑及答复）</w:t>
      </w:r>
    </w:p>
    <w:p w14:paraId="2A810C5E">
      <w:pPr>
        <w:keepNext w:val="0"/>
        <w:keepLines w:val="0"/>
        <w:pageBreakBefore w:val="0"/>
        <w:kinsoku/>
        <w:wordWrap/>
        <w:overflowPunct/>
        <w:topLinePunct w:val="0"/>
        <w:bidi w:val="0"/>
        <w:spacing w:line="360" w:lineRule="auto"/>
        <w:ind w:firstLine="480" w:firstLineChars="200"/>
        <w:textAlignment w:val="auto"/>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0576-88517786</w:t>
      </w:r>
    </w:p>
    <w:p w14:paraId="1A884087">
      <w:pPr>
        <w:keepNext w:val="0"/>
        <w:keepLines w:val="0"/>
        <w:pageBreakBefore w:val="0"/>
        <w:kinsoku/>
        <w:wordWrap/>
        <w:overflowPunct/>
        <w:topLinePunct w:val="0"/>
        <w:bidi w:val="0"/>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（三）同级政府采购监管机构</w:t>
      </w:r>
    </w:p>
    <w:p w14:paraId="5D835E80">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名 称：</w:t>
      </w:r>
      <w:r>
        <w:rPr>
          <w:rFonts w:hint="eastAsia" w:ascii="宋体" w:hAnsi="宋体" w:cs="宋体"/>
          <w:color w:val="auto"/>
          <w:sz w:val="24"/>
          <w:highlight w:val="none"/>
          <w:u w:val="single"/>
        </w:rPr>
        <w:t>台州市财政局采监</w:t>
      </w:r>
      <w:r>
        <w:rPr>
          <w:rFonts w:hint="eastAsia" w:ascii="宋体" w:hAnsi="宋体" w:cs="宋体"/>
          <w:color w:val="auto"/>
          <w:sz w:val="24"/>
          <w:highlight w:val="none"/>
          <w:u w:val="single"/>
          <w:lang w:val="en-US" w:eastAsia="zh-CN"/>
        </w:rPr>
        <w:t>处</w:t>
      </w:r>
    </w:p>
    <w:p w14:paraId="7605D77B">
      <w:pPr>
        <w:keepNext w:val="0"/>
        <w:keepLines w:val="0"/>
        <w:pageBreakBefore w:val="0"/>
        <w:kinsoku/>
        <w:wordWrap/>
        <w:overflowPunct/>
        <w:topLinePunct w:val="0"/>
        <w:bidi w:val="0"/>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浙江省台州市台州湾新区纬一路66号天元大厦</w:t>
      </w:r>
    </w:p>
    <w:p w14:paraId="1290AF61">
      <w:pPr>
        <w:keepNext w:val="0"/>
        <w:keepLines w:val="0"/>
        <w:pageBreakBefore w:val="0"/>
        <w:kinsoku/>
        <w:wordWrap/>
        <w:overflowPunct/>
        <w:topLinePunct w:val="0"/>
        <w:bidi w:val="0"/>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陈女士、李女士</w:t>
      </w:r>
    </w:p>
    <w:p w14:paraId="14B08E10">
      <w:pPr>
        <w:keepNext w:val="0"/>
        <w:keepLines w:val="0"/>
        <w:pageBreakBefore w:val="0"/>
        <w:kinsoku/>
        <w:wordWrap/>
        <w:overflowPunct/>
        <w:topLinePunct w:val="0"/>
        <w:bidi w:val="0"/>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0576-88206705、0576-88206731</w:t>
      </w:r>
    </w:p>
    <w:p w14:paraId="50A23A7E">
      <w:pPr>
        <w:keepNext w:val="0"/>
        <w:keepLines w:val="0"/>
        <w:pageBreakBefore w:val="0"/>
        <w:kinsoku/>
        <w:wordWrap/>
        <w:overflowPunct/>
        <w:topLinePunct w:val="0"/>
        <w:bidi w:val="0"/>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（四）政采云平台</w:t>
      </w:r>
    </w:p>
    <w:p w14:paraId="6F0FD1C2">
      <w:pPr>
        <w:keepNext w:val="0"/>
        <w:keepLines w:val="0"/>
        <w:pageBreakBefore w:val="0"/>
        <w:kinsoku/>
        <w:wordWrap/>
        <w:overflowPunct/>
        <w:topLinePunct w:val="0"/>
        <w:bidi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95763</w:t>
      </w:r>
    </w:p>
    <w:p w14:paraId="1F82EE8A">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60" w:lineRule="auto"/>
        <w:ind w:firstLine="200"/>
        <w:jc w:val="right"/>
        <w:textAlignment w:val="auto"/>
        <w:rPr>
          <w:rFonts w:ascii="宋体" w:hAnsi="宋体" w:cs="宋体"/>
          <w:color w:val="auto"/>
          <w:sz w:val="24"/>
          <w:highlight w:val="none"/>
        </w:rPr>
      </w:pPr>
      <w:r>
        <w:rPr>
          <w:rFonts w:hint="eastAsia" w:ascii="宋体" w:hAnsi="宋体" w:cs="宋体"/>
          <w:color w:val="auto"/>
          <w:sz w:val="24"/>
          <w:highlight w:val="none"/>
          <w:shd w:val="clear" w:color="auto" w:fill="FFFFFF"/>
        </w:rPr>
        <w:t xml:space="preserve"> 台州市建设咨询有限公司</w:t>
      </w:r>
    </w:p>
    <w:p w14:paraId="3E0A5E91">
      <w:pPr>
        <w:keepNext w:val="0"/>
        <w:keepLines w:val="0"/>
        <w:pageBreakBefore w:val="0"/>
        <w:widowControl/>
        <w:kinsoku/>
        <w:wordWrap/>
        <w:overflowPunct/>
        <w:topLinePunct w:val="0"/>
        <w:bidi w:val="0"/>
        <w:spacing w:line="360" w:lineRule="auto"/>
        <w:ind w:firstLine="200"/>
        <w:jc w:val="right"/>
        <w:textAlignment w:val="auto"/>
        <w:rPr>
          <w:rFonts w:hint="eastAsia" w:asciiTheme="minorEastAsia" w:hAnsiTheme="minorEastAsia" w:eastAsiaTheme="minorEastAsia" w:cstheme="minorEastAsia"/>
          <w:color w:val="auto"/>
          <w:kern w:val="0"/>
          <w:sz w:val="24"/>
          <w:highlight w:val="none"/>
        </w:rPr>
        <w:sectPr>
          <w:footerReference r:id="rId4" w:type="default"/>
          <w:pgSz w:w="11906" w:h="16838"/>
          <w:pgMar w:top="1247" w:right="1361" w:bottom="1247" w:left="1361" w:header="851" w:footer="851" w:gutter="0"/>
          <w:pgNumType w:fmt="numberInDash" w:start="1"/>
          <w:cols w:space="720" w:num="1"/>
          <w:docGrid w:type="lines" w:linePitch="312" w:charSpace="0"/>
        </w:sectPr>
      </w:pPr>
      <w:r>
        <w:rPr>
          <w:rFonts w:hint="eastAsia" w:asciiTheme="minorEastAsia" w:hAnsiTheme="minorEastAsia" w:eastAsiaTheme="minorEastAsia" w:cstheme="minorEastAsia"/>
          <w:color w:val="auto"/>
          <w:kern w:val="0"/>
          <w:sz w:val="24"/>
          <w:highlight w:val="none"/>
          <w:lang w:val="en-US" w:eastAsia="zh-CN"/>
        </w:rPr>
        <w:t>2025</w:t>
      </w:r>
      <w:r>
        <w:rPr>
          <w:rFonts w:hint="eastAsia" w:asciiTheme="minorEastAsia" w:hAnsiTheme="minorEastAsia" w:eastAsiaTheme="minorEastAsia" w:cstheme="minorEastAsia"/>
          <w:color w:val="auto"/>
          <w:kern w:val="0"/>
          <w:sz w:val="24"/>
          <w:highlight w:val="none"/>
        </w:rPr>
        <w:t>年</w:t>
      </w:r>
      <w:r>
        <w:rPr>
          <w:rFonts w:hint="eastAsia" w:asciiTheme="minorEastAsia" w:hAnsiTheme="minorEastAsia" w:eastAsiaTheme="minorEastAsia" w:cstheme="minorEastAsia"/>
          <w:color w:val="auto"/>
          <w:sz w:val="24"/>
          <w:highlight w:val="none"/>
          <w:lang w:val="en-US" w:eastAsia="zh-CN"/>
        </w:rPr>
        <w:t>08</w:t>
      </w:r>
      <w:r>
        <w:rPr>
          <w:rFonts w:hint="eastAsia" w:asciiTheme="minorEastAsia" w:hAnsiTheme="minorEastAsia" w:eastAsiaTheme="minorEastAsia" w:cstheme="minorEastAsia"/>
          <w:color w:val="auto"/>
          <w:kern w:val="0"/>
          <w:sz w:val="24"/>
          <w:highlight w:val="none"/>
        </w:rPr>
        <w:t>月</w:t>
      </w:r>
    </w:p>
    <w:bookmarkEnd w:id="35"/>
    <w:bookmarkEnd w:id="36"/>
    <w:p w14:paraId="0BC8A42A">
      <w:pPr>
        <w:numPr>
          <w:ilvl w:val="0"/>
          <w:numId w:val="4"/>
        </w:numPr>
        <w:spacing w:line="360" w:lineRule="auto"/>
        <w:jc w:val="center"/>
        <w:rPr>
          <w:rFonts w:asciiTheme="minorEastAsia" w:hAnsiTheme="minorEastAsia" w:eastAsiaTheme="minorEastAsia"/>
          <w:b/>
          <w:color w:val="auto"/>
          <w:sz w:val="36"/>
          <w:szCs w:val="36"/>
          <w:highlight w:val="none"/>
        </w:rPr>
      </w:pPr>
      <w:bookmarkStart w:id="37" w:name="_Toc25017_WPSOffice_Level1"/>
      <w:r>
        <w:rPr>
          <w:rFonts w:hint="eastAsia" w:asciiTheme="minorEastAsia" w:hAnsiTheme="minorEastAsia" w:eastAsiaTheme="minorEastAsia"/>
          <w:b/>
          <w:color w:val="auto"/>
          <w:sz w:val="36"/>
          <w:szCs w:val="36"/>
          <w:highlight w:val="none"/>
          <w:lang w:eastAsia="zh-CN"/>
        </w:rPr>
        <w:t>供应商</w:t>
      </w:r>
      <w:r>
        <w:rPr>
          <w:rFonts w:hint="eastAsia" w:asciiTheme="minorEastAsia" w:hAnsiTheme="minorEastAsia" w:eastAsiaTheme="minorEastAsia"/>
          <w:b/>
          <w:color w:val="auto"/>
          <w:sz w:val="36"/>
          <w:szCs w:val="36"/>
          <w:highlight w:val="none"/>
        </w:rPr>
        <w:t>须知</w:t>
      </w:r>
      <w:bookmarkEnd w:id="37"/>
    </w:p>
    <w:p w14:paraId="0D494B30">
      <w:pPr>
        <w:numPr>
          <w:ilvl w:val="0"/>
          <w:numId w:val="5"/>
        </w:numPr>
        <w:ind w:firstLine="482" w:firstLineChars="200"/>
        <w:rPr>
          <w:color w:val="auto"/>
          <w:highlight w:val="none"/>
        </w:rPr>
      </w:pPr>
      <w:r>
        <w:rPr>
          <w:rFonts w:hint="eastAsia" w:asciiTheme="minorEastAsia" w:hAnsiTheme="minorEastAsia" w:eastAsiaTheme="minorEastAsia"/>
          <w:b/>
          <w:color w:val="auto"/>
          <w:sz w:val="24"/>
          <w:highlight w:val="none"/>
        </w:rPr>
        <w:t>前附表</w:t>
      </w:r>
    </w:p>
    <w:tbl>
      <w:tblPr>
        <w:tblStyle w:val="21"/>
        <w:tblpPr w:leftFromText="181" w:rightFromText="181" w:bottomFromText="170" w:vertAnchor="text" w:horzAnchor="page" w:tblpXSpec="center" w:tblpY="449"/>
        <w:tblOverlap w:val="never"/>
        <w:tblW w:w="9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646"/>
      </w:tblGrid>
      <w:tr w14:paraId="0449B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629DA4">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cs="宋体"/>
                <w:b/>
                <w:bCs/>
                <w:color w:val="auto"/>
                <w:highlight w:val="none"/>
              </w:rPr>
            </w:pPr>
            <w:r>
              <w:rPr>
                <w:rFonts w:hint="eastAsia" w:ascii="宋体" w:hAnsi="宋体" w:cs="宋体"/>
                <w:b/>
                <w:bCs/>
                <w:color w:val="auto"/>
                <w:highlight w:val="none"/>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B7D8CEE">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cs="宋体"/>
                <w:b/>
                <w:bCs/>
                <w:color w:val="auto"/>
                <w:highlight w:val="none"/>
              </w:rPr>
            </w:pPr>
            <w:r>
              <w:rPr>
                <w:rFonts w:hint="eastAsia" w:ascii="宋体" w:hAnsi="宋体" w:cs="宋体"/>
                <w:b/>
                <w:bCs/>
                <w:color w:val="auto"/>
                <w:highlight w:val="none"/>
              </w:rPr>
              <w:t>事 项</w:t>
            </w:r>
          </w:p>
        </w:tc>
        <w:tc>
          <w:tcPr>
            <w:tcW w:w="664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73A4590">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cs="宋体"/>
                <w:b/>
                <w:bCs/>
                <w:color w:val="auto"/>
                <w:highlight w:val="none"/>
              </w:rPr>
            </w:pPr>
            <w:r>
              <w:rPr>
                <w:rFonts w:hint="eastAsia" w:ascii="宋体" w:hAnsi="宋体" w:cs="宋体"/>
                <w:b/>
                <w:bCs/>
                <w:color w:val="auto"/>
                <w:highlight w:val="none"/>
              </w:rPr>
              <w:t>本项目的特别规定</w:t>
            </w:r>
          </w:p>
        </w:tc>
      </w:tr>
      <w:tr w14:paraId="178FD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BF5CC94">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6200A5C">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是否允许联合体</w:t>
            </w:r>
          </w:p>
        </w:tc>
        <w:tc>
          <w:tcPr>
            <w:tcW w:w="664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24EE10">
            <w:pPr>
              <w:spacing w:line="300" w:lineRule="auto"/>
              <w:ind w:firstLine="420" w:firstLineChars="200"/>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rPr>
              <w:t>是/</w:t>
            </w:r>
            <w:r>
              <w:rPr>
                <w:rFonts w:hint="eastAsia" w:ascii="宋体" w:hAnsi="宋体" w:cs="宋体"/>
                <w:color w:val="auto"/>
                <w:highlight w:val="none"/>
                <w:lang w:eastAsia="zh-CN"/>
              </w:rPr>
              <w:t>□</w:t>
            </w:r>
            <w:r>
              <w:rPr>
                <w:rFonts w:hint="eastAsia" w:ascii="宋体" w:hAnsi="宋体" w:cs="宋体"/>
                <w:color w:val="auto"/>
                <w:highlight w:val="none"/>
              </w:rPr>
              <w:t xml:space="preserve"> 否</w:t>
            </w:r>
          </w:p>
          <w:p w14:paraId="12CE380D">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highlight w:val="none"/>
                <w:lang w:eastAsia="zh-CN"/>
              </w:rPr>
            </w:pP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以联合体形式参加政府采购活动，联合体各方均为中小企业的，联合体视同中小企业。其中，联合体各方均为小微企业的，联合体视同小微企业。</w:t>
            </w:r>
            <w:r>
              <w:rPr>
                <w:rFonts w:hint="eastAsia" w:ascii="宋体" w:hAnsi="宋体" w:cs="宋体"/>
                <w:b/>
                <w:bCs/>
                <w:color w:val="auto"/>
                <w:highlight w:val="none"/>
                <w:lang w:eastAsia="zh-CN"/>
              </w:rPr>
              <w:t>）</w:t>
            </w:r>
          </w:p>
        </w:tc>
      </w:tr>
      <w:tr w14:paraId="350EE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101A935">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42329D3">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是否允许分包</w:t>
            </w:r>
          </w:p>
        </w:tc>
        <w:tc>
          <w:tcPr>
            <w:tcW w:w="664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C27D250">
            <w:pPr>
              <w:spacing w:line="300" w:lineRule="auto"/>
              <w:ind w:firstLine="420" w:firstLineChars="200"/>
              <w:rPr>
                <w:rFonts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rPr>
              <w:t xml:space="preserve"> 是（主体部分不得分包）/</w:t>
            </w:r>
            <w:r>
              <w:rPr>
                <w:rFonts w:hint="eastAsia" w:ascii="宋体" w:hAnsi="宋体" w:cs="宋体"/>
                <w:color w:val="auto"/>
                <w:highlight w:val="none"/>
                <w:lang w:eastAsia="zh-CN"/>
              </w:rPr>
              <w:t>☑</w:t>
            </w:r>
            <w:r>
              <w:rPr>
                <w:rFonts w:hint="eastAsia" w:ascii="宋体" w:hAnsi="宋体" w:cs="宋体"/>
                <w:color w:val="auto"/>
                <w:highlight w:val="none"/>
              </w:rPr>
              <w:t>否</w:t>
            </w:r>
          </w:p>
        </w:tc>
      </w:tr>
      <w:tr w14:paraId="4F861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C6700B3">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8A44799">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答疑会或</w:t>
            </w:r>
          </w:p>
          <w:p w14:paraId="65625C5A">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现场踏勘</w:t>
            </w:r>
          </w:p>
        </w:tc>
        <w:tc>
          <w:tcPr>
            <w:tcW w:w="664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3CE03E9">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ascii="宋体" w:hAnsi="宋体" w:cs="宋体"/>
                <w:color w:val="auto"/>
                <w:highlight w:val="none"/>
              </w:rPr>
            </w:pPr>
            <w:r>
              <w:rPr>
                <w:rFonts w:hint="eastAsia" w:ascii="宋体" w:hAnsi="宋体" w:cs="宋体"/>
                <w:color w:val="auto"/>
                <w:highlight w:val="none"/>
              </w:rPr>
              <w:t>无</w:t>
            </w:r>
          </w:p>
        </w:tc>
      </w:tr>
      <w:tr w14:paraId="59278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CD955E4">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884ED86">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投标文件的制作和投标</w:t>
            </w:r>
          </w:p>
        </w:tc>
        <w:tc>
          <w:tcPr>
            <w:tcW w:w="664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CD0B323">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请</w:t>
            </w:r>
            <w:r>
              <w:rPr>
                <w:rFonts w:hint="eastAsia" w:ascii="宋体" w:hAnsi="宋体" w:cs="宋体"/>
                <w:color w:val="auto"/>
                <w:highlight w:val="none"/>
                <w:lang w:eastAsia="zh-CN"/>
              </w:rPr>
              <w:t>供应商</w:t>
            </w:r>
            <w:r>
              <w:rPr>
                <w:rFonts w:hint="eastAsia" w:ascii="宋体" w:hAnsi="宋体" w:cs="宋体"/>
                <w:color w:val="auto"/>
                <w:highlight w:val="none"/>
              </w:rPr>
              <w:t>在投标前仔细阅读《政府采购项目电子交易操作指南》。</w:t>
            </w:r>
          </w:p>
          <w:p w14:paraId="43F22F98">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1.投标文件的制作：</w:t>
            </w:r>
            <w:r>
              <w:rPr>
                <w:rFonts w:hint="eastAsia" w:ascii="宋体" w:hAnsi="宋体" w:cs="宋体"/>
                <w:color w:val="auto"/>
                <w:highlight w:val="none"/>
                <w:lang w:eastAsia="zh-CN"/>
              </w:rPr>
              <w:t>供应商</w:t>
            </w:r>
            <w:r>
              <w:rPr>
                <w:rFonts w:hint="eastAsia" w:ascii="宋体" w:hAnsi="宋体" w:cs="宋体"/>
                <w:color w:val="auto"/>
                <w:highlight w:val="none"/>
              </w:rPr>
              <w:t>按照本项目招标文件和政采云平台的要求，通过“政采云电子交易客户端”编制、加密并递交投标文件（下载网址：</w:t>
            </w:r>
            <w:r>
              <w:rPr>
                <w:color w:val="auto"/>
                <w:highlight w:val="none"/>
              </w:rPr>
              <w:fldChar w:fldCharType="begin"/>
            </w:r>
            <w:r>
              <w:rPr>
                <w:color w:val="auto"/>
                <w:highlight w:val="none"/>
              </w:rPr>
              <w:instrText xml:space="preserve"> HYPERLINK "http://www.zjzfcg.gov.cn/bidClientTemplate/2019-09-24/12975.html）。" </w:instrText>
            </w:r>
            <w:r>
              <w:rPr>
                <w:color w:val="auto"/>
                <w:highlight w:val="none"/>
              </w:rPr>
              <w:fldChar w:fldCharType="separate"/>
            </w:r>
            <w:r>
              <w:rPr>
                <w:rFonts w:hint="eastAsia" w:ascii="宋体" w:hAnsi="宋体" w:cs="宋体"/>
                <w:color w:val="auto"/>
                <w:highlight w:val="none"/>
              </w:rPr>
              <w:t>https://zfcg.czt.zj.gov.cn/download/index.html）。</w:t>
            </w:r>
            <w:r>
              <w:rPr>
                <w:rFonts w:hint="eastAsia" w:ascii="宋体" w:hAnsi="宋体" w:cs="宋体"/>
                <w:color w:val="auto"/>
                <w:highlight w:val="none"/>
              </w:rPr>
              <w:fldChar w:fldCharType="end"/>
            </w:r>
          </w:p>
          <w:p w14:paraId="0F42FD70">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2.投标：</w:t>
            </w:r>
            <w:r>
              <w:rPr>
                <w:rFonts w:hint="eastAsia" w:ascii="宋体" w:hAnsi="宋体" w:cs="宋体"/>
                <w:color w:val="auto"/>
                <w:highlight w:val="none"/>
                <w:lang w:eastAsia="zh-CN"/>
              </w:rPr>
              <w:t>供应商</w:t>
            </w:r>
            <w:r>
              <w:rPr>
                <w:rFonts w:hint="eastAsia" w:ascii="宋体" w:hAnsi="宋体" w:cs="宋体"/>
                <w:color w:val="auto"/>
                <w:highlight w:val="none"/>
              </w:rPr>
              <w:t>应当在投标截止时间前（开标当天北京时间</w:t>
            </w:r>
            <w:r>
              <w:rPr>
                <w:rFonts w:hint="eastAsia" w:ascii="宋体" w:hAnsi="宋体" w:cs="宋体"/>
                <w:color w:val="auto"/>
                <w:highlight w:val="none"/>
                <w:u w:val="single"/>
              </w:rPr>
              <w:t>09:</w:t>
            </w:r>
            <w:r>
              <w:rPr>
                <w:rFonts w:hint="eastAsia" w:ascii="宋体" w:hAnsi="宋体" w:cs="宋体"/>
                <w:color w:val="auto"/>
                <w:highlight w:val="none"/>
                <w:u w:val="single"/>
                <w:lang w:val="en-US" w:eastAsia="zh-CN"/>
              </w:rPr>
              <w:t>0</w:t>
            </w:r>
            <w:r>
              <w:rPr>
                <w:rFonts w:hint="eastAsia" w:ascii="宋体" w:hAnsi="宋体" w:cs="宋体"/>
                <w:color w:val="auto"/>
                <w:highlight w:val="none"/>
                <w:u w:val="single"/>
              </w:rPr>
              <w:t>0</w:t>
            </w:r>
            <w:r>
              <w:rPr>
                <w:rFonts w:hint="eastAsia" w:ascii="宋体" w:hAnsi="宋体" w:cs="宋体"/>
                <w:color w:val="auto"/>
                <w:highlight w:val="none"/>
              </w:rPr>
              <w:t>）完成投标文件的传输递交，逾期上传的投标文件恕不接受。补充或者修改投标文件的，应当先行撤回原文件，补充、修改后重新传输递交。投标截止时间前未完成上传的，视为撤回投标文件。</w:t>
            </w:r>
          </w:p>
          <w:p w14:paraId="64430F31">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hAnsi="宋体" w:cs="宋体"/>
                <w:color w:val="auto"/>
                <w:highlight w:val="none"/>
              </w:rPr>
            </w:pPr>
            <w:r>
              <w:rPr>
                <w:rFonts w:hint="eastAsia" w:cs="宋体" w:asciiTheme="minorEastAsia" w:hAnsiTheme="minorEastAsia" w:eastAsiaTheme="minorEastAsia"/>
                <w:color w:val="auto"/>
                <w:kern w:val="0"/>
                <w:szCs w:val="21"/>
                <w:highlight w:val="none"/>
              </w:rPr>
              <w:t>3.投标文件解密：</w:t>
            </w:r>
            <w:r>
              <w:rPr>
                <w:rFonts w:hint="eastAsia" w:cs="宋体" w:asciiTheme="minorEastAsia" w:hAnsiTheme="minorEastAsia" w:eastAsiaTheme="minorEastAsia"/>
                <w:color w:val="auto"/>
                <w:kern w:val="0"/>
                <w:szCs w:val="21"/>
                <w:highlight w:val="none"/>
                <w:lang w:eastAsia="zh-CN"/>
              </w:rPr>
              <w:t>供应商</w:t>
            </w:r>
            <w:r>
              <w:rPr>
                <w:rFonts w:hint="eastAsia" w:cs="宋体" w:asciiTheme="minorEastAsia" w:hAnsiTheme="minorEastAsia" w:eastAsiaTheme="minorEastAsia"/>
                <w:color w:val="auto"/>
                <w:kern w:val="0"/>
                <w:szCs w:val="21"/>
                <w:highlight w:val="none"/>
              </w:rPr>
              <w:t>应在</w:t>
            </w:r>
            <w:r>
              <w:rPr>
                <w:rFonts w:hint="eastAsia" w:cs="宋体" w:asciiTheme="minorEastAsia" w:hAnsiTheme="minorEastAsia" w:eastAsiaTheme="minorEastAsia"/>
                <w:color w:val="auto"/>
                <w:kern w:val="0"/>
                <w:szCs w:val="21"/>
                <w:highlight w:val="none"/>
                <w:lang w:val="en-US" w:eastAsia="zh-CN"/>
              </w:rPr>
              <w:t>开启解密后30分钟内</w:t>
            </w:r>
            <w:r>
              <w:rPr>
                <w:rFonts w:hint="eastAsia" w:cs="宋体" w:asciiTheme="minorEastAsia" w:hAnsiTheme="minorEastAsia" w:eastAsiaTheme="minorEastAsia"/>
                <w:color w:val="auto"/>
                <w:kern w:val="0"/>
                <w:szCs w:val="21"/>
                <w:highlight w:val="none"/>
              </w:rPr>
              <w:t>完成解密</w:t>
            </w:r>
          </w:p>
        </w:tc>
      </w:tr>
      <w:tr w14:paraId="206C0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9DCB10D">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DFD9317">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备份投标文件的递交</w:t>
            </w:r>
          </w:p>
        </w:tc>
        <w:tc>
          <w:tcPr>
            <w:tcW w:w="664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B97D67D">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备份投标文件是通过政采云电子交易客户端制作投标文件产生的备份文件，请</w:t>
            </w:r>
            <w:r>
              <w:rPr>
                <w:rFonts w:hint="eastAsia" w:ascii="宋体" w:hAnsi="宋体" w:cs="宋体"/>
                <w:color w:val="auto"/>
                <w:highlight w:val="none"/>
                <w:lang w:eastAsia="zh-CN"/>
              </w:rPr>
              <w:t>供应商</w:t>
            </w:r>
            <w:r>
              <w:rPr>
                <w:rFonts w:hint="eastAsia" w:ascii="宋体" w:hAnsi="宋体" w:cs="宋体"/>
                <w:color w:val="auto"/>
                <w:highlight w:val="none"/>
              </w:rPr>
              <w:t>自行妥善保管。</w:t>
            </w:r>
          </w:p>
          <w:p w14:paraId="6423EC83">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1.使用前提：在解密截止时间前，</w:t>
            </w:r>
            <w:r>
              <w:rPr>
                <w:rFonts w:hint="eastAsia" w:ascii="宋体" w:hAnsi="宋体" w:cs="宋体"/>
                <w:color w:val="auto"/>
                <w:highlight w:val="none"/>
                <w:lang w:eastAsia="zh-CN"/>
              </w:rPr>
              <w:t>供应商</w:t>
            </w:r>
            <w:r>
              <w:rPr>
                <w:rFonts w:hint="eastAsia" w:ascii="宋体" w:hAnsi="宋体" w:cs="宋体"/>
                <w:color w:val="auto"/>
                <w:highlight w:val="none"/>
              </w:rPr>
              <w:t>自行在线解密操作失败，又未能及时联系技术人员帮助解密，或者</w:t>
            </w:r>
            <w:r>
              <w:rPr>
                <w:rFonts w:hint="eastAsia" w:ascii="宋体" w:hAnsi="宋体" w:cs="宋体"/>
                <w:color w:val="auto"/>
                <w:highlight w:val="none"/>
                <w:lang w:eastAsia="zh-CN"/>
              </w:rPr>
              <w:t>供应商</w:t>
            </w:r>
            <w:r>
              <w:rPr>
                <w:rFonts w:hint="eastAsia" w:ascii="宋体" w:hAnsi="宋体" w:cs="宋体"/>
                <w:color w:val="auto"/>
                <w:highlight w:val="none"/>
              </w:rPr>
              <w:t>寻求技术人员帮助仍无法完成解密。</w:t>
            </w:r>
          </w:p>
          <w:p w14:paraId="4F56B981">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2.递交截止时间：开标当天</w:t>
            </w:r>
            <w:r>
              <w:rPr>
                <w:rFonts w:hint="eastAsia" w:ascii="宋体" w:hAnsi="宋体" w:cs="宋体"/>
                <w:color w:val="auto"/>
                <w:highlight w:val="none"/>
                <w:u w:val="single"/>
              </w:rPr>
              <w:t>09:</w:t>
            </w:r>
            <w:r>
              <w:rPr>
                <w:rFonts w:hint="eastAsia" w:ascii="宋体" w:hAnsi="宋体" w:cs="宋体"/>
                <w:color w:val="auto"/>
                <w:highlight w:val="none"/>
                <w:u w:val="single"/>
                <w:lang w:val="en-US" w:eastAsia="zh-CN"/>
              </w:rPr>
              <w:t>0</w:t>
            </w:r>
            <w:r>
              <w:rPr>
                <w:rFonts w:hint="eastAsia" w:ascii="宋体" w:hAnsi="宋体" w:cs="宋体"/>
                <w:color w:val="auto"/>
                <w:highlight w:val="none"/>
                <w:u w:val="single"/>
              </w:rPr>
              <w:t>0</w:t>
            </w:r>
            <w:r>
              <w:rPr>
                <w:rFonts w:hint="eastAsia" w:ascii="宋体" w:hAnsi="宋体" w:cs="宋体"/>
                <w:color w:val="auto"/>
                <w:highlight w:val="none"/>
              </w:rPr>
              <w:t>（北京时间）。</w:t>
            </w:r>
          </w:p>
          <w:p w14:paraId="35DA9174">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3.投递邮箱：</w:t>
            </w:r>
            <w:r>
              <w:rPr>
                <w:rFonts w:hint="eastAsia" w:ascii="宋体" w:hAnsi="宋体" w:cs="宋体"/>
                <w:color w:val="auto"/>
                <w:highlight w:val="none"/>
                <w:u w:val="single"/>
                <w:lang w:val="en-US" w:eastAsia="zh-CN"/>
              </w:rPr>
              <w:t>592518046</w:t>
            </w:r>
            <w:r>
              <w:rPr>
                <w:rFonts w:hint="eastAsia" w:ascii="宋体" w:hAnsi="宋体" w:cs="宋体"/>
                <w:color w:val="auto"/>
                <w:highlight w:val="none"/>
                <w:u w:val="single"/>
              </w:rPr>
              <w:t>@qq.com。</w:t>
            </w:r>
          </w:p>
          <w:p w14:paraId="00AA1ECE">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4.未按上述要求递交备份投标文件或所提供的备份投标文件不符合要求的视同放弃投标，仅提交备份投标文件的，投标无效。</w:t>
            </w:r>
          </w:p>
          <w:p w14:paraId="04EE4C7A">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5.</w:t>
            </w:r>
            <w:r>
              <w:rPr>
                <w:rFonts w:hint="eastAsia" w:ascii="宋体" w:hAnsi="宋体" w:cs="宋体"/>
                <w:color w:val="auto"/>
                <w:highlight w:val="none"/>
                <w:lang w:eastAsia="zh-CN"/>
              </w:rPr>
              <w:t>供应商</w:t>
            </w:r>
            <w:r>
              <w:rPr>
                <w:rFonts w:hint="eastAsia" w:ascii="宋体" w:hAnsi="宋体" w:cs="宋体"/>
                <w:color w:val="auto"/>
                <w:highlight w:val="none"/>
              </w:rPr>
              <w:t>未按时完成解密的，并符合备份投标文件使用前提的，</w:t>
            </w:r>
            <w:r>
              <w:rPr>
                <w:rFonts w:hint="eastAsia" w:ascii="宋体" w:hAnsi="宋体" w:cs="宋体"/>
                <w:color w:val="auto"/>
                <w:highlight w:val="none"/>
                <w:lang w:eastAsia="zh-CN"/>
              </w:rPr>
              <w:t>供应商</w:t>
            </w:r>
            <w:r>
              <w:rPr>
                <w:rFonts w:hint="eastAsia" w:ascii="宋体" w:hAnsi="宋体" w:cs="宋体"/>
                <w:color w:val="auto"/>
                <w:highlight w:val="none"/>
              </w:rPr>
              <w:t>应提供备份投标文件，否则视为放弃投标。</w:t>
            </w:r>
          </w:p>
        </w:tc>
      </w:tr>
      <w:tr w14:paraId="16BA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1F985AF">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0D632B2">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投标与开标</w:t>
            </w:r>
          </w:p>
          <w:p w14:paraId="12BE3DF7">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注意事项</w:t>
            </w:r>
          </w:p>
        </w:tc>
        <w:tc>
          <w:tcPr>
            <w:tcW w:w="664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E3719E1">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1.本项目实行电子投标，</w:t>
            </w:r>
            <w:r>
              <w:rPr>
                <w:rFonts w:hint="eastAsia" w:ascii="宋体" w:hAnsi="宋体" w:cs="宋体"/>
                <w:color w:val="auto"/>
                <w:highlight w:val="none"/>
                <w:lang w:eastAsia="zh-CN"/>
              </w:rPr>
              <w:t>供应商</w:t>
            </w:r>
            <w:r>
              <w:rPr>
                <w:rFonts w:hint="eastAsia" w:ascii="宋体" w:hAnsi="宋体" w:cs="宋体"/>
                <w:color w:val="auto"/>
                <w:highlight w:val="none"/>
              </w:rPr>
              <w:t>自行承担投标一切费用。</w:t>
            </w:r>
          </w:p>
          <w:p w14:paraId="044291D1">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2.标前准备：</w:t>
            </w:r>
            <w:r>
              <w:rPr>
                <w:rFonts w:hint="eastAsia" w:ascii="宋体" w:hAnsi="宋体" w:cs="宋体"/>
                <w:color w:val="auto"/>
                <w:highlight w:val="none"/>
                <w:lang w:eastAsia="zh-CN"/>
              </w:rPr>
              <w:t>供应商</w:t>
            </w:r>
            <w:r>
              <w:rPr>
                <w:rFonts w:hint="eastAsia" w:ascii="宋体" w:hAnsi="宋体" w:cs="宋体"/>
                <w:color w:val="auto"/>
                <w:highlight w:val="none"/>
              </w:rPr>
              <w:t>在开标前确保成为浙江省政府采购网正式注册用户，并完成CA数字证书办理（办理流程详见本招标公告附件：政采云CA签章申领操作流程）。因未注册入库、未办理CA数字证书等原因造成无法投标或投标失败等后果由</w:t>
            </w:r>
            <w:r>
              <w:rPr>
                <w:rFonts w:hint="eastAsia" w:ascii="宋体" w:hAnsi="宋体" w:cs="宋体"/>
                <w:color w:val="auto"/>
                <w:highlight w:val="none"/>
                <w:lang w:eastAsia="zh-CN"/>
              </w:rPr>
              <w:t>供应商</w:t>
            </w:r>
            <w:r>
              <w:rPr>
                <w:rFonts w:hint="eastAsia" w:ascii="宋体" w:hAnsi="宋体" w:cs="宋体"/>
                <w:color w:val="auto"/>
                <w:highlight w:val="none"/>
              </w:rPr>
              <w:t>自行承担。</w:t>
            </w:r>
          </w:p>
        </w:tc>
      </w:tr>
      <w:tr w14:paraId="48A21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5EDDEE5">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29A4DAE">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信用信息</w:t>
            </w:r>
          </w:p>
          <w:p w14:paraId="6AF5514C">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查询渠道</w:t>
            </w:r>
          </w:p>
        </w:tc>
        <w:tc>
          <w:tcPr>
            <w:tcW w:w="664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60E7D88">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ascii="宋体" w:hAnsi="宋体" w:cs="宋体"/>
                <w:color w:val="auto"/>
                <w:highlight w:val="none"/>
              </w:rPr>
            </w:pPr>
            <w:r>
              <w:rPr>
                <w:rFonts w:hint="eastAsia" w:ascii="宋体" w:hAnsi="宋体" w:cs="宋体"/>
                <w:color w:val="auto"/>
                <w:highlight w:val="none"/>
              </w:rPr>
              <w:t>信用中国（网址：</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highlight w:val="none"/>
              </w:rPr>
              <w:t>http://www.creditchina.gov.cn</w:t>
            </w:r>
            <w:r>
              <w:rPr>
                <w:rFonts w:hint="eastAsia" w:ascii="宋体" w:hAnsi="宋体" w:cs="宋体"/>
                <w:color w:val="auto"/>
                <w:highlight w:val="none"/>
              </w:rPr>
              <w:fldChar w:fldCharType="end"/>
            </w:r>
            <w:r>
              <w:rPr>
                <w:rFonts w:hint="eastAsia" w:ascii="宋体" w:hAnsi="宋体" w:cs="宋体"/>
                <w:color w:val="auto"/>
                <w:highlight w:val="none"/>
              </w:rPr>
              <w:t>）</w:t>
            </w:r>
          </w:p>
          <w:p w14:paraId="3D384FA0">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ascii="宋体" w:hAnsi="宋体" w:cs="宋体"/>
                <w:color w:val="auto"/>
                <w:highlight w:val="none"/>
              </w:rPr>
            </w:pPr>
            <w:r>
              <w:rPr>
                <w:rFonts w:hint="eastAsia" w:ascii="宋体" w:hAnsi="宋体" w:cs="宋体"/>
                <w:color w:val="auto"/>
                <w:highlight w:val="none"/>
              </w:rPr>
              <w:t>中国政府采购网（网址：http://www.ccgp.gov.cn）</w:t>
            </w:r>
          </w:p>
        </w:tc>
      </w:tr>
      <w:tr w14:paraId="51D9C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3B799B">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328E55">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中小企业预留</w:t>
            </w:r>
          </w:p>
          <w:p w14:paraId="156A8E02">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份额情况</w:t>
            </w:r>
          </w:p>
        </w:tc>
        <w:tc>
          <w:tcPr>
            <w:tcW w:w="664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C227881">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根据《政府采购促进中小企业发展管理办法》（财库〔2020〕46号）文件的规定，本项目(</w:t>
            </w:r>
            <w:r>
              <w:rPr>
                <w:rFonts w:hint="eastAsia" w:ascii="宋体" w:hAnsi="宋体" w:cs="宋体"/>
                <w:color w:val="auto"/>
                <w:highlight w:val="none"/>
                <w:lang w:eastAsia="zh-CN"/>
              </w:rPr>
              <w:t>☑</w:t>
            </w:r>
            <w:r>
              <w:rPr>
                <w:rFonts w:hint="eastAsia" w:ascii="宋体" w:hAnsi="宋体" w:cs="宋体"/>
                <w:color w:val="auto"/>
                <w:highlight w:val="none"/>
              </w:rPr>
              <w:t>是 /</w:t>
            </w:r>
            <w:r>
              <w:rPr>
                <w:rFonts w:hint="eastAsia" w:ascii="宋体" w:hAnsi="宋体" w:cs="宋体"/>
                <w:color w:val="auto"/>
                <w:highlight w:val="none"/>
              </w:rPr>
              <w:sym w:font="Wingdings 2" w:char="00A3"/>
            </w:r>
            <w:r>
              <w:rPr>
                <w:rFonts w:hint="eastAsia" w:ascii="宋体" w:hAnsi="宋体" w:cs="宋体"/>
                <w:color w:val="auto"/>
                <w:highlight w:val="none"/>
              </w:rPr>
              <w:t xml:space="preserve"> 否)属于专门面向中小企业采购的项目。</w:t>
            </w:r>
          </w:p>
        </w:tc>
      </w:tr>
      <w:tr w14:paraId="1D163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7205472">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FB91EA8">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中小企业</w:t>
            </w:r>
          </w:p>
          <w:p w14:paraId="14C09622">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优惠措施</w:t>
            </w:r>
          </w:p>
        </w:tc>
        <w:tc>
          <w:tcPr>
            <w:tcW w:w="664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3DD54F5">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1.项目属性：</w:t>
            </w:r>
            <w:r>
              <w:rPr>
                <w:rFonts w:hint="eastAsia" w:ascii="宋体" w:hAnsi="宋体" w:cs="宋体"/>
                <w:color w:val="auto"/>
                <w:highlight w:val="none"/>
                <w:u w:val="single"/>
              </w:rPr>
              <w:t xml:space="preserve"> 服务类 </w:t>
            </w:r>
            <w:r>
              <w:rPr>
                <w:rFonts w:hint="eastAsia" w:ascii="宋体" w:hAnsi="宋体" w:cs="宋体"/>
                <w:color w:val="auto"/>
                <w:highlight w:val="none"/>
              </w:rPr>
              <w:t>。</w:t>
            </w:r>
          </w:p>
          <w:p w14:paraId="182C0D7E">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2.中小企业划分标准所属行业（具体根据《中小企业划型标准规定》执行）：</w:t>
            </w:r>
          </w:p>
          <w:p w14:paraId="25C08D77">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采购标的：</w:t>
            </w:r>
            <w:r>
              <w:rPr>
                <w:rFonts w:hint="eastAsia" w:ascii="宋体" w:hAnsi="宋体" w:cs="宋体"/>
                <w:color w:val="auto"/>
                <w:szCs w:val="21"/>
                <w:highlight w:val="none"/>
                <w:u w:val="single"/>
                <w:lang w:eastAsia="zh-CN"/>
              </w:rPr>
              <w:t>台州市低效用地再开发试点项目</w:t>
            </w:r>
            <w:r>
              <w:rPr>
                <w:rFonts w:hint="eastAsia" w:ascii="宋体" w:hAnsi="宋体" w:cs="宋体"/>
                <w:color w:val="auto"/>
                <w:szCs w:val="21"/>
                <w:highlight w:val="none"/>
              </w:rPr>
              <w:t>，</w:t>
            </w:r>
          </w:p>
          <w:p w14:paraId="7C4F8FB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所属行业：</w:t>
            </w:r>
            <w:r>
              <w:rPr>
                <w:rFonts w:hint="eastAsia" w:ascii="宋体" w:hAnsi="宋体" w:cs="宋体"/>
                <w:color w:val="auto"/>
                <w:szCs w:val="21"/>
                <w:highlight w:val="none"/>
                <w:u w:val="single"/>
              </w:rPr>
              <w:t>（十六）其他未列明行业</w:t>
            </w:r>
            <w:r>
              <w:rPr>
                <w:rFonts w:hint="eastAsia" w:ascii="宋体" w:hAnsi="宋体" w:cs="宋体"/>
                <w:color w:val="auto"/>
                <w:szCs w:val="21"/>
                <w:highlight w:val="none"/>
              </w:rPr>
              <w:t>。</w:t>
            </w:r>
          </w:p>
          <w:p w14:paraId="0C195BF6">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3.属于享受政府采购支持政策的残疾人福利性单位，应符合财库〔2017〕141号文件规定，视同小型、微型企业，在投标文件中提供《残疾人福利性单位声明函》（见附件），享受评审中价格扣除政策。</w:t>
            </w:r>
          </w:p>
          <w:p w14:paraId="0D5A4CFB">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14:paraId="4F0963CA">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ascii="宋体" w:hAnsi="宋体" w:cs="宋体"/>
                <w:color w:val="auto"/>
                <w:highlight w:val="none"/>
              </w:rPr>
            </w:pPr>
            <w:r>
              <w:rPr>
                <w:rFonts w:hint="eastAsia" w:ascii="宋体" w:hAnsi="宋体" w:cs="宋体"/>
                <w:color w:val="auto"/>
                <w:highlight w:val="none"/>
              </w:rPr>
              <w:t>（注：未提供以上材料的，均不给予价格扣除）</w:t>
            </w:r>
          </w:p>
        </w:tc>
      </w:tr>
      <w:tr w14:paraId="7EADE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E4C60CA">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BDE1A91">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质疑渠道</w:t>
            </w:r>
          </w:p>
        </w:tc>
        <w:tc>
          <w:tcPr>
            <w:tcW w:w="664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2F72757">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ascii="宋体" w:hAnsi="宋体" w:cs="宋体"/>
                <w:color w:val="auto"/>
                <w:highlight w:val="none"/>
              </w:rPr>
            </w:pPr>
            <w:r>
              <w:rPr>
                <w:rFonts w:hint="eastAsia" w:ascii="宋体" w:hAnsi="宋体" w:cs="宋体"/>
                <w:color w:val="auto"/>
                <w:highlight w:val="none"/>
              </w:rPr>
              <w:t xml:space="preserve"> 政采云平台网上质疑系统。</w:t>
            </w:r>
          </w:p>
        </w:tc>
      </w:tr>
      <w:tr w14:paraId="65F45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83E8B45">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C0319C4">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lang w:val="zh-CN"/>
              </w:rPr>
              <w:t>实质性条款</w:t>
            </w:r>
          </w:p>
        </w:tc>
        <w:tc>
          <w:tcPr>
            <w:tcW w:w="664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7FF1E42">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ascii="宋体" w:hAnsi="宋体" w:cs="宋体"/>
                <w:color w:val="auto"/>
                <w:highlight w:val="none"/>
              </w:rPr>
            </w:pPr>
            <w:r>
              <w:rPr>
                <w:rFonts w:hint="eastAsia" w:ascii="宋体" w:hAnsi="宋体" w:cs="宋体"/>
                <w:color w:val="auto"/>
                <w:highlight w:val="none"/>
                <w:lang w:val="zh-CN"/>
              </w:rPr>
              <w:t>带“</w:t>
            </w:r>
            <w:r>
              <w:rPr>
                <w:rFonts w:hint="eastAsia" w:ascii="宋体" w:hAnsi="宋体" w:cs="宋体"/>
                <w:color w:val="auto"/>
                <w:highlight w:val="none"/>
              </w:rPr>
              <w:t>▲”的条款是实质性条款，投标文件须作出实质性响应，否则作无效投标处理。</w:t>
            </w:r>
          </w:p>
        </w:tc>
      </w:tr>
      <w:tr w14:paraId="55381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FF9C80">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2E1FE5F">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主要性能参数</w:t>
            </w:r>
          </w:p>
        </w:tc>
        <w:tc>
          <w:tcPr>
            <w:tcW w:w="664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25BB566">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ascii="宋体" w:hAnsi="宋体" w:cs="宋体"/>
                <w:color w:val="auto"/>
                <w:highlight w:val="none"/>
              </w:rPr>
            </w:pPr>
            <w:r>
              <w:rPr>
                <w:rFonts w:hint="eastAsia" w:ascii="宋体" w:hAnsi="宋体" w:cs="宋体"/>
                <w:color w:val="auto"/>
                <w:highlight w:val="none"/>
              </w:rPr>
              <w:t>带“★”的条款是主要性能参数。</w:t>
            </w:r>
          </w:p>
        </w:tc>
      </w:tr>
      <w:tr w14:paraId="1B0A5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53B3433">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13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D68C5C9">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书面形式</w:t>
            </w:r>
          </w:p>
        </w:tc>
        <w:tc>
          <w:tcPr>
            <w:tcW w:w="664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FD4C648">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ascii="宋体" w:hAnsi="宋体" w:cs="宋体"/>
                <w:color w:val="auto"/>
                <w:highlight w:val="none"/>
              </w:rPr>
            </w:pPr>
            <w:r>
              <w:rPr>
                <w:rFonts w:hint="eastAsia" w:ascii="宋体" w:hAnsi="宋体" w:cs="宋体"/>
                <w:color w:val="auto"/>
                <w:highlight w:val="none"/>
              </w:rPr>
              <w:t>包括电子邮件、信函、传真。</w:t>
            </w:r>
          </w:p>
        </w:tc>
      </w:tr>
      <w:tr w14:paraId="16208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B0EC031">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14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2B41708">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解释权</w:t>
            </w:r>
          </w:p>
        </w:tc>
        <w:tc>
          <w:tcPr>
            <w:tcW w:w="664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581A589">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ascii="宋体" w:hAnsi="宋体" w:cs="宋体"/>
                <w:color w:val="auto"/>
                <w:highlight w:val="none"/>
              </w:rPr>
            </w:pPr>
            <w:r>
              <w:rPr>
                <w:rFonts w:hint="eastAsia" w:ascii="宋体" w:hAnsi="宋体" w:cs="宋体"/>
                <w:color w:val="auto"/>
                <w:highlight w:val="none"/>
              </w:rPr>
              <w:t>本招标文件解释权属于采购人和采购组织机构。</w:t>
            </w:r>
          </w:p>
        </w:tc>
      </w:tr>
      <w:tr w14:paraId="0D03F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D37933F">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CF5D28B">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投标报价及费用</w:t>
            </w:r>
          </w:p>
        </w:tc>
        <w:tc>
          <w:tcPr>
            <w:tcW w:w="664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B1C1278">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本项目投标应以人民币报价；</w:t>
            </w:r>
          </w:p>
          <w:p w14:paraId="6AE7B336">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不论投标结果如何，</w:t>
            </w:r>
            <w:r>
              <w:rPr>
                <w:rFonts w:hint="eastAsia" w:ascii="宋体" w:hAnsi="宋体" w:cs="宋体"/>
                <w:color w:val="auto"/>
                <w:highlight w:val="none"/>
                <w:lang w:eastAsia="zh-CN"/>
              </w:rPr>
              <w:t>供应商</w:t>
            </w:r>
            <w:r>
              <w:rPr>
                <w:rFonts w:hint="eastAsia" w:ascii="宋体" w:hAnsi="宋体" w:cs="宋体"/>
                <w:color w:val="auto"/>
                <w:highlight w:val="none"/>
              </w:rPr>
              <w:t>均应自行承担所有与投标有关的全部费用；</w:t>
            </w:r>
          </w:p>
          <w:p w14:paraId="5DF35DD6">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ascii="宋体" w:hAnsi="宋体" w:cs="宋体"/>
                <w:color w:val="auto"/>
                <w:highlight w:val="none"/>
              </w:rPr>
            </w:pPr>
            <w:r>
              <w:rPr>
                <w:rFonts w:hint="eastAsia" w:ascii="宋体" w:hAnsi="宋体" w:cs="宋体"/>
                <w:color w:val="auto"/>
                <w:highlight w:val="none"/>
              </w:rPr>
              <w:t>本项目招标代理服务费</w:t>
            </w:r>
            <w:r>
              <w:rPr>
                <w:rFonts w:hint="eastAsia" w:ascii="宋体" w:hAnsi="宋体" w:cs="宋体"/>
                <w:color w:val="auto"/>
                <w:highlight w:val="none"/>
                <w:lang w:val="en-US" w:eastAsia="zh-CN"/>
              </w:rPr>
              <w:t>标项一15500元，标项二9500</w:t>
            </w:r>
            <w:r>
              <w:rPr>
                <w:rFonts w:hint="eastAsia" w:ascii="宋体" w:hAnsi="宋体" w:cs="宋体"/>
                <w:color w:val="auto"/>
                <w:highlight w:val="none"/>
              </w:rPr>
              <w:t>元由</w:t>
            </w:r>
            <w:r>
              <w:rPr>
                <w:rFonts w:hint="eastAsia" w:ascii="宋体" w:hAnsi="宋体" w:cs="宋体"/>
                <w:color w:val="auto"/>
                <w:highlight w:val="none"/>
                <w:lang w:val="en-US" w:eastAsia="zh-CN"/>
              </w:rPr>
              <w:t>各标段的</w:t>
            </w:r>
            <w:r>
              <w:rPr>
                <w:rFonts w:hint="eastAsia" w:ascii="宋体" w:hAnsi="宋体" w:cs="宋体"/>
                <w:color w:val="auto"/>
                <w:highlight w:val="none"/>
              </w:rPr>
              <w:t>中标单位</w:t>
            </w:r>
            <w:r>
              <w:rPr>
                <w:rFonts w:hint="eastAsia" w:ascii="宋体" w:hAnsi="宋体" w:cs="宋体"/>
                <w:color w:val="auto"/>
                <w:highlight w:val="none"/>
                <w:lang w:val="en-US" w:eastAsia="zh-CN"/>
              </w:rPr>
              <w:t>分别</w:t>
            </w:r>
            <w:r>
              <w:rPr>
                <w:rFonts w:hint="eastAsia" w:ascii="宋体" w:hAnsi="宋体" w:cs="宋体"/>
                <w:color w:val="auto"/>
                <w:highlight w:val="none"/>
              </w:rPr>
              <w:t>支付，请各</w:t>
            </w:r>
            <w:r>
              <w:rPr>
                <w:rFonts w:hint="eastAsia" w:ascii="宋体" w:hAnsi="宋体" w:cs="宋体"/>
                <w:color w:val="auto"/>
                <w:highlight w:val="none"/>
                <w:lang w:eastAsia="zh-CN"/>
              </w:rPr>
              <w:t>供应商</w:t>
            </w:r>
            <w:r>
              <w:rPr>
                <w:rFonts w:hint="eastAsia" w:ascii="宋体" w:hAnsi="宋体" w:cs="宋体"/>
                <w:color w:val="auto"/>
                <w:highlight w:val="none"/>
              </w:rPr>
              <w:t>报价时综合考虑。</w:t>
            </w:r>
          </w:p>
        </w:tc>
      </w:tr>
    </w:tbl>
    <w:p w14:paraId="7724BF3C">
      <w:pP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br w:type="page"/>
      </w:r>
    </w:p>
    <w:p w14:paraId="6EBBBCEF">
      <w:pPr>
        <w:pStyle w:val="12"/>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二、说 明</w:t>
      </w:r>
    </w:p>
    <w:p w14:paraId="3AD80B26">
      <w:pPr>
        <w:pStyle w:val="13"/>
        <w:numPr>
          <w:ilvl w:val="0"/>
          <w:numId w:val="6"/>
        </w:numPr>
        <w:spacing w:line="360" w:lineRule="auto"/>
        <w:ind w:left="0" w:leftChars="0"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总则</w:t>
      </w:r>
    </w:p>
    <w:p w14:paraId="6A1B6B77">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color w:val="auto"/>
          <w:sz w:val="24"/>
          <w:highlight w:val="none"/>
        </w:rPr>
        <w:t>浙江省</w:t>
      </w:r>
      <w:r>
        <w:rPr>
          <w:rFonts w:asciiTheme="minorEastAsia" w:hAnsiTheme="minorEastAsia" w:eastAsiaTheme="minorEastAsia"/>
          <w:color w:val="auto"/>
          <w:sz w:val="24"/>
          <w:highlight w:val="none"/>
        </w:rPr>
        <w:t>有关法律、法规、规章编制。</w:t>
      </w:r>
    </w:p>
    <w:p w14:paraId="5365380A">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供应商</w:t>
      </w:r>
      <w:r>
        <w:rPr>
          <w:rFonts w:asciiTheme="minorEastAsia" w:hAnsiTheme="minorEastAsia" w:eastAsiaTheme="minorEastAsia"/>
          <w:color w:val="auto"/>
          <w:sz w:val="24"/>
          <w:highlight w:val="none"/>
        </w:rPr>
        <w:t>应仔细阅读本项目招标公告及招标文件的所有内容（包括变更、补充、澄清以及修改等，且均为招标文件的组成部分），按照招标文件要求以及格式编制投标文件，并保证其真实性，否则</w:t>
      </w:r>
      <w:r>
        <w:rPr>
          <w:rFonts w:hint="eastAsia"/>
          <w:color w:val="auto"/>
          <w:sz w:val="24"/>
          <w:highlight w:val="none"/>
        </w:rPr>
        <w:t>由此引起的一切后果应由</w:t>
      </w:r>
      <w:r>
        <w:rPr>
          <w:rFonts w:hint="eastAsia" w:asciiTheme="minorEastAsia" w:hAnsiTheme="minorEastAsia" w:eastAsiaTheme="minorEastAsia"/>
          <w:color w:val="auto"/>
          <w:sz w:val="24"/>
          <w:highlight w:val="none"/>
          <w:lang w:eastAsia="zh-CN"/>
        </w:rPr>
        <w:t>供应商</w:t>
      </w:r>
      <w:r>
        <w:rPr>
          <w:rFonts w:hint="eastAsia"/>
          <w:color w:val="auto"/>
          <w:sz w:val="24"/>
          <w:highlight w:val="none"/>
        </w:rPr>
        <w:t>承担。</w:t>
      </w:r>
    </w:p>
    <w:p w14:paraId="6678229A">
      <w:pPr>
        <w:numPr>
          <w:ilvl w:val="0"/>
          <w:numId w:val="6"/>
        </w:numPr>
        <w:snapToGri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适用范围</w:t>
      </w:r>
    </w:p>
    <w:p w14:paraId="367E0B7B">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本招标文件适用于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项目的招标、投标、评标、定标、验收、合同履约、付款等行为（法律、法规另有规定的，从其规定）。</w:t>
      </w:r>
    </w:p>
    <w:p w14:paraId="471089E3">
      <w:pPr>
        <w:pStyle w:val="2"/>
        <w:spacing w:line="360" w:lineRule="auto"/>
        <w:ind w:firstLine="480" w:firstLineChars="200"/>
        <w:rPr>
          <w:color w:val="auto"/>
          <w:highlight w:val="none"/>
        </w:rPr>
      </w:pPr>
      <w:r>
        <w:rPr>
          <w:color w:val="auto"/>
          <w:highlight w:val="none"/>
        </w:rPr>
        <w:t>本招标文件仅适用于本次招标公告中所涉及的项目和内容。</w:t>
      </w:r>
    </w:p>
    <w:p w14:paraId="1D879030">
      <w:pPr>
        <w:snapToGrid w:val="0"/>
        <w:spacing w:before="156" w:beforeLines="50"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（三）当事人</w:t>
      </w:r>
    </w:p>
    <w:p w14:paraId="46CD9E70">
      <w:pPr>
        <w:pStyle w:val="6"/>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color w:val="auto"/>
          <w:sz w:val="24"/>
          <w:szCs w:val="24"/>
          <w:highlight w:val="none"/>
        </w:rPr>
      </w:pPr>
      <w:r>
        <w:rPr>
          <w:rFonts w:hint="eastAsia" w:asciiTheme="minorEastAsia" w:hAnsiTheme="minorEastAsia" w:eastAsiaTheme="minorEastAsia"/>
          <w:color w:val="auto"/>
          <w:sz w:val="24"/>
          <w:szCs w:val="24"/>
          <w:highlight w:val="none"/>
        </w:rPr>
        <w:t>1.</w:t>
      </w:r>
      <w:r>
        <w:rPr>
          <w:rFonts w:hint="eastAsia"/>
          <w:bCs w:val="0"/>
          <w:color w:val="auto"/>
          <w:sz w:val="24"/>
          <w:szCs w:val="24"/>
          <w:highlight w:val="none"/>
          <w:lang w:val="zh-CN"/>
        </w:rPr>
        <w:t>采购组织机构：</w:t>
      </w:r>
      <w:r>
        <w:rPr>
          <w:rFonts w:hint="eastAsia" w:asciiTheme="minorEastAsia" w:hAnsiTheme="minorEastAsia" w:eastAsiaTheme="minorEastAsia"/>
          <w:color w:val="auto"/>
          <w:sz w:val="24"/>
          <w:szCs w:val="24"/>
          <w:highlight w:val="none"/>
        </w:rPr>
        <w:t>是</w:t>
      </w:r>
      <w:r>
        <w:rPr>
          <w:rFonts w:hint="eastAsia"/>
          <w:bCs w:val="0"/>
          <w:color w:val="auto"/>
          <w:sz w:val="24"/>
          <w:szCs w:val="24"/>
          <w:highlight w:val="none"/>
          <w:lang w:val="zh-CN"/>
        </w:rPr>
        <w:t>指采购人委托组织招标的集中采购机构</w:t>
      </w:r>
      <w:r>
        <w:rPr>
          <w:rFonts w:hint="eastAsia" w:cs="Arial"/>
          <w:bCs w:val="0"/>
          <w:color w:val="auto"/>
          <w:sz w:val="24"/>
          <w:szCs w:val="24"/>
          <w:highlight w:val="none"/>
        </w:rPr>
        <w:t>或</w:t>
      </w:r>
      <w:r>
        <w:rPr>
          <w:rFonts w:hint="eastAsia"/>
          <w:bCs w:val="0"/>
          <w:color w:val="auto"/>
          <w:sz w:val="24"/>
          <w:szCs w:val="24"/>
          <w:highlight w:val="none"/>
          <w:lang w:val="zh-CN"/>
        </w:rPr>
        <w:t>采购代理机构；</w:t>
      </w:r>
    </w:p>
    <w:p w14:paraId="69D476C9">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2.采购人：是指依法进行政府采购的国家机关、事业单位和团体组织；</w:t>
      </w:r>
    </w:p>
    <w:p w14:paraId="1F004E96">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sz w:val="24"/>
          <w:highlight w:val="none"/>
        </w:rPr>
        <w:t>：是</w:t>
      </w:r>
      <w:r>
        <w:rPr>
          <w:rFonts w:asciiTheme="minorEastAsia" w:hAnsiTheme="minorEastAsia" w:eastAsiaTheme="minorEastAsia"/>
          <w:color w:val="auto"/>
          <w:sz w:val="24"/>
          <w:highlight w:val="none"/>
        </w:rPr>
        <w:t>指</w:t>
      </w:r>
      <w:r>
        <w:rPr>
          <w:rFonts w:hint="eastAsia" w:asciiTheme="minorEastAsia" w:hAnsiTheme="minorEastAsia" w:eastAsiaTheme="minorEastAsia"/>
          <w:color w:val="auto"/>
          <w:sz w:val="24"/>
          <w:highlight w:val="none"/>
        </w:rPr>
        <w:t>响应招标、参加投标竞争的法人、其他组织或者自然人；</w:t>
      </w:r>
    </w:p>
    <w:p w14:paraId="7162B949">
      <w:pPr>
        <w:snapToGri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rPr>
        <w:t>4.</w:t>
      </w:r>
      <w:r>
        <w:rPr>
          <w:rFonts w:hint="eastAsia" w:ascii="宋体" w:hAnsi="宋体"/>
          <w:color w:val="auto"/>
          <w:sz w:val="24"/>
          <w:highlight w:val="none"/>
          <w:lang w:val="zh-CN"/>
        </w:rPr>
        <w:t>中标</w:t>
      </w:r>
      <w:r>
        <w:rPr>
          <w:rFonts w:hint="eastAsia" w:ascii="宋体" w:hAnsi="宋体"/>
          <w:color w:val="auto"/>
          <w:sz w:val="24"/>
          <w:highlight w:val="none"/>
        </w:rPr>
        <w:t>人</w:t>
      </w:r>
      <w:r>
        <w:rPr>
          <w:rFonts w:hint="eastAsia" w:ascii="宋体" w:hAnsi="宋体"/>
          <w:color w:val="auto"/>
          <w:sz w:val="24"/>
          <w:highlight w:val="none"/>
          <w:lang w:val="zh-CN"/>
        </w:rPr>
        <w:t>：是指经评</w:t>
      </w:r>
      <w:r>
        <w:rPr>
          <w:rFonts w:hint="eastAsia" w:ascii="宋体" w:hAnsi="宋体"/>
          <w:color w:val="auto"/>
          <w:sz w:val="24"/>
          <w:highlight w:val="none"/>
        </w:rPr>
        <w:t>标</w:t>
      </w:r>
      <w:r>
        <w:rPr>
          <w:rFonts w:hint="eastAsia" w:ascii="宋体" w:hAnsi="宋体"/>
          <w:color w:val="auto"/>
          <w:sz w:val="24"/>
          <w:highlight w:val="none"/>
          <w:lang w:val="zh-CN"/>
        </w:rPr>
        <w:t>委员会评审确定的对招标文件</w:t>
      </w:r>
      <w:r>
        <w:rPr>
          <w:rFonts w:hint="eastAsia" w:ascii="宋体" w:hAnsi="宋体"/>
          <w:color w:val="auto"/>
          <w:sz w:val="24"/>
          <w:highlight w:val="none"/>
        </w:rPr>
        <w:t>作</w:t>
      </w:r>
      <w:r>
        <w:rPr>
          <w:rFonts w:hint="eastAsia" w:ascii="宋体" w:hAnsi="宋体"/>
          <w:color w:val="auto"/>
          <w:sz w:val="24"/>
          <w:highlight w:val="none"/>
          <w:lang w:val="zh-CN"/>
        </w:rPr>
        <w:t>出实质性响应，经采购人按照规定在评</w:t>
      </w:r>
      <w:r>
        <w:rPr>
          <w:rFonts w:hint="eastAsia" w:ascii="宋体" w:hAnsi="宋体"/>
          <w:color w:val="auto"/>
          <w:sz w:val="24"/>
          <w:highlight w:val="none"/>
        </w:rPr>
        <w:t>标</w:t>
      </w:r>
      <w:r>
        <w:rPr>
          <w:rFonts w:hint="eastAsia" w:ascii="宋体" w:hAnsi="宋体"/>
          <w:color w:val="auto"/>
          <w:sz w:val="24"/>
          <w:highlight w:val="none"/>
          <w:lang w:val="zh-CN"/>
        </w:rPr>
        <w:t>委员会推荐的中标候选人中确定的或受采购人委托直接确认的，与采购人签订合同资格的</w:t>
      </w:r>
      <w:r>
        <w:rPr>
          <w:rFonts w:hint="eastAsia" w:asciiTheme="minorEastAsia" w:hAnsiTheme="minorEastAsia" w:eastAsiaTheme="minorEastAsia"/>
          <w:color w:val="auto"/>
          <w:sz w:val="24"/>
          <w:highlight w:val="none"/>
          <w:lang w:eastAsia="zh-CN"/>
        </w:rPr>
        <w:t>供应商</w:t>
      </w:r>
      <w:r>
        <w:rPr>
          <w:rFonts w:hint="eastAsia" w:ascii="宋体" w:hAnsi="宋体"/>
          <w:color w:val="auto"/>
          <w:sz w:val="24"/>
          <w:highlight w:val="none"/>
        </w:rPr>
        <w:t>；</w:t>
      </w:r>
    </w:p>
    <w:p w14:paraId="2289BE71">
      <w:pPr>
        <w:snapToGrid w:val="0"/>
        <w:spacing w:line="360" w:lineRule="auto"/>
        <w:ind w:firstLine="480" w:firstLineChars="200"/>
        <w:rPr>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val="zh-CN"/>
        </w:rPr>
        <w:t>.</w:t>
      </w:r>
      <w:r>
        <w:rPr>
          <w:rFonts w:hint="eastAsia" w:ascii="宋体" w:hAnsi="宋体"/>
          <w:color w:val="auto"/>
          <w:sz w:val="24"/>
          <w:highlight w:val="none"/>
        </w:rPr>
        <w:t>联合体：</w:t>
      </w:r>
      <w:r>
        <w:rPr>
          <w:rFonts w:hint="eastAsia"/>
          <w:color w:val="auto"/>
          <w:sz w:val="24"/>
          <w:highlight w:val="none"/>
        </w:rPr>
        <w:t>两个或两个以上法人或者其他组织可以组成一个联合体，以一个</w:t>
      </w:r>
      <w:r>
        <w:rPr>
          <w:rFonts w:hint="eastAsia" w:asciiTheme="minorEastAsia" w:hAnsiTheme="minorEastAsia" w:eastAsiaTheme="minorEastAsia"/>
          <w:color w:val="auto"/>
          <w:sz w:val="24"/>
          <w:highlight w:val="none"/>
          <w:lang w:eastAsia="zh-CN"/>
        </w:rPr>
        <w:t>供应商</w:t>
      </w:r>
      <w:r>
        <w:rPr>
          <w:rFonts w:hint="eastAsia"/>
          <w:color w:val="auto"/>
          <w:sz w:val="24"/>
          <w:highlight w:val="none"/>
        </w:rPr>
        <w:t>的身份共同投标。</w:t>
      </w:r>
    </w:p>
    <w:p w14:paraId="0C8D3BE0">
      <w:pPr>
        <w:snapToGrid w:val="0"/>
        <w:spacing w:line="360" w:lineRule="auto"/>
        <w:ind w:firstLine="482" w:firstLineChars="200"/>
        <w:rPr>
          <w:b/>
          <w:bCs/>
          <w:color w:val="auto"/>
          <w:sz w:val="24"/>
          <w:highlight w:val="none"/>
        </w:rPr>
      </w:pPr>
      <w:r>
        <w:rPr>
          <w:rFonts w:hint="eastAsia"/>
          <w:b/>
          <w:bCs/>
          <w:color w:val="auto"/>
          <w:sz w:val="24"/>
          <w:highlight w:val="none"/>
        </w:rPr>
        <w:t>（四）</w:t>
      </w:r>
      <w:r>
        <w:rPr>
          <w:b/>
          <w:bCs/>
          <w:color w:val="auto"/>
          <w:sz w:val="24"/>
          <w:highlight w:val="none"/>
        </w:rPr>
        <w:t>以联合体形式投标的，应符合以下规定</w:t>
      </w:r>
    </w:p>
    <w:p w14:paraId="77676EBF">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1.联</w:t>
      </w:r>
      <w:r>
        <w:rPr>
          <w:color w:val="auto"/>
          <w:sz w:val="24"/>
          <w:highlight w:val="none"/>
        </w:rPr>
        <w:t>合体各方应签订联合体协议书，明确联合体牵头人和各方权利义务，并作为投标文件组成分部分</w:t>
      </w:r>
      <w:r>
        <w:rPr>
          <w:rFonts w:hint="eastAsia"/>
          <w:color w:val="auto"/>
          <w:sz w:val="24"/>
          <w:highlight w:val="none"/>
        </w:rPr>
        <w:t>；</w:t>
      </w:r>
    </w:p>
    <w:p w14:paraId="3D2BFCEA">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2.联</w:t>
      </w:r>
      <w:r>
        <w:rPr>
          <w:color w:val="auto"/>
          <w:sz w:val="24"/>
          <w:highlight w:val="none"/>
        </w:rPr>
        <w:t>合体各方均应当具备</w:t>
      </w:r>
      <w:r>
        <w:rPr>
          <w:rFonts w:hint="eastAsia" w:ascii="宋体" w:hAnsi="宋体"/>
          <w:color w:val="auto"/>
          <w:sz w:val="24"/>
          <w:highlight w:val="none"/>
          <w:lang w:val="zh-CN"/>
        </w:rPr>
        <w:t>《中华人民共和国政府采购法》</w:t>
      </w:r>
      <w:r>
        <w:rPr>
          <w:color w:val="auto"/>
          <w:sz w:val="24"/>
          <w:highlight w:val="none"/>
        </w:rPr>
        <w:t>第二十二条规定的条件，并在投标文件中提供联合体各方的相关证明材料</w:t>
      </w:r>
      <w:r>
        <w:rPr>
          <w:rFonts w:hint="eastAsia"/>
          <w:color w:val="auto"/>
          <w:sz w:val="24"/>
          <w:highlight w:val="none"/>
        </w:rPr>
        <w:t>；</w:t>
      </w:r>
    </w:p>
    <w:p w14:paraId="0DDFE8F9">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3.联合体成员存在不良信用记录的，视同联合体存在不良信用记录；</w:t>
      </w:r>
    </w:p>
    <w:p w14:paraId="7A6A2564">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hint="eastAsia" w:ascii="宋体" w:hAnsi="宋体" w:cs="宋体"/>
          <w:color w:val="auto"/>
          <w:sz w:val="24"/>
          <w:highlight w:val="none"/>
          <w:lang w:val="en-US" w:eastAsia="zh-CN"/>
        </w:rPr>
        <w:t>由同一专业的单位组成的联合体，按照资质等级较低的单位确定资质等级</w:t>
      </w:r>
      <w:r>
        <w:rPr>
          <w:rFonts w:hint="eastAsia" w:asciiTheme="minorEastAsia" w:hAnsiTheme="minorEastAsia" w:eastAsiaTheme="minorEastAsia"/>
          <w:color w:val="auto"/>
          <w:sz w:val="24"/>
          <w:highlight w:val="none"/>
        </w:rPr>
        <w:t>；</w:t>
      </w:r>
    </w:p>
    <w:p w14:paraId="443E2EDB">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5.联合体各方不得再以自己名义单独在同一合同项中投标，也不得组成新的联合体参加同一项目投标；</w:t>
      </w:r>
    </w:p>
    <w:p w14:paraId="73F3B942">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6.联合体各方应当共同与采购人签订采购合同，就合同约定的事项对采购人承担连带责任；</w:t>
      </w:r>
    </w:p>
    <w:p w14:paraId="415798D3">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7.投标</w:t>
      </w:r>
      <w:r>
        <w:rPr>
          <w:color w:val="auto"/>
          <w:sz w:val="24"/>
          <w:highlight w:val="none"/>
        </w:rPr>
        <w:t>时，应以联合体协议中确定的主体方名义投标，对联合体各方均具有约束力。</w:t>
      </w:r>
    </w:p>
    <w:p w14:paraId="2BE5B280">
      <w:pPr>
        <w:snapToGrid w:val="0"/>
        <w:spacing w:line="360" w:lineRule="auto"/>
        <w:ind w:firstLine="482" w:firstLineChars="200"/>
        <w:rPr>
          <w:b/>
          <w:bCs/>
          <w:color w:val="auto"/>
          <w:sz w:val="24"/>
          <w:highlight w:val="none"/>
        </w:rPr>
      </w:pPr>
      <w:r>
        <w:rPr>
          <w:rFonts w:hint="eastAsia"/>
          <w:b/>
          <w:bCs/>
          <w:color w:val="auto"/>
          <w:sz w:val="24"/>
          <w:highlight w:val="none"/>
        </w:rPr>
        <w:t>（五）</w:t>
      </w:r>
      <w:r>
        <w:rPr>
          <w:b/>
          <w:bCs/>
          <w:color w:val="auto"/>
          <w:sz w:val="24"/>
          <w:highlight w:val="none"/>
        </w:rPr>
        <w:t>语言文字以及度量衡单位</w:t>
      </w:r>
    </w:p>
    <w:p w14:paraId="2F26A258">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1.投标文件以及</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sz w:val="24"/>
          <w:highlight w:val="none"/>
        </w:rPr>
        <w:t>与</w:t>
      </w:r>
      <w:r>
        <w:rPr>
          <w:rFonts w:hint="eastAsia" w:ascii="宋体" w:hAnsi="宋体" w:cs="宋体"/>
          <w:color w:val="auto"/>
          <w:kern w:val="0"/>
          <w:sz w:val="24"/>
          <w:highlight w:val="none"/>
        </w:rPr>
        <w:t>集</w:t>
      </w:r>
      <w:r>
        <w:rPr>
          <w:rFonts w:hint="eastAsia" w:hAnsi="宋体" w:cs="宋体"/>
          <w:color w:val="auto"/>
          <w:kern w:val="0"/>
          <w:sz w:val="24"/>
          <w:highlight w:val="none"/>
        </w:rPr>
        <w:t>中</w:t>
      </w:r>
      <w:r>
        <w:rPr>
          <w:rFonts w:hint="eastAsia" w:ascii="宋体" w:hAnsi="宋体" w:cs="宋体"/>
          <w:color w:val="auto"/>
          <w:kern w:val="0"/>
          <w:sz w:val="24"/>
          <w:highlight w:val="none"/>
        </w:rPr>
        <w:t>采购机构/采购代理机构名称</w:t>
      </w:r>
      <w:r>
        <w:rPr>
          <w:rFonts w:hint="eastAsia" w:asciiTheme="minorEastAsia" w:hAnsiTheme="minorEastAsia" w:eastAsiaTheme="minorEastAsia"/>
          <w:color w:val="auto"/>
          <w:sz w:val="24"/>
          <w:highlight w:val="none"/>
        </w:rPr>
        <w:t>就有关投标事宜的所有来往函电，均应以中文汉语书写，除签字、盖章、专用名称等特殊情形外。投标资料提供外文证书或者外国语视听资料的，应当附有中文译本，由翻译机构盖章或者翻译人员签名。</w:t>
      </w:r>
    </w:p>
    <w:p w14:paraId="343D2749">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2.所有计量均采用中国法定的计量单位。</w:t>
      </w:r>
      <w:bookmarkStart w:id="83" w:name="_GoBack"/>
      <w:bookmarkEnd w:id="83"/>
    </w:p>
    <w:p w14:paraId="028551E3">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3.所有</w:t>
      </w:r>
      <w:r>
        <w:rPr>
          <w:color w:val="auto"/>
          <w:sz w:val="24"/>
          <w:highlight w:val="none"/>
        </w:rPr>
        <w:t>报价一律使用人民币，货币单位：元。</w:t>
      </w:r>
    </w:p>
    <w:p w14:paraId="54E100C6">
      <w:pPr>
        <w:snapToGrid w:val="0"/>
        <w:spacing w:line="360" w:lineRule="auto"/>
        <w:ind w:firstLine="482" w:firstLineChars="200"/>
        <w:rPr>
          <w:b/>
          <w:bCs/>
          <w:color w:val="auto"/>
          <w:sz w:val="24"/>
          <w:highlight w:val="none"/>
        </w:rPr>
      </w:pPr>
      <w:r>
        <w:rPr>
          <w:rFonts w:hint="eastAsia"/>
          <w:b/>
          <w:bCs/>
          <w:color w:val="auto"/>
          <w:sz w:val="24"/>
          <w:highlight w:val="none"/>
        </w:rPr>
        <w:t>（六）</w:t>
      </w:r>
      <w:r>
        <w:rPr>
          <w:b/>
          <w:bCs/>
          <w:color w:val="auto"/>
          <w:sz w:val="24"/>
          <w:highlight w:val="none"/>
        </w:rPr>
        <w:t>现场踏勘</w:t>
      </w:r>
    </w:p>
    <w:p w14:paraId="1B7DA6C5">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1.招标文件规定组织踏勘现场的，采购人按招标文件规定的时间、地点组织</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sz w:val="24"/>
          <w:highlight w:val="none"/>
        </w:rPr>
        <w:t>踏勘项目现场。</w:t>
      </w:r>
    </w:p>
    <w:p w14:paraId="627A893F">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sz w:val="24"/>
          <w:highlight w:val="none"/>
        </w:rPr>
        <w:t>自行承担踏勘现场发生的责任、风险和自身费用。</w:t>
      </w:r>
    </w:p>
    <w:p w14:paraId="72E9EC83">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3.采购人</w:t>
      </w:r>
      <w:r>
        <w:rPr>
          <w:color w:val="auto"/>
          <w:sz w:val="24"/>
          <w:highlight w:val="none"/>
        </w:rPr>
        <w:t>在踏勘现场中介绍的资料和数据等，不构成对招标文件的修改或不作为</w:t>
      </w:r>
      <w:r>
        <w:rPr>
          <w:rFonts w:hint="eastAsia" w:asciiTheme="minorEastAsia" w:hAnsiTheme="minorEastAsia" w:eastAsiaTheme="minorEastAsia"/>
          <w:color w:val="auto"/>
          <w:sz w:val="24"/>
          <w:highlight w:val="none"/>
          <w:lang w:eastAsia="zh-CN"/>
        </w:rPr>
        <w:t>供应商</w:t>
      </w:r>
      <w:r>
        <w:rPr>
          <w:color w:val="auto"/>
          <w:sz w:val="24"/>
          <w:highlight w:val="none"/>
        </w:rPr>
        <w:t>编制投标文件的依据。</w:t>
      </w:r>
    </w:p>
    <w:p w14:paraId="22FFBEB3">
      <w:pPr>
        <w:pStyle w:val="12"/>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（七）特别说明</w:t>
      </w:r>
    </w:p>
    <w:p w14:paraId="503F2410">
      <w:pPr>
        <w:pStyle w:val="12"/>
        <w:snapToGrid w:val="0"/>
        <w:spacing w:line="360" w:lineRule="auto"/>
        <w:ind w:left="2" w:leftChars="1"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eastAsia="zh-CN"/>
        </w:rPr>
        <w:t>供应商</w:t>
      </w:r>
      <w:r>
        <w:rPr>
          <w:rFonts w:asciiTheme="minorEastAsia" w:hAnsiTheme="minorEastAsia" w:eastAsiaTheme="minorEastAsia"/>
          <w:color w:val="auto"/>
          <w:sz w:val="24"/>
          <w:highlight w:val="none"/>
        </w:rPr>
        <w:t>投标所使用的资格、信誉、荣誉、业绩与企业认证必须为本法人所拥有</w:t>
      </w:r>
      <w:r>
        <w:rPr>
          <w:rFonts w:hint="eastAsia" w:asciiTheme="minorEastAsia" w:hAnsiTheme="minorEastAsia" w:eastAsiaTheme="minorEastAsia"/>
          <w:color w:val="auto"/>
          <w:sz w:val="24"/>
          <w:highlight w:val="none"/>
        </w:rPr>
        <w:t>且所提供的资料都是真实有效的</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供应商</w:t>
      </w:r>
      <w:r>
        <w:rPr>
          <w:rFonts w:asciiTheme="minorEastAsia" w:hAnsiTheme="minorEastAsia" w:eastAsiaTheme="minorEastAsia"/>
          <w:color w:val="auto"/>
          <w:sz w:val="24"/>
          <w:highlight w:val="none"/>
        </w:rPr>
        <w:t>投标所使用的采购项目实施人员必须为本法人员工。</w:t>
      </w:r>
    </w:p>
    <w:p w14:paraId="7F05E36E">
      <w:pPr>
        <w:pStyle w:val="27"/>
        <w:snapToGrid w:val="0"/>
        <w:spacing w:line="360" w:lineRule="auto"/>
        <w:ind w:firstLine="480"/>
        <w:rPr>
          <w:rFonts w:ascii="宋体" w:hAnsi="宋体" w:cs="宋体"/>
          <w:color w:val="auto"/>
          <w:sz w:val="24"/>
          <w:szCs w:val="24"/>
          <w:highlight w:val="none"/>
        </w:rPr>
      </w:pPr>
      <w:r>
        <w:rPr>
          <w:rFonts w:hint="eastAsia" w:asciiTheme="minorEastAsia" w:hAnsiTheme="minorEastAsia" w:eastAsiaTheme="minorEastAsia" w:cstheme="minorBidi"/>
          <w:color w:val="auto"/>
          <w:sz w:val="24"/>
          <w:szCs w:val="24"/>
          <w:highlight w:val="none"/>
        </w:rPr>
        <w:t>2.</w:t>
      </w:r>
      <w:r>
        <w:rPr>
          <w:rFonts w:hint="eastAsia" w:ascii="宋体" w:hAnsi="宋体" w:cs="宋体"/>
          <w:color w:val="auto"/>
          <w:sz w:val="24"/>
          <w:szCs w:val="24"/>
          <w:highlight w:val="none"/>
        </w:rPr>
        <w:t>本招标文件中关于电子招投标的内容、流程，如与政采云系统中最新的内容、操作不一致的，以政采云系统中的要求为准。</w:t>
      </w:r>
    </w:p>
    <w:p w14:paraId="291B71CC">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三、招标文件</w:t>
      </w:r>
    </w:p>
    <w:p w14:paraId="4EA23B3C">
      <w:pPr>
        <w:pStyle w:val="27"/>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（一）招标文件由招标文件目录所列内容组成。</w:t>
      </w:r>
    </w:p>
    <w:p w14:paraId="2F3DDFED">
      <w:pPr>
        <w:pStyle w:val="27"/>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（二）</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stheme="minorBidi"/>
          <w:color w:val="auto"/>
          <w:sz w:val="24"/>
          <w:highlight w:val="none"/>
        </w:rPr>
        <w:t>在规定的时间内未对招标文件提出疑问、质疑或要求澄清的，将视其为无异议。</w:t>
      </w:r>
    </w:p>
    <w:p w14:paraId="6CDD737D">
      <w:pPr>
        <w:pStyle w:val="27"/>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（三）对招标文件中描述有歧义或前后不一致的地方，评标委员会有权进行评判，但对同一条款的评判应适用于每个</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stheme="minorBidi"/>
          <w:color w:val="auto"/>
          <w:sz w:val="24"/>
          <w:highlight w:val="none"/>
        </w:rPr>
        <w:t>。</w:t>
      </w:r>
    </w:p>
    <w:p w14:paraId="3B4C7FD1">
      <w:pPr>
        <w:pStyle w:val="27"/>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（四）采购组织机构对招标文件进行必要的澄清更正的，澄清或者修改的内容可能影响投标文件编制的，于投标截止时间的15日前在浙江省政府采购网上以更正公告的形式通知各潜在的</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stheme="minorBidi"/>
          <w:color w:val="auto"/>
          <w:sz w:val="24"/>
          <w:highlight w:val="none"/>
        </w:rPr>
        <w:t>；不足15日的，采购组织机构应当顺延提交投标文件的截止时间。</w:t>
      </w:r>
    </w:p>
    <w:p w14:paraId="3C29C31F">
      <w:pPr>
        <w:tabs>
          <w:tab w:val="left" w:pos="1418"/>
        </w:tabs>
        <w:autoSpaceDE w:val="0"/>
        <w:autoSpaceDN w:val="0"/>
        <w:adjustRightIn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四、投标文件</w:t>
      </w:r>
    </w:p>
    <w:p w14:paraId="34A0FD3F">
      <w:pPr>
        <w:pStyle w:val="9"/>
        <w:spacing w:line="360" w:lineRule="auto"/>
        <w:ind w:firstLine="482" w:firstLineChars="200"/>
        <w:rPr>
          <w:rFonts w:asciiTheme="minorEastAsia" w:hAnsiTheme="minorEastAsia"/>
          <w:b/>
          <w:color w:val="auto"/>
          <w:kern w:val="0"/>
          <w:sz w:val="24"/>
          <w:highlight w:val="none"/>
        </w:rPr>
      </w:pPr>
      <w:r>
        <w:rPr>
          <w:rFonts w:hint="eastAsia" w:asciiTheme="minorEastAsia" w:hAnsiTheme="minorEastAsia" w:eastAsiaTheme="minorEastAsia"/>
          <w:b/>
          <w:color w:val="auto"/>
          <w:kern w:val="0"/>
          <w:sz w:val="24"/>
          <w:highlight w:val="none"/>
        </w:rPr>
        <w:t>（一）投标文件的编制</w:t>
      </w:r>
      <w:r>
        <w:rPr>
          <w:rFonts w:hint="eastAsia" w:asciiTheme="minorEastAsia" w:hAnsiTheme="minorEastAsia" w:eastAsiaTheme="minorEastAsia"/>
          <w:b/>
          <w:color w:val="auto"/>
          <w:kern w:val="0"/>
          <w:sz w:val="24"/>
          <w:highlight w:val="none"/>
          <w:lang w:eastAsia="zh-CN"/>
        </w:rPr>
        <w:t>（</w:t>
      </w:r>
      <w:r>
        <w:rPr>
          <w:rFonts w:hint="eastAsia" w:asciiTheme="minorEastAsia" w:hAnsiTheme="minorEastAsia" w:eastAsiaTheme="minorEastAsia"/>
          <w:b/>
          <w:color w:val="auto"/>
          <w:kern w:val="0"/>
          <w:sz w:val="24"/>
          <w:highlight w:val="none"/>
          <w:lang w:val="en-US" w:eastAsia="zh-CN"/>
        </w:rPr>
        <w:t>标项一、标项二</w:t>
      </w:r>
      <w:r>
        <w:rPr>
          <w:rFonts w:hint="eastAsia" w:asciiTheme="minorEastAsia" w:hAnsiTheme="minorEastAsia" w:eastAsiaTheme="minorEastAsia"/>
          <w:b/>
          <w:color w:val="auto"/>
          <w:kern w:val="0"/>
          <w:sz w:val="24"/>
          <w:highlight w:val="none"/>
          <w:lang w:eastAsia="zh-CN"/>
        </w:rPr>
        <w:t>）</w:t>
      </w:r>
    </w:p>
    <w:p w14:paraId="47894211">
      <w:pPr>
        <w:pStyle w:val="9"/>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kern w:val="0"/>
          <w:sz w:val="24"/>
          <w:highlight w:val="none"/>
        </w:rPr>
        <w:t>获取招标文件后，按照采购组织机构的要求提供：资格证明文件、商务与技术文件和报价</w:t>
      </w:r>
      <w:r>
        <w:rPr>
          <w:rFonts w:hint="eastAsia" w:asciiTheme="minorEastAsia" w:hAnsiTheme="minorEastAsia" w:eastAsiaTheme="minorEastAsia"/>
          <w:color w:val="auto"/>
          <w:kern w:val="0"/>
          <w:sz w:val="24"/>
          <w:highlight w:val="none"/>
          <w:lang w:val="zh-CN"/>
        </w:rPr>
        <w:t>文件。【特别提示：如在投标时有要求提供资料原件的，将原件扫描放入投标文件】若参与多标项投标的，则按每个标项分别独立编制投标文件。</w:t>
      </w:r>
    </w:p>
    <w:p w14:paraId="04A477C4">
      <w:pPr>
        <w:snapToGrid w:val="0"/>
        <w:spacing w:line="360" w:lineRule="auto"/>
        <w:ind w:firstLine="482" w:firstLineChars="200"/>
        <w:rPr>
          <w:rFonts w:hint="eastAsia" w:eastAsia="宋体" w:asciiTheme="minorEastAsia" w:hAnsiTheme="minorEastAsia"/>
          <w:color w:val="auto"/>
          <w:kern w:val="0"/>
          <w:sz w:val="24"/>
          <w:highlight w:val="none"/>
          <w:lang w:eastAsia="zh-CN"/>
        </w:rPr>
      </w:pPr>
      <w:r>
        <w:rPr>
          <w:rFonts w:hint="eastAsia" w:ascii="宋体" w:hAnsi="宋体" w:cs="宋体"/>
          <w:b/>
          <w:color w:val="auto"/>
          <w:sz w:val="24"/>
          <w:highlight w:val="none"/>
        </w:rPr>
        <w:t>▲</w:t>
      </w:r>
      <w:r>
        <w:rPr>
          <w:rFonts w:hint="eastAsia" w:asciiTheme="minorEastAsia" w:hAnsiTheme="minorEastAsia" w:eastAsiaTheme="minorEastAsia"/>
          <w:b/>
          <w:color w:val="auto"/>
          <w:sz w:val="24"/>
          <w:highlight w:val="none"/>
        </w:rPr>
        <w:t>1.资格证明</w:t>
      </w:r>
      <w:r>
        <w:rPr>
          <w:rFonts w:asciiTheme="minorEastAsia" w:hAnsiTheme="minorEastAsia" w:eastAsiaTheme="minorEastAsia"/>
          <w:b/>
          <w:color w:val="auto"/>
          <w:sz w:val="24"/>
          <w:highlight w:val="none"/>
        </w:rPr>
        <w:t>文件</w:t>
      </w:r>
      <w:r>
        <w:rPr>
          <w:rFonts w:hint="eastAsia" w:ascii="宋体" w:hAnsi="宋体"/>
          <w:b/>
          <w:color w:val="auto"/>
          <w:sz w:val="24"/>
          <w:highlight w:val="none"/>
        </w:rPr>
        <w:t>的组成</w:t>
      </w:r>
      <w:r>
        <w:rPr>
          <w:rFonts w:hint="eastAsia" w:ascii="宋体" w:hAnsi="宋体"/>
          <w:b/>
          <w:color w:val="auto"/>
          <w:sz w:val="24"/>
          <w:highlight w:val="none"/>
          <w:lang w:eastAsia="zh-CN"/>
        </w:rPr>
        <w:t>（</w:t>
      </w:r>
      <w:r>
        <w:rPr>
          <w:rFonts w:hint="eastAsia" w:ascii="宋体" w:hAnsi="宋体"/>
          <w:b/>
          <w:color w:val="auto"/>
          <w:sz w:val="24"/>
          <w:highlight w:val="none"/>
          <w:lang w:val="en-US" w:eastAsia="zh-CN"/>
        </w:rPr>
        <w:t>适用于标项一</w:t>
      </w:r>
      <w:r>
        <w:rPr>
          <w:rFonts w:hint="eastAsia" w:ascii="宋体" w:hAnsi="宋体"/>
          <w:b/>
          <w:color w:val="auto"/>
          <w:sz w:val="24"/>
          <w:highlight w:val="none"/>
          <w:lang w:eastAsia="zh-CN"/>
        </w:rPr>
        <w:t>）</w:t>
      </w:r>
    </w:p>
    <w:p w14:paraId="60BCD359">
      <w:pPr>
        <w:snapToGrid w:val="0"/>
        <w:spacing w:line="360" w:lineRule="auto"/>
        <w:ind w:firstLine="480" w:firstLineChars="200"/>
        <w:rPr>
          <w:rFonts w:ascii="宋体" w:hAnsi="宋体" w:cs="宋体"/>
          <w:color w:val="auto"/>
          <w:sz w:val="24"/>
          <w:highlight w:val="none"/>
        </w:rPr>
      </w:pPr>
      <w:r>
        <w:rPr>
          <w:rFonts w:hint="eastAsia" w:ascii="宋体" w:hAnsi="宋体"/>
          <w:bCs/>
          <w:color w:val="auto"/>
          <w:sz w:val="24"/>
          <w:highlight w:val="none"/>
        </w:rPr>
        <w:t>（1）</w:t>
      </w:r>
      <w:r>
        <w:rPr>
          <w:rFonts w:hint="eastAsia" w:ascii="宋体" w:hAnsi="宋体" w:cs="宋体"/>
          <w:color w:val="auto"/>
          <w:sz w:val="24"/>
          <w:highlight w:val="none"/>
        </w:rPr>
        <w:t>投标声明书（附件1）；</w:t>
      </w:r>
    </w:p>
    <w:p w14:paraId="4C79F2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（2）授权委托书（法定代表人亲自办理投标事宜的，则无需提交；附件2）；</w:t>
      </w:r>
    </w:p>
    <w:p w14:paraId="5985986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（3）法人或者其他组织的营业执照等证明文件，自然人的身份证明；</w:t>
      </w:r>
    </w:p>
    <w:p w14:paraId="1585205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（4）具有依法缴纳税收和社会保障资金证明的承诺函（附件3</w:t>
      </w:r>
      <w:r>
        <w:rPr>
          <w:rFonts w:hint="eastAsia" w:ascii="宋体" w:hAnsi="宋体" w:cs="宋体"/>
          <w:color w:val="auto"/>
          <w:sz w:val="24"/>
          <w:highlight w:val="none"/>
          <w:lang w:eastAsia="zh-CN"/>
        </w:rPr>
        <w:t>，</w:t>
      </w:r>
      <w:r>
        <w:rPr>
          <w:rFonts w:hint="eastAsia" w:ascii="宋体" w:hAnsi="宋体"/>
          <w:color w:val="auto"/>
          <w:kern w:val="0"/>
          <w:sz w:val="24"/>
          <w:highlight w:val="none"/>
          <w:lang w:val="en-US" w:eastAsia="zh-CN"/>
        </w:rPr>
        <w:t>若为联合体投标，联合体各方均需提供</w:t>
      </w:r>
      <w:r>
        <w:rPr>
          <w:rFonts w:hint="eastAsia" w:ascii="宋体" w:hAnsi="宋体" w:cs="宋体"/>
          <w:color w:val="auto"/>
          <w:sz w:val="24"/>
          <w:highlight w:val="none"/>
        </w:rPr>
        <w:t>）；</w:t>
      </w:r>
    </w:p>
    <w:p w14:paraId="4D69580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（5）具有良好的商业信誉和健全的财务会计制度的承诺函（附件4</w:t>
      </w:r>
      <w:r>
        <w:rPr>
          <w:rFonts w:hint="eastAsia" w:ascii="宋体" w:hAnsi="宋体" w:cs="宋体"/>
          <w:color w:val="auto"/>
          <w:sz w:val="24"/>
          <w:highlight w:val="none"/>
          <w:lang w:eastAsia="zh-CN"/>
        </w:rPr>
        <w:t>，</w:t>
      </w:r>
      <w:r>
        <w:rPr>
          <w:rFonts w:hint="eastAsia" w:ascii="宋体" w:hAnsi="宋体"/>
          <w:color w:val="auto"/>
          <w:kern w:val="0"/>
          <w:sz w:val="24"/>
          <w:highlight w:val="none"/>
          <w:lang w:val="en-US" w:eastAsia="zh-CN"/>
        </w:rPr>
        <w:t>若为联合体投标，联合体各方均需提供</w:t>
      </w:r>
      <w:r>
        <w:rPr>
          <w:rFonts w:hint="eastAsia" w:ascii="宋体" w:hAnsi="宋体" w:cs="宋体"/>
          <w:color w:val="auto"/>
          <w:sz w:val="24"/>
          <w:highlight w:val="none"/>
        </w:rPr>
        <w:t>）；</w:t>
      </w:r>
    </w:p>
    <w:p w14:paraId="577E9E3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（6）具有履行合同所必须的设备和专业技术能力的承诺函（附件5</w:t>
      </w:r>
      <w:r>
        <w:rPr>
          <w:rFonts w:hint="eastAsia" w:ascii="宋体" w:hAnsi="宋体" w:cs="宋体"/>
          <w:color w:val="auto"/>
          <w:sz w:val="24"/>
          <w:highlight w:val="none"/>
          <w:lang w:eastAsia="zh-CN"/>
        </w:rPr>
        <w:t>，</w:t>
      </w:r>
      <w:r>
        <w:rPr>
          <w:rFonts w:hint="eastAsia" w:ascii="宋体" w:hAnsi="宋体"/>
          <w:color w:val="auto"/>
          <w:kern w:val="0"/>
          <w:sz w:val="24"/>
          <w:highlight w:val="none"/>
          <w:lang w:val="en-US" w:eastAsia="zh-CN"/>
        </w:rPr>
        <w:t>若为联合体投标，联合体各方均需提供</w:t>
      </w:r>
      <w:r>
        <w:rPr>
          <w:rFonts w:hint="eastAsia" w:ascii="宋体" w:hAnsi="宋体" w:cs="宋体"/>
          <w:color w:val="auto"/>
          <w:sz w:val="24"/>
          <w:highlight w:val="none"/>
        </w:rPr>
        <w:t>）；</w:t>
      </w:r>
    </w:p>
    <w:p w14:paraId="5A6C066C">
      <w:pPr>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）中小企业、</w:t>
      </w:r>
      <w:r>
        <w:rPr>
          <w:rFonts w:hint="eastAsia" w:ascii="宋体" w:hAnsi="宋体" w:cs="宋体"/>
          <w:color w:val="auto"/>
          <w:sz w:val="24"/>
          <w:highlight w:val="none"/>
          <w:lang w:val="en-GB"/>
        </w:rPr>
        <w:t>残疾人福利性单位、监狱企业</w:t>
      </w:r>
      <w:r>
        <w:rPr>
          <w:rFonts w:hint="eastAsia" w:ascii="宋体" w:hAnsi="宋体" w:cs="宋体"/>
          <w:color w:val="auto"/>
          <w:sz w:val="24"/>
          <w:highlight w:val="none"/>
        </w:rPr>
        <w:t>等声明函（附件</w:t>
      </w:r>
      <w:r>
        <w:rPr>
          <w:rFonts w:hint="eastAsia" w:ascii="宋体" w:hAnsi="宋体" w:cs="宋体"/>
          <w:color w:val="auto"/>
          <w:sz w:val="24"/>
          <w:highlight w:val="none"/>
          <w:lang w:val="en-US" w:eastAsia="zh-CN"/>
        </w:rPr>
        <w:t>6，</w:t>
      </w:r>
      <w:r>
        <w:rPr>
          <w:rFonts w:hint="eastAsia" w:ascii="宋体" w:hAnsi="宋体"/>
          <w:color w:val="auto"/>
          <w:kern w:val="0"/>
          <w:sz w:val="24"/>
          <w:highlight w:val="none"/>
          <w:lang w:val="en-US" w:eastAsia="zh-CN"/>
        </w:rPr>
        <w:t>若为联合体投标，联合体各方均需提供</w:t>
      </w:r>
      <w:r>
        <w:rPr>
          <w:rFonts w:hint="eastAsia" w:ascii="宋体" w:hAnsi="宋体" w:cs="宋体"/>
          <w:color w:val="auto"/>
          <w:sz w:val="24"/>
          <w:highlight w:val="none"/>
        </w:rPr>
        <w:t>）；</w:t>
      </w:r>
    </w:p>
    <w:p w14:paraId="0268CAFE">
      <w:pPr>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）具有城乡规划编制乙级及以上资质</w:t>
      </w:r>
      <w:r>
        <w:rPr>
          <w:rFonts w:hint="eastAsia" w:ascii="宋体" w:hAnsi="宋体" w:cs="宋体"/>
          <w:color w:val="auto"/>
          <w:sz w:val="24"/>
          <w:highlight w:val="none"/>
          <w:lang w:val="en-US" w:eastAsia="zh-CN"/>
        </w:rPr>
        <w:t>或土地规划</w:t>
      </w:r>
      <w:r>
        <w:rPr>
          <w:rFonts w:hint="eastAsia" w:ascii="宋体" w:hAnsi="宋体" w:cs="宋体"/>
          <w:color w:val="auto"/>
          <w:sz w:val="24"/>
          <w:highlight w:val="none"/>
        </w:rPr>
        <w:t>编制</w:t>
      </w:r>
      <w:r>
        <w:rPr>
          <w:rFonts w:hint="eastAsia" w:ascii="宋体" w:hAnsi="宋体" w:cs="宋体"/>
          <w:color w:val="auto"/>
          <w:sz w:val="24"/>
          <w:highlight w:val="none"/>
          <w:lang w:eastAsia="zh-CN"/>
        </w:rPr>
        <w:t>乙级</w:t>
      </w:r>
      <w:r>
        <w:rPr>
          <w:rFonts w:hint="eastAsia" w:ascii="宋体" w:hAnsi="宋体" w:cs="宋体"/>
          <w:color w:val="auto"/>
          <w:sz w:val="24"/>
          <w:highlight w:val="none"/>
        </w:rPr>
        <w:t>及以上资质</w:t>
      </w:r>
      <w:r>
        <w:rPr>
          <w:rFonts w:hint="eastAsia" w:ascii="宋体" w:hAnsi="宋体" w:cs="宋体"/>
          <w:color w:val="auto"/>
          <w:sz w:val="24"/>
          <w:highlight w:val="none"/>
          <w:lang w:eastAsia="zh-CN"/>
        </w:rPr>
        <w:t>（</w:t>
      </w:r>
      <w:r>
        <w:rPr>
          <w:rFonts w:hint="eastAsia" w:ascii="宋体" w:hAnsi="宋体"/>
          <w:color w:val="auto"/>
          <w:kern w:val="0"/>
          <w:sz w:val="24"/>
          <w:highlight w:val="none"/>
          <w:lang w:val="en-US" w:eastAsia="zh-CN"/>
        </w:rPr>
        <w:t>若为联合体投标，联合体各方均需提供</w:t>
      </w:r>
      <w:r>
        <w:rPr>
          <w:rFonts w:hint="eastAsia" w:ascii="宋体" w:hAnsi="宋体" w:cs="宋体"/>
          <w:color w:val="auto"/>
          <w:sz w:val="24"/>
          <w:highlight w:val="none"/>
          <w:lang w:eastAsia="zh-CN"/>
        </w:rPr>
        <w:t>）；</w:t>
      </w:r>
    </w:p>
    <w:p w14:paraId="4EAF5ED8">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eastAsia="zh-CN"/>
        </w:rPr>
        <w:t>）</w:t>
      </w:r>
      <w:r>
        <w:rPr>
          <w:rFonts w:hint="eastAsia" w:ascii="宋体" w:hAnsi="宋体" w:cs="宋体"/>
          <w:color w:val="auto"/>
          <w:sz w:val="24"/>
          <w:highlight w:val="none"/>
        </w:rPr>
        <w:t>联合体协议（</w:t>
      </w:r>
      <w:r>
        <w:rPr>
          <w:rFonts w:hint="eastAsia" w:ascii="宋体" w:hAnsi="宋体" w:cs="宋体"/>
          <w:color w:val="auto"/>
          <w:sz w:val="24"/>
          <w:highlight w:val="none"/>
          <w:lang w:val="en-US" w:eastAsia="zh-CN"/>
        </w:rPr>
        <w:t>若供应商</w:t>
      </w:r>
      <w:r>
        <w:rPr>
          <w:rFonts w:hint="eastAsia" w:ascii="宋体" w:hAnsi="宋体" w:cs="宋体"/>
          <w:color w:val="auto"/>
          <w:sz w:val="24"/>
          <w:highlight w:val="none"/>
        </w:rPr>
        <w:t>以联合体方式投标的必须提供联合体协议书，否则作无效标处理</w:t>
      </w:r>
      <w:r>
        <w:rPr>
          <w:rFonts w:hint="eastAsia" w:ascii="宋体" w:hAnsi="宋体" w:cs="宋体"/>
          <w:color w:val="auto"/>
          <w:sz w:val="24"/>
          <w:highlight w:val="none"/>
          <w:lang w:val="en-US" w:eastAsia="zh-CN"/>
        </w:rPr>
        <w:t>，见附件7</w:t>
      </w:r>
      <w:r>
        <w:rPr>
          <w:rFonts w:hint="eastAsia" w:ascii="宋体" w:hAnsi="宋体" w:cs="宋体"/>
          <w:color w:val="auto"/>
          <w:sz w:val="24"/>
          <w:highlight w:val="none"/>
        </w:rPr>
        <w:t>）</w:t>
      </w:r>
      <w:r>
        <w:rPr>
          <w:rFonts w:hint="eastAsia" w:ascii="宋体" w:hAnsi="宋体" w:cs="宋体"/>
          <w:color w:val="auto"/>
          <w:sz w:val="24"/>
          <w:highlight w:val="none"/>
          <w:lang w:eastAsia="zh-CN"/>
        </w:rPr>
        <w:t>；</w:t>
      </w:r>
    </w:p>
    <w:p w14:paraId="32DDA01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w:t>
      </w:r>
      <w:r>
        <w:rPr>
          <w:rFonts w:hint="eastAsia" w:ascii="宋体" w:hAnsi="宋体" w:cs="宋体"/>
          <w:color w:val="auto"/>
          <w:sz w:val="24"/>
          <w:highlight w:val="none"/>
        </w:rPr>
        <w:t>需要说明的其他资料。</w:t>
      </w:r>
    </w:p>
    <w:p w14:paraId="70B34460">
      <w:pPr>
        <w:snapToGrid w:val="0"/>
        <w:spacing w:line="360" w:lineRule="auto"/>
        <w:ind w:firstLine="482" w:firstLineChars="200"/>
        <w:rPr>
          <w:rFonts w:hint="eastAsia" w:eastAsia="宋体" w:asciiTheme="minorEastAsia" w:hAnsiTheme="minorEastAsia"/>
          <w:color w:val="auto"/>
          <w:kern w:val="0"/>
          <w:sz w:val="24"/>
          <w:highlight w:val="none"/>
          <w:lang w:eastAsia="zh-CN"/>
        </w:rPr>
      </w:pPr>
      <w:r>
        <w:rPr>
          <w:rFonts w:hint="eastAsia" w:asciiTheme="minorEastAsia" w:hAnsiTheme="minorEastAsia" w:eastAsiaTheme="minorEastAsia"/>
          <w:b/>
          <w:color w:val="auto"/>
          <w:sz w:val="24"/>
          <w:highlight w:val="none"/>
          <w:lang w:val="en-US" w:eastAsia="zh-CN"/>
        </w:rPr>
        <w:t>1.</w:t>
      </w:r>
      <w:r>
        <w:rPr>
          <w:rFonts w:hint="eastAsia" w:asciiTheme="minorEastAsia" w:hAnsiTheme="minorEastAsia" w:eastAsiaTheme="minorEastAsia"/>
          <w:b/>
          <w:color w:val="auto"/>
          <w:sz w:val="24"/>
          <w:highlight w:val="none"/>
        </w:rPr>
        <w:t>资格证明</w:t>
      </w:r>
      <w:r>
        <w:rPr>
          <w:rFonts w:asciiTheme="minorEastAsia" w:hAnsiTheme="minorEastAsia" w:eastAsiaTheme="minorEastAsia"/>
          <w:b/>
          <w:color w:val="auto"/>
          <w:sz w:val="24"/>
          <w:highlight w:val="none"/>
        </w:rPr>
        <w:t>文件</w:t>
      </w:r>
      <w:r>
        <w:rPr>
          <w:rFonts w:hint="eastAsia" w:ascii="宋体" w:hAnsi="宋体"/>
          <w:b/>
          <w:color w:val="auto"/>
          <w:sz w:val="24"/>
          <w:highlight w:val="none"/>
        </w:rPr>
        <w:t>的组成</w:t>
      </w:r>
      <w:r>
        <w:rPr>
          <w:rFonts w:hint="eastAsia" w:ascii="宋体" w:hAnsi="宋体"/>
          <w:b/>
          <w:color w:val="auto"/>
          <w:sz w:val="24"/>
          <w:highlight w:val="none"/>
          <w:lang w:eastAsia="zh-CN"/>
        </w:rPr>
        <w:t>（</w:t>
      </w:r>
      <w:r>
        <w:rPr>
          <w:rFonts w:hint="eastAsia" w:ascii="宋体" w:hAnsi="宋体"/>
          <w:b/>
          <w:color w:val="auto"/>
          <w:sz w:val="24"/>
          <w:highlight w:val="none"/>
          <w:lang w:val="en-US" w:eastAsia="zh-CN"/>
        </w:rPr>
        <w:t>适用于标项二</w:t>
      </w:r>
      <w:r>
        <w:rPr>
          <w:rFonts w:hint="eastAsia" w:ascii="宋体" w:hAnsi="宋体"/>
          <w:b/>
          <w:color w:val="auto"/>
          <w:sz w:val="24"/>
          <w:highlight w:val="none"/>
          <w:lang w:eastAsia="zh-CN"/>
        </w:rPr>
        <w:t>）</w:t>
      </w:r>
    </w:p>
    <w:p w14:paraId="302ED90E">
      <w:pPr>
        <w:snapToGrid w:val="0"/>
        <w:spacing w:line="360" w:lineRule="auto"/>
        <w:ind w:firstLine="480" w:firstLineChars="200"/>
        <w:rPr>
          <w:rFonts w:ascii="宋体" w:hAnsi="宋体" w:cs="宋体"/>
          <w:color w:val="auto"/>
          <w:sz w:val="24"/>
          <w:highlight w:val="none"/>
        </w:rPr>
      </w:pPr>
      <w:r>
        <w:rPr>
          <w:rFonts w:hint="eastAsia" w:ascii="宋体" w:hAnsi="宋体"/>
          <w:bCs/>
          <w:color w:val="auto"/>
          <w:sz w:val="24"/>
          <w:highlight w:val="none"/>
        </w:rPr>
        <w:t>（1）</w:t>
      </w:r>
      <w:r>
        <w:rPr>
          <w:rFonts w:hint="eastAsia" w:ascii="宋体" w:hAnsi="宋体" w:cs="宋体"/>
          <w:color w:val="auto"/>
          <w:sz w:val="24"/>
          <w:highlight w:val="none"/>
        </w:rPr>
        <w:t>投标声明书（附件1）；</w:t>
      </w:r>
    </w:p>
    <w:p w14:paraId="692B6A2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（2）授权委托书（法定代表人亲自办理投标事宜的，则无需提交；附件2）；</w:t>
      </w:r>
    </w:p>
    <w:p w14:paraId="3AD25D6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（3）法人或者其他组织的营业执照等证明文件，自然人的身份证明；</w:t>
      </w:r>
    </w:p>
    <w:p w14:paraId="4A8742A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（4）具有依法缴纳税收和社会保障资金证明的承诺函（附件3</w:t>
      </w:r>
      <w:r>
        <w:rPr>
          <w:rFonts w:hint="eastAsia" w:ascii="宋体" w:hAnsi="宋体" w:cs="宋体"/>
          <w:color w:val="auto"/>
          <w:sz w:val="24"/>
          <w:highlight w:val="none"/>
          <w:lang w:eastAsia="zh-CN"/>
        </w:rPr>
        <w:t>，</w:t>
      </w:r>
      <w:r>
        <w:rPr>
          <w:rFonts w:hint="eastAsia" w:ascii="宋体" w:hAnsi="宋体"/>
          <w:color w:val="auto"/>
          <w:kern w:val="0"/>
          <w:sz w:val="24"/>
          <w:highlight w:val="none"/>
          <w:lang w:val="en-US" w:eastAsia="zh-CN"/>
        </w:rPr>
        <w:t>若为联合体投标，联合体各方均需提供</w:t>
      </w:r>
      <w:r>
        <w:rPr>
          <w:rFonts w:hint="eastAsia" w:ascii="宋体" w:hAnsi="宋体" w:cs="宋体"/>
          <w:color w:val="auto"/>
          <w:sz w:val="24"/>
          <w:highlight w:val="none"/>
        </w:rPr>
        <w:t>）；</w:t>
      </w:r>
    </w:p>
    <w:p w14:paraId="29D296B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（5）具有良好的商业信誉和健全的财务会计制度的承诺函（附件4</w:t>
      </w:r>
      <w:r>
        <w:rPr>
          <w:rFonts w:hint="eastAsia" w:ascii="宋体" w:hAnsi="宋体" w:cs="宋体"/>
          <w:color w:val="auto"/>
          <w:sz w:val="24"/>
          <w:highlight w:val="none"/>
          <w:lang w:eastAsia="zh-CN"/>
        </w:rPr>
        <w:t>，</w:t>
      </w:r>
      <w:r>
        <w:rPr>
          <w:rFonts w:hint="eastAsia" w:ascii="宋体" w:hAnsi="宋体"/>
          <w:color w:val="auto"/>
          <w:kern w:val="0"/>
          <w:sz w:val="24"/>
          <w:highlight w:val="none"/>
          <w:lang w:val="en-US" w:eastAsia="zh-CN"/>
        </w:rPr>
        <w:t>若为联合体投标，联合体各方均需提供</w:t>
      </w:r>
      <w:r>
        <w:rPr>
          <w:rFonts w:hint="eastAsia" w:ascii="宋体" w:hAnsi="宋体" w:cs="宋体"/>
          <w:color w:val="auto"/>
          <w:sz w:val="24"/>
          <w:highlight w:val="none"/>
        </w:rPr>
        <w:t>）；</w:t>
      </w:r>
    </w:p>
    <w:p w14:paraId="50C7BCF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（6）具有履行合同所必须的设备和专业技术能力的承诺函（附件5</w:t>
      </w:r>
      <w:r>
        <w:rPr>
          <w:rFonts w:hint="eastAsia" w:ascii="宋体" w:hAnsi="宋体" w:cs="宋体"/>
          <w:color w:val="auto"/>
          <w:sz w:val="24"/>
          <w:highlight w:val="none"/>
          <w:lang w:eastAsia="zh-CN"/>
        </w:rPr>
        <w:t>，</w:t>
      </w:r>
      <w:r>
        <w:rPr>
          <w:rFonts w:hint="eastAsia" w:ascii="宋体" w:hAnsi="宋体"/>
          <w:color w:val="auto"/>
          <w:kern w:val="0"/>
          <w:sz w:val="24"/>
          <w:highlight w:val="none"/>
          <w:lang w:val="en-US" w:eastAsia="zh-CN"/>
        </w:rPr>
        <w:t>若为联合体投标，联合体各方均需提供</w:t>
      </w:r>
      <w:r>
        <w:rPr>
          <w:rFonts w:hint="eastAsia" w:ascii="宋体" w:hAnsi="宋体" w:cs="宋体"/>
          <w:color w:val="auto"/>
          <w:sz w:val="24"/>
          <w:highlight w:val="none"/>
        </w:rPr>
        <w:t>）；</w:t>
      </w:r>
    </w:p>
    <w:p w14:paraId="3236DF3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）中小企业、</w:t>
      </w:r>
      <w:r>
        <w:rPr>
          <w:rFonts w:hint="eastAsia" w:ascii="宋体" w:hAnsi="宋体" w:cs="宋体"/>
          <w:color w:val="auto"/>
          <w:sz w:val="24"/>
          <w:highlight w:val="none"/>
          <w:lang w:val="en-GB"/>
        </w:rPr>
        <w:t>残疾人福利性单位、监狱企业</w:t>
      </w:r>
      <w:r>
        <w:rPr>
          <w:rFonts w:hint="eastAsia" w:ascii="宋体" w:hAnsi="宋体" w:cs="宋体"/>
          <w:color w:val="auto"/>
          <w:sz w:val="24"/>
          <w:highlight w:val="none"/>
        </w:rPr>
        <w:t>等声明函（附件</w:t>
      </w:r>
      <w:r>
        <w:rPr>
          <w:rFonts w:hint="eastAsia" w:ascii="宋体" w:hAnsi="宋体" w:cs="宋体"/>
          <w:color w:val="auto"/>
          <w:sz w:val="24"/>
          <w:highlight w:val="none"/>
          <w:lang w:val="en-US" w:eastAsia="zh-CN"/>
        </w:rPr>
        <w:t>6，</w:t>
      </w:r>
      <w:r>
        <w:rPr>
          <w:rFonts w:hint="eastAsia" w:ascii="宋体" w:hAnsi="宋体"/>
          <w:color w:val="auto"/>
          <w:kern w:val="0"/>
          <w:sz w:val="24"/>
          <w:highlight w:val="none"/>
          <w:lang w:val="en-US" w:eastAsia="zh-CN"/>
        </w:rPr>
        <w:t>若为联合体投标，联合体各方均需提供</w:t>
      </w:r>
      <w:r>
        <w:rPr>
          <w:rFonts w:hint="eastAsia" w:ascii="宋体" w:hAnsi="宋体" w:cs="宋体"/>
          <w:color w:val="auto"/>
          <w:sz w:val="24"/>
          <w:highlight w:val="none"/>
        </w:rPr>
        <w:t>）；</w:t>
      </w:r>
    </w:p>
    <w:p w14:paraId="7BCD6428">
      <w:pPr>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具有测绘乙级及以上资质（专业类别：地理信息系统工程方面）</w:t>
      </w:r>
      <w:r>
        <w:rPr>
          <w:rFonts w:hint="eastAsia" w:ascii="宋体" w:hAnsi="宋体"/>
          <w:color w:val="auto"/>
          <w:kern w:val="0"/>
          <w:sz w:val="24"/>
          <w:highlight w:val="none"/>
          <w:lang w:val="en-US" w:eastAsia="zh-CN"/>
        </w:rPr>
        <w:t>若为联合体投标，联合体各方均需提供</w:t>
      </w:r>
      <w:r>
        <w:rPr>
          <w:rFonts w:hint="eastAsia" w:ascii="宋体" w:hAnsi="宋体" w:cs="宋体"/>
          <w:color w:val="auto"/>
          <w:sz w:val="24"/>
          <w:highlight w:val="none"/>
          <w:lang w:eastAsia="zh-CN"/>
        </w:rPr>
        <w:t>；</w:t>
      </w:r>
    </w:p>
    <w:p w14:paraId="295CCC1D">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eastAsia="zh-CN"/>
        </w:rPr>
        <w:t>）</w:t>
      </w:r>
      <w:r>
        <w:rPr>
          <w:rFonts w:hint="eastAsia" w:ascii="宋体" w:hAnsi="宋体" w:cs="宋体"/>
          <w:color w:val="auto"/>
          <w:sz w:val="24"/>
          <w:highlight w:val="none"/>
        </w:rPr>
        <w:t>联合体协议（</w:t>
      </w:r>
      <w:r>
        <w:rPr>
          <w:rFonts w:hint="eastAsia" w:ascii="宋体" w:hAnsi="宋体" w:cs="宋体"/>
          <w:color w:val="auto"/>
          <w:sz w:val="24"/>
          <w:highlight w:val="none"/>
          <w:lang w:val="en-US" w:eastAsia="zh-CN"/>
        </w:rPr>
        <w:t>若供应商</w:t>
      </w:r>
      <w:r>
        <w:rPr>
          <w:rFonts w:hint="eastAsia" w:ascii="宋体" w:hAnsi="宋体" w:cs="宋体"/>
          <w:color w:val="auto"/>
          <w:sz w:val="24"/>
          <w:highlight w:val="none"/>
        </w:rPr>
        <w:t>以联合体方式投标的必须提供联合体协议书，否则作无效标处理</w:t>
      </w:r>
      <w:r>
        <w:rPr>
          <w:rFonts w:hint="eastAsia" w:ascii="宋体" w:hAnsi="宋体" w:cs="宋体"/>
          <w:color w:val="auto"/>
          <w:sz w:val="24"/>
          <w:highlight w:val="none"/>
          <w:lang w:val="en-US" w:eastAsia="zh-CN"/>
        </w:rPr>
        <w:t>，见附件7</w:t>
      </w:r>
      <w:r>
        <w:rPr>
          <w:rFonts w:hint="eastAsia" w:ascii="宋体" w:hAnsi="宋体" w:cs="宋体"/>
          <w:color w:val="auto"/>
          <w:sz w:val="24"/>
          <w:highlight w:val="none"/>
        </w:rPr>
        <w:t>）</w:t>
      </w:r>
      <w:r>
        <w:rPr>
          <w:rFonts w:hint="eastAsia" w:ascii="宋体" w:hAnsi="宋体" w:cs="宋体"/>
          <w:color w:val="auto"/>
          <w:sz w:val="24"/>
          <w:highlight w:val="none"/>
          <w:lang w:eastAsia="zh-CN"/>
        </w:rPr>
        <w:t>；</w:t>
      </w:r>
    </w:p>
    <w:p w14:paraId="61C0E250">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w:t>
      </w:r>
      <w:r>
        <w:rPr>
          <w:rFonts w:hint="eastAsia" w:ascii="宋体" w:hAnsi="宋体" w:cs="宋体"/>
          <w:color w:val="auto"/>
          <w:sz w:val="24"/>
          <w:highlight w:val="none"/>
        </w:rPr>
        <w:t>需要说明的其他资料</w:t>
      </w:r>
      <w:r>
        <w:rPr>
          <w:rFonts w:hint="eastAsia" w:ascii="宋体" w:hAnsi="宋体" w:cs="宋体"/>
          <w:color w:val="auto"/>
          <w:sz w:val="24"/>
          <w:highlight w:val="none"/>
          <w:lang w:eastAsia="zh-CN"/>
        </w:rPr>
        <w:t>。</w:t>
      </w:r>
    </w:p>
    <w:p w14:paraId="32134801">
      <w:pPr>
        <w:snapToGrid w:val="0"/>
        <w:spacing w:line="360" w:lineRule="auto"/>
        <w:ind w:firstLine="482" w:firstLineChars="200"/>
        <w:rPr>
          <w:rFonts w:ascii="宋体" w:hAnsi="宋体"/>
          <w:b/>
          <w:color w:val="auto"/>
          <w:sz w:val="24"/>
          <w:highlight w:val="none"/>
        </w:rPr>
      </w:pPr>
      <w:r>
        <w:rPr>
          <w:rFonts w:hint="eastAsia" w:asciiTheme="minorEastAsia" w:hAnsiTheme="minorEastAsia" w:eastAsiaTheme="minorEastAsia"/>
          <w:b/>
          <w:color w:val="auto"/>
          <w:sz w:val="24"/>
          <w:highlight w:val="none"/>
        </w:rPr>
        <w:t>2.</w:t>
      </w:r>
      <w:r>
        <w:rPr>
          <w:rFonts w:hint="eastAsia" w:ascii="宋体" w:hAnsi="宋体"/>
          <w:b/>
          <w:color w:val="auto"/>
          <w:sz w:val="24"/>
          <w:highlight w:val="none"/>
        </w:rPr>
        <w:t>商务与技术文件的组成</w:t>
      </w:r>
      <w:r>
        <w:rPr>
          <w:rFonts w:hint="eastAsia" w:asciiTheme="minorEastAsia" w:hAnsiTheme="minorEastAsia" w:eastAsiaTheme="minorEastAsia"/>
          <w:b/>
          <w:color w:val="auto"/>
          <w:kern w:val="0"/>
          <w:sz w:val="24"/>
          <w:highlight w:val="none"/>
          <w:lang w:eastAsia="zh-CN"/>
        </w:rPr>
        <w:t>（</w:t>
      </w:r>
      <w:r>
        <w:rPr>
          <w:rFonts w:hint="eastAsia" w:asciiTheme="minorEastAsia" w:hAnsiTheme="minorEastAsia" w:eastAsiaTheme="minorEastAsia"/>
          <w:b/>
          <w:color w:val="auto"/>
          <w:kern w:val="0"/>
          <w:sz w:val="24"/>
          <w:highlight w:val="none"/>
          <w:lang w:val="en-US" w:eastAsia="zh-CN"/>
        </w:rPr>
        <w:t>标项一、标项二</w:t>
      </w:r>
      <w:r>
        <w:rPr>
          <w:rFonts w:hint="eastAsia" w:asciiTheme="minorEastAsia" w:hAnsiTheme="minorEastAsia" w:eastAsiaTheme="minorEastAsia"/>
          <w:b/>
          <w:color w:val="auto"/>
          <w:kern w:val="0"/>
          <w:sz w:val="24"/>
          <w:highlight w:val="none"/>
          <w:lang w:eastAsia="zh-CN"/>
        </w:rPr>
        <w:t>）</w:t>
      </w:r>
    </w:p>
    <w:p w14:paraId="109C0395">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1）</w:t>
      </w:r>
      <w:r>
        <w:rPr>
          <w:rFonts w:hint="eastAsia" w:ascii="宋体" w:hAnsi="宋体"/>
          <w:bCs/>
          <w:color w:val="auto"/>
          <w:sz w:val="24"/>
          <w:highlight w:val="none"/>
          <w:lang w:eastAsia="zh-CN"/>
        </w:rPr>
        <w:t>供应商</w:t>
      </w:r>
      <w:r>
        <w:rPr>
          <w:rFonts w:hint="eastAsia" w:ascii="宋体" w:hAnsi="宋体"/>
          <w:bCs/>
          <w:color w:val="auto"/>
          <w:sz w:val="24"/>
          <w:highlight w:val="none"/>
        </w:rPr>
        <w:t>基本情况表（附件</w:t>
      </w:r>
      <w:r>
        <w:rPr>
          <w:rFonts w:hint="eastAsia" w:ascii="宋体" w:hAnsi="宋体"/>
          <w:bCs/>
          <w:color w:val="auto"/>
          <w:sz w:val="24"/>
          <w:highlight w:val="none"/>
          <w:lang w:val="en-US" w:eastAsia="zh-CN"/>
        </w:rPr>
        <w:t>8</w:t>
      </w:r>
      <w:r>
        <w:rPr>
          <w:rFonts w:hint="eastAsia" w:ascii="宋体" w:hAnsi="宋体"/>
          <w:bCs/>
          <w:color w:val="auto"/>
          <w:sz w:val="24"/>
          <w:highlight w:val="none"/>
        </w:rPr>
        <w:t>）；</w:t>
      </w:r>
    </w:p>
    <w:p w14:paraId="56AB67F1">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w:t>
      </w:r>
      <w:r>
        <w:rPr>
          <w:rFonts w:hint="eastAsia" w:ascii="宋体" w:hAnsi="宋体"/>
          <w:bCs/>
          <w:color w:val="auto"/>
          <w:sz w:val="24"/>
          <w:highlight w:val="none"/>
          <w:lang w:val="en-US" w:eastAsia="zh-CN"/>
        </w:rPr>
        <w:t>项目技术</w:t>
      </w:r>
      <w:r>
        <w:rPr>
          <w:rFonts w:hint="eastAsia" w:ascii="宋体" w:hAnsi="宋体"/>
          <w:bCs/>
          <w:color w:val="auto"/>
          <w:sz w:val="24"/>
          <w:highlight w:val="none"/>
        </w:rPr>
        <w:t>方案</w:t>
      </w:r>
      <w:r>
        <w:rPr>
          <w:rFonts w:hint="eastAsia" w:ascii="宋体" w:hAnsi="宋体"/>
          <w:bCs/>
          <w:color w:val="auto"/>
          <w:sz w:val="24"/>
          <w:highlight w:val="none"/>
          <w:lang w:val="en-US" w:eastAsia="zh-CN"/>
        </w:rPr>
        <w:t>根据招标需求和评分标准自行拟定</w:t>
      </w:r>
      <w:r>
        <w:rPr>
          <w:rFonts w:hint="eastAsia" w:ascii="宋体" w:hAnsi="宋体"/>
          <w:bCs/>
          <w:color w:val="auto"/>
          <w:sz w:val="24"/>
          <w:highlight w:val="none"/>
        </w:rPr>
        <w:t>；</w:t>
      </w:r>
    </w:p>
    <w:p w14:paraId="32CCE011">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（3）项目负责人资格情况表（附件</w:t>
      </w:r>
      <w:r>
        <w:rPr>
          <w:rFonts w:hint="eastAsia" w:ascii="宋体" w:hAnsi="宋体"/>
          <w:bCs/>
          <w:color w:val="auto"/>
          <w:sz w:val="24"/>
          <w:highlight w:val="none"/>
          <w:lang w:val="en-US" w:eastAsia="zh-CN"/>
        </w:rPr>
        <w:t>9</w:t>
      </w:r>
      <w:r>
        <w:rPr>
          <w:rFonts w:hint="eastAsia" w:ascii="宋体" w:hAnsi="宋体"/>
          <w:bCs/>
          <w:color w:val="auto"/>
          <w:sz w:val="24"/>
          <w:highlight w:val="none"/>
        </w:rPr>
        <w:t>）；</w:t>
      </w:r>
    </w:p>
    <w:p w14:paraId="1182E291">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（4）项目实施人员一览表（附件</w:t>
      </w:r>
      <w:r>
        <w:rPr>
          <w:rFonts w:hint="eastAsia" w:ascii="宋体" w:hAnsi="宋体"/>
          <w:bCs/>
          <w:color w:val="auto"/>
          <w:sz w:val="24"/>
          <w:highlight w:val="none"/>
          <w:lang w:val="en-US" w:eastAsia="zh-CN"/>
        </w:rPr>
        <w:t>10</w:t>
      </w:r>
      <w:r>
        <w:rPr>
          <w:rFonts w:hint="eastAsia" w:ascii="宋体" w:hAnsi="宋体"/>
          <w:bCs/>
          <w:color w:val="auto"/>
          <w:sz w:val="24"/>
          <w:highlight w:val="none"/>
        </w:rPr>
        <w:t>）；</w:t>
      </w:r>
    </w:p>
    <w:p w14:paraId="433DA655">
      <w:pPr>
        <w:snapToGrid w:val="0"/>
        <w:spacing w:line="360" w:lineRule="auto"/>
        <w:ind w:firstLine="480" w:firstLineChars="200"/>
        <w:rPr>
          <w:rFonts w:ascii="Calibri" w:hAnsi="Calibri" w:cs="Calibri"/>
          <w:color w:val="auto"/>
          <w:sz w:val="24"/>
          <w:highlight w:val="none"/>
        </w:rPr>
      </w:pPr>
      <w:r>
        <w:rPr>
          <w:rFonts w:hint="eastAsia" w:ascii="宋体" w:hAnsi="宋体"/>
          <w:bCs/>
          <w:color w:val="auto"/>
          <w:sz w:val="24"/>
          <w:highlight w:val="none"/>
        </w:rPr>
        <w:t>（5）</w:t>
      </w:r>
      <w:r>
        <w:rPr>
          <w:rFonts w:hint="eastAsia" w:ascii="Calibri" w:hAnsi="Calibri" w:cs="Calibri"/>
          <w:color w:val="auto"/>
          <w:sz w:val="24"/>
          <w:highlight w:val="none"/>
        </w:rPr>
        <w:t>服务条款响应表（附件</w:t>
      </w:r>
      <w:r>
        <w:rPr>
          <w:rFonts w:hint="eastAsia" w:ascii="宋体" w:hAnsi="宋体" w:cs="Times New Roman"/>
          <w:bCs/>
          <w:color w:val="auto"/>
          <w:sz w:val="24"/>
          <w:highlight w:val="none"/>
          <w:lang w:val="en-US" w:eastAsia="zh-CN"/>
        </w:rPr>
        <w:t>11</w:t>
      </w:r>
      <w:r>
        <w:rPr>
          <w:rFonts w:hint="eastAsia" w:ascii="Calibri" w:hAnsi="Calibri" w:cs="Calibri"/>
          <w:color w:val="auto"/>
          <w:sz w:val="24"/>
          <w:highlight w:val="none"/>
        </w:rPr>
        <w:t>）；</w:t>
      </w:r>
    </w:p>
    <w:p w14:paraId="4603F0B6">
      <w:pPr>
        <w:pStyle w:val="9"/>
        <w:widowControl/>
        <w:numPr>
          <w:ilvl w:val="255"/>
          <w:numId w:val="0"/>
        </w:numPr>
        <w:adjustRightInd w:val="0"/>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（6）证书一览表（与本项目相关的认证证书或文件；附件</w:t>
      </w:r>
      <w:r>
        <w:rPr>
          <w:rFonts w:hint="eastAsia" w:ascii="宋体" w:hAnsi="宋体"/>
          <w:bCs/>
          <w:color w:val="auto"/>
          <w:sz w:val="24"/>
          <w:highlight w:val="none"/>
          <w:lang w:val="en-US" w:eastAsia="zh-CN"/>
        </w:rPr>
        <w:t>12</w:t>
      </w:r>
      <w:r>
        <w:rPr>
          <w:rFonts w:hint="eastAsia" w:ascii="宋体" w:hAnsi="宋体"/>
          <w:bCs/>
          <w:color w:val="auto"/>
          <w:sz w:val="24"/>
          <w:highlight w:val="none"/>
        </w:rPr>
        <w:t>）；</w:t>
      </w:r>
    </w:p>
    <w:p w14:paraId="1AAABD45">
      <w:pPr>
        <w:pStyle w:val="9"/>
        <w:widowControl/>
        <w:numPr>
          <w:ilvl w:val="255"/>
          <w:numId w:val="0"/>
        </w:num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（7）同类业绩证明（如有，附件</w:t>
      </w:r>
      <w:r>
        <w:rPr>
          <w:rFonts w:hint="eastAsia" w:ascii="宋体" w:hAnsi="宋体"/>
          <w:bCs/>
          <w:color w:val="auto"/>
          <w:sz w:val="24"/>
          <w:highlight w:val="none"/>
          <w:lang w:val="en-US" w:eastAsia="zh-CN"/>
        </w:rPr>
        <w:t>13</w:t>
      </w:r>
      <w:r>
        <w:rPr>
          <w:rFonts w:hint="eastAsia" w:ascii="宋体" w:hAnsi="宋体"/>
          <w:bCs/>
          <w:color w:val="auto"/>
          <w:sz w:val="24"/>
          <w:highlight w:val="none"/>
        </w:rPr>
        <w:t>）；</w:t>
      </w:r>
    </w:p>
    <w:p w14:paraId="11579FE5">
      <w:pPr>
        <w:pStyle w:val="9"/>
        <w:widowControl/>
        <w:numPr>
          <w:ilvl w:val="255"/>
          <w:numId w:val="0"/>
        </w:num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（8）符合招标文件规定的其他证明文件及评分标准中涉及的其他材料。</w:t>
      </w:r>
    </w:p>
    <w:p w14:paraId="33E1270C">
      <w:pPr>
        <w:autoSpaceDE w:val="0"/>
        <w:autoSpaceDN w:val="0"/>
        <w:adjustRightInd w:val="0"/>
        <w:spacing w:line="360" w:lineRule="auto"/>
        <w:ind w:left="426" w:firstLine="65" w:firstLineChars="27"/>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3、报价内容的组成</w:t>
      </w:r>
      <w:r>
        <w:rPr>
          <w:rFonts w:hint="eastAsia" w:asciiTheme="minorEastAsia" w:hAnsiTheme="minorEastAsia" w:eastAsiaTheme="minorEastAsia"/>
          <w:b/>
          <w:color w:val="auto"/>
          <w:kern w:val="0"/>
          <w:sz w:val="24"/>
          <w:highlight w:val="none"/>
          <w:lang w:eastAsia="zh-CN"/>
        </w:rPr>
        <w:t>（</w:t>
      </w:r>
      <w:r>
        <w:rPr>
          <w:rFonts w:hint="eastAsia" w:asciiTheme="minorEastAsia" w:hAnsiTheme="minorEastAsia" w:eastAsiaTheme="minorEastAsia"/>
          <w:b/>
          <w:color w:val="auto"/>
          <w:kern w:val="0"/>
          <w:sz w:val="24"/>
          <w:highlight w:val="none"/>
          <w:lang w:val="en-US" w:eastAsia="zh-CN"/>
        </w:rPr>
        <w:t>标项一、标项二</w:t>
      </w:r>
      <w:r>
        <w:rPr>
          <w:rFonts w:hint="eastAsia" w:asciiTheme="minorEastAsia" w:hAnsiTheme="minorEastAsia" w:eastAsiaTheme="minorEastAsia"/>
          <w:b/>
          <w:color w:val="auto"/>
          <w:kern w:val="0"/>
          <w:sz w:val="24"/>
          <w:highlight w:val="none"/>
          <w:lang w:eastAsia="zh-CN"/>
        </w:rPr>
        <w:t>）</w:t>
      </w:r>
    </w:p>
    <w:p w14:paraId="5660D16E">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（1）开标一览表（附件</w:t>
      </w:r>
      <w:r>
        <w:rPr>
          <w:rFonts w:hint="eastAsia" w:asciiTheme="minorEastAsia" w:hAnsiTheme="minorEastAsia" w:eastAsiaTheme="minorEastAsia"/>
          <w:color w:val="auto"/>
          <w:kern w:val="0"/>
          <w:sz w:val="24"/>
          <w:highlight w:val="none"/>
          <w:lang w:val="en-US" w:eastAsia="zh-CN"/>
        </w:rPr>
        <w:t>14</w:t>
      </w:r>
      <w:r>
        <w:rPr>
          <w:rFonts w:hint="eastAsia" w:asciiTheme="minorEastAsia" w:hAnsiTheme="minorEastAsia" w:eastAsiaTheme="minorEastAsia"/>
          <w:color w:val="auto"/>
          <w:kern w:val="0"/>
          <w:sz w:val="24"/>
          <w:highlight w:val="none"/>
        </w:rPr>
        <w:t>）；</w:t>
      </w:r>
    </w:p>
    <w:p w14:paraId="48E8A535">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lang w:val="en-US" w:eastAsia="zh-CN"/>
        </w:rPr>
        <w:t>2</w:t>
      </w:r>
      <w:r>
        <w:rPr>
          <w:rFonts w:hint="eastAsia" w:asciiTheme="minorEastAsia" w:hAnsiTheme="minorEastAsia" w:eastAsiaTheme="minorEastAsia"/>
          <w:color w:val="auto"/>
          <w:kern w:val="0"/>
          <w:sz w:val="24"/>
          <w:highlight w:val="none"/>
        </w:rPr>
        <w:t>）针对报价</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kern w:val="0"/>
          <w:sz w:val="24"/>
          <w:highlight w:val="none"/>
        </w:rPr>
        <w:t>认为其他需要说明的。</w:t>
      </w:r>
    </w:p>
    <w:p w14:paraId="1833D6B7">
      <w:pPr>
        <w:autoSpaceDE w:val="0"/>
        <w:autoSpaceDN w:val="0"/>
        <w:adjustRightInd w:val="0"/>
        <w:spacing w:line="360" w:lineRule="auto"/>
        <w:ind w:firstLine="482" w:firstLineChars="200"/>
        <w:rPr>
          <w:rFonts w:asciiTheme="majorEastAsia" w:hAnsiTheme="majorEastAsia" w:eastAsiaTheme="majorEastAsia" w:cstheme="majorEastAsia"/>
          <w:b/>
          <w:color w:val="auto"/>
          <w:kern w:val="0"/>
          <w:sz w:val="24"/>
          <w:highlight w:val="none"/>
        </w:rPr>
      </w:pPr>
      <w:r>
        <w:rPr>
          <w:rFonts w:hint="eastAsia" w:asciiTheme="majorEastAsia" w:hAnsiTheme="majorEastAsia" w:eastAsiaTheme="majorEastAsia" w:cstheme="majorEastAsia"/>
          <w:b/>
          <w:color w:val="auto"/>
          <w:kern w:val="0"/>
          <w:sz w:val="24"/>
          <w:highlight w:val="none"/>
        </w:rPr>
        <w:t>（二）投标报价</w:t>
      </w:r>
    </w:p>
    <w:p w14:paraId="62B405F5">
      <w:pPr>
        <w:pStyle w:val="9"/>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bCs/>
          <w:color w:val="auto"/>
          <w:kern w:val="0"/>
          <w:sz w:val="24"/>
          <w:highlight w:val="none"/>
        </w:rPr>
        <w:t>应按照招标需求内容、责任范围以及合同条款进行报价。并按“开标一览表”和“报价明细表”规定的格式报出总价和分项价格。投标总价中不得包含招标文件要求以外的内容，否则，在评标时不予核减。</w:t>
      </w:r>
    </w:p>
    <w:p w14:paraId="045AF9B3">
      <w:pPr>
        <w:pStyle w:val="9"/>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2.投标报价包括本项目采购需求和投入使用的所有费用，包括但不限于检查验收服务</w:t>
      </w:r>
      <w:r>
        <w:rPr>
          <w:rFonts w:hint="eastAsia" w:asciiTheme="minorEastAsia" w:hAnsiTheme="minorEastAsia" w:eastAsiaTheme="minorEastAsia"/>
          <w:bCs/>
          <w:color w:val="auto"/>
          <w:kern w:val="0"/>
          <w:sz w:val="24"/>
          <w:highlight w:val="none"/>
          <w:lang w:val="en-US" w:eastAsia="zh-CN"/>
        </w:rPr>
        <w:t>费</w:t>
      </w:r>
      <w:r>
        <w:rPr>
          <w:rFonts w:hint="eastAsia" w:asciiTheme="minorEastAsia" w:hAnsiTheme="minorEastAsia" w:eastAsiaTheme="minorEastAsia"/>
          <w:bCs/>
          <w:color w:val="auto"/>
          <w:kern w:val="0"/>
          <w:sz w:val="24"/>
          <w:highlight w:val="none"/>
        </w:rPr>
        <w:t>、劳务、</w:t>
      </w:r>
      <w:r>
        <w:rPr>
          <w:rFonts w:hint="eastAsia" w:asciiTheme="minorEastAsia" w:hAnsiTheme="minorEastAsia" w:eastAsiaTheme="minorEastAsia"/>
          <w:bCs/>
          <w:color w:val="auto"/>
          <w:kern w:val="0"/>
          <w:sz w:val="24"/>
          <w:highlight w:val="none"/>
          <w:lang w:val="en-US" w:eastAsia="zh-CN"/>
        </w:rPr>
        <w:t>交通住宿费、</w:t>
      </w:r>
      <w:r>
        <w:rPr>
          <w:rFonts w:hint="eastAsia" w:asciiTheme="minorEastAsia" w:hAnsiTheme="minorEastAsia" w:eastAsiaTheme="minorEastAsia"/>
          <w:bCs/>
          <w:color w:val="auto"/>
          <w:kern w:val="0"/>
          <w:sz w:val="24"/>
          <w:highlight w:val="none"/>
        </w:rPr>
        <w:t>管理、材料、安全文明、风险费、保险、利润、税金、工伤保险费、</w:t>
      </w:r>
      <w:r>
        <w:rPr>
          <w:rFonts w:hint="eastAsia" w:asciiTheme="minorEastAsia" w:hAnsiTheme="minorEastAsia" w:eastAsiaTheme="minorEastAsia"/>
          <w:bCs/>
          <w:color w:val="auto"/>
          <w:kern w:val="0"/>
          <w:sz w:val="24"/>
          <w:highlight w:val="none"/>
          <w:lang w:val="en-US" w:eastAsia="zh-CN"/>
        </w:rPr>
        <w:t>招标代理费、</w:t>
      </w:r>
      <w:r>
        <w:rPr>
          <w:rFonts w:hint="eastAsia" w:asciiTheme="minorEastAsia" w:hAnsiTheme="minorEastAsia" w:eastAsiaTheme="minorEastAsia"/>
          <w:bCs/>
          <w:color w:val="auto"/>
          <w:kern w:val="0"/>
          <w:sz w:val="24"/>
          <w:highlight w:val="none"/>
        </w:rPr>
        <w:t>政策性文件规定、及合同包含的所有风险、责任等所有费用。各</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bCs/>
          <w:color w:val="auto"/>
          <w:kern w:val="0"/>
          <w:sz w:val="24"/>
          <w:highlight w:val="none"/>
        </w:rPr>
        <w:t>应根据招标人提供的招标需求，以及本项目实际情况和自身的综合实力，竞报投标报价。总报价以人民币元计。</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bCs/>
          <w:color w:val="auto"/>
          <w:kern w:val="0"/>
          <w:sz w:val="24"/>
          <w:highlight w:val="none"/>
        </w:rPr>
        <w:t>在投标报价时综合考虑，以后不作任何调整。</w:t>
      </w:r>
    </w:p>
    <w:p w14:paraId="5FE0D530">
      <w:pPr>
        <w:pStyle w:val="9"/>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3.投标报价不得为选择性报价和附有条件的报价。</w:t>
      </w:r>
    </w:p>
    <w:p w14:paraId="02D25C59">
      <w:pPr>
        <w:pStyle w:val="9"/>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（三）投标文件的有效期</w:t>
      </w:r>
    </w:p>
    <w:p w14:paraId="449E0C62">
      <w:pPr>
        <w:pStyle w:val="9"/>
        <w:spacing w:line="360" w:lineRule="auto"/>
        <w:ind w:firstLine="480" w:firstLineChars="200"/>
        <w:rPr>
          <w:rFonts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rPr>
        <w:t>1.投标文件有效期为</w:t>
      </w:r>
      <w:r>
        <w:rPr>
          <w:rFonts w:hint="eastAsia" w:asciiTheme="minorEastAsia" w:hAnsiTheme="minorEastAsia" w:eastAsiaTheme="minorEastAsia" w:cstheme="minorEastAsia"/>
          <w:color w:val="auto"/>
          <w:sz w:val="24"/>
          <w:highlight w:val="none"/>
          <w:lang w:val="en-GB"/>
        </w:rPr>
        <w:t>投标截止日起90天。</w:t>
      </w:r>
    </w:p>
    <w:p w14:paraId="22EAC3E6">
      <w:pPr>
        <w:pStyle w:val="9"/>
        <w:spacing w:line="360" w:lineRule="auto"/>
        <w:ind w:firstLine="480" w:firstLineChars="200"/>
        <w:rPr>
          <w:rFonts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en-GB"/>
        </w:rPr>
        <w:t>在特殊情况下，采购人可与</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lang w:val="en-GB"/>
        </w:rPr>
        <w:t>协商延长投标文件的有效期。</w:t>
      </w:r>
    </w:p>
    <w:p w14:paraId="56EB04F2">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3.中标人的投标文件自开标之日起至合同履行完毕均应保持有效。</w:t>
      </w:r>
    </w:p>
    <w:p w14:paraId="4237D7FB">
      <w:pPr>
        <w:snapToGri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（四）投标文件的签署</w:t>
      </w:r>
    </w:p>
    <w:p w14:paraId="66F1466D">
      <w:pPr>
        <w:pStyle w:val="9"/>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1.投标文件需由法定代表人或经其正式授权的代表签字或盖章（本项目如允许联合体投标且</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bCs/>
          <w:color w:val="auto"/>
          <w:kern w:val="0"/>
          <w:sz w:val="24"/>
          <w:highlight w:val="none"/>
        </w:rPr>
        <w:t>是联合体的，联合体牵头单位应盖章，并签署联合体牵头单位法定代表人或经其正式授权的代表的全名）。授权代表须出具书面授权证明，其《法定代表人授权书》应附在投标文件中。</w:t>
      </w:r>
    </w:p>
    <w:p w14:paraId="426FD6B7">
      <w:pPr>
        <w:pStyle w:val="9"/>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2.投标文件中所有的插字、涂改和增删，必须由法定代表人或经其正式授权的代表在旁边签字或盖章才有效。</w:t>
      </w:r>
    </w:p>
    <w:p w14:paraId="20C4B53F">
      <w:pPr>
        <w:pStyle w:val="9"/>
        <w:spacing w:line="360" w:lineRule="auto"/>
        <w:ind w:firstLine="480" w:firstLineChars="200"/>
        <w:rPr>
          <w:rFonts w:hint="default" w:asciiTheme="minorEastAsia" w:hAnsiTheme="minorEastAsia" w:eastAsiaTheme="minorEastAsia"/>
          <w:bCs/>
          <w:color w:val="auto"/>
          <w:kern w:val="0"/>
          <w:sz w:val="24"/>
          <w:highlight w:val="none"/>
          <w:lang w:val="en-US" w:eastAsia="zh-CN"/>
        </w:rPr>
      </w:pPr>
      <w:r>
        <w:rPr>
          <w:rFonts w:hint="eastAsia" w:asciiTheme="minorEastAsia" w:hAnsiTheme="minorEastAsia" w:eastAsiaTheme="minorEastAsia"/>
          <w:bCs/>
          <w:color w:val="auto"/>
          <w:kern w:val="0"/>
          <w:sz w:val="24"/>
          <w:highlight w:val="none"/>
        </w:rPr>
        <w:t>3.投标文件中要求加盖公章处，可使用有效安全的电子签章替代。</w:t>
      </w:r>
      <w:r>
        <w:rPr>
          <w:rFonts w:hint="eastAsia" w:asciiTheme="minorEastAsia" w:hAnsiTheme="minorEastAsia" w:eastAsiaTheme="minorEastAsia"/>
          <w:bCs/>
          <w:color w:val="auto"/>
          <w:kern w:val="0"/>
          <w:sz w:val="24"/>
          <w:highlight w:val="none"/>
          <w:lang w:val="en-US" w:eastAsia="zh-CN"/>
        </w:rPr>
        <w:t>除联合体协议书外须联合体牵头人和联合体成员盖章外，投标文件中其余部分由联合体牵头人盖章即可。</w:t>
      </w:r>
    </w:p>
    <w:p w14:paraId="16B5E940">
      <w:pPr>
        <w:autoSpaceDE w:val="0"/>
        <w:autoSpaceDN w:val="0"/>
        <w:adjustRightInd w:val="0"/>
        <w:spacing w:line="360" w:lineRule="auto"/>
        <w:ind w:firstLine="482" w:firstLineChars="200"/>
        <w:rPr>
          <w:rFonts w:asciiTheme="minorEastAsia" w:hAnsiTheme="minorEastAsia"/>
          <w:b/>
          <w:bCs/>
          <w:color w:val="auto"/>
          <w:sz w:val="24"/>
          <w:highlight w:val="none"/>
        </w:rPr>
      </w:pPr>
      <w:r>
        <w:rPr>
          <w:rFonts w:hint="eastAsia" w:asciiTheme="minorEastAsia" w:hAnsiTheme="minorEastAsia"/>
          <w:b/>
          <w:bCs/>
          <w:color w:val="auto"/>
          <w:sz w:val="24"/>
          <w:highlight w:val="none"/>
        </w:rPr>
        <w:t>（五）</w:t>
      </w:r>
      <w:r>
        <w:rPr>
          <w:rFonts w:hint="eastAsia" w:asciiTheme="minorEastAsia" w:hAnsiTheme="minorEastAsia" w:eastAsiaTheme="minorEastAsia"/>
          <w:b/>
          <w:bCs/>
          <w:color w:val="auto"/>
          <w:sz w:val="24"/>
          <w:highlight w:val="none"/>
        </w:rPr>
        <w:t>投标文件</w:t>
      </w:r>
      <w:r>
        <w:rPr>
          <w:rFonts w:hint="eastAsia" w:asciiTheme="minorEastAsia" w:hAnsiTheme="minorEastAsia"/>
          <w:b/>
          <w:bCs/>
          <w:color w:val="auto"/>
          <w:sz w:val="24"/>
          <w:highlight w:val="none"/>
        </w:rPr>
        <w:t>的递交要求</w:t>
      </w:r>
    </w:p>
    <w:p w14:paraId="764A835F">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ajorEastAsia" w:hAnsiTheme="majorEastAsia" w:eastAsiaTheme="majorEastAsia" w:cstheme="majorEastAsia"/>
          <w:color w:val="auto"/>
          <w:sz w:val="24"/>
          <w:highlight w:val="none"/>
        </w:rPr>
        <w:t>按照前附表要求提交，</w:t>
      </w:r>
      <w:r>
        <w:rPr>
          <w:rFonts w:hint="eastAsia" w:asciiTheme="minorEastAsia" w:hAnsiTheme="minorEastAsia" w:eastAsiaTheme="minorEastAsia"/>
          <w:color w:val="auto"/>
          <w:kern w:val="0"/>
          <w:sz w:val="24"/>
          <w:highlight w:val="none"/>
        </w:rPr>
        <w:t>如采购组织机构延长截止时间和开标时间，采购组织机构和</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kern w:val="0"/>
          <w:sz w:val="24"/>
          <w:highlight w:val="none"/>
        </w:rPr>
        <w:t>的权利和义务将受到新的截止时间和开标时间的约束。</w:t>
      </w:r>
    </w:p>
    <w:p w14:paraId="60D1FD04">
      <w:pPr>
        <w:snapToGri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五、开标</w:t>
      </w:r>
    </w:p>
    <w:p w14:paraId="329F2567">
      <w:pPr>
        <w:autoSpaceDE w:val="0"/>
        <w:autoSpaceDN w:val="0"/>
        <w:adjustRightIn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（一）开</w:t>
      </w:r>
      <w:r>
        <w:rPr>
          <w:rFonts w:hint="eastAsia" w:asciiTheme="minorEastAsia" w:hAnsiTheme="minorEastAsia" w:eastAsiaTheme="minorEastAsia"/>
          <w:b/>
          <w:color w:val="auto"/>
          <w:sz w:val="24"/>
          <w:highlight w:val="none"/>
        </w:rPr>
        <w:t>标</w:t>
      </w:r>
      <w:r>
        <w:rPr>
          <w:rFonts w:asciiTheme="minorEastAsia" w:hAnsiTheme="minorEastAsia" w:eastAsiaTheme="minorEastAsia"/>
          <w:b/>
          <w:color w:val="auto"/>
          <w:sz w:val="24"/>
          <w:highlight w:val="none"/>
        </w:rPr>
        <w:t>程序</w:t>
      </w:r>
    </w:p>
    <w:p w14:paraId="34816A1D">
      <w:pPr>
        <w:pStyle w:val="9"/>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1.开标时间到后，主持人准时组织开标；</w:t>
      </w:r>
    </w:p>
    <w:p w14:paraId="3B624080">
      <w:pPr>
        <w:pStyle w:val="9"/>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2.宣布采购组织机构工作人员；</w:t>
      </w:r>
    </w:p>
    <w:p w14:paraId="51C30C31">
      <w:pPr>
        <w:pStyle w:val="9"/>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highlight w:val="none"/>
          <w:lang w:eastAsia="zh-CN"/>
        </w:rPr>
        <w:t>供应商</w:t>
      </w:r>
      <w:r>
        <w:rPr>
          <w:rFonts w:hint="eastAsia" w:cs="宋体" w:asciiTheme="minorEastAsia" w:hAnsiTheme="minorEastAsia" w:eastAsiaTheme="minorEastAsia"/>
          <w:color w:val="auto"/>
          <w:sz w:val="24"/>
          <w:szCs w:val="24"/>
          <w:highlight w:val="none"/>
        </w:rPr>
        <w:t>登录政采云平台，用“项目采购-开标评标”功能对投标文件进行在线解密，在线解密时间为开标时间起半个小时内；</w:t>
      </w:r>
    </w:p>
    <w:p w14:paraId="1B6FF064">
      <w:pPr>
        <w:pStyle w:val="9"/>
        <w:spacing w:line="360" w:lineRule="auto"/>
        <w:ind w:firstLine="480" w:firstLineChars="200"/>
        <w:rPr>
          <w:color w:val="auto"/>
          <w:sz w:val="24"/>
          <w:szCs w:val="22"/>
          <w:highlight w:val="none"/>
        </w:rPr>
      </w:pPr>
      <w:r>
        <w:rPr>
          <w:rFonts w:hint="eastAsia" w:cs="宋体"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rPr>
        <w:t>采购组织机构</w:t>
      </w:r>
      <w:r>
        <w:rPr>
          <w:rFonts w:hint="eastAsia"/>
          <w:color w:val="auto"/>
          <w:sz w:val="24"/>
          <w:szCs w:val="22"/>
          <w:highlight w:val="none"/>
        </w:rPr>
        <w:t>工作人员当众宣布</w:t>
      </w:r>
      <w:r>
        <w:rPr>
          <w:rFonts w:hint="eastAsia" w:asciiTheme="minorEastAsia" w:hAnsiTheme="minorEastAsia" w:eastAsiaTheme="minorEastAsia"/>
          <w:color w:val="auto"/>
          <w:sz w:val="24"/>
          <w:highlight w:val="none"/>
          <w:lang w:eastAsia="zh-CN"/>
        </w:rPr>
        <w:t>供应商</w:t>
      </w:r>
      <w:r>
        <w:rPr>
          <w:rFonts w:hint="eastAsia"/>
          <w:color w:val="auto"/>
          <w:sz w:val="24"/>
          <w:szCs w:val="22"/>
          <w:highlight w:val="none"/>
        </w:rPr>
        <w:t>名称、投标价格和招标文件规定的需要宣布的其他内容（以开标一览表要求为准）；</w:t>
      </w:r>
    </w:p>
    <w:p w14:paraId="2965F899">
      <w:pPr>
        <w:pStyle w:val="9"/>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5.公布开标结果。</w:t>
      </w:r>
    </w:p>
    <w:p w14:paraId="559A024A">
      <w:pPr>
        <w:pStyle w:val="9"/>
        <w:spacing w:line="360" w:lineRule="auto"/>
        <w:ind w:firstLine="482" w:firstLineChars="200"/>
        <w:rPr>
          <w:b/>
          <w:bCs/>
          <w:color w:val="auto"/>
          <w:sz w:val="24"/>
          <w:szCs w:val="22"/>
          <w:highlight w:val="none"/>
        </w:rPr>
      </w:pPr>
      <w:r>
        <w:rPr>
          <w:rFonts w:hint="eastAsia"/>
          <w:b/>
          <w:bCs/>
          <w:color w:val="auto"/>
          <w:sz w:val="24"/>
          <w:szCs w:val="22"/>
          <w:highlight w:val="none"/>
        </w:rPr>
        <w:t>（二）开标异议</w:t>
      </w:r>
    </w:p>
    <w:p w14:paraId="3B68AC77">
      <w:pPr>
        <w:pStyle w:val="9"/>
        <w:spacing w:line="360" w:lineRule="auto"/>
        <w:ind w:firstLine="480" w:firstLineChars="200"/>
        <w:rPr>
          <w:color w:val="auto"/>
          <w:sz w:val="24"/>
          <w:szCs w:val="22"/>
          <w:highlight w:val="none"/>
        </w:rPr>
      </w:pPr>
      <w:r>
        <w:rPr>
          <w:rFonts w:hint="eastAsia" w:asciiTheme="minorEastAsia" w:hAnsiTheme="minorEastAsia" w:eastAsiaTheme="minorEastAsia"/>
          <w:color w:val="auto"/>
          <w:sz w:val="24"/>
          <w:highlight w:val="none"/>
          <w:lang w:eastAsia="zh-CN"/>
        </w:rPr>
        <w:t>供应商</w:t>
      </w:r>
      <w:r>
        <w:rPr>
          <w:rFonts w:hint="eastAsia"/>
          <w:color w:val="auto"/>
          <w:sz w:val="24"/>
          <w:szCs w:val="22"/>
          <w:highlight w:val="none"/>
        </w:rPr>
        <w:t>代表对开标过程和开标记录有疑义，以及认为采购人、采购组织机构相关工作人员有需要回避的情形的，应当场提出询问或者回避申请，开标会议结束后不再接受相关询问、质疑或者回避申请。</w:t>
      </w:r>
    </w:p>
    <w:p w14:paraId="3728C221">
      <w:pPr>
        <w:pStyle w:val="9"/>
        <w:spacing w:line="360" w:lineRule="auto"/>
        <w:ind w:firstLine="482" w:firstLineChars="200"/>
        <w:rPr>
          <w:color w:val="auto"/>
          <w:sz w:val="24"/>
          <w:szCs w:val="22"/>
          <w:highlight w:val="none"/>
        </w:rPr>
      </w:pPr>
      <w:r>
        <w:rPr>
          <w:rFonts w:hint="eastAsia"/>
          <w:b/>
          <w:bCs/>
          <w:color w:val="auto"/>
          <w:sz w:val="24"/>
          <w:szCs w:val="22"/>
          <w:highlight w:val="none"/>
        </w:rPr>
        <w:t>（三）</w:t>
      </w:r>
      <w:r>
        <w:rPr>
          <w:rFonts w:hint="eastAsia" w:asciiTheme="minorEastAsia" w:hAnsiTheme="minorEastAsia" w:eastAsiaTheme="minorEastAsia"/>
          <w:color w:val="auto"/>
          <w:sz w:val="24"/>
          <w:highlight w:val="none"/>
          <w:lang w:eastAsia="zh-CN"/>
        </w:rPr>
        <w:t>供应商</w:t>
      </w:r>
      <w:r>
        <w:rPr>
          <w:rFonts w:hint="eastAsia"/>
          <w:color w:val="auto"/>
          <w:sz w:val="24"/>
          <w:szCs w:val="22"/>
          <w:highlight w:val="none"/>
        </w:rPr>
        <w:t>不足三家，不得开标。</w:t>
      </w:r>
    </w:p>
    <w:p w14:paraId="257204DE">
      <w:pPr>
        <w:pStyle w:val="12"/>
        <w:snapToGrid w:val="0"/>
        <w:spacing w:line="360" w:lineRule="auto"/>
        <w:ind w:firstLine="482" w:firstLineChars="200"/>
        <w:rPr>
          <w:rFonts w:asciiTheme="minorEastAsia" w:hAnsiTheme="minorEastAsia"/>
          <w:b/>
          <w:color w:val="auto"/>
          <w:sz w:val="24"/>
          <w:highlight w:val="none"/>
        </w:rPr>
      </w:pPr>
      <w:r>
        <w:rPr>
          <w:rFonts w:hint="eastAsia" w:asciiTheme="minorEastAsia" w:hAnsiTheme="minorEastAsia" w:eastAsiaTheme="minorEastAsia"/>
          <w:b/>
          <w:color w:val="auto"/>
          <w:sz w:val="24"/>
          <w:highlight w:val="none"/>
        </w:rPr>
        <w:t>五、评标（详见第四章）</w:t>
      </w:r>
    </w:p>
    <w:p w14:paraId="6CA6A5DF">
      <w:pPr>
        <w:pStyle w:val="19"/>
        <w:spacing w:before="0" w:beforeAutospacing="0" w:after="0" w:afterAutospacing="0" w:line="360" w:lineRule="auto"/>
        <w:ind w:firstLine="482" w:firstLineChars="200"/>
        <w:jc w:val="both"/>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六、定标</w:t>
      </w:r>
    </w:p>
    <w:p w14:paraId="6A458B50">
      <w:pPr>
        <w:pStyle w:val="19"/>
        <w:spacing w:before="0" w:beforeAutospacing="0" w:after="0" w:afterAutospacing="0" w:line="360" w:lineRule="auto"/>
        <w:ind w:firstLine="482" w:firstLineChars="200"/>
        <w:jc w:val="both"/>
        <w:rPr>
          <w:rFonts w:hint="default"/>
          <w:b/>
          <w:bCs/>
          <w:color w:val="auto"/>
          <w:highlight w:val="none"/>
        </w:rPr>
      </w:pPr>
      <w:r>
        <w:rPr>
          <w:rFonts w:asciiTheme="minorEastAsia" w:hAnsiTheme="minorEastAsia" w:eastAsiaTheme="minorEastAsia"/>
          <w:b/>
          <w:bCs/>
          <w:color w:val="auto"/>
          <w:highlight w:val="none"/>
        </w:rPr>
        <w:t>（一）</w:t>
      </w:r>
      <w:r>
        <w:rPr>
          <w:b/>
          <w:bCs/>
          <w:color w:val="auto"/>
          <w:highlight w:val="none"/>
        </w:rPr>
        <w:t>确定中标人</w:t>
      </w:r>
    </w:p>
    <w:p w14:paraId="48F98F32">
      <w:pPr>
        <w:pStyle w:val="19"/>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评标委员会根据采购单位的</w:t>
      </w:r>
      <w:r>
        <w:rPr>
          <w:color w:val="auto"/>
          <w:highlight w:val="none"/>
        </w:rPr>
        <w:t>《授权意见确认书》</w:t>
      </w:r>
      <w:r>
        <w:rPr>
          <w:rFonts w:asciiTheme="minorEastAsia" w:hAnsiTheme="minorEastAsia" w:eastAsiaTheme="minorEastAsia"/>
          <w:color w:val="auto"/>
          <w:highlight w:val="none"/>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14:paraId="33B15B77">
      <w:pPr>
        <w:spacing w:line="360" w:lineRule="auto"/>
        <w:ind w:firstLine="482" w:firstLineChars="200"/>
        <w:rPr>
          <w:rFonts w:ascii="宋体" w:hAnsi="宋体"/>
          <w:b/>
          <w:bCs/>
          <w:color w:val="auto"/>
          <w:kern w:val="0"/>
          <w:sz w:val="24"/>
          <w:highlight w:val="none"/>
        </w:rPr>
      </w:pPr>
      <w:r>
        <w:rPr>
          <w:rFonts w:hint="eastAsia" w:asciiTheme="minorEastAsia" w:hAnsiTheme="minorEastAsia" w:eastAsiaTheme="minorEastAsia"/>
          <w:b/>
          <w:bCs/>
          <w:color w:val="auto"/>
          <w:sz w:val="24"/>
          <w:highlight w:val="none"/>
        </w:rPr>
        <w:t>（二）</w:t>
      </w:r>
      <w:r>
        <w:rPr>
          <w:rFonts w:hint="eastAsia" w:ascii="宋体" w:hAnsi="宋体"/>
          <w:b/>
          <w:bCs/>
          <w:color w:val="auto"/>
          <w:kern w:val="0"/>
          <w:sz w:val="24"/>
          <w:highlight w:val="none"/>
        </w:rPr>
        <w:t>发布</w:t>
      </w:r>
      <w:r>
        <w:rPr>
          <w:b/>
          <w:bCs/>
          <w:color w:val="auto"/>
          <w:sz w:val="24"/>
          <w:highlight w:val="none"/>
        </w:rPr>
        <w:t>中标</w:t>
      </w:r>
      <w:r>
        <w:rPr>
          <w:rFonts w:hint="eastAsia" w:ascii="宋体" w:hAnsi="宋体"/>
          <w:b/>
          <w:bCs/>
          <w:color w:val="auto"/>
          <w:kern w:val="0"/>
          <w:sz w:val="24"/>
          <w:highlight w:val="none"/>
        </w:rPr>
        <w:t>结果公告</w:t>
      </w:r>
    </w:p>
    <w:p w14:paraId="2F28B7D1">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采购组织机构自中标人</w:t>
      </w:r>
      <w:r>
        <w:rPr>
          <w:rFonts w:ascii="宋体" w:hAnsi="宋体"/>
          <w:color w:val="auto"/>
          <w:kern w:val="0"/>
          <w:sz w:val="24"/>
          <w:highlight w:val="none"/>
        </w:rPr>
        <w:t>确定</w:t>
      </w:r>
      <w:r>
        <w:rPr>
          <w:rFonts w:hint="eastAsia" w:ascii="宋体" w:hAnsi="宋体"/>
          <w:color w:val="auto"/>
          <w:kern w:val="0"/>
          <w:sz w:val="24"/>
          <w:highlight w:val="none"/>
        </w:rPr>
        <w:t>之日起</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w:t>
      </w:r>
      <w:r>
        <w:rPr>
          <w:rFonts w:hint="eastAsia" w:ascii="宋体" w:hAnsi="宋体"/>
          <w:color w:val="auto"/>
          <w:kern w:val="0"/>
          <w:sz w:val="24"/>
          <w:highlight w:val="none"/>
        </w:rPr>
        <w:t>浙江</w:t>
      </w:r>
      <w:r>
        <w:rPr>
          <w:rFonts w:ascii="宋体" w:hAnsi="宋体"/>
          <w:color w:val="auto"/>
          <w:kern w:val="0"/>
          <w:sz w:val="24"/>
          <w:highlight w:val="none"/>
        </w:rPr>
        <w:t>省</w:t>
      </w:r>
      <w:r>
        <w:rPr>
          <w:rFonts w:hint="eastAsia" w:ascii="宋体" w:hAnsi="宋体"/>
          <w:color w:val="auto"/>
          <w:kern w:val="0"/>
          <w:sz w:val="24"/>
          <w:highlight w:val="none"/>
        </w:rPr>
        <w:t>政府采购</w:t>
      </w:r>
      <w:r>
        <w:rPr>
          <w:rFonts w:ascii="宋体" w:hAnsi="宋体"/>
          <w:color w:val="auto"/>
          <w:kern w:val="0"/>
          <w:sz w:val="24"/>
          <w:highlight w:val="none"/>
        </w:rPr>
        <w:t>网</w:t>
      </w:r>
      <w:r>
        <w:rPr>
          <w:rFonts w:hint="eastAsia" w:ascii="宋体" w:hAnsi="宋体"/>
          <w:color w:val="auto"/>
          <w:kern w:val="0"/>
          <w:sz w:val="24"/>
          <w:highlight w:val="none"/>
        </w:rPr>
        <w:t>和台州市公共资源交易网上</w:t>
      </w:r>
      <w:r>
        <w:rPr>
          <w:rFonts w:ascii="宋体" w:hAnsi="宋体"/>
          <w:color w:val="auto"/>
          <w:kern w:val="0"/>
          <w:sz w:val="24"/>
          <w:highlight w:val="none"/>
        </w:rPr>
        <w:t>公告</w:t>
      </w:r>
      <w:r>
        <w:rPr>
          <w:rFonts w:hint="eastAsia" w:ascii="宋体" w:hAnsi="宋体"/>
          <w:color w:val="auto"/>
          <w:kern w:val="0"/>
          <w:sz w:val="24"/>
          <w:highlight w:val="none"/>
        </w:rPr>
        <w:t>中标结果，</w:t>
      </w:r>
      <w:r>
        <w:rPr>
          <w:color w:val="auto"/>
          <w:sz w:val="24"/>
          <w:highlight w:val="none"/>
        </w:rPr>
        <w:t>中标结果公告期为</w:t>
      </w:r>
      <w:r>
        <w:rPr>
          <w:rFonts w:hint="eastAsia"/>
          <w:color w:val="auto"/>
          <w:sz w:val="24"/>
          <w:highlight w:val="none"/>
        </w:rPr>
        <w:t>1</w:t>
      </w:r>
      <w:r>
        <w:rPr>
          <w:color w:val="auto"/>
          <w:sz w:val="24"/>
          <w:highlight w:val="none"/>
        </w:rPr>
        <w:t>个工作日</w:t>
      </w:r>
      <w:r>
        <w:rPr>
          <w:rFonts w:hint="eastAsia" w:ascii="宋体" w:hAnsi="宋体"/>
          <w:color w:val="auto"/>
          <w:kern w:val="0"/>
          <w:sz w:val="24"/>
          <w:highlight w:val="none"/>
        </w:rPr>
        <w:t>。</w:t>
      </w:r>
    </w:p>
    <w:p w14:paraId="1F741129">
      <w:pPr>
        <w:pStyle w:val="10"/>
        <w:numPr>
          <w:ilvl w:val="0"/>
          <w:numId w:val="6"/>
        </w:numPr>
        <w:spacing w:line="360" w:lineRule="auto"/>
        <w:ind w:firstLine="482" w:firstLineChars="200"/>
        <w:jc w:val="both"/>
        <w:rPr>
          <w:b/>
          <w:bCs/>
          <w:color w:val="auto"/>
          <w:sz w:val="24"/>
          <w:highlight w:val="none"/>
        </w:rPr>
      </w:pPr>
      <w:r>
        <w:rPr>
          <w:rFonts w:hint="eastAsia"/>
          <w:b/>
          <w:bCs/>
          <w:color w:val="auto"/>
          <w:sz w:val="24"/>
          <w:highlight w:val="none"/>
        </w:rPr>
        <w:t>发放中标通知书</w:t>
      </w:r>
    </w:p>
    <w:p w14:paraId="16D12A60">
      <w:pPr>
        <w:pStyle w:val="10"/>
        <w:spacing w:line="360" w:lineRule="auto"/>
        <w:ind w:firstLine="420" w:firstLineChars="175"/>
        <w:jc w:val="both"/>
        <w:rPr>
          <w:color w:val="auto"/>
          <w:highlight w:val="none"/>
        </w:rPr>
      </w:pPr>
      <w:r>
        <w:rPr>
          <w:rFonts w:hint="eastAsia" w:ascii="宋体" w:hAnsi="宋体"/>
          <w:color w:val="auto"/>
          <w:kern w:val="0"/>
          <w:sz w:val="24"/>
          <w:highlight w:val="none"/>
        </w:rPr>
        <w:t>采购组织机构在发布中标结果公告的同时，</w:t>
      </w:r>
      <w:r>
        <w:rPr>
          <w:rFonts w:hint="eastAsia"/>
          <w:color w:val="auto"/>
          <w:sz w:val="24"/>
          <w:highlight w:val="none"/>
        </w:rPr>
        <w:t>通过政采云平台</w:t>
      </w:r>
      <w:r>
        <w:rPr>
          <w:rFonts w:hint="eastAsia" w:ascii="宋体" w:hAnsi="宋体"/>
          <w:color w:val="auto"/>
          <w:kern w:val="0"/>
          <w:sz w:val="24"/>
          <w:highlight w:val="none"/>
        </w:rPr>
        <w:t>向中标人发出中标通知书。</w:t>
      </w:r>
    </w:p>
    <w:p w14:paraId="3C66C054">
      <w:pPr>
        <w:spacing w:line="360" w:lineRule="auto"/>
        <w:ind w:firstLine="482" w:firstLineChars="200"/>
        <w:rPr>
          <w:rFonts w:ascii="宋体" w:hAnsi="宋体"/>
          <w:color w:val="auto"/>
          <w:kern w:val="0"/>
          <w:sz w:val="24"/>
          <w:highlight w:val="none"/>
        </w:rPr>
      </w:pPr>
      <w:r>
        <w:rPr>
          <w:rFonts w:hint="eastAsia" w:asciiTheme="minorEastAsia" w:hAnsiTheme="minorEastAsia" w:eastAsiaTheme="minorEastAsia"/>
          <w:b/>
          <w:color w:val="auto"/>
          <w:sz w:val="24"/>
          <w:highlight w:val="none"/>
        </w:rPr>
        <w:t>七</w:t>
      </w:r>
      <w:r>
        <w:rPr>
          <w:rFonts w:asciiTheme="minorEastAsia" w:hAnsiTheme="minorEastAsia" w:eastAsiaTheme="minorEastAsia"/>
          <w:b/>
          <w:color w:val="auto"/>
          <w:sz w:val="24"/>
          <w:highlight w:val="none"/>
        </w:rPr>
        <w:t>、</w:t>
      </w:r>
      <w:r>
        <w:rPr>
          <w:rFonts w:hint="eastAsia" w:ascii="宋体" w:hAnsi="宋体"/>
          <w:b/>
          <w:color w:val="auto"/>
          <w:kern w:val="0"/>
          <w:sz w:val="24"/>
          <w:highlight w:val="none"/>
        </w:rPr>
        <w:t>合同签订及公告</w:t>
      </w:r>
    </w:p>
    <w:p w14:paraId="7033FADD">
      <w:pPr>
        <w:spacing w:line="360" w:lineRule="auto"/>
        <w:ind w:firstLine="482" w:firstLineChars="200"/>
        <w:rPr>
          <w:rFonts w:ascii="宋体" w:hAnsi="宋体"/>
          <w:b/>
          <w:color w:val="auto"/>
          <w:kern w:val="0"/>
          <w:sz w:val="24"/>
          <w:highlight w:val="none"/>
        </w:rPr>
      </w:pPr>
      <w:r>
        <w:rPr>
          <w:rFonts w:hint="eastAsia" w:ascii="宋体" w:hAnsi="宋体"/>
          <w:b/>
          <w:color w:val="auto"/>
          <w:sz w:val="24"/>
          <w:highlight w:val="none"/>
        </w:rPr>
        <w:t>（一）签订合同</w:t>
      </w:r>
    </w:p>
    <w:p w14:paraId="718BE0DB">
      <w:pPr>
        <w:pStyle w:val="19"/>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1.采购人应当自中标通知书发出之日起30日内，按照招标文件和中标人投标文件内容要求，与中标人签订合同。所签订的合同不得对招标文件确定的事项和中标人投标文件作实质性修改。</w:t>
      </w:r>
    </w:p>
    <w:p w14:paraId="575B6A4B">
      <w:pPr>
        <w:pStyle w:val="19"/>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2.采购人不得向中标人提出任何不合理的要求作为签订合同的条件。</w:t>
      </w:r>
    </w:p>
    <w:p w14:paraId="1F150CCD">
      <w:pPr>
        <w:pStyle w:val="19"/>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3.中标人无故拖延、拒签合同的，将取消中标资格。</w:t>
      </w:r>
    </w:p>
    <w:p w14:paraId="141DFBA2">
      <w:pPr>
        <w:pStyle w:val="19"/>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39424C89">
      <w:pPr>
        <w:pStyle w:val="19"/>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5.询问或者质疑事项可能影响中标结果的，采购人应当暂停签订合同，已经签订合同的，应当中止履行合同。</w:t>
      </w:r>
    </w:p>
    <w:p w14:paraId="62885A7E">
      <w:pPr>
        <w:pStyle w:val="19"/>
        <w:spacing w:before="0" w:beforeAutospacing="0" w:after="0" w:afterAutospacing="0" w:line="360" w:lineRule="auto"/>
        <w:ind w:firstLine="482" w:firstLineChars="200"/>
        <w:jc w:val="both"/>
        <w:rPr>
          <w:rFonts w:hint="default" w:cs="仿宋_GB2312"/>
          <w:b/>
          <w:color w:val="auto"/>
          <w:highlight w:val="none"/>
        </w:rPr>
      </w:pPr>
      <w:r>
        <w:rPr>
          <w:b/>
          <w:color w:val="auto"/>
          <w:highlight w:val="none"/>
        </w:rPr>
        <w:t>（二）合同公告及备案</w:t>
      </w:r>
    </w:p>
    <w:p w14:paraId="709A1EB9">
      <w:pPr>
        <w:pStyle w:val="11"/>
        <w:spacing w:after="0" w:line="360" w:lineRule="auto"/>
        <w:ind w:left="0" w:leftChars="0" w:firstLine="480" w:firstLineChars="200"/>
        <w:rPr>
          <w:rFonts w:ascii="宋体" w:hAnsi="宋体"/>
          <w:color w:val="auto"/>
          <w:sz w:val="24"/>
          <w:highlight w:val="none"/>
        </w:rPr>
      </w:pPr>
      <w:r>
        <w:rPr>
          <w:rFonts w:hint="eastAsia" w:ascii="宋体" w:hAnsi="宋体"/>
          <w:color w:val="auto"/>
          <w:sz w:val="24"/>
          <w:highlight w:val="none"/>
        </w:rPr>
        <w:t>1.采购人应当自合同签订之日起2个工作日内，</w:t>
      </w:r>
      <w:r>
        <w:rPr>
          <w:rFonts w:ascii="宋体" w:hAnsi="宋体"/>
          <w:color w:val="auto"/>
          <w:kern w:val="0"/>
          <w:sz w:val="24"/>
          <w:highlight w:val="none"/>
        </w:rPr>
        <w:t>在省级以上财政部门指定的</w:t>
      </w:r>
      <w:r>
        <w:rPr>
          <w:rFonts w:hint="eastAsia" w:ascii="宋体" w:hAnsi="宋体"/>
          <w:color w:val="auto"/>
          <w:kern w:val="0"/>
          <w:sz w:val="24"/>
          <w:highlight w:val="none"/>
        </w:rPr>
        <w:t>政府采购信息发布</w:t>
      </w:r>
      <w:r>
        <w:rPr>
          <w:rFonts w:ascii="宋体" w:hAnsi="宋体"/>
          <w:color w:val="auto"/>
          <w:kern w:val="0"/>
          <w:sz w:val="24"/>
          <w:highlight w:val="none"/>
        </w:rPr>
        <w:t>媒体及相关网站</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sz w:val="24"/>
          <w:highlight w:val="none"/>
        </w:rPr>
        <w:t>。</w:t>
      </w:r>
    </w:p>
    <w:p w14:paraId="423786A3">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2.采购人应当自合同签订之日起7个工作日内，</w:t>
      </w:r>
      <w:r>
        <w:rPr>
          <w:rFonts w:hint="eastAsia"/>
          <w:color w:val="auto"/>
          <w:sz w:val="24"/>
          <w:highlight w:val="none"/>
        </w:rPr>
        <w:t>将合同通过政采云平台提交至</w:t>
      </w:r>
      <w:r>
        <w:rPr>
          <w:rFonts w:hint="eastAsia" w:ascii="宋体" w:hAnsi="宋体"/>
          <w:color w:val="auto"/>
          <w:sz w:val="24"/>
          <w:highlight w:val="none"/>
        </w:rPr>
        <w:t>同级人民政府财政部门备案存档。</w:t>
      </w:r>
    </w:p>
    <w:p w14:paraId="27C20588">
      <w:pPr>
        <w:pStyle w:val="10"/>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八、询问、质疑与投诉</w:t>
      </w:r>
    </w:p>
    <w:p w14:paraId="71EF9226">
      <w:pPr>
        <w:pStyle w:val="10"/>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（一）询问</w:t>
      </w:r>
    </w:p>
    <w:p w14:paraId="12F28AD6">
      <w:pPr>
        <w:pStyle w:val="10"/>
        <w:spacing w:line="360" w:lineRule="auto"/>
        <w:ind w:firstLine="480" w:firstLineChars="200"/>
        <w:jc w:val="both"/>
        <w:rPr>
          <w:rFonts w:ascii="宋体" w:hAnsi="宋体"/>
          <w:color w:val="auto"/>
          <w:sz w:val="24"/>
          <w:highlight w:val="none"/>
        </w:rPr>
      </w:pPr>
      <w:r>
        <w:rPr>
          <w:rFonts w:hint="eastAsia" w:asciiTheme="minorEastAsia" w:hAnsiTheme="minorEastAsia" w:eastAsiaTheme="minorEastAsia"/>
          <w:color w:val="auto"/>
          <w:sz w:val="24"/>
          <w:highlight w:val="none"/>
          <w:lang w:eastAsia="zh-CN"/>
        </w:rPr>
        <w:t>供应商</w:t>
      </w:r>
      <w:r>
        <w:rPr>
          <w:rFonts w:hint="eastAsia" w:ascii="宋体" w:hAnsi="宋体"/>
          <w:color w:val="auto"/>
          <w:sz w:val="24"/>
          <w:highlight w:val="none"/>
        </w:rPr>
        <w:t>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3CAA050B">
      <w:pPr>
        <w:pStyle w:val="10"/>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（二）质疑</w:t>
      </w:r>
    </w:p>
    <w:p w14:paraId="75F35D7F">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1.报名本项目的</w:t>
      </w:r>
      <w:r>
        <w:rPr>
          <w:rFonts w:hint="eastAsia" w:asciiTheme="minorEastAsia" w:hAnsiTheme="minorEastAsia" w:eastAsiaTheme="minorEastAsia"/>
          <w:color w:val="auto"/>
          <w:sz w:val="24"/>
          <w:highlight w:val="none"/>
          <w:lang w:eastAsia="zh-CN"/>
        </w:rPr>
        <w:t>供应商</w:t>
      </w:r>
      <w:r>
        <w:rPr>
          <w:rFonts w:hint="eastAsia" w:ascii="宋体" w:hAnsi="宋体"/>
          <w:color w:val="auto"/>
          <w:sz w:val="24"/>
          <w:highlight w:val="none"/>
        </w:rPr>
        <w:t>认为招标文件、采购过程和中标结果使自己的权益受到损害的，通过政采云平台的质疑系统一次性向采购人或采购组织机构提出质疑：</w:t>
      </w:r>
    </w:p>
    <w:p w14:paraId="45E3E40B">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w:t>
      </w:r>
      <w:r>
        <w:rPr>
          <w:rFonts w:hint="eastAsia" w:asciiTheme="minorEastAsia" w:hAnsiTheme="minorEastAsia" w:eastAsiaTheme="minorEastAsia"/>
          <w:color w:val="auto"/>
          <w:sz w:val="24"/>
          <w:highlight w:val="none"/>
          <w:lang w:eastAsia="zh-CN"/>
        </w:rPr>
        <w:t>供应商</w:t>
      </w:r>
      <w:r>
        <w:rPr>
          <w:rFonts w:hint="eastAsia" w:ascii="宋体" w:hAnsi="宋体"/>
          <w:color w:val="auto"/>
          <w:sz w:val="24"/>
          <w:highlight w:val="none"/>
        </w:rPr>
        <w:t>认为招标文件的内容损害其权益的，应当自获取之日起（获取截止日之后收到招标文件的，以获取截止日为准）7个工作日内提出质疑；</w:t>
      </w:r>
    </w:p>
    <w:p w14:paraId="65E84302">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w:t>
      </w:r>
      <w:r>
        <w:rPr>
          <w:rFonts w:hint="eastAsia" w:asciiTheme="minorEastAsia" w:hAnsiTheme="minorEastAsia" w:eastAsiaTheme="minorEastAsia"/>
          <w:color w:val="auto"/>
          <w:sz w:val="24"/>
          <w:highlight w:val="none"/>
          <w:lang w:eastAsia="zh-CN"/>
        </w:rPr>
        <w:t>供应商</w:t>
      </w:r>
      <w:r>
        <w:rPr>
          <w:rFonts w:hint="eastAsia" w:ascii="宋体" w:hAnsi="宋体"/>
          <w:color w:val="auto"/>
          <w:sz w:val="24"/>
          <w:highlight w:val="none"/>
        </w:rPr>
        <w:t>对采购过程提出质疑的，应当在各采购程序环节结束之日起7个工作日内提出质疑；</w:t>
      </w:r>
    </w:p>
    <w:p w14:paraId="160477DF">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w:t>
      </w:r>
      <w:r>
        <w:rPr>
          <w:rFonts w:hint="eastAsia" w:asciiTheme="minorEastAsia" w:hAnsiTheme="minorEastAsia" w:eastAsiaTheme="minorEastAsia"/>
          <w:color w:val="auto"/>
          <w:sz w:val="24"/>
          <w:highlight w:val="none"/>
          <w:lang w:eastAsia="zh-CN"/>
        </w:rPr>
        <w:t>供应商</w:t>
      </w:r>
      <w:r>
        <w:rPr>
          <w:rFonts w:hint="eastAsia" w:ascii="宋体" w:hAnsi="宋体"/>
          <w:color w:val="auto"/>
          <w:sz w:val="24"/>
          <w:highlight w:val="none"/>
        </w:rPr>
        <w:t>对中标结果提出质疑的，应当在中标结果公告期限届满之日起7个工作日内提出质疑。</w:t>
      </w:r>
    </w:p>
    <w:p w14:paraId="4739C1FE">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2.采购人或采购组织机构在收到</w:t>
      </w:r>
      <w:r>
        <w:rPr>
          <w:rFonts w:hint="eastAsia" w:asciiTheme="minorEastAsia" w:hAnsiTheme="minorEastAsia" w:eastAsiaTheme="minorEastAsia"/>
          <w:color w:val="auto"/>
          <w:sz w:val="24"/>
          <w:highlight w:val="none"/>
          <w:lang w:eastAsia="zh-CN"/>
        </w:rPr>
        <w:t>供应商</w:t>
      </w:r>
      <w:r>
        <w:rPr>
          <w:rFonts w:hint="eastAsia" w:ascii="宋体" w:hAnsi="宋体"/>
          <w:color w:val="auto"/>
          <w:sz w:val="24"/>
          <w:highlight w:val="none"/>
        </w:rPr>
        <w:t>的书面质疑后7个工作日内作出答复，并以书面形式或政采云平台回复质疑</w:t>
      </w:r>
      <w:r>
        <w:rPr>
          <w:rFonts w:hint="eastAsia" w:asciiTheme="minorEastAsia" w:hAnsiTheme="minorEastAsia" w:eastAsiaTheme="minorEastAsia"/>
          <w:color w:val="auto"/>
          <w:sz w:val="24"/>
          <w:highlight w:val="none"/>
          <w:lang w:eastAsia="zh-CN"/>
        </w:rPr>
        <w:t>供应商</w:t>
      </w:r>
      <w:r>
        <w:rPr>
          <w:rFonts w:hint="eastAsia" w:ascii="宋体" w:hAnsi="宋体"/>
          <w:color w:val="auto"/>
          <w:sz w:val="24"/>
          <w:highlight w:val="none"/>
        </w:rPr>
        <w:t>和其他有关</w:t>
      </w:r>
      <w:r>
        <w:rPr>
          <w:rFonts w:hint="eastAsia" w:asciiTheme="minorEastAsia" w:hAnsiTheme="minorEastAsia" w:eastAsiaTheme="minorEastAsia"/>
          <w:color w:val="auto"/>
          <w:sz w:val="24"/>
          <w:highlight w:val="none"/>
          <w:lang w:eastAsia="zh-CN"/>
        </w:rPr>
        <w:t>供应商</w:t>
      </w:r>
      <w:r>
        <w:rPr>
          <w:rFonts w:hint="eastAsia" w:ascii="宋体" w:hAnsi="宋体"/>
          <w:color w:val="auto"/>
          <w:sz w:val="24"/>
          <w:highlight w:val="none"/>
        </w:rPr>
        <w:t>，但答复内容不涉及商业秘密。</w:t>
      </w:r>
    </w:p>
    <w:p w14:paraId="66F6E50A">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w:t>
      </w:r>
      <w:r>
        <w:rPr>
          <w:rFonts w:hint="eastAsia" w:asciiTheme="minorEastAsia" w:hAnsiTheme="minorEastAsia" w:eastAsiaTheme="minorEastAsia"/>
          <w:color w:val="auto"/>
          <w:sz w:val="24"/>
          <w:highlight w:val="none"/>
          <w:lang w:eastAsia="zh-CN"/>
        </w:rPr>
        <w:t>供应商</w:t>
      </w:r>
      <w:r>
        <w:rPr>
          <w:rFonts w:hint="eastAsia" w:ascii="宋体" w:hAnsi="宋体"/>
          <w:color w:val="auto"/>
          <w:sz w:val="24"/>
          <w:highlight w:val="none"/>
        </w:rPr>
        <w:t>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247B17F8">
      <w:pPr>
        <w:pStyle w:val="10"/>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（三）投诉</w:t>
      </w:r>
    </w:p>
    <w:p w14:paraId="6F27DD4B">
      <w:pPr>
        <w:pStyle w:val="10"/>
        <w:spacing w:line="360" w:lineRule="auto"/>
        <w:ind w:firstLine="480" w:firstLineChars="200"/>
        <w:jc w:val="both"/>
        <w:rPr>
          <w:rFonts w:ascii="宋体" w:hAnsi="宋体"/>
          <w:color w:val="auto"/>
          <w:sz w:val="24"/>
          <w:highlight w:val="none"/>
        </w:rPr>
      </w:pPr>
      <w:r>
        <w:rPr>
          <w:rFonts w:hint="eastAsia" w:asciiTheme="minorEastAsia" w:hAnsiTheme="minorEastAsia" w:eastAsiaTheme="minorEastAsia"/>
          <w:color w:val="auto"/>
          <w:sz w:val="24"/>
          <w:highlight w:val="none"/>
          <w:lang w:eastAsia="zh-CN"/>
        </w:rPr>
        <w:t>供应商</w:t>
      </w:r>
      <w:r>
        <w:rPr>
          <w:rFonts w:hint="eastAsia" w:ascii="宋体" w:hAnsi="宋体"/>
          <w:color w:val="auto"/>
          <w:sz w:val="24"/>
          <w:highlight w:val="none"/>
        </w:rPr>
        <w:t>对采购人或采购组织机构的质疑答复不满意或在规定时间内未得到答复的，可以在答复期满后15个工作日内，向同级政府采购监督管理机构投诉。</w:t>
      </w:r>
    </w:p>
    <w:p w14:paraId="0A51804F">
      <w:pPr>
        <w:pStyle w:val="10"/>
        <w:spacing w:line="360" w:lineRule="auto"/>
        <w:ind w:firstLine="480" w:firstLineChars="200"/>
        <w:jc w:val="both"/>
        <w:rPr>
          <w:rFonts w:asciiTheme="minorEastAsia" w:hAnsiTheme="minorEastAsia" w:eastAsiaTheme="minorEastAsia"/>
          <w:b/>
          <w:color w:val="auto"/>
          <w:sz w:val="36"/>
          <w:szCs w:val="36"/>
          <w:highlight w:val="none"/>
        </w:rPr>
      </w:pPr>
      <w:r>
        <w:rPr>
          <w:rFonts w:hint="eastAsia" w:ascii="宋体" w:hAnsi="宋体"/>
          <w:color w:val="auto"/>
          <w:sz w:val="24"/>
          <w:highlight w:val="none"/>
        </w:rPr>
        <w:br w:type="page"/>
      </w:r>
    </w:p>
    <w:p w14:paraId="2257854E">
      <w:pPr>
        <w:numPr>
          <w:ilvl w:val="0"/>
          <w:numId w:val="4"/>
        </w:numPr>
        <w:spacing w:line="360" w:lineRule="auto"/>
        <w:jc w:val="center"/>
        <w:rPr>
          <w:rFonts w:asciiTheme="minorEastAsia" w:hAnsiTheme="minorEastAsia" w:eastAsiaTheme="minorEastAsia"/>
          <w:b/>
          <w:color w:val="auto"/>
          <w:sz w:val="36"/>
          <w:szCs w:val="36"/>
          <w:highlight w:val="none"/>
        </w:rPr>
      </w:pPr>
      <w:bookmarkStart w:id="38" w:name="_Toc13072_WPSOffice_Level1"/>
      <w:r>
        <w:rPr>
          <w:rFonts w:hint="eastAsia" w:asciiTheme="minorEastAsia" w:hAnsiTheme="minorEastAsia" w:eastAsiaTheme="minorEastAsia"/>
          <w:b/>
          <w:color w:val="auto"/>
          <w:sz w:val="36"/>
          <w:szCs w:val="36"/>
          <w:highlight w:val="none"/>
        </w:rPr>
        <w:t>招标需求</w:t>
      </w:r>
      <w:bookmarkEnd w:id="38"/>
    </w:p>
    <w:p w14:paraId="4B2C5962">
      <w:pPr>
        <w:tabs>
          <w:tab w:val="left" w:pos="8280"/>
        </w:tabs>
        <w:autoSpaceDE w:val="0"/>
        <w:autoSpaceDN w:val="0"/>
        <w:adjustRightInd w:val="0"/>
        <w:spacing w:line="360" w:lineRule="auto"/>
        <w:ind w:right="25"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一、招标项目一览表</w:t>
      </w:r>
    </w:p>
    <w:p w14:paraId="1B63C46C">
      <w:pPr>
        <w:tabs>
          <w:tab w:val="left" w:pos="8280"/>
        </w:tabs>
        <w:autoSpaceDE w:val="0"/>
        <w:autoSpaceDN w:val="0"/>
        <w:adjustRightInd w:val="0"/>
        <w:spacing w:line="360" w:lineRule="auto"/>
        <w:ind w:right="25"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本次招标共</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2</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个标项，具体内容如下表：</w:t>
      </w:r>
    </w:p>
    <w:tbl>
      <w:tblPr>
        <w:tblStyle w:val="21"/>
        <w:tblpPr w:leftFromText="181" w:rightFromText="181" w:bottomFromText="170" w:vertAnchor="text" w:tblpXSpec="center" w:tblpY="1"/>
        <w:tblOverlap w:val="never"/>
        <w:tblW w:w="9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3505"/>
        <w:gridCol w:w="1698"/>
        <w:gridCol w:w="698"/>
        <w:gridCol w:w="761"/>
        <w:gridCol w:w="1063"/>
        <w:gridCol w:w="1169"/>
      </w:tblGrid>
      <w:tr w14:paraId="1FCBD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883" w:type="dxa"/>
            <w:vAlign w:val="center"/>
          </w:tcPr>
          <w:p w14:paraId="266DA53D">
            <w:pPr>
              <w:tabs>
                <w:tab w:val="left" w:pos="8280"/>
              </w:tabs>
              <w:autoSpaceDE w:val="0"/>
              <w:autoSpaceDN w:val="0"/>
              <w:adjustRightInd w:val="0"/>
              <w:jc w:val="center"/>
              <w:rPr>
                <w:rFonts w:ascii="宋体"/>
                <w:b/>
                <w:color w:val="auto"/>
                <w:szCs w:val="21"/>
                <w:highlight w:val="none"/>
              </w:rPr>
            </w:pPr>
            <w:r>
              <w:rPr>
                <w:rFonts w:hint="eastAsia" w:ascii="宋体" w:hAnsi="宋体"/>
                <w:b/>
                <w:color w:val="auto"/>
                <w:szCs w:val="21"/>
                <w:highlight w:val="none"/>
              </w:rPr>
              <w:t>标项号</w:t>
            </w:r>
          </w:p>
        </w:tc>
        <w:tc>
          <w:tcPr>
            <w:tcW w:w="3505" w:type="dxa"/>
            <w:vAlign w:val="center"/>
          </w:tcPr>
          <w:p w14:paraId="18763A35">
            <w:pPr>
              <w:tabs>
                <w:tab w:val="left" w:pos="8280"/>
              </w:tabs>
              <w:autoSpaceDE w:val="0"/>
              <w:autoSpaceDN w:val="0"/>
              <w:adjustRightInd w:val="0"/>
              <w:jc w:val="center"/>
              <w:rPr>
                <w:rFonts w:ascii="宋体"/>
                <w:b/>
                <w:color w:val="auto"/>
                <w:szCs w:val="21"/>
                <w:highlight w:val="none"/>
              </w:rPr>
            </w:pPr>
            <w:r>
              <w:rPr>
                <w:rFonts w:hint="eastAsia" w:ascii="宋体" w:hAnsi="宋体"/>
                <w:b/>
                <w:color w:val="auto"/>
                <w:szCs w:val="21"/>
                <w:highlight w:val="none"/>
              </w:rPr>
              <w:t>项目名称</w:t>
            </w:r>
          </w:p>
        </w:tc>
        <w:tc>
          <w:tcPr>
            <w:tcW w:w="1698" w:type="dxa"/>
            <w:vAlign w:val="center"/>
          </w:tcPr>
          <w:p w14:paraId="474D57B2">
            <w:pPr>
              <w:tabs>
                <w:tab w:val="left" w:pos="8280"/>
              </w:tabs>
              <w:autoSpaceDE w:val="0"/>
              <w:autoSpaceDN w:val="0"/>
              <w:adjustRightInd w:val="0"/>
              <w:jc w:val="center"/>
              <w:rPr>
                <w:rFonts w:ascii="宋体"/>
                <w:b/>
                <w:color w:val="auto"/>
                <w:szCs w:val="21"/>
                <w:highlight w:val="none"/>
              </w:rPr>
            </w:pPr>
            <w:r>
              <w:rPr>
                <w:rFonts w:hint="eastAsia" w:ascii="宋体" w:hAnsi="宋体" w:cs="宋体"/>
                <w:b/>
                <w:color w:val="auto"/>
                <w:kern w:val="0"/>
                <w:szCs w:val="21"/>
                <w:highlight w:val="none"/>
              </w:rPr>
              <w:t>简要技术要求</w:t>
            </w:r>
          </w:p>
        </w:tc>
        <w:tc>
          <w:tcPr>
            <w:tcW w:w="698" w:type="dxa"/>
            <w:vAlign w:val="center"/>
          </w:tcPr>
          <w:p w14:paraId="205A384A">
            <w:pPr>
              <w:tabs>
                <w:tab w:val="left" w:pos="8280"/>
              </w:tabs>
              <w:autoSpaceDE w:val="0"/>
              <w:autoSpaceDN w:val="0"/>
              <w:adjustRightInd w:val="0"/>
              <w:jc w:val="center"/>
              <w:rPr>
                <w:rFonts w:ascii="宋体"/>
                <w:b/>
                <w:color w:val="auto"/>
                <w:szCs w:val="21"/>
                <w:highlight w:val="none"/>
              </w:rPr>
            </w:pPr>
            <w:r>
              <w:rPr>
                <w:rFonts w:hint="eastAsia" w:ascii="宋体" w:hAnsi="宋体"/>
                <w:b/>
                <w:color w:val="auto"/>
                <w:szCs w:val="21"/>
                <w:highlight w:val="none"/>
              </w:rPr>
              <w:t>数量</w:t>
            </w:r>
          </w:p>
        </w:tc>
        <w:tc>
          <w:tcPr>
            <w:tcW w:w="761" w:type="dxa"/>
            <w:vAlign w:val="center"/>
          </w:tcPr>
          <w:p w14:paraId="7528FCFC">
            <w:pPr>
              <w:tabs>
                <w:tab w:val="left" w:pos="8280"/>
              </w:tabs>
              <w:autoSpaceDE w:val="0"/>
              <w:autoSpaceDN w:val="0"/>
              <w:adjustRightInd w:val="0"/>
              <w:jc w:val="center"/>
              <w:rPr>
                <w:rFonts w:ascii="宋体"/>
                <w:b/>
                <w:color w:val="auto"/>
                <w:szCs w:val="21"/>
                <w:highlight w:val="none"/>
              </w:rPr>
            </w:pPr>
            <w:r>
              <w:rPr>
                <w:rFonts w:hint="eastAsia" w:ascii="宋体" w:hAnsi="宋体"/>
                <w:b/>
                <w:color w:val="auto"/>
                <w:szCs w:val="21"/>
                <w:highlight w:val="none"/>
              </w:rPr>
              <w:t>单位</w:t>
            </w:r>
          </w:p>
        </w:tc>
        <w:tc>
          <w:tcPr>
            <w:tcW w:w="1063" w:type="dxa"/>
            <w:vAlign w:val="center"/>
          </w:tcPr>
          <w:p w14:paraId="6D94B632">
            <w:pPr>
              <w:tabs>
                <w:tab w:val="left" w:pos="8280"/>
              </w:tabs>
              <w:autoSpaceDE w:val="0"/>
              <w:autoSpaceDN w:val="0"/>
              <w:adjustRightInd w:val="0"/>
              <w:jc w:val="center"/>
              <w:rPr>
                <w:rFonts w:ascii="宋体"/>
                <w:b/>
                <w:color w:val="auto"/>
                <w:szCs w:val="21"/>
                <w:highlight w:val="none"/>
              </w:rPr>
            </w:pPr>
            <w:r>
              <w:rPr>
                <w:rFonts w:hint="eastAsia" w:ascii="宋体" w:hAnsi="宋体"/>
                <w:b/>
                <w:color w:val="auto"/>
                <w:szCs w:val="21"/>
                <w:highlight w:val="none"/>
              </w:rPr>
              <w:t>总预算（万元）</w:t>
            </w:r>
          </w:p>
        </w:tc>
        <w:tc>
          <w:tcPr>
            <w:tcW w:w="1169" w:type="dxa"/>
            <w:vAlign w:val="center"/>
          </w:tcPr>
          <w:p w14:paraId="0226BCE2">
            <w:pPr>
              <w:tabs>
                <w:tab w:val="left" w:pos="8280"/>
              </w:tabs>
              <w:autoSpaceDE w:val="0"/>
              <w:autoSpaceDN w:val="0"/>
              <w:adjustRightInd w:val="0"/>
              <w:jc w:val="center"/>
              <w:rPr>
                <w:rFonts w:ascii="宋体" w:hAnsi="宋体"/>
                <w:b/>
                <w:color w:val="auto"/>
                <w:szCs w:val="21"/>
                <w:highlight w:val="none"/>
              </w:rPr>
            </w:pPr>
            <w:r>
              <w:rPr>
                <w:rFonts w:hint="eastAsia" w:ascii="宋体" w:hAnsi="宋体"/>
                <w:b/>
                <w:color w:val="auto"/>
                <w:szCs w:val="21"/>
                <w:highlight w:val="none"/>
              </w:rPr>
              <w:t>最高限价（万元）</w:t>
            </w:r>
          </w:p>
        </w:tc>
      </w:tr>
      <w:tr w14:paraId="21CCC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83" w:type="dxa"/>
            <w:vAlign w:val="center"/>
          </w:tcPr>
          <w:p w14:paraId="760F014F">
            <w:pPr>
              <w:tabs>
                <w:tab w:val="left" w:pos="8280"/>
              </w:tabs>
              <w:autoSpaceDE w:val="0"/>
              <w:autoSpaceDN w:val="0"/>
              <w:adjustRightInd w:val="0"/>
              <w:jc w:val="center"/>
              <w:rPr>
                <w:rFonts w:ascii="宋体" w:hAnsi="宋体" w:cs="宋体"/>
                <w:color w:val="auto"/>
                <w:szCs w:val="21"/>
                <w:highlight w:val="none"/>
              </w:rPr>
            </w:pPr>
            <w:r>
              <w:rPr>
                <w:rFonts w:hint="eastAsia" w:ascii="宋体" w:hAnsi="宋体" w:cs="宋体"/>
                <w:b/>
                <w:color w:val="auto"/>
                <w:szCs w:val="21"/>
                <w:highlight w:val="none"/>
              </w:rPr>
              <w:t>1</w:t>
            </w:r>
          </w:p>
        </w:tc>
        <w:tc>
          <w:tcPr>
            <w:tcW w:w="3505" w:type="dxa"/>
            <w:vAlign w:val="center"/>
          </w:tcPr>
          <w:p w14:paraId="7AB0546B">
            <w:pPr>
              <w:keepNext w:val="0"/>
              <w:keepLines w:val="0"/>
              <w:pageBreakBefore w:val="0"/>
              <w:tabs>
                <w:tab w:val="left" w:pos="8280"/>
              </w:tabs>
              <w:kinsoku/>
              <w:wordWrap/>
              <w:overflowPunct/>
              <w:topLinePunct w:val="0"/>
              <w:autoSpaceDE w:val="0"/>
              <w:autoSpaceDN w:val="0"/>
              <w:bidi w:val="0"/>
              <w:adjustRightInd w:val="0"/>
              <w:spacing w:line="240" w:lineRule="auto"/>
              <w:jc w:val="both"/>
              <w:textAlignment w:val="auto"/>
              <w:rPr>
                <w:rFonts w:ascii="宋体" w:hAnsi="宋体" w:cs="宋体"/>
                <w:b/>
                <w:color w:val="auto"/>
                <w:szCs w:val="21"/>
                <w:highlight w:val="none"/>
              </w:rPr>
            </w:pPr>
            <w:r>
              <w:rPr>
                <w:rFonts w:hint="eastAsia" w:ascii="宋体" w:hAnsi="宋体" w:cs="宋体"/>
                <w:b/>
                <w:bCs/>
                <w:color w:val="auto"/>
                <w:sz w:val="22"/>
                <w:szCs w:val="22"/>
                <w:highlight w:val="none"/>
                <w:lang w:eastAsia="zh-CN"/>
              </w:rPr>
              <w:t>台州市低效用地再开发试点项目（标项一）</w:t>
            </w:r>
          </w:p>
        </w:tc>
        <w:tc>
          <w:tcPr>
            <w:tcW w:w="1698" w:type="dxa"/>
            <w:vAlign w:val="center"/>
          </w:tcPr>
          <w:p w14:paraId="2692C3A1">
            <w:pPr>
              <w:tabs>
                <w:tab w:val="left" w:pos="8280"/>
              </w:tabs>
              <w:autoSpaceDE w:val="0"/>
              <w:autoSpaceDN w:val="0"/>
              <w:adjustRightInd w:val="0"/>
              <w:jc w:val="center"/>
              <w:rPr>
                <w:rFonts w:ascii="宋体" w:hAnsi="宋体" w:cs="宋体"/>
                <w:b/>
                <w:color w:val="auto"/>
                <w:szCs w:val="21"/>
                <w:highlight w:val="none"/>
              </w:rPr>
            </w:pPr>
            <w:r>
              <w:rPr>
                <w:rFonts w:hint="eastAsia" w:ascii="宋体" w:hAnsi="宋体" w:cs="宋体"/>
                <w:color w:val="auto"/>
                <w:szCs w:val="21"/>
                <w:highlight w:val="none"/>
              </w:rPr>
              <w:t>详见技术需求</w:t>
            </w:r>
          </w:p>
        </w:tc>
        <w:tc>
          <w:tcPr>
            <w:tcW w:w="698" w:type="dxa"/>
            <w:vAlign w:val="center"/>
          </w:tcPr>
          <w:p w14:paraId="343D832B">
            <w:pPr>
              <w:tabs>
                <w:tab w:val="left" w:pos="8280"/>
              </w:tabs>
              <w:autoSpaceDE w:val="0"/>
              <w:autoSpaceDN w:val="0"/>
              <w:adjustRightInd w:val="0"/>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761" w:type="dxa"/>
            <w:vAlign w:val="center"/>
          </w:tcPr>
          <w:p w14:paraId="511211CC">
            <w:pPr>
              <w:tabs>
                <w:tab w:val="left" w:pos="8280"/>
              </w:tabs>
              <w:autoSpaceDE w:val="0"/>
              <w:autoSpaceDN w:val="0"/>
              <w:adjustRightInd w:val="0"/>
              <w:jc w:val="center"/>
              <w:rPr>
                <w:rFonts w:ascii="宋体" w:hAnsi="宋体" w:cs="宋体"/>
                <w:bCs/>
                <w:color w:val="auto"/>
                <w:szCs w:val="21"/>
                <w:highlight w:val="none"/>
              </w:rPr>
            </w:pPr>
            <w:r>
              <w:rPr>
                <w:rFonts w:hint="eastAsia" w:ascii="宋体" w:hAnsi="宋体" w:cs="宋体"/>
                <w:bCs/>
                <w:color w:val="auto"/>
                <w:szCs w:val="21"/>
                <w:highlight w:val="none"/>
              </w:rPr>
              <w:t>项</w:t>
            </w:r>
          </w:p>
        </w:tc>
        <w:tc>
          <w:tcPr>
            <w:tcW w:w="1063" w:type="dxa"/>
            <w:vAlign w:val="center"/>
          </w:tcPr>
          <w:p w14:paraId="32EBD23A">
            <w:pPr>
              <w:tabs>
                <w:tab w:val="left" w:pos="8280"/>
              </w:tabs>
              <w:autoSpaceDE w:val="0"/>
              <w:autoSpaceDN w:val="0"/>
              <w:adjustRightInd w:val="0"/>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300</w:t>
            </w:r>
          </w:p>
        </w:tc>
        <w:tc>
          <w:tcPr>
            <w:tcW w:w="1169" w:type="dxa"/>
            <w:vAlign w:val="center"/>
          </w:tcPr>
          <w:p w14:paraId="19F0D3E8">
            <w:pPr>
              <w:tabs>
                <w:tab w:val="left" w:pos="8280"/>
              </w:tabs>
              <w:autoSpaceDE w:val="0"/>
              <w:autoSpaceDN w:val="0"/>
              <w:adjustRightIn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300</w:t>
            </w:r>
          </w:p>
        </w:tc>
      </w:tr>
      <w:tr w14:paraId="2283E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83" w:type="dxa"/>
            <w:vAlign w:val="center"/>
          </w:tcPr>
          <w:p w14:paraId="1BE70BFD">
            <w:pPr>
              <w:tabs>
                <w:tab w:val="left" w:pos="8280"/>
              </w:tabs>
              <w:autoSpaceDE w:val="0"/>
              <w:autoSpaceDN w:val="0"/>
              <w:adjustRightInd w:val="0"/>
              <w:jc w:val="center"/>
              <w:rPr>
                <w:rFonts w:hint="eastAsia" w:ascii="宋体" w:hAnsi="宋体" w:cs="宋体"/>
                <w:color w:val="auto"/>
                <w:szCs w:val="21"/>
                <w:highlight w:val="none"/>
              </w:rPr>
            </w:pPr>
            <w:r>
              <w:rPr>
                <w:rFonts w:hint="eastAsia" w:ascii="宋体" w:hAnsi="宋体" w:cs="宋体"/>
                <w:b/>
                <w:color w:val="auto"/>
                <w:szCs w:val="21"/>
                <w:highlight w:val="none"/>
                <w:lang w:val="en-US" w:eastAsia="zh-CN"/>
              </w:rPr>
              <w:t>2</w:t>
            </w:r>
          </w:p>
        </w:tc>
        <w:tc>
          <w:tcPr>
            <w:tcW w:w="3505" w:type="dxa"/>
            <w:vAlign w:val="center"/>
          </w:tcPr>
          <w:p w14:paraId="0E3F5D2F">
            <w:pPr>
              <w:keepNext w:val="0"/>
              <w:keepLines w:val="0"/>
              <w:pageBreakBefore w:val="0"/>
              <w:tabs>
                <w:tab w:val="left" w:pos="8280"/>
              </w:tabs>
              <w:kinsoku/>
              <w:wordWrap/>
              <w:overflowPunct/>
              <w:topLinePunct w:val="0"/>
              <w:autoSpaceDE w:val="0"/>
              <w:autoSpaceDN w:val="0"/>
              <w:bidi w:val="0"/>
              <w:adjustRightInd w:val="0"/>
              <w:spacing w:line="240" w:lineRule="auto"/>
              <w:jc w:val="both"/>
              <w:textAlignment w:val="auto"/>
              <w:rPr>
                <w:rFonts w:hint="eastAsia" w:ascii="宋体" w:hAnsi="宋体" w:cs="宋体"/>
                <w:b/>
                <w:color w:val="auto"/>
                <w:szCs w:val="21"/>
                <w:highlight w:val="none"/>
              </w:rPr>
            </w:pPr>
            <w:r>
              <w:rPr>
                <w:rFonts w:hint="eastAsia" w:ascii="宋体" w:hAnsi="宋体" w:cs="宋体"/>
                <w:b/>
                <w:bCs/>
                <w:color w:val="auto"/>
                <w:sz w:val="22"/>
                <w:szCs w:val="22"/>
                <w:highlight w:val="none"/>
                <w:lang w:eastAsia="zh-CN"/>
              </w:rPr>
              <w:t>台州市低效用地再开发试点项目（标项二）</w:t>
            </w:r>
          </w:p>
        </w:tc>
        <w:tc>
          <w:tcPr>
            <w:tcW w:w="1698" w:type="dxa"/>
            <w:vAlign w:val="center"/>
          </w:tcPr>
          <w:p w14:paraId="6F0CEFC4">
            <w:pPr>
              <w:tabs>
                <w:tab w:val="left" w:pos="8280"/>
              </w:tabs>
              <w:autoSpaceDE w:val="0"/>
              <w:autoSpaceDN w:val="0"/>
              <w:adjustRightInd w:val="0"/>
              <w:jc w:val="center"/>
              <w:rPr>
                <w:rFonts w:hint="eastAsia" w:ascii="宋体" w:hAnsi="宋体" w:cs="宋体"/>
                <w:color w:val="auto"/>
                <w:szCs w:val="21"/>
                <w:highlight w:val="none"/>
              </w:rPr>
            </w:pPr>
            <w:r>
              <w:rPr>
                <w:rFonts w:hint="eastAsia" w:ascii="宋体" w:hAnsi="宋体" w:cs="宋体"/>
                <w:color w:val="auto"/>
                <w:szCs w:val="21"/>
                <w:highlight w:val="none"/>
              </w:rPr>
              <w:t>详见技术需求</w:t>
            </w:r>
          </w:p>
        </w:tc>
        <w:tc>
          <w:tcPr>
            <w:tcW w:w="698" w:type="dxa"/>
            <w:vAlign w:val="center"/>
          </w:tcPr>
          <w:p w14:paraId="227E7E70">
            <w:pPr>
              <w:tabs>
                <w:tab w:val="left" w:pos="8280"/>
              </w:tabs>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761" w:type="dxa"/>
            <w:vAlign w:val="center"/>
          </w:tcPr>
          <w:p w14:paraId="0F250E54">
            <w:pPr>
              <w:tabs>
                <w:tab w:val="left" w:pos="8280"/>
              </w:tabs>
              <w:autoSpaceDE w:val="0"/>
              <w:autoSpaceDN w:val="0"/>
              <w:adjustRightInd w:val="0"/>
              <w:jc w:val="center"/>
              <w:rPr>
                <w:rFonts w:hint="eastAsia" w:ascii="宋体" w:hAnsi="宋体" w:cs="宋体"/>
                <w:bCs/>
                <w:color w:val="auto"/>
                <w:szCs w:val="21"/>
                <w:highlight w:val="none"/>
              </w:rPr>
            </w:pPr>
            <w:r>
              <w:rPr>
                <w:rFonts w:hint="eastAsia" w:ascii="宋体" w:hAnsi="宋体" w:cs="宋体"/>
                <w:bCs/>
                <w:color w:val="auto"/>
                <w:szCs w:val="21"/>
                <w:highlight w:val="none"/>
              </w:rPr>
              <w:t>项</w:t>
            </w:r>
          </w:p>
        </w:tc>
        <w:tc>
          <w:tcPr>
            <w:tcW w:w="1063" w:type="dxa"/>
            <w:vAlign w:val="center"/>
          </w:tcPr>
          <w:p w14:paraId="41D7BC2F">
            <w:pPr>
              <w:tabs>
                <w:tab w:val="left" w:pos="8280"/>
              </w:tabs>
              <w:autoSpaceDE w:val="0"/>
              <w:autoSpaceDN w:val="0"/>
              <w:adjustRightInd w:val="0"/>
              <w:jc w:val="center"/>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150</w:t>
            </w:r>
          </w:p>
        </w:tc>
        <w:tc>
          <w:tcPr>
            <w:tcW w:w="1169" w:type="dxa"/>
            <w:vAlign w:val="center"/>
          </w:tcPr>
          <w:p w14:paraId="48754D27">
            <w:pPr>
              <w:tabs>
                <w:tab w:val="left" w:pos="8280"/>
              </w:tabs>
              <w:autoSpaceDE w:val="0"/>
              <w:autoSpaceDN w:val="0"/>
              <w:adjustRightInd w:val="0"/>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150</w:t>
            </w:r>
          </w:p>
        </w:tc>
      </w:tr>
    </w:tbl>
    <w:p w14:paraId="6A2C5F00">
      <w:pPr>
        <w:pStyle w:val="12"/>
        <w:snapToGrid w:val="0"/>
        <w:spacing w:line="360" w:lineRule="auto"/>
        <w:ind w:firstLine="482" w:firstLineChars="200"/>
        <w:outlineLvl w:val="0"/>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标项一：</w:t>
      </w:r>
    </w:p>
    <w:p w14:paraId="4012042A">
      <w:pPr>
        <w:pStyle w:val="13"/>
        <w:ind w:left="0" w:leftChars="0" w:firstLine="0" w:firstLineChars="0"/>
        <w:rPr>
          <w:rFonts w:hint="default" w:cs="Times New Roman" w:asciiTheme="minorEastAsia" w:hAnsiTheme="minorEastAsia" w:eastAsiaTheme="minorEastAsia"/>
          <w:b/>
          <w:color w:val="auto"/>
          <w:kern w:val="2"/>
          <w:sz w:val="24"/>
          <w:szCs w:val="24"/>
          <w:highlight w:val="none"/>
          <w:lang w:val="en-US" w:eastAsia="zh-CN" w:bidi="ar-SA"/>
        </w:rPr>
      </w:pPr>
      <w:r>
        <w:rPr>
          <w:rFonts w:hint="default" w:cs="Times New Roman" w:asciiTheme="minorEastAsia" w:hAnsiTheme="minorEastAsia" w:eastAsiaTheme="minorEastAsia"/>
          <w:b/>
          <w:color w:val="auto"/>
          <w:kern w:val="2"/>
          <w:sz w:val="24"/>
          <w:szCs w:val="24"/>
          <w:highlight w:val="none"/>
          <w:lang w:val="en-US" w:eastAsia="zh-CN" w:bidi="ar-SA"/>
        </w:rPr>
        <w:t>一、</w:t>
      </w:r>
      <w:r>
        <w:rPr>
          <w:rFonts w:hint="eastAsia" w:cs="Times New Roman" w:asciiTheme="minorEastAsia" w:hAnsiTheme="minorEastAsia" w:eastAsiaTheme="minorEastAsia"/>
          <w:b/>
          <w:color w:val="auto"/>
          <w:kern w:val="2"/>
          <w:sz w:val="24"/>
          <w:szCs w:val="24"/>
          <w:highlight w:val="none"/>
          <w:lang w:val="en-US" w:eastAsia="zh-CN" w:bidi="ar-SA"/>
        </w:rPr>
        <w:t>项目</w:t>
      </w:r>
      <w:r>
        <w:rPr>
          <w:rFonts w:hint="default" w:cs="Times New Roman" w:asciiTheme="minorEastAsia" w:hAnsiTheme="minorEastAsia" w:eastAsiaTheme="minorEastAsia"/>
          <w:b/>
          <w:color w:val="auto"/>
          <w:kern w:val="2"/>
          <w:sz w:val="24"/>
          <w:szCs w:val="24"/>
          <w:highlight w:val="none"/>
          <w:lang w:val="en-US" w:eastAsia="zh-CN" w:bidi="ar-SA"/>
        </w:rPr>
        <w:t>背景</w:t>
      </w:r>
    </w:p>
    <w:p w14:paraId="0AF313AC">
      <w:pPr>
        <w:pStyle w:val="13"/>
        <w:spacing w:line="360" w:lineRule="auto"/>
        <w:ind w:left="0" w:leftChars="0" w:firstLine="480" w:firstLineChars="200"/>
        <w:rPr>
          <w:rFonts w:hint="default" w:cs="Times New Roman" w:asciiTheme="minorEastAsia" w:hAnsiTheme="minorEastAsia" w:eastAsiaTheme="minorEastAsia"/>
          <w:b/>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2025年4月，自然资源部印发《关于扩大深化低效用地再开发试点工作的通知》（自然资发〔2025〕83号），我市列入全国新增低效用地再开发试点城市。为更好完成试点任务、体现规划引领作用、充分释放试点红利，结合试点要求特编制《台州市低效用地再开发专项规划》。</w:t>
      </w:r>
    </w:p>
    <w:p w14:paraId="1F48CC5D">
      <w:pPr>
        <w:pStyle w:val="13"/>
        <w:ind w:left="0" w:leftChars="0" w:firstLine="0" w:firstLineChars="0"/>
        <w:rPr>
          <w:rFonts w:hint="default" w:cs="Times New Roman" w:asciiTheme="minorEastAsia" w:hAnsiTheme="minorEastAsia" w:eastAsiaTheme="minorEastAsia"/>
          <w:b/>
          <w:color w:val="auto"/>
          <w:kern w:val="2"/>
          <w:sz w:val="24"/>
          <w:szCs w:val="24"/>
          <w:highlight w:val="none"/>
          <w:lang w:val="en-US" w:eastAsia="zh-CN" w:bidi="ar-SA"/>
        </w:rPr>
      </w:pPr>
      <w:r>
        <w:rPr>
          <w:rFonts w:hint="default" w:cs="Times New Roman" w:asciiTheme="minorEastAsia" w:hAnsiTheme="minorEastAsia" w:eastAsiaTheme="minorEastAsia"/>
          <w:b/>
          <w:color w:val="auto"/>
          <w:kern w:val="2"/>
          <w:sz w:val="24"/>
          <w:szCs w:val="24"/>
          <w:highlight w:val="none"/>
          <w:lang w:val="en-US" w:eastAsia="zh-CN" w:bidi="ar-SA"/>
        </w:rPr>
        <w:t>二、采购内容及技术要求</w:t>
      </w:r>
    </w:p>
    <w:p w14:paraId="5B93FC95">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本次采购的技术服务内容包括以下方面：</w:t>
      </w:r>
    </w:p>
    <w:p w14:paraId="41D7A1ED">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1.实施背景及要求分析</w:t>
      </w:r>
    </w:p>
    <w:p w14:paraId="7D823583">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（1）梳理国家、省级层面关于低效用地再开发的政策法规，明确规划编制的政策依据。</w:t>
      </w:r>
    </w:p>
    <w:p w14:paraId="1B944CE1">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（2）分析全市土地利用现状</w:t>
      </w:r>
      <w:r>
        <w:rPr>
          <w:rFonts w:hint="eastAsia" w:cs="Times New Roman" w:asciiTheme="minorEastAsia" w:hAnsiTheme="minorEastAsia" w:eastAsiaTheme="minorEastAsia"/>
          <w:b w:val="0"/>
          <w:bCs/>
          <w:color w:val="auto"/>
          <w:kern w:val="2"/>
          <w:sz w:val="24"/>
          <w:szCs w:val="24"/>
          <w:highlight w:val="none"/>
          <w:lang w:val="en-US" w:eastAsia="zh-CN" w:bidi="ar-SA"/>
        </w:rPr>
        <w:t>、</w:t>
      </w:r>
      <w:r>
        <w:rPr>
          <w:rFonts w:hint="default" w:cs="Times New Roman" w:asciiTheme="minorEastAsia" w:hAnsiTheme="minorEastAsia" w:eastAsiaTheme="minorEastAsia"/>
          <w:b w:val="0"/>
          <w:bCs/>
          <w:color w:val="auto"/>
          <w:kern w:val="2"/>
          <w:sz w:val="24"/>
          <w:szCs w:val="24"/>
          <w:highlight w:val="none"/>
          <w:lang w:val="en-US" w:eastAsia="zh-CN" w:bidi="ar-SA"/>
        </w:rPr>
        <w:t>面临的主要问题</w:t>
      </w:r>
      <w:r>
        <w:rPr>
          <w:rFonts w:hint="eastAsia" w:cs="Times New Roman" w:asciiTheme="minorEastAsia" w:hAnsiTheme="minorEastAsia" w:eastAsiaTheme="minorEastAsia"/>
          <w:b w:val="0"/>
          <w:bCs/>
          <w:color w:val="auto"/>
          <w:kern w:val="2"/>
          <w:sz w:val="24"/>
          <w:szCs w:val="24"/>
          <w:highlight w:val="none"/>
          <w:lang w:val="en-US" w:eastAsia="zh-CN" w:bidi="ar-SA"/>
        </w:rPr>
        <w:t>以及全市低效用地用地的主要特征，</w:t>
      </w:r>
      <w:r>
        <w:rPr>
          <w:rFonts w:hint="default" w:cs="Times New Roman" w:asciiTheme="minorEastAsia" w:hAnsiTheme="minorEastAsia" w:eastAsiaTheme="minorEastAsia"/>
          <w:b w:val="0"/>
          <w:bCs/>
          <w:color w:val="auto"/>
          <w:kern w:val="2"/>
          <w:sz w:val="24"/>
          <w:szCs w:val="24"/>
          <w:highlight w:val="none"/>
          <w:lang w:val="en-US" w:eastAsia="zh-CN" w:bidi="ar-SA"/>
        </w:rPr>
        <w:t>阐述低效用地再开发的必要性。</w:t>
      </w:r>
    </w:p>
    <w:p w14:paraId="74884EF3">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（3）结合城市发展战略、国土空间规划以及产业发展、城市更新、农业农村等部门工作任务，分析低效用地再开发的核心要求。</w:t>
      </w:r>
    </w:p>
    <w:p w14:paraId="113C3EC4">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（4）借鉴国内同类城市低效用地再开发的经验，提出适宜的再开发模式。</w:t>
      </w:r>
    </w:p>
    <w:p w14:paraId="2B37BE1B">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2.历年低效用地再开发实施评估</w:t>
      </w:r>
    </w:p>
    <w:p w14:paraId="60C79994">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（1）分析全市历年低效用地再开发主要成效；</w:t>
      </w:r>
    </w:p>
    <w:p w14:paraId="222CA90F">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（2）归纳总结历年再开发成功案例及其做法、经验；</w:t>
      </w:r>
    </w:p>
    <w:p w14:paraId="2FCBF02A">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（3）分析存在的问题及短板。</w:t>
      </w:r>
    </w:p>
    <w:p w14:paraId="10980BC7">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3</w:t>
      </w:r>
      <w:r>
        <w:rPr>
          <w:rFonts w:hint="eastAsia" w:cs="Times New Roman" w:asciiTheme="minorEastAsia" w:hAnsiTheme="minorEastAsia" w:eastAsiaTheme="minorEastAsia"/>
          <w:b w:val="0"/>
          <w:bCs/>
          <w:color w:val="auto"/>
          <w:kern w:val="2"/>
          <w:sz w:val="24"/>
          <w:szCs w:val="24"/>
          <w:highlight w:val="none"/>
          <w:lang w:val="en-US" w:eastAsia="zh-CN" w:bidi="ar-SA"/>
        </w:rPr>
        <w:t>.</w:t>
      </w:r>
      <w:r>
        <w:rPr>
          <w:rFonts w:hint="default" w:cs="Times New Roman" w:asciiTheme="minorEastAsia" w:hAnsiTheme="minorEastAsia" w:eastAsiaTheme="minorEastAsia"/>
          <w:b w:val="0"/>
          <w:bCs/>
          <w:color w:val="auto"/>
          <w:kern w:val="2"/>
          <w:sz w:val="24"/>
          <w:szCs w:val="24"/>
          <w:highlight w:val="none"/>
          <w:lang w:val="en-US" w:eastAsia="zh-CN" w:bidi="ar-SA"/>
        </w:rPr>
        <w:t>低效用地底数分析</w:t>
      </w:r>
    </w:p>
    <w:p w14:paraId="17E679DF">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在全市低效用地调查数据的基础上，全面客观分析低效用地构成、分布、性质、成因、特征等指标，为规划编制奠定科学基础。</w:t>
      </w:r>
    </w:p>
    <w:p w14:paraId="277DA41C">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4.低效用地再开发目标和策略</w:t>
      </w:r>
    </w:p>
    <w:p w14:paraId="71E07CBE">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（1）确定再开发目标。结合国土空间规划、“十五五”规划、政府及相关部门年度工作计划，提出全市低效用地再开发的总体目标；</w:t>
      </w:r>
    </w:p>
    <w:p w14:paraId="3BB535F4">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（2）确定再开发规模。制定分阶段（近期、远期）、分区域（市区、县市）的实施目标指标，明确各阶段重点任务。</w:t>
      </w:r>
    </w:p>
    <w:p w14:paraId="73D7CC5B">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（3）结合全市发展战略，确定低效用地再开发策略。</w:t>
      </w:r>
    </w:p>
    <w:p w14:paraId="5318780D">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5.市域纲要层面——低效用地再开发纲要和编制导则</w:t>
      </w:r>
    </w:p>
    <w:p w14:paraId="22C4254A">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（1）全市低效用地再开发潜力认定标准；</w:t>
      </w:r>
    </w:p>
    <w:p w14:paraId="141A7E0F">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（2）县（市、区）低效用地再开发规模及任务分解；</w:t>
      </w:r>
    </w:p>
    <w:p w14:paraId="62EFC7C1">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（3）县（市、区）低效用地再开发空间区划；</w:t>
      </w:r>
    </w:p>
    <w:p w14:paraId="3DCE3AA1">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w:t>
      </w:r>
      <w:r>
        <w:rPr>
          <w:rFonts w:hint="eastAsia" w:cs="Times New Roman" w:asciiTheme="minorEastAsia" w:hAnsiTheme="minorEastAsia" w:eastAsiaTheme="minorEastAsia"/>
          <w:b w:val="0"/>
          <w:bCs/>
          <w:color w:val="auto"/>
          <w:kern w:val="2"/>
          <w:sz w:val="24"/>
          <w:szCs w:val="24"/>
          <w:highlight w:val="none"/>
          <w:lang w:val="en-US" w:eastAsia="zh-CN" w:bidi="ar-SA"/>
        </w:rPr>
        <w:t>4</w:t>
      </w:r>
      <w:r>
        <w:rPr>
          <w:rFonts w:hint="default" w:cs="Times New Roman" w:asciiTheme="minorEastAsia" w:hAnsiTheme="minorEastAsia" w:eastAsiaTheme="minorEastAsia"/>
          <w:b w:val="0"/>
          <w:bCs/>
          <w:color w:val="auto"/>
          <w:kern w:val="2"/>
          <w:sz w:val="24"/>
          <w:szCs w:val="24"/>
          <w:highlight w:val="none"/>
          <w:lang w:val="en-US" w:eastAsia="zh-CN" w:bidi="ar-SA"/>
        </w:rPr>
        <w:t>）县（市、区）低效用地再开发分类引导；</w:t>
      </w:r>
    </w:p>
    <w:p w14:paraId="44E3681F">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w:t>
      </w:r>
      <w:r>
        <w:rPr>
          <w:rFonts w:hint="eastAsia" w:cs="Times New Roman" w:asciiTheme="minorEastAsia" w:hAnsiTheme="minorEastAsia" w:eastAsiaTheme="minorEastAsia"/>
          <w:b w:val="0"/>
          <w:bCs/>
          <w:color w:val="auto"/>
          <w:kern w:val="2"/>
          <w:sz w:val="24"/>
          <w:szCs w:val="24"/>
          <w:highlight w:val="none"/>
          <w:lang w:val="en-US" w:eastAsia="zh-CN" w:bidi="ar-SA"/>
        </w:rPr>
        <w:t>5</w:t>
      </w:r>
      <w:r>
        <w:rPr>
          <w:rFonts w:hint="default" w:cs="Times New Roman" w:asciiTheme="minorEastAsia" w:hAnsiTheme="minorEastAsia" w:eastAsiaTheme="minorEastAsia"/>
          <w:b w:val="0"/>
          <w:bCs/>
          <w:color w:val="auto"/>
          <w:kern w:val="2"/>
          <w:sz w:val="24"/>
          <w:szCs w:val="24"/>
          <w:highlight w:val="none"/>
          <w:lang w:val="en-US" w:eastAsia="zh-CN" w:bidi="ar-SA"/>
        </w:rPr>
        <w:t>）县（市、区）低效用地再开发专项规划编制指引；</w:t>
      </w:r>
    </w:p>
    <w:p w14:paraId="40AE9869">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eastAsia" w:cs="Times New Roman" w:asciiTheme="minorEastAsia" w:hAnsiTheme="minorEastAsia" w:eastAsiaTheme="minorEastAsia"/>
          <w:b w:val="0"/>
          <w:bCs/>
          <w:color w:val="auto"/>
          <w:kern w:val="2"/>
          <w:sz w:val="24"/>
          <w:szCs w:val="24"/>
          <w:highlight w:val="none"/>
          <w:lang w:val="en-US" w:eastAsia="zh-CN" w:bidi="ar-SA"/>
        </w:rPr>
        <w:t>（6）县（市、区）低效用地再开发专项规划结合详细规划的主要编制要点；</w:t>
      </w:r>
    </w:p>
    <w:p w14:paraId="40766976">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w:t>
      </w:r>
      <w:r>
        <w:rPr>
          <w:rFonts w:hint="eastAsia" w:cs="Times New Roman" w:asciiTheme="minorEastAsia" w:hAnsiTheme="minorEastAsia" w:eastAsiaTheme="minorEastAsia"/>
          <w:b w:val="0"/>
          <w:bCs/>
          <w:color w:val="auto"/>
          <w:kern w:val="2"/>
          <w:sz w:val="24"/>
          <w:szCs w:val="24"/>
          <w:highlight w:val="none"/>
          <w:lang w:val="en-US" w:eastAsia="zh-CN" w:bidi="ar-SA"/>
        </w:rPr>
        <w:t>7</w:t>
      </w:r>
      <w:r>
        <w:rPr>
          <w:rFonts w:hint="default" w:cs="Times New Roman" w:asciiTheme="minorEastAsia" w:hAnsiTheme="minorEastAsia" w:eastAsiaTheme="minorEastAsia"/>
          <w:b w:val="0"/>
          <w:bCs/>
          <w:color w:val="auto"/>
          <w:kern w:val="2"/>
          <w:sz w:val="24"/>
          <w:szCs w:val="24"/>
          <w:highlight w:val="none"/>
          <w:lang w:val="en-US" w:eastAsia="zh-CN" w:bidi="ar-SA"/>
        </w:rPr>
        <w:t>）全市低效用地再开发政策、法规指引。</w:t>
      </w:r>
    </w:p>
    <w:p w14:paraId="05612659">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6.市区专规层面——低效用地再开发分区和实施引导</w:t>
      </w:r>
    </w:p>
    <w:p w14:paraId="773A6424">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（1）采用GIS空间分析、遥感影像解译、现场走访调研等方法，识别市区低效用地的空间分布、规模及类型；分析低效用地的成因和主要特征。</w:t>
      </w:r>
    </w:p>
    <w:p w14:paraId="4645E023">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（2）结合潜力认定标准，评估低效用地再开发潜力。</w:t>
      </w:r>
    </w:p>
    <w:p w14:paraId="2EF03C87">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（3）明确再开发分区。结合全市战略、低效用地空间分布和再开发潜力，确定重点片区、一般片区、零星片区等空间区划。</w:t>
      </w:r>
    </w:p>
    <w:p w14:paraId="49DDE311">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（4）提出分片区实施策略。结合各片区定位、低效用地类型，提出各片区低效用地管控要求、再开发方式、实施引导、时序安排、配套政策等内容。</w:t>
      </w:r>
    </w:p>
    <w:p w14:paraId="14B7346B">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（5）近期实施重点。围绕试点期限，编制2025至2027年重点项目（一图一表），指导近期实施项目建设。</w:t>
      </w:r>
    </w:p>
    <w:p w14:paraId="6886F05F">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7.政策法规及实施建议</w:t>
      </w:r>
    </w:p>
    <w:p w14:paraId="3119CCA6">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（1）结合文件精神，梳理现行政策法规，找到路径堵点、提出制度供给建议（如土地收储、容积率奖励等）。</w:t>
      </w:r>
    </w:p>
    <w:p w14:paraId="28ED0FC2">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（2）提出规划实施保障机制，如领导小组架构、部门协同机制、动态监测评估体系、公众宣传和参与等内容。</w:t>
      </w:r>
    </w:p>
    <w:p w14:paraId="433CB416">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8</w:t>
      </w:r>
      <w:r>
        <w:rPr>
          <w:rFonts w:hint="eastAsia" w:cs="Times New Roman" w:asciiTheme="minorEastAsia" w:hAnsiTheme="minorEastAsia" w:eastAsiaTheme="minorEastAsia"/>
          <w:b w:val="0"/>
          <w:bCs/>
          <w:color w:val="auto"/>
          <w:kern w:val="2"/>
          <w:sz w:val="24"/>
          <w:szCs w:val="24"/>
          <w:highlight w:val="none"/>
          <w:lang w:val="en-US" w:eastAsia="zh-CN" w:bidi="ar-SA"/>
        </w:rPr>
        <w:t>.</w:t>
      </w:r>
      <w:r>
        <w:rPr>
          <w:rFonts w:hint="default" w:cs="Times New Roman" w:asciiTheme="minorEastAsia" w:hAnsiTheme="minorEastAsia" w:eastAsiaTheme="minorEastAsia"/>
          <w:b w:val="0"/>
          <w:bCs/>
          <w:color w:val="auto"/>
          <w:kern w:val="2"/>
          <w:sz w:val="24"/>
          <w:szCs w:val="24"/>
          <w:highlight w:val="none"/>
          <w:lang w:val="en-US" w:eastAsia="zh-CN" w:bidi="ar-SA"/>
        </w:rPr>
        <w:t>技术审查</w:t>
      </w:r>
    </w:p>
    <w:p w14:paraId="417271C1">
      <w:pPr>
        <w:pStyle w:val="13"/>
        <w:spacing w:line="360" w:lineRule="auto"/>
        <w:ind w:left="0" w:leftChars="0" w:firstLine="480" w:firstLineChars="200"/>
        <w:rPr>
          <w:rFonts w:hint="default" w:cs="Times New Roman" w:asciiTheme="minorEastAsia" w:hAnsiTheme="minorEastAsia" w:eastAsiaTheme="minorEastAsia"/>
          <w:b/>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协助</w:t>
      </w:r>
      <w:r>
        <w:rPr>
          <w:rFonts w:hint="eastAsia" w:cs="Times New Roman" w:asciiTheme="minorEastAsia" w:hAnsiTheme="minorEastAsia" w:eastAsiaTheme="minorEastAsia"/>
          <w:b w:val="0"/>
          <w:bCs/>
          <w:color w:val="auto"/>
          <w:kern w:val="2"/>
          <w:sz w:val="24"/>
          <w:szCs w:val="24"/>
          <w:highlight w:val="none"/>
          <w:lang w:val="en-US" w:eastAsia="zh-CN" w:bidi="ar-SA"/>
        </w:rPr>
        <w:t>自然资源和</w:t>
      </w:r>
      <w:r>
        <w:rPr>
          <w:rFonts w:hint="default" w:cs="Times New Roman" w:asciiTheme="minorEastAsia" w:hAnsiTheme="minorEastAsia" w:eastAsiaTheme="minorEastAsia"/>
          <w:b w:val="0"/>
          <w:bCs/>
          <w:color w:val="auto"/>
          <w:kern w:val="2"/>
          <w:sz w:val="24"/>
          <w:szCs w:val="24"/>
          <w:highlight w:val="none"/>
          <w:lang w:val="en-US" w:eastAsia="zh-CN" w:bidi="ar-SA"/>
        </w:rPr>
        <w:t>规划主管部门，指导协助县级专规编制。</w:t>
      </w:r>
    </w:p>
    <w:p w14:paraId="19593CB7">
      <w:pPr>
        <w:pStyle w:val="13"/>
        <w:ind w:left="0" w:leftChars="0" w:firstLine="482" w:firstLineChars="200"/>
        <w:rPr>
          <w:rFonts w:hint="default" w:cs="Times New Roman" w:asciiTheme="minorEastAsia" w:hAnsiTheme="minorEastAsia" w:eastAsiaTheme="minorEastAsia"/>
          <w:b/>
          <w:color w:val="auto"/>
          <w:kern w:val="2"/>
          <w:sz w:val="24"/>
          <w:szCs w:val="24"/>
          <w:highlight w:val="none"/>
          <w:lang w:val="en-US" w:eastAsia="zh-CN" w:bidi="ar-SA"/>
        </w:rPr>
      </w:pPr>
      <w:r>
        <w:rPr>
          <w:rFonts w:hint="default" w:cs="Times New Roman" w:asciiTheme="minorEastAsia" w:hAnsiTheme="minorEastAsia" w:eastAsiaTheme="minorEastAsia"/>
          <w:b/>
          <w:color w:val="auto"/>
          <w:kern w:val="2"/>
          <w:sz w:val="24"/>
          <w:szCs w:val="24"/>
          <w:highlight w:val="none"/>
          <w:lang w:val="en-US" w:eastAsia="zh-CN" w:bidi="ar-SA"/>
        </w:rPr>
        <w:t>三、成果要求：</w:t>
      </w:r>
    </w:p>
    <w:p w14:paraId="1CC23E74">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形成《台州市低效用地再开发专项规划》，包括市域纲要和市区专规两部分成果。成果形式包括：</w:t>
      </w:r>
    </w:p>
    <w:p w14:paraId="51C2B111">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文本成果：包括规划文本、规划说明及专题等。</w:t>
      </w:r>
    </w:p>
    <w:p w14:paraId="27CAFC88">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图件成果：低效用地分布图、潜力评估图、再开发分区图、项目布局图等。</w:t>
      </w:r>
    </w:p>
    <w:p w14:paraId="3028863B">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数据成果：低效用地矢量数据库。</w:t>
      </w:r>
    </w:p>
    <w:p w14:paraId="76AE03C0">
      <w:pPr>
        <w:pStyle w:val="13"/>
        <w:spacing w:line="360" w:lineRule="auto"/>
        <w:ind w:left="0" w:leftChars="0" w:firstLine="480" w:firstLineChars="200"/>
        <w:rPr>
          <w:rFonts w:hint="default" w:cs="Times New Roman" w:asciiTheme="minorEastAsia" w:hAnsiTheme="minorEastAsia" w:eastAsiaTheme="minorEastAsia"/>
          <w:b/>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汇报材料：PPT演示文件，用于专家评审和政府汇报。</w:t>
      </w:r>
    </w:p>
    <w:p w14:paraId="3C8752DE">
      <w:pPr>
        <w:pStyle w:val="13"/>
        <w:ind w:left="0" w:leftChars="0" w:firstLine="482" w:firstLineChars="200"/>
        <w:rPr>
          <w:rFonts w:hint="default" w:cs="Times New Roman" w:asciiTheme="minorEastAsia" w:hAnsiTheme="minorEastAsia" w:eastAsiaTheme="minorEastAsia"/>
          <w:b/>
          <w:color w:val="auto"/>
          <w:kern w:val="2"/>
          <w:sz w:val="24"/>
          <w:szCs w:val="24"/>
          <w:highlight w:val="none"/>
          <w:lang w:val="en-US" w:eastAsia="zh-CN" w:bidi="ar-SA"/>
        </w:rPr>
      </w:pPr>
      <w:r>
        <w:rPr>
          <w:rFonts w:hint="default" w:cs="Times New Roman" w:asciiTheme="minorEastAsia" w:hAnsiTheme="minorEastAsia" w:eastAsiaTheme="minorEastAsia"/>
          <w:b/>
          <w:color w:val="auto"/>
          <w:kern w:val="2"/>
          <w:sz w:val="24"/>
          <w:szCs w:val="24"/>
          <w:highlight w:val="none"/>
          <w:lang w:val="en-US" w:eastAsia="zh-CN" w:bidi="ar-SA"/>
        </w:rPr>
        <w:t>四、进度安排</w:t>
      </w:r>
    </w:p>
    <w:p w14:paraId="63070048">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（1）2025年12月底前，提交市区专规初步成果；</w:t>
      </w:r>
    </w:p>
    <w:p w14:paraId="3C2CACB3">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（2）2026年1月底前，提交市域专规纲要初步成果；</w:t>
      </w:r>
    </w:p>
    <w:p w14:paraId="615DAB6F">
      <w:pPr>
        <w:pStyle w:val="13"/>
        <w:spacing w:line="360" w:lineRule="auto"/>
        <w:ind w:left="0" w:leftChars="0" w:firstLine="480" w:firstLineChars="200"/>
        <w:rPr>
          <w:rFonts w:hint="default" w:cs="Times New Roman" w:asciiTheme="minorEastAsia" w:hAnsiTheme="minorEastAsia" w:eastAsiaTheme="minorEastAsia"/>
          <w:b/>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（3）2026年6月底前，提交最终成果。</w:t>
      </w:r>
    </w:p>
    <w:p w14:paraId="7BE3191A">
      <w:pPr>
        <w:pStyle w:val="13"/>
        <w:ind w:left="0" w:leftChars="0" w:firstLine="482" w:firstLineChars="200"/>
        <w:rPr>
          <w:rFonts w:hint="default" w:cs="Times New Roman" w:asciiTheme="minorEastAsia" w:hAnsiTheme="minorEastAsia" w:eastAsiaTheme="minorEastAsia"/>
          <w:b/>
          <w:color w:val="auto"/>
          <w:kern w:val="2"/>
          <w:sz w:val="24"/>
          <w:szCs w:val="24"/>
          <w:highlight w:val="none"/>
          <w:lang w:val="en-US" w:eastAsia="zh-CN" w:bidi="ar-SA"/>
        </w:rPr>
      </w:pPr>
      <w:r>
        <w:rPr>
          <w:rFonts w:hint="default" w:cs="Times New Roman" w:asciiTheme="minorEastAsia" w:hAnsiTheme="minorEastAsia" w:eastAsiaTheme="minorEastAsia"/>
          <w:b/>
          <w:color w:val="auto"/>
          <w:kern w:val="2"/>
          <w:sz w:val="24"/>
          <w:szCs w:val="24"/>
          <w:highlight w:val="none"/>
          <w:lang w:val="en-US" w:eastAsia="zh-CN" w:bidi="ar-SA"/>
        </w:rPr>
        <w:t>五、质量要求及验收标准</w:t>
      </w:r>
    </w:p>
    <w:p w14:paraId="516FAB6B">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（1）项目成果符合自然资源部、省自然资源厅相关编制要求，符合台州实际，通过</w:t>
      </w:r>
      <w:r>
        <w:rPr>
          <w:rFonts w:hint="eastAsia" w:cs="Times New Roman" w:asciiTheme="minorEastAsia" w:hAnsiTheme="minorEastAsia" w:eastAsiaTheme="minorEastAsia"/>
          <w:b w:val="0"/>
          <w:bCs/>
          <w:color w:val="auto"/>
          <w:kern w:val="2"/>
          <w:sz w:val="24"/>
          <w:szCs w:val="24"/>
          <w:highlight w:val="none"/>
          <w:lang w:val="en-US" w:eastAsia="zh-CN" w:bidi="ar-SA"/>
        </w:rPr>
        <w:t>市级自然资源和规划</w:t>
      </w:r>
      <w:r>
        <w:rPr>
          <w:rFonts w:hint="default" w:cs="Times New Roman" w:asciiTheme="minorEastAsia" w:hAnsiTheme="minorEastAsia" w:eastAsiaTheme="minorEastAsia"/>
          <w:b w:val="0"/>
          <w:bCs/>
          <w:color w:val="auto"/>
          <w:kern w:val="2"/>
          <w:sz w:val="24"/>
          <w:szCs w:val="24"/>
          <w:highlight w:val="none"/>
          <w:lang w:val="en-US" w:eastAsia="zh-CN" w:bidi="ar-SA"/>
        </w:rPr>
        <w:t>部门审查。</w:t>
      </w:r>
    </w:p>
    <w:p w14:paraId="4D327C27">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（2）</w:t>
      </w:r>
      <w:r>
        <w:rPr>
          <w:rFonts w:hint="eastAsia" w:cs="Times New Roman" w:asciiTheme="minorEastAsia" w:hAnsiTheme="minorEastAsia" w:eastAsiaTheme="minorEastAsia"/>
          <w:b w:val="0"/>
          <w:bCs/>
          <w:color w:val="auto"/>
          <w:kern w:val="2"/>
          <w:sz w:val="24"/>
          <w:szCs w:val="24"/>
          <w:highlight w:val="none"/>
          <w:lang w:val="en-US" w:eastAsia="zh-CN" w:bidi="ar-SA"/>
        </w:rPr>
        <w:t>成交供应商</w:t>
      </w:r>
      <w:r>
        <w:rPr>
          <w:rFonts w:hint="default" w:cs="Times New Roman" w:asciiTheme="minorEastAsia" w:hAnsiTheme="minorEastAsia" w:eastAsiaTheme="minorEastAsia"/>
          <w:b w:val="0"/>
          <w:bCs/>
          <w:color w:val="auto"/>
          <w:kern w:val="2"/>
          <w:sz w:val="24"/>
          <w:szCs w:val="24"/>
          <w:highlight w:val="none"/>
          <w:lang w:val="en-US" w:eastAsia="zh-CN" w:bidi="ar-SA"/>
        </w:rPr>
        <w:t>提供服务的过程，</w:t>
      </w:r>
      <w:r>
        <w:rPr>
          <w:rFonts w:hint="eastAsia" w:cs="Times New Roman" w:asciiTheme="minorEastAsia" w:hAnsiTheme="minorEastAsia" w:eastAsiaTheme="minorEastAsia"/>
          <w:b w:val="0"/>
          <w:bCs/>
          <w:color w:val="auto"/>
          <w:kern w:val="2"/>
          <w:sz w:val="24"/>
          <w:szCs w:val="24"/>
          <w:highlight w:val="none"/>
          <w:lang w:val="en-US" w:eastAsia="zh-CN" w:bidi="ar-SA"/>
        </w:rPr>
        <w:t>采购人</w:t>
      </w:r>
      <w:r>
        <w:rPr>
          <w:rFonts w:hint="default" w:cs="Times New Roman" w:asciiTheme="minorEastAsia" w:hAnsiTheme="minorEastAsia" w:eastAsiaTheme="minorEastAsia"/>
          <w:b w:val="0"/>
          <w:bCs/>
          <w:color w:val="auto"/>
          <w:kern w:val="2"/>
          <w:sz w:val="24"/>
          <w:szCs w:val="24"/>
          <w:highlight w:val="none"/>
          <w:lang w:val="en-US" w:eastAsia="zh-CN" w:bidi="ar-SA"/>
        </w:rPr>
        <w:t>有权按照编制进度对服务内容和质量进行考核，</w:t>
      </w:r>
      <w:r>
        <w:rPr>
          <w:rFonts w:hint="eastAsia" w:cs="Times New Roman" w:asciiTheme="minorEastAsia" w:hAnsiTheme="minorEastAsia" w:eastAsiaTheme="minorEastAsia"/>
          <w:b w:val="0"/>
          <w:bCs/>
          <w:color w:val="auto"/>
          <w:kern w:val="2"/>
          <w:sz w:val="24"/>
          <w:szCs w:val="24"/>
          <w:highlight w:val="none"/>
          <w:lang w:val="en-US" w:eastAsia="zh-CN" w:bidi="ar-SA"/>
        </w:rPr>
        <w:t>成交供应商</w:t>
      </w:r>
      <w:r>
        <w:rPr>
          <w:rFonts w:hint="default" w:cs="Times New Roman" w:asciiTheme="minorEastAsia" w:hAnsiTheme="minorEastAsia" w:eastAsiaTheme="minorEastAsia"/>
          <w:b w:val="0"/>
          <w:bCs/>
          <w:color w:val="auto"/>
          <w:kern w:val="2"/>
          <w:sz w:val="24"/>
          <w:szCs w:val="24"/>
          <w:highlight w:val="none"/>
          <w:lang w:val="en-US" w:eastAsia="zh-CN" w:bidi="ar-SA"/>
        </w:rPr>
        <w:t>应当配合进行。</w:t>
      </w:r>
    </w:p>
    <w:p w14:paraId="0CCCBD73">
      <w:pPr>
        <w:pStyle w:val="13"/>
        <w:ind w:left="0" w:leftChars="0" w:firstLine="482" w:firstLineChars="200"/>
        <w:rPr>
          <w:rFonts w:hint="default" w:cs="Times New Roman" w:asciiTheme="minorEastAsia" w:hAnsiTheme="minorEastAsia" w:eastAsiaTheme="minorEastAsia"/>
          <w:b/>
          <w:color w:val="auto"/>
          <w:kern w:val="2"/>
          <w:sz w:val="24"/>
          <w:szCs w:val="24"/>
          <w:highlight w:val="none"/>
          <w:lang w:val="en-US" w:eastAsia="zh-CN" w:bidi="ar-SA"/>
        </w:rPr>
      </w:pPr>
      <w:r>
        <w:rPr>
          <w:rFonts w:hint="eastAsia" w:cs="Times New Roman" w:asciiTheme="minorEastAsia" w:hAnsiTheme="minorEastAsia" w:eastAsiaTheme="minorEastAsia"/>
          <w:b/>
          <w:color w:val="auto"/>
          <w:kern w:val="2"/>
          <w:sz w:val="24"/>
          <w:szCs w:val="24"/>
          <w:highlight w:val="none"/>
          <w:lang w:val="en-US" w:eastAsia="zh-CN" w:bidi="ar-SA"/>
        </w:rPr>
        <w:t>六、付款条件</w:t>
      </w:r>
    </w:p>
    <w:p w14:paraId="4EBC4B9E">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、合同签订后，</w:t>
      </w:r>
      <w:r>
        <w:rPr>
          <w:rFonts w:hint="eastAsia" w:ascii="宋体" w:hAnsi="宋体"/>
          <w:color w:val="auto"/>
          <w:sz w:val="24"/>
          <w:highlight w:val="none"/>
          <w:lang w:val="en-US" w:eastAsia="zh-CN"/>
        </w:rPr>
        <w:t>采购人</w:t>
      </w:r>
      <w:r>
        <w:rPr>
          <w:rFonts w:hint="eastAsia" w:ascii="宋体" w:hAnsi="宋体"/>
          <w:color w:val="auto"/>
          <w:sz w:val="24"/>
          <w:highlight w:val="none"/>
        </w:rPr>
        <w:t>向</w:t>
      </w:r>
      <w:r>
        <w:rPr>
          <w:rFonts w:hint="eastAsia" w:ascii="宋体" w:hAnsi="宋体"/>
          <w:color w:val="auto"/>
          <w:sz w:val="24"/>
          <w:highlight w:val="none"/>
          <w:lang w:val="en-US" w:eastAsia="zh-CN"/>
        </w:rPr>
        <w:t>成交供应商（联合体牵头人）</w:t>
      </w:r>
      <w:r>
        <w:rPr>
          <w:rFonts w:hint="eastAsia" w:ascii="宋体" w:hAnsi="宋体"/>
          <w:color w:val="auto"/>
          <w:sz w:val="24"/>
          <w:highlight w:val="none"/>
        </w:rPr>
        <w:t>支付中标总金额的</w:t>
      </w:r>
      <w:r>
        <w:rPr>
          <w:rFonts w:ascii="宋体" w:hAnsi="宋体"/>
          <w:color w:val="auto"/>
          <w:sz w:val="24"/>
          <w:highlight w:val="none"/>
        </w:rPr>
        <w:t>20</w:t>
      </w:r>
      <w:r>
        <w:rPr>
          <w:rFonts w:hint="eastAsia" w:ascii="宋体" w:hAnsi="宋体"/>
          <w:color w:val="auto"/>
          <w:sz w:val="24"/>
          <w:highlight w:val="none"/>
        </w:rPr>
        <w:t>%；</w:t>
      </w:r>
    </w:p>
    <w:p w14:paraId="2C16445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2、提交市级低效用地再开发行动规划纲要、市区低效用地再开发专项规划</w:t>
      </w:r>
      <w:r>
        <w:rPr>
          <w:rFonts w:hint="eastAsia" w:ascii="宋体" w:hAnsi="宋体"/>
          <w:color w:val="auto"/>
          <w:sz w:val="24"/>
          <w:highlight w:val="none"/>
          <w:lang w:eastAsia="zh-CN"/>
        </w:rPr>
        <w:t>初步成果</w:t>
      </w:r>
      <w:r>
        <w:rPr>
          <w:rFonts w:hint="eastAsia" w:ascii="宋体" w:hAnsi="宋体"/>
          <w:color w:val="auto"/>
          <w:sz w:val="24"/>
          <w:highlight w:val="none"/>
        </w:rPr>
        <w:t>，并通过</w:t>
      </w:r>
      <w:r>
        <w:rPr>
          <w:rFonts w:hint="eastAsia" w:ascii="宋体" w:hAnsi="宋体"/>
          <w:color w:val="auto"/>
          <w:sz w:val="24"/>
          <w:highlight w:val="none"/>
          <w:lang w:val="en-US" w:eastAsia="zh-CN"/>
        </w:rPr>
        <w:t>采购人</w:t>
      </w:r>
      <w:r>
        <w:rPr>
          <w:rFonts w:hint="eastAsia" w:ascii="宋体" w:hAnsi="宋体"/>
          <w:color w:val="auto"/>
          <w:sz w:val="24"/>
          <w:highlight w:val="none"/>
        </w:rPr>
        <w:t>内部审查后，</w:t>
      </w:r>
      <w:r>
        <w:rPr>
          <w:rFonts w:hint="eastAsia" w:ascii="宋体" w:hAnsi="宋体"/>
          <w:color w:val="auto"/>
          <w:sz w:val="24"/>
          <w:highlight w:val="none"/>
          <w:lang w:val="en-US" w:eastAsia="zh-CN"/>
        </w:rPr>
        <w:t>采购人</w:t>
      </w:r>
      <w:r>
        <w:rPr>
          <w:rFonts w:hint="eastAsia" w:ascii="宋体" w:hAnsi="宋体"/>
          <w:color w:val="auto"/>
          <w:sz w:val="24"/>
          <w:highlight w:val="none"/>
        </w:rPr>
        <w:t>向</w:t>
      </w:r>
      <w:r>
        <w:rPr>
          <w:rFonts w:hint="eastAsia" w:ascii="宋体" w:hAnsi="宋体"/>
          <w:color w:val="auto"/>
          <w:sz w:val="24"/>
          <w:highlight w:val="none"/>
          <w:lang w:val="en-US" w:eastAsia="zh-CN"/>
        </w:rPr>
        <w:t>成交供应商（联合体牵头人）</w:t>
      </w:r>
      <w:r>
        <w:rPr>
          <w:rFonts w:hint="eastAsia" w:ascii="宋体" w:hAnsi="宋体"/>
          <w:color w:val="auto"/>
          <w:sz w:val="24"/>
          <w:highlight w:val="none"/>
        </w:rPr>
        <w:t>支付中标总金额的</w:t>
      </w:r>
      <w:r>
        <w:rPr>
          <w:rFonts w:hint="eastAsia" w:ascii="宋体" w:hAnsi="宋体"/>
          <w:color w:val="auto"/>
          <w:sz w:val="24"/>
          <w:highlight w:val="none"/>
          <w:lang w:val="en-US" w:eastAsia="zh-CN"/>
        </w:rPr>
        <w:t>40</w:t>
      </w:r>
      <w:r>
        <w:rPr>
          <w:rFonts w:ascii="宋体" w:hAnsi="宋体"/>
          <w:color w:val="auto"/>
          <w:sz w:val="24"/>
          <w:highlight w:val="none"/>
        </w:rPr>
        <w:t>%；</w:t>
      </w:r>
    </w:p>
    <w:p w14:paraId="2DA39520">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、提交相关专题研究，并通过</w:t>
      </w:r>
      <w:r>
        <w:rPr>
          <w:rFonts w:hint="eastAsia" w:ascii="宋体" w:hAnsi="宋体"/>
          <w:color w:val="auto"/>
          <w:sz w:val="24"/>
          <w:highlight w:val="none"/>
          <w:lang w:val="en-US" w:eastAsia="zh-CN"/>
        </w:rPr>
        <w:t>采购人</w:t>
      </w:r>
      <w:r>
        <w:rPr>
          <w:rFonts w:hint="eastAsia" w:ascii="宋体" w:hAnsi="宋体"/>
          <w:color w:val="auto"/>
          <w:sz w:val="24"/>
          <w:highlight w:val="none"/>
        </w:rPr>
        <w:t>内部审查后，</w:t>
      </w:r>
      <w:r>
        <w:rPr>
          <w:rFonts w:hint="eastAsia" w:ascii="宋体" w:hAnsi="宋体"/>
          <w:color w:val="auto"/>
          <w:sz w:val="24"/>
          <w:highlight w:val="none"/>
          <w:lang w:val="en-US" w:eastAsia="zh-CN"/>
        </w:rPr>
        <w:t>采购人</w:t>
      </w:r>
      <w:r>
        <w:rPr>
          <w:rFonts w:hint="eastAsia" w:ascii="宋体" w:hAnsi="宋体"/>
          <w:color w:val="auto"/>
          <w:sz w:val="24"/>
          <w:highlight w:val="none"/>
        </w:rPr>
        <w:t>向</w:t>
      </w:r>
      <w:r>
        <w:rPr>
          <w:rFonts w:hint="eastAsia" w:ascii="宋体" w:hAnsi="宋体"/>
          <w:color w:val="auto"/>
          <w:sz w:val="24"/>
          <w:highlight w:val="none"/>
          <w:lang w:val="en-US" w:eastAsia="zh-CN"/>
        </w:rPr>
        <w:t>成交供应商（联合体牵头人）</w:t>
      </w:r>
      <w:r>
        <w:rPr>
          <w:rFonts w:hint="eastAsia" w:ascii="宋体" w:hAnsi="宋体"/>
          <w:color w:val="auto"/>
          <w:sz w:val="24"/>
          <w:highlight w:val="none"/>
        </w:rPr>
        <w:t>支付中标总金额的</w:t>
      </w:r>
      <w:r>
        <w:rPr>
          <w:rFonts w:hint="eastAsia" w:ascii="宋体" w:hAnsi="宋体"/>
          <w:color w:val="auto"/>
          <w:sz w:val="24"/>
          <w:highlight w:val="none"/>
          <w:lang w:val="en-US" w:eastAsia="zh-CN"/>
        </w:rPr>
        <w:t>2</w:t>
      </w:r>
      <w:r>
        <w:rPr>
          <w:rFonts w:ascii="宋体" w:hAnsi="宋体"/>
          <w:color w:val="auto"/>
          <w:sz w:val="24"/>
          <w:highlight w:val="none"/>
        </w:rPr>
        <w:t>0%</w:t>
      </w:r>
      <w:r>
        <w:rPr>
          <w:rFonts w:hint="eastAsia" w:ascii="宋体" w:hAnsi="宋体"/>
          <w:color w:val="auto"/>
          <w:sz w:val="24"/>
          <w:highlight w:val="none"/>
        </w:rPr>
        <w:t>；</w:t>
      </w:r>
    </w:p>
    <w:p w14:paraId="4FF17804">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4</w:t>
      </w:r>
      <w:r>
        <w:rPr>
          <w:rFonts w:hint="eastAsia" w:ascii="宋体" w:hAnsi="宋体"/>
          <w:color w:val="auto"/>
          <w:sz w:val="24"/>
          <w:highlight w:val="none"/>
        </w:rPr>
        <w:t>、提交市级低效用地再开发行动规划纲要、市区低效用地再开发专项规划</w:t>
      </w:r>
      <w:r>
        <w:rPr>
          <w:rFonts w:hint="eastAsia" w:ascii="宋体" w:hAnsi="宋体"/>
          <w:color w:val="auto"/>
          <w:sz w:val="24"/>
          <w:highlight w:val="none"/>
          <w:lang w:eastAsia="zh-CN"/>
        </w:rPr>
        <w:t>最终</w:t>
      </w:r>
      <w:r>
        <w:rPr>
          <w:rFonts w:hint="eastAsia" w:ascii="宋体" w:hAnsi="宋体"/>
          <w:color w:val="auto"/>
          <w:sz w:val="24"/>
          <w:highlight w:val="none"/>
        </w:rPr>
        <w:t>成果后，</w:t>
      </w:r>
      <w:r>
        <w:rPr>
          <w:rFonts w:hint="eastAsia" w:ascii="宋体" w:hAnsi="宋体"/>
          <w:color w:val="auto"/>
          <w:sz w:val="24"/>
          <w:highlight w:val="none"/>
          <w:lang w:val="en-US" w:eastAsia="zh-CN"/>
        </w:rPr>
        <w:t>采购人</w:t>
      </w:r>
      <w:r>
        <w:rPr>
          <w:rFonts w:hint="eastAsia" w:ascii="宋体" w:hAnsi="宋体"/>
          <w:color w:val="auto"/>
          <w:sz w:val="24"/>
          <w:highlight w:val="none"/>
        </w:rPr>
        <w:t>向</w:t>
      </w:r>
      <w:r>
        <w:rPr>
          <w:rFonts w:hint="eastAsia" w:ascii="宋体" w:hAnsi="宋体"/>
          <w:color w:val="auto"/>
          <w:sz w:val="24"/>
          <w:highlight w:val="none"/>
          <w:lang w:val="en-US" w:eastAsia="zh-CN"/>
        </w:rPr>
        <w:t>成交供应商（联合体牵头人）</w:t>
      </w:r>
      <w:r>
        <w:rPr>
          <w:rFonts w:hint="eastAsia" w:ascii="宋体" w:hAnsi="宋体"/>
          <w:color w:val="auto"/>
          <w:sz w:val="24"/>
          <w:highlight w:val="none"/>
        </w:rPr>
        <w:t>支付中标总金额的</w:t>
      </w:r>
      <w:r>
        <w:rPr>
          <w:rFonts w:hint="eastAsia" w:ascii="宋体" w:hAnsi="宋体"/>
          <w:color w:val="auto"/>
          <w:sz w:val="24"/>
          <w:highlight w:val="none"/>
          <w:lang w:val="en-US" w:eastAsia="zh-CN"/>
        </w:rPr>
        <w:t>2</w:t>
      </w:r>
      <w:r>
        <w:rPr>
          <w:rFonts w:hint="eastAsia" w:ascii="宋体" w:hAnsi="宋体"/>
          <w:color w:val="auto"/>
          <w:sz w:val="24"/>
          <w:highlight w:val="none"/>
        </w:rPr>
        <w:t>0</w:t>
      </w:r>
      <w:r>
        <w:rPr>
          <w:rFonts w:ascii="宋体" w:hAnsi="宋体"/>
          <w:color w:val="auto"/>
          <w:sz w:val="24"/>
          <w:highlight w:val="none"/>
        </w:rPr>
        <w:t>%</w:t>
      </w:r>
      <w:r>
        <w:rPr>
          <w:rFonts w:hint="eastAsia" w:ascii="宋体" w:hAnsi="宋体"/>
          <w:color w:val="auto"/>
          <w:sz w:val="24"/>
          <w:highlight w:val="none"/>
          <w:lang w:eastAsia="zh-CN"/>
        </w:rPr>
        <w:t>。</w:t>
      </w:r>
    </w:p>
    <w:p w14:paraId="64627B64">
      <w:pPr>
        <w:pStyle w:val="12"/>
        <w:snapToGrid w:val="0"/>
        <w:spacing w:line="360" w:lineRule="auto"/>
        <w:outlineLvl w:val="0"/>
        <w:rPr>
          <w:rFonts w:hint="eastAsia" w:asciiTheme="minorEastAsia" w:hAnsiTheme="minorEastAsia" w:eastAsiaTheme="minorEastAsia"/>
          <w:b/>
          <w:color w:val="auto"/>
          <w:sz w:val="24"/>
          <w:highlight w:val="none"/>
          <w:lang w:val="en-US" w:eastAsia="zh-CN"/>
        </w:rPr>
      </w:pPr>
      <w:r>
        <w:rPr>
          <w:rFonts w:hint="eastAsia" w:ascii="宋体" w:hAnsi="宋体" w:cs="宋体"/>
          <w:b/>
          <w:color w:val="auto"/>
          <w:sz w:val="24"/>
          <w:highlight w:val="none"/>
          <w:lang w:val="en-US" w:eastAsia="zh-CN"/>
        </w:rPr>
        <w:t>注：每款项支付前须</w:t>
      </w:r>
      <w:r>
        <w:rPr>
          <w:rFonts w:hint="eastAsia" w:hAnsi="宋体" w:cs="宋体"/>
          <w:b/>
          <w:color w:val="auto"/>
          <w:sz w:val="24"/>
          <w:highlight w:val="none"/>
          <w:lang w:val="en-US" w:eastAsia="zh-CN"/>
        </w:rPr>
        <w:t>成交供应商</w:t>
      </w:r>
      <w:r>
        <w:rPr>
          <w:rFonts w:hint="eastAsia" w:ascii="宋体" w:hAnsi="宋体"/>
          <w:b/>
          <w:bCs/>
          <w:color w:val="auto"/>
          <w:sz w:val="24"/>
          <w:highlight w:val="none"/>
          <w:lang w:val="en-US" w:eastAsia="zh-CN"/>
        </w:rPr>
        <w:t>（联合体牵头人）</w:t>
      </w:r>
      <w:r>
        <w:rPr>
          <w:rFonts w:hint="eastAsia" w:ascii="宋体" w:hAnsi="宋体" w:cs="宋体"/>
          <w:b/>
          <w:color w:val="auto"/>
          <w:sz w:val="24"/>
          <w:highlight w:val="none"/>
          <w:lang w:val="en-US" w:eastAsia="zh-CN"/>
        </w:rPr>
        <w:t>提供</w:t>
      </w:r>
      <w:r>
        <w:rPr>
          <w:rFonts w:hint="eastAsia" w:hAnsi="宋体" w:cs="宋体"/>
          <w:b/>
          <w:color w:val="auto"/>
          <w:sz w:val="24"/>
          <w:highlight w:val="none"/>
          <w:lang w:val="en-US" w:eastAsia="zh-CN"/>
        </w:rPr>
        <w:t>采购人</w:t>
      </w:r>
      <w:r>
        <w:rPr>
          <w:rFonts w:hint="eastAsia" w:ascii="宋体" w:hAnsi="宋体" w:cs="宋体"/>
          <w:b/>
          <w:color w:val="auto"/>
          <w:sz w:val="24"/>
          <w:highlight w:val="none"/>
          <w:lang w:val="en-US" w:eastAsia="zh-CN"/>
        </w:rPr>
        <w:t>相应的增值税发票。</w:t>
      </w:r>
    </w:p>
    <w:p w14:paraId="7FD85E33">
      <w:pPr>
        <w:pStyle w:val="12"/>
        <w:snapToGrid w:val="0"/>
        <w:spacing w:line="360" w:lineRule="auto"/>
        <w:ind w:firstLine="482" w:firstLineChars="200"/>
        <w:outlineLvl w:val="0"/>
        <w:rPr>
          <w:rFonts w:hint="eastAsia" w:asciiTheme="minorEastAsia" w:hAnsiTheme="minorEastAsia" w:eastAsiaTheme="minorEastAsia"/>
          <w:b/>
          <w:color w:val="auto"/>
          <w:sz w:val="24"/>
          <w:highlight w:val="none"/>
          <w:lang w:val="en-US" w:eastAsia="zh-CN"/>
        </w:rPr>
      </w:pPr>
    </w:p>
    <w:p w14:paraId="0912AE96">
      <w:pPr>
        <w:pStyle w:val="12"/>
        <w:snapToGrid w:val="0"/>
        <w:spacing w:line="360" w:lineRule="auto"/>
        <w:ind w:firstLine="482" w:firstLineChars="200"/>
        <w:outlineLvl w:val="0"/>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标项二：</w:t>
      </w:r>
    </w:p>
    <w:p w14:paraId="618A597B">
      <w:pPr>
        <w:pStyle w:val="12"/>
        <w:snapToGrid w:val="0"/>
        <w:spacing w:line="360" w:lineRule="auto"/>
        <w:outlineLvl w:val="0"/>
        <w:rPr>
          <w:rFonts w:hint="eastAsia" w:asciiTheme="minorEastAsia" w:hAnsiTheme="minorEastAsia" w:eastAsiaTheme="minorEastAsia" w:cstheme="minorBidi"/>
          <w:b/>
          <w:bCs/>
          <w:color w:val="auto"/>
          <w:kern w:val="0"/>
          <w:sz w:val="24"/>
          <w:highlight w:val="none"/>
        </w:rPr>
      </w:pPr>
      <w:r>
        <w:rPr>
          <w:rFonts w:hint="eastAsia" w:asciiTheme="minorEastAsia" w:hAnsiTheme="minorEastAsia" w:eastAsiaTheme="minorEastAsia" w:cstheme="minorBidi"/>
          <w:b/>
          <w:bCs/>
          <w:color w:val="auto"/>
          <w:kern w:val="0"/>
          <w:sz w:val="24"/>
          <w:highlight w:val="none"/>
        </w:rPr>
        <w:t>一、项目背景</w:t>
      </w:r>
    </w:p>
    <w:p w14:paraId="75661F69">
      <w:pPr>
        <w:pStyle w:val="12"/>
        <w:snapToGrid w:val="0"/>
        <w:spacing w:line="360" w:lineRule="auto"/>
        <w:ind w:firstLine="480" w:firstLineChars="200"/>
        <w:outlineLvl w:val="0"/>
        <w:rPr>
          <w:rFonts w:hint="eastAsia" w:asciiTheme="minorEastAsia" w:hAnsiTheme="minorEastAsia" w:eastAsiaTheme="minorEastAsia" w:cstheme="minorBidi"/>
          <w:color w:val="auto"/>
          <w:kern w:val="0"/>
          <w:sz w:val="24"/>
          <w:highlight w:val="none"/>
        </w:rPr>
      </w:pPr>
      <w:r>
        <w:rPr>
          <w:rFonts w:hint="eastAsia" w:asciiTheme="minorEastAsia" w:hAnsiTheme="minorEastAsia" w:eastAsiaTheme="minorEastAsia" w:cstheme="minorBidi"/>
          <w:color w:val="auto"/>
          <w:kern w:val="0"/>
          <w:sz w:val="24"/>
          <w:highlight w:val="none"/>
        </w:rPr>
        <w:t>2025年4月，自然资源部印发《关于扩大深化低效用地再开发试点工作的通知》（自然资发〔2025〕83号），我市列入全国新增低效用地再开发试点城市。为更好完成试点任务，充分释放试点红利，推动土地利用效益不断提升，形成可复制、可推广的试点经验，我市拟围绕规划统筹、收储支撑、政策激励、基础保障等4方面内容，开展调查摸底、专项规划编制以及试点政策研究，探索低效用地再开发路径和模式。</w:t>
      </w:r>
    </w:p>
    <w:p w14:paraId="129C0299">
      <w:pPr>
        <w:pStyle w:val="12"/>
        <w:snapToGrid w:val="0"/>
        <w:spacing w:line="360" w:lineRule="auto"/>
        <w:outlineLvl w:val="0"/>
        <w:rPr>
          <w:rFonts w:hint="eastAsia" w:asciiTheme="minorEastAsia" w:hAnsiTheme="minorEastAsia" w:eastAsiaTheme="minorEastAsia" w:cstheme="minorBidi"/>
          <w:b/>
          <w:bCs/>
          <w:color w:val="auto"/>
          <w:kern w:val="0"/>
          <w:sz w:val="24"/>
          <w:highlight w:val="none"/>
        </w:rPr>
      </w:pPr>
      <w:r>
        <w:rPr>
          <w:rFonts w:hint="eastAsia" w:asciiTheme="minorEastAsia" w:hAnsiTheme="minorEastAsia" w:eastAsiaTheme="minorEastAsia" w:cstheme="minorBidi"/>
          <w:b/>
          <w:bCs/>
          <w:color w:val="auto"/>
          <w:kern w:val="0"/>
          <w:sz w:val="24"/>
          <w:highlight w:val="none"/>
        </w:rPr>
        <w:t>二、项目的内容及要求</w:t>
      </w:r>
    </w:p>
    <w:p w14:paraId="71909FFE">
      <w:pPr>
        <w:pStyle w:val="12"/>
        <w:snapToGrid w:val="0"/>
        <w:spacing w:line="360" w:lineRule="auto"/>
        <w:ind w:firstLine="480" w:firstLineChars="200"/>
        <w:outlineLvl w:val="0"/>
        <w:rPr>
          <w:rFonts w:hint="eastAsia" w:asciiTheme="minorEastAsia" w:hAnsiTheme="minorEastAsia" w:eastAsiaTheme="minorEastAsia" w:cstheme="minorBidi"/>
          <w:color w:val="auto"/>
          <w:kern w:val="0"/>
          <w:sz w:val="24"/>
          <w:highlight w:val="none"/>
        </w:rPr>
      </w:pPr>
      <w:r>
        <w:rPr>
          <w:rFonts w:hint="eastAsia" w:asciiTheme="minorEastAsia" w:hAnsiTheme="minorEastAsia" w:eastAsiaTheme="minorEastAsia" w:cstheme="minorBidi"/>
          <w:color w:val="auto"/>
          <w:kern w:val="0"/>
          <w:sz w:val="24"/>
          <w:highlight w:val="none"/>
        </w:rPr>
        <w:t>（一）低效用地调查摸底技术支撑</w:t>
      </w:r>
    </w:p>
    <w:p w14:paraId="6F17A4BD">
      <w:pPr>
        <w:pStyle w:val="12"/>
        <w:snapToGrid w:val="0"/>
        <w:spacing w:line="360" w:lineRule="auto"/>
        <w:ind w:firstLine="480" w:firstLineChars="200"/>
        <w:outlineLvl w:val="0"/>
        <w:rPr>
          <w:rFonts w:hint="eastAsia" w:asciiTheme="minorEastAsia" w:hAnsiTheme="minorEastAsia" w:eastAsiaTheme="minorEastAsia" w:cstheme="minorBidi"/>
          <w:color w:val="auto"/>
          <w:kern w:val="0"/>
          <w:sz w:val="24"/>
          <w:highlight w:val="none"/>
        </w:rPr>
      </w:pPr>
      <w:r>
        <w:rPr>
          <w:rFonts w:hint="eastAsia" w:asciiTheme="minorEastAsia" w:hAnsiTheme="minorEastAsia" w:eastAsiaTheme="minorEastAsia" w:cstheme="minorBidi"/>
          <w:color w:val="auto"/>
          <w:kern w:val="0"/>
          <w:sz w:val="24"/>
          <w:highlight w:val="none"/>
        </w:rPr>
        <w:t>按照自然资源部开发利用司《关于做好低效用地再开发试点工作有关事项的函》（自然资利用函〔2023〕165号）以及其他相关要求，制定调查技术方案，明确技术要求、路线和方法；指导各县（市、区）开展低效用地调查摸底，检查各县（市、区）调查成果的完整性、规范性以及各类低效用地数据、属性信息以及图形信息；汇总全市调查数据并对数据成果展开分析。试点期间，按照部、省厅要求，</w:t>
      </w:r>
      <w:r>
        <w:rPr>
          <w:rFonts w:hint="eastAsia" w:asciiTheme="minorEastAsia" w:hAnsiTheme="minorEastAsia" w:eastAsiaTheme="minorEastAsia" w:cstheme="minorBidi"/>
          <w:color w:val="auto"/>
          <w:kern w:val="0"/>
          <w:sz w:val="24"/>
          <w:highlight w:val="none"/>
          <w:lang w:eastAsia="zh-CN"/>
        </w:rPr>
        <w:t>完成市区的低效数据库年度更新、指导</w:t>
      </w:r>
      <w:r>
        <w:rPr>
          <w:rFonts w:hint="eastAsia" w:asciiTheme="minorEastAsia" w:hAnsiTheme="minorEastAsia" w:eastAsiaTheme="minorEastAsia" w:cstheme="minorBidi"/>
          <w:color w:val="auto"/>
          <w:kern w:val="0"/>
          <w:sz w:val="24"/>
          <w:highlight w:val="none"/>
        </w:rPr>
        <w:t>各县（市）开展调查数据年度更新。</w:t>
      </w:r>
    </w:p>
    <w:p w14:paraId="7DC49BB4">
      <w:pPr>
        <w:pStyle w:val="12"/>
        <w:snapToGrid w:val="0"/>
        <w:spacing w:line="360" w:lineRule="auto"/>
        <w:ind w:firstLine="480" w:firstLineChars="200"/>
        <w:outlineLvl w:val="0"/>
        <w:rPr>
          <w:rFonts w:hint="eastAsia" w:asciiTheme="minorEastAsia" w:hAnsiTheme="minorEastAsia" w:eastAsiaTheme="minorEastAsia" w:cstheme="minorBidi"/>
          <w:color w:val="auto"/>
          <w:kern w:val="0"/>
          <w:sz w:val="24"/>
          <w:highlight w:val="none"/>
        </w:rPr>
      </w:pPr>
      <w:r>
        <w:rPr>
          <w:rFonts w:hint="eastAsia" w:asciiTheme="minorEastAsia" w:hAnsiTheme="minorEastAsia" w:eastAsiaTheme="minorEastAsia" w:cstheme="minorBidi"/>
          <w:color w:val="auto"/>
          <w:kern w:val="0"/>
          <w:sz w:val="24"/>
          <w:highlight w:val="none"/>
        </w:rPr>
        <w:t>（二）相关专题研究和案例总结</w:t>
      </w:r>
    </w:p>
    <w:p w14:paraId="33D6AE0A">
      <w:pPr>
        <w:pStyle w:val="12"/>
        <w:snapToGrid w:val="0"/>
        <w:spacing w:line="360" w:lineRule="auto"/>
        <w:ind w:firstLine="480" w:firstLineChars="200"/>
        <w:outlineLvl w:val="0"/>
        <w:rPr>
          <w:rFonts w:hint="eastAsia" w:asciiTheme="minorEastAsia" w:hAnsiTheme="minorEastAsia" w:eastAsiaTheme="minorEastAsia" w:cstheme="minorBidi"/>
          <w:color w:val="auto"/>
          <w:kern w:val="0"/>
          <w:sz w:val="24"/>
          <w:highlight w:val="none"/>
        </w:rPr>
      </w:pPr>
      <w:r>
        <w:rPr>
          <w:rFonts w:hint="eastAsia" w:asciiTheme="minorEastAsia" w:hAnsiTheme="minorEastAsia" w:eastAsiaTheme="minorEastAsia" w:cstheme="minorBidi"/>
          <w:color w:val="auto"/>
          <w:kern w:val="0"/>
          <w:sz w:val="24"/>
          <w:highlight w:val="none"/>
        </w:rPr>
        <w:t>结合部、省政策动态，总结分析以往存量改造工作的问题与困难，协助甲方开展试点相关专题研究，挖掘案例素材，总结台州做法，形成案例成果。</w:t>
      </w:r>
    </w:p>
    <w:p w14:paraId="0AAD285C">
      <w:pPr>
        <w:pStyle w:val="12"/>
        <w:snapToGrid w:val="0"/>
        <w:spacing w:line="360" w:lineRule="auto"/>
        <w:ind w:firstLine="480" w:firstLineChars="200"/>
        <w:outlineLvl w:val="0"/>
        <w:rPr>
          <w:rFonts w:hint="eastAsia" w:asciiTheme="minorEastAsia" w:hAnsiTheme="minorEastAsia" w:eastAsiaTheme="minorEastAsia" w:cstheme="minorBidi"/>
          <w:color w:val="auto"/>
          <w:kern w:val="0"/>
          <w:sz w:val="24"/>
          <w:highlight w:val="none"/>
        </w:rPr>
      </w:pPr>
      <w:r>
        <w:rPr>
          <w:rFonts w:hint="eastAsia" w:asciiTheme="minorEastAsia" w:hAnsiTheme="minorEastAsia" w:eastAsiaTheme="minorEastAsia" w:cstheme="minorBidi"/>
          <w:color w:val="auto"/>
          <w:kern w:val="0"/>
          <w:sz w:val="24"/>
          <w:highlight w:val="none"/>
        </w:rPr>
        <w:t>（三）试点实施跟踪、评估、总结</w:t>
      </w:r>
    </w:p>
    <w:p w14:paraId="2E2AA54D">
      <w:pPr>
        <w:pStyle w:val="12"/>
        <w:snapToGrid w:val="0"/>
        <w:spacing w:line="360" w:lineRule="auto"/>
        <w:ind w:firstLine="480" w:firstLineChars="200"/>
        <w:outlineLvl w:val="0"/>
        <w:rPr>
          <w:rFonts w:hint="eastAsia" w:asciiTheme="minorEastAsia" w:hAnsiTheme="minorEastAsia" w:eastAsiaTheme="minorEastAsia" w:cstheme="minorBidi"/>
          <w:color w:val="auto"/>
          <w:kern w:val="0"/>
          <w:sz w:val="24"/>
          <w:highlight w:val="none"/>
        </w:rPr>
      </w:pPr>
      <w:r>
        <w:rPr>
          <w:rFonts w:hint="eastAsia" w:asciiTheme="minorEastAsia" w:hAnsiTheme="minorEastAsia" w:eastAsiaTheme="minorEastAsia" w:cstheme="minorBidi"/>
          <w:color w:val="auto"/>
          <w:kern w:val="0"/>
          <w:sz w:val="24"/>
          <w:highlight w:val="none"/>
        </w:rPr>
        <w:t>协助</w:t>
      </w:r>
      <w:r>
        <w:rPr>
          <w:rFonts w:hint="eastAsia" w:asciiTheme="minorEastAsia" w:hAnsiTheme="minorEastAsia" w:eastAsiaTheme="minorEastAsia" w:cstheme="minorBidi"/>
          <w:color w:val="auto"/>
          <w:kern w:val="0"/>
          <w:sz w:val="24"/>
          <w:highlight w:val="none"/>
          <w:lang w:val="en-US" w:eastAsia="zh-CN"/>
        </w:rPr>
        <w:t>采购人</w:t>
      </w:r>
      <w:r>
        <w:rPr>
          <w:rFonts w:hint="eastAsia" w:asciiTheme="minorEastAsia" w:hAnsiTheme="minorEastAsia" w:eastAsiaTheme="minorEastAsia" w:cstheme="minorBidi"/>
          <w:color w:val="auto"/>
          <w:kern w:val="0"/>
          <w:sz w:val="24"/>
          <w:highlight w:val="none"/>
        </w:rPr>
        <w:t>每两月开展试点实施情况跟踪分析，每半年开展试点工作评估分析，每年末开展试点年度工作总结，试点结束全面开展评估总结。围绕试点工作推进情况、成效展开，分析存在的问题，提出有针对性的对策建议，挖掘台州特色创新及亮点。</w:t>
      </w:r>
    </w:p>
    <w:p w14:paraId="68D7B900">
      <w:pPr>
        <w:pStyle w:val="12"/>
        <w:snapToGrid w:val="0"/>
        <w:spacing w:line="360" w:lineRule="auto"/>
        <w:outlineLvl w:val="0"/>
        <w:rPr>
          <w:rFonts w:hint="eastAsia" w:asciiTheme="minorEastAsia" w:hAnsiTheme="minorEastAsia" w:eastAsiaTheme="minorEastAsia" w:cstheme="minorBidi"/>
          <w:b/>
          <w:bCs/>
          <w:color w:val="auto"/>
          <w:kern w:val="0"/>
          <w:sz w:val="24"/>
          <w:highlight w:val="none"/>
        </w:rPr>
      </w:pPr>
      <w:r>
        <w:rPr>
          <w:rFonts w:hint="eastAsia" w:asciiTheme="minorEastAsia" w:hAnsiTheme="minorEastAsia" w:eastAsiaTheme="minorEastAsia" w:cstheme="minorBidi"/>
          <w:b/>
          <w:bCs/>
          <w:color w:val="auto"/>
          <w:kern w:val="0"/>
          <w:sz w:val="24"/>
          <w:highlight w:val="none"/>
        </w:rPr>
        <w:t>三、采购要求</w:t>
      </w:r>
    </w:p>
    <w:p w14:paraId="5C54B500">
      <w:pPr>
        <w:pStyle w:val="12"/>
        <w:snapToGrid w:val="0"/>
        <w:spacing w:line="360" w:lineRule="auto"/>
        <w:ind w:firstLine="480" w:firstLineChars="200"/>
        <w:outlineLvl w:val="0"/>
        <w:rPr>
          <w:rFonts w:hint="eastAsia" w:asciiTheme="minorEastAsia" w:hAnsiTheme="minorEastAsia" w:eastAsiaTheme="minorEastAsia" w:cstheme="minorBidi"/>
          <w:color w:val="auto"/>
          <w:kern w:val="0"/>
          <w:sz w:val="24"/>
          <w:highlight w:val="none"/>
        </w:rPr>
      </w:pPr>
      <w:r>
        <w:rPr>
          <w:rFonts w:hint="eastAsia" w:asciiTheme="minorEastAsia" w:hAnsiTheme="minorEastAsia" w:eastAsiaTheme="minorEastAsia" w:cstheme="minorBidi"/>
          <w:color w:val="auto"/>
          <w:kern w:val="0"/>
          <w:sz w:val="24"/>
          <w:highlight w:val="none"/>
        </w:rPr>
        <w:t>（一）项目实施进度要求</w:t>
      </w:r>
    </w:p>
    <w:p w14:paraId="7F82B194">
      <w:pPr>
        <w:pStyle w:val="12"/>
        <w:snapToGrid w:val="0"/>
        <w:spacing w:line="360" w:lineRule="auto"/>
        <w:ind w:firstLine="480" w:firstLineChars="200"/>
        <w:jc w:val="left"/>
        <w:rPr>
          <w:rFonts w:hint="eastAsia" w:eastAsia="宋体" w:asciiTheme="minorEastAsia" w:hAnsiTheme="minorEastAsia" w:cstheme="minorBidi"/>
          <w:color w:val="auto"/>
          <w:kern w:val="0"/>
          <w:sz w:val="24"/>
          <w:highlight w:val="none"/>
          <w:lang w:eastAsia="zh-CN"/>
        </w:rPr>
      </w:pPr>
      <w:r>
        <w:rPr>
          <w:rFonts w:hint="eastAsia" w:hAnsi="宋体" w:cs="宋体"/>
          <w:b w:val="0"/>
          <w:bCs/>
          <w:color w:val="auto"/>
          <w:sz w:val="24"/>
          <w:highlight w:val="none"/>
        </w:rPr>
        <w:t>项目服务期</w:t>
      </w:r>
      <w:r>
        <w:rPr>
          <w:rFonts w:hint="eastAsia" w:hAnsi="宋体" w:cs="宋体"/>
          <w:b w:val="0"/>
          <w:bCs/>
          <w:color w:val="auto"/>
          <w:sz w:val="24"/>
          <w:highlight w:val="none"/>
          <w:lang w:val="en-US" w:eastAsia="zh-CN"/>
        </w:rPr>
        <w:t>至</w:t>
      </w:r>
      <w:r>
        <w:rPr>
          <w:rFonts w:hint="eastAsia" w:hAnsi="宋体" w:cs="宋体"/>
          <w:b w:val="0"/>
          <w:bCs/>
          <w:color w:val="auto"/>
          <w:sz w:val="24"/>
          <w:highlight w:val="none"/>
        </w:rPr>
        <w:t>2027年9月结束</w:t>
      </w:r>
      <w:r>
        <w:rPr>
          <w:rFonts w:hint="eastAsia" w:hAnsi="宋体" w:cs="宋体"/>
          <w:b w:val="0"/>
          <w:bCs/>
          <w:color w:val="auto"/>
          <w:sz w:val="24"/>
          <w:highlight w:val="none"/>
          <w:lang w:eastAsia="zh-CN"/>
        </w:rPr>
        <w:t>。</w:t>
      </w:r>
    </w:p>
    <w:p w14:paraId="58B38128">
      <w:pPr>
        <w:pStyle w:val="12"/>
        <w:snapToGrid w:val="0"/>
        <w:spacing w:line="360" w:lineRule="auto"/>
        <w:ind w:firstLine="480" w:firstLineChars="200"/>
        <w:outlineLvl w:val="0"/>
        <w:rPr>
          <w:rFonts w:hint="eastAsia" w:asciiTheme="minorEastAsia" w:hAnsiTheme="minorEastAsia" w:eastAsiaTheme="minorEastAsia" w:cstheme="minorBidi"/>
          <w:color w:val="auto"/>
          <w:kern w:val="0"/>
          <w:sz w:val="24"/>
          <w:highlight w:val="none"/>
          <w:lang w:val="en"/>
        </w:rPr>
      </w:pPr>
      <w:r>
        <w:rPr>
          <w:rFonts w:hint="eastAsia" w:asciiTheme="minorEastAsia" w:hAnsiTheme="minorEastAsia" w:eastAsiaTheme="minorEastAsia" w:cstheme="minorBidi"/>
          <w:color w:val="auto"/>
          <w:kern w:val="0"/>
          <w:sz w:val="24"/>
          <w:highlight w:val="none"/>
        </w:rPr>
        <w:t>1.2025年11</w:t>
      </w:r>
      <w:r>
        <w:rPr>
          <w:rFonts w:hint="eastAsia" w:asciiTheme="minorEastAsia" w:hAnsiTheme="minorEastAsia" w:eastAsiaTheme="minorEastAsia" w:cstheme="minorBidi"/>
          <w:color w:val="auto"/>
          <w:kern w:val="0"/>
          <w:sz w:val="24"/>
          <w:highlight w:val="none"/>
          <w:lang w:val="en"/>
        </w:rPr>
        <w:t>月底前，</w:t>
      </w:r>
      <w:r>
        <w:rPr>
          <w:rFonts w:hint="eastAsia" w:asciiTheme="minorEastAsia" w:hAnsiTheme="minorEastAsia" w:eastAsiaTheme="minorEastAsia" w:cstheme="minorBidi"/>
          <w:color w:val="auto"/>
          <w:kern w:val="0"/>
          <w:sz w:val="24"/>
          <w:highlight w:val="none"/>
        </w:rPr>
        <w:t>汇总全市低效用地再开发数据库初步成果；</w:t>
      </w:r>
      <w:r>
        <w:rPr>
          <w:rFonts w:hint="eastAsia" w:asciiTheme="minorEastAsia" w:hAnsiTheme="minorEastAsia" w:eastAsiaTheme="minorEastAsia" w:cstheme="minorBidi"/>
          <w:color w:val="auto"/>
          <w:kern w:val="0"/>
          <w:sz w:val="24"/>
          <w:highlight w:val="none"/>
          <w:lang w:val="en"/>
        </w:rPr>
        <w:t>2026年3月底，汇总提交2026年度台州市低效用地再开发数据库更新成果；2027年3月底，</w:t>
      </w:r>
      <w:r>
        <w:rPr>
          <w:rFonts w:hint="eastAsia" w:asciiTheme="minorEastAsia" w:hAnsiTheme="minorEastAsia" w:eastAsiaTheme="minorEastAsia" w:cstheme="minorBidi"/>
          <w:color w:val="auto"/>
          <w:kern w:val="0"/>
          <w:sz w:val="24"/>
          <w:highlight w:val="none"/>
          <w:lang w:val="en" w:eastAsia="zh-CN"/>
        </w:rPr>
        <w:t>汇总</w:t>
      </w:r>
      <w:r>
        <w:rPr>
          <w:rFonts w:hint="eastAsia" w:asciiTheme="minorEastAsia" w:hAnsiTheme="minorEastAsia" w:eastAsiaTheme="minorEastAsia" w:cstheme="minorBidi"/>
          <w:color w:val="auto"/>
          <w:kern w:val="0"/>
          <w:sz w:val="24"/>
          <w:highlight w:val="none"/>
          <w:lang w:val="en"/>
        </w:rPr>
        <w:t>提交2027年度台州市低效用地再开发数据库更新成果。</w:t>
      </w:r>
    </w:p>
    <w:p w14:paraId="4324114D">
      <w:pPr>
        <w:pStyle w:val="12"/>
        <w:snapToGrid w:val="0"/>
        <w:spacing w:line="360" w:lineRule="auto"/>
        <w:ind w:firstLine="480" w:firstLineChars="200"/>
        <w:outlineLvl w:val="0"/>
        <w:rPr>
          <w:rFonts w:hint="eastAsia" w:asciiTheme="minorEastAsia" w:hAnsiTheme="minorEastAsia" w:eastAsiaTheme="minorEastAsia" w:cstheme="minorBidi"/>
          <w:color w:val="auto"/>
          <w:kern w:val="0"/>
          <w:sz w:val="24"/>
          <w:highlight w:val="none"/>
        </w:rPr>
      </w:pPr>
      <w:r>
        <w:rPr>
          <w:rFonts w:hint="eastAsia" w:asciiTheme="minorEastAsia" w:hAnsiTheme="minorEastAsia" w:eastAsiaTheme="minorEastAsia" w:cstheme="minorBidi"/>
          <w:color w:val="auto"/>
          <w:kern w:val="0"/>
          <w:sz w:val="24"/>
          <w:highlight w:val="none"/>
        </w:rPr>
        <w:t>每双月末提交双月报，每年6月底前提交半年总结报告，每年12月底前提交年度工作总结，2027年9月底前提交试点总结报告。</w:t>
      </w:r>
    </w:p>
    <w:p w14:paraId="5EC475FC">
      <w:pPr>
        <w:pStyle w:val="12"/>
        <w:snapToGrid w:val="0"/>
        <w:spacing w:line="360" w:lineRule="auto"/>
        <w:ind w:firstLine="480" w:firstLineChars="200"/>
        <w:outlineLvl w:val="0"/>
        <w:rPr>
          <w:rFonts w:hint="eastAsia" w:asciiTheme="minorEastAsia" w:hAnsiTheme="minorEastAsia" w:eastAsiaTheme="minorEastAsia" w:cstheme="minorBidi"/>
          <w:color w:val="auto"/>
          <w:kern w:val="0"/>
          <w:sz w:val="24"/>
          <w:highlight w:val="none"/>
        </w:rPr>
      </w:pPr>
      <w:r>
        <w:rPr>
          <w:rFonts w:hint="eastAsia" w:asciiTheme="minorEastAsia" w:hAnsiTheme="minorEastAsia" w:eastAsiaTheme="minorEastAsia" w:cstheme="minorBidi"/>
          <w:color w:val="auto"/>
          <w:kern w:val="0"/>
          <w:sz w:val="24"/>
          <w:highlight w:val="none"/>
        </w:rPr>
        <w:t>部、省对提交成果时间另有要求的，从其规定。</w:t>
      </w:r>
    </w:p>
    <w:p w14:paraId="098D49FC">
      <w:pPr>
        <w:pStyle w:val="12"/>
        <w:snapToGrid w:val="0"/>
        <w:spacing w:line="360" w:lineRule="auto"/>
        <w:ind w:firstLine="480" w:firstLineChars="200"/>
        <w:outlineLvl w:val="0"/>
        <w:rPr>
          <w:rFonts w:hint="eastAsia" w:asciiTheme="minorEastAsia" w:hAnsiTheme="minorEastAsia" w:eastAsiaTheme="minorEastAsia" w:cstheme="minorBidi"/>
          <w:color w:val="auto"/>
          <w:kern w:val="0"/>
          <w:sz w:val="24"/>
          <w:highlight w:val="none"/>
        </w:rPr>
      </w:pPr>
      <w:r>
        <w:rPr>
          <w:rFonts w:hint="eastAsia" w:asciiTheme="minorEastAsia" w:hAnsiTheme="minorEastAsia" w:eastAsiaTheme="minorEastAsia" w:cstheme="minorBidi"/>
          <w:color w:val="auto"/>
          <w:kern w:val="0"/>
          <w:sz w:val="24"/>
          <w:highlight w:val="none"/>
        </w:rPr>
        <w:t>（二）成果要求</w:t>
      </w:r>
    </w:p>
    <w:p w14:paraId="5C27E245">
      <w:pPr>
        <w:pStyle w:val="12"/>
        <w:snapToGrid w:val="0"/>
        <w:spacing w:line="360" w:lineRule="auto"/>
        <w:ind w:firstLine="480" w:firstLineChars="200"/>
        <w:outlineLvl w:val="0"/>
        <w:rPr>
          <w:rFonts w:hint="eastAsia" w:asciiTheme="minorEastAsia" w:hAnsiTheme="minorEastAsia" w:eastAsiaTheme="minorEastAsia" w:cstheme="minorBidi"/>
          <w:color w:val="auto"/>
          <w:kern w:val="0"/>
          <w:sz w:val="24"/>
          <w:highlight w:val="none"/>
        </w:rPr>
      </w:pPr>
      <w:r>
        <w:rPr>
          <w:rFonts w:hint="eastAsia" w:asciiTheme="minorEastAsia" w:hAnsiTheme="minorEastAsia" w:eastAsiaTheme="minorEastAsia" w:cstheme="minorBidi"/>
          <w:color w:val="auto"/>
          <w:kern w:val="0"/>
          <w:sz w:val="24"/>
          <w:highlight w:val="none"/>
        </w:rPr>
        <w:t>最终汇交成果包括以下四项材料：</w:t>
      </w:r>
    </w:p>
    <w:p w14:paraId="2959B4AE">
      <w:pPr>
        <w:pStyle w:val="12"/>
        <w:snapToGrid w:val="0"/>
        <w:spacing w:line="360" w:lineRule="auto"/>
        <w:ind w:firstLine="480" w:firstLineChars="200"/>
        <w:outlineLvl w:val="0"/>
        <w:rPr>
          <w:rFonts w:hint="eastAsia" w:asciiTheme="minorEastAsia" w:hAnsiTheme="minorEastAsia" w:eastAsiaTheme="minorEastAsia" w:cstheme="minorBidi"/>
          <w:color w:val="auto"/>
          <w:kern w:val="0"/>
          <w:sz w:val="24"/>
          <w:highlight w:val="none"/>
        </w:rPr>
      </w:pPr>
      <w:r>
        <w:rPr>
          <w:rFonts w:hint="eastAsia" w:asciiTheme="minorEastAsia" w:hAnsiTheme="minorEastAsia" w:eastAsiaTheme="minorEastAsia" w:cstheme="minorBidi"/>
          <w:color w:val="auto"/>
          <w:kern w:val="0"/>
          <w:sz w:val="24"/>
          <w:highlight w:val="none"/>
        </w:rPr>
        <w:t>1.调查成果，包含：全市低效用地数据库（gdb或shp格式）、表数据（XLSX格式）、图集（jpg和psd）、文字报告（word或pdf）。</w:t>
      </w:r>
    </w:p>
    <w:p w14:paraId="36282657">
      <w:pPr>
        <w:pStyle w:val="12"/>
        <w:snapToGrid w:val="0"/>
        <w:spacing w:line="360" w:lineRule="auto"/>
        <w:ind w:firstLine="480" w:firstLineChars="200"/>
        <w:outlineLvl w:val="0"/>
        <w:rPr>
          <w:rFonts w:hint="eastAsia" w:asciiTheme="minorEastAsia" w:hAnsiTheme="minorEastAsia" w:eastAsiaTheme="minorEastAsia" w:cstheme="minorBidi"/>
          <w:color w:val="auto"/>
          <w:kern w:val="0"/>
          <w:sz w:val="24"/>
          <w:highlight w:val="none"/>
        </w:rPr>
      </w:pPr>
      <w:r>
        <w:rPr>
          <w:rFonts w:hint="eastAsia" w:asciiTheme="minorEastAsia" w:hAnsiTheme="minorEastAsia" w:eastAsiaTheme="minorEastAsia" w:cstheme="minorBidi"/>
          <w:color w:val="auto"/>
          <w:kern w:val="0"/>
          <w:sz w:val="24"/>
          <w:highlight w:val="none"/>
        </w:rPr>
        <w:t>2.报告成果，包含：双月报、半年工作评估报告、年度工作总结报告、试点总结报告（word或pdf）。</w:t>
      </w:r>
    </w:p>
    <w:p w14:paraId="2CFFF8FD">
      <w:pPr>
        <w:pStyle w:val="12"/>
        <w:snapToGrid w:val="0"/>
        <w:spacing w:line="360" w:lineRule="auto"/>
        <w:ind w:firstLine="480" w:firstLineChars="200"/>
        <w:outlineLvl w:val="0"/>
        <w:rPr>
          <w:rFonts w:hint="eastAsia" w:asciiTheme="minorEastAsia" w:hAnsiTheme="minorEastAsia" w:eastAsiaTheme="minorEastAsia" w:cstheme="minorBidi"/>
          <w:color w:val="auto"/>
          <w:kern w:val="0"/>
          <w:sz w:val="24"/>
          <w:highlight w:val="none"/>
        </w:rPr>
      </w:pPr>
      <w:r>
        <w:rPr>
          <w:rFonts w:hint="eastAsia" w:asciiTheme="minorEastAsia" w:hAnsiTheme="minorEastAsia" w:eastAsiaTheme="minorEastAsia" w:cstheme="minorBidi"/>
          <w:color w:val="auto"/>
          <w:kern w:val="0"/>
          <w:sz w:val="24"/>
          <w:highlight w:val="none"/>
        </w:rPr>
        <w:t>3.案例成果：低效用地再开发案例成果（word或pdf）。</w:t>
      </w:r>
    </w:p>
    <w:p w14:paraId="324948F5">
      <w:pPr>
        <w:pStyle w:val="12"/>
        <w:snapToGrid w:val="0"/>
        <w:spacing w:line="360" w:lineRule="auto"/>
        <w:ind w:firstLine="480" w:firstLineChars="200"/>
        <w:outlineLvl w:val="0"/>
        <w:rPr>
          <w:rFonts w:hint="eastAsia" w:asciiTheme="minorEastAsia" w:hAnsiTheme="minorEastAsia" w:eastAsiaTheme="minorEastAsia" w:cstheme="minorBidi"/>
          <w:color w:val="auto"/>
          <w:kern w:val="0"/>
          <w:sz w:val="24"/>
          <w:highlight w:val="none"/>
        </w:rPr>
      </w:pPr>
      <w:r>
        <w:rPr>
          <w:rFonts w:hint="eastAsia" w:asciiTheme="minorEastAsia" w:hAnsiTheme="minorEastAsia" w:eastAsiaTheme="minorEastAsia" w:cstheme="minorBidi"/>
          <w:color w:val="auto"/>
          <w:kern w:val="0"/>
          <w:sz w:val="24"/>
          <w:highlight w:val="none"/>
        </w:rPr>
        <w:t>4.其他成果：服务期间形成的其他成果。</w:t>
      </w:r>
    </w:p>
    <w:p w14:paraId="0080CBAA">
      <w:pPr>
        <w:pStyle w:val="12"/>
        <w:snapToGrid w:val="0"/>
        <w:spacing w:line="360" w:lineRule="auto"/>
        <w:ind w:firstLine="480" w:firstLineChars="200"/>
        <w:outlineLvl w:val="0"/>
        <w:rPr>
          <w:rFonts w:hint="eastAsia" w:asciiTheme="minorEastAsia" w:hAnsiTheme="minorEastAsia" w:eastAsiaTheme="minorEastAsia" w:cstheme="minorBidi"/>
          <w:color w:val="auto"/>
          <w:kern w:val="0"/>
          <w:sz w:val="24"/>
          <w:highlight w:val="none"/>
        </w:rPr>
      </w:pPr>
      <w:r>
        <w:rPr>
          <w:rFonts w:hint="eastAsia" w:asciiTheme="minorEastAsia" w:hAnsiTheme="minorEastAsia" w:eastAsiaTheme="minorEastAsia" w:cstheme="minorBidi"/>
          <w:color w:val="auto"/>
          <w:kern w:val="0"/>
          <w:sz w:val="24"/>
          <w:highlight w:val="none"/>
        </w:rPr>
        <w:t>（三）质量要求</w:t>
      </w:r>
    </w:p>
    <w:p w14:paraId="290711EA">
      <w:pPr>
        <w:pStyle w:val="12"/>
        <w:snapToGrid w:val="0"/>
        <w:spacing w:line="360" w:lineRule="auto"/>
        <w:ind w:firstLine="480" w:firstLineChars="200"/>
        <w:outlineLvl w:val="0"/>
        <w:rPr>
          <w:rFonts w:hint="eastAsia" w:asciiTheme="minorEastAsia" w:hAnsiTheme="minorEastAsia" w:eastAsiaTheme="minorEastAsia" w:cstheme="minorBidi"/>
          <w:color w:val="auto"/>
          <w:kern w:val="0"/>
          <w:sz w:val="24"/>
          <w:highlight w:val="none"/>
        </w:rPr>
      </w:pPr>
      <w:r>
        <w:rPr>
          <w:rFonts w:hint="eastAsia" w:asciiTheme="minorEastAsia" w:hAnsiTheme="minorEastAsia" w:eastAsiaTheme="minorEastAsia" w:cstheme="minorBidi"/>
          <w:color w:val="auto"/>
          <w:kern w:val="0"/>
          <w:sz w:val="24"/>
          <w:highlight w:val="none"/>
        </w:rPr>
        <w:t>1.项目成果符合自然资源部、省自然资源厅试点要求，符合台州实际，通过自然资源部、省自然资源厅审查。</w:t>
      </w:r>
    </w:p>
    <w:p w14:paraId="576570A1">
      <w:pPr>
        <w:pStyle w:val="12"/>
        <w:snapToGrid w:val="0"/>
        <w:spacing w:line="360" w:lineRule="auto"/>
        <w:ind w:firstLine="480" w:firstLineChars="200"/>
        <w:outlineLvl w:val="0"/>
        <w:rPr>
          <w:rFonts w:hint="eastAsia" w:asciiTheme="minorEastAsia" w:hAnsiTheme="minorEastAsia" w:eastAsiaTheme="minorEastAsia" w:cstheme="minorBidi"/>
          <w:color w:val="auto"/>
          <w:kern w:val="0"/>
          <w:sz w:val="24"/>
          <w:highlight w:val="none"/>
        </w:rPr>
      </w:pPr>
      <w:r>
        <w:rPr>
          <w:rFonts w:hint="eastAsia" w:asciiTheme="minorEastAsia" w:hAnsiTheme="minorEastAsia" w:eastAsiaTheme="minorEastAsia" w:cstheme="minorBidi"/>
          <w:color w:val="auto"/>
          <w:kern w:val="0"/>
          <w:sz w:val="24"/>
          <w:highlight w:val="none"/>
        </w:rPr>
        <w:t>2.</w:t>
      </w:r>
      <w:r>
        <w:rPr>
          <w:rFonts w:hint="eastAsia" w:asciiTheme="minorEastAsia" w:hAnsiTheme="minorEastAsia" w:eastAsiaTheme="minorEastAsia" w:cstheme="minorBidi"/>
          <w:color w:val="auto"/>
          <w:kern w:val="0"/>
          <w:sz w:val="24"/>
          <w:highlight w:val="none"/>
          <w:lang w:val="en-US" w:eastAsia="zh-CN"/>
        </w:rPr>
        <w:t>成交供应商</w:t>
      </w:r>
      <w:r>
        <w:rPr>
          <w:rFonts w:hint="eastAsia" w:asciiTheme="minorEastAsia" w:hAnsiTheme="minorEastAsia" w:eastAsiaTheme="minorEastAsia" w:cstheme="minorBidi"/>
          <w:color w:val="auto"/>
          <w:kern w:val="0"/>
          <w:sz w:val="24"/>
          <w:highlight w:val="none"/>
        </w:rPr>
        <w:t>提供服务的过程，</w:t>
      </w:r>
      <w:r>
        <w:rPr>
          <w:rFonts w:hint="eastAsia" w:asciiTheme="minorEastAsia" w:hAnsiTheme="minorEastAsia" w:eastAsiaTheme="minorEastAsia" w:cstheme="minorBidi"/>
          <w:color w:val="auto"/>
          <w:kern w:val="0"/>
          <w:sz w:val="24"/>
          <w:highlight w:val="none"/>
          <w:lang w:val="en-US" w:eastAsia="zh-CN"/>
        </w:rPr>
        <w:t>采购人</w:t>
      </w:r>
      <w:r>
        <w:rPr>
          <w:rFonts w:hint="eastAsia" w:asciiTheme="minorEastAsia" w:hAnsiTheme="minorEastAsia" w:eastAsiaTheme="minorEastAsia" w:cstheme="minorBidi"/>
          <w:color w:val="auto"/>
          <w:kern w:val="0"/>
          <w:sz w:val="24"/>
          <w:highlight w:val="none"/>
        </w:rPr>
        <w:t>有权不定期对服务内容和质量进行考核，</w:t>
      </w:r>
      <w:r>
        <w:rPr>
          <w:rFonts w:hint="eastAsia" w:asciiTheme="minorEastAsia" w:hAnsiTheme="minorEastAsia" w:eastAsiaTheme="minorEastAsia" w:cstheme="minorBidi"/>
          <w:color w:val="auto"/>
          <w:kern w:val="0"/>
          <w:sz w:val="24"/>
          <w:highlight w:val="none"/>
          <w:lang w:val="en-US" w:eastAsia="zh-CN"/>
        </w:rPr>
        <w:t>成交供应商</w:t>
      </w:r>
      <w:r>
        <w:rPr>
          <w:rFonts w:hint="eastAsia" w:asciiTheme="minorEastAsia" w:hAnsiTheme="minorEastAsia" w:eastAsiaTheme="minorEastAsia" w:cstheme="minorBidi"/>
          <w:color w:val="auto"/>
          <w:kern w:val="0"/>
          <w:sz w:val="24"/>
          <w:highlight w:val="none"/>
        </w:rPr>
        <w:t>应当配合进行。</w:t>
      </w:r>
    </w:p>
    <w:p w14:paraId="550B0EF2">
      <w:pPr>
        <w:pStyle w:val="12"/>
        <w:snapToGrid w:val="0"/>
        <w:spacing w:line="360" w:lineRule="auto"/>
        <w:ind w:firstLine="480" w:firstLineChars="200"/>
        <w:outlineLvl w:val="0"/>
        <w:rPr>
          <w:rFonts w:hint="eastAsia" w:asciiTheme="minorEastAsia" w:hAnsiTheme="minorEastAsia" w:eastAsiaTheme="minorEastAsia" w:cstheme="minorBidi"/>
          <w:color w:val="auto"/>
          <w:kern w:val="0"/>
          <w:sz w:val="24"/>
          <w:highlight w:val="none"/>
        </w:rPr>
      </w:pPr>
      <w:r>
        <w:rPr>
          <w:rFonts w:hint="eastAsia" w:asciiTheme="minorEastAsia" w:hAnsiTheme="minorEastAsia" w:eastAsiaTheme="minorEastAsia" w:cstheme="minorBidi"/>
          <w:color w:val="auto"/>
          <w:kern w:val="0"/>
          <w:sz w:val="24"/>
          <w:highlight w:val="none"/>
        </w:rPr>
        <w:t>（四）验收</w:t>
      </w:r>
    </w:p>
    <w:p w14:paraId="14DB9DB9">
      <w:pPr>
        <w:pStyle w:val="12"/>
        <w:snapToGrid w:val="0"/>
        <w:spacing w:line="360" w:lineRule="auto"/>
        <w:ind w:firstLine="480" w:firstLineChars="200"/>
        <w:outlineLvl w:val="0"/>
        <w:rPr>
          <w:rFonts w:hint="eastAsia" w:asciiTheme="minorEastAsia" w:hAnsiTheme="minorEastAsia" w:eastAsiaTheme="minorEastAsia" w:cstheme="minorBidi"/>
          <w:color w:val="auto"/>
          <w:kern w:val="0"/>
          <w:sz w:val="24"/>
          <w:highlight w:val="none"/>
        </w:rPr>
      </w:pPr>
      <w:r>
        <w:rPr>
          <w:rFonts w:hint="eastAsia" w:asciiTheme="minorEastAsia" w:hAnsiTheme="minorEastAsia" w:eastAsiaTheme="minorEastAsia" w:cstheme="minorBidi"/>
          <w:color w:val="auto"/>
          <w:kern w:val="0"/>
          <w:sz w:val="24"/>
          <w:highlight w:val="none"/>
        </w:rPr>
        <w:t>项目成果通过部、省审查或</w:t>
      </w:r>
      <w:r>
        <w:rPr>
          <w:rFonts w:hint="eastAsia" w:asciiTheme="minorEastAsia" w:hAnsiTheme="minorEastAsia" w:eastAsiaTheme="minorEastAsia" w:cstheme="minorBidi"/>
          <w:color w:val="auto"/>
          <w:kern w:val="0"/>
          <w:sz w:val="24"/>
          <w:highlight w:val="none"/>
          <w:lang w:val="en-US" w:eastAsia="zh-CN"/>
        </w:rPr>
        <w:t>采购人</w:t>
      </w:r>
      <w:r>
        <w:rPr>
          <w:rFonts w:hint="eastAsia" w:asciiTheme="minorEastAsia" w:hAnsiTheme="minorEastAsia" w:eastAsiaTheme="minorEastAsia" w:cstheme="minorBidi"/>
          <w:color w:val="auto"/>
          <w:kern w:val="0"/>
          <w:sz w:val="24"/>
          <w:highlight w:val="none"/>
        </w:rPr>
        <w:t>组织的验收。</w:t>
      </w:r>
    </w:p>
    <w:p w14:paraId="2DA2858D">
      <w:pPr>
        <w:pStyle w:val="13"/>
        <w:ind w:left="0" w:leftChars="0" w:firstLine="0" w:firstLineChars="0"/>
        <w:rPr>
          <w:rFonts w:hint="default" w:cs="Times New Roman" w:asciiTheme="minorEastAsia" w:hAnsiTheme="minorEastAsia" w:eastAsiaTheme="minorEastAsia"/>
          <w:b/>
          <w:color w:val="auto"/>
          <w:kern w:val="2"/>
          <w:sz w:val="24"/>
          <w:szCs w:val="24"/>
          <w:highlight w:val="none"/>
          <w:lang w:val="en-US" w:eastAsia="zh-CN" w:bidi="ar-SA"/>
        </w:rPr>
      </w:pPr>
      <w:r>
        <w:rPr>
          <w:rFonts w:hint="eastAsia" w:cs="Times New Roman" w:asciiTheme="minorEastAsia" w:hAnsiTheme="minorEastAsia" w:eastAsiaTheme="minorEastAsia"/>
          <w:b/>
          <w:color w:val="auto"/>
          <w:kern w:val="2"/>
          <w:sz w:val="24"/>
          <w:szCs w:val="24"/>
          <w:highlight w:val="none"/>
          <w:lang w:val="en-US" w:eastAsia="zh-CN" w:bidi="ar-SA"/>
        </w:rPr>
        <w:t>四、付款条件</w:t>
      </w:r>
    </w:p>
    <w:p w14:paraId="0697F35D">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、合同签订后，</w:t>
      </w:r>
      <w:r>
        <w:rPr>
          <w:rFonts w:hint="eastAsia" w:ascii="宋体" w:hAnsi="宋体"/>
          <w:color w:val="auto"/>
          <w:sz w:val="24"/>
          <w:highlight w:val="none"/>
          <w:lang w:val="en-US" w:eastAsia="zh-CN"/>
        </w:rPr>
        <w:t>采购人</w:t>
      </w:r>
      <w:r>
        <w:rPr>
          <w:rFonts w:hint="eastAsia" w:ascii="宋体" w:hAnsi="宋体"/>
          <w:color w:val="auto"/>
          <w:sz w:val="24"/>
          <w:highlight w:val="none"/>
        </w:rPr>
        <w:t>向</w:t>
      </w:r>
      <w:r>
        <w:rPr>
          <w:rFonts w:hint="eastAsia" w:ascii="宋体" w:hAnsi="宋体"/>
          <w:color w:val="auto"/>
          <w:sz w:val="24"/>
          <w:highlight w:val="none"/>
          <w:lang w:val="en-US" w:eastAsia="zh-CN"/>
        </w:rPr>
        <w:t>成交供应商（联合体牵头人）</w:t>
      </w:r>
      <w:r>
        <w:rPr>
          <w:rFonts w:hint="eastAsia" w:ascii="宋体" w:hAnsi="宋体"/>
          <w:color w:val="auto"/>
          <w:sz w:val="24"/>
          <w:highlight w:val="none"/>
        </w:rPr>
        <w:t>支付中标总金额的</w:t>
      </w:r>
      <w:r>
        <w:rPr>
          <w:rFonts w:hint="eastAsia" w:ascii="宋体" w:hAnsi="宋体"/>
          <w:color w:val="auto"/>
          <w:sz w:val="24"/>
          <w:highlight w:val="none"/>
          <w:lang w:val="en-US" w:eastAsia="zh-CN"/>
        </w:rPr>
        <w:t>20</w:t>
      </w:r>
      <w:r>
        <w:rPr>
          <w:rFonts w:hint="eastAsia" w:ascii="宋体" w:hAnsi="宋体"/>
          <w:color w:val="auto"/>
          <w:sz w:val="24"/>
          <w:highlight w:val="none"/>
        </w:rPr>
        <w:t>%；</w:t>
      </w:r>
    </w:p>
    <w:p w14:paraId="7592EED9">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、完成</w:t>
      </w:r>
      <w:r>
        <w:rPr>
          <w:rFonts w:ascii="宋体" w:hAnsi="宋体"/>
          <w:color w:val="auto"/>
          <w:sz w:val="24"/>
          <w:highlight w:val="none"/>
        </w:rPr>
        <w:t>2025年度低效用地调查及当年度数据库更新</w:t>
      </w:r>
      <w:r>
        <w:rPr>
          <w:rFonts w:hint="eastAsia" w:ascii="宋体" w:hAnsi="宋体"/>
          <w:color w:val="auto"/>
          <w:sz w:val="24"/>
          <w:highlight w:val="none"/>
        </w:rPr>
        <w:t>工作，并</w:t>
      </w:r>
      <w:r>
        <w:rPr>
          <w:rFonts w:ascii="宋体" w:hAnsi="宋体"/>
          <w:color w:val="auto"/>
          <w:sz w:val="24"/>
          <w:highlight w:val="none"/>
        </w:rPr>
        <w:t>通过部备案</w:t>
      </w:r>
      <w:r>
        <w:rPr>
          <w:rFonts w:hint="eastAsia" w:ascii="宋体" w:hAnsi="宋体"/>
          <w:color w:val="auto"/>
          <w:sz w:val="24"/>
          <w:highlight w:val="none"/>
        </w:rPr>
        <w:t>后，</w:t>
      </w:r>
      <w:r>
        <w:rPr>
          <w:rFonts w:hint="eastAsia" w:ascii="宋体" w:hAnsi="宋体"/>
          <w:color w:val="auto"/>
          <w:sz w:val="24"/>
          <w:highlight w:val="none"/>
          <w:lang w:val="en-US" w:eastAsia="zh-CN"/>
        </w:rPr>
        <w:t>采购人</w:t>
      </w:r>
      <w:r>
        <w:rPr>
          <w:rFonts w:hint="eastAsia" w:ascii="宋体" w:hAnsi="宋体"/>
          <w:color w:val="auto"/>
          <w:sz w:val="24"/>
          <w:highlight w:val="none"/>
        </w:rPr>
        <w:t>向</w:t>
      </w:r>
      <w:r>
        <w:rPr>
          <w:rFonts w:hint="eastAsia" w:ascii="宋体" w:hAnsi="宋体"/>
          <w:color w:val="auto"/>
          <w:sz w:val="24"/>
          <w:highlight w:val="none"/>
          <w:lang w:val="en-US" w:eastAsia="zh-CN"/>
        </w:rPr>
        <w:t>成交供应商（联合体牵头人）</w:t>
      </w:r>
      <w:r>
        <w:rPr>
          <w:rFonts w:hint="eastAsia" w:ascii="宋体" w:hAnsi="宋体"/>
          <w:color w:val="auto"/>
          <w:sz w:val="24"/>
          <w:highlight w:val="none"/>
        </w:rPr>
        <w:t>支付中标总金额的</w:t>
      </w:r>
      <w:r>
        <w:rPr>
          <w:rFonts w:hint="eastAsia" w:ascii="宋体" w:hAnsi="宋体"/>
          <w:color w:val="auto"/>
          <w:sz w:val="24"/>
          <w:highlight w:val="none"/>
          <w:lang w:val="en-US" w:eastAsia="zh-CN"/>
        </w:rPr>
        <w:t>15</w:t>
      </w:r>
      <w:r>
        <w:rPr>
          <w:rFonts w:ascii="宋体" w:hAnsi="宋体"/>
          <w:color w:val="auto"/>
          <w:sz w:val="24"/>
          <w:highlight w:val="none"/>
        </w:rPr>
        <w:t>%；</w:t>
      </w:r>
    </w:p>
    <w:p w14:paraId="3980D5CA">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、完成</w:t>
      </w:r>
      <w:r>
        <w:rPr>
          <w:rFonts w:ascii="宋体" w:hAnsi="宋体"/>
          <w:color w:val="auto"/>
          <w:sz w:val="24"/>
          <w:highlight w:val="none"/>
        </w:rPr>
        <w:t>2026年数据库更新报部备案通过</w:t>
      </w:r>
      <w:r>
        <w:rPr>
          <w:rFonts w:hint="eastAsia" w:ascii="宋体" w:hAnsi="宋体"/>
          <w:color w:val="auto"/>
          <w:sz w:val="24"/>
          <w:highlight w:val="none"/>
        </w:rPr>
        <w:t>后，</w:t>
      </w:r>
      <w:r>
        <w:rPr>
          <w:rFonts w:hint="eastAsia" w:ascii="宋体" w:hAnsi="宋体"/>
          <w:color w:val="auto"/>
          <w:sz w:val="24"/>
          <w:highlight w:val="none"/>
          <w:lang w:val="en-US" w:eastAsia="zh-CN"/>
        </w:rPr>
        <w:t>采购人</w:t>
      </w:r>
      <w:r>
        <w:rPr>
          <w:rFonts w:hint="eastAsia" w:ascii="宋体" w:hAnsi="宋体"/>
          <w:color w:val="auto"/>
          <w:sz w:val="24"/>
          <w:highlight w:val="none"/>
        </w:rPr>
        <w:t>向</w:t>
      </w:r>
      <w:r>
        <w:rPr>
          <w:rFonts w:hint="eastAsia" w:ascii="宋体" w:hAnsi="宋体"/>
          <w:color w:val="auto"/>
          <w:sz w:val="24"/>
          <w:highlight w:val="none"/>
          <w:lang w:val="en-US" w:eastAsia="zh-CN"/>
        </w:rPr>
        <w:t>成交供应商（联合体牵头人）</w:t>
      </w:r>
      <w:r>
        <w:rPr>
          <w:rFonts w:hint="eastAsia" w:ascii="宋体" w:hAnsi="宋体"/>
          <w:color w:val="auto"/>
          <w:sz w:val="24"/>
          <w:highlight w:val="none"/>
        </w:rPr>
        <w:t>支付中标总金额的</w:t>
      </w:r>
      <w:r>
        <w:rPr>
          <w:rFonts w:hint="eastAsia" w:ascii="宋体" w:hAnsi="宋体"/>
          <w:color w:val="auto"/>
          <w:sz w:val="24"/>
          <w:highlight w:val="none"/>
          <w:lang w:val="en-US" w:eastAsia="zh-CN"/>
        </w:rPr>
        <w:t>3</w:t>
      </w:r>
      <w:r>
        <w:rPr>
          <w:rFonts w:ascii="宋体" w:hAnsi="宋体"/>
          <w:color w:val="auto"/>
          <w:sz w:val="24"/>
          <w:highlight w:val="none"/>
        </w:rPr>
        <w:t>0%；</w:t>
      </w:r>
    </w:p>
    <w:p w14:paraId="319C21FD">
      <w:pPr>
        <w:spacing w:line="360" w:lineRule="auto"/>
        <w:ind w:firstLine="480" w:firstLineChars="200"/>
        <w:rPr>
          <w:rFonts w:ascii="宋体" w:hAnsi="宋体"/>
          <w:color w:val="auto"/>
          <w:sz w:val="24"/>
          <w:highlight w:val="none"/>
        </w:rPr>
      </w:pPr>
      <w:r>
        <w:rPr>
          <w:rFonts w:hint="eastAsia" w:ascii="宋体" w:hAnsi="宋体" w:eastAsia="宋体" w:cs="Times New Roman"/>
          <w:color w:val="auto"/>
          <w:sz w:val="24"/>
          <w:highlight w:val="none"/>
          <w:lang w:val="en-US" w:eastAsia="zh-CN"/>
        </w:rPr>
        <w:t>4、</w:t>
      </w:r>
      <w:r>
        <w:rPr>
          <w:rFonts w:hint="eastAsia" w:ascii="宋体" w:hAnsi="宋体"/>
          <w:color w:val="auto"/>
          <w:sz w:val="24"/>
          <w:highlight w:val="none"/>
        </w:rPr>
        <w:t>完成</w:t>
      </w:r>
      <w:r>
        <w:rPr>
          <w:rFonts w:ascii="宋体" w:hAnsi="宋体"/>
          <w:color w:val="auto"/>
          <w:sz w:val="24"/>
          <w:highlight w:val="none"/>
        </w:rPr>
        <w:t>202</w:t>
      </w:r>
      <w:r>
        <w:rPr>
          <w:rFonts w:hint="eastAsia" w:ascii="宋体" w:hAnsi="宋体"/>
          <w:color w:val="auto"/>
          <w:sz w:val="24"/>
          <w:highlight w:val="none"/>
        </w:rPr>
        <w:t>7</w:t>
      </w:r>
      <w:r>
        <w:rPr>
          <w:rFonts w:ascii="宋体" w:hAnsi="宋体"/>
          <w:color w:val="auto"/>
          <w:sz w:val="24"/>
          <w:highlight w:val="none"/>
        </w:rPr>
        <w:t>年数据库更新报部备案通过</w:t>
      </w:r>
      <w:r>
        <w:rPr>
          <w:rFonts w:hint="eastAsia" w:ascii="宋体" w:hAnsi="宋体"/>
          <w:color w:val="auto"/>
          <w:sz w:val="24"/>
          <w:highlight w:val="none"/>
        </w:rPr>
        <w:t>后，</w:t>
      </w:r>
      <w:r>
        <w:rPr>
          <w:rFonts w:hint="eastAsia" w:ascii="宋体" w:hAnsi="宋体"/>
          <w:color w:val="auto"/>
          <w:sz w:val="24"/>
          <w:highlight w:val="none"/>
          <w:lang w:val="en-US" w:eastAsia="zh-CN"/>
        </w:rPr>
        <w:t>采购人</w:t>
      </w:r>
      <w:r>
        <w:rPr>
          <w:rFonts w:hint="eastAsia" w:ascii="宋体" w:hAnsi="宋体"/>
          <w:color w:val="auto"/>
          <w:sz w:val="24"/>
          <w:highlight w:val="none"/>
        </w:rPr>
        <w:t>向</w:t>
      </w:r>
      <w:r>
        <w:rPr>
          <w:rFonts w:hint="eastAsia" w:ascii="宋体" w:hAnsi="宋体"/>
          <w:color w:val="auto"/>
          <w:sz w:val="24"/>
          <w:highlight w:val="none"/>
          <w:lang w:val="en-US" w:eastAsia="zh-CN"/>
        </w:rPr>
        <w:t>成交供应商（联合体牵头人）</w:t>
      </w:r>
      <w:r>
        <w:rPr>
          <w:rFonts w:hint="eastAsia" w:ascii="宋体" w:hAnsi="宋体"/>
          <w:color w:val="auto"/>
          <w:sz w:val="24"/>
          <w:highlight w:val="none"/>
        </w:rPr>
        <w:t>支付中标总金额的</w:t>
      </w:r>
      <w:r>
        <w:rPr>
          <w:rFonts w:hint="eastAsia" w:ascii="宋体" w:hAnsi="宋体"/>
          <w:color w:val="auto"/>
          <w:sz w:val="24"/>
          <w:highlight w:val="none"/>
          <w:lang w:val="en-US" w:eastAsia="zh-CN"/>
        </w:rPr>
        <w:t>30</w:t>
      </w:r>
      <w:r>
        <w:rPr>
          <w:rFonts w:ascii="宋体" w:hAnsi="宋体"/>
          <w:color w:val="auto"/>
          <w:sz w:val="24"/>
          <w:highlight w:val="none"/>
        </w:rPr>
        <w:t>%；</w:t>
      </w:r>
    </w:p>
    <w:p w14:paraId="1F5948B6">
      <w:pPr>
        <w:snapToGrid w:val="0"/>
        <w:spacing w:line="360" w:lineRule="auto"/>
        <w:ind w:firstLine="480" w:firstLineChars="200"/>
        <w:jc w:val="left"/>
        <w:rPr>
          <w:rFonts w:hint="eastAsia" w:ascii="宋体" w:hAnsi="宋体"/>
          <w:color w:val="auto"/>
          <w:sz w:val="24"/>
          <w:highlight w:val="none"/>
        </w:rPr>
      </w:pPr>
      <w:r>
        <w:rPr>
          <w:rFonts w:hint="eastAsia" w:ascii="宋体" w:hAnsi="宋体" w:eastAsia="宋体" w:cs="Times New Roman"/>
          <w:color w:val="auto"/>
          <w:sz w:val="24"/>
          <w:highlight w:val="none"/>
          <w:lang w:val="en-US" w:eastAsia="zh-CN"/>
        </w:rPr>
        <w:t>5、</w:t>
      </w:r>
      <w:r>
        <w:rPr>
          <w:rFonts w:ascii="宋体" w:hAnsi="宋体"/>
          <w:color w:val="auto"/>
          <w:sz w:val="24"/>
          <w:highlight w:val="none"/>
        </w:rPr>
        <w:t>2027</w:t>
      </w:r>
      <w:r>
        <w:rPr>
          <w:rFonts w:hint="eastAsia" w:ascii="宋体" w:hAnsi="宋体"/>
          <w:color w:val="auto"/>
          <w:sz w:val="24"/>
          <w:highlight w:val="none"/>
        </w:rPr>
        <w:t>年9月3</w:t>
      </w:r>
      <w:r>
        <w:rPr>
          <w:rFonts w:ascii="宋体" w:hAnsi="宋体"/>
          <w:color w:val="auto"/>
          <w:sz w:val="24"/>
          <w:highlight w:val="none"/>
        </w:rPr>
        <w:t>0</w:t>
      </w:r>
      <w:r>
        <w:rPr>
          <w:rFonts w:hint="eastAsia" w:ascii="宋体" w:hAnsi="宋体"/>
          <w:color w:val="auto"/>
          <w:sz w:val="24"/>
          <w:highlight w:val="none"/>
        </w:rPr>
        <w:t>日前，全面总结试点的做法、政策和经验，并通过试点总体评估，以及配套服务完成后完成后，</w:t>
      </w:r>
      <w:r>
        <w:rPr>
          <w:rFonts w:hint="eastAsia" w:ascii="宋体" w:hAnsi="宋体"/>
          <w:color w:val="auto"/>
          <w:sz w:val="24"/>
          <w:highlight w:val="none"/>
          <w:lang w:val="en-US" w:eastAsia="zh-CN"/>
        </w:rPr>
        <w:t>采购人</w:t>
      </w:r>
      <w:r>
        <w:rPr>
          <w:rFonts w:hint="eastAsia" w:ascii="宋体" w:hAnsi="宋体"/>
          <w:color w:val="auto"/>
          <w:sz w:val="24"/>
          <w:highlight w:val="none"/>
        </w:rPr>
        <w:t>向</w:t>
      </w:r>
      <w:r>
        <w:rPr>
          <w:rFonts w:hint="eastAsia" w:ascii="宋体" w:hAnsi="宋体"/>
          <w:color w:val="auto"/>
          <w:sz w:val="24"/>
          <w:highlight w:val="none"/>
          <w:lang w:val="en-US" w:eastAsia="zh-CN"/>
        </w:rPr>
        <w:t>成交供应商（联合体牵头人）</w:t>
      </w:r>
      <w:r>
        <w:rPr>
          <w:rFonts w:hint="eastAsia" w:ascii="宋体" w:hAnsi="宋体"/>
          <w:color w:val="auto"/>
          <w:sz w:val="24"/>
          <w:highlight w:val="none"/>
        </w:rPr>
        <w:t>支付中标总金额的</w:t>
      </w:r>
      <w:r>
        <w:rPr>
          <w:rFonts w:hint="eastAsia" w:ascii="宋体" w:hAnsi="宋体"/>
          <w:color w:val="auto"/>
          <w:sz w:val="24"/>
          <w:highlight w:val="none"/>
          <w:lang w:val="en-US" w:eastAsia="zh-CN"/>
        </w:rPr>
        <w:t>5</w:t>
      </w:r>
      <w:r>
        <w:rPr>
          <w:rFonts w:ascii="宋体" w:hAnsi="宋体"/>
          <w:color w:val="auto"/>
          <w:sz w:val="24"/>
          <w:highlight w:val="none"/>
        </w:rPr>
        <w:t>%</w:t>
      </w:r>
      <w:r>
        <w:rPr>
          <w:rFonts w:hint="eastAsia" w:ascii="宋体" w:hAnsi="宋体"/>
          <w:color w:val="auto"/>
          <w:sz w:val="24"/>
          <w:highlight w:val="none"/>
        </w:rPr>
        <w:t>。</w:t>
      </w:r>
    </w:p>
    <w:p w14:paraId="18AFF30F">
      <w:pPr>
        <w:pStyle w:val="12"/>
        <w:snapToGrid w:val="0"/>
        <w:spacing w:line="360" w:lineRule="auto"/>
        <w:ind w:firstLine="482" w:firstLineChars="200"/>
        <w:outlineLvl w:val="0"/>
        <w:rPr>
          <w:rFonts w:asciiTheme="minorEastAsia" w:hAnsiTheme="minorEastAsia" w:eastAsiaTheme="minorEastAsia" w:cstheme="minorEastAsia"/>
          <w:color w:val="auto"/>
          <w:sz w:val="24"/>
          <w:highlight w:val="none"/>
        </w:rPr>
      </w:pPr>
      <w:r>
        <w:rPr>
          <w:rFonts w:hint="eastAsia" w:ascii="宋体" w:hAnsi="宋体" w:cs="宋体"/>
          <w:b/>
          <w:color w:val="auto"/>
          <w:sz w:val="24"/>
          <w:highlight w:val="none"/>
          <w:lang w:val="en-US" w:eastAsia="zh-CN"/>
        </w:rPr>
        <w:t>注：每款项支付前须</w:t>
      </w:r>
      <w:r>
        <w:rPr>
          <w:rFonts w:hint="eastAsia" w:hAnsi="宋体" w:cs="宋体"/>
          <w:b/>
          <w:color w:val="auto"/>
          <w:sz w:val="24"/>
          <w:highlight w:val="none"/>
          <w:lang w:val="en-US" w:eastAsia="zh-CN"/>
        </w:rPr>
        <w:t>成交供应商</w:t>
      </w:r>
      <w:r>
        <w:rPr>
          <w:rFonts w:hint="eastAsia" w:ascii="宋体" w:hAnsi="宋体"/>
          <w:b/>
          <w:bCs/>
          <w:color w:val="auto"/>
          <w:sz w:val="24"/>
          <w:highlight w:val="none"/>
          <w:lang w:val="en-US" w:eastAsia="zh-CN"/>
        </w:rPr>
        <w:t>（联合体牵头人）</w:t>
      </w:r>
      <w:r>
        <w:rPr>
          <w:rFonts w:hint="eastAsia" w:ascii="宋体" w:hAnsi="宋体" w:cs="宋体"/>
          <w:b/>
          <w:color w:val="auto"/>
          <w:sz w:val="24"/>
          <w:highlight w:val="none"/>
          <w:lang w:val="en-US" w:eastAsia="zh-CN"/>
        </w:rPr>
        <w:t>提供</w:t>
      </w:r>
      <w:r>
        <w:rPr>
          <w:rFonts w:hint="eastAsia" w:hAnsi="宋体" w:cs="宋体"/>
          <w:b/>
          <w:color w:val="auto"/>
          <w:sz w:val="24"/>
          <w:highlight w:val="none"/>
          <w:lang w:val="en-US" w:eastAsia="zh-CN"/>
        </w:rPr>
        <w:t>采购人</w:t>
      </w:r>
      <w:r>
        <w:rPr>
          <w:rFonts w:hint="eastAsia" w:ascii="宋体" w:hAnsi="宋体" w:cs="宋体"/>
          <w:b/>
          <w:color w:val="auto"/>
          <w:sz w:val="24"/>
          <w:highlight w:val="none"/>
          <w:lang w:val="en-US" w:eastAsia="zh-CN"/>
        </w:rPr>
        <w:t>相应的增值税发票。</w:t>
      </w:r>
      <w:r>
        <w:rPr>
          <w:rFonts w:hint="eastAsia" w:asciiTheme="minorEastAsia" w:hAnsiTheme="minorEastAsia" w:eastAsiaTheme="minorEastAsia" w:cstheme="minorBidi"/>
          <w:color w:val="auto"/>
          <w:kern w:val="0"/>
          <w:sz w:val="24"/>
          <w:highlight w:val="none"/>
        </w:rPr>
        <w:br w:type="page"/>
      </w:r>
    </w:p>
    <w:p w14:paraId="48F3DB54">
      <w:pPr>
        <w:numPr>
          <w:ilvl w:val="0"/>
          <w:numId w:val="4"/>
        </w:numPr>
        <w:spacing w:line="360" w:lineRule="auto"/>
        <w:jc w:val="center"/>
        <w:rPr>
          <w:rFonts w:asciiTheme="minorEastAsia" w:hAnsiTheme="minorEastAsia" w:eastAsiaTheme="minorEastAsia"/>
          <w:b/>
          <w:color w:val="auto"/>
          <w:sz w:val="36"/>
          <w:szCs w:val="36"/>
          <w:highlight w:val="none"/>
        </w:rPr>
      </w:pPr>
      <w:bookmarkStart w:id="39" w:name="_Toc31173_WPSOffice_Level1"/>
      <w:r>
        <w:rPr>
          <w:rFonts w:hint="eastAsia" w:asciiTheme="minorEastAsia" w:hAnsiTheme="minorEastAsia" w:eastAsiaTheme="minorEastAsia"/>
          <w:b/>
          <w:color w:val="auto"/>
          <w:sz w:val="36"/>
          <w:szCs w:val="36"/>
          <w:highlight w:val="none"/>
        </w:rPr>
        <w:t>评标</w:t>
      </w:r>
      <w:bookmarkEnd w:id="39"/>
    </w:p>
    <w:p w14:paraId="53FCF37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一、评标原则</w:t>
      </w:r>
    </w:p>
    <w:p w14:paraId="393563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（一）评标活动遵循公平、公正、科学和择优的原则，以招标文件和投标文件为评标的基本依据，并按照招标文件规定的评标方法和评标标准进行评标。</w:t>
      </w:r>
    </w:p>
    <w:p w14:paraId="4025DE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（二）任何单位和个人不得干扰、影响评标的正常进行；评标委员会及有关工作人员应不带任何倾向性和启发性，不得向外界透露任何与评标有关的内容，不得私下与</w:t>
      </w:r>
      <w:r>
        <w:rPr>
          <w:rFonts w:hint="eastAsia" w:asciiTheme="minorEastAsia" w:hAnsiTheme="minorEastAsia" w:eastAsiaTheme="minorEastAsia"/>
          <w:color w:val="auto"/>
          <w:sz w:val="24"/>
          <w:highlight w:val="none"/>
          <w:lang w:eastAsia="zh-CN"/>
        </w:rPr>
        <w:t>供应商</w:t>
      </w:r>
      <w:r>
        <w:rPr>
          <w:rFonts w:hint="eastAsia" w:ascii="宋体" w:hAnsi="宋体" w:cs="宋体"/>
          <w:color w:val="auto"/>
          <w:sz w:val="24"/>
          <w:highlight w:val="none"/>
        </w:rPr>
        <w:t>接触。</w:t>
      </w:r>
    </w:p>
    <w:p w14:paraId="4A12206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二、评标方法</w:t>
      </w:r>
    </w:p>
    <w:p w14:paraId="4742BD66">
      <w:pPr>
        <w:spacing w:line="360" w:lineRule="auto"/>
        <w:ind w:firstLine="480" w:firstLineChars="200"/>
        <w:rPr>
          <w:color w:val="auto"/>
          <w:highlight w:val="none"/>
        </w:rPr>
      </w:pPr>
      <w:r>
        <w:rPr>
          <w:rFonts w:hint="eastAsia" w:ascii="宋体" w:hAnsi="宋体" w:cs="宋体"/>
          <w:color w:val="auto"/>
          <w:sz w:val="24"/>
          <w:highlight w:val="none"/>
        </w:rPr>
        <w:t>综合评分法，是指投标文件满足招标文件全部实质性要求，且按照评审因素的量化指标评审得分最高的</w:t>
      </w:r>
      <w:r>
        <w:rPr>
          <w:rFonts w:hint="eastAsia" w:asciiTheme="minorEastAsia" w:hAnsiTheme="minorEastAsia" w:eastAsiaTheme="minorEastAsia"/>
          <w:color w:val="auto"/>
          <w:sz w:val="24"/>
          <w:highlight w:val="none"/>
          <w:lang w:eastAsia="zh-CN"/>
        </w:rPr>
        <w:t>供应商</w:t>
      </w:r>
      <w:r>
        <w:rPr>
          <w:rFonts w:hint="eastAsia" w:ascii="宋体" w:hAnsi="宋体" w:cs="宋体"/>
          <w:color w:val="auto"/>
          <w:sz w:val="24"/>
          <w:highlight w:val="none"/>
        </w:rPr>
        <w:t>为中标候选人的评标方法。</w:t>
      </w:r>
    </w:p>
    <w:p w14:paraId="60BB5363">
      <w:pPr>
        <w:pStyle w:val="20"/>
        <w:spacing w:after="0" w:line="360" w:lineRule="auto"/>
        <w:ind w:left="0" w:leftChars="0"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三、评标委员会</w:t>
      </w:r>
    </w:p>
    <w:p w14:paraId="62248278">
      <w:pPr>
        <w:pStyle w:val="9"/>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（一）本项目评标委员会由采购人代表和评审专家组成。</w:t>
      </w:r>
    </w:p>
    <w:p w14:paraId="4ED48980">
      <w:pPr>
        <w:pStyle w:val="9"/>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（二）评标委员会成员与参与投标的供应商有下列情形之一的，应当回避：</w:t>
      </w:r>
    </w:p>
    <w:p w14:paraId="1566DE8D">
      <w:pPr>
        <w:pStyle w:val="9"/>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1.参加采购活动前3年内与供应商存在劳动关系；</w:t>
      </w:r>
    </w:p>
    <w:p w14:paraId="4919BB1B">
      <w:pPr>
        <w:pStyle w:val="9"/>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2.参加采购活动前3年内担任供应商的董事、监事；</w:t>
      </w:r>
    </w:p>
    <w:p w14:paraId="12CADCC7">
      <w:pPr>
        <w:pStyle w:val="9"/>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3.参加采购活动前3年内是供应商的控股股东或者实际控制人；</w:t>
      </w:r>
    </w:p>
    <w:p w14:paraId="752BEB4A">
      <w:pPr>
        <w:pStyle w:val="9"/>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4.与供应商的法定代表人或者负责人有夫妻、直系血亲、三代以内旁系血亲或者近姻亲关系；</w:t>
      </w:r>
    </w:p>
    <w:p w14:paraId="332CFF56">
      <w:pPr>
        <w:pStyle w:val="9"/>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5.与供应商有其他可能影响政府采购活动公平、公正进行的关系；</w:t>
      </w:r>
    </w:p>
    <w:p w14:paraId="6C0390BD">
      <w:pPr>
        <w:pStyle w:val="9"/>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6.法律法规规定的其他情形。</w:t>
      </w:r>
    </w:p>
    <w:p w14:paraId="195F9E5F">
      <w:pPr>
        <w:pStyle w:val="9"/>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（三）评标委员会负责具体评标事务，并独立履行下列职责：</w:t>
      </w:r>
    </w:p>
    <w:p w14:paraId="1B63509C">
      <w:pPr>
        <w:pStyle w:val="9"/>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1.审查、评价投标文件是否符合招标文件的商务、技术等实质性要求；</w:t>
      </w:r>
    </w:p>
    <w:p w14:paraId="4687D9B8">
      <w:pPr>
        <w:pStyle w:val="9"/>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2.要求</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sz w:val="24"/>
          <w:highlight w:val="none"/>
        </w:rPr>
        <w:t>对投标文件有关事项作出澄清或者说明；</w:t>
      </w:r>
    </w:p>
    <w:p w14:paraId="0474D20B">
      <w:pPr>
        <w:pStyle w:val="9"/>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3.对投标文件进行比较和评价；</w:t>
      </w:r>
    </w:p>
    <w:p w14:paraId="3AE184E2">
      <w:pPr>
        <w:pStyle w:val="9"/>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4.确定中标候选人名单，以及根据采购人委托直接确定中标人；</w:t>
      </w:r>
    </w:p>
    <w:p w14:paraId="27DCD7C1">
      <w:pPr>
        <w:pStyle w:val="9"/>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5.向采购人、采购组织机构或者有关部门报告评标中发现的违法行为；</w:t>
      </w:r>
    </w:p>
    <w:p w14:paraId="51A89EB0">
      <w:pPr>
        <w:pStyle w:val="9"/>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6.法律法规规定的其他职责。</w:t>
      </w:r>
    </w:p>
    <w:p w14:paraId="1DB35DEB">
      <w:pPr>
        <w:pStyle w:val="19"/>
        <w:spacing w:before="0" w:beforeAutospacing="0" w:after="0" w:afterAutospacing="0" w:line="360" w:lineRule="auto"/>
        <w:ind w:firstLine="482" w:firstLineChars="200"/>
        <w:jc w:val="both"/>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四、无效标情形</w:t>
      </w:r>
    </w:p>
    <w:p w14:paraId="64833A85">
      <w:pPr>
        <w:adjustRightInd w:val="0"/>
        <w:snapToGrid w:val="0"/>
        <w:spacing w:line="360" w:lineRule="auto"/>
        <w:ind w:firstLine="480"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kern w:val="0"/>
          <w:sz w:val="24"/>
          <w:highlight w:val="none"/>
        </w:rPr>
        <w:t>（一）在资格证明文件或商务与技术文件中出现投标报价的，或者报价文件中报价的服务跟商务与技术文件中的投标服务出现重大偏差的；</w:t>
      </w:r>
    </w:p>
    <w:p w14:paraId="7B69BED9">
      <w:pPr>
        <w:pStyle w:val="19"/>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（二）不具备招标文件中规定的资格要求的</w:t>
      </w:r>
      <w:r>
        <w:rPr>
          <w:rFonts w:hint="eastAsia" w:asciiTheme="minorEastAsia" w:hAnsiTheme="minorEastAsia" w:eastAsiaTheme="minorEastAsia"/>
          <w:color w:val="auto"/>
          <w:highlight w:val="none"/>
          <w:lang w:eastAsia="zh-CN"/>
        </w:rPr>
        <w:t>（</w:t>
      </w:r>
      <w:r>
        <w:rPr>
          <w:rFonts w:hint="eastAsia" w:ascii="宋体" w:hAnsi="宋体"/>
          <w:color w:val="auto"/>
          <w:kern w:val="0"/>
          <w:sz w:val="24"/>
          <w:highlight w:val="none"/>
          <w:lang w:val="en-US" w:eastAsia="zh-CN"/>
        </w:rPr>
        <w:t>若为联合体投标，联合体各方均需</w:t>
      </w:r>
      <w:r>
        <w:rPr>
          <w:rFonts w:hint="eastAsia"/>
          <w:color w:val="auto"/>
          <w:kern w:val="0"/>
          <w:sz w:val="24"/>
          <w:highlight w:val="none"/>
          <w:lang w:val="en-US" w:eastAsia="zh-CN"/>
        </w:rPr>
        <w:t>满足</w:t>
      </w:r>
      <w:r>
        <w:rPr>
          <w:rFonts w:hint="eastAsia" w:asciiTheme="minorEastAsia" w:hAnsiTheme="minorEastAsia" w:eastAsiaTheme="minorEastAsia"/>
          <w:color w:val="auto"/>
          <w:highlight w:val="none"/>
          <w:lang w:eastAsia="zh-CN"/>
        </w:rPr>
        <w:t>）；</w:t>
      </w:r>
    </w:p>
    <w:p w14:paraId="69CAD2C1">
      <w:pPr>
        <w:pStyle w:val="19"/>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（三）投标文件含有采购人不能接受的附加条件的；</w:t>
      </w:r>
    </w:p>
    <w:p w14:paraId="39A03A62">
      <w:pPr>
        <w:pStyle w:val="10"/>
        <w:spacing w:line="360" w:lineRule="auto"/>
        <w:ind w:firstLine="480" w:firstLineChars="200"/>
        <w:jc w:val="both"/>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（四）评标委员会认为</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kern w:val="0"/>
          <w:sz w:val="24"/>
          <w:highlight w:val="none"/>
        </w:rPr>
        <w:t>的报价明显低于其他通过符合性审查</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kern w:val="0"/>
          <w:sz w:val="24"/>
          <w:highlight w:val="none"/>
        </w:rPr>
        <w:t>的报价，有可能影响服务质量或者不能诚信履约的，</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kern w:val="0"/>
          <w:sz w:val="24"/>
          <w:highlight w:val="none"/>
        </w:rPr>
        <w:t>在限定的时间内不能证明其报价合理性的，评标委员会应当将其作为无效投标处理；</w:t>
      </w:r>
    </w:p>
    <w:p w14:paraId="40C07509">
      <w:pPr>
        <w:pStyle w:val="19"/>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xml:space="preserve">（五）报价超过招标文件中规定的预算金额/最高限价或未填写投标报价的； </w:t>
      </w:r>
    </w:p>
    <w:p w14:paraId="002F4B11">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（六）投标参数未如实填写，完全复制粘贴招标参数的；</w:t>
      </w:r>
    </w:p>
    <w:p w14:paraId="1838BAE9">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（七）投标文件存在虚假材料的； </w:t>
      </w:r>
    </w:p>
    <w:p w14:paraId="496F4F5A">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（八）有</w:t>
      </w:r>
      <w:r>
        <w:rPr>
          <w:rFonts w:asciiTheme="minorEastAsia" w:hAnsiTheme="minorEastAsia" w:eastAsiaTheme="minorEastAsia"/>
          <w:color w:val="auto"/>
          <w:kern w:val="0"/>
          <w:sz w:val="24"/>
          <w:highlight w:val="none"/>
        </w:rPr>
        <w:t>中华人民共和国财政部令第87号《政府采购货物和服务招标投标管理办法》第三十七条情形之一的，视为</w:t>
      </w:r>
      <w:r>
        <w:rPr>
          <w:rFonts w:hint="eastAsia" w:asciiTheme="minorEastAsia" w:hAnsiTheme="minorEastAsia" w:eastAsiaTheme="minorEastAsia"/>
          <w:color w:val="auto"/>
          <w:sz w:val="24"/>
          <w:highlight w:val="none"/>
          <w:lang w:eastAsia="zh-CN"/>
        </w:rPr>
        <w:t>供应商</w:t>
      </w:r>
      <w:r>
        <w:rPr>
          <w:rFonts w:asciiTheme="minorEastAsia" w:hAnsiTheme="minorEastAsia" w:eastAsiaTheme="minorEastAsia"/>
          <w:color w:val="auto"/>
          <w:kern w:val="0"/>
          <w:sz w:val="24"/>
          <w:highlight w:val="none"/>
        </w:rPr>
        <w:t>串通投标，其投标无效</w:t>
      </w:r>
      <w:r>
        <w:rPr>
          <w:rFonts w:hint="eastAsia" w:asciiTheme="minorEastAsia" w:hAnsiTheme="minorEastAsia" w:eastAsiaTheme="minorEastAsia"/>
          <w:color w:val="auto"/>
          <w:kern w:val="0"/>
          <w:sz w:val="24"/>
          <w:highlight w:val="none"/>
        </w:rPr>
        <w:t>，并移送采购监管部门</w:t>
      </w:r>
      <w:r>
        <w:rPr>
          <w:rFonts w:asciiTheme="minorEastAsia" w:hAnsiTheme="minorEastAsia" w:eastAsiaTheme="minorEastAsia"/>
          <w:color w:val="auto"/>
          <w:kern w:val="0"/>
          <w:sz w:val="24"/>
          <w:highlight w:val="none"/>
        </w:rPr>
        <w:t>：</w:t>
      </w:r>
    </w:p>
    <w:p w14:paraId="10831B06">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不同</w:t>
      </w:r>
      <w:r>
        <w:rPr>
          <w:rFonts w:hint="eastAsia" w:asciiTheme="minorEastAsia" w:hAnsiTheme="minorEastAsia" w:eastAsiaTheme="minorEastAsia"/>
          <w:color w:val="auto"/>
          <w:sz w:val="24"/>
          <w:highlight w:val="none"/>
          <w:lang w:eastAsia="zh-CN"/>
        </w:rPr>
        <w:t>供应商</w:t>
      </w:r>
      <w:r>
        <w:rPr>
          <w:rFonts w:asciiTheme="minorEastAsia" w:hAnsiTheme="minorEastAsia" w:eastAsiaTheme="minorEastAsia"/>
          <w:color w:val="auto"/>
          <w:sz w:val="24"/>
          <w:highlight w:val="none"/>
        </w:rPr>
        <w:t>的投标文件由同一单位或者个人编制；</w:t>
      </w:r>
    </w:p>
    <w:p w14:paraId="2BF3E749">
      <w:pPr>
        <w:pStyle w:val="19"/>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2.不同</w:t>
      </w:r>
      <w:r>
        <w:rPr>
          <w:rFonts w:hint="eastAsia" w:asciiTheme="minorEastAsia" w:hAnsiTheme="minorEastAsia" w:eastAsiaTheme="minorEastAsia"/>
          <w:color w:val="auto"/>
          <w:sz w:val="24"/>
          <w:highlight w:val="none"/>
          <w:lang w:eastAsia="zh-CN"/>
        </w:rPr>
        <w:t>供应商</w:t>
      </w:r>
      <w:r>
        <w:rPr>
          <w:rFonts w:asciiTheme="minorEastAsia" w:hAnsiTheme="minorEastAsia" w:eastAsiaTheme="minorEastAsia"/>
          <w:color w:val="auto"/>
          <w:highlight w:val="none"/>
        </w:rPr>
        <w:t>委托同一单位或者个人办理投标事宜；</w:t>
      </w:r>
    </w:p>
    <w:p w14:paraId="2693AD6A">
      <w:pPr>
        <w:pStyle w:val="19"/>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3.不同</w:t>
      </w:r>
      <w:r>
        <w:rPr>
          <w:rFonts w:hint="eastAsia" w:asciiTheme="minorEastAsia" w:hAnsiTheme="minorEastAsia" w:eastAsiaTheme="minorEastAsia"/>
          <w:color w:val="auto"/>
          <w:sz w:val="24"/>
          <w:highlight w:val="none"/>
          <w:lang w:eastAsia="zh-CN"/>
        </w:rPr>
        <w:t>供应商</w:t>
      </w:r>
      <w:r>
        <w:rPr>
          <w:rFonts w:asciiTheme="minorEastAsia" w:hAnsiTheme="minorEastAsia" w:eastAsiaTheme="minorEastAsia"/>
          <w:color w:val="auto"/>
          <w:highlight w:val="none"/>
        </w:rPr>
        <w:t>的投标文件载明的项目管理成员或者联系人员为同一人；</w:t>
      </w:r>
    </w:p>
    <w:p w14:paraId="7F8FE468">
      <w:pPr>
        <w:pStyle w:val="19"/>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4.不同</w:t>
      </w:r>
      <w:r>
        <w:rPr>
          <w:rFonts w:hint="eastAsia" w:asciiTheme="minorEastAsia" w:hAnsiTheme="minorEastAsia" w:eastAsiaTheme="minorEastAsia"/>
          <w:color w:val="auto"/>
          <w:sz w:val="24"/>
          <w:highlight w:val="none"/>
          <w:lang w:eastAsia="zh-CN"/>
        </w:rPr>
        <w:t>供应商</w:t>
      </w:r>
      <w:r>
        <w:rPr>
          <w:rFonts w:asciiTheme="minorEastAsia" w:hAnsiTheme="minorEastAsia" w:eastAsiaTheme="minorEastAsia"/>
          <w:color w:val="auto"/>
          <w:highlight w:val="none"/>
        </w:rPr>
        <w:t>的投标文件异常一致或者投标报价呈规律性差异；</w:t>
      </w:r>
    </w:p>
    <w:p w14:paraId="3E009ECD">
      <w:pPr>
        <w:pStyle w:val="19"/>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5.不同</w:t>
      </w:r>
      <w:r>
        <w:rPr>
          <w:rFonts w:hint="eastAsia" w:asciiTheme="minorEastAsia" w:hAnsiTheme="minorEastAsia" w:eastAsiaTheme="minorEastAsia"/>
          <w:color w:val="auto"/>
          <w:sz w:val="24"/>
          <w:highlight w:val="none"/>
          <w:lang w:eastAsia="zh-CN"/>
        </w:rPr>
        <w:t>供应商</w:t>
      </w:r>
      <w:r>
        <w:rPr>
          <w:rFonts w:asciiTheme="minorEastAsia" w:hAnsiTheme="minorEastAsia" w:eastAsiaTheme="minorEastAsia"/>
          <w:color w:val="auto"/>
          <w:highlight w:val="none"/>
        </w:rPr>
        <w:t>的投标文件相互混装。</w:t>
      </w:r>
    </w:p>
    <w:p w14:paraId="7F3815B8">
      <w:pPr>
        <w:pStyle w:val="19"/>
        <w:spacing w:before="0" w:beforeAutospacing="0" w:after="0" w:afterAutospacing="0" w:line="360" w:lineRule="auto"/>
        <w:ind w:firstLine="480" w:firstLineChars="200"/>
        <w:jc w:val="both"/>
        <w:rPr>
          <w:rFonts w:hint="default" w:asciiTheme="minorEastAsia" w:hAnsiTheme="minorEastAsia"/>
          <w:color w:val="auto"/>
          <w:highlight w:val="none"/>
        </w:rPr>
      </w:pPr>
      <w:r>
        <w:rPr>
          <w:rFonts w:asciiTheme="minorEastAsia" w:hAnsiTheme="minorEastAsia" w:eastAsiaTheme="minorEastAsia"/>
          <w:color w:val="auto"/>
          <w:highlight w:val="none"/>
        </w:rPr>
        <w:t>（九）</w:t>
      </w:r>
      <w:r>
        <w:rPr>
          <w:rFonts w:cs="宋体"/>
          <w:color w:val="auto"/>
          <w:highlight w:val="none"/>
        </w:rPr>
        <w:t>实质性要求（招标文件中打“▲”内容）不响应的；</w:t>
      </w:r>
    </w:p>
    <w:p w14:paraId="0A7F6AF8">
      <w:pPr>
        <w:pStyle w:val="9"/>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（十）商务条款不响应的；</w:t>
      </w:r>
    </w:p>
    <w:p w14:paraId="4F485D46">
      <w:pPr>
        <w:pStyle w:val="9"/>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（十一）投标文件有效期不足的；</w:t>
      </w:r>
    </w:p>
    <w:p w14:paraId="61FEA4C6">
      <w:pPr>
        <w:pStyle w:val="9"/>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（十二）逾期或未按要求提交投标文件的；</w:t>
      </w:r>
    </w:p>
    <w:p w14:paraId="2EEAD5D9">
      <w:pPr>
        <w:pStyle w:val="9"/>
        <w:spacing w:line="360" w:lineRule="auto"/>
        <w:ind w:firstLine="480" w:firstLineChars="200"/>
        <w:rPr>
          <w:rFonts w:hint="eastAsia" w:ascii="宋体" w:hAnsi="宋体" w:eastAsia="宋体" w:cs="宋体"/>
          <w:color w:val="auto"/>
          <w:sz w:val="24"/>
          <w:szCs w:val="24"/>
          <w:highlight w:val="none"/>
          <w:lang w:eastAsia="zh-CN"/>
        </w:rPr>
      </w:pPr>
      <w:r>
        <w:rPr>
          <w:rFonts w:hint="eastAsia" w:asciiTheme="minorEastAsia" w:hAnsiTheme="minorEastAsia" w:eastAsiaTheme="minorEastAsia"/>
          <w:color w:val="auto"/>
          <w:kern w:val="0"/>
          <w:sz w:val="24"/>
          <w:szCs w:val="24"/>
          <w:highlight w:val="none"/>
        </w:rPr>
        <w:t>（十三）其他</w:t>
      </w:r>
      <w:r>
        <w:rPr>
          <w:rFonts w:ascii="宋体" w:hAnsi="宋体" w:cs="宋体"/>
          <w:color w:val="auto"/>
          <w:sz w:val="24"/>
          <w:szCs w:val="24"/>
          <w:highlight w:val="none"/>
        </w:rPr>
        <w:t>不符合法律法规相关规定的</w:t>
      </w:r>
      <w:r>
        <w:rPr>
          <w:rFonts w:hint="eastAsia" w:ascii="宋体" w:hAnsi="宋体" w:cs="宋体"/>
          <w:color w:val="auto"/>
          <w:sz w:val="24"/>
          <w:szCs w:val="24"/>
          <w:highlight w:val="none"/>
          <w:lang w:eastAsia="zh-CN"/>
        </w:rPr>
        <w:t>；</w:t>
      </w:r>
    </w:p>
    <w:p w14:paraId="656852A1">
      <w:pPr>
        <w:pStyle w:val="9"/>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十四</w:t>
      </w:r>
      <w:r>
        <w:rPr>
          <w:rFonts w:hint="eastAsia" w:ascii="宋体" w:hAnsi="宋体" w:cs="宋体"/>
          <w:color w:val="auto"/>
          <w:sz w:val="24"/>
          <w:szCs w:val="24"/>
          <w:highlight w:val="none"/>
          <w:lang w:eastAsia="zh-CN"/>
        </w:rPr>
        <w:t>）联合体成员单独参与投标或联合体成员与其他单位组成新的联合体投标的。</w:t>
      </w:r>
    </w:p>
    <w:p w14:paraId="65692AD1">
      <w:pPr>
        <w:autoSpaceDE w:val="0"/>
        <w:autoSpaceDN w:val="0"/>
        <w:adjustRightInd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五、废标情形</w:t>
      </w:r>
    </w:p>
    <w:p w14:paraId="1861254C">
      <w:pPr>
        <w:pStyle w:val="19"/>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（一）</w:t>
      </w:r>
      <w:r>
        <w:rPr>
          <w:rFonts w:cs="宋体"/>
          <w:color w:val="auto"/>
          <w:highlight w:val="none"/>
        </w:rPr>
        <w:t>出现影响采购公正的违法、违规行为的；</w:t>
      </w:r>
    </w:p>
    <w:p w14:paraId="5CFD30DD">
      <w:pPr>
        <w:pStyle w:val="19"/>
        <w:spacing w:before="0" w:beforeAutospacing="0" w:after="0" w:afterAutospacing="0" w:line="360" w:lineRule="auto"/>
        <w:ind w:firstLine="480" w:firstLineChars="200"/>
        <w:jc w:val="both"/>
        <w:rPr>
          <w:rFonts w:hint="default" w:cs="宋体"/>
          <w:b/>
          <w:bCs/>
          <w:color w:val="auto"/>
          <w:highlight w:val="none"/>
        </w:rPr>
      </w:pPr>
      <w:r>
        <w:rPr>
          <w:rFonts w:asciiTheme="minorEastAsia" w:hAnsiTheme="minorEastAsia" w:eastAsiaTheme="minorEastAsia"/>
          <w:color w:val="auto"/>
          <w:highlight w:val="none"/>
        </w:rPr>
        <w:t>（二）</w:t>
      </w:r>
      <w:r>
        <w:rPr>
          <w:rFonts w:cs="宋体"/>
          <w:color w:val="auto"/>
          <w:highlight w:val="none"/>
        </w:rPr>
        <w:t>评标委员会发现招标文件存在歧义、重大缺陷导致评标工作无法进行，或者招标文件内容违反国家有关强制性规定的；</w:t>
      </w:r>
    </w:p>
    <w:p w14:paraId="276BDF11">
      <w:pPr>
        <w:pStyle w:val="19"/>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（三）</w:t>
      </w:r>
      <w:r>
        <w:rPr>
          <w:rFonts w:cs="宋体"/>
          <w:color w:val="auto"/>
          <w:highlight w:val="none"/>
        </w:rPr>
        <w:t>因重大变故，采购任务取消的；</w:t>
      </w:r>
    </w:p>
    <w:p w14:paraId="0666018C">
      <w:pPr>
        <w:pStyle w:val="19"/>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（四）</w:t>
      </w:r>
      <w:r>
        <w:rPr>
          <w:rFonts w:cs="宋体"/>
          <w:color w:val="auto"/>
          <w:highlight w:val="none"/>
        </w:rPr>
        <w:t>法律、法规和招标文件规定的其他导致评标结果无效的。</w:t>
      </w:r>
    </w:p>
    <w:p w14:paraId="3DDFB788">
      <w:pPr>
        <w:pStyle w:val="12"/>
        <w:snapToGrid w:val="0"/>
        <w:spacing w:line="360" w:lineRule="auto"/>
        <w:ind w:firstLine="482" w:firstLineChars="200"/>
        <w:rPr>
          <w:rFonts w:hAnsi="宋体" w:cs="宋体"/>
          <w:b/>
          <w:color w:val="auto"/>
          <w:sz w:val="24"/>
          <w:highlight w:val="none"/>
        </w:rPr>
      </w:pPr>
      <w:r>
        <w:rPr>
          <w:rFonts w:hint="eastAsia" w:hAnsi="宋体" w:cs="宋体"/>
          <w:b/>
          <w:color w:val="auto"/>
          <w:sz w:val="24"/>
          <w:highlight w:val="none"/>
        </w:rPr>
        <w:t>六、评标过程的监控</w:t>
      </w:r>
    </w:p>
    <w:p w14:paraId="6A8E1BC1">
      <w:pPr>
        <w:pStyle w:val="19"/>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本项目评标过程实行全程录音、录像监控，政府采购监管部门视情进行现场监督，</w:t>
      </w:r>
      <w:r>
        <w:rPr>
          <w:rFonts w:hint="eastAsia" w:asciiTheme="minorEastAsia" w:hAnsiTheme="minorEastAsia" w:eastAsiaTheme="minorEastAsia"/>
          <w:color w:val="auto"/>
          <w:sz w:val="24"/>
          <w:highlight w:val="none"/>
          <w:lang w:eastAsia="zh-CN"/>
        </w:rPr>
        <w:t>供应商</w:t>
      </w:r>
      <w:r>
        <w:rPr>
          <w:rFonts w:cs="宋体"/>
          <w:color w:val="auto"/>
          <w:highlight w:val="none"/>
        </w:rPr>
        <w:t>在评标过程中所进行的试图影响评标结果的不公正活动，可能导致其投标被拒绝。</w:t>
      </w:r>
    </w:p>
    <w:p w14:paraId="1EBC2CD9">
      <w:pPr>
        <w:pStyle w:val="12"/>
        <w:snapToGrid w:val="0"/>
        <w:spacing w:line="360" w:lineRule="auto"/>
        <w:ind w:firstLine="482" w:firstLineChars="200"/>
        <w:rPr>
          <w:rFonts w:hAnsi="宋体" w:cs="宋体"/>
          <w:b/>
          <w:bCs/>
          <w:color w:val="auto"/>
          <w:sz w:val="24"/>
          <w:highlight w:val="none"/>
        </w:rPr>
      </w:pPr>
      <w:r>
        <w:rPr>
          <w:rFonts w:hint="eastAsia" w:hAnsi="宋体" w:cs="宋体"/>
          <w:b/>
          <w:bCs/>
          <w:color w:val="auto"/>
          <w:sz w:val="24"/>
          <w:highlight w:val="none"/>
        </w:rPr>
        <w:t>七、政府采购政策落实</w:t>
      </w:r>
    </w:p>
    <w:p w14:paraId="7FFBA0F8">
      <w:pPr>
        <w:autoSpaceDE w:val="0"/>
        <w:autoSpaceDN w:val="0"/>
        <w:adjustRightInd w:val="0"/>
        <w:spacing w:line="360" w:lineRule="auto"/>
        <w:ind w:firstLine="482" w:firstLineChars="200"/>
        <w:rPr>
          <w:rFonts w:ascii="宋体"/>
          <w:b/>
          <w:bCs/>
          <w:color w:val="auto"/>
          <w:sz w:val="24"/>
          <w:highlight w:val="none"/>
          <w:lang w:val="zh-CN"/>
        </w:rPr>
      </w:pPr>
      <w:r>
        <w:rPr>
          <w:rFonts w:hint="eastAsia" w:ascii="宋体"/>
          <w:b/>
          <w:bCs/>
          <w:color w:val="auto"/>
          <w:sz w:val="24"/>
          <w:highlight w:val="none"/>
        </w:rPr>
        <w:t>（一）</w:t>
      </w:r>
      <w:r>
        <w:rPr>
          <w:rFonts w:hint="eastAsia" w:ascii="宋体"/>
          <w:b/>
          <w:bCs/>
          <w:color w:val="auto"/>
          <w:sz w:val="24"/>
          <w:highlight w:val="none"/>
          <w:lang w:val="zh-CN"/>
        </w:rPr>
        <w:t>政府采购政策：</w:t>
      </w:r>
    </w:p>
    <w:p w14:paraId="702EAB16">
      <w:pPr>
        <w:autoSpaceDE w:val="0"/>
        <w:autoSpaceDN w:val="0"/>
        <w:adjustRightInd w:val="0"/>
        <w:spacing w:line="360" w:lineRule="auto"/>
        <w:ind w:firstLine="480" w:firstLineChars="200"/>
        <w:rPr>
          <w:rFonts w:ascii="宋体"/>
          <w:color w:val="auto"/>
          <w:sz w:val="24"/>
          <w:highlight w:val="none"/>
        </w:rPr>
      </w:pPr>
      <w:r>
        <w:rPr>
          <w:rFonts w:hint="eastAsia" w:ascii="宋体"/>
          <w:color w:val="auto"/>
          <w:sz w:val="24"/>
          <w:highlight w:val="none"/>
        </w:rPr>
        <w:t>1.</w:t>
      </w:r>
      <w:r>
        <w:rPr>
          <w:rFonts w:hint="eastAsia" w:ascii="宋体"/>
          <w:color w:val="auto"/>
          <w:sz w:val="24"/>
          <w:highlight w:val="none"/>
          <w:lang w:val="zh-CN"/>
        </w:rPr>
        <w:t>关于小型、微型企业（简称小微企业）投标：小微企业投标是指符合《中小企业划型标准规定》的</w:t>
      </w:r>
      <w:r>
        <w:rPr>
          <w:rFonts w:hint="eastAsia" w:asciiTheme="minorEastAsia" w:hAnsiTheme="minorEastAsia" w:eastAsiaTheme="minorEastAsia"/>
          <w:color w:val="auto"/>
          <w:sz w:val="24"/>
          <w:highlight w:val="none"/>
          <w:lang w:eastAsia="zh-CN"/>
        </w:rPr>
        <w:t>供应商</w:t>
      </w:r>
      <w:r>
        <w:rPr>
          <w:rFonts w:hint="eastAsia" w:ascii="宋体"/>
          <w:color w:val="auto"/>
          <w:sz w:val="24"/>
          <w:highlight w:val="none"/>
          <w:lang w:val="zh-CN"/>
        </w:rPr>
        <w:t>，通过投标提供本企业制造的货物、承担的工程或者服务，或者提供其他小微企业制造的货物。本项所指货物不包括使用大、中型企业注册商标的货物。小微企业投标应提供、《</w:t>
      </w:r>
      <w:r>
        <w:rPr>
          <w:rFonts w:hint="eastAsia" w:ascii="宋体"/>
          <w:color w:val="auto"/>
          <w:sz w:val="24"/>
          <w:highlight w:val="none"/>
        </w:rPr>
        <w:t>中</w:t>
      </w:r>
      <w:r>
        <w:rPr>
          <w:rFonts w:hint="eastAsia" w:ascii="宋体"/>
          <w:color w:val="auto"/>
          <w:sz w:val="24"/>
          <w:highlight w:val="none"/>
          <w:lang w:val="zh-CN"/>
        </w:rPr>
        <w:t>小企业声明函》（</w:t>
      </w:r>
      <w:r>
        <w:rPr>
          <w:rFonts w:hint="eastAsia" w:ascii="宋体"/>
          <w:color w:val="auto"/>
          <w:sz w:val="24"/>
          <w:highlight w:val="none"/>
        </w:rPr>
        <w:t>见附件</w:t>
      </w:r>
      <w:r>
        <w:rPr>
          <w:rFonts w:hint="eastAsia" w:ascii="宋体"/>
          <w:color w:val="auto"/>
          <w:sz w:val="24"/>
          <w:highlight w:val="none"/>
          <w:lang w:val="en-US" w:eastAsia="zh-CN"/>
        </w:rPr>
        <w:t>6</w:t>
      </w:r>
      <w:r>
        <w:rPr>
          <w:rFonts w:hint="eastAsia" w:ascii="宋体"/>
          <w:color w:val="auto"/>
          <w:sz w:val="24"/>
          <w:highlight w:val="none"/>
          <w:lang w:val="zh-CN"/>
        </w:rPr>
        <w:t>），</w:t>
      </w:r>
      <w:r>
        <w:rPr>
          <w:rFonts w:hint="eastAsia" w:asciiTheme="minorEastAsia" w:hAnsiTheme="minorEastAsia" w:eastAsiaTheme="minorEastAsia"/>
          <w:color w:val="auto"/>
          <w:sz w:val="24"/>
          <w:highlight w:val="none"/>
          <w:lang w:eastAsia="zh-CN"/>
        </w:rPr>
        <w:t>供应商</w:t>
      </w:r>
      <w:r>
        <w:rPr>
          <w:rFonts w:hint="eastAsia" w:ascii="宋体"/>
          <w:color w:val="auto"/>
          <w:sz w:val="24"/>
          <w:highlight w:val="none"/>
        </w:rPr>
        <w:t>未提供以上资料或者经</w:t>
      </w:r>
      <w:r>
        <w:rPr>
          <w:rFonts w:hint="eastAsia" w:ascii="宋体"/>
          <w:color w:val="auto"/>
          <w:sz w:val="24"/>
          <w:highlight w:val="none"/>
          <w:lang w:val="zh-CN"/>
        </w:rPr>
        <w:t>评标委员会核查不符的</w:t>
      </w:r>
      <w:r>
        <w:rPr>
          <w:rFonts w:hint="eastAsia" w:ascii="宋体"/>
          <w:color w:val="auto"/>
          <w:sz w:val="24"/>
          <w:highlight w:val="none"/>
        </w:rPr>
        <w:t>，将不能享受</w:t>
      </w:r>
      <w:r>
        <w:rPr>
          <w:rFonts w:hint="eastAsia"/>
          <w:color w:val="auto"/>
          <w:sz w:val="24"/>
          <w:highlight w:val="none"/>
        </w:rPr>
        <w:t>相应的</w:t>
      </w:r>
      <w:r>
        <w:rPr>
          <w:rFonts w:hint="eastAsia" w:ascii="宋体"/>
          <w:color w:val="auto"/>
          <w:sz w:val="24"/>
          <w:highlight w:val="none"/>
        </w:rPr>
        <w:t>小微企业优惠政策。</w:t>
      </w:r>
    </w:p>
    <w:p w14:paraId="4A48E3E5">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rPr>
        <w:t>2.</w:t>
      </w:r>
      <w:r>
        <w:rPr>
          <w:rFonts w:hint="eastAsia" w:ascii="宋体"/>
          <w:color w:val="auto"/>
          <w:sz w:val="24"/>
          <w:highlight w:val="none"/>
          <w:lang w:val="zh-CN"/>
        </w:rPr>
        <w:t>监狱企业参加政府采购活动时，应当提供由省级以上监狱管理局、戒毒管理局（含新疆生产建设兵团）出具的属于监狱企业的证明文件，视同小型、微型企业，享受小微企业政府采购优惠政策。</w:t>
      </w:r>
    </w:p>
    <w:p w14:paraId="30425D68">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rPr>
        <w:t>3.</w:t>
      </w:r>
      <w:r>
        <w:rPr>
          <w:rFonts w:hint="eastAsia" w:ascii="宋体"/>
          <w:color w:val="auto"/>
          <w:sz w:val="24"/>
          <w:highlight w:val="none"/>
          <w:lang w:val="zh-CN"/>
        </w:rPr>
        <w:t>残疾人福利性单位在参加政府采购活动时，应提供《残疾人福利性单位声明函》（见附件</w:t>
      </w:r>
      <w:r>
        <w:rPr>
          <w:rFonts w:hint="eastAsia" w:ascii="宋体"/>
          <w:color w:val="auto"/>
          <w:sz w:val="24"/>
          <w:highlight w:val="none"/>
          <w:lang w:val="en-US" w:eastAsia="zh-CN"/>
        </w:rPr>
        <w:t>6</w:t>
      </w:r>
      <w:r>
        <w:rPr>
          <w:rFonts w:hint="eastAsia" w:ascii="宋体"/>
          <w:color w:val="auto"/>
          <w:sz w:val="24"/>
          <w:highlight w:val="none"/>
          <w:lang w:val="zh-CN"/>
        </w:rPr>
        <w:t>），视同小型、微型企业，享受小微企业政府采购优惠政策。</w:t>
      </w:r>
    </w:p>
    <w:p w14:paraId="77FCCE49">
      <w:pPr>
        <w:autoSpaceDE w:val="0"/>
        <w:autoSpaceDN w:val="0"/>
        <w:adjustRightInd w:val="0"/>
        <w:spacing w:line="360" w:lineRule="auto"/>
        <w:ind w:firstLine="482" w:firstLineChars="200"/>
        <w:rPr>
          <w:b/>
          <w:bCs/>
          <w:color w:val="auto"/>
          <w:highlight w:val="none"/>
          <w:lang w:val="zh-CN"/>
        </w:rPr>
      </w:pPr>
      <w:r>
        <w:rPr>
          <w:rFonts w:hint="eastAsia" w:ascii="宋体"/>
          <w:b/>
          <w:bCs/>
          <w:color w:val="auto"/>
          <w:sz w:val="24"/>
          <w:highlight w:val="none"/>
        </w:rPr>
        <w:t>（二）政府采购政策优惠措施：</w:t>
      </w:r>
    </w:p>
    <w:p w14:paraId="34029188">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经主管预算单位统筹后未预留份额专门面向中小企业采购的采购项目，以及预留份额项目中的非预留部分：</w:t>
      </w:r>
      <w:r>
        <w:rPr>
          <w:rFonts w:hint="eastAsia" w:ascii="宋体"/>
          <w:color w:val="auto"/>
          <w:sz w:val="24"/>
          <w:highlight w:val="none"/>
        </w:rPr>
        <w:t>对</w:t>
      </w:r>
      <w:r>
        <w:rPr>
          <w:rFonts w:hint="eastAsia" w:ascii="宋体"/>
          <w:color w:val="auto"/>
          <w:sz w:val="24"/>
          <w:highlight w:val="none"/>
          <w:lang w:val="zh-CN"/>
        </w:rPr>
        <w:t>小微企业</w:t>
      </w:r>
      <w:r>
        <w:rPr>
          <w:rFonts w:hint="eastAsia" w:ascii="宋体"/>
          <w:color w:val="auto"/>
          <w:sz w:val="24"/>
          <w:highlight w:val="none"/>
        </w:rPr>
        <w:t>报价</w:t>
      </w:r>
      <w:r>
        <w:rPr>
          <w:rFonts w:hint="eastAsia" w:ascii="宋体"/>
          <w:color w:val="auto"/>
          <w:sz w:val="24"/>
          <w:highlight w:val="none"/>
          <w:lang w:val="zh-CN"/>
        </w:rPr>
        <w:t>给予10%的扣除，用扣除后的价格计算评标基准价和投标报价。联合体各方均为小微企业的，联合体视同为小微企业，</w:t>
      </w:r>
      <w:r>
        <w:rPr>
          <w:rFonts w:hint="eastAsia" w:ascii="宋体"/>
          <w:color w:val="auto"/>
          <w:sz w:val="24"/>
          <w:highlight w:val="none"/>
        </w:rPr>
        <w:t>对报价</w:t>
      </w:r>
      <w:r>
        <w:rPr>
          <w:rFonts w:hint="eastAsia" w:ascii="宋体"/>
          <w:color w:val="auto"/>
          <w:sz w:val="24"/>
          <w:highlight w:val="none"/>
          <w:lang w:val="zh-CN"/>
        </w:rPr>
        <w:t>给予10%的扣除；联合协议或者分包意向协议约定小微企业的合同份额占到合同总金额30%以上的，</w:t>
      </w:r>
      <w:r>
        <w:rPr>
          <w:rFonts w:hint="eastAsia" w:ascii="宋体"/>
          <w:color w:val="auto"/>
          <w:sz w:val="24"/>
          <w:highlight w:val="none"/>
        </w:rPr>
        <w:t>对报价</w:t>
      </w:r>
      <w:r>
        <w:rPr>
          <w:rFonts w:hint="eastAsia" w:ascii="宋体"/>
          <w:color w:val="auto"/>
          <w:sz w:val="24"/>
          <w:highlight w:val="none"/>
          <w:lang w:val="zh-CN"/>
        </w:rPr>
        <w:t>给予</w:t>
      </w:r>
      <w:r>
        <w:rPr>
          <w:rFonts w:hint="eastAsia" w:ascii="宋体"/>
          <w:color w:val="auto"/>
          <w:sz w:val="24"/>
          <w:highlight w:val="none"/>
        </w:rPr>
        <w:t>3%</w:t>
      </w:r>
      <w:r>
        <w:rPr>
          <w:rFonts w:hint="eastAsia" w:ascii="宋体"/>
          <w:color w:val="auto"/>
          <w:sz w:val="24"/>
          <w:highlight w:val="none"/>
          <w:lang w:val="zh-CN"/>
        </w:rPr>
        <w:t>的价格扣除，用扣除后的价格计算评标基准价和响应报价。同一</w:t>
      </w:r>
      <w:r>
        <w:rPr>
          <w:rFonts w:hint="eastAsia" w:asciiTheme="minorEastAsia" w:hAnsiTheme="minorEastAsia" w:eastAsiaTheme="minorEastAsia"/>
          <w:color w:val="auto"/>
          <w:sz w:val="24"/>
          <w:highlight w:val="none"/>
          <w:lang w:eastAsia="zh-CN"/>
        </w:rPr>
        <w:t>供应商</w:t>
      </w:r>
      <w:r>
        <w:rPr>
          <w:rFonts w:hint="eastAsia" w:ascii="宋体"/>
          <w:color w:val="auto"/>
          <w:sz w:val="24"/>
          <w:highlight w:val="none"/>
          <w:lang w:val="zh-CN"/>
        </w:rPr>
        <w:t>（包括联合体），小微企业、监狱企业、残疾人福利性单位价格扣除优惠只享受一次，不得重复享受。</w:t>
      </w:r>
    </w:p>
    <w:p w14:paraId="6C66AAA0">
      <w:pPr>
        <w:pStyle w:val="12"/>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rPr>
        <w:t>八、</w:t>
      </w:r>
      <w:r>
        <w:rPr>
          <w:rFonts w:asciiTheme="minorEastAsia" w:hAnsiTheme="minorEastAsia" w:eastAsiaTheme="minorEastAsia"/>
          <w:b/>
          <w:bCs/>
          <w:color w:val="auto"/>
          <w:sz w:val="24"/>
          <w:highlight w:val="none"/>
        </w:rPr>
        <w:t>评标程序</w:t>
      </w:r>
    </w:p>
    <w:p w14:paraId="2C4155C1">
      <w:pPr>
        <w:snapToGrid w:val="0"/>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（一）资格</w:t>
      </w:r>
      <w:r>
        <w:rPr>
          <w:rFonts w:asciiTheme="minorEastAsia" w:hAnsiTheme="minorEastAsia" w:eastAsiaTheme="minorEastAsia"/>
          <w:b/>
          <w:bCs/>
          <w:color w:val="auto"/>
          <w:sz w:val="24"/>
          <w:highlight w:val="none"/>
        </w:rPr>
        <w:t>审查</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lang w:val="en-US" w:eastAsia="zh-CN"/>
        </w:rPr>
        <w:t>标项一、标项二</w:t>
      </w:r>
      <w:r>
        <w:rPr>
          <w:rFonts w:hint="eastAsia" w:asciiTheme="minorEastAsia" w:hAnsiTheme="minorEastAsia" w:eastAsiaTheme="minorEastAsia"/>
          <w:b/>
          <w:color w:val="auto"/>
          <w:sz w:val="24"/>
          <w:highlight w:val="none"/>
          <w:lang w:eastAsia="zh-CN"/>
        </w:rPr>
        <w:t>）</w:t>
      </w:r>
    </w:p>
    <w:p w14:paraId="5964806F">
      <w:pPr>
        <w:pStyle w:val="10"/>
        <w:spacing w:line="360" w:lineRule="auto"/>
        <w:ind w:firstLine="480" w:firstLineChars="200"/>
        <w:jc w:val="both"/>
        <w:rPr>
          <w:rFonts w:asciiTheme="minorEastAsia" w:hAnsiTheme="minorEastAsia" w:eastAsiaTheme="minorEastAsia"/>
          <w:color w:val="auto"/>
          <w:sz w:val="24"/>
          <w:highlight w:val="none"/>
        </w:rPr>
      </w:pPr>
      <w:r>
        <w:rPr>
          <w:rFonts w:hint="eastAsia" w:ascii="宋体" w:hAnsi="宋体" w:cs="宋体"/>
          <w:color w:val="auto"/>
          <w:sz w:val="24"/>
          <w:highlight w:val="none"/>
        </w:rPr>
        <w:t>投标文件解密后</w:t>
      </w:r>
      <w:r>
        <w:rPr>
          <w:rFonts w:asciiTheme="minorEastAsia" w:hAnsiTheme="minorEastAsia" w:eastAsiaTheme="minorEastAsia"/>
          <w:color w:val="auto"/>
          <w:sz w:val="24"/>
          <w:highlight w:val="none"/>
        </w:rPr>
        <w:t>，采购人或采购组织机构依法对</w:t>
      </w:r>
      <w:r>
        <w:rPr>
          <w:rFonts w:hint="eastAsia" w:asciiTheme="minorEastAsia" w:hAnsiTheme="minorEastAsia" w:eastAsiaTheme="minorEastAsia"/>
          <w:color w:val="auto"/>
          <w:sz w:val="24"/>
          <w:highlight w:val="none"/>
          <w:lang w:eastAsia="zh-CN"/>
        </w:rPr>
        <w:t>供应商</w:t>
      </w:r>
      <w:r>
        <w:rPr>
          <w:rFonts w:asciiTheme="minorEastAsia" w:hAnsiTheme="minorEastAsia" w:eastAsiaTheme="minorEastAsia"/>
          <w:color w:val="auto"/>
          <w:sz w:val="24"/>
          <w:highlight w:val="none"/>
        </w:rPr>
        <w:t>的资格进行审查，对审查发现无效的进行必要的</w:t>
      </w:r>
      <w:r>
        <w:rPr>
          <w:rFonts w:hint="eastAsia" w:ascii="宋体" w:hAnsi="宋体" w:cs="宋体"/>
          <w:color w:val="auto"/>
          <w:sz w:val="24"/>
          <w:highlight w:val="none"/>
        </w:rPr>
        <w:t>询问</w:t>
      </w:r>
      <w:r>
        <w:rPr>
          <w:rFonts w:asciiTheme="minorEastAsia" w:hAnsiTheme="minorEastAsia" w:eastAsiaTheme="minorEastAsia"/>
          <w:color w:val="auto"/>
          <w:sz w:val="24"/>
          <w:highlight w:val="none"/>
        </w:rPr>
        <w:t>，</w:t>
      </w:r>
      <w:r>
        <w:rPr>
          <w:rFonts w:hint="eastAsia"/>
          <w:color w:val="auto"/>
          <w:sz w:val="24"/>
          <w:highlight w:val="none"/>
        </w:rPr>
        <w:t>在政采云平台公布</w:t>
      </w:r>
      <w:r>
        <w:rPr>
          <w:rFonts w:asciiTheme="minorEastAsia" w:hAnsiTheme="minorEastAsia" w:eastAsiaTheme="minorEastAsia"/>
          <w:color w:val="auto"/>
          <w:sz w:val="24"/>
          <w:highlight w:val="none"/>
        </w:rPr>
        <w:t>无效投标的</w:t>
      </w:r>
      <w:r>
        <w:rPr>
          <w:rFonts w:hint="eastAsia" w:asciiTheme="minorEastAsia" w:hAnsiTheme="minorEastAsia" w:eastAsiaTheme="minorEastAsia"/>
          <w:color w:val="auto"/>
          <w:sz w:val="24"/>
          <w:highlight w:val="none"/>
          <w:lang w:eastAsia="zh-CN"/>
        </w:rPr>
        <w:t>供应商</w:t>
      </w:r>
      <w:r>
        <w:rPr>
          <w:rFonts w:asciiTheme="minorEastAsia" w:hAnsiTheme="minorEastAsia" w:eastAsiaTheme="minorEastAsia"/>
          <w:color w:val="auto"/>
          <w:sz w:val="24"/>
          <w:highlight w:val="none"/>
        </w:rPr>
        <w:t>名单、投标无效的原因。</w:t>
      </w:r>
    </w:p>
    <w:tbl>
      <w:tblPr>
        <w:tblStyle w:val="21"/>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14:paraId="3D40A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6D6476C7">
            <w:pPr>
              <w:pStyle w:val="46"/>
              <w:spacing w:before="1" w:line="300" w:lineRule="auto"/>
              <w:ind w:right="3" w:hanging="10"/>
              <w:jc w:val="center"/>
              <w:rPr>
                <w:color w:val="auto"/>
                <w:szCs w:val="21"/>
                <w:highlight w:val="none"/>
              </w:rPr>
            </w:pPr>
            <w:r>
              <w:rPr>
                <w:rFonts w:hint="eastAsia"/>
                <w:color w:val="auto"/>
                <w:szCs w:val="21"/>
                <w:highlight w:val="none"/>
              </w:rPr>
              <w:t>具有独立承担民事责任的能力</w:t>
            </w:r>
          </w:p>
        </w:tc>
        <w:tc>
          <w:tcPr>
            <w:tcW w:w="7092" w:type="dxa"/>
            <w:tcMar>
              <w:top w:w="57" w:type="dxa"/>
              <w:left w:w="108" w:type="dxa"/>
              <w:bottom w:w="0" w:type="dxa"/>
              <w:right w:w="108" w:type="dxa"/>
            </w:tcMar>
            <w:vAlign w:val="center"/>
          </w:tcPr>
          <w:p w14:paraId="14158CB3">
            <w:pPr>
              <w:pStyle w:val="46"/>
              <w:spacing w:line="300" w:lineRule="auto"/>
              <w:ind w:left="15" w:leftChars="7" w:right="-17" w:rightChars="-8" w:firstLine="403" w:firstLineChars="192"/>
              <w:rPr>
                <w:color w:val="auto"/>
                <w:szCs w:val="21"/>
                <w:highlight w:val="none"/>
              </w:rPr>
            </w:pPr>
            <w:r>
              <w:rPr>
                <w:rFonts w:hint="eastAsia"/>
                <w:color w:val="auto"/>
                <w:szCs w:val="21"/>
                <w:highlight w:val="none"/>
              </w:rPr>
              <w:t>在中华人民共和国境内注册的法人或其他组织或自然人，投标时提交有效的营业执照（或事业法人登记证或身份证等相关证明）扫描件（以联合体形式投标时，联合体各方均须满足该条款）。</w:t>
            </w:r>
          </w:p>
        </w:tc>
      </w:tr>
      <w:tr w14:paraId="0E65E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14:paraId="3C1C3065">
            <w:pPr>
              <w:pStyle w:val="46"/>
              <w:spacing w:before="1" w:line="300" w:lineRule="auto"/>
              <w:ind w:right="3" w:hanging="10"/>
              <w:jc w:val="center"/>
              <w:rPr>
                <w:color w:val="auto"/>
                <w:szCs w:val="21"/>
                <w:highlight w:val="none"/>
              </w:rPr>
            </w:pPr>
            <w:r>
              <w:rPr>
                <w:rFonts w:hint="eastAsia"/>
                <w:color w:val="auto"/>
                <w:szCs w:val="21"/>
                <w:highlight w:val="none"/>
              </w:rPr>
              <w:t>有依法缴纳税收和社会保障资金的良好记录</w:t>
            </w:r>
          </w:p>
        </w:tc>
        <w:tc>
          <w:tcPr>
            <w:tcW w:w="7092" w:type="dxa"/>
            <w:shd w:val="clear" w:color="auto" w:fill="F6F6F6"/>
            <w:tcMar>
              <w:top w:w="57" w:type="dxa"/>
              <w:left w:w="108" w:type="dxa"/>
              <w:bottom w:w="0" w:type="dxa"/>
              <w:right w:w="108" w:type="dxa"/>
            </w:tcMar>
            <w:vAlign w:val="center"/>
          </w:tcPr>
          <w:p w14:paraId="742D23F7">
            <w:pPr>
              <w:pStyle w:val="46"/>
              <w:spacing w:line="300" w:lineRule="auto"/>
              <w:ind w:left="15" w:leftChars="7" w:right="-17" w:rightChars="-8" w:firstLine="403" w:firstLineChars="192"/>
              <w:rPr>
                <w:color w:val="auto"/>
                <w:szCs w:val="21"/>
                <w:highlight w:val="none"/>
              </w:rPr>
            </w:pPr>
            <w:r>
              <w:rPr>
                <w:rFonts w:hint="eastAsia"/>
                <w:color w:val="auto"/>
                <w:szCs w:val="21"/>
                <w:highlight w:val="none"/>
              </w:rPr>
              <w:t>提供具有依法缴纳税收</w:t>
            </w:r>
            <w:r>
              <w:rPr>
                <w:rFonts w:hint="eastAsia" w:ascii="宋体" w:hAnsi="宋体" w:eastAsia="宋体" w:cs="宋体"/>
                <w:color w:val="auto"/>
                <w:szCs w:val="21"/>
                <w:highlight w:val="none"/>
              </w:rPr>
              <w:t>和社会保障资金证明的承诺函。（以联合</w:t>
            </w:r>
            <w:r>
              <w:rPr>
                <w:rFonts w:hint="eastAsia"/>
                <w:color w:val="auto"/>
                <w:szCs w:val="21"/>
                <w:highlight w:val="none"/>
              </w:rPr>
              <w:t>体形式投标时，联合体各方均须满足该条款）</w:t>
            </w:r>
          </w:p>
        </w:tc>
      </w:tr>
      <w:tr w14:paraId="453F4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01B80FD7">
            <w:pPr>
              <w:pStyle w:val="46"/>
              <w:spacing w:before="1" w:line="300" w:lineRule="auto"/>
              <w:ind w:right="3" w:hanging="10"/>
              <w:jc w:val="center"/>
              <w:rPr>
                <w:color w:val="auto"/>
                <w:szCs w:val="21"/>
                <w:highlight w:val="none"/>
              </w:rPr>
            </w:pPr>
            <w:r>
              <w:rPr>
                <w:rFonts w:hint="eastAsia"/>
                <w:color w:val="auto"/>
                <w:szCs w:val="21"/>
                <w:highlight w:val="none"/>
              </w:rPr>
              <w:t>具有良好的商业信誉和健全的财务会计制度</w:t>
            </w:r>
          </w:p>
        </w:tc>
        <w:tc>
          <w:tcPr>
            <w:tcW w:w="7092" w:type="dxa"/>
            <w:tcMar>
              <w:top w:w="57" w:type="dxa"/>
              <w:left w:w="108" w:type="dxa"/>
              <w:bottom w:w="0" w:type="dxa"/>
              <w:right w:w="108" w:type="dxa"/>
            </w:tcMar>
            <w:vAlign w:val="center"/>
          </w:tcPr>
          <w:p w14:paraId="6517A82E">
            <w:pPr>
              <w:pStyle w:val="46"/>
              <w:spacing w:before="117" w:line="300" w:lineRule="auto"/>
              <w:ind w:left="15" w:leftChars="7" w:right="-17" w:rightChars="-8" w:firstLine="403" w:firstLineChars="192"/>
              <w:rPr>
                <w:color w:val="auto"/>
                <w:szCs w:val="21"/>
                <w:highlight w:val="none"/>
              </w:rPr>
            </w:pPr>
            <w:r>
              <w:rPr>
                <w:rFonts w:hint="eastAsia"/>
                <w:color w:val="auto"/>
                <w:szCs w:val="21"/>
                <w:highlight w:val="none"/>
              </w:rPr>
              <w:t>提供具有良好的商业信誉和健全的财务会计制度的承诺函。（以联合体形式投标时，联合体各方均须满足该条款）</w:t>
            </w:r>
          </w:p>
        </w:tc>
      </w:tr>
      <w:tr w14:paraId="5F70C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14:paraId="0490FE03">
            <w:pPr>
              <w:pStyle w:val="46"/>
              <w:spacing w:before="1" w:line="300" w:lineRule="auto"/>
              <w:ind w:right="3" w:hanging="10"/>
              <w:jc w:val="center"/>
              <w:rPr>
                <w:color w:val="auto"/>
                <w:szCs w:val="21"/>
                <w:highlight w:val="none"/>
              </w:rPr>
            </w:pPr>
            <w:r>
              <w:rPr>
                <w:rFonts w:hint="eastAsia"/>
                <w:color w:val="auto"/>
                <w:szCs w:val="21"/>
                <w:highlight w:val="none"/>
              </w:rPr>
              <w:t>履行合同所必需的设备和专业技术能力</w:t>
            </w:r>
          </w:p>
        </w:tc>
        <w:tc>
          <w:tcPr>
            <w:tcW w:w="7092" w:type="dxa"/>
            <w:shd w:val="clear" w:color="auto" w:fill="F6F6F6"/>
            <w:tcMar>
              <w:top w:w="57" w:type="dxa"/>
              <w:left w:w="108" w:type="dxa"/>
              <w:bottom w:w="0" w:type="dxa"/>
              <w:right w:w="108" w:type="dxa"/>
            </w:tcMar>
            <w:vAlign w:val="center"/>
          </w:tcPr>
          <w:p w14:paraId="0A3D737D">
            <w:pPr>
              <w:pStyle w:val="46"/>
              <w:spacing w:before="1" w:line="300" w:lineRule="auto"/>
              <w:ind w:left="15" w:leftChars="7" w:right="-17" w:rightChars="-8" w:firstLine="403" w:firstLineChars="192"/>
              <w:rPr>
                <w:color w:val="auto"/>
                <w:szCs w:val="21"/>
                <w:highlight w:val="none"/>
              </w:rPr>
            </w:pPr>
            <w:r>
              <w:rPr>
                <w:rFonts w:hint="eastAsia"/>
                <w:color w:val="auto"/>
                <w:szCs w:val="21"/>
                <w:highlight w:val="none"/>
              </w:rPr>
              <w:t>提供具有履行合同所必须的设备和专业技术能力的承诺函。（以联合体形式投标时，联合体各方均须满足该条款）</w:t>
            </w:r>
          </w:p>
        </w:tc>
      </w:tr>
      <w:tr w14:paraId="33432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4F96E947">
            <w:pPr>
              <w:pStyle w:val="46"/>
              <w:spacing w:line="300" w:lineRule="auto"/>
              <w:ind w:right="3" w:hanging="10"/>
              <w:jc w:val="center"/>
              <w:rPr>
                <w:color w:val="auto"/>
                <w:szCs w:val="21"/>
                <w:highlight w:val="none"/>
              </w:rPr>
            </w:pPr>
            <w:r>
              <w:rPr>
                <w:rFonts w:hint="eastAsia"/>
                <w:color w:val="auto"/>
                <w:szCs w:val="21"/>
                <w:highlight w:val="none"/>
              </w:rPr>
              <w:t>参加采购活动前3年内，在经营活动中没有重大违法记录</w:t>
            </w:r>
          </w:p>
        </w:tc>
        <w:tc>
          <w:tcPr>
            <w:tcW w:w="7092" w:type="dxa"/>
            <w:tcMar>
              <w:top w:w="57" w:type="dxa"/>
              <w:left w:w="108" w:type="dxa"/>
              <w:bottom w:w="0" w:type="dxa"/>
              <w:right w:w="108" w:type="dxa"/>
            </w:tcMar>
            <w:vAlign w:val="center"/>
          </w:tcPr>
          <w:p w14:paraId="7F256497">
            <w:pPr>
              <w:pStyle w:val="46"/>
              <w:spacing w:before="48" w:line="300" w:lineRule="auto"/>
              <w:ind w:left="15" w:leftChars="7" w:right="-17" w:rightChars="-8" w:firstLine="403" w:firstLineChars="192"/>
              <w:rPr>
                <w:color w:val="auto"/>
                <w:szCs w:val="21"/>
                <w:highlight w:val="none"/>
              </w:rPr>
            </w:pPr>
            <w:r>
              <w:rPr>
                <w:rFonts w:hint="eastAsia"/>
                <w:color w:val="auto"/>
                <w:szCs w:val="21"/>
                <w:highlight w:val="none"/>
              </w:rPr>
              <w:t>参照投标声明书相关承诺内容。重大违法记录，是指</w:t>
            </w:r>
            <w:r>
              <w:rPr>
                <w:rFonts w:hint="eastAsia"/>
                <w:color w:val="auto"/>
                <w:szCs w:val="21"/>
                <w:highlight w:val="none"/>
                <w:lang w:eastAsia="zh-CN"/>
              </w:rPr>
              <w:t>供应商</w:t>
            </w:r>
            <w:r>
              <w:rPr>
                <w:rFonts w:hint="eastAsia"/>
                <w:color w:val="auto"/>
                <w:szCs w:val="21"/>
                <w:highlight w:val="none"/>
              </w:rPr>
              <w:t>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以联合体形式投标时，联合体各方均须满足该条款。</w:t>
            </w:r>
          </w:p>
        </w:tc>
      </w:tr>
      <w:tr w14:paraId="57CEA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14:paraId="60FC9B13">
            <w:pPr>
              <w:pStyle w:val="46"/>
              <w:spacing w:line="300" w:lineRule="auto"/>
              <w:ind w:right="3" w:hanging="10"/>
              <w:jc w:val="center"/>
              <w:rPr>
                <w:color w:val="auto"/>
                <w:szCs w:val="21"/>
                <w:highlight w:val="none"/>
              </w:rPr>
            </w:pPr>
            <w:r>
              <w:rPr>
                <w:rFonts w:hint="eastAsia"/>
                <w:color w:val="auto"/>
                <w:szCs w:val="21"/>
                <w:highlight w:val="none"/>
              </w:rPr>
              <w:t>信用记录</w:t>
            </w:r>
          </w:p>
        </w:tc>
        <w:tc>
          <w:tcPr>
            <w:tcW w:w="7092" w:type="dxa"/>
            <w:shd w:val="clear" w:color="auto" w:fill="F6F6F6"/>
            <w:tcMar>
              <w:top w:w="57" w:type="dxa"/>
              <w:left w:w="108" w:type="dxa"/>
              <w:bottom w:w="0" w:type="dxa"/>
              <w:right w:w="108" w:type="dxa"/>
            </w:tcMar>
            <w:vAlign w:val="center"/>
          </w:tcPr>
          <w:p w14:paraId="21BFE870">
            <w:pPr>
              <w:spacing w:line="300" w:lineRule="auto"/>
              <w:ind w:left="15" w:leftChars="7" w:right="-17" w:rightChars="-8" w:firstLine="403" w:firstLineChars="192"/>
              <w:rPr>
                <w:rFonts w:ascii="宋体" w:hAnsi="宋体" w:cs="宋体"/>
                <w:color w:val="auto"/>
                <w:szCs w:val="21"/>
                <w:highlight w:val="none"/>
              </w:rPr>
            </w:pPr>
            <w:r>
              <w:rPr>
                <w:rFonts w:hint="eastAsia" w:ascii="宋体" w:hAnsi="宋体" w:cs="宋体"/>
                <w:color w:val="auto"/>
                <w:highlight w:val="none"/>
              </w:rPr>
              <w:t>1.截止时点：开标后评标前。</w:t>
            </w:r>
          </w:p>
          <w:p w14:paraId="40F65D6A">
            <w:pPr>
              <w:spacing w:line="300" w:lineRule="auto"/>
              <w:ind w:left="15" w:leftChars="7" w:right="-17" w:rightChars="-8" w:firstLine="403" w:firstLineChars="192"/>
              <w:rPr>
                <w:rFonts w:hint="eastAsia" w:ascii="宋体" w:hAnsi="宋体" w:eastAsia="宋体" w:cs="宋体"/>
                <w:color w:val="auto"/>
                <w:highlight w:val="none"/>
                <w:lang w:eastAsia="zh-CN"/>
              </w:rPr>
            </w:pPr>
            <w:r>
              <w:rPr>
                <w:rFonts w:hint="eastAsia" w:ascii="宋体" w:hAnsi="宋体" w:cs="宋体"/>
                <w:color w:val="auto"/>
                <w:highlight w:val="none"/>
              </w:rPr>
              <w:t>2.信用信息查询记录和证据留存的具体方式：由采购组织机构在规定查询时间内打印信用信息查询记录并归入项目档案。</w:t>
            </w:r>
          </w:p>
          <w:p w14:paraId="145B436E">
            <w:pPr>
              <w:spacing w:line="300" w:lineRule="auto"/>
              <w:ind w:left="15" w:leftChars="7" w:right="-17" w:rightChars="-8" w:firstLine="403" w:firstLineChars="192"/>
              <w:rPr>
                <w:rFonts w:ascii="宋体" w:hAnsi="宋体" w:cs="宋体"/>
                <w:color w:val="auto"/>
                <w:szCs w:val="21"/>
                <w:highlight w:val="none"/>
              </w:rPr>
            </w:pPr>
            <w:r>
              <w:rPr>
                <w:rFonts w:hint="eastAsia" w:ascii="宋体" w:hAnsi="宋体" w:cs="宋体"/>
                <w:color w:val="auto"/>
                <w:highlight w:val="none"/>
              </w:rPr>
              <w:t xml:space="preserve">    3.使用规则：</w:t>
            </w:r>
            <w:r>
              <w:rPr>
                <w:rFonts w:hint="eastAsia" w:ascii="宋体" w:hAnsi="宋体" w:cs="宋体"/>
                <w:color w:val="auto"/>
                <w:highlight w:val="none"/>
                <w:lang w:eastAsia="zh-CN"/>
              </w:rPr>
              <w:t>供应商</w:t>
            </w:r>
            <w:r>
              <w:rPr>
                <w:rFonts w:hint="eastAsia" w:ascii="宋体" w:hAnsi="宋体" w:cs="宋体"/>
                <w:color w:val="auto"/>
                <w:highlight w:val="none"/>
              </w:rPr>
              <w:t>未被列入“信用中国”失信被执行人或重大税收违法案件当事人名单；未处于“中国政府采购网”政府采购严重违法失信行为信息记录中的禁止参加政府采购活动期间（以联合体形式投标时，联合体各方均须满足该条款）。</w:t>
            </w:r>
          </w:p>
        </w:tc>
      </w:tr>
      <w:tr w14:paraId="05482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1C957761">
            <w:pPr>
              <w:pStyle w:val="46"/>
              <w:spacing w:line="300" w:lineRule="auto"/>
              <w:ind w:right="3" w:hanging="10"/>
              <w:jc w:val="center"/>
              <w:rPr>
                <w:color w:val="auto"/>
                <w:szCs w:val="21"/>
                <w:highlight w:val="none"/>
              </w:rPr>
            </w:pPr>
            <w:r>
              <w:rPr>
                <w:rFonts w:hint="eastAsia"/>
                <w:color w:val="auto"/>
                <w:szCs w:val="21"/>
                <w:highlight w:val="none"/>
              </w:rPr>
              <w:t>必须符合法律、行政法规规定的其他条件</w:t>
            </w:r>
          </w:p>
        </w:tc>
        <w:tc>
          <w:tcPr>
            <w:tcW w:w="7092" w:type="dxa"/>
            <w:tcMar>
              <w:top w:w="57" w:type="dxa"/>
              <w:left w:w="108" w:type="dxa"/>
              <w:bottom w:w="0" w:type="dxa"/>
              <w:right w:w="108" w:type="dxa"/>
            </w:tcMar>
            <w:vAlign w:val="center"/>
          </w:tcPr>
          <w:p w14:paraId="2B73A57C">
            <w:pPr>
              <w:pStyle w:val="46"/>
              <w:spacing w:before="48" w:line="300" w:lineRule="auto"/>
              <w:ind w:left="15" w:leftChars="7" w:right="-17" w:rightChars="-8" w:firstLine="403" w:firstLineChars="192"/>
              <w:rPr>
                <w:color w:val="auto"/>
                <w:szCs w:val="21"/>
                <w:highlight w:val="none"/>
              </w:rPr>
            </w:pPr>
            <w:r>
              <w:rPr>
                <w:rFonts w:hint="eastAsia"/>
                <w:color w:val="auto"/>
                <w:szCs w:val="21"/>
                <w:highlight w:val="none"/>
              </w:rPr>
              <w:t>1.单位负责人为同一人或者存在直接控股、管理关系的不同供应商，不得同时参加本项目投标。</w:t>
            </w:r>
          </w:p>
          <w:p w14:paraId="15EC658F">
            <w:pPr>
              <w:pStyle w:val="46"/>
              <w:spacing w:before="48" w:line="300" w:lineRule="auto"/>
              <w:ind w:left="15" w:leftChars="7" w:right="-17" w:rightChars="-8" w:firstLine="403" w:firstLineChars="192"/>
              <w:rPr>
                <w:color w:val="auto"/>
                <w:szCs w:val="21"/>
                <w:highlight w:val="none"/>
              </w:rPr>
            </w:pPr>
            <w:r>
              <w:rPr>
                <w:rFonts w:hint="eastAsia"/>
                <w:color w:val="auto"/>
                <w:szCs w:val="21"/>
                <w:highlight w:val="none"/>
              </w:rPr>
              <w:t>2.为本项目提供整体设计、规范编制或者项目管理、监理、检测等服务的供应商，不得再参与本项目投标。</w:t>
            </w:r>
          </w:p>
          <w:p w14:paraId="3BAAEC0A">
            <w:pPr>
              <w:pStyle w:val="46"/>
              <w:spacing w:before="48" w:line="300" w:lineRule="auto"/>
              <w:ind w:left="15" w:leftChars="7" w:right="-17" w:rightChars="-8" w:firstLine="403" w:firstLineChars="192"/>
              <w:rPr>
                <w:rFonts w:hint="eastAsia"/>
                <w:color w:val="auto"/>
                <w:szCs w:val="21"/>
                <w:highlight w:val="none"/>
              </w:rPr>
            </w:pPr>
            <w:r>
              <w:rPr>
                <w:rFonts w:hint="eastAsia"/>
                <w:color w:val="auto"/>
                <w:szCs w:val="21"/>
                <w:highlight w:val="none"/>
              </w:rPr>
              <w:t>3.投标（报价）文件相关承诺要求内容</w:t>
            </w:r>
          </w:p>
          <w:p w14:paraId="1EAB8D93">
            <w:pPr>
              <w:pStyle w:val="46"/>
              <w:spacing w:before="48" w:line="300" w:lineRule="auto"/>
              <w:ind w:left="15" w:leftChars="7" w:right="-17" w:rightChars="-8" w:firstLine="403" w:firstLineChars="192"/>
              <w:rPr>
                <w:color w:val="auto"/>
                <w:szCs w:val="21"/>
                <w:highlight w:val="none"/>
              </w:rPr>
            </w:pPr>
            <w:r>
              <w:rPr>
                <w:rFonts w:hint="eastAsia"/>
                <w:color w:val="auto"/>
                <w:szCs w:val="21"/>
                <w:highlight w:val="none"/>
              </w:rPr>
              <w:t>（以联合体形式投标时，联合体各方均须满足该条款）。</w:t>
            </w:r>
          </w:p>
        </w:tc>
      </w:tr>
      <w:tr w14:paraId="7F893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14:paraId="5D5C47BB">
            <w:pPr>
              <w:pStyle w:val="46"/>
              <w:spacing w:before="48" w:line="300" w:lineRule="auto"/>
              <w:ind w:right="3" w:hanging="10"/>
              <w:jc w:val="center"/>
              <w:rPr>
                <w:color w:val="auto"/>
                <w:szCs w:val="21"/>
                <w:highlight w:val="none"/>
              </w:rPr>
            </w:pPr>
            <w:r>
              <w:rPr>
                <w:rFonts w:hint="eastAsia"/>
                <w:color w:val="auto"/>
                <w:szCs w:val="21"/>
                <w:highlight w:val="none"/>
              </w:rPr>
              <w:t>联合体投标</w:t>
            </w:r>
          </w:p>
        </w:tc>
        <w:tc>
          <w:tcPr>
            <w:tcW w:w="7092" w:type="dxa"/>
            <w:shd w:val="clear" w:color="auto" w:fill="F6F6F6"/>
            <w:tcMar>
              <w:top w:w="57" w:type="dxa"/>
              <w:left w:w="108" w:type="dxa"/>
              <w:bottom w:w="0" w:type="dxa"/>
              <w:right w:w="108" w:type="dxa"/>
            </w:tcMar>
            <w:vAlign w:val="center"/>
          </w:tcPr>
          <w:p w14:paraId="5E1CDA8F">
            <w:pPr>
              <w:pStyle w:val="46"/>
              <w:spacing w:before="48" w:line="300" w:lineRule="auto"/>
              <w:ind w:left="15" w:leftChars="7" w:right="-17" w:rightChars="-8" w:firstLine="403" w:firstLineChars="192"/>
              <w:rPr>
                <w:color w:val="auto"/>
                <w:szCs w:val="21"/>
                <w:highlight w:val="none"/>
              </w:rPr>
            </w:pPr>
            <w:r>
              <w:rPr>
                <w:rFonts w:hint="eastAsia"/>
                <w:color w:val="auto"/>
                <w:szCs w:val="21"/>
                <w:highlight w:val="none"/>
              </w:rPr>
              <w:t>本项目接受联合体投标。</w:t>
            </w:r>
          </w:p>
        </w:tc>
      </w:tr>
      <w:tr w14:paraId="43389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666A6773">
            <w:pPr>
              <w:pStyle w:val="46"/>
              <w:spacing w:line="300" w:lineRule="auto"/>
              <w:ind w:right="3" w:hanging="10"/>
              <w:jc w:val="center"/>
              <w:rPr>
                <w:color w:val="auto"/>
                <w:szCs w:val="21"/>
                <w:highlight w:val="none"/>
              </w:rPr>
            </w:pPr>
            <w:r>
              <w:rPr>
                <w:rFonts w:hint="eastAsia"/>
                <w:color w:val="auto"/>
                <w:szCs w:val="21"/>
                <w:highlight w:val="none"/>
              </w:rPr>
              <w:t>资质</w:t>
            </w:r>
          </w:p>
        </w:tc>
        <w:tc>
          <w:tcPr>
            <w:tcW w:w="7092" w:type="dxa"/>
            <w:tcMar>
              <w:top w:w="57" w:type="dxa"/>
              <w:left w:w="108" w:type="dxa"/>
              <w:bottom w:w="0" w:type="dxa"/>
              <w:right w:w="108" w:type="dxa"/>
            </w:tcMar>
            <w:vAlign w:val="center"/>
          </w:tcPr>
          <w:p w14:paraId="6E710FC0">
            <w:pPr>
              <w:pStyle w:val="46"/>
              <w:spacing w:before="48" w:line="300" w:lineRule="auto"/>
              <w:ind w:left="15" w:leftChars="7" w:right="-17" w:rightChars="-8" w:firstLine="403" w:firstLineChars="192"/>
              <w:rPr>
                <w:rFonts w:hint="eastAsia" w:eastAsia="宋体"/>
                <w:color w:val="auto"/>
                <w:szCs w:val="21"/>
                <w:highlight w:val="none"/>
                <w:lang w:eastAsia="zh-CN"/>
              </w:rPr>
            </w:pPr>
            <w:r>
              <w:rPr>
                <w:rFonts w:hint="eastAsia"/>
                <w:color w:val="auto"/>
                <w:szCs w:val="21"/>
                <w:highlight w:val="none"/>
                <w:lang w:val="en-US" w:eastAsia="zh-CN"/>
              </w:rPr>
              <w:t>标项一特定资格要求：具有城乡规划编制乙级及以上资质或土地规划编制乙级及以上资质；</w:t>
            </w:r>
            <w:r>
              <w:rPr>
                <w:rFonts w:hint="eastAsia" w:eastAsia="宋体"/>
                <w:color w:val="auto"/>
                <w:szCs w:val="21"/>
                <w:highlight w:val="none"/>
                <w:lang w:val="en-US" w:eastAsia="zh-CN"/>
              </w:rPr>
              <w:t>标项二特定资格要求：具有测绘乙级及以上资质（专业类别：地理信息系统工程方面）</w:t>
            </w:r>
          </w:p>
        </w:tc>
      </w:tr>
      <w:tr w14:paraId="760AC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14:paraId="31DD048B">
            <w:pPr>
              <w:pStyle w:val="46"/>
              <w:spacing w:line="300" w:lineRule="auto"/>
              <w:ind w:right="3" w:hanging="10"/>
              <w:jc w:val="center"/>
              <w:rPr>
                <w:color w:val="auto"/>
                <w:szCs w:val="21"/>
                <w:highlight w:val="none"/>
              </w:rPr>
            </w:pPr>
            <w:r>
              <w:rPr>
                <w:rFonts w:hint="eastAsia"/>
                <w:color w:val="auto"/>
                <w:szCs w:val="21"/>
                <w:highlight w:val="none"/>
              </w:rPr>
              <w:t>落实政府采购政策需满足的资格要求</w:t>
            </w:r>
          </w:p>
        </w:tc>
        <w:tc>
          <w:tcPr>
            <w:tcW w:w="7092" w:type="dxa"/>
            <w:shd w:val="clear" w:color="auto" w:fill="F6F6F6"/>
            <w:tcMar>
              <w:top w:w="57" w:type="dxa"/>
              <w:left w:w="108" w:type="dxa"/>
              <w:bottom w:w="0" w:type="dxa"/>
              <w:right w:w="108" w:type="dxa"/>
            </w:tcMar>
            <w:vAlign w:val="center"/>
          </w:tcPr>
          <w:p w14:paraId="2D5F0D8E">
            <w:pPr>
              <w:pStyle w:val="10"/>
              <w:spacing w:line="300" w:lineRule="auto"/>
              <w:ind w:left="15" w:leftChars="7" w:right="-17" w:rightChars="-8" w:firstLine="403" w:firstLineChars="192"/>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本项目专门面向中小企业采购项目（</w:t>
            </w:r>
            <w:r>
              <w:rPr>
                <w:rFonts w:hint="eastAsia" w:ascii="宋体" w:hAnsi="宋体" w:eastAsia="宋体" w:cs="宋体"/>
                <w:color w:val="auto"/>
                <w:szCs w:val="21"/>
                <w:highlight w:val="none"/>
                <w:lang w:val="en-US" w:eastAsia="zh-CN"/>
              </w:rPr>
              <w:t>标项一、标项二</w:t>
            </w:r>
            <w:r>
              <w:rPr>
                <w:rFonts w:hint="eastAsia" w:ascii="宋体" w:hAnsi="宋体" w:eastAsia="宋体" w:cs="宋体"/>
                <w:color w:val="auto"/>
                <w:szCs w:val="21"/>
                <w:highlight w:val="none"/>
                <w:lang w:eastAsia="zh-CN"/>
              </w:rPr>
              <w:t>）</w:t>
            </w:r>
          </w:p>
        </w:tc>
      </w:tr>
    </w:tbl>
    <w:p w14:paraId="277E53C6">
      <w:pPr>
        <w:pStyle w:val="10"/>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（二）</w:t>
      </w:r>
      <w:r>
        <w:rPr>
          <w:rFonts w:asciiTheme="minorEastAsia" w:hAnsiTheme="minorEastAsia" w:eastAsiaTheme="minorEastAsia"/>
          <w:b/>
          <w:bCs/>
          <w:color w:val="auto"/>
          <w:sz w:val="24"/>
          <w:highlight w:val="none"/>
        </w:rPr>
        <w:t>符合性审查</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lang w:val="en-US" w:eastAsia="zh-CN"/>
        </w:rPr>
        <w:t>标项一、标项二</w:t>
      </w:r>
      <w:r>
        <w:rPr>
          <w:rFonts w:hint="eastAsia" w:asciiTheme="minorEastAsia" w:hAnsiTheme="minorEastAsia" w:eastAsiaTheme="minorEastAsia"/>
          <w:b/>
          <w:color w:val="auto"/>
          <w:sz w:val="24"/>
          <w:highlight w:val="none"/>
          <w:lang w:eastAsia="zh-CN"/>
        </w:rPr>
        <w:t>）</w:t>
      </w:r>
    </w:p>
    <w:p w14:paraId="70CF4834">
      <w:pPr>
        <w:pStyle w:val="1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评标委员会应当对符合资格的</w:t>
      </w:r>
      <w:r>
        <w:rPr>
          <w:rFonts w:hint="eastAsia" w:asciiTheme="minorEastAsia" w:hAnsiTheme="minorEastAsia" w:eastAsiaTheme="minorEastAsia"/>
          <w:color w:val="auto"/>
          <w:sz w:val="24"/>
          <w:highlight w:val="none"/>
          <w:lang w:eastAsia="zh-CN"/>
        </w:rPr>
        <w:t>供应商</w:t>
      </w:r>
      <w:r>
        <w:rPr>
          <w:rFonts w:asciiTheme="minorEastAsia" w:hAnsiTheme="minorEastAsia" w:eastAsiaTheme="minorEastAsia"/>
          <w:color w:val="auto"/>
          <w:sz w:val="24"/>
          <w:highlight w:val="none"/>
        </w:rPr>
        <w:t>的投标文件进行符合性审查，以确定其是否满足招标文件的实质性要求，对审查发现无效的进行必要的</w:t>
      </w:r>
      <w:r>
        <w:rPr>
          <w:rFonts w:hint="eastAsia" w:asciiTheme="minorEastAsia" w:hAnsiTheme="minorEastAsia" w:eastAsiaTheme="minorEastAsia"/>
          <w:color w:val="auto"/>
          <w:sz w:val="24"/>
          <w:highlight w:val="none"/>
        </w:rPr>
        <w:t>询问</w:t>
      </w:r>
      <w:r>
        <w:rPr>
          <w:rFonts w:asciiTheme="minorEastAsia" w:hAnsiTheme="minorEastAsia" w:eastAsiaTheme="minorEastAsia"/>
          <w:color w:val="auto"/>
          <w:sz w:val="24"/>
          <w:highlight w:val="none"/>
        </w:rPr>
        <w:t>，</w:t>
      </w:r>
      <w:r>
        <w:rPr>
          <w:rFonts w:hint="eastAsia" w:ascii="宋体" w:hAnsi="宋体" w:cs="宋体"/>
          <w:color w:val="auto"/>
          <w:sz w:val="24"/>
          <w:highlight w:val="none"/>
        </w:rPr>
        <w:t>在政采云平台公布无效投标的</w:t>
      </w:r>
      <w:r>
        <w:rPr>
          <w:rFonts w:hint="eastAsia" w:asciiTheme="minorEastAsia" w:hAnsiTheme="minorEastAsia" w:eastAsiaTheme="minorEastAsia"/>
          <w:color w:val="auto"/>
          <w:sz w:val="24"/>
          <w:highlight w:val="none"/>
          <w:lang w:eastAsia="zh-CN"/>
        </w:rPr>
        <w:t>供应商</w:t>
      </w:r>
      <w:r>
        <w:rPr>
          <w:rFonts w:hint="eastAsia" w:ascii="宋体" w:hAnsi="宋体" w:cs="宋体"/>
          <w:color w:val="auto"/>
          <w:sz w:val="24"/>
          <w:highlight w:val="none"/>
        </w:rPr>
        <w:t>名单、投标无效的原因</w:t>
      </w:r>
      <w:r>
        <w:rPr>
          <w:rFonts w:hint="eastAsia" w:asciiTheme="minorEastAsia" w:hAnsiTheme="minorEastAsia" w:eastAsiaTheme="minorEastAsia"/>
          <w:color w:val="auto"/>
          <w:sz w:val="24"/>
          <w:highlight w:val="none"/>
        </w:rPr>
        <w:t>。</w:t>
      </w:r>
    </w:p>
    <w:tbl>
      <w:tblPr>
        <w:tblStyle w:val="21"/>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5F1F2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01EF22AE">
            <w:pPr>
              <w:pStyle w:val="46"/>
              <w:spacing w:line="300" w:lineRule="auto"/>
              <w:ind w:right="3" w:hanging="10"/>
              <w:jc w:val="center"/>
              <w:rPr>
                <w:color w:val="auto"/>
                <w:szCs w:val="21"/>
                <w:highlight w:val="none"/>
              </w:rPr>
            </w:pPr>
            <w:r>
              <w:rPr>
                <w:rFonts w:hint="eastAsia"/>
                <w:color w:val="auto"/>
                <w:szCs w:val="21"/>
                <w:highlight w:val="none"/>
              </w:rPr>
              <w:t>投标文件</w:t>
            </w:r>
          </w:p>
        </w:tc>
        <w:tc>
          <w:tcPr>
            <w:tcW w:w="7183" w:type="dxa"/>
            <w:tcMar>
              <w:top w:w="57" w:type="dxa"/>
              <w:left w:w="108" w:type="dxa"/>
              <w:bottom w:w="0" w:type="dxa"/>
              <w:right w:w="108" w:type="dxa"/>
            </w:tcMar>
            <w:vAlign w:val="center"/>
          </w:tcPr>
          <w:p w14:paraId="5BEB4720">
            <w:pPr>
              <w:pStyle w:val="10"/>
              <w:spacing w:line="300" w:lineRule="auto"/>
              <w:ind w:left="15" w:leftChars="7" w:right="-17" w:rightChars="-8" w:firstLine="403" w:firstLineChars="192"/>
              <w:jc w:val="both"/>
              <w:rPr>
                <w:color w:val="auto"/>
                <w:highlight w:val="none"/>
              </w:rPr>
            </w:pPr>
            <w:r>
              <w:rPr>
                <w:rFonts w:hint="eastAsia"/>
                <w:color w:val="auto"/>
                <w:highlight w:val="none"/>
              </w:rPr>
              <w:t>投标文件完整且编排有序，投标内容基本完整，无重大错漏，并按要求签署、盖章。</w:t>
            </w:r>
          </w:p>
        </w:tc>
      </w:tr>
      <w:tr w14:paraId="2E965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14:paraId="6C64BCF0">
            <w:pPr>
              <w:pStyle w:val="46"/>
              <w:spacing w:line="300" w:lineRule="auto"/>
              <w:ind w:right="3" w:hanging="10"/>
              <w:jc w:val="center"/>
              <w:rPr>
                <w:color w:val="auto"/>
                <w:szCs w:val="21"/>
                <w:highlight w:val="none"/>
              </w:rPr>
            </w:pPr>
            <w:r>
              <w:rPr>
                <w:rFonts w:hint="eastAsia"/>
                <w:color w:val="auto"/>
                <w:szCs w:val="21"/>
                <w:highlight w:val="none"/>
              </w:rPr>
              <w:t>法定代表人/负责人授权委托书</w:t>
            </w:r>
          </w:p>
        </w:tc>
        <w:tc>
          <w:tcPr>
            <w:tcW w:w="7183" w:type="dxa"/>
            <w:shd w:val="clear" w:color="auto" w:fill="F6F6F6"/>
            <w:tcMar>
              <w:top w:w="57" w:type="dxa"/>
              <w:left w:w="108" w:type="dxa"/>
              <w:bottom w:w="0" w:type="dxa"/>
              <w:right w:w="108" w:type="dxa"/>
            </w:tcMar>
            <w:vAlign w:val="center"/>
          </w:tcPr>
          <w:p w14:paraId="1B4146E5">
            <w:pPr>
              <w:pStyle w:val="10"/>
              <w:spacing w:line="300" w:lineRule="auto"/>
              <w:ind w:left="15" w:leftChars="7" w:right="-17" w:rightChars="-8" w:firstLine="403" w:firstLineChars="192"/>
              <w:jc w:val="both"/>
              <w:rPr>
                <w:color w:val="auto"/>
                <w:highlight w:val="none"/>
              </w:rPr>
            </w:pPr>
            <w:r>
              <w:rPr>
                <w:rFonts w:hint="eastAsia"/>
                <w:color w:val="auto"/>
                <w:highlight w:val="none"/>
              </w:rPr>
              <w:t>法定代表人/负责人授权委托书，按对应格式文件签署、盖章。</w:t>
            </w:r>
          </w:p>
        </w:tc>
      </w:tr>
      <w:tr w14:paraId="31C87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34CFACE5">
            <w:pPr>
              <w:pStyle w:val="46"/>
              <w:spacing w:line="300" w:lineRule="auto"/>
              <w:ind w:right="3" w:hanging="10"/>
              <w:jc w:val="center"/>
              <w:rPr>
                <w:color w:val="auto"/>
                <w:szCs w:val="21"/>
                <w:highlight w:val="none"/>
              </w:rPr>
            </w:pPr>
            <w:r>
              <w:rPr>
                <w:rFonts w:hint="eastAsia"/>
                <w:color w:val="auto"/>
                <w:szCs w:val="21"/>
                <w:highlight w:val="none"/>
              </w:rPr>
              <w:t>“▲”实质性条款</w:t>
            </w:r>
          </w:p>
        </w:tc>
        <w:tc>
          <w:tcPr>
            <w:tcW w:w="7183" w:type="dxa"/>
            <w:tcMar>
              <w:top w:w="57" w:type="dxa"/>
              <w:left w:w="108" w:type="dxa"/>
              <w:bottom w:w="0" w:type="dxa"/>
              <w:right w:w="108" w:type="dxa"/>
            </w:tcMar>
            <w:vAlign w:val="center"/>
          </w:tcPr>
          <w:p w14:paraId="60EDAA78">
            <w:pPr>
              <w:pStyle w:val="10"/>
              <w:spacing w:line="300" w:lineRule="auto"/>
              <w:ind w:left="15" w:leftChars="7" w:right="-17" w:rightChars="-8" w:firstLine="403" w:firstLineChars="192"/>
              <w:jc w:val="both"/>
              <w:rPr>
                <w:color w:val="auto"/>
                <w:highlight w:val="none"/>
              </w:rPr>
            </w:pPr>
            <w:r>
              <w:rPr>
                <w:rFonts w:hint="eastAsia"/>
                <w:color w:val="auto"/>
                <w:highlight w:val="none"/>
              </w:rPr>
              <w:t>“▲”实质性条款必须满足招标文件要求。</w:t>
            </w:r>
          </w:p>
        </w:tc>
      </w:tr>
      <w:tr w14:paraId="7196A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14:paraId="45CA9CF7">
            <w:pPr>
              <w:pStyle w:val="46"/>
              <w:spacing w:line="300" w:lineRule="auto"/>
              <w:ind w:right="3" w:hanging="10"/>
              <w:jc w:val="center"/>
              <w:rPr>
                <w:color w:val="auto"/>
                <w:szCs w:val="21"/>
                <w:highlight w:val="none"/>
              </w:rPr>
            </w:pPr>
            <w:r>
              <w:rPr>
                <w:rFonts w:hint="eastAsia"/>
                <w:color w:val="auto"/>
                <w:szCs w:val="21"/>
                <w:highlight w:val="none"/>
              </w:rPr>
              <w:t>串通投标</w:t>
            </w:r>
          </w:p>
        </w:tc>
        <w:tc>
          <w:tcPr>
            <w:tcW w:w="7183" w:type="dxa"/>
            <w:shd w:val="clear" w:color="auto" w:fill="F6F6F6"/>
            <w:tcMar>
              <w:top w:w="57" w:type="dxa"/>
              <w:left w:w="108" w:type="dxa"/>
              <w:bottom w:w="0" w:type="dxa"/>
              <w:right w:w="108" w:type="dxa"/>
            </w:tcMar>
            <w:vAlign w:val="center"/>
          </w:tcPr>
          <w:p w14:paraId="645C2831">
            <w:pPr>
              <w:pStyle w:val="10"/>
              <w:spacing w:line="300" w:lineRule="auto"/>
              <w:ind w:left="15" w:leftChars="7" w:right="-17" w:rightChars="-8" w:firstLine="403" w:firstLineChars="192"/>
              <w:jc w:val="both"/>
              <w:rPr>
                <w:color w:val="auto"/>
                <w:highlight w:val="none"/>
              </w:rPr>
            </w:pPr>
            <w:r>
              <w:rPr>
                <w:rFonts w:hint="eastAsia"/>
                <w:color w:val="auto"/>
                <w:highlight w:val="none"/>
              </w:rPr>
              <w:t>未出现财政部87号令《政府采购货物和服务招标投标管理办法》第三十七条规定的串通投标情形。</w:t>
            </w:r>
          </w:p>
        </w:tc>
      </w:tr>
      <w:tr w14:paraId="2CCCB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7016A45C">
            <w:pPr>
              <w:pStyle w:val="46"/>
              <w:spacing w:line="300" w:lineRule="auto"/>
              <w:ind w:right="3" w:hanging="10"/>
              <w:jc w:val="center"/>
              <w:rPr>
                <w:color w:val="auto"/>
                <w:szCs w:val="21"/>
                <w:highlight w:val="none"/>
              </w:rPr>
            </w:pPr>
            <w:r>
              <w:rPr>
                <w:rFonts w:hint="eastAsia"/>
                <w:color w:val="auto"/>
                <w:szCs w:val="21"/>
                <w:highlight w:val="none"/>
              </w:rPr>
              <w:t>附加条件</w:t>
            </w:r>
          </w:p>
        </w:tc>
        <w:tc>
          <w:tcPr>
            <w:tcW w:w="7183" w:type="dxa"/>
            <w:tcMar>
              <w:top w:w="57" w:type="dxa"/>
              <w:left w:w="108" w:type="dxa"/>
              <w:bottom w:w="0" w:type="dxa"/>
              <w:right w:w="108" w:type="dxa"/>
            </w:tcMar>
            <w:vAlign w:val="center"/>
          </w:tcPr>
          <w:p w14:paraId="40D83481">
            <w:pPr>
              <w:pStyle w:val="10"/>
              <w:spacing w:line="300" w:lineRule="auto"/>
              <w:ind w:left="15" w:leftChars="7" w:right="-17" w:rightChars="-8" w:firstLine="403" w:firstLineChars="192"/>
              <w:jc w:val="both"/>
              <w:rPr>
                <w:color w:val="auto"/>
                <w:highlight w:val="none"/>
              </w:rPr>
            </w:pPr>
            <w:r>
              <w:rPr>
                <w:rFonts w:hint="eastAsia"/>
                <w:color w:val="auto"/>
                <w:highlight w:val="none"/>
              </w:rPr>
              <w:t>投标文件未含有采购人不可接受的附加条件。</w:t>
            </w:r>
          </w:p>
        </w:tc>
      </w:tr>
    </w:tbl>
    <w:p w14:paraId="0E2AF0DF">
      <w:pPr>
        <w:pStyle w:val="19"/>
        <w:spacing w:before="0" w:beforeAutospacing="0" w:after="0" w:afterAutospacing="0" w:line="360" w:lineRule="auto"/>
        <w:ind w:firstLine="482" w:firstLineChars="200"/>
        <w:jc w:val="both"/>
        <w:rPr>
          <w:rFonts w:hint="default" w:asciiTheme="minorEastAsia" w:hAnsiTheme="minorEastAsia" w:eastAsiaTheme="minorEastAsia"/>
          <w:color w:val="auto"/>
          <w:highlight w:val="none"/>
        </w:rPr>
      </w:pPr>
      <w:r>
        <w:rPr>
          <w:rFonts w:asciiTheme="minorEastAsia" w:hAnsiTheme="minorEastAsia" w:eastAsiaTheme="minorEastAsia"/>
          <w:b/>
          <w:bCs/>
          <w:color w:val="auto"/>
          <w:highlight w:val="none"/>
        </w:rPr>
        <w:t>（三）</w:t>
      </w:r>
      <w:r>
        <w:rPr>
          <w:rFonts w:ascii="Arial" w:hAnsi="Arial" w:cs="Arial" w:eastAsiaTheme="minorEastAsia"/>
          <w:b/>
          <w:bCs/>
          <w:color w:val="auto"/>
          <w:highlight w:val="none"/>
        </w:rPr>
        <w:t>商务技术及价格评审</w:t>
      </w:r>
    </w:p>
    <w:p w14:paraId="73F614D8">
      <w:pPr>
        <w:autoSpaceDE w:val="0"/>
        <w:autoSpaceDN w:val="0"/>
        <w:spacing w:line="360" w:lineRule="auto"/>
        <w:ind w:firstLine="480" w:firstLineChars="200"/>
        <w:rPr>
          <w:color w:val="auto"/>
          <w:highlight w:val="none"/>
        </w:rPr>
      </w:pPr>
      <w:r>
        <w:rPr>
          <w:rFonts w:hint="eastAsia" w:asciiTheme="minorEastAsia" w:hAnsiTheme="minorEastAsia" w:eastAsiaTheme="minorEastAsia"/>
          <w:color w:val="auto"/>
          <w:kern w:val="0"/>
          <w:sz w:val="24"/>
          <w:highlight w:val="none"/>
        </w:rPr>
        <w:t>项目评标方法为综合评分法，总计100分，评标按以下标准及要求进行：评标委员会应当按照招标文件中规定的评标方法和标准，对符合性审查合格的投标文件的商务</w:t>
      </w:r>
      <w:r>
        <w:rPr>
          <w:rFonts w:hint="eastAsia" w:asciiTheme="minorEastAsia" w:hAnsiTheme="minorEastAsia" w:eastAsiaTheme="minorEastAsia"/>
          <w:color w:val="auto"/>
          <w:kern w:val="0"/>
          <w:sz w:val="24"/>
          <w:highlight w:val="none"/>
          <w:lang w:val="en-US" w:eastAsia="zh-CN"/>
        </w:rPr>
        <w:t>与技术文件</w:t>
      </w:r>
      <w:r>
        <w:rPr>
          <w:rFonts w:hint="eastAsia" w:asciiTheme="minorEastAsia" w:hAnsiTheme="minorEastAsia" w:eastAsiaTheme="minorEastAsia"/>
          <w:color w:val="auto"/>
          <w:kern w:val="0"/>
          <w:sz w:val="24"/>
          <w:highlight w:val="none"/>
        </w:rPr>
        <w:t>进行综合比较与评价，其中</w:t>
      </w:r>
      <w:r>
        <w:rPr>
          <w:rFonts w:hint="eastAsia" w:asciiTheme="minorEastAsia" w:hAnsiTheme="minorEastAsia" w:eastAsiaTheme="minorEastAsia"/>
          <w:color w:val="auto"/>
          <w:kern w:val="0"/>
          <w:sz w:val="24"/>
          <w:highlight w:val="none"/>
          <w:lang w:val="zh-CN"/>
        </w:rPr>
        <w:t>客观</w:t>
      </w:r>
      <w:r>
        <w:rPr>
          <w:rFonts w:hint="eastAsia" w:asciiTheme="minorEastAsia" w:hAnsiTheme="minorEastAsia" w:eastAsiaTheme="minorEastAsia"/>
          <w:color w:val="auto"/>
          <w:kern w:val="0"/>
          <w:sz w:val="24"/>
          <w:highlight w:val="none"/>
        </w:rPr>
        <w:t>评分项的分值</w:t>
      </w:r>
      <w:r>
        <w:rPr>
          <w:rFonts w:hint="eastAsia" w:asciiTheme="minorEastAsia" w:hAnsiTheme="minorEastAsia" w:eastAsiaTheme="minorEastAsia"/>
          <w:color w:val="auto"/>
          <w:kern w:val="0"/>
          <w:sz w:val="24"/>
          <w:highlight w:val="none"/>
          <w:lang w:val="zh-CN"/>
        </w:rPr>
        <w:t>应当一致，</w:t>
      </w:r>
      <w:r>
        <w:rPr>
          <w:rFonts w:hint="eastAsia" w:asciiTheme="minorEastAsia" w:hAnsiTheme="minorEastAsia" w:eastAsiaTheme="minorEastAsia"/>
          <w:color w:val="auto"/>
          <w:kern w:val="0"/>
          <w:sz w:val="24"/>
          <w:highlight w:val="none"/>
          <w:lang w:val="en-US" w:eastAsia="zh-CN"/>
        </w:rPr>
        <w:t>以评委平均分为最终得分情况。</w:t>
      </w:r>
    </w:p>
    <w:p w14:paraId="73699063">
      <w:pPr>
        <w:numPr>
          <w:ilvl w:val="0"/>
          <w:numId w:val="7"/>
        </w:numPr>
        <w:autoSpaceDE w:val="0"/>
        <w:autoSpaceDN w:val="0"/>
        <w:adjustRightInd w:val="0"/>
        <w:spacing w:line="360" w:lineRule="auto"/>
        <w:ind w:right="85" w:firstLine="482" w:firstLineChars="200"/>
        <w:rPr>
          <w:color w:val="auto"/>
          <w:highlight w:val="none"/>
        </w:rPr>
      </w:pPr>
      <w:r>
        <w:rPr>
          <w:rFonts w:hint="eastAsia" w:ascii="宋体"/>
          <w:b/>
          <w:bCs/>
          <w:color w:val="auto"/>
          <w:sz w:val="24"/>
          <w:highlight w:val="none"/>
        </w:rPr>
        <w:t>评分标准</w:t>
      </w:r>
      <w:r>
        <w:rPr>
          <w:rFonts w:hint="eastAsia" w:ascii="宋体"/>
          <w:b/>
          <w:bCs/>
          <w:color w:val="auto"/>
          <w:sz w:val="24"/>
          <w:highlight w:val="none"/>
          <w:lang w:eastAsia="zh-CN"/>
        </w:rPr>
        <w:t>（</w:t>
      </w:r>
      <w:r>
        <w:rPr>
          <w:rFonts w:hint="eastAsia" w:ascii="宋体"/>
          <w:b/>
          <w:bCs/>
          <w:color w:val="auto"/>
          <w:sz w:val="24"/>
          <w:highlight w:val="none"/>
          <w:lang w:val="en-US" w:eastAsia="zh-CN"/>
        </w:rPr>
        <w:t>适用于</w:t>
      </w:r>
      <w:r>
        <w:rPr>
          <w:rFonts w:hint="eastAsia" w:cs="宋体"/>
          <w:b/>
          <w:bCs/>
          <w:color w:val="auto"/>
          <w:sz w:val="24"/>
          <w:szCs w:val="24"/>
          <w:highlight w:val="none"/>
          <w:lang w:val="en-US" w:eastAsia="zh-CN"/>
        </w:rPr>
        <w:t>标项一</w:t>
      </w:r>
      <w:r>
        <w:rPr>
          <w:rFonts w:hint="eastAsia" w:ascii="宋体"/>
          <w:b/>
          <w:bCs/>
          <w:color w:val="auto"/>
          <w:sz w:val="24"/>
          <w:highlight w:val="none"/>
          <w:lang w:eastAsia="zh-CN"/>
        </w:rPr>
        <w:t>）</w:t>
      </w:r>
    </w:p>
    <w:p w14:paraId="1D08455D">
      <w:pPr>
        <w:bidi w:val="0"/>
        <w:rPr>
          <w:color w:val="auto"/>
          <w:highlight w:val="none"/>
        </w:rPr>
      </w:pPr>
    </w:p>
    <w:tbl>
      <w:tblPr>
        <w:tblStyle w:val="21"/>
        <w:tblW w:w="10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726"/>
        <w:gridCol w:w="7729"/>
      </w:tblGrid>
      <w:tr w14:paraId="7FF12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56" w:type="dxa"/>
            <w:noWrap w:val="0"/>
            <w:vAlign w:val="center"/>
          </w:tcPr>
          <w:p w14:paraId="17B7852A">
            <w:pPr>
              <w:adjustRightInd w:val="0"/>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序号</w:t>
            </w:r>
          </w:p>
        </w:tc>
        <w:tc>
          <w:tcPr>
            <w:tcW w:w="1726" w:type="dxa"/>
            <w:noWrap w:val="0"/>
            <w:vAlign w:val="center"/>
          </w:tcPr>
          <w:p w14:paraId="404C02F5">
            <w:pPr>
              <w:adjustRightInd w:val="0"/>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分值范围</w:t>
            </w:r>
          </w:p>
        </w:tc>
        <w:tc>
          <w:tcPr>
            <w:tcW w:w="7729" w:type="dxa"/>
            <w:noWrap w:val="0"/>
            <w:vAlign w:val="center"/>
          </w:tcPr>
          <w:p w14:paraId="1C864480">
            <w:pPr>
              <w:adjustRightInd w:val="0"/>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评分内容</w:t>
            </w:r>
          </w:p>
        </w:tc>
      </w:tr>
      <w:tr w14:paraId="76CC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756" w:type="dxa"/>
            <w:noWrap w:val="0"/>
            <w:vAlign w:val="center"/>
          </w:tcPr>
          <w:p w14:paraId="39EF62D2">
            <w:pPr>
              <w:adjustRightInd w:val="0"/>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1</w:t>
            </w:r>
          </w:p>
        </w:tc>
        <w:tc>
          <w:tcPr>
            <w:tcW w:w="1726" w:type="dxa"/>
            <w:noWrap w:val="0"/>
            <w:vAlign w:val="center"/>
          </w:tcPr>
          <w:p w14:paraId="0654A696">
            <w:pPr>
              <w:adjustRightInd w:val="0"/>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lang w:val="en-US" w:eastAsia="zh-CN"/>
              </w:rPr>
              <w:t>业绩</w:t>
            </w:r>
            <w:r>
              <w:rPr>
                <w:rFonts w:hint="eastAsia" w:ascii="宋体" w:hAnsi="宋体" w:cs="宋体"/>
                <w:bCs/>
                <w:color w:val="auto"/>
                <w:kern w:val="0"/>
                <w:sz w:val="21"/>
                <w:szCs w:val="21"/>
                <w:highlight w:val="none"/>
              </w:rPr>
              <w:t>（1分）</w:t>
            </w:r>
          </w:p>
        </w:tc>
        <w:tc>
          <w:tcPr>
            <w:tcW w:w="7729" w:type="dxa"/>
            <w:noWrap w:val="0"/>
            <w:vAlign w:val="center"/>
          </w:tcPr>
          <w:p w14:paraId="1360DB0C">
            <w:pPr>
              <w:adjustRightInd w:val="0"/>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供应商</w:t>
            </w:r>
            <w:r>
              <w:rPr>
                <w:rFonts w:hint="eastAsia" w:ascii="宋体" w:hAnsi="宋体" w:cs="宋体"/>
                <w:bCs/>
                <w:color w:val="auto"/>
                <w:sz w:val="21"/>
                <w:szCs w:val="21"/>
                <w:highlight w:val="none"/>
              </w:rPr>
              <w:t>自</w:t>
            </w:r>
            <w:r>
              <w:rPr>
                <w:rFonts w:hint="eastAsia" w:ascii="宋体" w:hAnsi="宋体" w:cs="宋体"/>
                <w:bCs/>
                <w:color w:val="auto"/>
                <w:sz w:val="21"/>
                <w:szCs w:val="21"/>
                <w:highlight w:val="none"/>
                <w:lang w:val="en-US" w:eastAsia="zh-CN"/>
              </w:rPr>
              <w:t>2022</w:t>
            </w:r>
            <w:r>
              <w:rPr>
                <w:rFonts w:hint="eastAsia" w:ascii="宋体" w:hAnsi="宋体" w:cs="宋体"/>
                <w:bCs/>
                <w:color w:val="auto"/>
                <w:sz w:val="21"/>
                <w:szCs w:val="21"/>
                <w:highlight w:val="none"/>
              </w:rPr>
              <w:t>年1月1日起至投标截止时间止</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以合同签订时间为准</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rPr>
              <w:t>，承担过类似项目业绩（</w:t>
            </w:r>
            <w:r>
              <w:rPr>
                <w:rFonts w:hint="eastAsia" w:ascii="宋体" w:hAnsi="宋体" w:cs="宋体"/>
                <w:bCs/>
                <w:color w:val="auto"/>
                <w:sz w:val="21"/>
                <w:szCs w:val="21"/>
                <w:highlight w:val="none"/>
                <w:lang w:eastAsia="zh-CN"/>
              </w:rPr>
              <w:t>低效用地专项规划类</w:t>
            </w:r>
            <w:r>
              <w:rPr>
                <w:rFonts w:hint="eastAsia" w:ascii="宋体" w:hAnsi="宋体" w:cs="宋体"/>
                <w:bCs/>
                <w:color w:val="auto"/>
                <w:sz w:val="21"/>
                <w:szCs w:val="21"/>
                <w:highlight w:val="none"/>
              </w:rPr>
              <w:t>）的每</w:t>
            </w:r>
            <w:r>
              <w:rPr>
                <w:rFonts w:hint="eastAsia" w:ascii="宋体" w:hAnsi="宋体" w:cs="宋体"/>
                <w:bCs/>
                <w:color w:val="auto"/>
                <w:sz w:val="21"/>
                <w:szCs w:val="21"/>
                <w:highlight w:val="none"/>
                <w:lang w:val="en-US" w:eastAsia="zh-CN"/>
              </w:rPr>
              <w:t>个</w:t>
            </w:r>
            <w:r>
              <w:rPr>
                <w:rFonts w:hint="eastAsia" w:ascii="宋体" w:hAnsi="宋体" w:cs="宋体"/>
                <w:bCs/>
                <w:color w:val="auto"/>
                <w:sz w:val="21"/>
                <w:szCs w:val="21"/>
                <w:highlight w:val="none"/>
              </w:rPr>
              <w:t>得0.5分，最高得1分。</w:t>
            </w:r>
          </w:p>
          <w:p w14:paraId="2162996B">
            <w:pPr>
              <w:spacing w:line="360" w:lineRule="auto"/>
              <w:textAlignment w:val="baseline"/>
              <w:rPr>
                <w:rFonts w:hint="eastAsia" w:ascii="宋体" w:hAnsi="宋体" w:cs="宋体"/>
                <w:bCs/>
                <w:color w:val="auto"/>
                <w:sz w:val="21"/>
                <w:szCs w:val="21"/>
                <w:highlight w:val="none"/>
              </w:rPr>
            </w:pPr>
            <w:r>
              <w:rPr>
                <w:rFonts w:hint="eastAsia" w:ascii="宋体" w:hAnsi="宋体" w:cs="宋体"/>
                <w:color w:val="auto"/>
                <w:szCs w:val="21"/>
                <w:highlight w:val="none"/>
              </w:rPr>
              <w:t>联合体投标时，联合体双方均认可</w:t>
            </w:r>
            <w:r>
              <w:rPr>
                <w:rFonts w:hint="eastAsia" w:ascii="宋体" w:hAnsi="宋体" w:cs="宋体"/>
                <w:color w:val="auto"/>
                <w:szCs w:val="21"/>
                <w:highlight w:val="none"/>
                <w:lang w:eastAsia="zh-CN"/>
              </w:rPr>
              <w:t>。</w:t>
            </w:r>
          </w:p>
          <w:p w14:paraId="6429F777">
            <w:pPr>
              <w:adjustRightInd w:val="0"/>
              <w:rPr>
                <w:rFonts w:hint="eastAsia" w:ascii="宋体" w:hAnsi="宋体" w:cs="宋体"/>
                <w:bCs/>
                <w:color w:val="auto"/>
                <w:kern w:val="0"/>
                <w:sz w:val="21"/>
                <w:szCs w:val="21"/>
                <w:highlight w:val="none"/>
              </w:rPr>
            </w:pPr>
            <w:r>
              <w:rPr>
                <w:rFonts w:hint="eastAsia" w:ascii="宋体" w:hAnsi="宋体" w:cs="宋体"/>
                <w:b/>
                <w:color w:val="auto"/>
                <w:sz w:val="21"/>
                <w:szCs w:val="21"/>
                <w:highlight w:val="none"/>
              </w:rPr>
              <w:t>（注：需提供合同扫描件，未按要求提供的不得分。）</w:t>
            </w:r>
          </w:p>
        </w:tc>
      </w:tr>
      <w:tr w14:paraId="1CE49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6" w:type="dxa"/>
            <w:noWrap w:val="0"/>
            <w:vAlign w:val="center"/>
          </w:tcPr>
          <w:p w14:paraId="29BB5954">
            <w:pPr>
              <w:adjustRightInd w:val="0"/>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2</w:t>
            </w:r>
          </w:p>
        </w:tc>
        <w:tc>
          <w:tcPr>
            <w:tcW w:w="1726" w:type="dxa"/>
            <w:noWrap w:val="0"/>
            <w:vAlign w:val="center"/>
          </w:tcPr>
          <w:p w14:paraId="48E44EFD">
            <w:pPr>
              <w:adjustRightInd w:val="0"/>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认证证书（</w:t>
            </w:r>
            <w:r>
              <w:rPr>
                <w:rFonts w:hint="eastAsia" w:ascii="宋体" w:hAnsi="宋体" w:cs="宋体"/>
                <w:bCs/>
                <w:color w:val="auto"/>
                <w:kern w:val="0"/>
                <w:sz w:val="21"/>
                <w:szCs w:val="21"/>
                <w:highlight w:val="none"/>
                <w:lang w:val="en-US" w:eastAsia="zh-CN"/>
              </w:rPr>
              <w:t>4</w:t>
            </w:r>
            <w:r>
              <w:rPr>
                <w:rFonts w:hint="eastAsia" w:ascii="宋体" w:hAnsi="宋体" w:cs="宋体"/>
                <w:bCs/>
                <w:color w:val="auto"/>
                <w:kern w:val="0"/>
                <w:sz w:val="21"/>
                <w:szCs w:val="21"/>
                <w:highlight w:val="none"/>
              </w:rPr>
              <w:t>分）</w:t>
            </w:r>
          </w:p>
        </w:tc>
        <w:tc>
          <w:tcPr>
            <w:tcW w:w="7729" w:type="dxa"/>
            <w:noWrap w:val="0"/>
            <w:vAlign w:val="center"/>
          </w:tcPr>
          <w:p w14:paraId="33E5E222">
            <w:pPr>
              <w:adjustRightInd w:val="0"/>
              <w:rPr>
                <w:rFonts w:hint="default" w:ascii="宋体" w:hAnsi="宋体" w:eastAsia="宋体" w:cs="宋体"/>
                <w:color w:val="auto"/>
                <w:sz w:val="21"/>
                <w:szCs w:val="21"/>
                <w:highlight w:val="none"/>
                <w:lang w:val="en-US" w:eastAsia="zh-CN"/>
              </w:rPr>
            </w:pPr>
            <w:r>
              <w:rPr>
                <w:rFonts w:hint="eastAsia" w:ascii="宋体" w:hAnsi="宋体" w:cs="宋体"/>
                <w:bCs/>
                <w:color w:val="auto"/>
                <w:sz w:val="21"/>
                <w:szCs w:val="21"/>
                <w:highlight w:val="none"/>
                <w:lang w:val="en-US" w:eastAsia="zh-CN"/>
              </w:rPr>
              <w:t>供应商</w:t>
            </w:r>
            <w:r>
              <w:rPr>
                <w:rFonts w:hint="eastAsia" w:ascii="宋体" w:hAnsi="宋体" w:cs="宋体"/>
                <w:color w:val="auto"/>
                <w:sz w:val="21"/>
                <w:szCs w:val="21"/>
                <w:highlight w:val="none"/>
              </w:rPr>
              <w:t>具有质量管理体系认证证书、</w:t>
            </w:r>
            <w:r>
              <w:rPr>
                <w:rFonts w:hint="eastAsia" w:ascii="宋体" w:hAnsi="宋体" w:cs="宋体"/>
                <w:color w:val="auto"/>
                <w:sz w:val="21"/>
                <w:szCs w:val="21"/>
                <w:highlight w:val="none"/>
                <w:lang w:eastAsia="zh-CN"/>
              </w:rPr>
              <w:t>环境管理体系认证证书、</w:t>
            </w:r>
            <w:r>
              <w:rPr>
                <w:rFonts w:hint="eastAsia" w:ascii="宋体" w:hAnsi="宋体" w:cs="宋体"/>
                <w:color w:val="auto"/>
                <w:sz w:val="21"/>
                <w:szCs w:val="21"/>
                <w:highlight w:val="none"/>
              </w:rPr>
              <w:t>信息安全管理体系认证证书、售后服务认证证书的每个得1分，最高得4分。</w:t>
            </w:r>
            <w:r>
              <w:rPr>
                <w:rFonts w:hint="eastAsia" w:ascii="宋体" w:hAnsi="宋体" w:cs="宋体"/>
                <w:color w:val="auto"/>
                <w:sz w:val="21"/>
                <w:szCs w:val="21"/>
                <w:highlight w:val="none"/>
                <w:lang w:val="en-US" w:eastAsia="zh-CN"/>
              </w:rPr>
              <w:t>每类证书最高得1分。</w:t>
            </w:r>
          </w:p>
          <w:p w14:paraId="6A6DDA53">
            <w:pPr>
              <w:spacing w:line="360" w:lineRule="auto"/>
              <w:textAlignment w:val="baseline"/>
              <w:rPr>
                <w:rFonts w:hint="eastAsia"/>
                <w:color w:val="auto"/>
                <w:highlight w:val="none"/>
              </w:rPr>
            </w:pPr>
            <w:r>
              <w:rPr>
                <w:rFonts w:hint="eastAsia" w:ascii="宋体" w:hAnsi="宋体" w:cs="宋体"/>
                <w:color w:val="auto"/>
                <w:szCs w:val="21"/>
                <w:highlight w:val="none"/>
              </w:rPr>
              <w:t>联合体投标时，联合体双方均认可</w:t>
            </w:r>
            <w:r>
              <w:rPr>
                <w:rFonts w:hint="eastAsia" w:ascii="宋体" w:hAnsi="宋体" w:cs="宋体"/>
                <w:color w:val="auto"/>
                <w:szCs w:val="21"/>
                <w:highlight w:val="none"/>
                <w:lang w:eastAsia="zh-CN"/>
              </w:rPr>
              <w:t>。</w:t>
            </w:r>
          </w:p>
          <w:p w14:paraId="611BFB9A">
            <w:pPr>
              <w:adjustRightInd w:val="0"/>
              <w:rPr>
                <w:rFonts w:hint="eastAsia" w:ascii="宋体" w:hAnsi="宋体" w:cs="宋体"/>
                <w:color w:val="auto"/>
                <w:sz w:val="21"/>
                <w:szCs w:val="21"/>
                <w:highlight w:val="none"/>
              </w:rPr>
            </w:pPr>
            <w:r>
              <w:rPr>
                <w:rFonts w:hint="eastAsia" w:ascii="宋体" w:hAnsi="宋体" w:cs="宋体"/>
                <w:b/>
                <w:bCs/>
                <w:color w:val="auto"/>
                <w:sz w:val="21"/>
                <w:szCs w:val="21"/>
                <w:highlight w:val="none"/>
              </w:rPr>
              <w:t>（注：需提供有效期内相关证书扫描件</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rPr>
              <w:t>未按要求提供的不得分。）</w:t>
            </w:r>
          </w:p>
        </w:tc>
      </w:tr>
      <w:tr w14:paraId="48AC3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Merge w:val="restart"/>
            <w:noWrap w:val="0"/>
            <w:vAlign w:val="center"/>
          </w:tcPr>
          <w:p w14:paraId="7ED6D1CF">
            <w:pPr>
              <w:adjustRightInd w:val="0"/>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val="en-US" w:eastAsia="zh-CN"/>
              </w:rPr>
              <w:t>3</w:t>
            </w:r>
          </w:p>
        </w:tc>
        <w:tc>
          <w:tcPr>
            <w:tcW w:w="1726" w:type="dxa"/>
            <w:vMerge w:val="restart"/>
            <w:noWrap w:val="0"/>
            <w:vAlign w:val="center"/>
          </w:tcPr>
          <w:p w14:paraId="2F55DE9F">
            <w:pPr>
              <w:adjustRightInd w:val="0"/>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项目人员配备（</w:t>
            </w:r>
            <w:r>
              <w:rPr>
                <w:rFonts w:hint="eastAsia" w:ascii="宋体" w:hAnsi="宋体" w:cs="宋体"/>
                <w:bCs/>
                <w:color w:val="auto"/>
                <w:kern w:val="0"/>
                <w:sz w:val="21"/>
                <w:szCs w:val="21"/>
                <w:highlight w:val="none"/>
                <w:lang w:val="en-US" w:eastAsia="zh-CN"/>
              </w:rPr>
              <w:t>19</w:t>
            </w:r>
            <w:r>
              <w:rPr>
                <w:rFonts w:hint="eastAsia" w:ascii="宋体" w:hAnsi="宋体" w:cs="宋体"/>
                <w:bCs/>
                <w:color w:val="auto"/>
                <w:kern w:val="0"/>
                <w:sz w:val="21"/>
                <w:szCs w:val="21"/>
                <w:highlight w:val="none"/>
              </w:rPr>
              <w:t>分）</w:t>
            </w:r>
          </w:p>
        </w:tc>
        <w:tc>
          <w:tcPr>
            <w:tcW w:w="7729" w:type="dxa"/>
            <w:noWrap w:val="0"/>
            <w:vAlign w:val="center"/>
          </w:tcPr>
          <w:p w14:paraId="54727084">
            <w:pPr>
              <w:adjustRightInd w:val="0"/>
              <w:snapToGrid w:val="0"/>
              <w:spacing w:line="360" w:lineRule="auto"/>
              <w:jc w:val="left"/>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项目负责人</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rPr>
              <w:t>本项最高得</w:t>
            </w:r>
            <w:r>
              <w:rPr>
                <w:rFonts w:hint="eastAsia" w:ascii="宋体" w:hAnsi="宋体" w:cs="宋体"/>
                <w:b/>
                <w:bCs/>
                <w:color w:val="auto"/>
                <w:sz w:val="21"/>
                <w:szCs w:val="21"/>
                <w:highlight w:val="none"/>
                <w:lang w:val="en-US" w:eastAsia="zh-CN"/>
              </w:rPr>
              <w:t>5</w:t>
            </w:r>
            <w:r>
              <w:rPr>
                <w:rFonts w:hint="eastAsia" w:ascii="宋体" w:hAnsi="宋体" w:cs="宋体"/>
                <w:b/>
                <w:bCs/>
                <w:color w:val="auto"/>
                <w:sz w:val="21"/>
                <w:szCs w:val="21"/>
                <w:highlight w:val="none"/>
              </w:rPr>
              <w:t>分</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rPr>
              <w:t>：</w:t>
            </w:r>
          </w:p>
          <w:p w14:paraId="1990EDF4">
            <w:pPr>
              <w:numPr>
                <w:ilvl w:val="0"/>
                <w:numId w:val="0"/>
              </w:numPr>
              <w:adjustRightInd w:val="0"/>
              <w:snapToGrid w:val="0"/>
              <w:jc w:val="left"/>
              <w:rPr>
                <w:rFonts w:hint="eastAsia" w:ascii="宋体" w:hAnsi="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cs="宋体"/>
                <w:color w:val="auto"/>
                <w:sz w:val="21"/>
                <w:szCs w:val="21"/>
                <w:highlight w:val="none"/>
              </w:rPr>
              <w:t>项目负责人具有</w:t>
            </w:r>
            <w:r>
              <w:rPr>
                <w:rFonts w:hint="eastAsia" w:ascii="宋体" w:hAnsi="宋体" w:cs="宋体"/>
                <w:color w:val="auto"/>
                <w:sz w:val="21"/>
                <w:szCs w:val="21"/>
                <w:highlight w:val="none"/>
                <w:lang w:eastAsia="zh-CN"/>
              </w:rPr>
              <w:t>土地规划或城乡规划</w:t>
            </w:r>
            <w:r>
              <w:rPr>
                <w:rFonts w:hint="eastAsia" w:ascii="宋体" w:hAnsi="宋体" w:cs="宋体"/>
                <w:color w:val="auto"/>
                <w:sz w:val="21"/>
                <w:szCs w:val="21"/>
                <w:highlight w:val="none"/>
              </w:rPr>
              <w:t>正高级工程师的得3分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具有</w:t>
            </w:r>
            <w:r>
              <w:rPr>
                <w:rFonts w:hint="eastAsia" w:ascii="宋体" w:hAnsi="宋体" w:cs="宋体"/>
                <w:color w:val="auto"/>
                <w:sz w:val="21"/>
                <w:szCs w:val="21"/>
                <w:highlight w:val="none"/>
                <w:lang w:eastAsia="zh-CN"/>
              </w:rPr>
              <w:t>土地规划或城乡规划</w:t>
            </w:r>
            <w:r>
              <w:rPr>
                <w:rFonts w:hint="eastAsia" w:ascii="宋体" w:hAnsi="宋体" w:cs="宋体"/>
                <w:color w:val="auto"/>
                <w:sz w:val="21"/>
                <w:szCs w:val="21"/>
                <w:highlight w:val="none"/>
              </w:rPr>
              <w:t>高级工程师的得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eastAsia="zh-CN"/>
              </w:rPr>
              <w:t>；</w:t>
            </w:r>
          </w:p>
          <w:p w14:paraId="0D733CCE">
            <w:pPr>
              <w:numPr>
                <w:ilvl w:val="0"/>
                <w:numId w:val="0"/>
              </w:numPr>
              <w:adjustRightInd w:val="0"/>
              <w:snapToGrid w:val="0"/>
              <w:jc w:val="left"/>
              <w:rPr>
                <w:rFonts w:hint="eastAsia" w:ascii="宋体" w:hAnsi="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sz w:val="21"/>
                <w:szCs w:val="21"/>
                <w:highlight w:val="none"/>
              </w:rPr>
              <w:t>具有</w:t>
            </w:r>
            <w:r>
              <w:rPr>
                <w:rFonts w:hint="eastAsia" w:ascii="宋体" w:hAnsi="宋体" w:cs="宋体"/>
                <w:color w:val="auto"/>
                <w:sz w:val="21"/>
                <w:szCs w:val="21"/>
                <w:highlight w:val="none"/>
                <w:lang w:eastAsia="zh-CN"/>
              </w:rPr>
              <w:t>注册规划师证书</w:t>
            </w:r>
            <w:r>
              <w:rPr>
                <w:rFonts w:hint="eastAsia" w:ascii="宋体" w:hAnsi="宋体" w:cs="宋体"/>
                <w:color w:val="auto"/>
                <w:sz w:val="21"/>
                <w:szCs w:val="21"/>
                <w:highlight w:val="none"/>
                <w:lang w:val="en-US" w:eastAsia="zh-CN"/>
              </w:rPr>
              <w:t>的</w:t>
            </w:r>
            <w:r>
              <w:rPr>
                <w:rFonts w:hint="eastAsia" w:ascii="宋体" w:hAnsi="宋体" w:cs="宋体"/>
                <w:color w:val="auto"/>
                <w:sz w:val="21"/>
                <w:szCs w:val="21"/>
                <w:highlight w:val="none"/>
              </w:rPr>
              <w:t>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eastAsia="zh-CN"/>
              </w:rPr>
              <w:t>。</w:t>
            </w:r>
          </w:p>
          <w:p w14:paraId="31DC07CC">
            <w:pPr>
              <w:bidi w:val="0"/>
              <w:rPr>
                <w:rFonts w:hint="eastAsia"/>
                <w:color w:val="auto"/>
                <w:highlight w:val="none"/>
              </w:rPr>
            </w:pPr>
            <w:r>
              <w:rPr>
                <w:rFonts w:hint="eastAsia"/>
                <w:color w:val="auto"/>
                <w:highlight w:val="none"/>
              </w:rPr>
              <w:t>联合体投标时，项目负责人须由联合体牵头单位派出</w:t>
            </w:r>
            <w:r>
              <w:rPr>
                <w:rFonts w:hint="eastAsia"/>
                <w:color w:val="auto"/>
                <w:highlight w:val="none"/>
                <w:lang w:eastAsia="zh-CN"/>
              </w:rPr>
              <w:t>。</w:t>
            </w:r>
          </w:p>
          <w:p w14:paraId="6CFF4080">
            <w:pPr>
              <w:adjustRightInd w:val="0"/>
              <w:snapToGrid w:val="0"/>
              <w:jc w:val="left"/>
              <w:rPr>
                <w:rFonts w:hint="eastAsia" w:ascii="宋体" w:hAnsi="宋体" w:cs="宋体"/>
                <w:bCs/>
                <w:color w:val="auto"/>
                <w:kern w:val="0"/>
                <w:sz w:val="21"/>
                <w:szCs w:val="21"/>
                <w:highlight w:val="none"/>
              </w:rPr>
            </w:pPr>
            <w:r>
              <w:rPr>
                <w:rFonts w:hint="eastAsia" w:ascii="宋体" w:hAnsi="宋体" w:cs="宋体"/>
                <w:b/>
                <w:bCs/>
                <w:color w:val="auto"/>
                <w:sz w:val="21"/>
                <w:szCs w:val="21"/>
                <w:highlight w:val="none"/>
              </w:rPr>
              <w:t>（注：</w:t>
            </w:r>
            <w:r>
              <w:rPr>
                <w:rFonts w:hint="eastAsia" w:ascii="宋体" w:hAnsi="宋体" w:cs="宋体"/>
                <w:b/>
                <w:bCs/>
                <w:color w:val="auto"/>
                <w:sz w:val="21"/>
                <w:szCs w:val="21"/>
                <w:highlight w:val="none"/>
                <w:lang w:val="en-US" w:eastAsia="zh-CN"/>
              </w:rPr>
              <w:t>须</w:t>
            </w:r>
            <w:r>
              <w:rPr>
                <w:rFonts w:hint="eastAsia" w:ascii="宋体" w:hAnsi="宋体" w:eastAsia="宋体" w:cs="Times New Roman"/>
                <w:b/>
                <w:bCs/>
                <w:color w:val="auto"/>
                <w:sz w:val="21"/>
                <w:szCs w:val="21"/>
                <w:highlight w:val="none"/>
                <w:lang w:val="en-US" w:eastAsia="zh-CN"/>
              </w:rPr>
              <w:t>提供证书原件扫描件以及投标单位为其缴纳的近三个月中其中一个月社保证明</w:t>
            </w:r>
            <w:r>
              <w:rPr>
                <w:rFonts w:ascii="宋体" w:hAnsi="宋体" w:eastAsia="宋体" w:cs="Times New Roman"/>
                <w:b/>
                <w:bCs/>
                <w:color w:val="auto"/>
                <w:sz w:val="21"/>
                <w:szCs w:val="21"/>
                <w:highlight w:val="none"/>
              </w:rPr>
              <w:t>，未提供不得分</w:t>
            </w:r>
            <w:r>
              <w:rPr>
                <w:rFonts w:hint="eastAsia" w:ascii="宋体" w:hAnsi="宋体" w:cs="宋体"/>
                <w:b/>
                <w:bCs/>
                <w:color w:val="auto"/>
                <w:sz w:val="21"/>
                <w:szCs w:val="21"/>
                <w:highlight w:val="none"/>
              </w:rPr>
              <w:t>。）</w:t>
            </w:r>
          </w:p>
        </w:tc>
      </w:tr>
      <w:tr w14:paraId="116A3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56" w:type="dxa"/>
            <w:vMerge w:val="continue"/>
            <w:noWrap w:val="0"/>
            <w:vAlign w:val="center"/>
          </w:tcPr>
          <w:p w14:paraId="2CC49F5F">
            <w:pPr>
              <w:adjustRightInd w:val="0"/>
              <w:snapToGrid w:val="0"/>
              <w:jc w:val="left"/>
              <w:rPr>
                <w:color w:val="auto"/>
                <w:sz w:val="22"/>
                <w:szCs w:val="28"/>
                <w:highlight w:val="none"/>
              </w:rPr>
            </w:pPr>
          </w:p>
        </w:tc>
        <w:tc>
          <w:tcPr>
            <w:tcW w:w="1726" w:type="dxa"/>
            <w:vMerge w:val="continue"/>
            <w:noWrap w:val="0"/>
            <w:vAlign w:val="center"/>
          </w:tcPr>
          <w:p w14:paraId="6D360A9F">
            <w:pPr>
              <w:adjustRightInd w:val="0"/>
              <w:snapToGrid w:val="0"/>
              <w:jc w:val="left"/>
              <w:rPr>
                <w:color w:val="auto"/>
                <w:sz w:val="22"/>
                <w:szCs w:val="28"/>
                <w:highlight w:val="none"/>
              </w:rPr>
            </w:pPr>
          </w:p>
        </w:tc>
        <w:tc>
          <w:tcPr>
            <w:tcW w:w="7729" w:type="dxa"/>
            <w:noWrap w:val="0"/>
            <w:vAlign w:val="center"/>
          </w:tcPr>
          <w:p w14:paraId="36202963">
            <w:pPr>
              <w:numPr>
                <w:ilvl w:val="0"/>
                <w:numId w:val="0"/>
              </w:numPr>
              <w:adjustRightInd w:val="0"/>
              <w:snapToGrid w:val="0"/>
              <w:spacing w:line="360" w:lineRule="auto"/>
              <w:jc w:val="left"/>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项目技术负责人（</w:t>
            </w:r>
            <w:r>
              <w:rPr>
                <w:rFonts w:hint="eastAsia" w:ascii="宋体" w:hAnsi="宋体" w:cs="宋体"/>
                <w:b/>
                <w:bCs/>
                <w:color w:val="auto"/>
                <w:sz w:val="21"/>
                <w:szCs w:val="21"/>
                <w:highlight w:val="none"/>
              </w:rPr>
              <w:t>本项最高得</w:t>
            </w:r>
            <w:r>
              <w:rPr>
                <w:rFonts w:hint="eastAsia" w:ascii="宋体" w:hAnsi="宋体" w:cs="宋体"/>
                <w:b/>
                <w:bCs/>
                <w:color w:val="auto"/>
                <w:sz w:val="21"/>
                <w:szCs w:val="21"/>
                <w:highlight w:val="none"/>
                <w:lang w:val="en-US" w:eastAsia="zh-CN"/>
              </w:rPr>
              <w:t>4</w:t>
            </w:r>
            <w:r>
              <w:rPr>
                <w:rFonts w:hint="eastAsia" w:ascii="宋体" w:hAnsi="宋体" w:cs="宋体"/>
                <w:b/>
                <w:bCs/>
                <w:color w:val="auto"/>
                <w:sz w:val="21"/>
                <w:szCs w:val="21"/>
                <w:highlight w:val="none"/>
              </w:rPr>
              <w:t>分</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rPr>
              <w:t>：</w:t>
            </w:r>
          </w:p>
          <w:p w14:paraId="476E1D38">
            <w:pPr>
              <w:adjustRightInd w:val="0"/>
              <w:rPr>
                <w:rFonts w:hint="eastAsia"/>
                <w:color w:val="auto"/>
                <w:sz w:val="28"/>
                <w:szCs w:val="28"/>
                <w:highlight w:val="none"/>
              </w:rPr>
            </w:pP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eastAsia="zh-CN"/>
              </w:rPr>
              <w:t>）</w:t>
            </w:r>
            <w:r>
              <w:rPr>
                <w:rFonts w:hint="eastAsia" w:ascii="宋体" w:hAnsi="宋体" w:cs="宋体"/>
                <w:color w:val="auto"/>
                <w:sz w:val="21"/>
                <w:szCs w:val="21"/>
                <w:highlight w:val="none"/>
              </w:rPr>
              <w:t>项目技术负责人具有</w:t>
            </w:r>
            <w:r>
              <w:rPr>
                <w:rFonts w:hint="eastAsia" w:ascii="宋体" w:hAnsi="宋体" w:cs="宋体"/>
                <w:color w:val="auto"/>
                <w:sz w:val="21"/>
                <w:szCs w:val="21"/>
                <w:highlight w:val="none"/>
                <w:lang w:eastAsia="zh-CN"/>
              </w:rPr>
              <w:t>土地规划或城乡规划高级及以上工程师证书的</w:t>
            </w:r>
            <w:r>
              <w:rPr>
                <w:rFonts w:hint="eastAsia" w:ascii="宋体" w:hAnsi="宋体" w:cs="宋体"/>
                <w:color w:val="auto"/>
                <w:sz w:val="21"/>
                <w:szCs w:val="21"/>
                <w:highlight w:val="none"/>
              </w:rPr>
              <w:t>得2分</w:t>
            </w:r>
            <w:r>
              <w:rPr>
                <w:rFonts w:hint="eastAsia" w:ascii="宋体" w:hAnsi="宋体" w:cs="宋体"/>
                <w:color w:val="auto"/>
                <w:sz w:val="21"/>
                <w:szCs w:val="21"/>
                <w:highlight w:val="none"/>
                <w:lang w:eastAsia="zh-CN"/>
              </w:rPr>
              <w:t>；</w:t>
            </w:r>
          </w:p>
          <w:p w14:paraId="4A2ABF5B">
            <w:pPr>
              <w:numPr>
                <w:ilvl w:val="0"/>
                <w:numId w:val="0"/>
              </w:numPr>
              <w:adjustRightInd w:val="0"/>
              <w:snapToGrid w:val="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具有</w:t>
            </w:r>
            <w:r>
              <w:rPr>
                <w:rFonts w:hint="eastAsia" w:ascii="宋体" w:hAnsi="宋体" w:cs="宋体"/>
                <w:color w:val="auto"/>
                <w:sz w:val="21"/>
                <w:szCs w:val="21"/>
                <w:highlight w:val="none"/>
                <w:lang w:eastAsia="zh-CN"/>
              </w:rPr>
              <w:t>注册规划师</w:t>
            </w:r>
            <w:r>
              <w:rPr>
                <w:rFonts w:hint="eastAsia" w:ascii="宋体" w:hAnsi="宋体" w:cs="宋体"/>
                <w:color w:val="auto"/>
                <w:sz w:val="21"/>
                <w:szCs w:val="21"/>
                <w:highlight w:val="none"/>
              </w:rPr>
              <w:t>证书的得2分。</w:t>
            </w:r>
          </w:p>
          <w:p w14:paraId="2FE97D3D">
            <w:pPr>
              <w:spacing w:line="360" w:lineRule="auto"/>
              <w:textAlignment w:val="baseline"/>
              <w:rPr>
                <w:rFonts w:hint="eastAsia" w:ascii="宋体" w:hAnsi="宋体" w:cs="宋体"/>
                <w:color w:val="auto"/>
                <w:sz w:val="21"/>
                <w:szCs w:val="21"/>
                <w:highlight w:val="none"/>
              </w:rPr>
            </w:pPr>
            <w:r>
              <w:rPr>
                <w:rFonts w:hint="eastAsia" w:ascii="宋体" w:hAnsi="宋体" w:cs="宋体"/>
                <w:color w:val="auto"/>
                <w:szCs w:val="21"/>
                <w:highlight w:val="none"/>
              </w:rPr>
              <w:t>联合体投标时，联合体</w:t>
            </w:r>
            <w:r>
              <w:rPr>
                <w:rFonts w:hint="eastAsia" w:ascii="宋体" w:hAnsi="宋体" w:cs="宋体"/>
                <w:color w:val="auto"/>
                <w:szCs w:val="21"/>
                <w:highlight w:val="none"/>
                <w:lang w:val="en-US" w:eastAsia="zh-CN"/>
              </w:rPr>
              <w:t>任意一方派出人员均认可</w:t>
            </w:r>
            <w:r>
              <w:rPr>
                <w:rFonts w:hint="eastAsia" w:ascii="宋体" w:hAnsi="宋体" w:cs="宋体"/>
                <w:color w:val="auto"/>
                <w:szCs w:val="21"/>
                <w:highlight w:val="none"/>
                <w:lang w:eastAsia="zh-CN"/>
              </w:rPr>
              <w:t>。</w:t>
            </w:r>
          </w:p>
          <w:p w14:paraId="0AF8C0F7">
            <w:pPr>
              <w:pStyle w:val="4"/>
              <w:numPr>
                <w:ilvl w:val="0"/>
                <w:numId w:val="0"/>
              </w:numPr>
              <w:jc w:val="both"/>
              <w:rPr>
                <w:rFonts w:hint="eastAsia"/>
                <w:color w:val="auto"/>
                <w:highlight w:val="none"/>
              </w:rPr>
            </w:pPr>
            <w:r>
              <w:rPr>
                <w:rFonts w:hint="eastAsia" w:ascii="宋体" w:hAnsi="宋体" w:cs="宋体"/>
                <w:b/>
                <w:bCs/>
                <w:color w:val="auto"/>
                <w:sz w:val="21"/>
                <w:szCs w:val="21"/>
                <w:highlight w:val="none"/>
              </w:rPr>
              <w:t>（注：</w:t>
            </w:r>
            <w:r>
              <w:rPr>
                <w:rFonts w:hint="eastAsia" w:ascii="宋体" w:hAnsi="宋体" w:cs="宋体"/>
                <w:b/>
                <w:bCs/>
                <w:color w:val="auto"/>
                <w:sz w:val="21"/>
                <w:szCs w:val="21"/>
                <w:highlight w:val="none"/>
                <w:lang w:val="en-US" w:eastAsia="zh-CN"/>
              </w:rPr>
              <w:t>须</w:t>
            </w:r>
            <w:r>
              <w:rPr>
                <w:rFonts w:hint="eastAsia" w:ascii="宋体" w:hAnsi="宋体" w:eastAsia="宋体" w:cs="Times New Roman"/>
                <w:b/>
                <w:bCs/>
                <w:color w:val="auto"/>
                <w:sz w:val="21"/>
                <w:szCs w:val="21"/>
                <w:highlight w:val="none"/>
                <w:lang w:val="en-US" w:eastAsia="zh-CN"/>
              </w:rPr>
              <w:t>提供证书原件扫描件以及投标单位为其缴纳的近三个月中其中一个月社保证明</w:t>
            </w:r>
            <w:r>
              <w:rPr>
                <w:rFonts w:ascii="宋体" w:hAnsi="宋体" w:eastAsia="宋体" w:cs="Times New Roman"/>
                <w:b/>
                <w:bCs/>
                <w:color w:val="auto"/>
                <w:sz w:val="21"/>
                <w:szCs w:val="21"/>
                <w:highlight w:val="none"/>
              </w:rPr>
              <w:t>，未提供不得分</w:t>
            </w:r>
            <w:r>
              <w:rPr>
                <w:rFonts w:hint="eastAsia" w:ascii="宋体" w:hAnsi="宋体" w:cs="宋体"/>
                <w:b/>
                <w:bCs/>
                <w:color w:val="auto"/>
                <w:sz w:val="21"/>
                <w:szCs w:val="21"/>
                <w:highlight w:val="none"/>
              </w:rPr>
              <w:t>。）</w:t>
            </w:r>
          </w:p>
        </w:tc>
      </w:tr>
      <w:tr w14:paraId="1A914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756" w:type="dxa"/>
            <w:vMerge w:val="continue"/>
            <w:noWrap w:val="0"/>
            <w:vAlign w:val="center"/>
          </w:tcPr>
          <w:p w14:paraId="41D01BFA">
            <w:pPr>
              <w:adjustRightInd w:val="0"/>
              <w:snapToGrid w:val="0"/>
              <w:jc w:val="left"/>
              <w:rPr>
                <w:color w:val="auto"/>
                <w:sz w:val="22"/>
                <w:szCs w:val="28"/>
                <w:highlight w:val="none"/>
              </w:rPr>
            </w:pPr>
          </w:p>
        </w:tc>
        <w:tc>
          <w:tcPr>
            <w:tcW w:w="1726" w:type="dxa"/>
            <w:vMerge w:val="continue"/>
            <w:noWrap w:val="0"/>
            <w:vAlign w:val="center"/>
          </w:tcPr>
          <w:p w14:paraId="2DE9E7DA">
            <w:pPr>
              <w:adjustRightInd w:val="0"/>
              <w:snapToGrid w:val="0"/>
              <w:jc w:val="left"/>
              <w:rPr>
                <w:color w:val="auto"/>
                <w:sz w:val="22"/>
                <w:szCs w:val="28"/>
                <w:highlight w:val="none"/>
              </w:rPr>
            </w:pPr>
          </w:p>
        </w:tc>
        <w:tc>
          <w:tcPr>
            <w:tcW w:w="7729" w:type="dxa"/>
            <w:noWrap w:val="0"/>
            <w:vAlign w:val="center"/>
          </w:tcPr>
          <w:p w14:paraId="2241B6CA">
            <w:pPr>
              <w:numPr>
                <w:ilvl w:val="0"/>
                <w:numId w:val="0"/>
              </w:numPr>
              <w:adjustRightInd w:val="0"/>
              <w:snapToGrid w:val="0"/>
              <w:spacing w:line="360" w:lineRule="auto"/>
              <w:jc w:val="left"/>
              <w:rPr>
                <w:rFonts w:hint="eastAsia" w:ascii="宋体" w:hAnsi="宋体" w:cs="宋体"/>
                <w:color w:val="auto"/>
                <w:sz w:val="21"/>
                <w:szCs w:val="21"/>
                <w:highlight w:val="none"/>
              </w:rPr>
            </w:pPr>
            <w:r>
              <w:rPr>
                <w:rFonts w:hint="eastAsia" w:ascii="宋体" w:hAnsi="宋体" w:cs="宋体"/>
                <w:b/>
                <w:bCs/>
                <w:color w:val="auto"/>
                <w:sz w:val="21"/>
                <w:szCs w:val="21"/>
                <w:highlight w:val="none"/>
                <w:lang w:eastAsia="zh-CN"/>
              </w:rPr>
              <w:t>项目组成员（</w:t>
            </w:r>
            <w:r>
              <w:rPr>
                <w:rFonts w:hint="eastAsia" w:ascii="宋体" w:hAnsi="宋体" w:cs="宋体"/>
                <w:b/>
                <w:bCs/>
                <w:color w:val="auto"/>
                <w:sz w:val="21"/>
                <w:szCs w:val="21"/>
                <w:highlight w:val="none"/>
                <w:lang w:val="en-US" w:eastAsia="zh-CN"/>
              </w:rPr>
              <w:t>除项目负责人、项目技术负责人外。</w:t>
            </w:r>
            <w:r>
              <w:rPr>
                <w:rFonts w:hint="eastAsia" w:ascii="宋体" w:hAnsi="宋体" w:cs="宋体"/>
                <w:b/>
                <w:bCs/>
                <w:color w:val="auto"/>
                <w:sz w:val="21"/>
                <w:szCs w:val="21"/>
                <w:highlight w:val="none"/>
              </w:rPr>
              <w:t>本项最高得</w:t>
            </w:r>
            <w:r>
              <w:rPr>
                <w:rFonts w:hint="eastAsia" w:ascii="宋体" w:hAnsi="宋体" w:cs="宋体"/>
                <w:b/>
                <w:bCs/>
                <w:color w:val="auto"/>
                <w:sz w:val="21"/>
                <w:szCs w:val="21"/>
                <w:highlight w:val="none"/>
                <w:lang w:val="en-US" w:eastAsia="zh-CN"/>
              </w:rPr>
              <w:t>6</w:t>
            </w:r>
            <w:r>
              <w:rPr>
                <w:rFonts w:hint="eastAsia" w:ascii="宋体" w:hAnsi="宋体" w:cs="宋体"/>
                <w:b/>
                <w:bCs/>
                <w:color w:val="auto"/>
                <w:sz w:val="21"/>
                <w:szCs w:val="21"/>
                <w:highlight w:val="none"/>
              </w:rPr>
              <w:t>分</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rPr>
              <w:t>：</w:t>
            </w:r>
          </w:p>
          <w:p w14:paraId="5A0257AF">
            <w:pPr>
              <w:numPr>
                <w:ilvl w:val="0"/>
                <w:numId w:val="8"/>
              </w:numPr>
              <w:adjustRightInd w:val="0"/>
              <w:snapToGrid w:val="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项目组成员具有土地类（土地调查、土地工程、土地整治与生态修复）</w:t>
            </w:r>
            <w:r>
              <w:rPr>
                <w:rFonts w:hint="eastAsia" w:ascii="宋体" w:hAnsi="宋体" w:cs="宋体"/>
                <w:color w:val="auto"/>
                <w:sz w:val="21"/>
                <w:szCs w:val="21"/>
                <w:highlight w:val="none"/>
                <w:lang w:eastAsia="zh-CN"/>
              </w:rPr>
              <w:t>、规划类</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土地规划、城乡规划</w:t>
            </w:r>
            <w:r>
              <w:rPr>
                <w:rFonts w:hint="eastAsia" w:ascii="宋体" w:hAnsi="宋体" w:cs="宋体"/>
                <w:color w:val="auto"/>
                <w:sz w:val="21"/>
                <w:szCs w:val="21"/>
                <w:highlight w:val="none"/>
              </w:rPr>
              <w:t>）中级工程师及以上职称的，每类专业得1分，最高得</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w:t>
            </w:r>
          </w:p>
          <w:p w14:paraId="69399028">
            <w:pPr>
              <w:numPr>
                <w:ilvl w:val="0"/>
                <w:numId w:val="8"/>
              </w:numPr>
              <w:adjustRightInd w:val="0"/>
              <w:snapToGrid w:val="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具有相关注册类证书的每人</w:t>
            </w:r>
            <w:r>
              <w:rPr>
                <w:rFonts w:hint="eastAsia" w:ascii="宋体" w:hAnsi="宋体" w:cs="宋体"/>
                <w:color w:val="auto"/>
                <w:sz w:val="21"/>
                <w:szCs w:val="21"/>
                <w:highlight w:val="none"/>
                <w:lang w:val="en-US" w:eastAsia="zh-CN"/>
              </w:rPr>
              <w:t>得</w:t>
            </w:r>
            <w:r>
              <w:rPr>
                <w:rFonts w:hint="eastAsia" w:ascii="宋体" w:hAnsi="宋体" w:cs="宋体"/>
                <w:color w:val="auto"/>
                <w:sz w:val="21"/>
                <w:szCs w:val="21"/>
                <w:highlight w:val="none"/>
              </w:rPr>
              <w:t>1分，最高</w:t>
            </w:r>
            <w:r>
              <w:rPr>
                <w:rFonts w:hint="eastAsia" w:ascii="宋体" w:hAnsi="宋体" w:cs="宋体"/>
                <w:color w:val="auto"/>
                <w:sz w:val="21"/>
                <w:szCs w:val="21"/>
                <w:highlight w:val="none"/>
                <w:lang w:val="en-US" w:eastAsia="zh-CN"/>
              </w:rPr>
              <w:t>得</w:t>
            </w:r>
            <w:r>
              <w:rPr>
                <w:rFonts w:hint="eastAsia" w:ascii="宋体" w:hAnsi="宋体" w:cs="宋体"/>
                <w:color w:val="auto"/>
                <w:sz w:val="21"/>
                <w:szCs w:val="21"/>
                <w:highlight w:val="none"/>
              </w:rPr>
              <w:t>2分。</w:t>
            </w:r>
          </w:p>
          <w:p w14:paraId="088BF158">
            <w:pPr>
              <w:spacing w:line="360" w:lineRule="auto"/>
              <w:textAlignment w:val="baseline"/>
              <w:rPr>
                <w:rFonts w:hint="eastAsia" w:ascii="宋体" w:hAnsi="宋体" w:cs="宋体"/>
                <w:color w:val="auto"/>
                <w:sz w:val="21"/>
                <w:szCs w:val="21"/>
                <w:highlight w:val="none"/>
              </w:rPr>
            </w:pPr>
            <w:r>
              <w:rPr>
                <w:rFonts w:hint="eastAsia" w:ascii="宋体" w:hAnsi="宋体" w:cs="宋体"/>
                <w:color w:val="auto"/>
                <w:szCs w:val="21"/>
                <w:highlight w:val="none"/>
              </w:rPr>
              <w:t>联合体投标时，联合体</w:t>
            </w:r>
            <w:r>
              <w:rPr>
                <w:rFonts w:hint="eastAsia" w:ascii="宋体" w:hAnsi="宋体" w:cs="宋体"/>
                <w:color w:val="auto"/>
                <w:szCs w:val="21"/>
                <w:highlight w:val="none"/>
                <w:lang w:val="en-US" w:eastAsia="zh-CN"/>
              </w:rPr>
              <w:t>任意一方派出人员均认可</w:t>
            </w:r>
            <w:r>
              <w:rPr>
                <w:rFonts w:hint="eastAsia" w:ascii="宋体" w:hAnsi="宋体" w:cs="宋体"/>
                <w:color w:val="auto"/>
                <w:szCs w:val="21"/>
                <w:highlight w:val="none"/>
                <w:lang w:eastAsia="zh-CN"/>
              </w:rPr>
              <w:t>。</w:t>
            </w:r>
          </w:p>
          <w:p w14:paraId="0FD5DFA2">
            <w:pPr>
              <w:pStyle w:val="2"/>
              <w:rPr>
                <w:rFonts w:hint="eastAsia"/>
                <w:color w:val="auto"/>
                <w:highlight w:val="none"/>
              </w:rPr>
            </w:pPr>
            <w:r>
              <w:rPr>
                <w:rFonts w:hint="eastAsia" w:ascii="宋体" w:hAnsi="宋体" w:cs="宋体"/>
                <w:b/>
                <w:bCs/>
                <w:color w:val="auto"/>
                <w:sz w:val="21"/>
                <w:szCs w:val="21"/>
                <w:highlight w:val="none"/>
              </w:rPr>
              <w:t>（注：</w:t>
            </w:r>
            <w:r>
              <w:rPr>
                <w:rFonts w:hint="eastAsia" w:ascii="宋体" w:hAnsi="宋体" w:cs="宋体"/>
                <w:b/>
                <w:bCs/>
                <w:color w:val="auto"/>
                <w:sz w:val="21"/>
                <w:szCs w:val="21"/>
                <w:highlight w:val="none"/>
                <w:lang w:val="en-US" w:eastAsia="zh-CN"/>
              </w:rPr>
              <w:t>须提供证书原件扫描件以及投标单位为其缴纳的近三个月中其中一个月社保证明</w:t>
            </w:r>
            <w:r>
              <w:rPr>
                <w:rFonts w:hint="eastAsia" w:ascii="宋体" w:hAnsi="宋体" w:cs="宋体"/>
                <w:b/>
                <w:bCs/>
                <w:color w:val="auto"/>
                <w:sz w:val="21"/>
                <w:szCs w:val="21"/>
                <w:highlight w:val="none"/>
              </w:rPr>
              <w:t>，未提供不得分。）</w:t>
            </w:r>
          </w:p>
        </w:tc>
      </w:tr>
      <w:tr w14:paraId="658EC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56" w:type="dxa"/>
            <w:vMerge w:val="continue"/>
            <w:noWrap w:val="0"/>
            <w:vAlign w:val="center"/>
          </w:tcPr>
          <w:p w14:paraId="34D21919">
            <w:pPr>
              <w:adjustRightInd w:val="0"/>
              <w:snapToGrid w:val="0"/>
              <w:jc w:val="left"/>
              <w:rPr>
                <w:color w:val="auto"/>
                <w:sz w:val="22"/>
                <w:szCs w:val="28"/>
                <w:highlight w:val="none"/>
              </w:rPr>
            </w:pPr>
          </w:p>
        </w:tc>
        <w:tc>
          <w:tcPr>
            <w:tcW w:w="1726" w:type="dxa"/>
            <w:vMerge w:val="continue"/>
            <w:noWrap w:val="0"/>
            <w:vAlign w:val="center"/>
          </w:tcPr>
          <w:p w14:paraId="0E39E847">
            <w:pPr>
              <w:adjustRightInd w:val="0"/>
              <w:snapToGrid w:val="0"/>
              <w:jc w:val="left"/>
              <w:rPr>
                <w:color w:val="auto"/>
                <w:sz w:val="22"/>
                <w:szCs w:val="28"/>
                <w:highlight w:val="none"/>
              </w:rPr>
            </w:pPr>
          </w:p>
        </w:tc>
        <w:tc>
          <w:tcPr>
            <w:tcW w:w="7729" w:type="dxa"/>
            <w:noWrap w:val="0"/>
            <w:vAlign w:val="center"/>
          </w:tcPr>
          <w:p w14:paraId="77260F3D">
            <w:pPr>
              <w:pStyle w:val="64"/>
              <w:spacing w:line="240" w:lineRule="auto"/>
              <w:jc w:val="left"/>
              <w:rPr>
                <w:rFonts w:ascii="仿宋" w:hAnsi="仿宋" w:cs="仿宋"/>
                <w:color w:val="auto"/>
                <w:kern w:val="0"/>
                <w:sz w:val="21"/>
                <w:szCs w:val="21"/>
                <w:highlight w:val="none"/>
              </w:rPr>
            </w:pPr>
            <w:r>
              <w:rPr>
                <w:rFonts w:hint="eastAsia" w:ascii="仿宋" w:hAnsi="仿宋" w:cs="仿宋"/>
                <w:color w:val="auto"/>
                <w:kern w:val="0"/>
                <w:sz w:val="21"/>
                <w:szCs w:val="21"/>
                <w:highlight w:val="none"/>
              </w:rPr>
              <w:t>根据供应商提供的人员</w:t>
            </w:r>
            <w:r>
              <w:rPr>
                <w:rFonts w:hint="eastAsia" w:ascii="仿宋" w:hAnsi="仿宋" w:cs="仿宋"/>
                <w:color w:val="auto"/>
                <w:kern w:val="0"/>
                <w:sz w:val="21"/>
                <w:szCs w:val="21"/>
                <w:highlight w:val="none"/>
                <w:lang w:val="en-US" w:eastAsia="zh-CN"/>
              </w:rPr>
              <w:t>配置，人员</w:t>
            </w:r>
            <w:r>
              <w:rPr>
                <w:rFonts w:hint="eastAsia" w:ascii="仿宋" w:hAnsi="仿宋" w:cs="仿宋"/>
                <w:color w:val="auto"/>
                <w:kern w:val="0"/>
                <w:sz w:val="21"/>
                <w:szCs w:val="21"/>
                <w:highlight w:val="none"/>
              </w:rPr>
              <w:t>设置安排及组织管理内容</w:t>
            </w:r>
            <w:r>
              <w:rPr>
                <w:rFonts w:hint="eastAsia" w:ascii="仿宋" w:hAnsi="仿宋" w:cs="仿宋"/>
                <w:color w:val="auto"/>
                <w:kern w:val="0"/>
                <w:sz w:val="21"/>
                <w:szCs w:val="21"/>
                <w:highlight w:val="none"/>
                <w:lang w:val="en-US" w:eastAsia="zh-CN"/>
              </w:rPr>
              <w:t>方案</w:t>
            </w:r>
            <w:r>
              <w:rPr>
                <w:rFonts w:hint="eastAsia" w:ascii="仿宋" w:hAnsi="仿宋" w:cs="仿宋"/>
                <w:color w:val="auto"/>
                <w:kern w:val="0"/>
                <w:sz w:val="21"/>
                <w:szCs w:val="21"/>
                <w:highlight w:val="none"/>
              </w:rPr>
              <w:t>的</w:t>
            </w:r>
            <w:r>
              <w:rPr>
                <w:rFonts w:hint="eastAsia" w:ascii="仿宋" w:hAnsi="仿宋" w:cs="仿宋"/>
                <w:color w:val="auto"/>
                <w:sz w:val="21"/>
                <w:szCs w:val="21"/>
                <w:highlight w:val="none"/>
              </w:rPr>
              <w:t>可行性、针对性</w:t>
            </w:r>
            <w:r>
              <w:rPr>
                <w:rFonts w:hint="eastAsia" w:ascii="仿宋" w:hAnsi="仿宋" w:cs="仿宋"/>
                <w:color w:val="auto"/>
                <w:kern w:val="0"/>
                <w:sz w:val="21"/>
                <w:szCs w:val="21"/>
                <w:highlight w:val="none"/>
              </w:rPr>
              <w:t>进行综合评分。</w:t>
            </w:r>
          </w:p>
          <w:p w14:paraId="5B615ED5">
            <w:pPr>
              <w:pStyle w:val="64"/>
              <w:spacing w:line="240" w:lineRule="auto"/>
              <w:jc w:val="left"/>
              <w:rPr>
                <w:rFonts w:ascii="仿宋" w:hAnsi="仿宋" w:cs="仿宋"/>
                <w:color w:val="auto"/>
                <w:sz w:val="21"/>
                <w:szCs w:val="21"/>
                <w:highlight w:val="none"/>
              </w:rPr>
            </w:pPr>
            <w:r>
              <w:rPr>
                <w:rFonts w:hint="eastAsia" w:ascii="仿宋" w:hAnsi="仿宋" w:cs="仿宋"/>
                <w:color w:val="auto"/>
                <w:sz w:val="21"/>
                <w:szCs w:val="21"/>
                <w:highlight w:val="none"/>
              </w:rPr>
              <w:t>（1）</w:t>
            </w:r>
            <w:r>
              <w:rPr>
                <w:rFonts w:hint="eastAsia" w:ascii="仿宋" w:hAnsi="仿宋" w:cs="仿宋"/>
                <w:color w:val="auto"/>
                <w:kern w:val="0"/>
                <w:sz w:val="21"/>
                <w:szCs w:val="21"/>
                <w:highlight w:val="none"/>
              </w:rPr>
              <w:t>方案内容完整、详尽细致；</w:t>
            </w:r>
            <w:r>
              <w:rPr>
                <w:rFonts w:hint="eastAsia" w:ascii="仿宋" w:hAnsi="仿宋" w:cs="仿宋"/>
                <w:color w:val="auto"/>
                <w:sz w:val="21"/>
                <w:szCs w:val="21"/>
                <w:highlight w:val="none"/>
              </w:rPr>
              <w:t>可行性、针对性强的，得</w:t>
            </w:r>
            <w:r>
              <w:rPr>
                <w:rFonts w:hint="eastAsia" w:ascii="仿宋" w:hAnsi="仿宋" w:cs="仿宋"/>
                <w:color w:val="auto"/>
                <w:sz w:val="21"/>
                <w:szCs w:val="21"/>
                <w:highlight w:val="none"/>
                <w:lang w:val="en-US" w:eastAsia="zh-CN"/>
              </w:rPr>
              <w:t>4</w:t>
            </w:r>
            <w:r>
              <w:rPr>
                <w:rFonts w:hint="eastAsia" w:ascii="仿宋" w:hAnsi="仿宋" w:cs="仿宋"/>
                <w:color w:val="auto"/>
                <w:sz w:val="21"/>
                <w:szCs w:val="21"/>
                <w:highlight w:val="none"/>
              </w:rPr>
              <w:t>分；</w:t>
            </w:r>
          </w:p>
          <w:p w14:paraId="34725064">
            <w:pPr>
              <w:pStyle w:val="64"/>
              <w:spacing w:line="240" w:lineRule="auto"/>
              <w:jc w:val="left"/>
              <w:rPr>
                <w:rFonts w:ascii="仿宋" w:hAnsi="仿宋" w:cs="仿宋"/>
                <w:color w:val="auto"/>
                <w:sz w:val="21"/>
                <w:szCs w:val="21"/>
                <w:highlight w:val="none"/>
              </w:rPr>
            </w:pPr>
            <w:r>
              <w:rPr>
                <w:rFonts w:hint="eastAsia" w:ascii="仿宋" w:hAnsi="仿宋" w:cs="仿宋"/>
                <w:color w:val="auto"/>
                <w:sz w:val="21"/>
                <w:szCs w:val="21"/>
                <w:highlight w:val="none"/>
              </w:rPr>
              <w:t>（2）</w:t>
            </w:r>
            <w:r>
              <w:rPr>
                <w:rFonts w:hint="eastAsia" w:ascii="仿宋" w:hAnsi="仿宋" w:cs="仿宋"/>
                <w:color w:val="auto"/>
                <w:kern w:val="0"/>
                <w:sz w:val="21"/>
                <w:szCs w:val="21"/>
                <w:highlight w:val="none"/>
              </w:rPr>
              <w:t>方案</w:t>
            </w:r>
            <w:r>
              <w:rPr>
                <w:rFonts w:hint="eastAsia" w:ascii="仿宋" w:hAnsi="仿宋" w:cs="仿宋"/>
                <w:color w:val="auto"/>
                <w:sz w:val="21"/>
                <w:szCs w:val="21"/>
                <w:highlight w:val="none"/>
              </w:rPr>
              <w:t>内容完整；具有可行性和针对性的，得</w:t>
            </w:r>
            <w:r>
              <w:rPr>
                <w:rFonts w:hint="eastAsia" w:ascii="仿宋" w:hAnsi="仿宋" w:cs="仿宋"/>
                <w:color w:val="auto"/>
                <w:sz w:val="21"/>
                <w:szCs w:val="21"/>
                <w:highlight w:val="none"/>
                <w:lang w:val="en-US" w:eastAsia="zh-CN"/>
              </w:rPr>
              <w:t>3</w:t>
            </w:r>
            <w:r>
              <w:rPr>
                <w:rFonts w:hint="eastAsia" w:ascii="仿宋" w:hAnsi="仿宋" w:cs="仿宋"/>
                <w:color w:val="auto"/>
                <w:sz w:val="21"/>
                <w:szCs w:val="21"/>
                <w:highlight w:val="none"/>
              </w:rPr>
              <w:t>分；</w:t>
            </w:r>
          </w:p>
          <w:p w14:paraId="3E9E80D1">
            <w:pPr>
              <w:pStyle w:val="64"/>
              <w:spacing w:line="240" w:lineRule="auto"/>
              <w:jc w:val="left"/>
              <w:rPr>
                <w:rFonts w:hint="eastAsia" w:ascii="仿宋" w:hAnsi="仿宋" w:eastAsia="宋体" w:cs="仿宋"/>
                <w:color w:val="auto"/>
                <w:sz w:val="21"/>
                <w:szCs w:val="21"/>
                <w:highlight w:val="none"/>
              </w:rPr>
            </w:pPr>
            <w:r>
              <w:rPr>
                <w:rFonts w:hint="eastAsia" w:ascii="仿宋" w:hAnsi="仿宋" w:eastAsia="宋体" w:cs="仿宋"/>
                <w:color w:val="auto"/>
                <w:sz w:val="21"/>
                <w:szCs w:val="21"/>
                <w:highlight w:val="none"/>
              </w:rPr>
              <w:t>（3）方案内容基本适合本项目采购需求，可行性、针对性有待改善的，得</w:t>
            </w:r>
            <w:r>
              <w:rPr>
                <w:rFonts w:hint="eastAsia" w:ascii="仿宋" w:hAnsi="仿宋" w:eastAsia="宋体" w:cs="仿宋"/>
                <w:color w:val="auto"/>
                <w:sz w:val="21"/>
                <w:szCs w:val="21"/>
                <w:highlight w:val="none"/>
                <w:lang w:val="en-US" w:eastAsia="zh-CN"/>
              </w:rPr>
              <w:t>2</w:t>
            </w:r>
            <w:r>
              <w:rPr>
                <w:rFonts w:hint="eastAsia" w:ascii="仿宋" w:hAnsi="仿宋" w:eastAsia="宋体" w:cs="仿宋"/>
                <w:color w:val="auto"/>
                <w:sz w:val="21"/>
                <w:szCs w:val="21"/>
                <w:highlight w:val="none"/>
              </w:rPr>
              <w:t>分；</w:t>
            </w:r>
          </w:p>
          <w:p w14:paraId="00184887">
            <w:pPr>
              <w:pStyle w:val="64"/>
              <w:spacing w:line="240" w:lineRule="auto"/>
              <w:jc w:val="left"/>
              <w:rPr>
                <w:rFonts w:hint="eastAsia"/>
                <w:color w:val="auto"/>
                <w:highlight w:val="none"/>
              </w:rPr>
            </w:pPr>
            <w:r>
              <w:rPr>
                <w:rFonts w:hint="eastAsia" w:ascii="仿宋" w:hAnsi="仿宋" w:eastAsia="宋体" w:cs="仿宋"/>
                <w:color w:val="auto"/>
                <w:sz w:val="21"/>
                <w:szCs w:val="21"/>
                <w:highlight w:val="none"/>
              </w:rPr>
              <w:t>（4）方案不可行或者未提供相关内容的不得分。</w:t>
            </w:r>
          </w:p>
        </w:tc>
      </w:tr>
      <w:tr w14:paraId="4925F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756" w:type="dxa"/>
            <w:noWrap w:val="0"/>
            <w:vAlign w:val="center"/>
          </w:tcPr>
          <w:p w14:paraId="1772E2D0">
            <w:pPr>
              <w:rPr>
                <w:color w:val="auto"/>
                <w:highlight w:val="none"/>
              </w:rPr>
            </w:pPr>
          </w:p>
          <w:p w14:paraId="360E6221">
            <w:pPr>
              <w:pStyle w:val="64"/>
              <w:spacing w:line="240" w:lineRule="auto"/>
              <w:rPr>
                <w:rFonts w:hint="eastAsia" w:ascii="Times New Roman" w:hAnsi="宋体" w:eastAsia="宋体" w:cs="Times New Roman"/>
                <w:color w:val="auto"/>
                <w:kern w:val="2"/>
                <w:sz w:val="21"/>
                <w:szCs w:val="21"/>
                <w:highlight w:val="none"/>
                <w:lang w:val="en-US" w:eastAsia="zh-CN" w:bidi="ar-SA"/>
              </w:rPr>
            </w:pPr>
            <w:r>
              <w:rPr>
                <w:rFonts w:hint="eastAsia" w:ascii="仿宋" w:hAnsi="仿宋" w:cs="仿宋"/>
                <w:color w:val="auto"/>
                <w:sz w:val="21"/>
                <w:szCs w:val="21"/>
                <w:highlight w:val="none"/>
                <w:lang w:val="en-US" w:eastAsia="zh-CN"/>
              </w:rPr>
              <w:t>4</w:t>
            </w:r>
          </w:p>
        </w:tc>
        <w:tc>
          <w:tcPr>
            <w:tcW w:w="1726" w:type="dxa"/>
            <w:noWrap w:val="0"/>
            <w:vAlign w:val="center"/>
          </w:tcPr>
          <w:p w14:paraId="6F8E4B5D">
            <w:pPr>
              <w:pStyle w:val="64"/>
              <w:spacing w:line="240" w:lineRule="auto"/>
              <w:rPr>
                <w:rFonts w:ascii="仿宋" w:hAnsi="仿宋" w:cs="仿宋"/>
                <w:color w:val="auto"/>
                <w:sz w:val="21"/>
                <w:szCs w:val="21"/>
                <w:highlight w:val="none"/>
              </w:rPr>
            </w:pPr>
            <w:r>
              <w:rPr>
                <w:rFonts w:hint="eastAsia" w:ascii="仿宋" w:hAnsi="仿宋" w:cs="仿宋"/>
                <w:color w:val="auto"/>
                <w:sz w:val="21"/>
                <w:szCs w:val="21"/>
                <w:highlight w:val="none"/>
              </w:rPr>
              <w:t>项目理解</w:t>
            </w:r>
          </w:p>
          <w:p w14:paraId="0A4E9B84">
            <w:pPr>
              <w:pStyle w:val="64"/>
              <w:spacing w:line="240" w:lineRule="auto"/>
              <w:rPr>
                <w:rFonts w:hint="eastAsia" w:ascii="Times New Roman" w:hAnsi="宋体" w:eastAsia="宋体" w:cs="Times New Roman"/>
                <w:color w:val="auto"/>
                <w:kern w:val="2"/>
                <w:sz w:val="21"/>
                <w:szCs w:val="21"/>
                <w:highlight w:val="none"/>
                <w:lang w:val="en-US" w:eastAsia="zh-CN" w:bidi="ar-SA"/>
              </w:rPr>
            </w:pPr>
            <w:r>
              <w:rPr>
                <w:rFonts w:hint="eastAsia" w:ascii="仿宋" w:hAnsi="仿宋" w:cs="仿宋"/>
                <w:color w:val="auto"/>
                <w:sz w:val="21"/>
                <w:szCs w:val="21"/>
                <w:highlight w:val="none"/>
                <w:lang w:eastAsia="zh-CN"/>
              </w:rPr>
              <w:t>（</w:t>
            </w:r>
            <w:r>
              <w:rPr>
                <w:rFonts w:hint="eastAsia" w:ascii="仿宋" w:hAnsi="仿宋" w:cs="仿宋"/>
                <w:color w:val="auto"/>
                <w:sz w:val="21"/>
                <w:szCs w:val="21"/>
                <w:highlight w:val="none"/>
                <w:lang w:val="en-US" w:eastAsia="zh-CN"/>
              </w:rPr>
              <w:t>5</w:t>
            </w:r>
            <w:r>
              <w:rPr>
                <w:rFonts w:hint="eastAsia" w:ascii="仿宋" w:hAnsi="仿宋" w:cs="仿宋"/>
                <w:color w:val="auto"/>
                <w:sz w:val="21"/>
                <w:szCs w:val="21"/>
                <w:highlight w:val="none"/>
              </w:rPr>
              <w:t>分</w:t>
            </w:r>
            <w:r>
              <w:rPr>
                <w:rFonts w:hint="eastAsia" w:ascii="仿宋" w:hAnsi="仿宋" w:cs="仿宋"/>
                <w:color w:val="auto"/>
                <w:sz w:val="21"/>
                <w:szCs w:val="21"/>
                <w:highlight w:val="none"/>
                <w:lang w:eastAsia="zh-CN"/>
              </w:rPr>
              <w:t>）</w:t>
            </w:r>
          </w:p>
        </w:tc>
        <w:tc>
          <w:tcPr>
            <w:tcW w:w="7729" w:type="dxa"/>
            <w:noWrap w:val="0"/>
            <w:vAlign w:val="center"/>
          </w:tcPr>
          <w:p w14:paraId="0F9292CA">
            <w:pPr>
              <w:pStyle w:val="64"/>
              <w:spacing w:line="240" w:lineRule="auto"/>
              <w:jc w:val="left"/>
              <w:rPr>
                <w:rFonts w:ascii="仿宋" w:hAnsi="仿宋" w:cs="仿宋"/>
                <w:color w:val="auto"/>
                <w:sz w:val="21"/>
                <w:szCs w:val="21"/>
                <w:highlight w:val="none"/>
              </w:rPr>
            </w:pPr>
            <w:r>
              <w:rPr>
                <w:rFonts w:hint="eastAsia" w:ascii="仿宋" w:hAnsi="仿宋" w:cs="仿宋"/>
                <w:color w:val="auto"/>
                <w:sz w:val="21"/>
                <w:szCs w:val="21"/>
                <w:highlight w:val="none"/>
              </w:rPr>
              <w:t>根据供应商提供的方案，对比各供应商对本项目的编制背景、低效用地再开发等相关政策的解读、工作内容的理解进行评分；</w:t>
            </w:r>
          </w:p>
          <w:p w14:paraId="4FB1D0BD">
            <w:pPr>
              <w:pStyle w:val="64"/>
              <w:spacing w:line="240" w:lineRule="auto"/>
              <w:jc w:val="left"/>
              <w:rPr>
                <w:rFonts w:ascii="仿宋" w:hAnsi="仿宋" w:cs="仿宋"/>
                <w:color w:val="auto"/>
                <w:sz w:val="21"/>
                <w:szCs w:val="21"/>
                <w:highlight w:val="none"/>
              </w:rPr>
            </w:pPr>
            <w:r>
              <w:rPr>
                <w:rFonts w:hint="eastAsia" w:ascii="仿宋" w:hAnsi="仿宋" w:cs="仿宋"/>
                <w:color w:val="auto"/>
                <w:sz w:val="21"/>
                <w:szCs w:val="21"/>
                <w:highlight w:val="none"/>
              </w:rPr>
              <w:t>（1）方案内容完整、详尽细致；可行性、针对性强的，得</w:t>
            </w:r>
            <w:r>
              <w:rPr>
                <w:rFonts w:hint="eastAsia" w:ascii="仿宋" w:hAnsi="仿宋" w:cs="仿宋"/>
                <w:color w:val="auto"/>
                <w:sz w:val="21"/>
                <w:szCs w:val="21"/>
                <w:highlight w:val="none"/>
                <w:lang w:val="en-US" w:eastAsia="zh-CN"/>
              </w:rPr>
              <w:t>5</w:t>
            </w:r>
            <w:r>
              <w:rPr>
                <w:rFonts w:hint="eastAsia" w:ascii="仿宋" w:hAnsi="仿宋" w:cs="仿宋"/>
                <w:color w:val="auto"/>
                <w:sz w:val="21"/>
                <w:szCs w:val="21"/>
                <w:highlight w:val="none"/>
              </w:rPr>
              <w:t>分；</w:t>
            </w:r>
          </w:p>
          <w:p w14:paraId="5AAEE183">
            <w:pPr>
              <w:pStyle w:val="64"/>
              <w:spacing w:line="240" w:lineRule="auto"/>
              <w:jc w:val="left"/>
              <w:rPr>
                <w:rFonts w:ascii="仿宋" w:hAnsi="仿宋" w:cs="仿宋"/>
                <w:color w:val="auto"/>
                <w:sz w:val="21"/>
                <w:szCs w:val="21"/>
                <w:highlight w:val="none"/>
              </w:rPr>
            </w:pPr>
            <w:r>
              <w:rPr>
                <w:rFonts w:hint="eastAsia" w:ascii="仿宋" w:hAnsi="仿宋" w:cs="仿宋"/>
                <w:color w:val="auto"/>
                <w:sz w:val="21"/>
                <w:szCs w:val="21"/>
                <w:highlight w:val="none"/>
              </w:rPr>
              <w:t>（2）方案内容完整；具有可行性和针对性的，得</w:t>
            </w:r>
            <w:r>
              <w:rPr>
                <w:rFonts w:hint="eastAsia" w:ascii="仿宋" w:hAnsi="仿宋" w:cs="仿宋"/>
                <w:color w:val="auto"/>
                <w:sz w:val="21"/>
                <w:szCs w:val="21"/>
                <w:highlight w:val="none"/>
                <w:lang w:val="en-US" w:eastAsia="zh-CN"/>
              </w:rPr>
              <w:t>4</w:t>
            </w:r>
            <w:r>
              <w:rPr>
                <w:rFonts w:hint="eastAsia" w:ascii="仿宋" w:hAnsi="仿宋" w:cs="仿宋"/>
                <w:color w:val="auto"/>
                <w:sz w:val="21"/>
                <w:szCs w:val="21"/>
                <w:highlight w:val="none"/>
              </w:rPr>
              <w:t>分；</w:t>
            </w:r>
          </w:p>
          <w:p w14:paraId="71BF8B31">
            <w:pPr>
              <w:pStyle w:val="64"/>
              <w:spacing w:line="240" w:lineRule="auto"/>
              <w:jc w:val="left"/>
              <w:rPr>
                <w:rFonts w:ascii="仿宋" w:hAnsi="仿宋" w:cs="仿宋"/>
                <w:color w:val="auto"/>
                <w:sz w:val="21"/>
                <w:szCs w:val="21"/>
                <w:highlight w:val="none"/>
              </w:rPr>
            </w:pPr>
            <w:r>
              <w:rPr>
                <w:rFonts w:hint="eastAsia" w:ascii="仿宋" w:hAnsi="仿宋" w:cs="仿宋"/>
                <w:color w:val="auto"/>
                <w:sz w:val="21"/>
                <w:szCs w:val="21"/>
                <w:highlight w:val="none"/>
              </w:rPr>
              <w:t>（3）方案内容基本适合本项目采购需求，可行性、针对性有待改善的，得</w:t>
            </w:r>
            <w:r>
              <w:rPr>
                <w:rFonts w:hint="eastAsia" w:ascii="仿宋" w:hAnsi="仿宋" w:cs="仿宋"/>
                <w:color w:val="auto"/>
                <w:sz w:val="21"/>
                <w:szCs w:val="21"/>
                <w:highlight w:val="none"/>
                <w:lang w:val="en-US" w:eastAsia="zh-CN"/>
              </w:rPr>
              <w:t>3</w:t>
            </w:r>
            <w:r>
              <w:rPr>
                <w:rFonts w:hint="eastAsia" w:ascii="仿宋" w:hAnsi="仿宋" w:cs="仿宋"/>
                <w:color w:val="auto"/>
                <w:sz w:val="21"/>
                <w:szCs w:val="21"/>
                <w:highlight w:val="none"/>
              </w:rPr>
              <w:t>分；</w:t>
            </w:r>
          </w:p>
          <w:p w14:paraId="48C8BC07">
            <w:pPr>
              <w:pStyle w:val="64"/>
              <w:spacing w:line="240" w:lineRule="auto"/>
              <w:jc w:val="both"/>
              <w:rPr>
                <w:rFonts w:hint="eastAsia" w:ascii="Times New Roman" w:hAnsi="宋体" w:eastAsia="宋体" w:cs="Times New Roman"/>
                <w:color w:val="auto"/>
                <w:kern w:val="2"/>
                <w:sz w:val="21"/>
                <w:szCs w:val="21"/>
                <w:highlight w:val="none"/>
                <w:lang w:val="en-US" w:eastAsia="zh-CN" w:bidi="ar-SA"/>
              </w:rPr>
            </w:pPr>
            <w:r>
              <w:rPr>
                <w:rFonts w:hint="eastAsia" w:ascii="仿宋" w:hAnsi="仿宋" w:cs="仿宋"/>
                <w:color w:val="auto"/>
                <w:sz w:val="21"/>
                <w:szCs w:val="21"/>
                <w:highlight w:val="none"/>
              </w:rPr>
              <w:t>（4）方案不可行或者未提供相关内容的不得分。</w:t>
            </w:r>
          </w:p>
        </w:tc>
      </w:tr>
      <w:tr w14:paraId="1CF88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jc w:val="center"/>
        </w:trPr>
        <w:tc>
          <w:tcPr>
            <w:tcW w:w="756" w:type="dxa"/>
            <w:noWrap w:val="0"/>
            <w:vAlign w:val="center"/>
          </w:tcPr>
          <w:p w14:paraId="6E2523C4">
            <w:pPr>
              <w:rPr>
                <w:color w:val="auto"/>
                <w:highlight w:val="none"/>
              </w:rPr>
            </w:pPr>
          </w:p>
          <w:p w14:paraId="7698DB9A">
            <w:pPr>
              <w:pStyle w:val="64"/>
              <w:spacing w:line="240" w:lineRule="auto"/>
              <w:rPr>
                <w:rFonts w:hint="eastAsia" w:ascii="Times New Roman" w:hAnsi="宋体" w:eastAsia="宋体" w:cs="Times New Roman"/>
                <w:color w:val="auto"/>
                <w:kern w:val="2"/>
                <w:sz w:val="21"/>
                <w:szCs w:val="21"/>
                <w:highlight w:val="none"/>
                <w:lang w:val="en-US" w:eastAsia="zh-CN" w:bidi="ar-SA"/>
              </w:rPr>
            </w:pPr>
            <w:r>
              <w:rPr>
                <w:rFonts w:hint="eastAsia" w:ascii="仿宋" w:hAnsi="仿宋" w:cs="仿宋"/>
                <w:color w:val="auto"/>
                <w:sz w:val="21"/>
                <w:szCs w:val="21"/>
                <w:highlight w:val="none"/>
                <w:lang w:val="en-US" w:eastAsia="zh-CN"/>
              </w:rPr>
              <w:t>5</w:t>
            </w:r>
          </w:p>
        </w:tc>
        <w:tc>
          <w:tcPr>
            <w:tcW w:w="1726" w:type="dxa"/>
            <w:noWrap w:val="0"/>
            <w:vAlign w:val="center"/>
          </w:tcPr>
          <w:p w14:paraId="22A8343F">
            <w:pPr>
              <w:pStyle w:val="64"/>
              <w:spacing w:line="240" w:lineRule="auto"/>
              <w:rPr>
                <w:rFonts w:ascii="仿宋" w:hAnsi="仿宋" w:cs="仿宋"/>
                <w:color w:val="auto"/>
                <w:sz w:val="21"/>
                <w:szCs w:val="21"/>
                <w:highlight w:val="none"/>
              </w:rPr>
            </w:pPr>
            <w:r>
              <w:rPr>
                <w:rFonts w:hint="eastAsia" w:ascii="仿宋" w:hAnsi="仿宋" w:cs="仿宋"/>
                <w:color w:val="auto"/>
                <w:sz w:val="21"/>
                <w:szCs w:val="21"/>
                <w:highlight w:val="none"/>
              </w:rPr>
              <w:t>现状分析</w:t>
            </w:r>
          </w:p>
          <w:p w14:paraId="72183538">
            <w:pPr>
              <w:pStyle w:val="64"/>
              <w:spacing w:line="240" w:lineRule="auto"/>
              <w:rPr>
                <w:rFonts w:hint="eastAsia" w:ascii="Times New Roman" w:hAnsi="宋体" w:eastAsia="宋体" w:cs="Times New Roman"/>
                <w:color w:val="auto"/>
                <w:kern w:val="2"/>
                <w:sz w:val="21"/>
                <w:szCs w:val="21"/>
                <w:highlight w:val="none"/>
                <w:lang w:val="en-US" w:eastAsia="zh-CN" w:bidi="ar-SA"/>
              </w:rPr>
            </w:pPr>
            <w:r>
              <w:rPr>
                <w:rFonts w:hint="eastAsia" w:ascii="仿宋" w:hAnsi="仿宋" w:cs="仿宋"/>
                <w:color w:val="auto"/>
                <w:sz w:val="21"/>
                <w:szCs w:val="21"/>
                <w:highlight w:val="none"/>
                <w:lang w:eastAsia="zh-CN"/>
              </w:rPr>
              <w:t>（</w:t>
            </w:r>
            <w:r>
              <w:rPr>
                <w:rFonts w:hint="eastAsia" w:ascii="仿宋" w:hAnsi="仿宋" w:cs="仿宋"/>
                <w:color w:val="auto"/>
                <w:sz w:val="21"/>
                <w:szCs w:val="21"/>
                <w:highlight w:val="none"/>
                <w:lang w:val="en-US" w:eastAsia="zh-CN"/>
              </w:rPr>
              <w:t>5</w:t>
            </w:r>
            <w:r>
              <w:rPr>
                <w:rFonts w:hint="eastAsia" w:ascii="仿宋" w:hAnsi="仿宋" w:cs="仿宋"/>
                <w:color w:val="auto"/>
                <w:sz w:val="21"/>
                <w:szCs w:val="21"/>
                <w:highlight w:val="none"/>
              </w:rPr>
              <w:t>分</w:t>
            </w:r>
            <w:r>
              <w:rPr>
                <w:rFonts w:hint="eastAsia" w:ascii="仿宋" w:hAnsi="仿宋" w:cs="仿宋"/>
                <w:color w:val="auto"/>
                <w:sz w:val="21"/>
                <w:szCs w:val="21"/>
                <w:highlight w:val="none"/>
                <w:lang w:eastAsia="zh-CN"/>
              </w:rPr>
              <w:t>）</w:t>
            </w:r>
          </w:p>
        </w:tc>
        <w:tc>
          <w:tcPr>
            <w:tcW w:w="7729" w:type="dxa"/>
            <w:noWrap w:val="0"/>
            <w:vAlign w:val="center"/>
          </w:tcPr>
          <w:p w14:paraId="159D7FBD">
            <w:pPr>
              <w:pStyle w:val="64"/>
              <w:spacing w:line="240" w:lineRule="auto"/>
              <w:jc w:val="left"/>
              <w:rPr>
                <w:rFonts w:ascii="仿宋" w:hAnsi="仿宋" w:cs="仿宋"/>
                <w:color w:val="auto"/>
                <w:sz w:val="21"/>
                <w:szCs w:val="21"/>
                <w:highlight w:val="none"/>
              </w:rPr>
            </w:pPr>
            <w:r>
              <w:rPr>
                <w:rFonts w:hint="eastAsia" w:ascii="仿宋" w:hAnsi="仿宋" w:cs="仿宋"/>
                <w:color w:val="auto"/>
                <w:sz w:val="21"/>
                <w:szCs w:val="21"/>
                <w:highlight w:val="none"/>
              </w:rPr>
              <w:t>根据供应商提供的方案，对比各供应商对</w:t>
            </w:r>
            <w:r>
              <w:rPr>
                <w:rFonts w:hint="eastAsia" w:ascii="仿宋" w:hAnsi="仿宋" w:cs="仿宋"/>
                <w:color w:val="auto"/>
                <w:sz w:val="21"/>
                <w:szCs w:val="21"/>
                <w:highlight w:val="none"/>
                <w:lang w:eastAsia="zh-CN"/>
              </w:rPr>
              <w:t>台州低效</w:t>
            </w:r>
            <w:r>
              <w:rPr>
                <w:rFonts w:hint="eastAsia" w:ascii="仿宋" w:hAnsi="仿宋" w:cs="仿宋"/>
                <w:color w:val="auto"/>
                <w:sz w:val="21"/>
                <w:szCs w:val="21"/>
                <w:highlight w:val="none"/>
              </w:rPr>
              <w:t>现状概况、主要特色、底图底数、主要低效问题等内容的分析进行评审。</w:t>
            </w:r>
          </w:p>
          <w:p w14:paraId="661795B2">
            <w:pPr>
              <w:pStyle w:val="64"/>
              <w:spacing w:line="240" w:lineRule="auto"/>
              <w:jc w:val="left"/>
              <w:rPr>
                <w:rFonts w:ascii="仿宋" w:hAnsi="仿宋" w:cs="仿宋"/>
                <w:color w:val="auto"/>
                <w:sz w:val="21"/>
                <w:szCs w:val="21"/>
                <w:highlight w:val="none"/>
              </w:rPr>
            </w:pPr>
            <w:r>
              <w:rPr>
                <w:rFonts w:hint="eastAsia" w:ascii="仿宋" w:hAnsi="仿宋" w:cs="仿宋"/>
                <w:color w:val="auto"/>
                <w:sz w:val="21"/>
                <w:szCs w:val="21"/>
                <w:highlight w:val="none"/>
              </w:rPr>
              <w:t>（1）方案内容完整、详尽细致；可行性、针对性强的，得</w:t>
            </w:r>
            <w:r>
              <w:rPr>
                <w:rFonts w:hint="eastAsia" w:ascii="仿宋" w:hAnsi="仿宋" w:cs="仿宋"/>
                <w:color w:val="auto"/>
                <w:sz w:val="21"/>
                <w:szCs w:val="21"/>
                <w:highlight w:val="none"/>
                <w:lang w:val="en-US" w:eastAsia="zh-CN"/>
              </w:rPr>
              <w:t>5</w:t>
            </w:r>
            <w:r>
              <w:rPr>
                <w:rFonts w:hint="eastAsia" w:ascii="仿宋" w:hAnsi="仿宋" w:cs="仿宋"/>
                <w:color w:val="auto"/>
                <w:sz w:val="21"/>
                <w:szCs w:val="21"/>
                <w:highlight w:val="none"/>
              </w:rPr>
              <w:t>分；</w:t>
            </w:r>
          </w:p>
          <w:p w14:paraId="5A45214A">
            <w:pPr>
              <w:pStyle w:val="64"/>
              <w:spacing w:line="240" w:lineRule="auto"/>
              <w:jc w:val="left"/>
              <w:rPr>
                <w:rFonts w:ascii="仿宋" w:hAnsi="仿宋" w:cs="仿宋"/>
                <w:color w:val="auto"/>
                <w:sz w:val="21"/>
                <w:szCs w:val="21"/>
                <w:highlight w:val="none"/>
              </w:rPr>
            </w:pPr>
            <w:r>
              <w:rPr>
                <w:rFonts w:hint="eastAsia" w:ascii="仿宋" w:hAnsi="仿宋" w:cs="仿宋"/>
                <w:color w:val="auto"/>
                <w:sz w:val="21"/>
                <w:szCs w:val="21"/>
                <w:highlight w:val="none"/>
              </w:rPr>
              <w:t>（2）方案内容完整；具有可行性和针对性的，得</w:t>
            </w:r>
            <w:r>
              <w:rPr>
                <w:rFonts w:hint="eastAsia" w:ascii="仿宋" w:hAnsi="仿宋" w:cs="仿宋"/>
                <w:color w:val="auto"/>
                <w:sz w:val="21"/>
                <w:szCs w:val="21"/>
                <w:highlight w:val="none"/>
                <w:lang w:val="en-US" w:eastAsia="zh-CN"/>
              </w:rPr>
              <w:t>4</w:t>
            </w:r>
            <w:r>
              <w:rPr>
                <w:rFonts w:hint="eastAsia" w:ascii="仿宋" w:hAnsi="仿宋" w:cs="仿宋"/>
                <w:color w:val="auto"/>
                <w:sz w:val="21"/>
                <w:szCs w:val="21"/>
                <w:highlight w:val="none"/>
              </w:rPr>
              <w:t>分；</w:t>
            </w:r>
          </w:p>
          <w:p w14:paraId="5B38A727">
            <w:pPr>
              <w:pStyle w:val="64"/>
              <w:spacing w:line="240" w:lineRule="auto"/>
              <w:jc w:val="left"/>
              <w:rPr>
                <w:rFonts w:ascii="仿宋" w:hAnsi="仿宋" w:cs="仿宋"/>
                <w:color w:val="auto"/>
                <w:sz w:val="21"/>
                <w:szCs w:val="21"/>
                <w:highlight w:val="none"/>
              </w:rPr>
            </w:pPr>
            <w:r>
              <w:rPr>
                <w:rFonts w:hint="eastAsia" w:ascii="仿宋" w:hAnsi="仿宋" w:cs="仿宋"/>
                <w:color w:val="auto"/>
                <w:sz w:val="21"/>
                <w:szCs w:val="21"/>
                <w:highlight w:val="none"/>
              </w:rPr>
              <w:t>（3）方案内容基本适合本项目采购需求，可行性、针对性有待改善的，得</w:t>
            </w:r>
            <w:r>
              <w:rPr>
                <w:rFonts w:hint="eastAsia" w:ascii="仿宋" w:hAnsi="仿宋" w:cs="仿宋"/>
                <w:color w:val="auto"/>
                <w:sz w:val="21"/>
                <w:szCs w:val="21"/>
                <w:highlight w:val="none"/>
                <w:lang w:val="en-US" w:eastAsia="zh-CN"/>
              </w:rPr>
              <w:t>3</w:t>
            </w:r>
            <w:r>
              <w:rPr>
                <w:rFonts w:hint="eastAsia" w:ascii="仿宋" w:hAnsi="仿宋" w:cs="仿宋"/>
                <w:color w:val="auto"/>
                <w:sz w:val="21"/>
                <w:szCs w:val="21"/>
                <w:highlight w:val="none"/>
              </w:rPr>
              <w:t>分；</w:t>
            </w:r>
          </w:p>
          <w:p w14:paraId="71477E29">
            <w:pPr>
              <w:pStyle w:val="64"/>
              <w:spacing w:line="240" w:lineRule="auto"/>
              <w:jc w:val="left"/>
              <w:rPr>
                <w:rFonts w:hint="eastAsia" w:ascii="Times New Roman" w:hAnsi="宋体" w:eastAsia="宋体" w:cs="Times New Roman"/>
                <w:color w:val="auto"/>
                <w:kern w:val="2"/>
                <w:sz w:val="21"/>
                <w:szCs w:val="21"/>
                <w:highlight w:val="none"/>
                <w:lang w:val="en-US" w:eastAsia="zh-CN" w:bidi="ar-SA"/>
              </w:rPr>
            </w:pPr>
            <w:r>
              <w:rPr>
                <w:rFonts w:hint="eastAsia" w:ascii="仿宋" w:hAnsi="仿宋" w:cs="仿宋"/>
                <w:color w:val="auto"/>
                <w:sz w:val="21"/>
                <w:szCs w:val="21"/>
                <w:highlight w:val="none"/>
              </w:rPr>
              <w:t>（4）方案不可行或者未提供相关内容的不得分。</w:t>
            </w:r>
          </w:p>
        </w:tc>
      </w:tr>
      <w:tr w14:paraId="2A019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6091F7EA">
            <w:pPr>
              <w:rPr>
                <w:color w:val="auto"/>
                <w:highlight w:val="none"/>
              </w:rPr>
            </w:pPr>
          </w:p>
          <w:p w14:paraId="304F4479">
            <w:pPr>
              <w:pStyle w:val="64"/>
              <w:spacing w:line="240" w:lineRule="auto"/>
              <w:rPr>
                <w:rFonts w:hint="eastAsia" w:ascii="Times New Roman" w:hAnsi="宋体" w:eastAsia="宋体" w:cs="Times New Roman"/>
                <w:color w:val="auto"/>
                <w:kern w:val="2"/>
                <w:sz w:val="21"/>
                <w:szCs w:val="21"/>
                <w:highlight w:val="none"/>
                <w:lang w:val="en-US" w:eastAsia="zh-CN" w:bidi="ar-SA"/>
              </w:rPr>
            </w:pPr>
            <w:r>
              <w:rPr>
                <w:rFonts w:hint="eastAsia" w:ascii="仿宋" w:hAnsi="仿宋" w:cs="仿宋"/>
                <w:color w:val="auto"/>
                <w:sz w:val="21"/>
                <w:szCs w:val="21"/>
                <w:highlight w:val="none"/>
                <w:lang w:val="en-US" w:eastAsia="zh-CN"/>
              </w:rPr>
              <w:t>6</w:t>
            </w:r>
          </w:p>
        </w:tc>
        <w:tc>
          <w:tcPr>
            <w:tcW w:w="1726" w:type="dxa"/>
            <w:vAlign w:val="center"/>
          </w:tcPr>
          <w:p w14:paraId="78E8362F">
            <w:pPr>
              <w:pStyle w:val="64"/>
              <w:spacing w:line="240" w:lineRule="auto"/>
              <w:rPr>
                <w:rFonts w:ascii="仿宋" w:hAnsi="仿宋" w:cs="仿宋"/>
                <w:color w:val="auto"/>
                <w:sz w:val="21"/>
                <w:szCs w:val="21"/>
                <w:highlight w:val="none"/>
              </w:rPr>
            </w:pPr>
            <w:r>
              <w:rPr>
                <w:rFonts w:hint="eastAsia" w:ascii="仿宋" w:hAnsi="仿宋" w:cs="仿宋"/>
                <w:color w:val="auto"/>
                <w:sz w:val="21"/>
                <w:szCs w:val="21"/>
                <w:highlight w:val="none"/>
              </w:rPr>
              <w:t>案</w:t>
            </w:r>
            <w:r>
              <w:rPr>
                <w:rFonts w:hint="eastAsia" w:ascii="仿宋" w:hAnsi="仿宋" w:cs="仿宋"/>
                <w:color w:val="auto"/>
                <w:sz w:val="21"/>
                <w:szCs w:val="21"/>
                <w:highlight w:val="none"/>
                <w:lang w:val="en-US" w:eastAsia="zh-CN"/>
              </w:rPr>
              <w:t>例</w:t>
            </w:r>
            <w:r>
              <w:rPr>
                <w:rFonts w:hint="eastAsia" w:ascii="仿宋" w:hAnsi="仿宋" w:cs="仿宋"/>
                <w:color w:val="auto"/>
                <w:sz w:val="21"/>
                <w:szCs w:val="21"/>
                <w:highlight w:val="none"/>
              </w:rPr>
              <w:t>分析</w:t>
            </w:r>
          </w:p>
          <w:p w14:paraId="724CEC7E">
            <w:pPr>
              <w:pStyle w:val="64"/>
              <w:spacing w:line="240" w:lineRule="auto"/>
              <w:rPr>
                <w:rFonts w:hint="eastAsia" w:ascii="Times New Roman" w:hAnsi="宋体" w:eastAsia="宋体" w:cs="Times New Roman"/>
                <w:color w:val="auto"/>
                <w:kern w:val="2"/>
                <w:sz w:val="21"/>
                <w:szCs w:val="21"/>
                <w:highlight w:val="none"/>
                <w:lang w:val="en-US" w:eastAsia="zh-CN" w:bidi="ar-SA"/>
              </w:rPr>
            </w:pPr>
            <w:r>
              <w:rPr>
                <w:rFonts w:hint="eastAsia" w:ascii="仿宋" w:hAnsi="仿宋" w:cs="仿宋"/>
                <w:color w:val="auto"/>
                <w:kern w:val="0"/>
                <w:sz w:val="21"/>
                <w:szCs w:val="21"/>
                <w:highlight w:val="none"/>
                <w:lang w:eastAsia="zh-CN"/>
              </w:rPr>
              <w:t>（</w:t>
            </w:r>
            <w:r>
              <w:rPr>
                <w:rFonts w:hint="eastAsia" w:ascii="仿宋" w:hAnsi="仿宋" w:cs="仿宋"/>
                <w:color w:val="auto"/>
                <w:sz w:val="21"/>
                <w:szCs w:val="21"/>
                <w:highlight w:val="none"/>
                <w:lang w:val="en-US" w:eastAsia="zh-CN"/>
              </w:rPr>
              <w:t>5</w:t>
            </w:r>
            <w:r>
              <w:rPr>
                <w:rFonts w:hint="eastAsia" w:ascii="仿宋" w:hAnsi="仿宋" w:cs="仿宋"/>
                <w:color w:val="auto"/>
                <w:sz w:val="21"/>
                <w:szCs w:val="21"/>
                <w:highlight w:val="none"/>
              </w:rPr>
              <w:t>分</w:t>
            </w:r>
            <w:r>
              <w:rPr>
                <w:rFonts w:hint="eastAsia" w:ascii="仿宋" w:hAnsi="仿宋" w:cs="仿宋"/>
                <w:color w:val="auto"/>
                <w:sz w:val="21"/>
                <w:szCs w:val="21"/>
                <w:highlight w:val="none"/>
                <w:lang w:eastAsia="zh-CN"/>
              </w:rPr>
              <w:t>）</w:t>
            </w:r>
          </w:p>
        </w:tc>
        <w:tc>
          <w:tcPr>
            <w:tcW w:w="0" w:type="auto"/>
            <w:vAlign w:val="center"/>
          </w:tcPr>
          <w:p w14:paraId="4A30D76A">
            <w:pPr>
              <w:pStyle w:val="64"/>
              <w:spacing w:line="240" w:lineRule="auto"/>
              <w:jc w:val="left"/>
              <w:rPr>
                <w:rFonts w:ascii="仿宋" w:hAnsi="仿宋" w:cs="仿宋"/>
                <w:color w:val="auto"/>
                <w:sz w:val="21"/>
                <w:szCs w:val="21"/>
                <w:highlight w:val="none"/>
              </w:rPr>
            </w:pPr>
            <w:r>
              <w:rPr>
                <w:rFonts w:hint="eastAsia" w:ascii="仿宋" w:hAnsi="仿宋" w:cs="仿宋"/>
                <w:color w:val="auto"/>
                <w:sz w:val="21"/>
                <w:szCs w:val="21"/>
                <w:highlight w:val="none"/>
              </w:rPr>
              <w:t>根据</w:t>
            </w:r>
            <w:r>
              <w:rPr>
                <w:rFonts w:hint="eastAsia" w:ascii="仿宋" w:hAnsi="仿宋" w:cs="仿宋"/>
                <w:color w:val="auto"/>
                <w:sz w:val="21"/>
                <w:szCs w:val="21"/>
                <w:highlight w:val="none"/>
                <w:lang w:eastAsia="zh-CN"/>
              </w:rPr>
              <w:t>对本项目的政策理解，结合台州当地实际和国内典型案例进行分析</w:t>
            </w:r>
            <w:r>
              <w:rPr>
                <w:rFonts w:hint="eastAsia" w:ascii="仿宋" w:hAnsi="仿宋" w:cs="仿宋"/>
                <w:color w:val="auto"/>
                <w:sz w:val="21"/>
                <w:szCs w:val="21"/>
                <w:highlight w:val="none"/>
              </w:rPr>
              <w:t>:</w:t>
            </w:r>
          </w:p>
          <w:p w14:paraId="1258B8FE">
            <w:pPr>
              <w:pStyle w:val="64"/>
              <w:spacing w:line="240" w:lineRule="auto"/>
              <w:jc w:val="left"/>
              <w:rPr>
                <w:rFonts w:ascii="仿宋" w:hAnsi="仿宋" w:cs="仿宋"/>
                <w:color w:val="auto"/>
                <w:sz w:val="21"/>
                <w:szCs w:val="21"/>
                <w:highlight w:val="none"/>
              </w:rPr>
            </w:pPr>
            <w:r>
              <w:rPr>
                <w:rFonts w:hint="eastAsia" w:ascii="仿宋" w:hAnsi="仿宋" w:cs="仿宋"/>
                <w:color w:val="auto"/>
                <w:sz w:val="21"/>
                <w:szCs w:val="21"/>
                <w:highlight w:val="none"/>
              </w:rPr>
              <w:t>（1）内容完整、详尽细致；可行性、针对性强的，得</w:t>
            </w:r>
            <w:r>
              <w:rPr>
                <w:rFonts w:hint="eastAsia" w:ascii="仿宋" w:hAnsi="仿宋" w:cs="仿宋"/>
                <w:color w:val="auto"/>
                <w:sz w:val="21"/>
                <w:szCs w:val="21"/>
                <w:highlight w:val="none"/>
                <w:lang w:val="en-US" w:eastAsia="zh-CN"/>
              </w:rPr>
              <w:t>5</w:t>
            </w:r>
            <w:r>
              <w:rPr>
                <w:rFonts w:hint="eastAsia" w:ascii="仿宋" w:hAnsi="仿宋" w:cs="仿宋"/>
                <w:color w:val="auto"/>
                <w:sz w:val="21"/>
                <w:szCs w:val="21"/>
                <w:highlight w:val="none"/>
              </w:rPr>
              <w:t>分；</w:t>
            </w:r>
          </w:p>
          <w:p w14:paraId="1EDEA345">
            <w:pPr>
              <w:pStyle w:val="64"/>
              <w:spacing w:line="240" w:lineRule="auto"/>
              <w:jc w:val="left"/>
              <w:rPr>
                <w:rFonts w:ascii="仿宋" w:hAnsi="仿宋" w:cs="仿宋"/>
                <w:color w:val="auto"/>
                <w:sz w:val="21"/>
                <w:szCs w:val="21"/>
                <w:highlight w:val="none"/>
              </w:rPr>
            </w:pPr>
            <w:r>
              <w:rPr>
                <w:rFonts w:hint="eastAsia" w:ascii="仿宋" w:hAnsi="仿宋" w:cs="仿宋"/>
                <w:color w:val="auto"/>
                <w:sz w:val="21"/>
                <w:szCs w:val="21"/>
                <w:highlight w:val="none"/>
              </w:rPr>
              <w:t>（2）内容完整；具有可行性和针对性的，得</w:t>
            </w:r>
            <w:r>
              <w:rPr>
                <w:rFonts w:hint="eastAsia" w:ascii="仿宋" w:hAnsi="仿宋" w:cs="仿宋"/>
                <w:color w:val="auto"/>
                <w:sz w:val="21"/>
                <w:szCs w:val="21"/>
                <w:highlight w:val="none"/>
                <w:lang w:val="en-US" w:eastAsia="zh-CN"/>
              </w:rPr>
              <w:t>4</w:t>
            </w:r>
            <w:r>
              <w:rPr>
                <w:rFonts w:hint="eastAsia" w:ascii="仿宋" w:hAnsi="仿宋" w:cs="仿宋"/>
                <w:color w:val="auto"/>
                <w:sz w:val="21"/>
                <w:szCs w:val="21"/>
                <w:highlight w:val="none"/>
              </w:rPr>
              <w:t>分；</w:t>
            </w:r>
          </w:p>
          <w:p w14:paraId="3F3DA2FB">
            <w:pPr>
              <w:pStyle w:val="64"/>
              <w:spacing w:line="240" w:lineRule="auto"/>
              <w:jc w:val="left"/>
              <w:rPr>
                <w:rFonts w:ascii="仿宋" w:hAnsi="仿宋" w:cs="仿宋"/>
                <w:color w:val="auto"/>
                <w:sz w:val="21"/>
                <w:szCs w:val="21"/>
                <w:highlight w:val="none"/>
              </w:rPr>
            </w:pPr>
            <w:r>
              <w:rPr>
                <w:rFonts w:hint="eastAsia" w:ascii="仿宋" w:hAnsi="仿宋" w:cs="仿宋"/>
                <w:color w:val="auto"/>
                <w:sz w:val="21"/>
                <w:szCs w:val="21"/>
                <w:highlight w:val="none"/>
              </w:rPr>
              <w:t>（3）内容基本适合本项目采购需求，可行性、针对性有待改善的，得</w:t>
            </w:r>
            <w:r>
              <w:rPr>
                <w:rFonts w:hint="eastAsia" w:ascii="仿宋" w:hAnsi="仿宋" w:cs="仿宋"/>
                <w:color w:val="auto"/>
                <w:sz w:val="21"/>
                <w:szCs w:val="21"/>
                <w:highlight w:val="none"/>
                <w:lang w:val="en-US" w:eastAsia="zh-CN"/>
              </w:rPr>
              <w:t>3</w:t>
            </w:r>
            <w:r>
              <w:rPr>
                <w:rFonts w:hint="eastAsia" w:ascii="仿宋" w:hAnsi="仿宋" w:cs="仿宋"/>
                <w:color w:val="auto"/>
                <w:sz w:val="21"/>
                <w:szCs w:val="21"/>
                <w:highlight w:val="none"/>
              </w:rPr>
              <w:t>分；</w:t>
            </w:r>
          </w:p>
          <w:p w14:paraId="36B03913">
            <w:pPr>
              <w:pStyle w:val="64"/>
              <w:spacing w:line="240" w:lineRule="auto"/>
              <w:jc w:val="both"/>
              <w:rPr>
                <w:rFonts w:hint="eastAsia" w:ascii="Times New Roman" w:hAnsi="宋体" w:eastAsia="宋体" w:cs="Times New Roman"/>
                <w:color w:val="auto"/>
                <w:kern w:val="2"/>
                <w:sz w:val="21"/>
                <w:szCs w:val="21"/>
                <w:highlight w:val="none"/>
                <w:lang w:val="en-US" w:eastAsia="zh-CN" w:bidi="ar-SA"/>
              </w:rPr>
            </w:pPr>
            <w:r>
              <w:rPr>
                <w:rFonts w:hint="eastAsia" w:ascii="仿宋" w:hAnsi="仿宋" w:cs="仿宋"/>
                <w:color w:val="auto"/>
                <w:sz w:val="21"/>
                <w:szCs w:val="21"/>
                <w:highlight w:val="none"/>
              </w:rPr>
              <w:t>（4）内容不可行或者未提供相关内容的不得分。</w:t>
            </w:r>
          </w:p>
        </w:tc>
      </w:tr>
      <w:tr w14:paraId="3AB1E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756" w:type="dxa"/>
            <w:vAlign w:val="center"/>
          </w:tcPr>
          <w:p w14:paraId="7F6CDC62">
            <w:pPr>
              <w:rPr>
                <w:color w:val="auto"/>
                <w:highlight w:val="none"/>
              </w:rPr>
            </w:pPr>
          </w:p>
          <w:p w14:paraId="01DB7721">
            <w:pPr>
              <w:pStyle w:val="64"/>
              <w:spacing w:line="240" w:lineRule="auto"/>
              <w:rPr>
                <w:rFonts w:hint="eastAsia" w:ascii="Times New Roman" w:hAnsi="宋体" w:eastAsia="宋体" w:cs="Times New Roman"/>
                <w:color w:val="auto"/>
                <w:kern w:val="2"/>
                <w:sz w:val="21"/>
                <w:szCs w:val="21"/>
                <w:highlight w:val="none"/>
                <w:lang w:val="en-US" w:eastAsia="zh-CN" w:bidi="ar-SA"/>
              </w:rPr>
            </w:pPr>
            <w:r>
              <w:rPr>
                <w:rFonts w:hint="eastAsia" w:ascii="仿宋" w:hAnsi="仿宋" w:cs="仿宋"/>
                <w:color w:val="auto"/>
                <w:sz w:val="21"/>
                <w:szCs w:val="21"/>
                <w:highlight w:val="none"/>
                <w:lang w:val="en-US" w:eastAsia="zh-CN"/>
              </w:rPr>
              <w:t>7</w:t>
            </w:r>
          </w:p>
        </w:tc>
        <w:tc>
          <w:tcPr>
            <w:tcW w:w="1726" w:type="dxa"/>
            <w:vAlign w:val="center"/>
          </w:tcPr>
          <w:p w14:paraId="1BE03787">
            <w:pPr>
              <w:pStyle w:val="64"/>
              <w:spacing w:line="240" w:lineRule="auto"/>
              <w:rPr>
                <w:rFonts w:ascii="仿宋" w:hAnsi="仿宋" w:cs="仿宋"/>
                <w:color w:val="auto"/>
                <w:sz w:val="21"/>
                <w:szCs w:val="21"/>
                <w:highlight w:val="none"/>
              </w:rPr>
            </w:pPr>
            <w:r>
              <w:rPr>
                <w:rFonts w:hint="eastAsia" w:ascii="仿宋" w:hAnsi="仿宋" w:cs="仿宋"/>
                <w:color w:val="auto"/>
                <w:kern w:val="0"/>
                <w:sz w:val="21"/>
                <w:szCs w:val="21"/>
                <w:highlight w:val="none"/>
              </w:rPr>
              <w:t>工作重难点</w:t>
            </w:r>
          </w:p>
          <w:p w14:paraId="5DCE8641">
            <w:pPr>
              <w:pStyle w:val="64"/>
              <w:spacing w:line="240" w:lineRule="auto"/>
              <w:rPr>
                <w:rFonts w:hint="eastAsia" w:ascii="Times New Roman" w:hAnsi="宋体" w:eastAsia="宋体" w:cs="Times New Roman"/>
                <w:color w:val="auto"/>
                <w:kern w:val="2"/>
                <w:sz w:val="21"/>
                <w:szCs w:val="21"/>
                <w:highlight w:val="none"/>
                <w:lang w:val="en-US" w:eastAsia="zh-CN" w:bidi="ar-SA"/>
              </w:rPr>
            </w:pPr>
            <w:r>
              <w:rPr>
                <w:rFonts w:hint="eastAsia" w:ascii="仿宋" w:hAnsi="仿宋" w:cs="仿宋"/>
                <w:color w:val="auto"/>
                <w:kern w:val="0"/>
                <w:sz w:val="21"/>
                <w:szCs w:val="21"/>
                <w:highlight w:val="none"/>
                <w:lang w:eastAsia="zh-CN"/>
              </w:rPr>
              <w:t>（</w:t>
            </w:r>
            <w:r>
              <w:rPr>
                <w:rFonts w:hint="eastAsia" w:ascii="仿宋" w:hAnsi="仿宋" w:cs="仿宋"/>
                <w:color w:val="auto"/>
                <w:kern w:val="0"/>
                <w:sz w:val="21"/>
                <w:szCs w:val="21"/>
                <w:highlight w:val="none"/>
                <w:lang w:val="en-US" w:eastAsia="zh-CN"/>
              </w:rPr>
              <w:t>5</w:t>
            </w:r>
            <w:r>
              <w:rPr>
                <w:rFonts w:hint="eastAsia" w:ascii="仿宋" w:hAnsi="仿宋" w:cs="仿宋"/>
                <w:color w:val="auto"/>
                <w:kern w:val="0"/>
                <w:sz w:val="21"/>
                <w:szCs w:val="21"/>
                <w:highlight w:val="none"/>
              </w:rPr>
              <w:t>分</w:t>
            </w:r>
            <w:r>
              <w:rPr>
                <w:rFonts w:hint="eastAsia" w:ascii="仿宋" w:hAnsi="仿宋" w:cs="仿宋"/>
                <w:color w:val="auto"/>
                <w:kern w:val="0"/>
                <w:sz w:val="21"/>
                <w:szCs w:val="21"/>
                <w:highlight w:val="none"/>
                <w:lang w:eastAsia="zh-CN"/>
              </w:rPr>
              <w:t>）</w:t>
            </w:r>
          </w:p>
        </w:tc>
        <w:tc>
          <w:tcPr>
            <w:tcW w:w="0" w:type="auto"/>
            <w:vAlign w:val="center"/>
          </w:tcPr>
          <w:p w14:paraId="1BB79FDC">
            <w:pPr>
              <w:pStyle w:val="64"/>
              <w:spacing w:line="240" w:lineRule="auto"/>
              <w:jc w:val="left"/>
              <w:rPr>
                <w:rFonts w:ascii="仿宋" w:hAnsi="仿宋" w:cs="仿宋"/>
                <w:color w:val="auto"/>
                <w:kern w:val="0"/>
                <w:sz w:val="21"/>
                <w:szCs w:val="21"/>
                <w:highlight w:val="none"/>
              </w:rPr>
            </w:pPr>
            <w:r>
              <w:rPr>
                <w:rFonts w:hint="eastAsia" w:ascii="仿宋" w:hAnsi="仿宋" w:cs="仿宋"/>
                <w:color w:val="auto"/>
                <w:kern w:val="0"/>
                <w:sz w:val="21"/>
                <w:szCs w:val="21"/>
                <w:highlight w:val="none"/>
              </w:rPr>
              <w:t>根据本项目特点，提供工作重难点的分析和应对方案。</w:t>
            </w:r>
          </w:p>
          <w:p w14:paraId="16E7015C">
            <w:pPr>
              <w:pStyle w:val="64"/>
              <w:spacing w:line="240" w:lineRule="auto"/>
              <w:jc w:val="left"/>
              <w:rPr>
                <w:rFonts w:ascii="仿宋" w:hAnsi="仿宋" w:cs="仿宋"/>
                <w:color w:val="auto"/>
                <w:kern w:val="0"/>
                <w:sz w:val="21"/>
                <w:szCs w:val="21"/>
                <w:highlight w:val="none"/>
              </w:rPr>
            </w:pPr>
            <w:r>
              <w:rPr>
                <w:rFonts w:hint="eastAsia" w:ascii="仿宋" w:hAnsi="仿宋" w:cs="仿宋"/>
                <w:color w:val="auto"/>
                <w:kern w:val="0"/>
                <w:sz w:val="21"/>
                <w:szCs w:val="21"/>
                <w:highlight w:val="none"/>
              </w:rPr>
              <w:t>（1）对工作重难点分析与理解</w:t>
            </w:r>
            <w:r>
              <w:rPr>
                <w:rFonts w:hint="eastAsia" w:ascii="仿宋" w:hAnsi="仿宋" w:cs="仿宋"/>
                <w:color w:val="auto"/>
                <w:sz w:val="21"/>
                <w:szCs w:val="21"/>
                <w:highlight w:val="none"/>
              </w:rPr>
              <w:t>内容</w:t>
            </w:r>
            <w:r>
              <w:rPr>
                <w:rFonts w:hint="eastAsia" w:ascii="仿宋" w:hAnsi="仿宋" w:cs="仿宋"/>
                <w:color w:val="auto"/>
                <w:kern w:val="0"/>
                <w:sz w:val="21"/>
                <w:szCs w:val="21"/>
                <w:highlight w:val="none"/>
              </w:rPr>
              <w:t>完整、详尽细致；应对方案针对性强，得</w:t>
            </w:r>
            <w:r>
              <w:rPr>
                <w:rFonts w:hint="eastAsia" w:ascii="仿宋" w:hAnsi="仿宋" w:cs="仿宋"/>
                <w:color w:val="auto"/>
                <w:kern w:val="0"/>
                <w:sz w:val="21"/>
                <w:szCs w:val="21"/>
                <w:highlight w:val="none"/>
                <w:lang w:val="en-US" w:eastAsia="zh-CN"/>
              </w:rPr>
              <w:t>5</w:t>
            </w:r>
            <w:r>
              <w:rPr>
                <w:rFonts w:hint="eastAsia" w:ascii="仿宋" w:hAnsi="仿宋" w:cs="仿宋"/>
                <w:color w:val="auto"/>
                <w:kern w:val="0"/>
                <w:sz w:val="21"/>
                <w:szCs w:val="21"/>
                <w:highlight w:val="none"/>
              </w:rPr>
              <w:t>分；</w:t>
            </w:r>
          </w:p>
          <w:p w14:paraId="1D5D4F1D">
            <w:pPr>
              <w:pStyle w:val="64"/>
              <w:spacing w:line="240" w:lineRule="auto"/>
              <w:jc w:val="left"/>
              <w:rPr>
                <w:rFonts w:ascii="仿宋" w:hAnsi="仿宋" w:cs="仿宋"/>
                <w:color w:val="auto"/>
                <w:kern w:val="0"/>
                <w:sz w:val="21"/>
                <w:szCs w:val="21"/>
                <w:highlight w:val="none"/>
              </w:rPr>
            </w:pPr>
            <w:r>
              <w:rPr>
                <w:rFonts w:hint="eastAsia" w:ascii="仿宋" w:hAnsi="仿宋" w:cs="仿宋"/>
                <w:color w:val="auto"/>
                <w:kern w:val="0"/>
                <w:sz w:val="21"/>
                <w:szCs w:val="21"/>
                <w:highlight w:val="none"/>
              </w:rPr>
              <w:t>（2）对工作重难点分析与理解</w:t>
            </w:r>
            <w:r>
              <w:rPr>
                <w:rFonts w:hint="eastAsia" w:ascii="仿宋" w:hAnsi="仿宋" w:cs="仿宋"/>
                <w:color w:val="auto"/>
                <w:sz w:val="21"/>
                <w:szCs w:val="21"/>
                <w:highlight w:val="none"/>
              </w:rPr>
              <w:t>内容</w:t>
            </w:r>
            <w:r>
              <w:rPr>
                <w:rFonts w:hint="eastAsia" w:ascii="仿宋" w:hAnsi="仿宋" w:cs="仿宋"/>
                <w:color w:val="auto"/>
                <w:kern w:val="0"/>
                <w:sz w:val="21"/>
                <w:szCs w:val="21"/>
                <w:highlight w:val="none"/>
              </w:rPr>
              <w:t>完整；应对方案</w:t>
            </w:r>
            <w:r>
              <w:rPr>
                <w:rFonts w:hint="eastAsia" w:ascii="仿宋" w:hAnsi="仿宋" w:cs="仿宋"/>
                <w:color w:val="auto"/>
                <w:sz w:val="21"/>
                <w:szCs w:val="21"/>
                <w:highlight w:val="none"/>
              </w:rPr>
              <w:t>具有</w:t>
            </w:r>
            <w:r>
              <w:rPr>
                <w:rFonts w:hint="eastAsia" w:ascii="仿宋" w:hAnsi="仿宋" w:cs="仿宋"/>
                <w:color w:val="auto"/>
                <w:kern w:val="0"/>
                <w:sz w:val="21"/>
                <w:szCs w:val="21"/>
                <w:highlight w:val="none"/>
              </w:rPr>
              <w:t>针对性的，得</w:t>
            </w:r>
            <w:r>
              <w:rPr>
                <w:rFonts w:hint="eastAsia" w:ascii="仿宋" w:hAnsi="仿宋" w:cs="仿宋"/>
                <w:color w:val="auto"/>
                <w:kern w:val="0"/>
                <w:sz w:val="21"/>
                <w:szCs w:val="21"/>
                <w:highlight w:val="none"/>
                <w:lang w:val="en-US" w:eastAsia="zh-CN"/>
              </w:rPr>
              <w:t>4</w:t>
            </w:r>
            <w:r>
              <w:rPr>
                <w:rFonts w:hint="eastAsia" w:ascii="仿宋" w:hAnsi="仿宋" w:cs="仿宋"/>
                <w:color w:val="auto"/>
                <w:kern w:val="0"/>
                <w:sz w:val="21"/>
                <w:szCs w:val="21"/>
                <w:highlight w:val="none"/>
              </w:rPr>
              <w:t>分；</w:t>
            </w:r>
          </w:p>
          <w:p w14:paraId="2CA6B476">
            <w:pPr>
              <w:pStyle w:val="64"/>
              <w:spacing w:line="240" w:lineRule="auto"/>
              <w:jc w:val="left"/>
              <w:rPr>
                <w:rFonts w:ascii="仿宋" w:hAnsi="仿宋" w:cs="仿宋"/>
                <w:color w:val="auto"/>
                <w:kern w:val="0"/>
                <w:sz w:val="21"/>
                <w:szCs w:val="21"/>
                <w:highlight w:val="none"/>
              </w:rPr>
            </w:pPr>
            <w:r>
              <w:rPr>
                <w:rFonts w:hint="eastAsia" w:ascii="仿宋" w:hAnsi="仿宋" w:cs="仿宋"/>
                <w:color w:val="auto"/>
                <w:kern w:val="0"/>
                <w:sz w:val="21"/>
                <w:szCs w:val="21"/>
                <w:highlight w:val="none"/>
              </w:rPr>
              <w:t>（3）对工作重难点分析与理解</w:t>
            </w:r>
            <w:r>
              <w:rPr>
                <w:rFonts w:hint="eastAsia" w:ascii="仿宋" w:hAnsi="仿宋" w:cs="仿宋"/>
                <w:color w:val="auto"/>
                <w:sz w:val="21"/>
                <w:szCs w:val="21"/>
                <w:highlight w:val="none"/>
              </w:rPr>
              <w:t>内容基本适合本项目采购需求，针对性有待改善的，得</w:t>
            </w:r>
            <w:r>
              <w:rPr>
                <w:rFonts w:hint="eastAsia" w:ascii="仿宋" w:hAnsi="仿宋" w:cs="仿宋"/>
                <w:color w:val="auto"/>
                <w:sz w:val="21"/>
                <w:szCs w:val="21"/>
                <w:highlight w:val="none"/>
                <w:lang w:val="en-US" w:eastAsia="zh-CN"/>
              </w:rPr>
              <w:t>3</w:t>
            </w:r>
            <w:r>
              <w:rPr>
                <w:rFonts w:hint="eastAsia" w:ascii="仿宋" w:hAnsi="仿宋" w:cs="仿宋"/>
                <w:color w:val="auto"/>
                <w:sz w:val="21"/>
                <w:szCs w:val="21"/>
                <w:highlight w:val="none"/>
              </w:rPr>
              <w:t>分；</w:t>
            </w:r>
          </w:p>
          <w:p w14:paraId="27FC9352">
            <w:pPr>
              <w:pStyle w:val="64"/>
              <w:spacing w:line="240" w:lineRule="auto"/>
              <w:jc w:val="both"/>
              <w:rPr>
                <w:rFonts w:hint="eastAsia" w:ascii="Times New Roman" w:hAnsi="宋体" w:eastAsia="宋体" w:cs="Times New Roman"/>
                <w:color w:val="auto"/>
                <w:kern w:val="2"/>
                <w:sz w:val="21"/>
                <w:szCs w:val="21"/>
                <w:highlight w:val="none"/>
                <w:lang w:val="en-US" w:eastAsia="zh-CN" w:bidi="ar-SA"/>
              </w:rPr>
            </w:pPr>
            <w:r>
              <w:rPr>
                <w:rFonts w:hint="eastAsia" w:ascii="仿宋" w:hAnsi="仿宋" w:cs="仿宋"/>
                <w:color w:val="auto"/>
                <w:kern w:val="0"/>
                <w:sz w:val="21"/>
                <w:szCs w:val="21"/>
                <w:highlight w:val="none"/>
              </w:rPr>
              <w:t>（4）</w:t>
            </w:r>
            <w:r>
              <w:rPr>
                <w:rFonts w:hint="eastAsia" w:ascii="仿宋" w:hAnsi="仿宋" w:cs="仿宋"/>
                <w:color w:val="auto"/>
                <w:sz w:val="21"/>
                <w:szCs w:val="21"/>
                <w:highlight w:val="none"/>
              </w:rPr>
              <w:t>方案不可行或者未提供相关内容的不得分。</w:t>
            </w:r>
          </w:p>
        </w:tc>
      </w:tr>
      <w:tr w14:paraId="3429E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jc w:val="center"/>
        </w:trPr>
        <w:tc>
          <w:tcPr>
            <w:tcW w:w="756" w:type="dxa"/>
            <w:vAlign w:val="center"/>
          </w:tcPr>
          <w:p w14:paraId="7B20B109">
            <w:pPr>
              <w:rPr>
                <w:color w:val="auto"/>
                <w:highlight w:val="none"/>
              </w:rPr>
            </w:pPr>
          </w:p>
          <w:p w14:paraId="5A984336">
            <w:pPr>
              <w:pStyle w:val="64"/>
              <w:spacing w:line="240" w:lineRule="auto"/>
              <w:rPr>
                <w:rFonts w:hint="eastAsia" w:ascii="Times New Roman" w:hAnsi="宋体" w:eastAsia="宋体" w:cs="Times New Roman"/>
                <w:color w:val="auto"/>
                <w:kern w:val="2"/>
                <w:sz w:val="21"/>
                <w:szCs w:val="21"/>
                <w:highlight w:val="none"/>
                <w:lang w:val="en-US" w:eastAsia="zh-CN" w:bidi="ar-SA"/>
              </w:rPr>
            </w:pPr>
            <w:r>
              <w:rPr>
                <w:rFonts w:hint="eastAsia" w:ascii="仿宋" w:hAnsi="仿宋" w:cs="仿宋"/>
                <w:color w:val="auto"/>
                <w:sz w:val="21"/>
                <w:szCs w:val="21"/>
                <w:highlight w:val="none"/>
                <w:lang w:val="en-US" w:eastAsia="zh-CN"/>
              </w:rPr>
              <w:t>8</w:t>
            </w:r>
          </w:p>
        </w:tc>
        <w:tc>
          <w:tcPr>
            <w:tcW w:w="1726" w:type="dxa"/>
            <w:vAlign w:val="center"/>
          </w:tcPr>
          <w:p w14:paraId="6FA59594">
            <w:pPr>
              <w:pStyle w:val="64"/>
              <w:spacing w:line="240" w:lineRule="auto"/>
              <w:rPr>
                <w:rFonts w:ascii="仿宋" w:hAnsi="仿宋" w:cs="仿宋"/>
                <w:color w:val="auto"/>
                <w:sz w:val="21"/>
                <w:szCs w:val="21"/>
                <w:highlight w:val="none"/>
              </w:rPr>
            </w:pPr>
            <w:r>
              <w:rPr>
                <w:rFonts w:hint="eastAsia" w:ascii="仿宋" w:hAnsi="仿宋" w:cs="仿宋"/>
                <w:color w:val="auto"/>
                <w:sz w:val="21"/>
                <w:szCs w:val="21"/>
                <w:highlight w:val="none"/>
              </w:rPr>
              <w:t>总体概述</w:t>
            </w:r>
          </w:p>
          <w:p w14:paraId="7E900713">
            <w:pPr>
              <w:pStyle w:val="64"/>
              <w:spacing w:line="240" w:lineRule="auto"/>
              <w:rPr>
                <w:rFonts w:ascii="Times New Roman" w:hAnsi="宋体" w:eastAsia="宋体" w:cs="Times New Roman"/>
                <w:color w:val="auto"/>
                <w:kern w:val="2"/>
                <w:sz w:val="21"/>
                <w:szCs w:val="21"/>
                <w:highlight w:val="none"/>
                <w:lang w:val="en-US" w:eastAsia="zh-CN" w:bidi="ar-SA"/>
              </w:rPr>
            </w:pPr>
            <w:r>
              <w:rPr>
                <w:rFonts w:hint="eastAsia" w:ascii="仿宋" w:hAnsi="仿宋" w:cs="仿宋"/>
                <w:color w:val="auto"/>
                <w:kern w:val="0"/>
                <w:sz w:val="21"/>
                <w:szCs w:val="21"/>
                <w:highlight w:val="none"/>
                <w:lang w:eastAsia="zh-CN"/>
              </w:rPr>
              <w:t>（</w:t>
            </w:r>
            <w:r>
              <w:rPr>
                <w:rFonts w:hint="eastAsia" w:ascii="仿宋" w:hAnsi="仿宋" w:cs="仿宋"/>
                <w:color w:val="auto"/>
                <w:sz w:val="21"/>
                <w:szCs w:val="21"/>
                <w:highlight w:val="none"/>
                <w:lang w:val="en-US" w:eastAsia="zh-CN"/>
              </w:rPr>
              <w:t>5</w:t>
            </w:r>
            <w:r>
              <w:rPr>
                <w:rFonts w:hint="eastAsia" w:ascii="仿宋" w:hAnsi="仿宋" w:cs="仿宋"/>
                <w:color w:val="auto"/>
                <w:sz w:val="21"/>
                <w:szCs w:val="21"/>
                <w:highlight w:val="none"/>
              </w:rPr>
              <w:t>分</w:t>
            </w:r>
            <w:r>
              <w:rPr>
                <w:rFonts w:hint="eastAsia" w:ascii="仿宋" w:hAnsi="仿宋" w:cs="仿宋"/>
                <w:color w:val="auto"/>
                <w:kern w:val="0"/>
                <w:sz w:val="21"/>
                <w:szCs w:val="21"/>
                <w:highlight w:val="none"/>
                <w:lang w:eastAsia="zh-CN"/>
              </w:rPr>
              <w:t>）</w:t>
            </w:r>
          </w:p>
        </w:tc>
        <w:tc>
          <w:tcPr>
            <w:tcW w:w="0" w:type="auto"/>
            <w:vAlign w:val="center"/>
          </w:tcPr>
          <w:p w14:paraId="3E7DC905">
            <w:pPr>
              <w:pStyle w:val="64"/>
              <w:spacing w:line="240" w:lineRule="auto"/>
              <w:jc w:val="left"/>
              <w:rPr>
                <w:rFonts w:ascii="仿宋" w:hAnsi="仿宋" w:cs="仿宋"/>
                <w:color w:val="auto"/>
                <w:sz w:val="21"/>
                <w:szCs w:val="21"/>
                <w:highlight w:val="none"/>
              </w:rPr>
            </w:pPr>
            <w:r>
              <w:rPr>
                <w:rFonts w:hint="eastAsia" w:ascii="仿宋" w:hAnsi="仿宋" w:cs="仿宋"/>
                <w:color w:val="auto"/>
                <w:sz w:val="21"/>
                <w:szCs w:val="21"/>
                <w:highlight w:val="none"/>
              </w:rPr>
              <w:t>针对本项目提供的总体设想、技术思路及方法的表述可行性、针对性进行打分：</w:t>
            </w:r>
          </w:p>
          <w:p w14:paraId="66A89167">
            <w:pPr>
              <w:pStyle w:val="64"/>
              <w:spacing w:line="240" w:lineRule="auto"/>
              <w:jc w:val="left"/>
              <w:rPr>
                <w:rFonts w:ascii="仿宋" w:hAnsi="仿宋" w:cs="仿宋"/>
                <w:color w:val="auto"/>
                <w:sz w:val="21"/>
                <w:szCs w:val="21"/>
                <w:highlight w:val="none"/>
              </w:rPr>
            </w:pPr>
            <w:r>
              <w:rPr>
                <w:rFonts w:hint="eastAsia" w:ascii="仿宋" w:hAnsi="仿宋" w:cs="仿宋"/>
                <w:color w:val="auto"/>
                <w:sz w:val="21"/>
                <w:szCs w:val="21"/>
                <w:highlight w:val="none"/>
              </w:rPr>
              <w:t>（1）针对本项目实际情况，有详细完整的总体设想、技术思路及方法的内容描述，可行性、针对性强的，得</w:t>
            </w:r>
            <w:r>
              <w:rPr>
                <w:rFonts w:hint="eastAsia" w:ascii="仿宋" w:hAnsi="仿宋" w:cs="仿宋"/>
                <w:color w:val="auto"/>
                <w:sz w:val="21"/>
                <w:szCs w:val="21"/>
                <w:highlight w:val="none"/>
                <w:lang w:val="en-US" w:eastAsia="zh-CN"/>
              </w:rPr>
              <w:t>5</w:t>
            </w:r>
            <w:r>
              <w:rPr>
                <w:rFonts w:hint="eastAsia" w:ascii="仿宋" w:hAnsi="仿宋" w:cs="仿宋"/>
                <w:color w:val="auto"/>
                <w:sz w:val="21"/>
                <w:szCs w:val="21"/>
                <w:highlight w:val="none"/>
              </w:rPr>
              <w:t>分；</w:t>
            </w:r>
          </w:p>
          <w:p w14:paraId="682735EE">
            <w:pPr>
              <w:pStyle w:val="64"/>
              <w:spacing w:line="240" w:lineRule="auto"/>
              <w:jc w:val="left"/>
              <w:rPr>
                <w:rFonts w:ascii="仿宋" w:hAnsi="仿宋" w:cs="仿宋"/>
                <w:color w:val="auto"/>
                <w:sz w:val="21"/>
                <w:szCs w:val="21"/>
                <w:highlight w:val="none"/>
              </w:rPr>
            </w:pPr>
            <w:r>
              <w:rPr>
                <w:rFonts w:hint="eastAsia" w:ascii="仿宋" w:hAnsi="仿宋" w:cs="仿宋"/>
                <w:color w:val="auto"/>
                <w:sz w:val="21"/>
                <w:szCs w:val="21"/>
                <w:highlight w:val="none"/>
              </w:rPr>
              <w:t>（2）针对本项目实际情况，有完整的总体设想、技术思路及方法的内容描述，具有可行性和针对性的，得</w:t>
            </w:r>
            <w:r>
              <w:rPr>
                <w:rFonts w:hint="eastAsia" w:ascii="仿宋" w:hAnsi="仿宋" w:cs="仿宋"/>
                <w:color w:val="auto"/>
                <w:sz w:val="21"/>
                <w:szCs w:val="21"/>
                <w:highlight w:val="none"/>
                <w:lang w:val="en-US" w:eastAsia="zh-CN"/>
              </w:rPr>
              <w:t>4</w:t>
            </w:r>
            <w:r>
              <w:rPr>
                <w:rFonts w:hint="eastAsia" w:ascii="仿宋" w:hAnsi="仿宋" w:cs="仿宋"/>
                <w:color w:val="auto"/>
                <w:sz w:val="21"/>
                <w:szCs w:val="21"/>
                <w:highlight w:val="none"/>
              </w:rPr>
              <w:t>分；</w:t>
            </w:r>
          </w:p>
          <w:p w14:paraId="0C062E2D">
            <w:pPr>
              <w:pStyle w:val="64"/>
              <w:spacing w:line="240" w:lineRule="auto"/>
              <w:jc w:val="left"/>
              <w:rPr>
                <w:rFonts w:ascii="仿宋" w:hAnsi="仿宋" w:cs="仿宋"/>
                <w:color w:val="auto"/>
                <w:sz w:val="21"/>
                <w:szCs w:val="21"/>
                <w:highlight w:val="none"/>
              </w:rPr>
            </w:pPr>
            <w:r>
              <w:rPr>
                <w:rFonts w:hint="eastAsia" w:ascii="仿宋" w:hAnsi="仿宋" w:cs="仿宋"/>
                <w:color w:val="auto"/>
                <w:sz w:val="21"/>
                <w:szCs w:val="21"/>
                <w:highlight w:val="none"/>
              </w:rPr>
              <w:t>（3）总体设想、技术思路及方法的内容基本适合本项目采购需求，可行性、针对性有待改善的，得</w:t>
            </w:r>
            <w:r>
              <w:rPr>
                <w:rFonts w:hint="eastAsia" w:ascii="仿宋" w:hAnsi="仿宋" w:cs="仿宋"/>
                <w:color w:val="auto"/>
                <w:sz w:val="21"/>
                <w:szCs w:val="21"/>
                <w:highlight w:val="none"/>
                <w:lang w:val="en-US" w:eastAsia="zh-CN"/>
              </w:rPr>
              <w:t>3</w:t>
            </w:r>
            <w:r>
              <w:rPr>
                <w:rFonts w:hint="eastAsia" w:ascii="仿宋" w:hAnsi="仿宋" w:cs="仿宋"/>
                <w:color w:val="auto"/>
                <w:sz w:val="21"/>
                <w:szCs w:val="21"/>
                <w:highlight w:val="none"/>
              </w:rPr>
              <w:t>分；</w:t>
            </w:r>
          </w:p>
          <w:p w14:paraId="2695373D">
            <w:pPr>
              <w:pStyle w:val="64"/>
              <w:spacing w:line="240" w:lineRule="auto"/>
              <w:jc w:val="left"/>
              <w:rPr>
                <w:rFonts w:hint="eastAsia" w:ascii="Times New Roman" w:hAnsi="宋体" w:eastAsia="宋体" w:cs="Times New Roman"/>
                <w:color w:val="auto"/>
                <w:kern w:val="2"/>
                <w:sz w:val="21"/>
                <w:szCs w:val="21"/>
                <w:highlight w:val="none"/>
                <w:lang w:val="en-US" w:eastAsia="zh-CN" w:bidi="ar-SA"/>
              </w:rPr>
            </w:pPr>
            <w:r>
              <w:rPr>
                <w:rFonts w:hint="eastAsia" w:ascii="仿宋" w:hAnsi="仿宋" w:cs="仿宋"/>
                <w:color w:val="auto"/>
                <w:sz w:val="21"/>
                <w:szCs w:val="21"/>
                <w:highlight w:val="none"/>
              </w:rPr>
              <w:t>（4）方案不可行或者未提供相关内容的不得分。</w:t>
            </w:r>
          </w:p>
        </w:tc>
      </w:tr>
      <w:tr w14:paraId="70846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756" w:type="dxa"/>
            <w:vAlign w:val="center"/>
          </w:tcPr>
          <w:p w14:paraId="6DF9534D">
            <w:pPr>
              <w:rPr>
                <w:color w:val="auto"/>
                <w:highlight w:val="none"/>
              </w:rPr>
            </w:pPr>
          </w:p>
          <w:p w14:paraId="199736DE">
            <w:pPr>
              <w:pStyle w:val="64"/>
              <w:spacing w:line="240" w:lineRule="auto"/>
              <w:rPr>
                <w:rFonts w:hint="default" w:ascii="仿宋" w:hAnsi="仿宋" w:eastAsia="宋体" w:cs="仿宋"/>
                <w:color w:val="auto"/>
                <w:kern w:val="2"/>
                <w:sz w:val="21"/>
                <w:szCs w:val="21"/>
                <w:highlight w:val="none"/>
                <w:lang w:val="en-US" w:eastAsia="zh-CN" w:bidi="ar-SA"/>
              </w:rPr>
            </w:pPr>
            <w:r>
              <w:rPr>
                <w:rFonts w:hint="eastAsia" w:ascii="仿宋" w:hAnsi="仿宋" w:cs="仿宋"/>
                <w:color w:val="auto"/>
                <w:sz w:val="21"/>
                <w:szCs w:val="21"/>
                <w:highlight w:val="none"/>
                <w:lang w:val="en-US" w:eastAsia="zh-CN"/>
              </w:rPr>
              <w:t>9</w:t>
            </w:r>
          </w:p>
        </w:tc>
        <w:tc>
          <w:tcPr>
            <w:tcW w:w="1726" w:type="dxa"/>
            <w:vAlign w:val="center"/>
          </w:tcPr>
          <w:p w14:paraId="4C57E147">
            <w:pPr>
              <w:pStyle w:val="64"/>
              <w:spacing w:line="240" w:lineRule="auto"/>
              <w:rPr>
                <w:rFonts w:ascii="仿宋" w:hAnsi="仿宋" w:cs="仿宋"/>
                <w:color w:val="auto"/>
                <w:sz w:val="21"/>
                <w:szCs w:val="21"/>
                <w:highlight w:val="none"/>
              </w:rPr>
            </w:pPr>
            <w:r>
              <w:rPr>
                <w:rFonts w:hint="eastAsia" w:ascii="仿宋" w:hAnsi="仿宋" w:cs="仿宋"/>
                <w:color w:val="auto"/>
                <w:sz w:val="21"/>
                <w:szCs w:val="21"/>
                <w:highlight w:val="none"/>
              </w:rPr>
              <w:t>台州市市域低效用地再开发规划大纲技术方案</w:t>
            </w:r>
          </w:p>
          <w:p w14:paraId="4E9D7FB9">
            <w:pPr>
              <w:pStyle w:val="64"/>
              <w:spacing w:line="240" w:lineRule="auto"/>
              <w:rPr>
                <w:rFonts w:ascii="Times New Roman" w:hAnsi="宋体" w:eastAsia="宋体" w:cs="Times New Roman"/>
                <w:color w:val="auto"/>
                <w:kern w:val="2"/>
                <w:sz w:val="21"/>
                <w:szCs w:val="21"/>
                <w:highlight w:val="none"/>
                <w:lang w:val="en-US" w:eastAsia="zh-CN" w:bidi="ar-SA"/>
              </w:rPr>
            </w:pPr>
            <w:r>
              <w:rPr>
                <w:rFonts w:hint="eastAsia" w:ascii="仿宋" w:hAnsi="仿宋" w:cs="仿宋"/>
                <w:color w:val="auto"/>
                <w:kern w:val="0"/>
                <w:sz w:val="21"/>
                <w:szCs w:val="21"/>
                <w:highlight w:val="none"/>
                <w:lang w:eastAsia="zh-CN"/>
              </w:rPr>
              <w:t>（</w:t>
            </w:r>
            <w:r>
              <w:rPr>
                <w:rFonts w:hint="eastAsia" w:ascii="仿宋" w:hAnsi="仿宋" w:cs="仿宋"/>
                <w:color w:val="auto"/>
                <w:sz w:val="21"/>
                <w:szCs w:val="21"/>
                <w:highlight w:val="none"/>
                <w:lang w:val="en-US" w:eastAsia="zh-CN"/>
              </w:rPr>
              <w:t>6</w:t>
            </w:r>
            <w:r>
              <w:rPr>
                <w:rFonts w:hint="eastAsia" w:ascii="仿宋" w:hAnsi="仿宋" w:cs="仿宋"/>
                <w:color w:val="auto"/>
                <w:sz w:val="21"/>
                <w:szCs w:val="21"/>
                <w:highlight w:val="none"/>
              </w:rPr>
              <w:t>分</w:t>
            </w:r>
            <w:r>
              <w:rPr>
                <w:rFonts w:hint="eastAsia" w:ascii="仿宋" w:hAnsi="仿宋" w:cs="仿宋"/>
                <w:color w:val="auto"/>
                <w:kern w:val="0"/>
                <w:sz w:val="21"/>
                <w:szCs w:val="21"/>
                <w:highlight w:val="none"/>
                <w:lang w:eastAsia="zh-CN"/>
              </w:rPr>
              <w:t>）</w:t>
            </w:r>
          </w:p>
        </w:tc>
        <w:tc>
          <w:tcPr>
            <w:tcW w:w="0" w:type="auto"/>
            <w:vAlign w:val="top"/>
          </w:tcPr>
          <w:p w14:paraId="39BD207C">
            <w:pPr>
              <w:pStyle w:val="64"/>
              <w:spacing w:line="240" w:lineRule="auto"/>
              <w:jc w:val="left"/>
              <w:rPr>
                <w:rFonts w:ascii="仿宋" w:hAnsi="仿宋" w:cs="仿宋"/>
                <w:color w:val="auto"/>
                <w:sz w:val="21"/>
                <w:szCs w:val="21"/>
                <w:highlight w:val="none"/>
              </w:rPr>
            </w:pPr>
            <w:r>
              <w:rPr>
                <w:rFonts w:hint="eastAsia" w:ascii="仿宋" w:hAnsi="仿宋" w:cs="仿宋"/>
                <w:color w:val="auto"/>
                <w:sz w:val="21"/>
                <w:szCs w:val="21"/>
                <w:highlight w:val="none"/>
              </w:rPr>
              <w:t>根据</w:t>
            </w:r>
            <w:r>
              <w:rPr>
                <w:rFonts w:hint="eastAsia" w:ascii="仿宋" w:hAnsi="仿宋" w:cs="仿宋"/>
                <w:color w:val="auto"/>
                <w:sz w:val="21"/>
                <w:szCs w:val="21"/>
                <w:highlight w:val="none"/>
                <w:lang w:val="en-US" w:eastAsia="zh-CN"/>
              </w:rPr>
              <w:t>供应商</w:t>
            </w:r>
            <w:r>
              <w:rPr>
                <w:rFonts w:hint="eastAsia" w:ascii="仿宋" w:hAnsi="仿宋" w:cs="仿宋"/>
                <w:color w:val="auto"/>
                <w:sz w:val="21"/>
                <w:szCs w:val="21"/>
                <w:highlight w:val="none"/>
              </w:rPr>
              <w:t>制定的台州市市域低效用地再开发规划大纲编制思路与内容进行评分：</w:t>
            </w:r>
          </w:p>
          <w:p w14:paraId="27B0C112">
            <w:pPr>
              <w:pStyle w:val="64"/>
              <w:spacing w:line="240" w:lineRule="auto"/>
              <w:jc w:val="left"/>
              <w:rPr>
                <w:rFonts w:ascii="仿宋" w:hAnsi="仿宋" w:cs="仿宋"/>
                <w:color w:val="auto"/>
                <w:sz w:val="21"/>
                <w:szCs w:val="21"/>
                <w:highlight w:val="none"/>
              </w:rPr>
            </w:pPr>
            <w:r>
              <w:rPr>
                <w:rFonts w:hint="eastAsia" w:ascii="仿宋" w:hAnsi="仿宋" w:cs="仿宋"/>
                <w:color w:val="auto"/>
                <w:sz w:val="21"/>
                <w:szCs w:val="21"/>
                <w:highlight w:val="none"/>
              </w:rPr>
              <w:t>（1）内容完整、详尽细致；可行性、针对性强的，得</w:t>
            </w:r>
            <w:r>
              <w:rPr>
                <w:rFonts w:hint="eastAsia" w:ascii="仿宋" w:hAnsi="仿宋" w:cs="仿宋"/>
                <w:color w:val="auto"/>
                <w:sz w:val="21"/>
                <w:szCs w:val="21"/>
                <w:highlight w:val="none"/>
                <w:lang w:val="en-US" w:eastAsia="zh-CN"/>
              </w:rPr>
              <w:t>6</w:t>
            </w:r>
            <w:r>
              <w:rPr>
                <w:rFonts w:hint="eastAsia" w:ascii="仿宋" w:hAnsi="仿宋" w:cs="仿宋"/>
                <w:color w:val="auto"/>
                <w:sz w:val="21"/>
                <w:szCs w:val="21"/>
                <w:highlight w:val="none"/>
              </w:rPr>
              <w:t>分；</w:t>
            </w:r>
          </w:p>
          <w:p w14:paraId="5A29E1A1">
            <w:pPr>
              <w:pStyle w:val="64"/>
              <w:spacing w:line="240" w:lineRule="auto"/>
              <w:jc w:val="left"/>
              <w:rPr>
                <w:rFonts w:ascii="仿宋" w:hAnsi="仿宋" w:cs="仿宋"/>
                <w:color w:val="auto"/>
                <w:sz w:val="21"/>
                <w:szCs w:val="21"/>
                <w:highlight w:val="none"/>
              </w:rPr>
            </w:pPr>
            <w:r>
              <w:rPr>
                <w:rFonts w:hint="eastAsia" w:ascii="仿宋" w:hAnsi="仿宋" w:cs="仿宋"/>
                <w:color w:val="auto"/>
                <w:sz w:val="21"/>
                <w:szCs w:val="21"/>
                <w:highlight w:val="none"/>
              </w:rPr>
              <w:t>（2）内容完整；具有可行性和针对性的，得</w:t>
            </w:r>
            <w:r>
              <w:rPr>
                <w:rFonts w:hint="eastAsia" w:ascii="仿宋" w:hAnsi="仿宋" w:cs="仿宋"/>
                <w:color w:val="auto"/>
                <w:sz w:val="21"/>
                <w:szCs w:val="21"/>
                <w:highlight w:val="none"/>
                <w:lang w:val="en-US" w:eastAsia="zh-CN"/>
              </w:rPr>
              <w:t>5</w:t>
            </w:r>
            <w:r>
              <w:rPr>
                <w:rFonts w:hint="eastAsia" w:ascii="仿宋" w:hAnsi="仿宋" w:cs="仿宋"/>
                <w:color w:val="auto"/>
                <w:sz w:val="21"/>
                <w:szCs w:val="21"/>
                <w:highlight w:val="none"/>
              </w:rPr>
              <w:t>分；</w:t>
            </w:r>
          </w:p>
          <w:p w14:paraId="7F29FDE4">
            <w:pPr>
              <w:pStyle w:val="64"/>
              <w:spacing w:line="240" w:lineRule="auto"/>
              <w:jc w:val="left"/>
              <w:rPr>
                <w:rFonts w:ascii="仿宋" w:hAnsi="仿宋" w:cs="仿宋"/>
                <w:color w:val="auto"/>
                <w:sz w:val="21"/>
                <w:szCs w:val="21"/>
                <w:highlight w:val="none"/>
              </w:rPr>
            </w:pPr>
            <w:r>
              <w:rPr>
                <w:rFonts w:hint="eastAsia" w:ascii="仿宋" w:hAnsi="仿宋" w:cs="仿宋"/>
                <w:color w:val="auto"/>
                <w:sz w:val="21"/>
                <w:szCs w:val="21"/>
                <w:highlight w:val="none"/>
              </w:rPr>
              <w:t>（3）内容基本适合本项目采购需求，可行性、针对性有待改善的，得</w:t>
            </w:r>
            <w:r>
              <w:rPr>
                <w:rFonts w:hint="eastAsia" w:ascii="仿宋" w:hAnsi="仿宋" w:cs="仿宋"/>
                <w:color w:val="auto"/>
                <w:sz w:val="21"/>
                <w:szCs w:val="21"/>
                <w:highlight w:val="none"/>
                <w:lang w:val="en-US" w:eastAsia="zh-CN"/>
              </w:rPr>
              <w:t>4</w:t>
            </w:r>
            <w:r>
              <w:rPr>
                <w:rFonts w:hint="eastAsia" w:ascii="仿宋" w:hAnsi="仿宋" w:cs="仿宋"/>
                <w:color w:val="auto"/>
                <w:sz w:val="21"/>
                <w:szCs w:val="21"/>
                <w:highlight w:val="none"/>
              </w:rPr>
              <w:t>分；</w:t>
            </w:r>
          </w:p>
          <w:p w14:paraId="522AB334">
            <w:pPr>
              <w:pStyle w:val="64"/>
              <w:spacing w:line="240" w:lineRule="auto"/>
              <w:jc w:val="left"/>
              <w:rPr>
                <w:rFonts w:hint="eastAsia" w:ascii="仿宋" w:hAnsi="仿宋" w:eastAsia="宋体" w:cs="仿宋"/>
                <w:color w:val="auto"/>
                <w:kern w:val="2"/>
                <w:sz w:val="21"/>
                <w:szCs w:val="21"/>
                <w:highlight w:val="none"/>
                <w:lang w:val="en-US" w:eastAsia="zh-CN" w:bidi="ar-SA"/>
              </w:rPr>
            </w:pPr>
            <w:r>
              <w:rPr>
                <w:rFonts w:hint="eastAsia" w:ascii="仿宋" w:hAnsi="仿宋" w:cs="仿宋"/>
                <w:color w:val="auto"/>
                <w:sz w:val="21"/>
                <w:szCs w:val="21"/>
                <w:highlight w:val="none"/>
              </w:rPr>
              <w:t>（4）内容不可行或者未提供相关内容的不得分。</w:t>
            </w:r>
          </w:p>
        </w:tc>
      </w:tr>
      <w:tr w14:paraId="37A6D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jc w:val="center"/>
        </w:trPr>
        <w:tc>
          <w:tcPr>
            <w:tcW w:w="756" w:type="dxa"/>
            <w:vAlign w:val="center"/>
          </w:tcPr>
          <w:p w14:paraId="0E1F40BE">
            <w:pPr>
              <w:rPr>
                <w:color w:val="auto"/>
                <w:highlight w:val="none"/>
              </w:rPr>
            </w:pPr>
          </w:p>
          <w:p w14:paraId="3B5BC716">
            <w:pPr>
              <w:pStyle w:val="64"/>
              <w:spacing w:line="240" w:lineRule="auto"/>
              <w:rPr>
                <w:rFonts w:hint="default" w:ascii="仿宋" w:hAnsi="仿宋" w:eastAsia="宋体" w:cs="仿宋"/>
                <w:color w:val="auto"/>
                <w:kern w:val="2"/>
                <w:sz w:val="21"/>
                <w:szCs w:val="21"/>
                <w:highlight w:val="none"/>
                <w:lang w:val="en-US" w:eastAsia="zh-CN" w:bidi="ar-SA"/>
              </w:rPr>
            </w:pPr>
            <w:r>
              <w:rPr>
                <w:rFonts w:hint="eastAsia" w:ascii="仿宋" w:hAnsi="仿宋" w:cs="仿宋"/>
                <w:color w:val="auto"/>
                <w:sz w:val="21"/>
                <w:szCs w:val="21"/>
                <w:highlight w:val="none"/>
                <w:lang w:val="en-US" w:eastAsia="zh-CN"/>
              </w:rPr>
              <w:t>10</w:t>
            </w:r>
          </w:p>
        </w:tc>
        <w:tc>
          <w:tcPr>
            <w:tcW w:w="1726" w:type="dxa"/>
            <w:vAlign w:val="center"/>
          </w:tcPr>
          <w:p w14:paraId="1FE58FEB">
            <w:pPr>
              <w:pStyle w:val="64"/>
              <w:spacing w:line="240" w:lineRule="auto"/>
              <w:rPr>
                <w:rFonts w:ascii="仿宋" w:hAnsi="仿宋" w:cs="仿宋"/>
                <w:color w:val="auto"/>
                <w:sz w:val="21"/>
                <w:szCs w:val="21"/>
                <w:highlight w:val="none"/>
              </w:rPr>
            </w:pPr>
            <w:r>
              <w:rPr>
                <w:rFonts w:hint="eastAsia" w:ascii="仿宋" w:hAnsi="仿宋" w:cs="仿宋"/>
                <w:color w:val="auto"/>
                <w:sz w:val="21"/>
                <w:szCs w:val="21"/>
                <w:highlight w:val="none"/>
              </w:rPr>
              <w:t>市区低效用地再开发专项规划</w:t>
            </w:r>
          </w:p>
          <w:p w14:paraId="1FDF4CAF">
            <w:pPr>
              <w:pStyle w:val="64"/>
              <w:spacing w:line="240" w:lineRule="auto"/>
              <w:rPr>
                <w:rFonts w:ascii="仿宋" w:hAnsi="仿宋" w:eastAsia="宋体" w:cs="仿宋"/>
                <w:color w:val="auto"/>
                <w:kern w:val="2"/>
                <w:sz w:val="21"/>
                <w:szCs w:val="21"/>
                <w:highlight w:val="none"/>
                <w:lang w:val="en-US" w:eastAsia="zh-CN" w:bidi="ar-SA"/>
              </w:rPr>
            </w:pPr>
            <w:r>
              <w:rPr>
                <w:rFonts w:hint="eastAsia" w:ascii="仿宋" w:hAnsi="仿宋" w:cs="仿宋"/>
                <w:color w:val="auto"/>
                <w:kern w:val="0"/>
                <w:sz w:val="21"/>
                <w:szCs w:val="21"/>
                <w:highlight w:val="none"/>
                <w:lang w:eastAsia="zh-CN"/>
              </w:rPr>
              <w:t>（</w:t>
            </w:r>
            <w:r>
              <w:rPr>
                <w:rFonts w:hint="eastAsia" w:ascii="仿宋" w:hAnsi="仿宋" w:cs="仿宋"/>
                <w:color w:val="auto"/>
                <w:sz w:val="21"/>
                <w:szCs w:val="21"/>
                <w:highlight w:val="none"/>
                <w:lang w:val="en-US" w:eastAsia="zh-CN"/>
              </w:rPr>
              <w:t>6</w:t>
            </w:r>
            <w:r>
              <w:rPr>
                <w:rFonts w:hint="eastAsia" w:ascii="仿宋" w:hAnsi="仿宋" w:cs="仿宋"/>
                <w:color w:val="auto"/>
                <w:sz w:val="21"/>
                <w:szCs w:val="21"/>
                <w:highlight w:val="none"/>
              </w:rPr>
              <w:t>分</w:t>
            </w:r>
            <w:r>
              <w:rPr>
                <w:rFonts w:hint="eastAsia" w:ascii="仿宋" w:hAnsi="仿宋" w:cs="仿宋"/>
                <w:color w:val="auto"/>
                <w:kern w:val="0"/>
                <w:sz w:val="21"/>
                <w:szCs w:val="21"/>
                <w:highlight w:val="none"/>
                <w:lang w:eastAsia="zh-CN"/>
              </w:rPr>
              <w:t>）</w:t>
            </w:r>
          </w:p>
        </w:tc>
        <w:tc>
          <w:tcPr>
            <w:tcW w:w="0" w:type="auto"/>
            <w:vAlign w:val="center"/>
          </w:tcPr>
          <w:p w14:paraId="464555FE">
            <w:pPr>
              <w:pStyle w:val="64"/>
              <w:spacing w:line="240" w:lineRule="auto"/>
              <w:jc w:val="left"/>
              <w:rPr>
                <w:rFonts w:ascii="仿宋" w:hAnsi="仿宋" w:cs="仿宋"/>
                <w:color w:val="auto"/>
                <w:sz w:val="21"/>
                <w:szCs w:val="21"/>
                <w:highlight w:val="none"/>
              </w:rPr>
            </w:pPr>
            <w:r>
              <w:rPr>
                <w:rFonts w:hint="eastAsia" w:ascii="仿宋" w:hAnsi="仿宋" w:cs="仿宋"/>
                <w:color w:val="auto"/>
                <w:sz w:val="21"/>
                <w:szCs w:val="21"/>
                <w:highlight w:val="none"/>
              </w:rPr>
              <w:t>根据</w:t>
            </w:r>
            <w:r>
              <w:rPr>
                <w:rFonts w:hint="eastAsia" w:ascii="仿宋" w:hAnsi="仿宋" w:cs="仿宋"/>
                <w:color w:val="auto"/>
                <w:sz w:val="21"/>
                <w:szCs w:val="21"/>
                <w:highlight w:val="none"/>
                <w:lang w:val="en-US" w:eastAsia="zh-CN"/>
              </w:rPr>
              <w:t>供应商</w:t>
            </w:r>
            <w:r>
              <w:rPr>
                <w:rFonts w:hint="eastAsia" w:ascii="仿宋" w:hAnsi="仿宋" w:cs="仿宋"/>
                <w:color w:val="auto"/>
                <w:sz w:val="21"/>
                <w:szCs w:val="21"/>
                <w:highlight w:val="none"/>
              </w:rPr>
              <w:t>针对台州市区低效用地再开发专项规划的编制思路与内容进行综合评审；</w:t>
            </w:r>
          </w:p>
          <w:p w14:paraId="0E6404DE">
            <w:pPr>
              <w:pStyle w:val="64"/>
              <w:spacing w:line="240" w:lineRule="auto"/>
              <w:jc w:val="left"/>
              <w:rPr>
                <w:rFonts w:ascii="仿宋" w:hAnsi="仿宋" w:cs="仿宋"/>
                <w:color w:val="auto"/>
                <w:sz w:val="21"/>
                <w:szCs w:val="21"/>
                <w:highlight w:val="none"/>
              </w:rPr>
            </w:pPr>
            <w:r>
              <w:rPr>
                <w:rFonts w:hint="eastAsia" w:ascii="仿宋" w:hAnsi="仿宋" w:cs="仿宋"/>
                <w:color w:val="auto"/>
                <w:sz w:val="21"/>
                <w:szCs w:val="21"/>
                <w:highlight w:val="none"/>
              </w:rPr>
              <w:t>（1）内容完整、详尽细致；可行性、针对性强的，得</w:t>
            </w:r>
            <w:r>
              <w:rPr>
                <w:rFonts w:hint="eastAsia" w:ascii="仿宋" w:hAnsi="仿宋" w:cs="仿宋"/>
                <w:color w:val="auto"/>
                <w:sz w:val="21"/>
                <w:szCs w:val="21"/>
                <w:highlight w:val="none"/>
                <w:lang w:val="en-US" w:eastAsia="zh-CN"/>
              </w:rPr>
              <w:t>6</w:t>
            </w:r>
            <w:r>
              <w:rPr>
                <w:rFonts w:hint="eastAsia" w:ascii="仿宋" w:hAnsi="仿宋" w:cs="仿宋"/>
                <w:color w:val="auto"/>
                <w:sz w:val="21"/>
                <w:szCs w:val="21"/>
                <w:highlight w:val="none"/>
              </w:rPr>
              <w:t>分；</w:t>
            </w:r>
          </w:p>
          <w:p w14:paraId="43639C99">
            <w:pPr>
              <w:pStyle w:val="64"/>
              <w:spacing w:line="240" w:lineRule="auto"/>
              <w:jc w:val="left"/>
              <w:rPr>
                <w:rFonts w:ascii="仿宋" w:hAnsi="仿宋" w:cs="仿宋"/>
                <w:color w:val="auto"/>
                <w:sz w:val="21"/>
                <w:szCs w:val="21"/>
                <w:highlight w:val="none"/>
              </w:rPr>
            </w:pPr>
            <w:r>
              <w:rPr>
                <w:rFonts w:hint="eastAsia" w:ascii="仿宋" w:hAnsi="仿宋" w:cs="仿宋"/>
                <w:color w:val="auto"/>
                <w:sz w:val="21"/>
                <w:szCs w:val="21"/>
                <w:highlight w:val="none"/>
              </w:rPr>
              <w:t>（2）内容完整；具有可行性和针对性的，得</w:t>
            </w:r>
            <w:r>
              <w:rPr>
                <w:rFonts w:hint="eastAsia" w:ascii="仿宋" w:hAnsi="仿宋" w:cs="仿宋"/>
                <w:color w:val="auto"/>
                <w:sz w:val="21"/>
                <w:szCs w:val="21"/>
                <w:highlight w:val="none"/>
                <w:lang w:val="en-US" w:eastAsia="zh-CN"/>
              </w:rPr>
              <w:t>5</w:t>
            </w:r>
            <w:r>
              <w:rPr>
                <w:rFonts w:hint="eastAsia" w:ascii="仿宋" w:hAnsi="仿宋" w:cs="仿宋"/>
                <w:color w:val="auto"/>
                <w:sz w:val="21"/>
                <w:szCs w:val="21"/>
                <w:highlight w:val="none"/>
              </w:rPr>
              <w:t>分；</w:t>
            </w:r>
          </w:p>
          <w:p w14:paraId="1FE50A44">
            <w:pPr>
              <w:pStyle w:val="64"/>
              <w:spacing w:line="240" w:lineRule="auto"/>
              <w:jc w:val="left"/>
              <w:rPr>
                <w:rFonts w:ascii="仿宋" w:hAnsi="仿宋" w:cs="仿宋"/>
                <w:color w:val="auto"/>
                <w:sz w:val="21"/>
                <w:szCs w:val="21"/>
                <w:highlight w:val="none"/>
              </w:rPr>
            </w:pPr>
            <w:r>
              <w:rPr>
                <w:rFonts w:hint="eastAsia" w:ascii="仿宋" w:hAnsi="仿宋" w:cs="仿宋"/>
                <w:color w:val="auto"/>
                <w:sz w:val="21"/>
                <w:szCs w:val="21"/>
                <w:highlight w:val="none"/>
              </w:rPr>
              <w:t>（3）内容基本适合本项目采购需求，可行性、针对性有待改善的，得</w:t>
            </w:r>
            <w:r>
              <w:rPr>
                <w:rFonts w:hint="eastAsia" w:ascii="仿宋" w:hAnsi="仿宋" w:cs="仿宋"/>
                <w:color w:val="auto"/>
                <w:sz w:val="21"/>
                <w:szCs w:val="21"/>
                <w:highlight w:val="none"/>
                <w:lang w:val="en-US" w:eastAsia="zh-CN"/>
              </w:rPr>
              <w:t>4</w:t>
            </w:r>
            <w:r>
              <w:rPr>
                <w:rFonts w:hint="eastAsia" w:ascii="仿宋" w:hAnsi="仿宋" w:cs="仿宋"/>
                <w:color w:val="auto"/>
                <w:sz w:val="21"/>
                <w:szCs w:val="21"/>
                <w:highlight w:val="none"/>
              </w:rPr>
              <w:t>分；</w:t>
            </w:r>
          </w:p>
          <w:p w14:paraId="11840482">
            <w:pPr>
              <w:pStyle w:val="64"/>
              <w:spacing w:line="240" w:lineRule="auto"/>
              <w:jc w:val="left"/>
              <w:rPr>
                <w:rFonts w:hint="eastAsia" w:ascii="仿宋" w:hAnsi="仿宋" w:eastAsia="宋体" w:cs="仿宋"/>
                <w:color w:val="auto"/>
                <w:kern w:val="2"/>
                <w:sz w:val="21"/>
                <w:szCs w:val="21"/>
                <w:highlight w:val="none"/>
                <w:lang w:val="en-US" w:eastAsia="zh-CN" w:bidi="ar-SA"/>
              </w:rPr>
            </w:pPr>
            <w:r>
              <w:rPr>
                <w:rFonts w:hint="eastAsia" w:ascii="仿宋" w:hAnsi="仿宋" w:cs="仿宋"/>
                <w:color w:val="auto"/>
                <w:sz w:val="21"/>
                <w:szCs w:val="21"/>
                <w:highlight w:val="none"/>
              </w:rPr>
              <w:t>（4）内容不可行或者未提供相关内容的不得分。</w:t>
            </w:r>
          </w:p>
        </w:tc>
      </w:tr>
      <w:tr w14:paraId="74A20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jc w:val="center"/>
        </w:trPr>
        <w:tc>
          <w:tcPr>
            <w:tcW w:w="756" w:type="dxa"/>
            <w:vAlign w:val="center"/>
          </w:tcPr>
          <w:p w14:paraId="45062FDD">
            <w:pPr>
              <w:pStyle w:val="64"/>
              <w:spacing w:line="240" w:lineRule="auto"/>
              <w:rPr>
                <w:rFonts w:hint="default" w:ascii="Times New Roman" w:hAnsi="宋体" w:eastAsia="宋体" w:cs="Times New Roman"/>
                <w:color w:val="auto"/>
                <w:kern w:val="2"/>
                <w:sz w:val="21"/>
                <w:szCs w:val="21"/>
                <w:highlight w:val="none"/>
                <w:lang w:val="en-US" w:eastAsia="zh-CN" w:bidi="ar-SA"/>
              </w:rPr>
            </w:pPr>
            <w:r>
              <w:rPr>
                <w:rFonts w:hint="eastAsia" w:ascii="仿宋" w:hAnsi="仿宋" w:cs="仿宋"/>
                <w:color w:val="auto"/>
                <w:sz w:val="21"/>
                <w:szCs w:val="21"/>
                <w:highlight w:val="none"/>
                <w:lang w:val="en-US" w:eastAsia="zh-CN"/>
              </w:rPr>
              <w:t>11</w:t>
            </w:r>
          </w:p>
        </w:tc>
        <w:tc>
          <w:tcPr>
            <w:tcW w:w="1726" w:type="dxa"/>
            <w:vAlign w:val="center"/>
          </w:tcPr>
          <w:p w14:paraId="1C04226E">
            <w:pPr>
              <w:pStyle w:val="64"/>
              <w:spacing w:line="240" w:lineRule="auto"/>
              <w:rPr>
                <w:rFonts w:ascii="仿宋" w:hAnsi="仿宋" w:cs="仿宋"/>
                <w:color w:val="auto"/>
                <w:sz w:val="21"/>
                <w:szCs w:val="21"/>
                <w:highlight w:val="none"/>
              </w:rPr>
            </w:pPr>
            <w:r>
              <w:rPr>
                <w:rFonts w:hint="eastAsia" w:ascii="仿宋" w:hAnsi="仿宋" w:cs="仿宋"/>
                <w:color w:val="auto"/>
                <w:sz w:val="21"/>
                <w:szCs w:val="21"/>
                <w:highlight w:val="none"/>
              </w:rPr>
              <w:t>低效用地分类盘活路径</w:t>
            </w:r>
          </w:p>
          <w:p w14:paraId="2E8C1F3F">
            <w:pPr>
              <w:pStyle w:val="64"/>
              <w:spacing w:line="240" w:lineRule="auto"/>
              <w:rPr>
                <w:rFonts w:ascii="仿宋" w:hAnsi="仿宋" w:eastAsia="宋体" w:cs="仿宋"/>
                <w:color w:val="auto"/>
                <w:kern w:val="2"/>
                <w:sz w:val="21"/>
                <w:szCs w:val="21"/>
                <w:highlight w:val="none"/>
                <w:lang w:val="en-US" w:eastAsia="zh-CN" w:bidi="ar-SA"/>
              </w:rPr>
            </w:pPr>
            <w:r>
              <w:rPr>
                <w:rFonts w:hint="eastAsia" w:ascii="仿宋" w:hAnsi="仿宋" w:cs="仿宋"/>
                <w:color w:val="auto"/>
                <w:kern w:val="0"/>
                <w:sz w:val="21"/>
                <w:szCs w:val="21"/>
                <w:highlight w:val="none"/>
                <w:lang w:eastAsia="zh-CN"/>
              </w:rPr>
              <w:t>（</w:t>
            </w:r>
            <w:r>
              <w:rPr>
                <w:rFonts w:hint="eastAsia" w:ascii="仿宋" w:hAnsi="仿宋" w:cs="仿宋"/>
                <w:color w:val="auto"/>
                <w:sz w:val="21"/>
                <w:szCs w:val="21"/>
                <w:highlight w:val="none"/>
                <w:lang w:val="en-US" w:eastAsia="zh-CN"/>
              </w:rPr>
              <w:t>6</w:t>
            </w:r>
            <w:r>
              <w:rPr>
                <w:rFonts w:hint="eastAsia" w:ascii="仿宋" w:hAnsi="仿宋" w:cs="仿宋"/>
                <w:color w:val="auto"/>
                <w:sz w:val="21"/>
                <w:szCs w:val="21"/>
                <w:highlight w:val="none"/>
              </w:rPr>
              <w:t>分</w:t>
            </w:r>
            <w:r>
              <w:rPr>
                <w:rFonts w:hint="eastAsia" w:ascii="仿宋" w:hAnsi="仿宋" w:cs="仿宋"/>
                <w:color w:val="auto"/>
                <w:kern w:val="0"/>
                <w:sz w:val="21"/>
                <w:szCs w:val="21"/>
                <w:highlight w:val="none"/>
                <w:lang w:eastAsia="zh-CN"/>
              </w:rPr>
              <w:t>）</w:t>
            </w:r>
          </w:p>
        </w:tc>
        <w:tc>
          <w:tcPr>
            <w:tcW w:w="0" w:type="auto"/>
            <w:vAlign w:val="center"/>
          </w:tcPr>
          <w:p w14:paraId="1F0B82F9">
            <w:pPr>
              <w:pStyle w:val="64"/>
              <w:spacing w:line="240" w:lineRule="auto"/>
              <w:jc w:val="left"/>
              <w:rPr>
                <w:rFonts w:ascii="仿宋" w:hAnsi="仿宋" w:cs="仿宋"/>
                <w:color w:val="auto"/>
                <w:sz w:val="21"/>
                <w:szCs w:val="21"/>
                <w:highlight w:val="none"/>
              </w:rPr>
            </w:pPr>
            <w:r>
              <w:rPr>
                <w:rFonts w:hint="eastAsia" w:ascii="仿宋" w:hAnsi="仿宋" w:cs="仿宋"/>
                <w:color w:val="auto"/>
                <w:sz w:val="21"/>
                <w:szCs w:val="21"/>
                <w:highlight w:val="none"/>
              </w:rPr>
              <w:t>根据</w:t>
            </w:r>
            <w:r>
              <w:rPr>
                <w:rFonts w:hint="eastAsia" w:ascii="仿宋" w:hAnsi="仿宋" w:cs="仿宋"/>
                <w:color w:val="auto"/>
                <w:sz w:val="21"/>
                <w:szCs w:val="21"/>
                <w:highlight w:val="none"/>
                <w:lang w:val="en-US" w:eastAsia="zh-CN"/>
              </w:rPr>
              <w:t>供应商</w:t>
            </w:r>
            <w:r>
              <w:rPr>
                <w:rFonts w:hint="eastAsia" w:ascii="仿宋" w:hAnsi="仿宋" w:cs="仿宋"/>
                <w:color w:val="auto"/>
                <w:sz w:val="21"/>
                <w:szCs w:val="21"/>
                <w:highlight w:val="none"/>
              </w:rPr>
              <w:t>针对台州市低效城镇用地、低效工业用地、低效村庄用地的问题，低效盘活路径进行综合评审；</w:t>
            </w:r>
          </w:p>
          <w:p w14:paraId="70642188">
            <w:pPr>
              <w:pStyle w:val="64"/>
              <w:spacing w:line="240" w:lineRule="auto"/>
              <w:jc w:val="left"/>
              <w:rPr>
                <w:rFonts w:ascii="仿宋" w:hAnsi="仿宋" w:cs="仿宋"/>
                <w:color w:val="auto"/>
                <w:sz w:val="21"/>
                <w:szCs w:val="21"/>
                <w:highlight w:val="none"/>
              </w:rPr>
            </w:pPr>
            <w:r>
              <w:rPr>
                <w:rFonts w:hint="eastAsia" w:ascii="仿宋" w:hAnsi="仿宋" w:cs="仿宋"/>
                <w:color w:val="auto"/>
                <w:sz w:val="21"/>
                <w:szCs w:val="21"/>
                <w:highlight w:val="none"/>
              </w:rPr>
              <w:t>（1）内容完整、详尽细致；可行性、针对性强的，得</w:t>
            </w:r>
            <w:r>
              <w:rPr>
                <w:rFonts w:hint="eastAsia" w:ascii="仿宋" w:hAnsi="仿宋" w:cs="仿宋"/>
                <w:color w:val="auto"/>
                <w:sz w:val="21"/>
                <w:szCs w:val="21"/>
                <w:highlight w:val="none"/>
                <w:lang w:val="en-US" w:eastAsia="zh-CN"/>
              </w:rPr>
              <w:t>6</w:t>
            </w:r>
            <w:r>
              <w:rPr>
                <w:rFonts w:hint="eastAsia" w:ascii="仿宋" w:hAnsi="仿宋" w:cs="仿宋"/>
                <w:color w:val="auto"/>
                <w:sz w:val="21"/>
                <w:szCs w:val="21"/>
                <w:highlight w:val="none"/>
              </w:rPr>
              <w:t>分；</w:t>
            </w:r>
          </w:p>
          <w:p w14:paraId="58588190">
            <w:pPr>
              <w:pStyle w:val="64"/>
              <w:spacing w:line="240" w:lineRule="auto"/>
              <w:jc w:val="left"/>
              <w:rPr>
                <w:rFonts w:ascii="仿宋" w:hAnsi="仿宋" w:cs="仿宋"/>
                <w:color w:val="auto"/>
                <w:sz w:val="21"/>
                <w:szCs w:val="21"/>
                <w:highlight w:val="none"/>
              </w:rPr>
            </w:pPr>
            <w:r>
              <w:rPr>
                <w:rFonts w:hint="eastAsia" w:ascii="仿宋" w:hAnsi="仿宋" w:cs="仿宋"/>
                <w:color w:val="auto"/>
                <w:sz w:val="21"/>
                <w:szCs w:val="21"/>
                <w:highlight w:val="none"/>
              </w:rPr>
              <w:t>（2）内容完整；具有可行性和针对性的，得</w:t>
            </w:r>
            <w:r>
              <w:rPr>
                <w:rFonts w:hint="eastAsia" w:ascii="仿宋" w:hAnsi="仿宋" w:cs="仿宋"/>
                <w:color w:val="auto"/>
                <w:sz w:val="21"/>
                <w:szCs w:val="21"/>
                <w:highlight w:val="none"/>
                <w:lang w:val="en-US" w:eastAsia="zh-CN"/>
              </w:rPr>
              <w:t>5</w:t>
            </w:r>
            <w:r>
              <w:rPr>
                <w:rFonts w:hint="eastAsia" w:ascii="仿宋" w:hAnsi="仿宋" w:cs="仿宋"/>
                <w:color w:val="auto"/>
                <w:sz w:val="21"/>
                <w:szCs w:val="21"/>
                <w:highlight w:val="none"/>
              </w:rPr>
              <w:t>分；</w:t>
            </w:r>
          </w:p>
          <w:p w14:paraId="415584D0">
            <w:pPr>
              <w:pStyle w:val="64"/>
              <w:spacing w:line="240" w:lineRule="auto"/>
              <w:jc w:val="left"/>
              <w:rPr>
                <w:rFonts w:ascii="仿宋" w:hAnsi="仿宋" w:cs="仿宋"/>
                <w:color w:val="auto"/>
                <w:sz w:val="21"/>
                <w:szCs w:val="21"/>
                <w:highlight w:val="none"/>
              </w:rPr>
            </w:pPr>
            <w:r>
              <w:rPr>
                <w:rFonts w:hint="eastAsia" w:ascii="仿宋" w:hAnsi="仿宋" w:cs="仿宋"/>
                <w:color w:val="auto"/>
                <w:sz w:val="21"/>
                <w:szCs w:val="21"/>
                <w:highlight w:val="none"/>
              </w:rPr>
              <w:t>（3）内容基本适合本项目采购需求，可行性、针对性有待改善的，得</w:t>
            </w:r>
            <w:r>
              <w:rPr>
                <w:rFonts w:hint="eastAsia" w:ascii="仿宋" w:hAnsi="仿宋" w:cs="仿宋"/>
                <w:color w:val="auto"/>
                <w:sz w:val="21"/>
                <w:szCs w:val="21"/>
                <w:highlight w:val="none"/>
                <w:lang w:val="en-US" w:eastAsia="zh-CN"/>
              </w:rPr>
              <w:t>4</w:t>
            </w:r>
            <w:r>
              <w:rPr>
                <w:rFonts w:hint="eastAsia" w:ascii="仿宋" w:hAnsi="仿宋" w:cs="仿宋"/>
                <w:color w:val="auto"/>
                <w:sz w:val="21"/>
                <w:szCs w:val="21"/>
                <w:highlight w:val="none"/>
              </w:rPr>
              <w:t>分；</w:t>
            </w:r>
          </w:p>
          <w:p w14:paraId="155C483B">
            <w:pPr>
              <w:pStyle w:val="64"/>
              <w:spacing w:line="240" w:lineRule="auto"/>
              <w:jc w:val="left"/>
              <w:rPr>
                <w:rFonts w:hint="eastAsia" w:ascii="仿宋" w:hAnsi="仿宋" w:eastAsia="宋体" w:cs="仿宋"/>
                <w:color w:val="auto"/>
                <w:kern w:val="2"/>
                <w:sz w:val="21"/>
                <w:szCs w:val="21"/>
                <w:highlight w:val="none"/>
                <w:lang w:val="en-US" w:eastAsia="zh-CN" w:bidi="ar-SA"/>
              </w:rPr>
            </w:pPr>
            <w:r>
              <w:rPr>
                <w:rFonts w:hint="eastAsia" w:ascii="仿宋" w:hAnsi="仿宋" w:cs="仿宋"/>
                <w:color w:val="auto"/>
                <w:sz w:val="21"/>
                <w:szCs w:val="21"/>
                <w:highlight w:val="none"/>
              </w:rPr>
              <w:t>（4）内容不可行或者未提供相关内容的不得分。</w:t>
            </w:r>
          </w:p>
        </w:tc>
      </w:tr>
      <w:tr w14:paraId="6161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jc w:val="center"/>
        </w:trPr>
        <w:tc>
          <w:tcPr>
            <w:tcW w:w="756" w:type="dxa"/>
            <w:vAlign w:val="center"/>
          </w:tcPr>
          <w:p w14:paraId="527CA208">
            <w:pPr>
              <w:rPr>
                <w:color w:val="auto"/>
                <w:highlight w:val="none"/>
              </w:rPr>
            </w:pPr>
          </w:p>
          <w:p w14:paraId="66404070">
            <w:pPr>
              <w:pStyle w:val="64"/>
              <w:spacing w:line="240" w:lineRule="auto"/>
              <w:rPr>
                <w:rFonts w:hint="default" w:ascii="仿宋" w:hAnsi="仿宋" w:eastAsia="宋体" w:cs="仿宋"/>
                <w:color w:val="auto"/>
                <w:kern w:val="2"/>
                <w:sz w:val="21"/>
                <w:szCs w:val="21"/>
                <w:highlight w:val="none"/>
                <w:lang w:val="en-US" w:eastAsia="zh-CN" w:bidi="ar-SA"/>
              </w:rPr>
            </w:pPr>
            <w:r>
              <w:rPr>
                <w:rFonts w:hint="eastAsia" w:ascii="仿宋" w:hAnsi="仿宋" w:cs="仿宋"/>
                <w:color w:val="auto"/>
                <w:sz w:val="21"/>
                <w:szCs w:val="21"/>
                <w:highlight w:val="none"/>
                <w:lang w:val="en-US" w:eastAsia="zh-CN"/>
              </w:rPr>
              <w:t>12</w:t>
            </w:r>
          </w:p>
        </w:tc>
        <w:tc>
          <w:tcPr>
            <w:tcW w:w="1726" w:type="dxa"/>
            <w:vAlign w:val="center"/>
          </w:tcPr>
          <w:p w14:paraId="41A80DEB">
            <w:pPr>
              <w:pStyle w:val="64"/>
              <w:spacing w:line="240" w:lineRule="auto"/>
              <w:rPr>
                <w:rFonts w:ascii="仿宋" w:hAnsi="仿宋" w:cs="仿宋"/>
                <w:color w:val="auto"/>
                <w:sz w:val="21"/>
                <w:szCs w:val="21"/>
                <w:highlight w:val="none"/>
              </w:rPr>
            </w:pPr>
            <w:r>
              <w:rPr>
                <w:rFonts w:hint="eastAsia" w:ascii="仿宋" w:hAnsi="仿宋" w:cs="仿宋"/>
                <w:color w:val="auto"/>
                <w:sz w:val="21"/>
                <w:szCs w:val="21"/>
                <w:highlight w:val="none"/>
              </w:rPr>
              <w:t>规划体系衔接</w:t>
            </w:r>
          </w:p>
          <w:p w14:paraId="042C005B">
            <w:pPr>
              <w:pStyle w:val="64"/>
              <w:spacing w:line="240" w:lineRule="auto"/>
              <w:rPr>
                <w:rFonts w:ascii="仿宋" w:hAnsi="仿宋" w:eastAsia="宋体" w:cs="仿宋"/>
                <w:color w:val="auto"/>
                <w:kern w:val="2"/>
                <w:sz w:val="21"/>
                <w:szCs w:val="21"/>
                <w:highlight w:val="none"/>
                <w:lang w:val="en-US" w:eastAsia="zh-CN" w:bidi="ar-SA"/>
              </w:rPr>
            </w:pPr>
            <w:r>
              <w:rPr>
                <w:rFonts w:hint="eastAsia" w:ascii="仿宋" w:hAnsi="仿宋" w:cs="仿宋"/>
                <w:color w:val="auto"/>
                <w:kern w:val="0"/>
                <w:sz w:val="21"/>
                <w:szCs w:val="21"/>
                <w:highlight w:val="none"/>
                <w:lang w:eastAsia="zh-CN"/>
              </w:rPr>
              <w:t>（</w:t>
            </w:r>
            <w:r>
              <w:rPr>
                <w:rFonts w:hint="eastAsia" w:ascii="仿宋" w:hAnsi="仿宋" w:cs="仿宋"/>
                <w:color w:val="auto"/>
                <w:sz w:val="21"/>
                <w:szCs w:val="21"/>
                <w:highlight w:val="none"/>
                <w:lang w:val="en-US" w:eastAsia="zh-CN"/>
              </w:rPr>
              <w:t>6</w:t>
            </w:r>
            <w:r>
              <w:rPr>
                <w:rFonts w:hint="eastAsia" w:ascii="仿宋" w:hAnsi="仿宋" w:cs="仿宋"/>
                <w:color w:val="auto"/>
                <w:sz w:val="21"/>
                <w:szCs w:val="21"/>
                <w:highlight w:val="none"/>
              </w:rPr>
              <w:t>分</w:t>
            </w:r>
            <w:r>
              <w:rPr>
                <w:rFonts w:hint="eastAsia" w:ascii="仿宋" w:hAnsi="仿宋" w:cs="仿宋"/>
                <w:color w:val="auto"/>
                <w:kern w:val="0"/>
                <w:sz w:val="21"/>
                <w:szCs w:val="21"/>
                <w:highlight w:val="none"/>
                <w:lang w:eastAsia="zh-CN"/>
              </w:rPr>
              <w:t>）</w:t>
            </w:r>
          </w:p>
        </w:tc>
        <w:tc>
          <w:tcPr>
            <w:tcW w:w="0" w:type="auto"/>
            <w:vAlign w:val="center"/>
          </w:tcPr>
          <w:p w14:paraId="44F18610">
            <w:pPr>
              <w:pStyle w:val="64"/>
              <w:spacing w:line="240" w:lineRule="auto"/>
              <w:jc w:val="left"/>
              <w:rPr>
                <w:rFonts w:ascii="仿宋" w:hAnsi="仿宋" w:cs="仿宋"/>
                <w:color w:val="auto"/>
                <w:sz w:val="21"/>
                <w:szCs w:val="21"/>
                <w:highlight w:val="none"/>
              </w:rPr>
            </w:pPr>
            <w:r>
              <w:rPr>
                <w:rFonts w:hint="eastAsia" w:ascii="仿宋" w:hAnsi="仿宋" w:cs="仿宋"/>
                <w:color w:val="auto"/>
                <w:sz w:val="21"/>
                <w:szCs w:val="21"/>
                <w:highlight w:val="none"/>
              </w:rPr>
              <w:t>根据</w:t>
            </w:r>
            <w:r>
              <w:rPr>
                <w:rFonts w:hint="eastAsia" w:ascii="仿宋" w:hAnsi="仿宋" w:cs="仿宋"/>
                <w:color w:val="auto"/>
                <w:sz w:val="21"/>
                <w:szCs w:val="21"/>
                <w:highlight w:val="none"/>
                <w:lang w:val="en-US" w:eastAsia="zh-CN"/>
              </w:rPr>
              <w:t>供应商</w:t>
            </w:r>
            <w:r>
              <w:rPr>
                <w:rFonts w:hint="eastAsia" w:ascii="仿宋" w:hAnsi="仿宋" w:cs="仿宋"/>
                <w:color w:val="auto"/>
                <w:sz w:val="21"/>
                <w:szCs w:val="21"/>
                <w:highlight w:val="none"/>
              </w:rPr>
              <w:t>针对低效用地再开发专项规划与台州市既有规划体系的衔接方法、总体技术路线安排、促进项目实施落地的规划路径进行综合评审；</w:t>
            </w:r>
          </w:p>
          <w:p w14:paraId="5516DF57">
            <w:pPr>
              <w:pStyle w:val="64"/>
              <w:spacing w:line="240" w:lineRule="auto"/>
              <w:jc w:val="left"/>
              <w:rPr>
                <w:rFonts w:ascii="仿宋" w:hAnsi="仿宋" w:cs="仿宋"/>
                <w:color w:val="auto"/>
                <w:sz w:val="21"/>
                <w:szCs w:val="21"/>
                <w:highlight w:val="none"/>
              </w:rPr>
            </w:pPr>
            <w:r>
              <w:rPr>
                <w:rFonts w:hint="eastAsia" w:ascii="仿宋" w:hAnsi="仿宋" w:cs="仿宋"/>
                <w:color w:val="auto"/>
                <w:sz w:val="21"/>
                <w:szCs w:val="21"/>
                <w:highlight w:val="none"/>
              </w:rPr>
              <w:t>（1）内容完整、详尽细致；可行性、针对性强的，得</w:t>
            </w:r>
            <w:r>
              <w:rPr>
                <w:rFonts w:hint="eastAsia" w:ascii="仿宋" w:hAnsi="仿宋" w:cs="仿宋"/>
                <w:color w:val="auto"/>
                <w:sz w:val="21"/>
                <w:szCs w:val="21"/>
                <w:highlight w:val="none"/>
                <w:lang w:val="en-US" w:eastAsia="zh-CN"/>
              </w:rPr>
              <w:t>6</w:t>
            </w:r>
            <w:r>
              <w:rPr>
                <w:rFonts w:hint="eastAsia" w:ascii="仿宋" w:hAnsi="仿宋" w:cs="仿宋"/>
                <w:color w:val="auto"/>
                <w:sz w:val="21"/>
                <w:szCs w:val="21"/>
                <w:highlight w:val="none"/>
              </w:rPr>
              <w:t>分；</w:t>
            </w:r>
          </w:p>
          <w:p w14:paraId="7821741A">
            <w:pPr>
              <w:pStyle w:val="64"/>
              <w:spacing w:line="240" w:lineRule="auto"/>
              <w:jc w:val="left"/>
              <w:rPr>
                <w:rFonts w:ascii="仿宋" w:hAnsi="仿宋" w:cs="仿宋"/>
                <w:color w:val="auto"/>
                <w:sz w:val="21"/>
                <w:szCs w:val="21"/>
                <w:highlight w:val="none"/>
              </w:rPr>
            </w:pPr>
            <w:r>
              <w:rPr>
                <w:rFonts w:hint="eastAsia" w:ascii="仿宋" w:hAnsi="仿宋" w:cs="仿宋"/>
                <w:color w:val="auto"/>
                <w:sz w:val="21"/>
                <w:szCs w:val="21"/>
                <w:highlight w:val="none"/>
              </w:rPr>
              <w:t>（2）内容完整；具有可行性和针对性的，得</w:t>
            </w:r>
            <w:r>
              <w:rPr>
                <w:rFonts w:hint="eastAsia" w:ascii="仿宋" w:hAnsi="仿宋" w:cs="仿宋"/>
                <w:color w:val="auto"/>
                <w:sz w:val="21"/>
                <w:szCs w:val="21"/>
                <w:highlight w:val="none"/>
                <w:lang w:val="en-US" w:eastAsia="zh-CN"/>
              </w:rPr>
              <w:t>5</w:t>
            </w:r>
            <w:r>
              <w:rPr>
                <w:rFonts w:hint="eastAsia" w:ascii="仿宋" w:hAnsi="仿宋" w:cs="仿宋"/>
                <w:color w:val="auto"/>
                <w:sz w:val="21"/>
                <w:szCs w:val="21"/>
                <w:highlight w:val="none"/>
              </w:rPr>
              <w:t>分；</w:t>
            </w:r>
          </w:p>
          <w:p w14:paraId="6399D082">
            <w:pPr>
              <w:pStyle w:val="64"/>
              <w:spacing w:line="240" w:lineRule="auto"/>
              <w:jc w:val="left"/>
              <w:rPr>
                <w:rFonts w:ascii="仿宋" w:hAnsi="仿宋" w:cs="仿宋"/>
                <w:color w:val="auto"/>
                <w:sz w:val="21"/>
                <w:szCs w:val="21"/>
                <w:highlight w:val="none"/>
              </w:rPr>
            </w:pPr>
            <w:r>
              <w:rPr>
                <w:rFonts w:hint="eastAsia" w:ascii="仿宋" w:hAnsi="仿宋" w:cs="仿宋"/>
                <w:color w:val="auto"/>
                <w:sz w:val="21"/>
                <w:szCs w:val="21"/>
                <w:highlight w:val="none"/>
              </w:rPr>
              <w:t>（3）内容基本适合本项目采购需求，可行性、针对性有待改善的，得</w:t>
            </w:r>
            <w:r>
              <w:rPr>
                <w:rFonts w:hint="eastAsia" w:ascii="仿宋" w:hAnsi="仿宋" w:cs="仿宋"/>
                <w:color w:val="auto"/>
                <w:sz w:val="21"/>
                <w:szCs w:val="21"/>
                <w:highlight w:val="none"/>
                <w:lang w:val="en-US" w:eastAsia="zh-CN"/>
              </w:rPr>
              <w:t>4</w:t>
            </w:r>
            <w:r>
              <w:rPr>
                <w:rFonts w:hint="eastAsia" w:ascii="仿宋" w:hAnsi="仿宋" w:cs="仿宋"/>
                <w:color w:val="auto"/>
                <w:sz w:val="21"/>
                <w:szCs w:val="21"/>
                <w:highlight w:val="none"/>
              </w:rPr>
              <w:t>分；</w:t>
            </w:r>
          </w:p>
          <w:p w14:paraId="6458F66D">
            <w:pPr>
              <w:pStyle w:val="64"/>
              <w:spacing w:line="240" w:lineRule="auto"/>
              <w:jc w:val="left"/>
              <w:rPr>
                <w:rFonts w:hint="eastAsia" w:ascii="仿宋" w:hAnsi="仿宋" w:eastAsia="宋体" w:cs="仿宋"/>
                <w:color w:val="auto"/>
                <w:kern w:val="2"/>
                <w:sz w:val="21"/>
                <w:szCs w:val="21"/>
                <w:highlight w:val="none"/>
                <w:lang w:val="en-US" w:eastAsia="zh-CN" w:bidi="ar-SA"/>
              </w:rPr>
            </w:pPr>
            <w:r>
              <w:rPr>
                <w:rFonts w:hint="eastAsia" w:ascii="仿宋" w:hAnsi="仿宋" w:cs="仿宋"/>
                <w:color w:val="auto"/>
                <w:sz w:val="21"/>
                <w:szCs w:val="21"/>
                <w:highlight w:val="none"/>
              </w:rPr>
              <w:t>（4）内容不可行或者未提供相关内容的不得分。</w:t>
            </w:r>
          </w:p>
        </w:tc>
      </w:tr>
      <w:tr w14:paraId="666AD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jc w:val="center"/>
        </w:trPr>
        <w:tc>
          <w:tcPr>
            <w:tcW w:w="756" w:type="dxa"/>
            <w:vAlign w:val="center"/>
          </w:tcPr>
          <w:p w14:paraId="02C7B700">
            <w:pPr>
              <w:pStyle w:val="64"/>
              <w:spacing w:line="240" w:lineRule="auto"/>
              <w:rPr>
                <w:rFonts w:hint="default" w:ascii="仿宋" w:hAnsi="仿宋" w:eastAsia="宋体" w:cs="仿宋"/>
                <w:color w:val="auto"/>
                <w:sz w:val="21"/>
                <w:szCs w:val="21"/>
                <w:highlight w:val="none"/>
                <w:lang w:val="en-US" w:eastAsia="zh-CN"/>
              </w:rPr>
            </w:pPr>
            <w:r>
              <w:rPr>
                <w:rFonts w:hint="eastAsia" w:ascii="仿宋" w:hAnsi="仿宋" w:cs="仿宋"/>
                <w:color w:val="auto"/>
                <w:sz w:val="21"/>
                <w:szCs w:val="21"/>
                <w:highlight w:val="none"/>
                <w:lang w:val="en-US" w:eastAsia="zh-CN"/>
              </w:rPr>
              <w:t>13</w:t>
            </w:r>
          </w:p>
          <w:p w14:paraId="628AFF2C">
            <w:pPr>
              <w:pStyle w:val="64"/>
              <w:spacing w:line="240" w:lineRule="auto"/>
              <w:rPr>
                <w:rFonts w:hint="eastAsia" w:ascii="仿宋" w:hAnsi="仿宋" w:eastAsia="宋体" w:cs="仿宋"/>
                <w:color w:val="auto"/>
                <w:kern w:val="2"/>
                <w:sz w:val="21"/>
                <w:szCs w:val="21"/>
                <w:highlight w:val="none"/>
                <w:lang w:val="en-US" w:eastAsia="zh-CN" w:bidi="ar-SA"/>
              </w:rPr>
            </w:pPr>
          </w:p>
        </w:tc>
        <w:tc>
          <w:tcPr>
            <w:tcW w:w="1726" w:type="dxa"/>
            <w:vAlign w:val="center"/>
          </w:tcPr>
          <w:p w14:paraId="41AAB0C3">
            <w:pPr>
              <w:pStyle w:val="64"/>
              <w:spacing w:line="240" w:lineRule="auto"/>
              <w:rPr>
                <w:rFonts w:ascii="仿宋" w:hAnsi="仿宋" w:cs="仿宋"/>
                <w:color w:val="auto"/>
                <w:sz w:val="21"/>
                <w:szCs w:val="21"/>
                <w:highlight w:val="none"/>
              </w:rPr>
            </w:pPr>
            <w:r>
              <w:rPr>
                <w:rFonts w:hint="eastAsia" w:ascii="仿宋" w:hAnsi="仿宋" w:cs="仿宋"/>
                <w:color w:val="auto"/>
                <w:sz w:val="21"/>
                <w:szCs w:val="21"/>
                <w:highlight w:val="none"/>
              </w:rPr>
              <w:t>再开发单元划定思路和单元实施指引</w:t>
            </w:r>
          </w:p>
          <w:p w14:paraId="2577E891">
            <w:pPr>
              <w:pStyle w:val="64"/>
              <w:spacing w:line="240" w:lineRule="auto"/>
              <w:rPr>
                <w:rFonts w:ascii="仿宋" w:hAnsi="仿宋" w:eastAsia="宋体" w:cs="仿宋"/>
                <w:color w:val="auto"/>
                <w:kern w:val="2"/>
                <w:sz w:val="21"/>
                <w:szCs w:val="21"/>
                <w:highlight w:val="none"/>
                <w:lang w:val="en-US" w:eastAsia="zh-CN" w:bidi="ar-SA"/>
              </w:rPr>
            </w:pPr>
            <w:r>
              <w:rPr>
                <w:rFonts w:hint="eastAsia" w:ascii="仿宋" w:hAnsi="仿宋" w:cs="仿宋"/>
                <w:color w:val="auto"/>
                <w:kern w:val="0"/>
                <w:sz w:val="21"/>
                <w:szCs w:val="21"/>
                <w:highlight w:val="none"/>
                <w:lang w:eastAsia="zh-CN"/>
              </w:rPr>
              <w:t>（</w:t>
            </w:r>
            <w:r>
              <w:rPr>
                <w:rFonts w:hint="eastAsia" w:ascii="仿宋" w:hAnsi="仿宋" w:cs="仿宋"/>
                <w:color w:val="auto"/>
                <w:sz w:val="21"/>
                <w:szCs w:val="21"/>
                <w:highlight w:val="none"/>
                <w:lang w:val="en-US" w:eastAsia="zh-CN"/>
              </w:rPr>
              <w:t>5</w:t>
            </w:r>
            <w:r>
              <w:rPr>
                <w:rFonts w:hint="eastAsia" w:ascii="仿宋" w:hAnsi="仿宋" w:cs="仿宋"/>
                <w:color w:val="auto"/>
                <w:sz w:val="21"/>
                <w:szCs w:val="21"/>
                <w:highlight w:val="none"/>
              </w:rPr>
              <w:t>分</w:t>
            </w:r>
            <w:r>
              <w:rPr>
                <w:rFonts w:hint="eastAsia" w:ascii="仿宋" w:hAnsi="仿宋" w:cs="仿宋"/>
                <w:color w:val="auto"/>
                <w:kern w:val="0"/>
                <w:sz w:val="21"/>
                <w:szCs w:val="21"/>
                <w:highlight w:val="none"/>
                <w:lang w:eastAsia="zh-CN"/>
              </w:rPr>
              <w:t>）</w:t>
            </w:r>
          </w:p>
        </w:tc>
        <w:tc>
          <w:tcPr>
            <w:tcW w:w="0" w:type="auto"/>
            <w:vAlign w:val="center"/>
          </w:tcPr>
          <w:p w14:paraId="218957EF">
            <w:pPr>
              <w:pStyle w:val="64"/>
              <w:spacing w:line="240" w:lineRule="auto"/>
              <w:jc w:val="left"/>
              <w:rPr>
                <w:rFonts w:ascii="仿宋" w:hAnsi="仿宋" w:cs="仿宋"/>
                <w:color w:val="auto"/>
                <w:sz w:val="21"/>
                <w:szCs w:val="21"/>
                <w:highlight w:val="none"/>
              </w:rPr>
            </w:pPr>
            <w:r>
              <w:rPr>
                <w:rFonts w:hint="eastAsia" w:ascii="仿宋" w:hAnsi="仿宋" w:cs="仿宋"/>
                <w:color w:val="auto"/>
                <w:sz w:val="21"/>
                <w:szCs w:val="21"/>
                <w:highlight w:val="none"/>
              </w:rPr>
              <w:t>根据</w:t>
            </w:r>
            <w:r>
              <w:rPr>
                <w:rFonts w:hint="eastAsia" w:ascii="仿宋" w:hAnsi="仿宋" w:cs="仿宋"/>
                <w:color w:val="auto"/>
                <w:sz w:val="21"/>
                <w:szCs w:val="21"/>
                <w:highlight w:val="none"/>
                <w:lang w:val="en-US" w:eastAsia="zh-CN"/>
              </w:rPr>
              <w:t>供应商</w:t>
            </w:r>
            <w:r>
              <w:rPr>
                <w:rFonts w:hint="eastAsia" w:ascii="仿宋" w:hAnsi="仿宋" w:cs="仿宋"/>
                <w:color w:val="auto"/>
                <w:sz w:val="21"/>
                <w:szCs w:val="21"/>
                <w:highlight w:val="none"/>
              </w:rPr>
              <w:t>针对</w:t>
            </w:r>
            <w:r>
              <w:rPr>
                <w:rFonts w:hint="eastAsia" w:ascii="仿宋" w:hAnsi="仿宋" w:cs="仿宋"/>
                <w:color w:val="auto"/>
                <w:sz w:val="21"/>
                <w:szCs w:val="21"/>
                <w:highlight w:val="none"/>
                <w:lang w:eastAsia="zh-CN"/>
              </w:rPr>
              <w:t>台州</w:t>
            </w:r>
            <w:r>
              <w:rPr>
                <w:rFonts w:hint="eastAsia" w:ascii="仿宋" w:hAnsi="仿宋" w:cs="仿宋"/>
                <w:color w:val="auto"/>
                <w:sz w:val="21"/>
                <w:szCs w:val="21"/>
                <w:highlight w:val="none"/>
              </w:rPr>
              <w:t>市区低效用地再开发单元划定思路、低效用地再开发单元实施指引的思路方案进行综合评审；</w:t>
            </w:r>
          </w:p>
          <w:p w14:paraId="7B95BBA8">
            <w:pPr>
              <w:pStyle w:val="64"/>
              <w:spacing w:line="240" w:lineRule="auto"/>
              <w:jc w:val="left"/>
              <w:rPr>
                <w:rFonts w:ascii="仿宋" w:hAnsi="仿宋" w:cs="仿宋"/>
                <w:color w:val="auto"/>
                <w:sz w:val="21"/>
                <w:szCs w:val="21"/>
                <w:highlight w:val="none"/>
              </w:rPr>
            </w:pPr>
            <w:r>
              <w:rPr>
                <w:rFonts w:hint="eastAsia" w:ascii="仿宋" w:hAnsi="仿宋" w:cs="仿宋"/>
                <w:color w:val="auto"/>
                <w:sz w:val="21"/>
                <w:szCs w:val="21"/>
                <w:highlight w:val="none"/>
              </w:rPr>
              <w:t>（1）方案内容完整、详尽细致；可行性、针对性强的，得</w:t>
            </w:r>
            <w:r>
              <w:rPr>
                <w:rFonts w:hint="eastAsia" w:ascii="仿宋" w:hAnsi="仿宋" w:cs="仿宋"/>
                <w:color w:val="auto"/>
                <w:sz w:val="21"/>
                <w:szCs w:val="21"/>
                <w:highlight w:val="none"/>
                <w:lang w:val="en-US" w:eastAsia="zh-CN"/>
              </w:rPr>
              <w:t>5</w:t>
            </w:r>
            <w:r>
              <w:rPr>
                <w:rFonts w:hint="eastAsia" w:ascii="仿宋" w:hAnsi="仿宋" w:cs="仿宋"/>
                <w:color w:val="auto"/>
                <w:sz w:val="21"/>
                <w:szCs w:val="21"/>
                <w:highlight w:val="none"/>
              </w:rPr>
              <w:t>分；</w:t>
            </w:r>
          </w:p>
          <w:p w14:paraId="007CDE0B">
            <w:pPr>
              <w:pStyle w:val="64"/>
              <w:spacing w:line="240" w:lineRule="auto"/>
              <w:jc w:val="left"/>
              <w:rPr>
                <w:rFonts w:ascii="仿宋" w:hAnsi="仿宋" w:cs="仿宋"/>
                <w:color w:val="auto"/>
                <w:sz w:val="21"/>
                <w:szCs w:val="21"/>
                <w:highlight w:val="none"/>
              </w:rPr>
            </w:pPr>
            <w:r>
              <w:rPr>
                <w:rFonts w:hint="eastAsia" w:ascii="仿宋" w:hAnsi="仿宋" w:cs="仿宋"/>
                <w:color w:val="auto"/>
                <w:sz w:val="21"/>
                <w:szCs w:val="21"/>
                <w:highlight w:val="none"/>
              </w:rPr>
              <w:t>（2）方案内容完整；具有可行性和针对性的，得</w:t>
            </w:r>
            <w:r>
              <w:rPr>
                <w:rFonts w:hint="eastAsia" w:ascii="仿宋" w:hAnsi="仿宋" w:cs="仿宋"/>
                <w:color w:val="auto"/>
                <w:sz w:val="21"/>
                <w:szCs w:val="21"/>
                <w:highlight w:val="none"/>
                <w:lang w:val="en-US" w:eastAsia="zh-CN"/>
              </w:rPr>
              <w:t>4</w:t>
            </w:r>
            <w:r>
              <w:rPr>
                <w:rFonts w:hint="eastAsia" w:ascii="仿宋" w:hAnsi="仿宋" w:cs="仿宋"/>
                <w:color w:val="auto"/>
                <w:sz w:val="21"/>
                <w:szCs w:val="21"/>
                <w:highlight w:val="none"/>
              </w:rPr>
              <w:t>分；</w:t>
            </w:r>
          </w:p>
          <w:p w14:paraId="61A0CDC8">
            <w:pPr>
              <w:pStyle w:val="64"/>
              <w:spacing w:line="240" w:lineRule="auto"/>
              <w:jc w:val="left"/>
              <w:rPr>
                <w:rFonts w:ascii="仿宋" w:hAnsi="仿宋" w:cs="仿宋"/>
                <w:color w:val="auto"/>
                <w:sz w:val="21"/>
                <w:szCs w:val="21"/>
                <w:highlight w:val="none"/>
              </w:rPr>
            </w:pPr>
            <w:r>
              <w:rPr>
                <w:rFonts w:hint="eastAsia" w:ascii="仿宋" w:hAnsi="仿宋" w:cs="仿宋"/>
                <w:color w:val="auto"/>
                <w:sz w:val="21"/>
                <w:szCs w:val="21"/>
                <w:highlight w:val="none"/>
              </w:rPr>
              <w:t>（3）方案内容基本适合本项目采购需求，可行性、针对性有待改善的，得</w:t>
            </w:r>
            <w:r>
              <w:rPr>
                <w:rFonts w:hint="eastAsia" w:ascii="仿宋" w:hAnsi="仿宋" w:cs="仿宋"/>
                <w:color w:val="auto"/>
                <w:sz w:val="21"/>
                <w:szCs w:val="21"/>
                <w:highlight w:val="none"/>
                <w:lang w:val="en-US" w:eastAsia="zh-CN"/>
              </w:rPr>
              <w:t>3</w:t>
            </w:r>
            <w:r>
              <w:rPr>
                <w:rFonts w:hint="eastAsia" w:ascii="仿宋" w:hAnsi="仿宋" w:cs="仿宋"/>
                <w:color w:val="auto"/>
                <w:sz w:val="21"/>
                <w:szCs w:val="21"/>
                <w:highlight w:val="none"/>
              </w:rPr>
              <w:t>分；</w:t>
            </w:r>
          </w:p>
          <w:p w14:paraId="79559500">
            <w:pPr>
              <w:pStyle w:val="64"/>
              <w:spacing w:line="240" w:lineRule="auto"/>
              <w:jc w:val="left"/>
              <w:rPr>
                <w:rFonts w:hint="eastAsia" w:ascii="仿宋" w:hAnsi="仿宋" w:eastAsia="宋体" w:cs="仿宋"/>
                <w:color w:val="auto"/>
                <w:kern w:val="2"/>
                <w:sz w:val="21"/>
                <w:szCs w:val="21"/>
                <w:highlight w:val="none"/>
                <w:lang w:val="en-US" w:eastAsia="zh-CN" w:bidi="ar-SA"/>
              </w:rPr>
            </w:pPr>
            <w:r>
              <w:rPr>
                <w:rFonts w:hint="eastAsia" w:ascii="仿宋" w:hAnsi="仿宋" w:cs="仿宋"/>
                <w:color w:val="auto"/>
                <w:sz w:val="21"/>
                <w:szCs w:val="21"/>
                <w:highlight w:val="none"/>
              </w:rPr>
              <w:t>（4）方案不可行或者未提供相关内容的不得分。</w:t>
            </w:r>
          </w:p>
        </w:tc>
      </w:tr>
      <w:tr w14:paraId="72EA6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756" w:type="dxa"/>
            <w:vAlign w:val="center"/>
          </w:tcPr>
          <w:p w14:paraId="18814E17">
            <w:pPr>
              <w:pStyle w:val="64"/>
              <w:spacing w:line="240" w:lineRule="auto"/>
              <w:rPr>
                <w:rFonts w:hint="eastAsia" w:ascii="仿宋" w:hAnsi="仿宋" w:eastAsia="宋体" w:cs="仿宋"/>
                <w:color w:val="auto"/>
                <w:sz w:val="21"/>
                <w:szCs w:val="21"/>
                <w:highlight w:val="none"/>
                <w:lang w:eastAsia="zh-CN"/>
              </w:rPr>
            </w:pPr>
            <w:r>
              <w:rPr>
                <w:rFonts w:ascii="仿宋" w:hAnsi="仿宋" w:cs="仿宋"/>
                <w:color w:val="auto"/>
                <w:sz w:val="21"/>
                <w:szCs w:val="21"/>
                <w:highlight w:val="none"/>
              </w:rPr>
              <w:t>1</w:t>
            </w:r>
            <w:r>
              <w:rPr>
                <w:rFonts w:hint="eastAsia" w:ascii="仿宋" w:hAnsi="仿宋" w:cs="仿宋"/>
                <w:color w:val="auto"/>
                <w:sz w:val="21"/>
                <w:szCs w:val="21"/>
                <w:highlight w:val="none"/>
                <w:lang w:val="en-US" w:eastAsia="zh-CN"/>
              </w:rPr>
              <w:t>4</w:t>
            </w:r>
          </w:p>
          <w:p w14:paraId="7C306A1D">
            <w:pPr>
              <w:pStyle w:val="64"/>
              <w:spacing w:line="240" w:lineRule="auto"/>
              <w:rPr>
                <w:rFonts w:hint="eastAsia" w:ascii="仿宋" w:hAnsi="仿宋" w:eastAsia="宋体" w:cs="仿宋"/>
                <w:color w:val="auto"/>
                <w:kern w:val="2"/>
                <w:sz w:val="21"/>
                <w:szCs w:val="21"/>
                <w:highlight w:val="none"/>
                <w:lang w:val="en-US" w:eastAsia="zh-CN" w:bidi="ar-SA"/>
              </w:rPr>
            </w:pPr>
          </w:p>
        </w:tc>
        <w:tc>
          <w:tcPr>
            <w:tcW w:w="1726" w:type="dxa"/>
            <w:vAlign w:val="center"/>
          </w:tcPr>
          <w:p w14:paraId="7BF65AD4">
            <w:pPr>
              <w:pStyle w:val="64"/>
              <w:spacing w:line="240" w:lineRule="auto"/>
              <w:rPr>
                <w:rFonts w:ascii="仿宋" w:hAnsi="仿宋" w:cs="仿宋"/>
                <w:color w:val="auto"/>
                <w:sz w:val="21"/>
                <w:szCs w:val="21"/>
                <w:highlight w:val="none"/>
              </w:rPr>
            </w:pPr>
            <w:r>
              <w:rPr>
                <w:rFonts w:hint="eastAsia" w:ascii="仿宋" w:hAnsi="仿宋" w:cs="仿宋"/>
                <w:color w:val="auto"/>
                <w:sz w:val="21"/>
                <w:szCs w:val="21"/>
                <w:highlight w:val="none"/>
              </w:rPr>
              <w:t>针对低效用地再开发的政策建议</w:t>
            </w:r>
          </w:p>
          <w:p w14:paraId="72EB9B2E">
            <w:pPr>
              <w:pStyle w:val="64"/>
              <w:spacing w:line="240" w:lineRule="auto"/>
              <w:rPr>
                <w:rFonts w:ascii="仿宋" w:hAnsi="仿宋" w:eastAsia="宋体" w:cs="仿宋"/>
                <w:color w:val="auto"/>
                <w:kern w:val="2"/>
                <w:sz w:val="21"/>
                <w:szCs w:val="21"/>
                <w:highlight w:val="none"/>
                <w:lang w:val="en-US" w:eastAsia="zh-CN" w:bidi="ar-SA"/>
              </w:rPr>
            </w:pPr>
            <w:r>
              <w:rPr>
                <w:rFonts w:hint="eastAsia" w:ascii="仿宋" w:hAnsi="仿宋" w:cs="仿宋"/>
                <w:color w:val="auto"/>
                <w:kern w:val="0"/>
                <w:sz w:val="21"/>
                <w:szCs w:val="21"/>
                <w:highlight w:val="none"/>
                <w:lang w:eastAsia="zh-CN"/>
              </w:rPr>
              <w:t>（</w:t>
            </w:r>
            <w:r>
              <w:rPr>
                <w:rFonts w:hint="eastAsia" w:ascii="仿宋" w:hAnsi="仿宋" w:cs="仿宋"/>
                <w:color w:val="auto"/>
                <w:sz w:val="21"/>
                <w:szCs w:val="21"/>
                <w:highlight w:val="none"/>
                <w:lang w:val="en-US" w:eastAsia="zh-CN"/>
              </w:rPr>
              <w:t>4</w:t>
            </w:r>
            <w:r>
              <w:rPr>
                <w:rFonts w:hint="eastAsia" w:ascii="仿宋" w:hAnsi="仿宋" w:cs="仿宋"/>
                <w:color w:val="auto"/>
                <w:sz w:val="21"/>
                <w:szCs w:val="21"/>
                <w:highlight w:val="none"/>
              </w:rPr>
              <w:t>分</w:t>
            </w:r>
            <w:r>
              <w:rPr>
                <w:rFonts w:hint="eastAsia" w:ascii="仿宋" w:hAnsi="仿宋" w:cs="仿宋"/>
                <w:color w:val="auto"/>
                <w:kern w:val="0"/>
                <w:sz w:val="21"/>
                <w:szCs w:val="21"/>
                <w:highlight w:val="none"/>
                <w:lang w:eastAsia="zh-CN"/>
              </w:rPr>
              <w:t>）</w:t>
            </w:r>
          </w:p>
        </w:tc>
        <w:tc>
          <w:tcPr>
            <w:tcW w:w="0" w:type="auto"/>
            <w:vAlign w:val="center"/>
          </w:tcPr>
          <w:p w14:paraId="5C4BF545">
            <w:pPr>
              <w:pStyle w:val="64"/>
              <w:spacing w:line="240" w:lineRule="auto"/>
              <w:jc w:val="left"/>
              <w:rPr>
                <w:rFonts w:ascii="仿宋" w:hAnsi="仿宋" w:cs="仿宋"/>
                <w:color w:val="auto"/>
                <w:sz w:val="21"/>
                <w:szCs w:val="21"/>
                <w:highlight w:val="none"/>
              </w:rPr>
            </w:pPr>
            <w:r>
              <w:rPr>
                <w:rFonts w:hint="eastAsia" w:ascii="仿宋" w:hAnsi="仿宋" w:cs="仿宋"/>
                <w:color w:val="auto"/>
                <w:sz w:val="21"/>
                <w:szCs w:val="21"/>
                <w:highlight w:val="none"/>
              </w:rPr>
              <w:t>根据</w:t>
            </w:r>
            <w:r>
              <w:rPr>
                <w:rFonts w:hint="eastAsia" w:ascii="仿宋" w:hAnsi="仿宋" w:cs="仿宋"/>
                <w:color w:val="auto"/>
                <w:sz w:val="21"/>
                <w:szCs w:val="21"/>
                <w:highlight w:val="none"/>
                <w:lang w:val="en-US" w:eastAsia="zh-CN"/>
              </w:rPr>
              <w:t>供应商</w:t>
            </w:r>
            <w:r>
              <w:rPr>
                <w:rFonts w:hint="eastAsia" w:ascii="仿宋" w:hAnsi="仿宋" w:cs="仿宋"/>
                <w:color w:val="auto"/>
                <w:sz w:val="21"/>
                <w:szCs w:val="21"/>
                <w:highlight w:val="none"/>
              </w:rPr>
              <w:t>针对台州市低效用地再开发政策建议方向及思路进行综合评审；</w:t>
            </w:r>
          </w:p>
          <w:p w14:paraId="26F6791D">
            <w:pPr>
              <w:pStyle w:val="64"/>
              <w:spacing w:line="240" w:lineRule="auto"/>
              <w:jc w:val="left"/>
              <w:rPr>
                <w:rFonts w:ascii="仿宋" w:hAnsi="仿宋" w:cs="仿宋"/>
                <w:color w:val="auto"/>
                <w:sz w:val="21"/>
                <w:szCs w:val="21"/>
                <w:highlight w:val="none"/>
              </w:rPr>
            </w:pPr>
            <w:r>
              <w:rPr>
                <w:rFonts w:hint="eastAsia" w:ascii="仿宋" w:hAnsi="仿宋" w:cs="仿宋"/>
                <w:color w:val="auto"/>
                <w:sz w:val="21"/>
                <w:szCs w:val="21"/>
                <w:highlight w:val="none"/>
              </w:rPr>
              <w:t>（1）内容完整、详尽细致；可行性、针对性强的，得</w:t>
            </w:r>
            <w:r>
              <w:rPr>
                <w:rFonts w:hint="eastAsia" w:ascii="仿宋" w:hAnsi="仿宋" w:cs="仿宋"/>
                <w:color w:val="auto"/>
                <w:sz w:val="21"/>
                <w:szCs w:val="21"/>
                <w:highlight w:val="none"/>
                <w:lang w:val="en-US" w:eastAsia="zh-CN"/>
              </w:rPr>
              <w:t>4</w:t>
            </w:r>
            <w:r>
              <w:rPr>
                <w:rFonts w:hint="eastAsia" w:ascii="仿宋" w:hAnsi="仿宋" w:cs="仿宋"/>
                <w:color w:val="auto"/>
                <w:sz w:val="21"/>
                <w:szCs w:val="21"/>
                <w:highlight w:val="none"/>
              </w:rPr>
              <w:t>分；</w:t>
            </w:r>
          </w:p>
          <w:p w14:paraId="0D8E00FB">
            <w:pPr>
              <w:pStyle w:val="64"/>
              <w:spacing w:line="240" w:lineRule="auto"/>
              <w:jc w:val="left"/>
              <w:rPr>
                <w:rFonts w:ascii="仿宋" w:hAnsi="仿宋" w:cs="仿宋"/>
                <w:color w:val="auto"/>
                <w:sz w:val="21"/>
                <w:szCs w:val="21"/>
                <w:highlight w:val="none"/>
              </w:rPr>
            </w:pPr>
            <w:r>
              <w:rPr>
                <w:rFonts w:hint="eastAsia" w:ascii="仿宋" w:hAnsi="仿宋" w:cs="仿宋"/>
                <w:color w:val="auto"/>
                <w:sz w:val="21"/>
                <w:szCs w:val="21"/>
                <w:highlight w:val="none"/>
              </w:rPr>
              <w:t>（2）内容完整；具有可行性和针对性的，得</w:t>
            </w:r>
            <w:r>
              <w:rPr>
                <w:rFonts w:hint="eastAsia" w:ascii="仿宋" w:hAnsi="仿宋" w:cs="仿宋"/>
                <w:color w:val="auto"/>
                <w:sz w:val="21"/>
                <w:szCs w:val="21"/>
                <w:highlight w:val="none"/>
                <w:lang w:val="en-US" w:eastAsia="zh-CN"/>
              </w:rPr>
              <w:t>3</w:t>
            </w:r>
            <w:r>
              <w:rPr>
                <w:rFonts w:hint="eastAsia" w:ascii="仿宋" w:hAnsi="仿宋" w:cs="仿宋"/>
                <w:color w:val="auto"/>
                <w:sz w:val="21"/>
                <w:szCs w:val="21"/>
                <w:highlight w:val="none"/>
              </w:rPr>
              <w:t>分；</w:t>
            </w:r>
          </w:p>
          <w:p w14:paraId="1C07CE1D">
            <w:pPr>
              <w:pStyle w:val="64"/>
              <w:spacing w:line="240" w:lineRule="auto"/>
              <w:jc w:val="left"/>
              <w:rPr>
                <w:rFonts w:ascii="仿宋" w:hAnsi="仿宋" w:cs="仿宋"/>
                <w:color w:val="auto"/>
                <w:sz w:val="21"/>
                <w:szCs w:val="21"/>
                <w:highlight w:val="none"/>
              </w:rPr>
            </w:pPr>
            <w:r>
              <w:rPr>
                <w:rFonts w:hint="eastAsia" w:ascii="仿宋" w:hAnsi="仿宋" w:cs="仿宋"/>
                <w:color w:val="auto"/>
                <w:sz w:val="21"/>
                <w:szCs w:val="21"/>
                <w:highlight w:val="none"/>
              </w:rPr>
              <w:t>（3）内容基本适合本项目采购需求，可行性、针对性有待改善的，得</w:t>
            </w:r>
            <w:r>
              <w:rPr>
                <w:rFonts w:hint="eastAsia" w:ascii="仿宋" w:hAnsi="仿宋" w:cs="仿宋"/>
                <w:color w:val="auto"/>
                <w:sz w:val="21"/>
                <w:szCs w:val="21"/>
                <w:highlight w:val="none"/>
                <w:lang w:val="en-US" w:eastAsia="zh-CN"/>
              </w:rPr>
              <w:t>2</w:t>
            </w:r>
            <w:r>
              <w:rPr>
                <w:rFonts w:hint="eastAsia" w:ascii="仿宋" w:hAnsi="仿宋" w:cs="仿宋"/>
                <w:color w:val="auto"/>
                <w:sz w:val="21"/>
                <w:szCs w:val="21"/>
                <w:highlight w:val="none"/>
              </w:rPr>
              <w:t>分；</w:t>
            </w:r>
          </w:p>
          <w:p w14:paraId="4BFB7912">
            <w:pPr>
              <w:pStyle w:val="64"/>
              <w:spacing w:line="240" w:lineRule="auto"/>
              <w:jc w:val="left"/>
              <w:rPr>
                <w:rFonts w:hint="eastAsia" w:ascii="仿宋" w:hAnsi="仿宋" w:eastAsia="宋体" w:cs="仿宋"/>
                <w:color w:val="auto"/>
                <w:kern w:val="0"/>
                <w:sz w:val="21"/>
                <w:szCs w:val="21"/>
                <w:highlight w:val="none"/>
                <w:lang w:val="en-US" w:eastAsia="zh-CN" w:bidi="ar-SA"/>
              </w:rPr>
            </w:pPr>
            <w:r>
              <w:rPr>
                <w:rFonts w:hint="eastAsia" w:ascii="仿宋" w:hAnsi="仿宋" w:cs="仿宋"/>
                <w:color w:val="auto"/>
                <w:sz w:val="21"/>
                <w:szCs w:val="21"/>
                <w:highlight w:val="none"/>
              </w:rPr>
              <w:t>（4）内容不可行或者未提供相关内容的不得分。</w:t>
            </w:r>
          </w:p>
        </w:tc>
      </w:tr>
      <w:tr w14:paraId="2A357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jc w:val="center"/>
        </w:trPr>
        <w:tc>
          <w:tcPr>
            <w:tcW w:w="756" w:type="dxa"/>
            <w:vAlign w:val="center"/>
          </w:tcPr>
          <w:p w14:paraId="59ED8F4F">
            <w:pPr>
              <w:rPr>
                <w:color w:val="auto"/>
                <w:highlight w:val="none"/>
              </w:rPr>
            </w:pPr>
          </w:p>
          <w:p w14:paraId="6C55F788">
            <w:pPr>
              <w:pStyle w:val="64"/>
              <w:spacing w:line="240" w:lineRule="auto"/>
              <w:rPr>
                <w:rFonts w:hint="default" w:ascii="仿宋" w:hAnsi="仿宋" w:eastAsia="宋体" w:cs="仿宋"/>
                <w:color w:val="auto"/>
                <w:kern w:val="2"/>
                <w:sz w:val="21"/>
                <w:szCs w:val="21"/>
                <w:highlight w:val="none"/>
                <w:lang w:val="en-US" w:eastAsia="zh-CN" w:bidi="ar-SA"/>
              </w:rPr>
            </w:pPr>
            <w:r>
              <w:rPr>
                <w:rFonts w:hint="eastAsia" w:ascii="仿宋" w:hAnsi="仿宋" w:cs="仿宋"/>
                <w:color w:val="auto"/>
                <w:sz w:val="21"/>
                <w:szCs w:val="21"/>
                <w:highlight w:val="none"/>
                <w:lang w:val="en-US" w:eastAsia="zh-CN"/>
              </w:rPr>
              <w:t>15</w:t>
            </w:r>
          </w:p>
        </w:tc>
        <w:tc>
          <w:tcPr>
            <w:tcW w:w="1726" w:type="dxa"/>
            <w:vAlign w:val="center"/>
          </w:tcPr>
          <w:p w14:paraId="77424EB6">
            <w:pPr>
              <w:pStyle w:val="64"/>
              <w:spacing w:line="240" w:lineRule="auto"/>
              <w:rPr>
                <w:rFonts w:ascii="仿宋" w:hAnsi="仿宋" w:cs="仿宋"/>
                <w:color w:val="auto"/>
                <w:sz w:val="21"/>
                <w:szCs w:val="21"/>
                <w:highlight w:val="none"/>
              </w:rPr>
            </w:pPr>
            <w:r>
              <w:rPr>
                <w:rFonts w:hint="eastAsia" w:ascii="仿宋" w:hAnsi="仿宋" w:cs="仿宋"/>
                <w:color w:val="auto"/>
                <w:sz w:val="21"/>
                <w:szCs w:val="21"/>
                <w:highlight w:val="none"/>
              </w:rPr>
              <w:t>成果质量保障措施及服务承诺</w:t>
            </w:r>
          </w:p>
          <w:p w14:paraId="26EF327B">
            <w:pPr>
              <w:pStyle w:val="64"/>
              <w:spacing w:line="240" w:lineRule="auto"/>
              <w:rPr>
                <w:rFonts w:ascii="仿宋" w:hAnsi="仿宋" w:eastAsia="宋体" w:cs="仿宋"/>
                <w:color w:val="auto"/>
                <w:kern w:val="2"/>
                <w:sz w:val="21"/>
                <w:szCs w:val="21"/>
                <w:highlight w:val="none"/>
                <w:lang w:val="en-US" w:eastAsia="zh-CN" w:bidi="ar-SA"/>
              </w:rPr>
            </w:pPr>
            <w:r>
              <w:rPr>
                <w:rFonts w:hint="eastAsia" w:ascii="仿宋" w:hAnsi="仿宋" w:cs="仿宋"/>
                <w:color w:val="auto"/>
                <w:kern w:val="0"/>
                <w:sz w:val="21"/>
                <w:szCs w:val="21"/>
                <w:highlight w:val="none"/>
                <w:lang w:eastAsia="zh-CN"/>
              </w:rPr>
              <w:t>（</w:t>
            </w:r>
            <w:r>
              <w:rPr>
                <w:rFonts w:hint="eastAsia" w:ascii="仿宋" w:hAnsi="仿宋" w:cs="仿宋"/>
                <w:color w:val="auto"/>
                <w:sz w:val="21"/>
                <w:szCs w:val="21"/>
                <w:highlight w:val="none"/>
                <w:lang w:val="en-US" w:eastAsia="zh-CN"/>
              </w:rPr>
              <w:t>4</w:t>
            </w:r>
            <w:r>
              <w:rPr>
                <w:rFonts w:hint="eastAsia" w:ascii="仿宋" w:hAnsi="仿宋" w:cs="仿宋"/>
                <w:color w:val="auto"/>
                <w:sz w:val="21"/>
                <w:szCs w:val="21"/>
                <w:highlight w:val="none"/>
              </w:rPr>
              <w:t>分</w:t>
            </w:r>
            <w:r>
              <w:rPr>
                <w:rFonts w:hint="eastAsia" w:ascii="仿宋" w:hAnsi="仿宋" w:cs="仿宋"/>
                <w:color w:val="auto"/>
                <w:kern w:val="0"/>
                <w:sz w:val="21"/>
                <w:szCs w:val="21"/>
                <w:highlight w:val="none"/>
                <w:lang w:eastAsia="zh-CN"/>
              </w:rPr>
              <w:t>）</w:t>
            </w:r>
          </w:p>
        </w:tc>
        <w:tc>
          <w:tcPr>
            <w:tcW w:w="0" w:type="auto"/>
            <w:vAlign w:val="center"/>
          </w:tcPr>
          <w:p w14:paraId="6C116AE5">
            <w:pPr>
              <w:pStyle w:val="64"/>
              <w:spacing w:line="240" w:lineRule="auto"/>
              <w:jc w:val="left"/>
              <w:rPr>
                <w:rFonts w:ascii="仿宋" w:hAnsi="仿宋" w:cs="仿宋"/>
                <w:color w:val="auto"/>
                <w:sz w:val="21"/>
                <w:szCs w:val="21"/>
                <w:highlight w:val="none"/>
              </w:rPr>
            </w:pPr>
            <w:r>
              <w:rPr>
                <w:rFonts w:hint="eastAsia" w:ascii="仿宋" w:hAnsi="仿宋" w:cs="仿宋"/>
                <w:color w:val="auto"/>
                <w:sz w:val="21"/>
                <w:szCs w:val="21"/>
                <w:highlight w:val="none"/>
              </w:rPr>
              <w:t>根据</w:t>
            </w:r>
            <w:r>
              <w:rPr>
                <w:rFonts w:hint="eastAsia" w:ascii="仿宋" w:hAnsi="仿宋" w:cs="仿宋"/>
                <w:color w:val="auto"/>
                <w:sz w:val="21"/>
                <w:szCs w:val="21"/>
                <w:highlight w:val="none"/>
                <w:lang w:val="en-US" w:eastAsia="zh-CN"/>
              </w:rPr>
              <w:t>供应商</w:t>
            </w:r>
            <w:r>
              <w:rPr>
                <w:rFonts w:hint="eastAsia" w:ascii="仿宋" w:hAnsi="仿宋" w:cs="仿宋"/>
                <w:color w:val="auto"/>
                <w:sz w:val="21"/>
                <w:szCs w:val="21"/>
                <w:highlight w:val="none"/>
              </w:rPr>
              <w:t>提供的质量保障措施及服务承诺内容进行综合评分：</w:t>
            </w:r>
          </w:p>
          <w:p w14:paraId="358F795E">
            <w:pPr>
              <w:pStyle w:val="64"/>
              <w:spacing w:line="240" w:lineRule="auto"/>
              <w:jc w:val="left"/>
              <w:rPr>
                <w:rFonts w:ascii="仿宋" w:hAnsi="仿宋" w:cs="仿宋"/>
                <w:color w:val="auto"/>
                <w:sz w:val="21"/>
                <w:szCs w:val="21"/>
                <w:highlight w:val="none"/>
              </w:rPr>
            </w:pPr>
            <w:r>
              <w:rPr>
                <w:rFonts w:hint="eastAsia" w:ascii="仿宋" w:hAnsi="仿宋" w:cs="仿宋"/>
                <w:color w:val="auto"/>
                <w:sz w:val="21"/>
                <w:szCs w:val="21"/>
                <w:highlight w:val="none"/>
              </w:rPr>
              <w:t>（1）方案内容完整、详尽细致；可行性、针对性强的，得</w:t>
            </w:r>
            <w:r>
              <w:rPr>
                <w:rFonts w:hint="eastAsia" w:ascii="仿宋" w:hAnsi="仿宋" w:cs="仿宋"/>
                <w:color w:val="auto"/>
                <w:sz w:val="21"/>
                <w:szCs w:val="21"/>
                <w:highlight w:val="none"/>
                <w:lang w:val="en-US" w:eastAsia="zh-CN"/>
              </w:rPr>
              <w:t>4</w:t>
            </w:r>
            <w:r>
              <w:rPr>
                <w:rFonts w:hint="eastAsia" w:ascii="仿宋" w:hAnsi="仿宋" w:cs="仿宋"/>
                <w:color w:val="auto"/>
                <w:sz w:val="21"/>
                <w:szCs w:val="21"/>
                <w:highlight w:val="none"/>
              </w:rPr>
              <w:t>分；</w:t>
            </w:r>
          </w:p>
          <w:p w14:paraId="714F775C">
            <w:pPr>
              <w:pStyle w:val="64"/>
              <w:spacing w:line="240" w:lineRule="auto"/>
              <w:jc w:val="left"/>
              <w:rPr>
                <w:rFonts w:ascii="仿宋" w:hAnsi="仿宋" w:cs="仿宋"/>
                <w:color w:val="auto"/>
                <w:sz w:val="21"/>
                <w:szCs w:val="21"/>
                <w:highlight w:val="none"/>
              </w:rPr>
            </w:pPr>
            <w:r>
              <w:rPr>
                <w:rFonts w:hint="eastAsia" w:ascii="仿宋" w:hAnsi="仿宋" w:cs="仿宋"/>
                <w:color w:val="auto"/>
                <w:sz w:val="21"/>
                <w:szCs w:val="21"/>
                <w:highlight w:val="none"/>
              </w:rPr>
              <w:t>（2）方案内容完整；具有可行性和针对性的，得</w:t>
            </w:r>
            <w:r>
              <w:rPr>
                <w:rFonts w:hint="eastAsia" w:ascii="仿宋" w:hAnsi="仿宋" w:cs="仿宋"/>
                <w:color w:val="auto"/>
                <w:sz w:val="21"/>
                <w:szCs w:val="21"/>
                <w:highlight w:val="none"/>
                <w:lang w:val="en-US" w:eastAsia="zh-CN"/>
              </w:rPr>
              <w:t>3</w:t>
            </w:r>
            <w:r>
              <w:rPr>
                <w:rFonts w:hint="eastAsia" w:ascii="仿宋" w:hAnsi="仿宋" w:cs="仿宋"/>
                <w:color w:val="auto"/>
                <w:sz w:val="21"/>
                <w:szCs w:val="21"/>
                <w:highlight w:val="none"/>
              </w:rPr>
              <w:t>分；</w:t>
            </w:r>
          </w:p>
          <w:p w14:paraId="5019FB8D">
            <w:pPr>
              <w:pStyle w:val="64"/>
              <w:spacing w:line="240" w:lineRule="auto"/>
              <w:jc w:val="left"/>
              <w:rPr>
                <w:rFonts w:ascii="仿宋" w:hAnsi="仿宋" w:cs="仿宋"/>
                <w:color w:val="auto"/>
                <w:sz w:val="21"/>
                <w:szCs w:val="21"/>
                <w:highlight w:val="none"/>
              </w:rPr>
            </w:pPr>
            <w:r>
              <w:rPr>
                <w:rFonts w:hint="eastAsia" w:ascii="仿宋" w:hAnsi="仿宋" w:cs="仿宋"/>
                <w:color w:val="auto"/>
                <w:sz w:val="21"/>
                <w:szCs w:val="21"/>
                <w:highlight w:val="none"/>
              </w:rPr>
              <w:t>（3）方案内容基本适合本项目采购需求，可行性、针对性有待改善的，得</w:t>
            </w:r>
            <w:r>
              <w:rPr>
                <w:rFonts w:hint="eastAsia" w:ascii="仿宋" w:hAnsi="仿宋" w:cs="仿宋"/>
                <w:color w:val="auto"/>
                <w:sz w:val="21"/>
                <w:szCs w:val="21"/>
                <w:highlight w:val="none"/>
                <w:lang w:val="en-US" w:eastAsia="zh-CN"/>
              </w:rPr>
              <w:t>2</w:t>
            </w:r>
            <w:r>
              <w:rPr>
                <w:rFonts w:hint="eastAsia" w:ascii="仿宋" w:hAnsi="仿宋" w:cs="仿宋"/>
                <w:color w:val="auto"/>
                <w:sz w:val="21"/>
                <w:szCs w:val="21"/>
                <w:highlight w:val="none"/>
              </w:rPr>
              <w:t>分；</w:t>
            </w:r>
          </w:p>
          <w:p w14:paraId="246FA975">
            <w:pPr>
              <w:pStyle w:val="64"/>
              <w:spacing w:line="240" w:lineRule="auto"/>
              <w:jc w:val="left"/>
              <w:rPr>
                <w:rFonts w:hint="eastAsia" w:ascii="仿宋" w:hAnsi="仿宋" w:eastAsia="宋体" w:cs="仿宋"/>
                <w:color w:val="auto"/>
                <w:kern w:val="2"/>
                <w:sz w:val="21"/>
                <w:szCs w:val="21"/>
                <w:highlight w:val="none"/>
                <w:lang w:val="en-US" w:eastAsia="zh-CN" w:bidi="ar-SA"/>
              </w:rPr>
            </w:pPr>
            <w:r>
              <w:rPr>
                <w:rFonts w:hint="eastAsia" w:ascii="仿宋" w:hAnsi="仿宋" w:cs="仿宋"/>
                <w:color w:val="auto"/>
                <w:sz w:val="21"/>
                <w:szCs w:val="21"/>
                <w:highlight w:val="none"/>
              </w:rPr>
              <w:t>（4）方案不可行或者未提供相关内容的不得分。</w:t>
            </w:r>
          </w:p>
        </w:tc>
      </w:tr>
      <w:tr w14:paraId="242FD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atLeast"/>
          <w:jc w:val="center"/>
        </w:trPr>
        <w:tc>
          <w:tcPr>
            <w:tcW w:w="756" w:type="dxa"/>
            <w:vAlign w:val="center"/>
          </w:tcPr>
          <w:p w14:paraId="38D26999">
            <w:pPr>
              <w:rPr>
                <w:color w:val="auto"/>
                <w:highlight w:val="none"/>
              </w:rPr>
            </w:pPr>
          </w:p>
          <w:p w14:paraId="2A11AE9D">
            <w:pPr>
              <w:pStyle w:val="64"/>
              <w:spacing w:line="240" w:lineRule="auto"/>
              <w:rPr>
                <w:rFonts w:hint="default" w:ascii="仿宋" w:hAnsi="仿宋" w:eastAsia="宋体" w:cs="仿宋"/>
                <w:color w:val="auto"/>
                <w:kern w:val="2"/>
                <w:sz w:val="21"/>
                <w:szCs w:val="21"/>
                <w:highlight w:val="none"/>
                <w:lang w:val="en-US" w:eastAsia="zh-CN" w:bidi="ar-SA"/>
              </w:rPr>
            </w:pPr>
            <w:r>
              <w:rPr>
                <w:rFonts w:hint="eastAsia" w:ascii="仿宋" w:hAnsi="仿宋" w:cs="仿宋"/>
                <w:color w:val="auto"/>
                <w:sz w:val="21"/>
                <w:szCs w:val="21"/>
                <w:highlight w:val="none"/>
                <w:lang w:val="en-US" w:eastAsia="zh-CN"/>
              </w:rPr>
              <w:t>16</w:t>
            </w:r>
          </w:p>
        </w:tc>
        <w:tc>
          <w:tcPr>
            <w:tcW w:w="1726" w:type="dxa"/>
            <w:vAlign w:val="center"/>
          </w:tcPr>
          <w:p w14:paraId="451C445D">
            <w:pPr>
              <w:pStyle w:val="64"/>
              <w:spacing w:line="240" w:lineRule="auto"/>
              <w:rPr>
                <w:rFonts w:ascii="仿宋" w:hAnsi="仿宋" w:cs="仿宋"/>
                <w:color w:val="auto"/>
                <w:sz w:val="21"/>
                <w:szCs w:val="21"/>
                <w:highlight w:val="none"/>
              </w:rPr>
            </w:pPr>
            <w:r>
              <w:rPr>
                <w:rFonts w:hint="eastAsia" w:ascii="仿宋" w:hAnsi="仿宋" w:cs="仿宋"/>
                <w:color w:val="auto"/>
                <w:sz w:val="21"/>
                <w:szCs w:val="21"/>
                <w:highlight w:val="none"/>
              </w:rPr>
              <w:t>工作计划及进度保障措施</w:t>
            </w:r>
          </w:p>
          <w:p w14:paraId="2BDACF7A">
            <w:pPr>
              <w:pStyle w:val="64"/>
              <w:spacing w:line="240" w:lineRule="auto"/>
              <w:rPr>
                <w:rFonts w:ascii="仿宋" w:hAnsi="仿宋" w:eastAsia="宋体" w:cs="仿宋"/>
                <w:color w:val="auto"/>
                <w:kern w:val="2"/>
                <w:sz w:val="21"/>
                <w:szCs w:val="21"/>
                <w:highlight w:val="none"/>
                <w:lang w:val="en-US" w:eastAsia="zh-CN" w:bidi="ar-SA"/>
              </w:rPr>
            </w:pPr>
            <w:r>
              <w:rPr>
                <w:rFonts w:hint="eastAsia" w:ascii="仿宋" w:hAnsi="仿宋" w:cs="仿宋"/>
                <w:color w:val="auto"/>
                <w:kern w:val="0"/>
                <w:sz w:val="21"/>
                <w:szCs w:val="21"/>
                <w:highlight w:val="none"/>
                <w:lang w:eastAsia="zh-CN"/>
              </w:rPr>
              <w:t>（</w:t>
            </w:r>
            <w:r>
              <w:rPr>
                <w:rFonts w:hint="eastAsia" w:ascii="仿宋" w:hAnsi="仿宋" w:cs="仿宋"/>
                <w:color w:val="auto"/>
                <w:kern w:val="0"/>
                <w:sz w:val="21"/>
                <w:szCs w:val="21"/>
                <w:highlight w:val="none"/>
                <w:lang w:val="en-US" w:eastAsia="zh-CN"/>
              </w:rPr>
              <w:t>4</w:t>
            </w:r>
            <w:r>
              <w:rPr>
                <w:rFonts w:hint="eastAsia" w:ascii="仿宋" w:hAnsi="仿宋" w:cs="仿宋"/>
                <w:color w:val="auto"/>
                <w:sz w:val="21"/>
                <w:szCs w:val="21"/>
                <w:highlight w:val="none"/>
              </w:rPr>
              <w:t>分</w:t>
            </w:r>
            <w:r>
              <w:rPr>
                <w:rFonts w:hint="eastAsia" w:ascii="仿宋" w:hAnsi="仿宋" w:cs="仿宋"/>
                <w:color w:val="auto"/>
                <w:kern w:val="0"/>
                <w:sz w:val="21"/>
                <w:szCs w:val="21"/>
                <w:highlight w:val="none"/>
                <w:lang w:eastAsia="zh-CN"/>
              </w:rPr>
              <w:t>）</w:t>
            </w:r>
          </w:p>
        </w:tc>
        <w:tc>
          <w:tcPr>
            <w:tcW w:w="0" w:type="auto"/>
            <w:vAlign w:val="center"/>
          </w:tcPr>
          <w:p w14:paraId="1113D2D0">
            <w:pPr>
              <w:pStyle w:val="64"/>
              <w:spacing w:line="240" w:lineRule="auto"/>
              <w:jc w:val="left"/>
              <w:rPr>
                <w:rFonts w:ascii="仿宋" w:hAnsi="仿宋" w:cs="仿宋"/>
                <w:color w:val="auto"/>
                <w:sz w:val="21"/>
                <w:szCs w:val="21"/>
                <w:highlight w:val="none"/>
              </w:rPr>
            </w:pPr>
            <w:r>
              <w:rPr>
                <w:rFonts w:hint="eastAsia" w:ascii="仿宋" w:hAnsi="仿宋" w:cs="仿宋"/>
                <w:color w:val="auto"/>
                <w:sz w:val="21"/>
                <w:szCs w:val="21"/>
                <w:highlight w:val="none"/>
              </w:rPr>
              <w:t>根据</w:t>
            </w:r>
            <w:r>
              <w:rPr>
                <w:rFonts w:hint="eastAsia" w:ascii="仿宋" w:hAnsi="仿宋" w:cs="仿宋"/>
                <w:color w:val="auto"/>
                <w:sz w:val="21"/>
                <w:szCs w:val="21"/>
                <w:highlight w:val="none"/>
                <w:lang w:val="en-US" w:eastAsia="zh-CN"/>
              </w:rPr>
              <w:t>供应商</w:t>
            </w:r>
            <w:r>
              <w:rPr>
                <w:rFonts w:hint="eastAsia" w:ascii="仿宋" w:hAnsi="仿宋" w:cs="仿宋"/>
                <w:color w:val="auto"/>
                <w:sz w:val="21"/>
                <w:szCs w:val="21"/>
                <w:highlight w:val="none"/>
              </w:rPr>
              <w:t>提供的工作计划及进度保障措施进行综合评审；</w:t>
            </w:r>
          </w:p>
          <w:p w14:paraId="337B65A7">
            <w:pPr>
              <w:pStyle w:val="64"/>
              <w:spacing w:line="240" w:lineRule="auto"/>
              <w:jc w:val="left"/>
              <w:rPr>
                <w:rFonts w:ascii="仿宋" w:hAnsi="仿宋" w:cs="仿宋"/>
                <w:color w:val="auto"/>
                <w:sz w:val="21"/>
                <w:szCs w:val="21"/>
                <w:highlight w:val="none"/>
              </w:rPr>
            </w:pPr>
            <w:r>
              <w:rPr>
                <w:rFonts w:hint="eastAsia" w:ascii="仿宋" w:hAnsi="仿宋" w:cs="仿宋"/>
                <w:color w:val="auto"/>
                <w:sz w:val="21"/>
                <w:szCs w:val="21"/>
                <w:highlight w:val="none"/>
              </w:rPr>
              <w:t>（1）内容完整、详尽细致；可行性、针对性强的，得</w:t>
            </w:r>
            <w:r>
              <w:rPr>
                <w:rFonts w:hint="eastAsia" w:ascii="仿宋" w:hAnsi="仿宋" w:cs="仿宋"/>
                <w:color w:val="auto"/>
                <w:sz w:val="21"/>
                <w:szCs w:val="21"/>
                <w:highlight w:val="none"/>
                <w:lang w:val="en-US" w:eastAsia="zh-CN"/>
              </w:rPr>
              <w:t>4</w:t>
            </w:r>
            <w:r>
              <w:rPr>
                <w:rFonts w:hint="eastAsia" w:ascii="仿宋" w:hAnsi="仿宋" w:cs="仿宋"/>
                <w:color w:val="auto"/>
                <w:sz w:val="21"/>
                <w:szCs w:val="21"/>
                <w:highlight w:val="none"/>
              </w:rPr>
              <w:t>分；</w:t>
            </w:r>
          </w:p>
          <w:p w14:paraId="7408505A">
            <w:pPr>
              <w:pStyle w:val="64"/>
              <w:spacing w:line="240" w:lineRule="auto"/>
              <w:jc w:val="left"/>
              <w:rPr>
                <w:rFonts w:ascii="仿宋" w:hAnsi="仿宋" w:cs="仿宋"/>
                <w:color w:val="auto"/>
                <w:sz w:val="21"/>
                <w:szCs w:val="21"/>
                <w:highlight w:val="none"/>
              </w:rPr>
            </w:pPr>
            <w:r>
              <w:rPr>
                <w:rFonts w:hint="eastAsia" w:ascii="仿宋" w:hAnsi="仿宋" w:cs="仿宋"/>
                <w:color w:val="auto"/>
                <w:sz w:val="21"/>
                <w:szCs w:val="21"/>
                <w:highlight w:val="none"/>
              </w:rPr>
              <w:t>（2）内容完整；具有可行性和针对性的，得</w:t>
            </w:r>
            <w:r>
              <w:rPr>
                <w:rFonts w:hint="eastAsia" w:ascii="仿宋" w:hAnsi="仿宋" w:cs="仿宋"/>
                <w:color w:val="auto"/>
                <w:sz w:val="21"/>
                <w:szCs w:val="21"/>
                <w:highlight w:val="none"/>
                <w:lang w:val="en-US" w:eastAsia="zh-CN"/>
              </w:rPr>
              <w:t>3</w:t>
            </w:r>
            <w:r>
              <w:rPr>
                <w:rFonts w:hint="eastAsia" w:ascii="仿宋" w:hAnsi="仿宋" w:cs="仿宋"/>
                <w:color w:val="auto"/>
                <w:sz w:val="21"/>
                <w:szCs w:val="21"/>
                <w:highlight w:val="none"/>
              </w:rPr>
              <w:t>分；</w:t>
            </w:r>
          </w:p>
          <w:p w14:paraId="2627B9E7">
            <w:pPr>
              <w:pStyle w:val="64"/>
              <w:spacing w:line="240" w:lineRule="auto"/>
              <w:jc w:val="left"/>
              <w:rPr>
                <w:rFonts w:ascii="仿宋" w:hAnsi="仿宋" w:cs="仿宋"/>
                <w:color w:val="auto"/>
                <w:sz w:val="21"/>
                <w:szCs w:val="21"/>
                <w:highlight w:val="none"/>
              </w:rPr>
            </w:pPr>
            <w:r>
              <w:rPr>
                <w:rFonts w:hint="eastAsia" w:ascii="仿宋" w:hAnsi="仿宋" w:cs="仿宋"/>
                <w:color w:val="auto"/>
                <w:sz w:val="21"/>
                <w:szCs w:val="21"/>
                <w:highlight w:val="none"/>
              </w:rPr>
              <w:t>（3）内容基本适合本项目采购需求，可行性、针对性有待改善的，得</w:t>
            </w:r>
            <w:r>
              <w:rPr>
                <w:rFonts w:hint="eastAsia" w:ascii="仿宋" w:hAnsi="仿宋" w:cs="仿宋"/>
                <w:color w:val="auto"/>
                <w:sz w:val="21"/>
                <w:szCs w:val="21"/>
                <w:highlight w:val="none"/>
                <w:lang w:val="en-US" w:eastAsia="zh-CN"/>
              </w:rPr>
              <w:t>2</w:t>
            </w:r>
            <w:r>
              <w:rPr>
                <w:rFonts w:hint="eastAsia" w:ascii="仿宋" w:hAnsi="仿宋" w:cs="仿宋"/>
                <w:color w:val="auto"/>
                <w:sz w:val="21"/>
                <w:szCs w:val="21"/>
                <w:highlight w:val="none"/>
              </w:rPr>
              <w:t>分；</w:t>
            </w:r>
          </w:p>
          <w:p w14:paraId="2FA3D640">
            <w:pPr>
              <w:pStyle w:val="64"/>
              <w:spacing w:line="240" w:lineRule="auto"/>
              <w:jc w:val="left"/>
              <w:rPr>
                <w:rFonts w:hint="eastAsia" w:ascii="仿宋" w:hAnsi="仿宋" w:eastAsia="宋体" w:cs="仿宋"/>
                <w:color w:val="auto"/>
                <w:kern w:val="2"/>
                <w:sz w:val="21"/>
                <w:szCs w:val="21"/>
                <w:highlight w:val="none"/>
                <w:lang w:val="en-US" w:eastAsia="zh-CN" w:bidi="ar-SA"/>
              </w:rPr>
            </w:pPr>
            <w:r>
              <w:rPr>
                <w:rFonts w:hint="eastAsia" w:ascii="仿宋" w:hAnsi="仿宋" w:cs="仿宋"/>
                <w:color w:val="auto"/>
                <w:sz w:val="21"/>
                <w:szCs w:val="21"/>
                <w:highlight w:val="none"/>
              </w:rPr>
              <w:t>（4）内容不可行或者未提供相关内容的不得分。</w:t>
            </w:r>
          </w:p>
        </w:tc>
      </w:tr>
    </w:tbl>
    <w:p w14:paraId="3E2137CC">
      <w:pPr>
        <w:spacing w:line="360" w:lineRule="auto"/>
        <w:rPr>
          <w:rFonts w:hint="eastAsia" w:asciiTheme="minorEastAsia" w:hAnsiTheme="minorEastAsia" w:eastAsiaTheme="minorEastAsia"/>
          <w:b/>
          <w:color w:val="auto"/>
          <w:sz w:val="24"/>
          <w:highlight w:val="none"/>
        </w:rPr>
      </w:pPr>
      <w:r>
        <w:rPr>
          <w:rFonts w:hint="eastAsia"/>
          <w:b/>
          <w:bCs/>
          <w:color w:val="auto"/>
          <w:highlight w:val="none"/>
        </w:rPr>
        <w:t>注</w:t>
      </w:r>
      <w:r>
        <w:rPr>
          <w:rFonts w:hint="eastAsia"/>
          <w:color w:val="auto"/>
          <w:highlight w:val="none"/>
        </w:rPr>
        <w:t>：</w:t>
      </w:r>
      <w:r>
        <w:rPr>
          <w:rFonts w:hint="eastAsia" w:cs="Times New Roman" w:asciiTheme="minorEastAsia" w:hAnsiTheme="minorEastAsia" w:eastAsiaTheme="minorEastAsia"/>
          <w:b w:val="0"/>
          <w:bCs/>
          <w:color w:val="auto"/>
          <w:sz w:val="24"/>
          <w:highlight w:val="none"/>
        </w:rPr>
        <w:t>①请扫描上传合同、证书、报告及其他相关证明材料的原件至投标文件。</w:t>
      </w:r>
      <w:r>
        <w:rPr>
          <w:rFonts w:hint="eastAsia" w:asciiTheme="minorEastAsia" w:hAnsiTheme="minorEastAsia" w:eastAsiaTheme="minorEastAsia"/>
          <w:b w:val="0"/>
          <w:bCs/>
          <w:color w:val="auto"/>
          <w:sz w:val="24"/>
          <w:highlight w:val="none"/>
        </w:rPr>
        <w:t>商务</w:t>
      </w:r>
      <w:r>
        <w:rPr>
          <w:rFonts w:hint="eastAsia" w:asciiTheme="minorEastAsia" w:hAnsiTheme="minorEastAsia" w:eastAsiaTheme="minorEastAsia"/>
          <w:b w:val="0"/>
          <w:bCs/>
          <w:color w:val="auto"/>
          <w:sz w:val="24"/>
          <w:highlight w:val="none"/>
          <w:lang w:val="en-US" w:eastAsia="zh-CN"/>
        </w:rPr>
        <w:t>与</w:t>
      </w:r>
      <w:r>
        <w:rPr>
          <w:rFonts w:hint="eastAsia" w:asciiTheme="minorEastAsia" w:hAnsiTheme="minorEastAsia" w:eastAsiaTheme="minorEastAsia"/>
          <w:b w:val="0"/>
          <w:bCs/>
          <w:color w:val="auto"/>
          <w:sz w:val="24"/>
          <w:highlight w:val="none"/>
        </w:rPr>
        <w:t>技术文件内容缺项的，该项得0分。</w:t>
      </w:r>
    </w:p>
    <w:p w14:paraId="35A20EED">
      <w:pPr>
        <w:pStyle w:val="12"/>
        <w:snapToGrid w:val="0"/>
        <w:spacing w:before="159" w:beforeLines="50" w:beforeAutospacing="0" w:after="63" w:afterLines="20" w:afterAutospacing="0" w:line="360" w:lineRule="auto"/>
        <w:ind w:firstLine="480" w:firstLineChars="200"/>
        <w:rPr>
          <w:rFonts w:hint="eastAsia" w:asciiTheme="minorEastAsia" w:hAnsiTheme="minorEastAsia" w:eastAsiaTheme="minorEastAsia"/>
          <w:b w:val="0"/>
          <w:bCs/>
          <w:color w:val="auto"/>
          <w:sz w:val="24"/>
          <w:highlight w:val="none"/>
        </w:rPr>
      </w:pPr>
      <w:r>
        <w:rPr>
          <w:rFonts w:hint="eastAsia" w:asciiTheme="minorEastAsia" w:hAnsiTheme="minorEastAsia" w:eastAsiaTheme="minorEastAsia"/>
          <w:b w:val="0"/>
          <w:bCs/>
          <w:color w:val="auto"/>
          <w:sz w:val="24"/>
          <w:highlight w:val="none"/>
        </w:rPr>
        <w:t>（</w:t>
      </w:r>
      <w:r>
        <w:rPr>
          <w:rFonts w:hint="eastAsia" w:asciiTheme="minorEastAsia" w:hAnsiTheme="minorEastAsia" w:eastAsiaTheme="minorEastAsia"/>
          <w:b w:val="0"/>
          <w:bCs/>
          <w:color w:val="auto"/>
          <w:sz w:val="24"/>
          <w:highlight w:val="none"/>
          <w:lang w:val="en-US" w:eastAsia="zh-CN"/>
        </w:rPr>
        <w:t>2</w:t>
      </w:r>
      <w:r>
        <w:rPr>
          <w:rFonts w:hint="eastAsia" w:asciiTheme="minorEastAsia" w:hAnsiTheme="minorEastAsia" w:eastAsiaTheme="minorEastAsia"/>
          <w:b w:val="0"/>
          <w:bCs/>
          <w:color w:val="auto"/>
          <w:sz w:val="24"/>
          <w:highlight w:val="none"/>
        </w:rPr>
        <w:t>）报价文件评定分值为</w:t>
      </w:r>
      <w:r>
        <w:rPr>
          <w:rFonts w:hint="eastAsia" w:asciiTheme="minorEastAsia" w:hAnsiTheme="minorEastAsia" w:eastAsiaTheme="minorEastAsia"/>
          <w:b w:val="0"/>
          <w:bCs/>
          <w:color w:val="auto"/>
          <w:sz w:val="24"/>
          <w:highlight w:val="none"/>
          <w:lang w:val="en-US" w:eastAsia="zh-CN"/>
        </w:rPr>
        <w:t>1</w:t>
      </w:r>
      <w:r>
        <w:rPr>
          <w:rFonts w:hint="eastAsia" w:asciiTheme="minorEastAsia" w:hAnsiTheme="minorEastAsia" w:eastAsiaTheme="minorEastAsia"/>
          <w:b w:val="0"/>
          <w:bCs/>
          <w:color w:val="auto"/>
          <w:sz w:val="24"/>
          <w:highlight w:val="none"/>
        </w:rPr>
        <w:t>0分。（以下除注明外，计算结果小数点后保留2位，第3位四舍五入）。</w:t>
      </w:r>
    </w:p>
    <w:p w14:paraId="7350149E">
      <w:pPr>
        <w:pStyle w:val="12"/>
        <w:snapToGrid w:val="0"/>
        <w:spacing w:before="159" w:beforeLines="50" w:beforeAutospacing="0" w:after="63" w:afterLines="20" w:afterAutospacing="0" w:line="360" w:lineRule="auto"/>
        <w:ind w:firstLine="480" w:firstLineChars="200"/>
        <w:rPr>
          <w:rFonts w:hint="eastAsia" w:asciiTheme="minorEastAsia" w:hAnsiTheme="minorEastAsia" w:eastAsiaTheme="minorEastAsia"/>
          <w:b w:val="0"/>
          <w:bCs/>
          <w:color w:val="auto"/>
          <w:sz w:val="24"/>
          <w:highlight w:val="none"/>
        </w:rPr>
      </w:pPr>
      <w:r>
        <w:rPr>
          <w:rFonts w:hint="eastAsia" w:asciiTheme="minorEastAsia" w:hAnsiTheme="minorEastAsia" w:eastAsiaTheme="minorEastAsia"/>
          <w:b w:val="0"/>
          <w:bCs/>
          <w:color w:val="auto"/>
          <w:sz w:val="24"/>
          <w:highlight w:val="none"/>
        </w:rPr>
        <w:t>价格分采用低价优先法计算，以最低有效投标报价作为评标基准价，其价格分为</w:t>
      </w:r>
      <w:r>
        <w:rPr>
          <w:rFonts w:hint="eastAsia" w:asciiTheme="minorEastAsia" w:hAnsiTheme="minorEastAsia" w:eastAsiaTheme="minorEastAsia"/>
          <w:b w:val="0"/>
          <w:bCs/>
          <w:color w:val="auto"/>
          <w:sz w:val="24"/>
          <w:highlight w:val="none"/>
          <w:lang w:val="en-US" w:eastAsia="zh-CN"/>
        </w:rPr>
        <w:t>10</w:t>
      </w:r>
      <w:r>
        <w:rPr>
          <w:rFonts w:hint="eastAsia" w:asciiTheme="minorEastAsia" w:hAnsiTheme="minorEastAsia" w:eastAsiaTheme="minorEastAsia"/>
          <w:b w:val="0"/>
          <w:bCs/>
          <w:color w:val="auto"/>
          <w:sz w:val="24"/>
          <w:highlight w:val="none"/>
        </w:rPr>
        <w:t>分。其他</w:t>
      </w:r>
      <w:r>
        <w:rPr>
          <w:rFonts w:hint="eastAsia" w:asciiTheme="minorEastAsia" w:hAnsiTheme="minorEastAsia" w:eastAsiaTheme="minorEastAsia"/>
          <w:b w:val="0"/>
          <w:bCs/>
          <w:color w:val="auto"/>
          <w:sz w:val="24"/>
          <w:highlight w:val="none"/>
          <w:lang w:val="en-US" w:eastAsia="zh-CN"/>
        </w:rPr>
        <w:t>供应商</w:t>
      </w:r>
      <w:r>
        <w:rPr>
          <w:rFonts w:hint="eastAsia" w:asciiTheme="minorEastAsia" w:hAnsiTheme="minorEastAsia" w:eastAsiaTheme="minorEastAsia"/>
          <w:b w:val="0"/>
          <w:bCs/>
          <w:color w:val="auto"/>
          <w:sz w:val="24"/>
          <w:highlight w:val="none"/>
        </w:rPr>
        <w:t>的价格分统一按照下列公式计算：</w:t>
      </w:r>
    </w:p>
    <w:p w14:paraId="17FAB5AB">
      <w:pPr>
        <w:pStyle w:val="12"/>
        <w:snapToGrid w:val="0"/>
        <w:spacing w:before="159" w:beforeLines="50" w:beforeAutospacing="0" w:after="63" w:afterLines="20" w:afterAutospacing="0" w:line="360" w:lineRule="auto"/>
        <w:ind w:firstLine="480" w:firstLineChars="200"/>
        <w:rPr>
          <w:rFonts w:hint="eastAsia" w:asciiTheme="minorEastAsia" w:hAnsiTheme="minorEastAsia" w:eastAsiaTheme="minorEastAsia"/>
          <w:b w:val="0"/>
          <w:bCs/>
          <w:color w:val="auto"/>
          <w:sz w:val="24"/>
          <w:highlight w:val="none"/>
        </w:rPr>
      </w:pPr>
      <w:r>
        <w:rPr>
          <w:rFonts w:hint="eastAsia" w:asciiTheme="minorEastAsia" w:hAnsiTheme="minorEastAsia" w:eastAsiaTheme="minorEastAsia"/>
          <w:b w:val="0"/>
          <w:bCs/>
          <w:color w:val="auto"/>
          <w:sz w:val="24"/>
          <w:highlight w:val="none"/>
        </w:rPr>
        <w:t>报价文件得分=(评标基准价／投标报价)×</w:t>
      </w:r>
      <w:r>
        <w:rPr>
          <w:rFonts w:hint="eastAsia" w:asciiTheme="minorEastAsia" w:hAnsiTheme="minorEastAsia" w:eastAsiaTheme="minorEastAsia"/>
          <w:b w:val="0"/>
          <w:bCs/>
          <w:color w:val="auto"/>
          <w:sz w:val="24"/>
          <w:highlight w:val="none"/>
          <w:lang w:val="en-US" w:eastAsia="zh-CN"/>
        </w:rPr>
        <w:t>1</w:t>
      </w:r>
      <w:r>
        <w:rPr>
          <w:rFonts w:hint="eastAsia" w:asciiTheme="minorEastAsia" w:hAnsiTheme="minorEastAsia" w:eastAsiaTheme="minorEastAsia"/>
          <w:b w:val="0"/>
          <w:bCs/>
          <w:color w:val="auto"/>
          <w:sz w:val="24"/>
          <w:highlight w:val="none"/>
        </w:rPr>
        <w:t>0</w:t>
      </w:r>
    </w:p>
    <w:p w14:paraId="7F2622D7">
      <w:pPr>
        <w:pStyle w:val="12"/>
        <w:snapToGrid w:val="0"/>
        <w:spacing w:before="159" w:beforeLines="50" w:beforeAutospacing="0" w:after="63" w:afterLines="20" w:afterAutospacing="0" w:line="360" w:lineRule="auto"/>
        <w:ind w:firstLine="480" w:firstLineChars="200"/>
        <w:rPr>
          <w:rFonts w:hint="eastAsia" w:asciiTheme="minorEastAsia" w:hAnsiTheme="minorEastAsia" w:eastAsiaTheme="minorEastAsia"/>
          <w:b w:val="0"/>
          <w:bCs/>
          <w:color w:val="auto"/>
          <w:sz w:val="24"/>
          <w:highlight w:val="none"/>
        </w:rPr>
      </w:pPr>
      <w:r>
        <w:rPr>
          <w:rFonts w:hint="eastAsia" w:asciiTheme="minorEastAsia" w:hAnsiTheme="minorEastAsia" w:eastAsiaTheme="minorEastAsia"/>
          <w:b w:val="0"/>
          <w:bCs/>
          <w:color w:val="auto"/>
          <w:sz w:val="24"/>
          <w:highlight w:val="none"/>
        </w:rPr>
        <w:t>（</w:t>
      </w:r>
      <w:r>
        <w:rPr>
          <w:rFonts w:hint="eastAsia" w:asciiTheme="minorEastAsia" w:hAnsiTheme="minorEastAsia" w:eastAsiaTheme="minorEastAsia"/>
          <w:b w:val="0"/>
          <w:bCs/>
          <w:color w:val="auto"/>
          <w:sz w:val="24"/>
          <w:highlight w:val="none"/>
          <w:lang w:val="en-US" w:eastAsia="zh-CN"/>
        </w:rPr>
        <w:t>3</w:t>
      </w:r>
      <w:r>
        <w:rPr>
          <w:rFonts w:hint="eastAsia" w:asciiTheme="minorEastAsia" w:hAnsiTheme="minorEastAsia" w:eastAsiaTheme="minorEastAsia"/>
          <w:b w:val="0"/>
          <w:bCs/>
          <w:color w:val="auto"/>
          <w:sz w:val="24"/>
          <w:highlight w:val="none"/>
        </w:rPr>
        <w:t>）总得分的统计及中标候选人的确定。</w:t>
      </w:r>
    </w:p>
    <w:p w14:paraId="398CB8B6">
      <w:pPr>
        <w:pStyle w:val="12"/>
        <w:snapToGrid w:val="0"/>
        <w:spacing w:line="360" w:lineRule="auto"/>
        <w:ind w:firstLine="480" w:firstLineChars="200"/>
        <w:rPr>
          <w:rFonts w:hint="eastAsia" w:asciiTheme="minorEastAsia" w:hAnsiTheme="minorEastAsia" w:eastAsiaTheme="minorEastAsia"/>
          <w:b/>
          <w:color w:val="auto"/>
          <w:sz w:val="24"/>
          <w:highlight w:val="none"/>
        </w:rPr>
      </w:pPr>
      <w:r>
        <w:rPr>
          <w:rFonts w:hint="eastAsia" w:asciiTheme="minorEastAsia" w:hAnsiTheme="minorEastAsia" w:eastAsiaTheme="minorEastAsia"/>
          <w:b w:val="0"/>
          <w:bCs/>
          <w:color w:val="auto"/>
          <w:sz w:val="24"/>
          <w:highlight w:val="none"/>
        </w:rPr>
        <w:t>评标总得分的确定：</w:t>
      </w:r>
      <w:r>
        <w:rPr>
          <w:rFonts w:hint="eastAsia" w:asciiTheme="minorEastAsia" w:hAnsiTheme="minorEastAsia" w:eastAsiaTheme="minorEastAsia"/>
          <w:b w:val="0"/>
          <w:bCs/>
          <w:color w:val="auto"/>
          <w:sz w:val="24"/>
          <w:highlight w:val="none"/>
          <w:lang w:val="en-US" w:eastAsia="zh-CN"/>
        </w:rPr>
        <w:t>供应商</w:t>
      </w:r>
      <w:r>
        <w:rPr>
          <w:rFonts w:hint="eastAsia" w:asciiTheme="minorEastAsia" w:hAnsiTheme="minorEastAsia" w:eastAsiaTheme="minorEastAsia"/>
          <w:b w:val="0"/>
          <w:bCs/>
          <w:color w:val="auto"/>
          <w:sz w:val="24"/>
          <w:highlight w:val="none"/>
        </w:rPr>
        <w:t>的总得分＝商务</w:t>
      </w:r>
      <w:r>
        <w:rPr>
          <w:rFonts w:hint="eastAsia" w:asciiTheme="minorEastAsia" w:hAnsiTheme="minorEastAsia" w:eastAsiaTheme="minorEastAsia"/>
          <w:b w:val="0"/>
          <w:bCs/>
          <w:color w:val="auto"/>
          <w:sz w:val="24"/>
          <w:highlight w:val="none"/>
          <w:lang w:val="en-US" w:eastAsia="zh-CN"/>
        </w:rPr>
        <w:t>与</w:t>
      </w:r>
      <w:r>
        <w:rPr>
          <w:rFonts w:hint="eastAsia" w:asciiTheme="minorEastAsia" w:hAnsiTheme="minorEastAsia" w:eastAsiaTheme="minorEastAsia"/>
          <w:b w:val="0"/>
          <w:bCs/>
          <w:color w:val="auto"/>
          <w:sz w:val="24"/>
          <w:highlight w:val="none"/>
        </w:rPr>
        <w:t>技术文件得分+报价文件得分。</w:t>
      </w:r>
    </w:p>
    <w:p w14:paraId="5CC372AA">
      <w:pPr>
        <w:rPr>
          <w:color w:val="auto"/>
          <w:highlight w:val="none"/>
        </w:rPr>
      </w:pPr>
    </w:p>
    <w:p w14:paraId="729B5B46">
      <w:pPr>
        <w:pStyle w:val="2"/>
        <w:rPr>
          <w:color w:val="auto"/>
          <w:highlight w:val="none"/>
        </w:rPr>
      </w:pPr>
    </w:p>
    <w:p w14:paraId="6D7B8A0A">
      <w:pPr>
        <w:pStyle w:val="3"/>
        <w:ind w:left="0" w:leftChars="0" w:firstLine="0" w:firstLineChars="0"/>
        <w:rPr>
          <w:highlight w:val="none"/>
        </w:rPr>
      </w:pPr>
    </w:p>
    <w:p w14:paraId="02181B68">
      <w:pPr>
        <w:numPr>
          <w:ilvl w:val="0"/>
          <w:numId w:val="0"/>
        </w:numPr>
        <w:autoSpaceDE w:val="0"/>
        <w:autoSpaceDN w:val="0"/>
        <w:adjustRightInd w:val="0"/>
        <w:spacing w:line="360" w:lineRule="auto"/>
        <w:ind w:right="85" w:rightChars="0"/>
        <w:rPr>
          <w:rFonts w:hint="eastAsia" w:cs="宋体"/>
          <w:b/>
          <w:bCs/>
          <w:color w:val="auto"/>
          <w:sz w:val="24"/>
          <w:szCs w:val="24"/>
          <w:highlight w:val="none"/>
          <w:lang w:val="en-US" w:eastAsia="zh-CN"/>
        </w:rPr>
      </w:pPr>
      <w:r>
        <w:rPr>
          <w:rFonts w:hint="eastAsia" w:ascii="Times New Roman" w:hAnsi="Times New Roman" w:eastAsia="宋体" w:cs="宋体"/>
          <w:b/>
          <w:bCs/>
          <w:color w:val="auto"/>
          <w:kern w:val="2"/>
          <w:sz w:val="24"/>
          <w:szCs w:val="24"/>
          <w:highlight w:val="none"/>
          <w:lang w:val="en-US" w:eastAsia="zh-CN" w:bidi="ar-SA"/>
        </w:rPr>
        <w:t>1.</w:t>
      </w:r>
      <w:r>
        <w:rPr>
          <w:rFonts w:hint="eastAsia" w:ascii="宋体"/>
          <w:b/>
          <w:bCs/>
          <w:color w:val="auto"/>
          <w:sz w:val="24"/>
          <w:highlight w:val="none"/>
        </w:rPr>
        <w:t>评分标准</w:t>
      </w:r>
      <w:r>
        <w:rPr>
          <w:rFonts w:hint="eastAsia" w:cs="宋体"/>
          <w:b/>
          <w:bCs/>
          <w:color w:val="auto"/>
          <w:sz w:val="24"/>
          <w:szCs w:val="24"/>
          <w:highlight w:val="none"/>
          <w:lang w:val="en-US" w:eastAsia="zh-CN"/>
        </w:rPr>
        <w:t>（适用于标项二）：</w:t>
      </w:r>
    </w:p>
    <w:p w14:paraId="281D3424">
      <w:pPr>
        <w:numPr>
          <w:ilvl w:val="0"/>
          <w:numId w:val="0"/>
        </w:numPr>
        <w:bidi w:val="0"/>
        <w:rPr>
          <w:color w:val="auto"/>
          <w:highlight w:val="none"/>
        </w:rPr>
      </w:pPr>
    </w:p>
    <w:tbl>
      <w:tblPr>
        <w:tblStyle w:val="21"/>
        <w:tblW w:w="10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784"/>
        <w:gridCol w:w="7546"/>
      </w:tblGrid>
      <w:tr w14:paraId="49BA9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881" w:type="dxa"/>
            <w:noWrap w:val="0"/>
            <w:vAlign w:val="center"/>
          </w:tcPr>
          <w:p w14:paraId="4D2C4E4E">
            <w:pPr>
              <w:adjustRightInd w:val="0"/>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序号</w:t>
            </w:r>
          </w:p>
        </w:tc>
        <w:tc>
          <w:tcPr>
            <w:tcW w:w="1784" w:type="dxa"/>
            <w:noWrap w:val="0"/>
            <w:vAlign w:val="center"/>
          </w:tcPr>
          <w:p w14:paraId="0213604C">
            <w:pPr>
              <w:adjustRightInd w:val="0"/>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分值范围</w:t>
            </w:r>
          </w:p>
        </w:tc>
        <w:tc>
          <w:tcPr>
            <w:tcW w:w="7546" w:type="dxa"/>
            <w:noWrap w:val="0"/>
            <w:vAlign w:val="center"/>
          </w:tcPr>
          <w:p w14:paraId="0EA25565">
            <w:pPr>
              <w:adjustRightInd w:val="0"/>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评分内容</w:t>
            </w:r>
          </w:p>
        </w:tc>
      </w:tr>
      <w:tr w14:paraId="7AEE9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881" w:type="dxa"/>
            <w:noWrap w:val="0"/>
            <w:vAlign w:val="center"/>
          </w:tcPr>
          <w:p w14:paraId="690F1780">
            <w:pPr>
              <w:adjustRightInd w:val="0"/>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1</w:t>
            </w:r>
          </w:p>
        </w:tc>
        <w:tc>
          <w:tcPr>
            <w:tcW w:w="1784" w:type="dxa"/>
            <w:noWrap w:val="0"/>
            <w:vAlign w:val="center"/>
          </w:tcPr>
          <w:p w14:paraId="19EF6C08">
            <w:pPr>
              <w:adjustRightInd w:val="0"/>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同类项目案例（1分）</w:t>
            </w:r>
          </w:p>
        </w:tc>
        <w:tc>
          <w:tcPr>
            <w:tcW w:w="7546" w:type="dxa"/>
            <w:noWrap w:val="0"/>
            <w:vAlign w:val="center"/>
          </w:tcPr>
          <w:p w14:paraId="753CB8BA">
            <w:pPr>
              <w:adjustRightInd w:val="0"/>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供应商</w:t>
            </w:r>
            <w:r>
              <w:rPr>
                <w:rFonts w:hint="eastAsia" w:ascii="宋体" w:hAnsi="宋体" w:cs="宋体"/>
                <w:bCs/>
                <w:color w:val="auto"/>
                <w:sz w:val="21"/>
                <w:szCs w:val="21"/>
                <w:highlight w:val="none"/>
              </w:rPr>
              <w:t>自</w:t>
            </w:r>
            <w:r>
              <w:rPr>
                <w:rFonts w:hint="eastAsia" w:ascii="宋体" w:hAnsi="宋体" w:cs="宋体"/>
                <w:bCs/>
                <w:color w:val="auto"/>
                <w:sz w:val="21"/>
                <w:szCs w:val="21"/>
                <w:highlight w:val="none"/>
                <w:lang w:val="en-US" w:eastAsia="zh-CN"/>
              </w:rPr>
              <w:t>2022</w:t>
            </w:r>
            <w:r>
              <w:rPr>
                <w:rFonts w:hint="eastAsia" w:ascii="宋体" w:hAnsi="宋体" w:cs="宋体"/>
                <w:bCs/>
                <w:color w:val="auto"/>
                <w:sz w:val="21"/>
                <w:szCs w:val="21"/>
                <w:highlight w:val="none"/>
              </w:rPr>
              <w:t>年1月1日起至投标截止时间止</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以合同签订时间为准</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rPr>
              <w:t>，承担过类似项目业绩（低效用地再开发试点相关技术服务类）的每</w:t>
            </w:r>
            <w:r>
              <w:rPr>
                <w:rFonts w:hint="eastAsia" w:ascii="宋体" w:hAnsi="宋体" w:cs="宋体"/>
                <w:bCs/>
                <w:color w:val="auto"/>
                <w:sz w:val="21"/>
                <w:szCs w:val="21"/>
                <w:highlight w:val="none"/>
                <w:lang w:val="en-US" w:eastAsia="zh-CN"/>
              </w:rPr>
              <w:t>个</w:t>
            </w:r>
            <w:r>
              <w:rPr>
                <w:rFonts w:hint="eastAsia" w:ascii="宋体" w:hAnsi="宋体" w:cs="宋体"/>
                <w:bCs/>
                <w:color w:val="auto"/>
                <w:sz w:val="21"/>
                <w:szCs w:val="21"/>
                <w:highlight w:val="none"/>
              </w:rPr>
              <w:t>得0.5分，最高得1分。</w:t>
            </w:r>
          </w:p>
          <w:p w14:paraId="72DE0709">
            <w:pPr>
              <w:spacing w:line="360" w:lineRule="auto"/>
              <w:textAlignment w:val="baseline"/>
              <w:rPr>
                <w:rFonts w:hint="eastAsia" w:ascii="宋体" w:hAnsi="宋体" w:cs="宋体"/>
                <w:bCs/>
                <w:color w:val="auto"/>
                <w:sz w:val="21"/>
                <w:szCs w:val="21"/>
                <w:highlight w:val="none"/>
              </w:rPr>
            </w:pPr>
            <w:r>
              <w:rPr>
                <w:rFonts w:hint="eastAsia" w:ascii="宋体" w:hAnsi="宋体" w:cs="宋体"/>
                <w:color w:val="auto"/>
                <w:szCs w:val="21"/>
                <w:highlight w:val="none"/>
              </w:rPr>
              <w:t>联合体投标时，联合体双方均认可</w:t>
            </w:r>
            <w:r>
              <w:rPr>
                <w:rFonts w:hint="eastAsia" w:ascii="宋体" w:hAnsi="宋体" w:cs="宋体"/>
                <w:color w:val="auto"/>
                <w:szCs w:val="21"/>
                <w:highlight w:val="none"/>
                <w:lang w:eastAsia="zh-CN"/>
              </w:rPr>
              <w:t>。</w:t>
            </w:r>
          </w:p>
          <w:p w14:paraId="67E7523B">
            <w:pPr>
              <w:adjustRightInd w:val="0"/>
              <w:rPr>
                <w:rFonts w:hint="eastAsia" w:ascii="宋体" w:hAnsi="宋体" w:cs="宋体"/>
                <w:bCs/>
                <w:color w:val="auto"/>
                <w:kern w:val="0"/>
                <w:sz w:val="21"/>
                <w:szCs w:val="21"/>
                <w:highlight w:val="none"/>
              </w:rPr>
            </w:pPr>
            <w:r>
              <w:rPr>
                <w:rFonts w:hint="eastAsia" w:ascii="宋体" w:hAnsi="宋体" w:cs="宋体"/>
                <w:b/>
                <w:color w:val="auto"/>
                <w:sz w:val="21"/>
                <w:szCs w:val="21"/>
                <w:highlight w:val="none"/>
              </w:rPr>
              <w:t>（注：需提供合同扫描件，未按要求提供的不得分。）</w:t>
            </w:r>
          </w:p>
        </w:tc>
      </w:tr>
      <w:tr w14:paraId="4A782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81" w:type="dxa"/>
            <w:noWrap w:val="0"/>
            <w:vAlign w:val="center"/>
          </w:tcPr>
          <w:p w14:paraId="073706B7">
            <w:pPr>
              <w:adjustRightInd w:val="0"/>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2</w:t>
            </w:r>
          </w:p>
        </w:tc>
        <w:tc>
          <w:tcPr>
            <w:tcW w:w="1784" w:type="dxa"/>
            <w:noWrap w:val="0"/>
            <w:vAlign w:val="center"/>
          </w:tcPr>
          <w:p w14:paraId="1F5C8818">
            <w:pPr>
              <w:adjustRightInd w:val="0"/>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认证证书（</w:t>
            </w:r>
            <w:r>
              <w:rPr>
                <w:rFonts w:hint="eastAsia" w:ascii="宋体" w:hAnsi="宋体" w:cs="宋体"/>
                <w:bCs/>
                <w:color w:val="auto"/>
                <w:kern w:val="0"/>
                <w:sz w:val="21"/>
                <w:szCs w:val="21"/>
                <w:highlight w:val="none"/>
                <w:lang w:val="en-US" w:eastAsia="zh-CN"/>
              </w:rPr>
              <w:t>4</w:t>
            </w:r>
            <w:r>
              <w:rPr>
                <w:rFonts w:hint="eastAsia" w:ascii="宋体" w:hAnsi="宋体" w:cs="宋体"/>
                <w:bCs/>
                <w:color w:val="auto"/>
                <w:kern w:val="0"/>
                <w:sz w:val="21"/>
                <w:szCs w:val="21"/>
                <w:highlight w:val="none"/>
              </w:rPr>
              <w:t>分）</w:t>
            </w:r>
          </w:p>
        </w:tc>
        <w:tc>
          <w:tcPr>
            <w:tcW w:w="7546" w:type="dxa"/>
            <w:noWrap w:val="0"/>
            <w:vAlign w:val="center"/>
          </w:tcPr>
          <w:p w14:paraId="7F6F46EE">
            <w:pPr>
              <w:adjustRightInd w:val="0"/>
              <w:rPr>
                <w:rFonts w:hint="eastAsia" w:ascii="宋体" w:hAnsi="宋体" w:cs="宋体"/>
                <w:color w:val="auto"/>
                <w:sz w:val="21"/>
                <w:szCs w:val="21"/>
                <w:highlight w:val="none"/>
              </w:rPr>
            </w:pPr>
            <w:r>
              <w:rPr>
                <w:rFonts w:hint="eastAsia" w:ascii="仿宋" w:hAnsi="仿宋" w:cs="仿宋"/>
                <w:color w:val="auto"/>
                <w:sz w:val="21"/>
                <w:szCs w:val="21"/>
                <w:highlight w:val="none"/>
                <w:lang w:val="en-US" w:eastAsia="zh-CN"/>
              </w:rPr>
              <w:t>供应商</w:t>
            </w:r>
            <w:r>
              <w:rPr>
                <w:rFonts w:hint="eastAsia" w:ascii="宋体" w:hAnsi="宋体" w:cs="宋体"/>
                <w:color w:val="auto"/>
                <w:sz w:val="21"/>
                <w:szCs w:val="21"/>
                <w:highlight w:val="none"/>
              </w:rPr>
              <w:t>具有质量管理体系认证证书、</w:t>
            </w:r>
            <w:r>
              <w:rPr>
                <w:rFonts w:hint="eastAsia" w:ascii="宋体" w:hAnsi="宋体" w:cs="宋体"/>
                <w:color w:val="auto"/>
                <w:sz w:val="21"/>
                <w:szCs w:val="21"/>
                <w:highlight w:val="none"/>
                <w:lang w:eastAsia="zh-CN"/>
              </w:rPr>
              <w:t>环境管理体系认证证书、</w:t>
            </w:r>
            <w:r>
              <w:rPr>
                <w:rFonts w:hint="eastAsia" w:ascii="宋体" w:hAnsi="宋体" w:cs="宋体"/>
                <w:color w:val="auto"/>
                <w:sz w:val="21"/>
                <w:szCs w:val="21"/>
                <w:highlight w:val="none"/>
              </w:rPr>
              <w:t>信息安全管理体系认证证书、售后服务认证证书的每个得1分，最高得4分。</w:t>
            </w:r>
            <w:r>
              <w:rPr>
                <w:rFonts w:hint="eastAsia" w:ascii="宋体" w:hAnsi="宋体" w:cs="宋体"/>
                <w:color w:val="auto"/>
                <w:sz w:val="21"/>
                <w:szCs w:val="21"/>
                <w:highlight w:val="none"/>
                <w:lang w:val="en-US" w:eastAsia="zh-CN"/>
              </w:rPr>
              <w:t>每类证书最高得1分。</w:t>
            </w:r>
          </w:p>
          <w:p w14:paraId="19A081FA">
            <w:pPr>
              <w:spacing w:line="360" w:lineRule="auto"/>
              <w:textAlignment w:val="baseline"/>
              <w:rPr>
                <w:rFonts w:hint="eastAsia" w:ascii="宋体" w:hAnsi="宋体" w:cs="宋体"/>
                <w:color w:val="auto"/>
                <w:sz w:val="21"/>
                <w:szCs w:val="21"/>
                <w:highlight w:val="none"/>
              </w:rPr>
            </w:pPr>
            <w:r>
              <w:rPr>
                <w:rFonts w:hint="eastAsia" w:ascii="宋体" w:hAnsi="宋体" w:cs="宋体"/>
                <w:color w:val="auto"/>
                <w:szCs w:val="21"/>
                <w:highlight w:val="none"/>
              </w:rPr>
              <w:t>联合体投标时，联合体双方均认可</w:t>
            </w:r>
            <w:r>
              <w:rPr>
                <w:rFonts w:hint="eastAsia" w:ascii="宋体" w:hAnsi="宋体" w:cs="宋体"/>
                <w:color w:val="auto"/>
                <w:szCs w:val="21"/>
                <w:highlight w:val="none"/>
                <w:lang w:eastAsia="zh-CN"/>
              </w:rPr>
              <w:t>。</w:t>
            </w:r>
          </w:p>
          <w:p w14:paraId="0072CC24">
            <w:pPr>
              <w:adjustRightInd w:val="0"/>
              <w:rPr>
                <w:rFonts w:hint="eastAsia" w:ascii="宋体" w:hAnsi="宋体" w:cs="宋体"/>
                <w:color w:val="auto"/>
                <w:sz w:val="21"/>
                <w:szCs w:val="21"/>
                <w:highlight w:val="none"/>
              </w:rPr>
            </w:pPr>
            <w:r>
              <w:rPr>
                <w:rFonts w:hint="eastAsia" w:ascii="宋体" w:hAnsi="宋体" w:cs="宋体"/>
                <w:b/>
                <w:bCs/>
                <w:color w:val="auto"/>
                <w:sz w:val="21"/>
                <w:szCs w:val="21"/>
                <w:highlight w:val="none"/>
              </w:rPr>
              <w:t>（注：需提供有效期内相关证书扫描件</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rPr>
              <w:t>未按要求提供的不得分。）</w:t>
            </w:r>
          </w:p>
        </w:tc>
      </w:tr>
      <w:tr w14:paraId="1FAD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vMerge w:val="restart"/>
            <w:noWrap w:val="0"/>
            <w:vAlign w:val="center"/>
          </w:tcPr>
          <w:p w14:paraId="629B4AC4">
            <w:pPr>
              <w:adjustRightInd w:val="0"/>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val="en-US" w:eastAsia="zh-CN"/>
              </w:rPr>
              <w:t>3</w:t>
            </w:r>
          </w:p>
        </w:tc>
        <w:tc>
          <w:tcPr>
            <w:tcW w:w="1784" w:type="dxa"/>
            <w:vMerge w:val="restart"/>
            <w:noWrap w:val="0"/>
            <w:vAlign w:val="center"/>
          </w:tcPr>
          <w:p w14:paraId="14577980">
            <w:pPr>
              <w:adjustRightInd w:val="0"/>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项目人员配备（1</w:t>
            </w:r>
            <w:r>
              <w:rPr>
                <w:rFonts w:hint="eastAsia" w:ascii="宋体" w:hAnsi="宋体" w:cs="宋体"/>
                <w:bCs/>
                <w:color w:val="auto"/>
                <w:kern w:val="0"/>
                <w:sz w:val="21"/>
                <w:szCs w:val="21"/>
                <w:highlight w:val="none"/>
                <w:lang w:val="en-US" w:eastAsia="zh-CN"/>
              </w:rPr>
              <w:t>5</w:t>
            </w:r>
            <w:r>
              <w:rPr>
                <w:rFonts w:hint="eastAsia" w:ascii="宋体" w:hAnsi="宋体" w:cs="宋体"/>
                <w:bCs/>
                <w:color w:val="auto"/>
                <w:kern w:val="0"/>
                <w:sz w:val="21"/>
                <w:szCs w:val="21"/>
                <w:highlight w:val="none"/>
              </w:rPr>
              <w:t>分）</w:t>
            </w:r>
          </w:p>
        </w:tc>
        <w:tc>
          <w:tcPr>
            <w:tcW w:w="7546" w:type="dxa"/>
            <w:noWrap w:val="0"/>
            <w:vAlign w:val="center"/>
          </w:tcPr>
          <w:p w14:paraId="1316A042">
            <w:pPr>
              <w:adjustRightInd w:val="0"/>
              <w:snapToGrid w:val="0"/>
              <w:jc w:val="left"/>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项目负责人</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rPr>
              <w:t>本项最高得</w:t>
            </w:r>
            <w:r>
              <w:rPr>
                <w:rFonts w:hint="eastAsia" w:ascii="宋体" w:hAnsi="宋体" w:cs="宋体"/>
                <w:b/>
                <w:bCs/>
                <w:color w:val="auto"/>
                <w:sz w:val="21"/>
                <w:szCs w:val="21"/>
                <w:highlight w:val="none"/>
                <w:lang w:val="en-US" w:eastAsia="zh-CN"/>
              </w:rPr>
              <w:t>5</w:t>
            </w:r>
            <w:r>
              <w:rPr>
                <w:rFonts w:hint="eastAsia" w:ascii="宋体" w:hAnsi="宋体" w:cs="宋体"/>
                <w:b/>
                <w:bCs/>
                <w:color w:val="auto"/>
                <w:sz w:val="21"/>
                <w:szCs w:val="21"/>
                <w:highlight w:val="none"/>
              </w:rPr>
              <w:t>分</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rPr>
              <w:t>：</w:t>
            </w:r>
          </w:p>
          <w:p w14:paraId="206D5928">
            <w:pPr>
              <w:numPr>
                <w:ilvl w:val="0"/>
                <w:numId w:val="0"/>
              </w:numPr>
              <w:adjustRightInd w:val="0"/>
              <w:snapToGrid w:val="0"/>
              <w:jc w:val="left"/>
              <w:rPr>
                <w:rFonts w:hint="eastAsia" w:ascii="宋体" w:hAnsi="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sz w:val="21"/>
                <w:szCs w:val="21"/>
                <w:highlight w:val="none"/>
              </w:rPr>
              <w:t>项目负责人</w:t>
            </w:r>
            <w:r>
              <w:rPr>
                <w:rFonts w:hint="eastAsia"/>
                <w:color w:val="auto"/>
                <w:sz w:val="21"/>
                <w:szCs w:val="21"/>
                <w:highlight w:val="none"/>
              </w:rPr>
              <w:t>具有</w:t>
            </w:r>
            <w:r>
              <w:rPr>
                <w:rFonts w:hint="eastAsia"/>
                <w:color w:val="auto"/>
                <w:sz w:val="21"/>
                <w:szCs w:val="21"/>
                <w:highlight w:val="none"/>
                <w:lang w:val="en-US" w:eastAsia="zh-CN"/>
              </w:rPr>
              <w:t>测绘类</w:t>
            </w:r>
            <w:r>
              <w:rPr>
                <w:rFonts w:hint="eastAsia"/>
                <w:color w:val="auto"/>
                <w:sz w:val="21"/>
                <w:szCs w:val="21"/>
                <w:highlight w:val="none"/>
                <w:lang w:eastAsia="zh-CN"/>
              </w:rPr>
              <w:t>或</w:t>
            </w:r>
            <w:r>
              <w:rPr>
                <w:rFonts w:hint="eastAsia"/>
                <w:color w:val="auto"/>
                <w:sz w:val="21"/>
                <w:szCs w:val="21"/>
                <w:highlight w:val="none"/>
                <w:lang w:val="en-US" w:eastAsia="zh-CN"/>
              </w:rPr>
              <w:t>土地类专业</w:t>
            </w:r>
            <w:r>
              <w:rPr>
                <w:rFonts w:hint="eastAsia"/>
                <w:color w:val="auto"/>
                <w:sz w:val="21"/>
                <w:szCs w:val="21"/>
                <w:highlight w:val="none"/>
                <w:lang w:eastAsia="zh-CN"/>
              </w:rPr>
              <w:t>正</w:t>
            </w:r>
            <w:r>
              <w:rPr>
                <w:rFonts w:hint="eastAsia"/>
                <w:color w:val="auto"/>
                <w:sz w:val="21"/>
                <w:szCs w:val="21"/>
                <w:highlight w:val="none"/>
              </w:rPr>
              <w:t>高级工程师的得</w:t>
            </w:r>
            <w:r>
              <w:rPr>
                <w:rFonts w:hint="eastAsia"/>
                <w:color w:val="auto"/>
                <w:sz w:val="21"/>
                <w:szCs w:val="21"/>
                <w:highlight w:val="none"/>
                <w:lang w:val="en-US" w:eastAsia="zh-CN"/>
              </w:rPr>
              <w:t>3</w:t>
            </w:r>
            <w:r>
              <w:rPr>
                <w:rFonts w:hint="eastAsia"/>
                <w:color w:val="auto"/>
                <w:sz w:val="21"/>
                <w:szCs w:val="21"/>
                <w:highlight w:val="none"/>
              </w:rPr>
              <w:t>分</w:t>
            </w:r>
            <w:r>
              <w:rPr>
                <w:rFonts w:hint="eastAsia"/>
                <w:color w:val="auto"/>
                <w:sz w:val="21"/>
                <w:szCs w:val="21"/>
                <w:highlight w:val="none"/>
                <w:lang w:eastAsia="zh-CN"/>
              </w:rPr>
              <w:t>，</w:t>
            </w:r>
            <w:r>
              <w:rPr>
                <w:rFonts w:hint="eastAsia"/>
                <w:color w:val="auto"/>
                <w:sz w:val="21"/>
                <w:szCs w:val="21"/>
                <w:highlight w:val="none"/>
              </w:rPr>
              <w:t>具有</w:t>
            </w:r>
            <w:r>
              <w:rPr>
                <w:rFonts w:hint="eastAsia"/>
                <w:color w:val="auto"/>
                <w:sz w:val="21"/>
                <w:szCs w:val="21"/>
                <w:highlight w:val="none"/>
                <w:lang w:val="en-US" w:eastAsia="zh-CN"/>
              </w:rPr>
              <w:t>测绘类</w:t>
            </w:r>
            <w:r>
              <w:rPr>
                <w:rFonts w:hint="eastAsia"/>
                <w:color w:val="auto"/>
                <w:sz w:val="21"/>
                <w:szCs w:val="21"/>
                <w:highlight w:val="none"/>
                <w:lang w:eastAsia="zh-CN"/>
              </w:rPr>
              <w:t>或</w:t>
            </w:r>
            <w:r>
              <w:rPr>
                <w:rFonts w:hint="eastAsia"/>
                <w:color w:val="auto"/>
                <w:sz w:val="21"/>
                <w:szCs w:val="21"/>
                <w:highlight w:val="none"/>
                <w:lang w:val="en-US" w:eastAsia="zh-CN"/>
              </w:rPr>
              <w:t>土地类专业</w:t>
            </w:r>
            <w:r>
              <w:rPr>
                <w:rFonts w:hint="eastAsia" w:ascii="宋体" w:hAnsi="宋体" w:cs="宋体"/>
                <w:b w:val="0"/>
                <w:bCs w:val="0"/>
                <w:color w:val="auto"/>
                <w:sz w:val="21"/>
                <w:szCs w:val="21"/>
                <w:highlight w:val="none"/>
                <w:lang w:eastAsia="zh-CN"/>
              </w:rPr>
              <w:t>高级工程师的得</w:t>
            </w:r>
            <w:r>
              <w:rPr>
                <w:rFonts w:hint="eastAsia" w:ascii="宋体" w:hAnsi="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eastAsia="zh-CN"/>
              </w:rPr>
              <w:t>分</w:t>
            </w:r>
            <w:r>
              <w:rPr>
                <w:rFonts w:hint="eastAsia" w:ascii="宋体" w:hAnsi="宋体" w:cs="宋体"/>
                <w:color w:val="auto"/>
                <w:sz w:val="21"/>
                <w:szCs w:val="21"/>
                <w:highlight w:val="none"/>
                <w:lang w:eastAsia="zh-CN"/>
              </w:rPr>
              <w:t>；</w:t>
            </w:r>
          </w:p>
          <w:p w14:paraId="15298082">
            <w:pPr>
              <w:numPr>
                <w:ilvl w:val="0"/>
                <w:numId w:val="0"/>
              </w:numPr>
              <w:adjustRightInd w:val="0"/>
              <w:snapToGrid w:val="0"/>
              <w:jc w:val="left"/>
              <w:rPr>
                <w:rFonts w:hint="eastAsia" w:ascii="宋体" w:hAnsi="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sz w:val="21"/>
                <w:szCs w:val="21"/>
                <w:highlight w:val="none"/>
                <w:lang w:eastAsia="zh-CN"/>
              </w:rPr>
              <w:t>承担过土地利用类课题研究项目</w:t>
            </w:r>
            <w:r>
              <w:rPr>
                <w:rFonts w:hint="eastAsia" w:ascii="宋体" w:hAnsi="宋体" w:cs="宋体"/>
                <w:color w:val="auto"/>
                <w:sz w:val="21"/>
                <w:szCs w:val="21"/>
                <w:highlight w:val="none"/>
              </w:rPr>
              <w:t>的</w:t>
            </w:r>
            <w:r>
              <w:rPr>
                <w:rFonts w:hint="eastAsia" w:ascii="宋体" w:hAnsi="宋体" w:cs="宋体"/>
                <w:color w:val="auto"/>
                <w:sz w:val="21"/>
                <w:szCs w:val="21"/>
                <w:highlight w:val="none"/>
                <w:lang w:eastAsia="zh-CN"/>
              </w:rPr>
              <w:t>，每个项目得</w:t>
            </w:r>
            <w:r>
              <w:rPr>
                <w:rFonts w:hint="eastAsia" w:ascii="宋体" w:hAnsi="宋体" w:cs="宋体"/>
                <w:color w:val="auto"/>
                <w:sz w:val="21"/>
                <w:szCs w:val="21"/>
                <w:highlight w:val="none"/>
                <w:lang w:val="en-US" w:eastAsia="zh-CN"/>
              </w:rPr>
              <w:t>1分，最高</w:t>
            </w:r>
            <w:r>
              <w:rPr>
                <w:rFonts w:hint="eastAsia" w:ascii="宋体" w:hAnsi="宋体" w:cs="宋体"/>
                <w:color w:val="auto"/>
                <w:sz w:val="21"/>
                <w:szCs w:val="21"/>
                <w:highlight w:val="none"/>
              </w:rPr>
              <w:t>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eastAsia="zh-CN"/>
              </w:rPr>
              <w:t>。</w:t>
            </w:r>
          </w:p>
          <w:p w14:paraId="66B62C5D">
            <w:pPr>
              <w:bidi w:val="0"/>
              <w:rPr>
                <w:rFonts w:hint="eastAsia" w:ascii="宋体" w:hAnsi="宋体" w:cs="宋体"/>
                <w:color w:val="auto"/>
                <w:sz w:val="21"/>
                <w:szCs w:val="21"/>
                <w:highlight w:val="none"/>
                <w:lang w:eastAsia="zh-CN"/>
              </w:rPr>
            </w:pPr>
            <w:r>
              <w:rPr>
                <w:rFonts w:hint="eastAsia"/>
                <w:color w:val="auto"/>
                <w:highlight w:val="none"/>
              </w:rPr>
              <w:t>联合体投标时，项目负责人须由联合体牵头单位派出</w:t>
            </w:r>
            <w:r>
              <w:rPr>
                <w:rFonts w:hint="eastAsia"/>
                <w:color w:val="auto"/>
                <w:highlight w:val="none"/>
                <w:lang w:eastAsia="zh-CN"/>
              </w:rPr>
              <w:t>。</w:t>
            </w:r>
          </w:p>
          <w:p w14:paraId="1B4F44BF">
            <w:pPr>
              <w:adjustRightInd w:val="0"/>
              <w:snapToGrid w:val="0"/>
              <w:jc w:val="left"/>
              <w:rPr>
                <w:rFonts w:hint="eastAsia" w:ascii="宋体" w:hAnsi="宋体" w:cs="宋体"/>
                <w:bCs/>
                <w:color w:val="auto"/>
                <w:kern w:val="0"/>
                <w:sz w:val="21"/>
                <w:szCs w:val="21"/>
                <w:highlight w:val="none"/>
              </w:rPr>
            </w:pPr>
            <w:r>
              <w:rPr>
                <w:rFonts w:hint="eastAsia" w:ascii="宋体" w:hAnsi="宋体" w:cs="宋体"/>
                <w:b/>
                <w:bCs/>
                <w:color w:val="auto"/>
                <w:sz w:val="21"/>
                <w:szCs w:val="21"/>
                <w:highlight w:val="none"/>
              </w:rPr>
              <w:t>（注：</w:t>
            </w:r>
            <w:r>
              <w:rPr>
                <w:rFonts w:hint="eastAsia" w:ascii="宋体" w:hAnsi="宋体" w:cs="宋体"/>
                <w:b/>
                <w:bCs/>
                <w:color w:val="auto"/>
                <w:sz w:val="21"/>
                <w:szCs w:val="21"/>
                <w:highlight w:val="none"/>
                <w:lang w:val="en-US" w:eastAsia="zh-CN"/>
              </w:rPr>
              <w:t>须</w:t>
            </w:r>
            <w:r>
              <w:rPr>
                <w:rFonts w:hint="eastAsia" w:ascii="宋体" w:hAnsi="宋体" w:eastAsia="宋体" w:cs="Times New Roman"/>
                <w:b/>
                <w:bCs/>
                <w:color w:val="auto"/>
                <w:sz w:val="21"/>
                <w:szCs w:val="21"/>
                <w:highlight w:val="none"/>
                <w:lang w:val="en-US" w:eastAsia="zh-CN"/>
              </w:rPr>
              <w:t>提供证书原件扫描件以及投标单位为其缴纳的近三个月中其中一个月社保证明</w:t>
            </w:r>
            <w:r>
              <w:rPr>
                <w:rFonts w:ascii="宋体" w:hAnsi="宋体" w:eastAsia="宋体" w:cs="Times New Roman"/>
                <w:b/>
                <w:bCs/>
                <w:color w:val="auto"/>
                <w:sz w:val="21"/>
                <w:szCs w:val="21"/>
                <w:highlight w:val="none"/>
              </w:rPr>
              <w:t>，未提供不得分</w:t>
            </w:r>
            <w:r>
              <w:rPr>
                <w:rFonts w:hint="eastAsia" w:ascii="宋体" w:hAnsi="宋体" w:cs="Times New Roman"/>
                <w:b/>
                <w:bCs/>
                <w:color w:val="auto"/>
                <w:sz w:val="21"/>
                <w:szCs w:val="21"/>
                <w:highlight w:val="none"/>
                <w:lang w:eastAsia="zh-CN"/>
              </w:rPr>
              <w:t>；课题研究需提供业主单位盖章的业绩证明。</w:t>
            </w:r>
            <w:r>
              <w:rPr>
                <w:rFonts w:hint="eastAsia" w:ascii="宋体" w:hAnsi="宋体" w:cs="宋体"/>
                <w:b/>
                <w:bCs/>
                <w:color w:val="auto"/>
                <w:sz w:val="21"/>
                <w:szCs w:val="21"/>
                <w:highlight w:val="none"/>
              </w:rPr>
              <w:t>）</w:t>
            </w:r>
          </w:p>
        </w:tc>
      </w:tr>
      <w:tr w14:paraId="6BE1B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881" w:type="dxa"/>
            <w:vMerge w:val="continue"/>
            <w:noWrap w:val="0"/>
            <w:vAlign w:val="center"/>
          </w:tcPr>
          <w:p w14:paraId="50312777">
            <w:pPr>
              <w:adjustRightInd w:val="0"/>
              <w:snapToGrid w:val="0"/>
              <w:jc w:val="left"/>
              <w:rPr>
                <w:color w:val="auto"/>
                <w:sz w:val="22"/>
                <w:szCs w:val="28"/>
                <w:highlight w:val="none"/>
              </w:rPr>
            </w:pPr>
          </w:p>
        </w:tc>
        <w:tc>
          <w:tcPr>
            <w:tcW w:w="1784" w:type="dxa"/>
            <w:vMerge w:val="continue"/>
            <w:noWrap w:val="0"/>
            <w:vAlign w:val="center"/>
          </w:tcPr>
          <w:p w14:paraId="218F16BE">
            <w:pPr>
              <w:adjustRightInd w:val="0"/>
              <w:snapToGrid w:val="0"/>
              <w:jc w:val="left"/>
              <w:rPr>
                <w:color w:val="auto"/>
                <w:sz w:val="22"/>
                <w:szCs w:val="28"/>
                <w:highlight w:val="none"/>
              </w:rPr>
            </w:pPr>
          </w:p>
        </w:tc>
        <w:tc>
          <w:tcPr>
            <w:tcW w:w="7546" w:type="dxa"/>
            <w:noWrap w:val="0"/>
            <w:vAlign w:val="center"/>
          </w:tcPr>
          <w:p w14:paraId="3D8644EE">
            <w:pPr>
              <w:numPr>
                <w:ilvl w:val="0"/>
                <w:numId w:val="0"/>
              </w:numPr>
              <w:adjustRightInd w:val="0"/>
              <w:snapToGrid w:val="0"/>
              <w:jc w:val="left"/>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项目技术负责人（</w:t>
            </w:r>
            <w:r>
              <w:rPr>
                <w:rFonts w:hint="eastAsia" w:ascii="宋体" w:hAnsi="宋体" w:cs="宋体"/>
                <w:b/>
                <w:bCs/>
                <w:color w:val="auto"/>
                <w:sz w:val="21"/>
                <w:szCs w:val="21"/>
                <w:highlight w:val="none"/>
              </w:rPr>
              <w:t>本项最高得</w:t>
            </w:r>
            <w:r>
              <w:rPr>
                <w:rFonts w:hint="eastAsia" w:ascii="宋体" w:hAnsi="宋体" w:cs="宋体"/>
                <w:b/>
                <w:bCs/>
                <w:color w:val="auto"/>
                <w:sz w:val="21"/>
                <w:szCs w:val="21"/>
                <w:highlight w:val="none"/>
                <w:lang w:val="en-US" w:eastAsia="zh-CN"/>
              </w:rPr>
              <w:t>4</w:t>
            </w:r>
            <w:r>
              <w:rPr>
                <w:rFonts w:hint="eastAsia" w:ascii="宋体" w:hAnsi="宋体" w:cs="宋体"/>
                <w:b/>
                <w:bCs/>
                <w:color w:val="auto"/>
                <w:sz w:val="21"/>
                <w:szCs w:val="21"/>
                <w:highlight w:val="none"/>
              </w:rPr>
              <w:t>分</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rPr>
              <w:t>：</w:t>
            </w:r>
          </w:p>
          <w:p w14:paraId="09E5E3A7">
            <w:pPr>
              <w:numPr>
                <w:ilvl w:val="0"/>
                <w:numId w:val="0"/>
              </w:numPr>
              <w:adjustRightInd w:val="0"/>
              <w:rPr>
                <w:rFonts w:hint="eastAsia"/>
                <w:color w:val="auto"/>
                <w:sz w:val="28"/>
                <w:szCs w:val="28"/>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b w:val="0"/>
                <w:bCs w:val="0"/>
                <w:color w:val="auto"/>
                <w:sz w:val="21"/>
                <w:szCs w:val="21"/>
                <w:highlight w:val="none"/>
                <w:lang w:eastAsia="zh-CN"/>
              </w:rPr>
              <w:t>项目技术负责人</w:t>
            </w:r>
            <w:r>
              <w:rPr>
                <w:rFonts w:hint="eastAsia"/>
                <w:color w:val="auto"/>
                <w:sz w:val="21"/>
                <w:szCs w:val="21"/>
                <w:highlight w:val="none"/>
              </w:rPr>
              <w:t>具有</w:t>
            </w:r>
            <w:r>
              <w:rPr>
                <w:rFonts w:hint="eastAsia"/>
                <w:color w:val="auto"/>
                <w:sz w:val="21"/>
                <w:szCs w:val="21"/>
                <w:highlight w:val="none"/>
                <w:lang w:val="en-US" w:eastAsia="zh-CN"/>
              </w:rPr>
              <w:t>测绘类</w:t>
            </w:r>
            <w:r>
              <w:rPr>
                <w:rFonts w:hint="eastAsia"/>
                <w:color w:val="auto"/>
                <w:sz w:val="21"/>
                <w:szCs w:val="21"/>
                <w:highlight w:val="none"/>
                <w:lang w:eastAsia="zh-CN"/>
              </w:rPr>
              <w:t>或</w:t>
            </w:r>
            <w:r>
              <w:rPr>
                <w:rFonts w:hint="eastAsia"/>
                <w:color w:val="auto"/>
                <w:sz w:val="21"/>
                <w:szCs w:val="21"/>
                <w:highlight w:val="none"/>
                <w:lang w:val="en-US" w:eastAsia="zh-CN"/>
              </w:rPr>
              <w:t>土地类专业</w:t>
            </w:r>
            <w:r>
              <w:rPr>
                <w:rFonts w:hint="eastAsia" w:ascii="宋体" w:hAnsi="宋体" w:cs="宋体"/>
                <w:b w:val="0"/>
                <w:bCs w:val="0"/>
                <w:color w:val="auto"/>
                <w:sz w:val="21"/>
                <w:szCs w:val="21"/>
                <w:highlight w:val="none"/>
                <w:lang w:eastAsia="zh-CN"/>
              </w:rPr>
              <w:t>高级工程师及以上的得</w:t>
            </w:r>
            <w:r>
              <w:rPr>
                <w:rFonts w:hint="eastAsia" w:ascii="宋体" w:hAnsi="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eastAsia="zh-CN"/>
              </w:rPr>
              <w:t>分</w:t>
            </w:r>
            <w:r>
              <w:rPr>
                <w:rFonts w:hint="eastAsia" w:ascii="宋体" w:hAnsi="宋体" w:cs="宋体"/>
                <w:color w:val="auto"/>
                <w:sz w:val="21"/>
                <w:szCs w:val="21"/>
                <w:highlight w:val="none"/>
                <w:lang w:eastAsia="zh-CN"/>
              </w:rPr>
              <w:t>；</w:t>
            </w:r>
          </w:p>
          <w:p w14:paraId="3D57B91B">
            <w:pPr>
              <w:numPr>
                <w:ilvl w:val="0"/>
                <w:numId w:val="0"/>
              </w:numPr>
              <w:adjustRightInd w:val="0"/>
              <w:snapToGrid w:val="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具有</w:t>
            </w:r>
            <w:r>
              <w:rPr>
                <w:rFonts w:hint="eastAsia" w:ascii="宋体" w:hAnsi="宋体" w:cs="宋体"/>
                <w:color w:val="auto"/>
                <w:sz w:val="21"/>
                <w:szCs w:val="21"/>
                <w:highlight w:val="none"/>
                <w:lang w:eastAsia="zh-CN"/>
              </w:rPr>
              <w:t>相关</w:t>
            </w:r>
            <w:r>
              <w:rPr>
                <w:rFonts w:hint="eastAsia" w:ascii="宋体" w:hAnsi="宋体" w:cs="宋体"/>
                <w:color w:val="auto"/>
                <w:sz w:val="21"/>
                <w:szCs w:val="21"/>
                <w:highlight w:val="none"/>
              </w:rPr>
              <w:t>注册</w:t>
            </w:r>
            <w:r>
              <w:rPr>
                <w:rFonts w:hint="eastAsia" w:ascii="宋体" w:hAnsi="宋体" w:cs="宋体"/>
                <w:color w:val="auto"/>
                <w:sz w:val="21"/>
                <w:szCs w:val="21"/>
                <w:highlight w:val="none"/>
                <w:lang w:eastAsia="zh-CN"/>
              </w:rPr>
              <w:t>类证书</w:t>
            </w:r>
            <w:r>
              <w:rPr>
                <w:rFonts w:hint="eastAsia" w:ascii="宋体" w:hAnsi="宋体" w:cs="宋体"/>
                <w:color w:val="auto"/>
                <w:sz w:val="21"/>
                <w:szCs w:val="21"/>
                <w:highlight w:val="none"/>
              </w:rPr>
              <w:t>的的得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w:t>
            </w:r>
          </w:p>
          <w:p w14:paraId="4FEF44D7">
            <w:pPr>
              <w:spacing w:line="360" w:lineRule="auto"/>
              <w:textAlignment w:val="baseline"/>
              <w:rPr>
                <w:rFonts w:hint="eastAsia" w:ascii="宋体" w:hAnsi="宋体" w:cs="宋体"/>
                <w:color w:val="auto"/>
                <w:sz w:val="21"/>
                <w:szCs w:val="21"/>
                <w:highlight w:val="none"/>
              </w:rPr>
            </w:pPr>
            <w:r>
              <w:rPr>
                <w:rFonts w:hint="eastAsia" w:ascii="宋体" w:hAnsi="宋体" w:cs="宋体"/>
                <w:color w:val="auto"/>
                <w:szCs w:val="21"/>
                <w:highlight w:val="none"/>
              </w:rPr>
              <w:t>联合体投标时，联合体</w:t>
            </w:r>
            <w:r>
              <w:rPr>
                <w:rFonts w:hint="eastAsia" w:ascii="宋体" w:hAnsi="宋体" w:cs="宋体"/>
                <w:color w:val="auto"/>
                <w:szCs w:val="21"/>
                <w:highlight w:val="none"/>
                <w:lang w:val="en-US" w:eastAsia="zh-CN"/>
              </w:rPr>
              <w:t>任意一方派出人员均认可</w:t>
            </w:r>
            <w:r>
              <w:rPr>
                <w:rFonts w:hint="eastAsia" w:ascii="宋体" w:hAnsi="宋体" w:cs="宋体"/>
                <w:color w:val="auto"/>
                <w:szCs w:val="21"/>
                <w:highlight w:val="none"/>
                <w:lang w:eastAsia="zh-CN"/>
              </w:rPr>
              <w:t>。</w:t>
            </w:r>
          </w:p>
          <w:p w14:paraId="50997EE3">
            <w:pPr>
              <w:pStyle w:val="4"/>
              <w:numPr>
                <w:ilvl w:val="0"/>
                <w:numId w:val="0"/>
              </w:numPr>
              <w:jc w:val="both"/>
              <w:rPr>
                <w:rFonts w:hint="eastAsia"/>
                <w:color w:val="auto"/>
                <w:highlight w:val="none"/>
              </w:rPr>
            </w:pPr>
            <w:r>
              <w:rPr>
                <w:rFonts w:hint="eastAsia" w:ascii="宋体" w:hAnsi="宋体" w:cs="宋体"/>
                <w:b/>
                <w:bCs/>
                <w:color w:val="auto"/>
                <w:sz w:val="21"/>
                <w:szCs w:val="21"/>
                <w:highlight w:val="none"/>
              </w:rPr>
              <w:t>（注：</w:t>
            </w:r>
            <w:r>
              <w:rPr>
                <w:rFonts w:hint="eastAsia" w:ascii="宋体" w:hAnsi="宋体" w:cs="宋体"/>
                <w:b/>
                <w:bCs/>
                <w:color w:val="auto"/>
                <w:sz w:val="21"/>
                <w:szCs w:val="21"/>
                <w:highlight w:val="none"/>
                <w:lang w:val="en-US" w:eastAsia="zh-CN"/>
              </w:rPr>
              <w:t>须</w:t>
            </w:r>
            <w:r>
              <w:rPr>
                <w:rFonts w:hint="eastAsia" w:ascii="宋体" w:hAnsi="宋体" w:eastAsia="宋体" w:cs="Times New Roman"/>
                <w:b/>
                <w:bCs/>
                <w:color w:val="auto"/>
                <w:sz w:val="21"/>
                <w:szCs w:val="21"/>
                <w:highlight w:val="none"/>
                <w:lang w:val="en-US" w:eastAsia="zh-CN"/>
              </w:rPr>
              <w:t>提供证书原件扫描件以及投标单位为其缴纳的近三个月中其中一个月社保证明</w:t>
            </w:r>
            <w:r>
              <w:rPr>
                <w:rFonts w:ascii="宋体" w:hAnsi="宋体" w:eastAsia="宋体" w:cs="Times New Roman"/>
                <w:b/>
                <w:bCs/>
                <w:color w:val="auto"/>
                <w:sz w:val="21"/>
                <w:szCs w:val="21"/>
                <w:highlight w:val="none"/>
              </w:rPr>
              <w:t>，未提供不得分</w:t>
            </w:r>
            <w:r>
              <w:rPr>
                <w:rFonts w:hint="eastAsia" w:ascii="宋体" w:hAnsi="宋体" w:cs="宋体"/>
                <w:b/>
                <w:bCs/>
                <w:color w:val="auto"/>
                <w:sz w:val="21"/>
                <w:szCs w:val="21"/>
                <w:highlight w:val="none"/>
              </w:rPr>
              <w:t>。）</w:t>
            </w:r>
          </w:p>
        </w:tc>
      </w:tr>
      <w:tr w14:paraId="01F01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vMerge w:val="continue"/>
            <w:noWrap w:val="0"/>
            <w:vAlign w:val="center"/>
          </w:tcPr>
          <w:p w14:paraId="1DEEEFB2">
            <w:pPr>
              <w:adjustRightInd w:val="0"/>
              <w:snapToGrid w:val="0"/>
              <w:jc w:val="left"/>
              <w:rPr>
                <w:color w:val="auto"/>
                <w:sz w:val="22"/>
                <w:szCs w:val="28"/>
                <w:highlight w:val="none"/>
              </w:rPr>
            </w:pPr>
          </w:p>
        </w:tc>
        <w:tc>
          <w:tcPr>
            <w:tcW w:w="1784" w:type="dxa"/>
            <w:vMerge w:val="continue"/>
            <w:noWrap w:val="0"/>
            <w:vAlign w:val="center"/>
          </w:tcPr>
          <w:p w14:paraId="37717FA5">
            <w:pPr>
              <w:adjustRightInd w:val="0"/>
              <w:snapToGrid w:val="0"/>
              <w:jc w:val="left"/>
              <w:rPr>
                <w:color w:val="auto"/>
                <w:sz w:val="22"/>
                <w:szCs w:val="28"/>
                <w:highlight w:val="none"/>
              </w:rPr>
            </w:pPr>
          </w:p>
        </w:tc>
        <w:tc>
          <w:tcPr>
            <w:tcW w:w="7546" w:type="dxa"/>
            <w:noWrap w:val="0"/>
            <w:vAlign w:val="center"/>
          </w:tcPr>
          <w:p w14:paraId="4F07351C">
            <w:pPr>
              <w:numPr>
                <w:ilvl w:val="0"/>
                <w:numId w:val="0"/>
              </w:numPr>
              <w:adjustRightInd w:val="0"/>
              <w:snapToGrid w:val="0"/>
              <w:spacing w:line="360" w:lineRule="auto"/>
              <w:jc w:val="left"/>
              <w:rPr>
                <w:rFonts w:hint="eastAsia" w:ascii="宋体" w:hAnsi="宋体" w:cs="宋体"/>
                <w:color w:val="auto"/>
                <w:sz w:val="21"/>
                <w:szCs w:val="21"/>
                <w:highlight w:val="none"/>
              </w:rPr>
            </w:pPr>
            <w:r>
              <w:rPr>
                <w:rFonts w:hint="eastAsia" w:ascii="宋体" w:hAnsi="宋体" w:cs="宋体"/>
                <w:b/>
                <w:bCs/>
                <w:color w:val="auto"/>
                <w:sz w:val="21"/>
                <w:szCs w:val="21"/>
                <w:highlight w:val="none"/>
                <w:lang w:eastAsia="zh-CN"/>
              </w:rPr>
              <w:t>项目组成员（</w:t>
            </w:r>
            <w:r>
              <w:rPr>
                <w:rFonts w:hint="eastAsia" w:ascii="宋体" w:hAnsi="宋体" w:cs="宋体"/>
                <w:b/>
                <w:bCs/>
                <w:color w:val="auto"/>
                <w:sz w:val="21"/>
                <w:szCs w:val="21"/>
                <w:highlight w:val="none"/>
                <w:lang w:val="en-US" w:eastAsia="zh-CN"/>
              </w:rPr>
              <w:t>除项目负责人、项目技术负责人外。</w:t>
            </w:r>
            <w:r>
              <w:rPr>
                <w:rFonts w:hint="eastAsia" w:ascii="宋体" w:hAnsi="宋体" w:cs="宋体"/>
                <w:b/>
                <w:bCs/>
                <w:color w:val="auto"/>
                <w:sz w:val="21"/>
                <w:szCs w:val="21"/>
                <w:highlight w:val="none"/>
              </w:rPr>
              <w:t>本项最高得</w:t>
            </w:r>
            <w:r>
              <w:rPr>
                <w:rFonts w:hint="eastAsia" w:ascii="宋体" w:hAnsi="宋体" w:cs="宋体"/>
                <w:b/>
                <w:bCs/>
                <w:color w:val="auto"/>
                <w:sz w:val="21"/>
                <w:szCs w:val="21"/>
                <w:highlight w:val="none"/>
                <w:lang w:val="en-US" w:eastAsia="zh-CN"/>
              </w:rPr>
              <w:t>6</w:t>
            </w:r>
            <w:r>
              <w:rPr>
                <w:rFonts w:hint="eastAsia" w:ascii="宋体" w:hAnsi="宋体" w:cs="宋体"/>
                <w:b/>
                <w:bCs/>
                <w:color w:val="auto"/>
                <w:sz w:val="21"/>
                <w:szCs w:val="21"/>
                <w:highlight w:val="none"/>
              </w:rPr>
              <w:t>分</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rPr>
              <w:t>：</w:t>
            </w:r>
          </w:p>
          <w:p w14:paraId="29EE1393">
            <w:pPr>
              <w:numPr>
                <w:ilvl w:val="0"/>
                <w:numId w:val="0"/>
              </w:numPr>
              <w:adjustRightInd w:val="0"/>
              <w:snapToGrid w:val="0"/>
              <w:spacing w:line="360" w:lineRule="auto"/>
              <w:jc w:val="left"/>
              <w:rPr>
                <w:rFonts w:hint="eastAsia" w:ascii="宋体" w:hAnsi="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cs="宋体"/>
                <w:color w:val="auto"/>
                <w:sz w:val="21"/>
                <w:szCs w:val="21"/>
                <w:highlight w:val="none"/>
              </w:rPr>
              <w:t>项目组成员具有</w:t>
            </w:r>
            <w:r>
              <w:rPr>
                <w:rFonts w:hint="eastAsia" w:ascii="宋体" w:hAnsi="宋体" w:cs="宋体"/>
                <w:color w:val="auto"/>
                <w:sz w:val="21"/>
                <w:szCs w:val="21"/>
                <w:highlight w:val="none"/>
                <w:lang w:eastAsia="zh-CN"/>
              </w:rPr>
              <w:t>土地调查、地理信息、土地评价、城乡规划</w:t>
            </w:r>
            <w:r>
              <w:rPr>
                <w:rFonts w:hint="eastAsia" w:ascii="宋体" w:hAnsi="宋体" w:cs="宋体"/>
                <w:color w:val="auto"/>
                <w:sz w:val="21"/>
                <w:szCs w:val="21"/>
                <w:highlight w:val="none"/>
              </w:rPr>
              <w:t>相关专业</w:t>
            </w:r>
            <w:r>
              <w:rPr>
                <w:rFonts w:hint="eastAsia" w:ascii="宋体" w:hAnsi="宋体" w:cs="宋体"/>
                <w:color w:val="auto"/>
                <w:sz w:val="21"/>
                <w:szCs w:val="21"/>
                <w:highlight w:val="none"/>
                <w:lang w:eastAsia="zh-CN"/>
              </w:rPr>
              <w:t>中级</w:t>
            </w:r>
            <w:r>
              <w:rPr>
                <w:rFonts w:hint="eastAsia" w:ascii="宋体" w:hAnsi="宋体" w:cs="宋体"/>
                <w:color w:val="auto"/>
                <w:sz w:val="21"/>
                <w:szCs w:val="21"/>
                <w:highlight w:val="none"/>
              </w:rPr>
              <w:t>工程师及以上的，每人得</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分，本项最高得</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w:t>
            </w:r>
          </w:p>
          <w:p w14:paraId="16A5C53A">
            <w:pPr>
              <w:numPr>
                <w:ilvl w:val="0"/>
                <w:numId w:val="0"/>
              </w:numPr>
              <w:adjustRightInd w:val="0"/>
              <w:snapToGrid w:val="0"/>
              <w:spacing w:line="360" w:lineRule="auto"/>
              <w:jc w:val="left"/>
              <w:rPr>
                <w:rFonts w:hint="eastAsia" w:ascii="宋体" w:hAnsi="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sz w:val="21"/>
                <w:szCs w:val="21"/>
                <w:highlight w:val="none"/>
              </w:rPr>
              <w:t>具有</w:t>
            </w:r>
            <w:r>
              <w:rPr>
                <w:rFonts w:hint="eastAsia" w:ascii="宋体" w:hAnsi="宋体" w:cs="宋体"/>
                <w:color w:val="auto"/>
                <w:sz w:val="21"/>
                <w:szCs w:val="21"/>
                <w:highlight w:val="none"/>
                <w:lang w:eastAsia="zh-CN"/>
              </w:rPr>
              <w:t>相关</w:t>
            </w:r>
            <w:r>
              <w:rPr>
                <w:rFonts w:hint="eastAsia" w:ascii="宋体" w:hAnsi="宋体" w:cs="宋体"/>
                <w:color w:val="auto"/>
                <w:sz w:val="21"/>
                <w:szCs w:val="21"/>
                <w:highlight w:val="none"/>
              </w:rPr>
              <w:t>注册</w:t>
            </w:r>
            <w:r>
              <w:rPr>
                <w:rFonts w:hint="eastAsia" w:ascii="宋体" w:hAnsi="宋体" w:cs="宋体"/>
                <w:color w:val="auto"/>
                <w:sz w:val="21"/>
                <w:szCs w:val="21"/>
                <w:highlight w:val="none"/>
                <w:lang w:eastAsia="zh-CN"/>
              </w:rPr>
              <w:t>类证书</w:t>
            </w:r>
            <w:r>
              <w:rPr>
                <w:rFonts w:hint="eastAsia" w:ascii="宋体" w:hAnsi="宋体" w:cs="宋体"/>
                <w:color w:val="auto"/>
                <w:sz w:val="21"/>
                <w:szCs w:val="21"/>
                <w:highlight w:val="none"/>
              </w:rPr>
              <w:t>的每人</w:t>
            </w:r>
            <w:r>
              <w:rPr>
                <w:rFonts w:hint="eastAsia" w:ascii="宋体" w:hAnsi="宋体" w:cs="宋体"/>
                <w:color w:val="auto"/>
                <w:sz w:val="21"/>
                <w:szCs w:val="21"/>
                <w:highlight w:val="none"/>
                <w:lang w:val="en-US" w:eastAsia="zh-CN"/>
              </w:rPr>
              <w:t>得</w:t>
            </w:r>
            <w:r>
              <w:rPr>
                <w:rFonts w:hint="eastAsia" w:ascii="宋体" w:hAnsi="宋体" w:cs="宋体"/>
                <w:color w:val="auto"/>
                <w:sz w:val="21"/>
                <w:szCs w:val="21"/>
                <w:highlight w:val="none"/>
              </w:rPr>
              <w:t>1分，最</w:t>
            </w:r>
            <w:r>
              <w:rPr>
                <w:rFonts w:hint="eastAsia" w:ascii="宋体" w:hAnsi="宋体" w:cs="宋体"/>
                <w:color w:val="auto"/>
                <w:sz w:val="21"/>
                <w:szCs w:val="21"/>
                <w:highlight w:val="none"/>
                <w:lang w:val="en-US" w:eastAsia="zh-CN"/>
              </w:rPr>
              <w:t>多得</w:t>
            </w:r>
            <w:r>
              <w:rPr>
                <w:rFonts w:hint="eastAsia" w:ascii="宋体" w:hAnsi="宋体" w:cs="宋体"/>
                <w:color w:val="auto"/>
                <w:sz w:val="21"/>
                <w:szCs w:val="21"/>
                <w:highlight w:val="none"/>
              </w:rPr>
              <w:t>2分。</w:t>
            </w:r>
          </w:p>
          <w:p w14:paraId="7697D608">
            <w:pPr>
              <w:spacing w:line="360" w:lineRule="auto"/>
              <w:textAlignment w:val="baseline"/>
              <w:rPr>
                <w:rFonts w:hint="eastAsia" w:ascii="宋体" w:hAnsi="宋体" w:cs="宋体"/>
                <w:color w:val="auto"/>
                <w:sz w:val="21"/>
                <w:szCs w:val="21"/>
                <w:highlight w:val="none"/>
              </w:rPr>
            </w:pPr>
            <w:r>
              <w:rPr>
                <w:rFonts w:hint="eastAsia" w:ascii="宋体" w:hAnsi="宋体" w:cs="宋体"/>
                <w:color w:val="auto"/>
                <w:szCs w:val="21"/>
                <w:highlight w:val="none"/>
              </w:rPr>
              <w:t>联合体投标时，联合体</w:t>
            </w:r>
            <w:r>
              <w:rPr>
                <w:rFonts w:hint="eastAsia" w:ascii="宋体" w:hAnsi="宋体" w:cs="宋体"/>
                <w:color w:val="auto"/>
                <w:szCs w:val="21"/>
                <w:highlight w:val="none"/>
                <w:lang w:val="en-US" w:eastAsia="zh-CN"/>
              </w:rPr>
              <w:t>任意一方派出人员均认可</w:t>
            </w:r>
            <w:r>
              <w:rPr>
                <w:rFonts w:hint="eastAsia" w:ascii="宋体" w:hAnsi="宋体" w:cs="宋体"/>
                <w:color w:val="auto"/>
                <w:szCs w:val="21"/>
                <w:highlight w:val="none"/>
                <w:lang w:eastAsia="zh-CN"/>
              </w:rPr>
              <w:t>。</w:t>
            </w:r>
          </w:p>
          <w:p w14:paraId="6174B6E6">
            <w:pPr>
              <w:pStyle w:val="2"/>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（注：</w:t>
            </w:r>
            <w:r>
              <w:rPr>
                <w:rFonts w:hint="eastAsia" w:ascii="宋体" w:hAnsi="宋体" w:cs="宋体"/>
                <w:b/>
                <w:bCs/>
                <w:color w:val="auto"/>
                <w:sz w:val="21"/>
                <w:szCs w:val="21"/>
                <w:highlight w:val="none"/>
                <w:lang w:val="en-US" w:eastAsia="zh-CN"/>
              </w:rPr>
              <w:t>须提供证书原件扫描件以及投标单位为其缴纳的近三个月中其中一个月社保证明</w:t>
            </w:r>
            <w:r>
              <w:rPr>
                <w:rFonts w:hint="eastAsia" w:ascii="宋体" w:hAnsi="宋体" w:cs="宋体"/>
                <w:b/>
                <w:bCs/>
                <w:color w:val="auto"/>
                <w:sz w:val="21"/>
                <w:szCs w:val="21"/>
                <w:highlight w:val="none"/>
              </w:rPr>
              <w:t>，未提供不得分。）</w:t>
            </w:r>
          </w:p>
        </w:tc>
      </w:tr>
      <w:tr w14:paraId="3F46F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9" w:hRule="atLeast"/>
          <w:jc w:val="center"/>
        </w:trPr>
        <w:tc>
          <w:tcPr>
            <w:tcW w:w="881" w:type="dxa"/>
            <w:noWrap w:val="0"/>
            <w:vAlign w:val="center"/>
          </w:tcPr>
          <w:p w14:paraId="4313B048">
            <w:pPr>
              <w:adjustRightInd w:val="0"/>
              <w:snapToGrid w:val="0"/>
              <w:jc w:val="center"/>
              <w:rPr>
                <w:rFonts w:hint="eastAsia" w:ascii="Times New Roman" w:hAnsi="Times New Roman" w:eastAsia="宋体" w:cs="Times New Roman"/>
                <w:color w:val="auto"/>
                <w:kern w:val="2"/>
                <w:sz w:val="22"/>
                <w:szCs w:val="28"/>
                <w:highlight w:val="none"/>
                <w:lang w:val="en-US" w:eastAsia="zh-CN" w:bidi="ar-SA"/>
              </w:rPr>
            </w:pPr>
            <w:r>
              <w:rPr>
                <w:rFonts w:hint="eastAsia" w:ascii="Arial" w:hAnsi="Arial" w:cs="Arial"/>
                <w:color w:val="auto"/>
                <w:szCs w:val="21"/>
                <w:highlight w:val="none"/>
                <w:lang w:val="en-US" w:eastAsia="zh-CN"/>
              </w:rPr>
              <w:t>4</w:t>
            </w:r>
          </w:p>
        </w:tc>
        <w:tc>
          <w:tcPr>
            <w:tcW w:w="1784" w:type="dxa"/>
            <w:noWrap w:val="0"/>
            <w:vAlign w:val="center"/>
          </w:tcPr>
          <w:p w14:paraId="2E986C9F">
            <w:pPr>
              <w:adjustRightInd w:val="0"/>
              <w:snapToGrid w:val="0"/>
              <w:jc w:val="center"/>
              <w:rPr>
                <w:rFonts w:hint="eastAsia" w:ascii="Arial" w:hAnsi="Arial" w:eastAsia="宋体" w:cs="Arial"/>
                <w:color w:val="auto"/>
                <w:szCs w:val="21"/>
                <w:highlight w:val="none"/>
                <w:lang w:eastAsia="zh-CN"/>
              </w:rPr>
            </w:pPr>
            <w:r>
              <w:rPr>
                <w:rFonts w:hint="eastAsia" w:ascii="Arial" w:hAnsi="Arial" w:cs="Arial"/>
                <w:color w:val="auto"/>
                <w:szCs w:val="21"/>
                <w:highlight w:val="none"/>
              </w:rPr>
              <w:t>项目</w:t>
            </w:r>
            <w:r>
              <w:rPr>
                <w:rFonts w:hint="eastAsia" w:ascii="Arial" w:hAnsi="Arial" w:cs="Arial"/>
                <w:color w:val="auto"/>
                <w:szCs w:val="21"/>
                <w:highlight w:val="none"/>
                <w:lang w:eastAsia="zh-CN"/>
              </w:rPr>
              <w:t>理解</w:t>
            </w:r>
          </w:p>
          <w:p w14:paraId="74F3015D">
            <w:pPr>
              <w:adjustRightInd w:val="0"/>
              <w:snapToGrid w:val="0"/>
              <w:jc w:val="center"/>
              <w:rPr>
                <w:rFonts w:ascii="Times New Roman" w:hAnsi="Times New Roman" w:eastAsia="宋体" w:cs="Times New Roman"/>
                <w:color w:val="auto"/>
                <w:kern w:val="2"/>
                <w:sz w:val="22"/>
                <w:szCs w:val="28"/>
                <w:highlight w:val="none"/>
                <w:lang w:val="en-US" w:eastAsia="zh-CN" w:bidi="ar-SA"/>
              </w:rPr>
            </w:pPr>
            <w:r>
              <w:rPr>
                <w:rFonts w:ascii="Arial" w:hAnsi="Arial" w:cs="Arial"/>
                <w:color w:val="auto"/>
                <w:szCs w:val="21"/>
                <w:highlight w:val="none"/>
              </w:rPr>
              <w:t>（</w:t>
            </w:r>
            <w:r>
              <w:rPr>
                <w:rFonts w:hint="eastAsia" w:ascii="Arial" w:hAnsi="Arial" w:cs="Arial"/>
                <w:color w:val="auto"/>
                <w:szCs w:val="21"/>
                <w:highlight w:val="none"/>
                <w:lang w:val="en-US" w:eastAsia="zh-CN"/>
              </w:rPr>
              <w:t>6</w:t>
            </w:r>
            <w:r>
              <w:rPr>
                <w:rFonts w:ascii="Arial" w:hAnsi="Arial" w:cs="Arial"/>
                <w:color w:val="auto"/>
                <w:szCs w:val="21"/>
                <w:highlight w:val="none"/>
              </w:rPr>
              <w:t>分）</w:t>
            </w:r>
          </w:p>
        </w:tc>
        <w:tc>
          <w:tcPr>
            <w:tcW w:w="7546" w:type="dxa"/>
            <w:noWrap w:val="0"/>
            <w:vAlign w:val="center"/>
          </w:tcPr>
          <w:p w14:paraId="56828989">
            <w:pPr>
              <w:adjustRightInd w:val="0"/>
              <w:snapToGrid w:val="0"/>
              <w:jc w:val="left"/>
              <w:rPr>
                <w:rFonts w:ascii="宋体" w:hAnsi="宋体" w:cs="宋体"/>
                <w:bCs/>
                <w:color w:val="auto"/>
                <w:szCs w:val="21"/>
                <w:highlight w:val="none"/>
              </w:rPr>
            </w:pPr>
            <w:r>
              <w:rPr>
                <w:rFonts w:ascii="宋体" w:hAnsi="宋体" w:cs="宋体"/>
                <w:bCs/>
                <w:color w:val="auto"/>
                <w:szCs w:val="21"/>
                <w:highlight w:val="none"/>
              </w:rPr>
              <w:t>根据</w:t>
            </w:r>
            <w:r>
              <w:rPr>
                <w:rFonts w:hint="eastAsia" w:ascii="仿宋" w:hAnsi="仿宋" w:cs="仿宋"/>
                <w:color w:val="auto"/>
                <w:sz w:val="21"/>
                <w:szCs w:val="21"/>
                <w:highlight w:val="none"/>
                <w:lang w:val="en-US" w:eastAsia="zh-CN"/>
              </w:rPr>
              <w:t>供应商</w:t>
            </w:r>
            <w:r>
              <w:rPr>
                <w:rFonts w:ascii="宋体" w:hAnsi="宋体" w:cs="宋体"/>
                <w:bCs/>
                <w:color w:val="auto"/>
                <w:szCs w:val="21"/>
                <w:highlight w:val="none"/>
              </w:rPr>
              <w:t>对项目背景的解读及对采购需求的认识与表述的准确性</w:t>
            </w:r>
            <w:r>
              <w:rPr>
                <w:rFonts w:hint="eastAsia" w:ascii="宋体" w:hAnsi="宋体" w:cs="宋体"/>
                <w:bCs/>
                <w:color w:val="auto"/>
                <w:szCs w:val="21"/>
                <w:highlight w:val="none"/>
              </w:rPr>
              <w:t>、</w:t>
            </w:r>
            <w:r>
              <w:rPr>
                <w:rFonts w:ascii="宋体" w:hAnsi="宋体" w:cs="宋体"/>
                <w:bCs/>
                <w:color w:val="auto"/>
                <w:szCs w:val="21"/>
                <w:highlight w:val="none"/>
              </w:rPr>
              <w:t>全面性</w:t>
            </w:r>
            <w:r>
              <w:rPr>
                <w:rFonts w:hint="eastAsia" w:ascii="宋体" w:hAnsi="宋体" w:cs="宋体"/>
                <w:bCs/>
                <w:color w:val="auto"/>
                <w:szCs w:val="21"/>
                <w:highlight w:val="none"/>
              </w:rPr>
              <w:t>及合理性</w:t>
            </w:r>
            <w:r>
              <w:rPr>
                <w:rFonts w:ascii="宋体" w:hAnsi="宋体" w:cs="宋体"/>
                <w:bCs/>
                <w:color w:val="auto"/>
                <w:szCs w:val="21"/>
                <w:highlight w:val="none"/>
              </w:rPr>
              <w:t>，由专家</w:t>
            </w:r>
            <w:r>
              <w:rPr>
                <w:rFonts w:hint="eastAsia" w:ascii="宋体" w:hAnsi="宋体" w:cs="宋体"/>
                <w:bCs/>
                <w:color w:val="auto"/>
                <w:szCs w:val="21"/>
                <w:highlight w:val="none"/>
                <w:lang w:val="en-US" w:eastAsia="zh-CN"/>
              </w:rPr>
              <w:t>综合</w:t>
            </w:r>
            <w:r>
              <w:rPr>
                <w:rFonts w:ascii="宋体" w:hAnsi="宋体" w:cs="宋体"/>
                <w:bCs/>
                <w:color w:val="auto"/>
                <w:szCs w:val="21"/>
                <w:highlight w:val="none"/>
              </w:rPr>
              <w:t>评分</w:t>
            </w:r>
            <w:r>
              <w:rPr>
                <w:rFonts w:hint="eastAsia" w:ascii="宋体" w:hAnsi="宋体" w:cs="宋体"/>
                <w:bCs/>
                <w:color w:val="auto"/>
                <w:szCs w:val="21"/>
                <w:highlight w:val="none"/>
              </w:rPr>
              <w:t>：</w:t>
            </w:r>
          </w:p>
          <w:p w14:paraId="6E2D0446">
            <w:pPr>
              <w:adjustRightInd w:val="0"/>
              <w:snapToGrid w:val="0"/>
              <w:jc w:val="left"/>
              <w:rPr>
                <w:rFonts w:ascii="宋体" w:hAnsi="宋体" w:cs="宋体"/>
                <w:bCs/>
                <w:color w:val="auto"/>
                <w:szCs w:val="21"/>
                <w:highlight w:val="none"/>
              </w:rPr>
            </w:pPr>
            <w:r>
              <w:rPr>
                <w:rFonts w:hint="eastAsia" w:ascii="宋体" w:hAnsi="宋体" w:cs="宋体"/>
                <w:bCs/>
                <w:color w:val="auto"/>
                <w:szCs w:val="21"/>
                <w:highlight w:val="none"/>
              </w:rPr>
              <w:t>（1）对项目背景的解读准确，对采购需求的认识与描述准确、全面、合理的得</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分；</w:t>
            </w:r>
          </w:p>
          <w:p w14:paraId="35D50E5A">
            <w:pPr>
              <w:adjustRightInd w:val="0"/>
              <w:snapToGrid w:val="0"/>
              <w:jc w:val="left"/>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）对项目背景的解读较为准确，对采购需求的认识与描述较为准确、相对全面、较为合理的得</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w:t>
            </w:r>
          </w:p>
          <w:p w14:paraId="66E91D4D">
            <w:pPr>
              <w:adjustRightInd w:val="0"/>
              <w:snapToGrid w:val="0"/>
              <w:jc w:val="left"/>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）对项目背景的解读不足，对采购需求的认识与描述不够准确、全面性不足、合理性不足的得</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分；</w:t>
            </w:r>
          </w:p>
          <w:p w14:paraId="571CBFD5">
            <w:pPr>
              <w:adjustRightInd w:val="0"/>
              <w:snapToGrid w:val="0"/>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w:t>
            </w:r>
            <w:r>
              <w:rPr>
                <w:rFonts w:hint="eastAsia" w:ascii="仿宋" w:hAnsi="仿宋" w:cs="仿宋"/>
                <w:color w:val="auto"/>
                <w:sz w:val="21"/>
                <w:szCs w:val="21"/>
                <w:highlight w:val="none"/>
              </w:rPr>
              <w:t>不可行或者未提供相关内容的不得分</w:t>
            </w:r>
            <w:r>
              <w:rPr>
                <w:rFonts w:hint="eastAsia" w:ascii="宋体" w:hAnsi="宋体" w:cs="宋体"/>
                <w:bCs/>
                <w:color w:val="auto"/>
                <w:szCs w:val="21"/>
                <w:highlight w:val="none"/>
              </w:rPr>
              <w:t>。</w:t>
            </w:r>
          </w:p>
        </w:tc>
      </w:tr>
      <w:tr w14:paraId="29CC3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vMerge w:val="restart"/>
            <w:noWrap w:val="0"/>
            <w:vAlign w:val="center"/>
          </w:tcPr>
          <w:p w14:paraId="0791CE07">
            <w:pPr>
              <w:adjustRightInd w:val="0"/>
              <w:snapToGrid w:val="0"/>
              <w:jc w:val="center"/>
              <w:rPr>
                <w:rFonts w:hint="default" w:ascii="Arial" w:hAnsi="Arial" w:cs="Arial"/>
                <w:color w:val="auto"/>
                <w:szCs w:val="21"/>
                <w:highlight w:val="none"/>
                <w:lang w:val="en-US" w:eastAsia="zh-CN"/>
              </w:rPr>
            </w:pPr>
            <w:r>
              <w:rPr>
                <w:rFonts w:hint="eastAsia" w:ascii="Arial" w:hAnsi="Arial" w:cs="Arial"/>
                <w:color w:val="auto"/>
                <w:szCs w:val="21"/>
                <w:highlight w:val="none"/>
                <w:lang w:val="en-US" w:eastAsia="zh-CN"/>
              </w:rPr>
              <w:t>5</w:t>
            </w:r>
          </w:p>
        </w:tc>
        <w:tc>
          <w:tcPr>
            <w:tcW w:w="1784" w:type="dxa"/>
            <w:vMerge w:val="restart"/>
            <w:noWrap w:val="0"/>
            <w:vAlign w:val="center"/>
          </w:tcPr>
          <w:p w14:paraId="7A01952E">
            <w:pPr>
              <w:adjustRightInd w:val="0"/>
              <w:snapToGrid w:val="0"/>
              <w:jc w:val="center"/>
              <w:rPr>
                <w:rFonts w:hint="default" w:ascii="Arial" w:hAnsi="Arial" w:eastAsia="宋体" w:cs="Arial"/>
                <w:color w:val="auto"/>
                <w:szCs w:val="21"/>
                <w:highlight w:val="none"/>
                <w:lang w:val="en-US" w:eastAsia="zh-CN"/>
              </w:rPr>
            </w:pPr>
            <w:r>
              <w:rPr>
                <w:rFonts w:hint="eastAsia" w:ascii="Arial" w:hAnsi="Arial" w:eastAsia="宋体" w:cs="Arial"/>
                <w:color w:val="auto"/>
                <w:szCs w:val="21"/>
                <w:highlight w:val="none"/>
                <w:lang w:val="en-US" w:eastAsia="zh-CN"/>
              </w:rPr>
              <w:t>重难点分析</w:t>
            </w:r>
            <w:r>
              <w:rPr>
                <w:rFonts w:hint="eastAsia" w:ascii="Arial" w:hAnsi="Arial" w:cs="Arial"/>
                <w:color w:val="auto"/>
                <w:szCs w:val="21"/>
                <w:highlight w:val="none"/>
                <w:lang w:val="en-US" w:eastAsia="zh-CN"/>
              </w:rPr>
              <w:t>及对策方案</w:t>
            </w:r>
          </w:p>
          <w:p w14:paraId="2A7BFA86">
            <w:pPr>
              <w:adjustRightInd w:val="0"/>
              <w:snapToGrid w:val="0"/>
              <w:jc w:val="center"/>
              <w:rPr>
                <w:rFonts w:hint="default"/>
                <w:color w:val="auto"/>
                <w:highlight w:val="none"/>
                <w:lang w:val="en-US" w:eastAsia="zh-CN"/>
              </w:rPr>
            </w:pPr>
            <w:r>
              <w:rPr>
                <w:rFonts w:hint="default" w:ascii="Arial" w:hAnsi="Arial" w:eastAsia="宋体" w:cs="Arial"/>
                <w:color w:val="auto"/>
                <w:szCs w:val="21"/>
                <w:highlight w:val="none"/>
                <w:lang w:val="en-US" w:eastAsia="zh-CN"/>
              </w:rPr>
              <w:t>（</w:t>
            </w:r>
            <w:r>
              <w:rPr>
                <w:rFonts w:hint="eastAsia" w:ascii="Arial" w:hAnsi="Arial" w:cs="Arial"/>
                <w:color w:val="auto"/>
                <w:szCs w:val="21"/>
                <w:highlight w:val="none"/>
                <w:lang w:val="en-US" w:eastAsia="zh-CN"/>
              </w:rPr>
              <w:t>12</w:t>
            </w:r>
            <w:r>
              <w:rPr>
                <w:rFonts w:hint="default" w:ascii="Arial" w:hAnsi="Arial" w:eastAsia="宋体" w:cs="Arial"/>
                <w:color w:val="auto"/>
                <w:szCs w:val="21"/>
                <w:highlight w:val="none"/>
                <w:lang w:val="en-US" w:eastAsia="zh-CN"/>
              </w:rPr>
              <w:t>分）</w:t>
            </w:r>
          </w:p>
        </w:tc>
        <w:tc>
          <w:tcPr>
            <w:tcW w:w="7546" w:type="dxa"/>
            <w:noWrap w:val="0"/>
            <w:vAlign w:val="center"/>
          </w:tcPr>
          <w:p w14:paraId="7E661F52">
            <w:pPr>
              <w:pStyle w:val="64"/>
              <w:spacing w:line="240" w:lineRule="auto"/>
              <w:jc w:val="left"/>
              <w:rPr>
                <w:rFonts w:ascii="仿宋" w:hAnsi="仿宋" w:cs="仿宋"/>
                <w:color w:val="auto"/>
                <w:sz w:val="21"/>
                <w:szCs w:val="21"/>
                <w:highlight w:val="none"/>
              </w:rPr>
            </w:pPr>
            <w:r>
              <w:rPr>
                <w:rFonts w:hint="eastAsia" w:ascii="仿宋" w:hAnsi="仿宋" w:cs="仿宋"/>
                <w:color w:val="auto"/>
                <w:sz w:val="21"/>
                <w:szCs w:val="21"/>
                <w:highlight w:val="none"/>
                <w:lang w:val="en-US" w:eastAsia="zh-CN"/>
              </w:rPr>
              <w:t>根据供应商针对本项目特点提出的重难点分析到位情况、符合实际情况由专家结合项目需求进行综合评分</w:t>
            </w:r>
            <w:r>
              <w:rPr>
                <w:rFonts w:hint="eastAsia" w:ascii="仿宋" w:hAnsi="仿宋" w:cs="仿宋"/>
                <w:color w:val="auto"/>
                <w:sz w:val="21"/>
                <w:szCs w:val="21"/>
                <w:highlight w:val="none"/>
              </w:rPr>
              <w:t>；</w:t>
            </w:r>
          </w:p>
          <w:p w14:paraId="6F4E1783">
            <w:pPr>
              <w:pStyle w:val="64"/>
              <w:spacing w:line="240" w:lineRule="auto"/>
              <w:jc w:val="left"/>
              <w:rPr>
                <w:rFonts w:ascii="仿宋" w:hAnsi="仿宋" w:cs="仿宋"/>
                <w:color w:val="auto"/>
                <w:sz w:val="21"/>
                <w:szCs w:val="21"/>
                <w:highlight w:val="none"/>
              </w:rPr>
            </w:pPr>
            <w:r>
              <w:rPr>
                <w:rFonts w:hint="eastAsia" w:ascii="宋体" w:hAnsi="宋体" w:eastAsia="宋体" w:cs="宋体"/>
                <w:bCs/>
                <w:color w:val="auto"/>
                <w:kern w:val="2"/>
                <w:sz w:val="21"/>
                <w:szCs w:val="21"/>
                <w:highlight w:val="none"/>
                <w:lang w:val="en-US" w:eastAsia="zh-CN" w:bidi="ar-SA"/>
              </w:rPr>
              <w:t>（1）</w:t>
            </w:r>
            <w:r>
              <w:rPr>
                <w:rFonts w:hint="eastAsia" w:ascii="仿宋" w:hAnsi="仿宋" w:cs="仿宋"/>
                <w:color w:val="auto"/>
                <w:sz w:val="21"/>
                <w:szCs w:val="21"/>
                <w:highlight w:val="none"/>
                <w:lang w:val="en-US" w:eastAsia="zh-CN"/>
              </w:rPr>
              <w:t>供应商针对本项目特点提出的重难点分析准确到位、符合实际的得6分；</w:t>
            </w:r>
          </w:p>
          <w:p w14:paraId="0DE50603">
            <w:pPr>
              <w:pStyle w:val="64"/>
              <w:spacing w:line="240" w:lineRule="auto"/>
              <w:jc w:val="left"/>
              <w:rPr>
                <w:rFonts w:ascii="仿宋" w:hAnsi="仿宋" w:cs="仿宋"/>
                <w:color w:val="auto"/>
                <w:sz w:val="21"/>
                <w:szCs w:val="21"/>
                <w:highlight w:val="none"/>
              </w:rPr>
            </w:pPr>
            <w:r>
              <w:rPr>
                <w:rFonts w:hint="eastAsia" w:ascii="宋体" w:hAnsi="宋体" w:eastAsia="宋体" w:cs="宋体"/>
                <w:bCs/>
                <w:color w:val="auto"/>
                <w:kern w:val="2"/>
                <w:sz w:val="21"/>
                <w:szCs w:val="21"/>
                <w:highlight w:val="none"/>
                <w:lang w:val="en-US" w:eastAsia="zh-CN" w:bidi="ar-SA"/>
              </w:rPr>
              <w:t>（2）</w:t>
            </w:r>
            <w:r>
              <w:rPr>
                <w:rFonts w:hint="eastAsia" w:ascii="仿宋" w:hAnsi="仿宋" w:cs="仿宋"/>
                <w:color w:val="auto"/>
                <w:sz w:val="21"/>
                <w:szCs w:val="21"/>
                <w:highlight w:val="none"/>
                <w:lang w:val="en-US" w:eastAsia="zh-CN"/>
              </w:rPr>
              <w:t>供应商针对本项目特点提出的重难点分析较准确、较符合实际的得5分；</w:t>
            </w:r>
          </w:p>
          <w:p w14:paraId="2548F24C">
            <w:pPr>
              <w:pStyle w:val="64"/>
              <w:spacing w:line="240" w:lineRule="auto"/>
              <w:jc w:val="left"/>
              <w:rPr>
                <w:rFonts w:ascii="仿宋" w:hAnsi="仿宋" w:cs="仿宋"/>
                <w:color w:val="auto"/>
                <w:sz w:val="21"/>
                <w:szCs w:val="21"/>
                <w:highlight w:val="none"/>
              </w:rPr>
            </w:pPr>
            <w:r>
              <w:rPr>
                <w:rFonts w:hint="eastAsia" w:ascii="宋体" w:hAnsi="宋体" w:eastAsia="宋体" w:cs="宋体"/>
                <w:bCs/>
                <w:color w:val="auto"/>
                <w:kern w:val="2"/>
                <w:sz w:val="21"/>
                <w:szCs w:val="21"/>
                <w:highlight w:val="none"/>
                <w:lang w:val="en-US" w:eastAsia="zh-CN" w:bidi="ar-SA"/>
              </w:rPr>
              <w:t>（3）</w:t>
            </w:r>
            <w:r>
              <w:rPr>
                <w:rFonts w:hint="eastAsia" w:ascii="Calibri" w:hAnsi="Calibri" w:cs="Times New Roman"/>
                <w:color w:val="auto"/>
                <w:kern w:val="2"/>
                <w:sz w:val="21"/>
                <w:szCs w:val="21"/>
                <w:highlight w:val="none"/>
                <w:lang w:val="en-US" w:eastAsia="zh-CN" w:bidi="ar-SA"/>
              </w:rPr>
              <w:t>供应商</w:t>
            </w:r>
            <w:r>
              <w:rPr>
                <w:rFonts w:hint="eastAsia" w:ascii="Calibri" w:hAnsi="Calibri" w:eastAsia="宋体" w:cs="Times New Roman"/>
                <w:color w:val="auto"/>
                <w:kern w:val="2"/>
                <w:sz w:val="21"/>
                <w:szCs w:val="21"/>
                <w:highlight w:val="none"/>
                <w:lang w:val="en-US" w:eastAsia="zh-CN" w:bidi="ar-SA"/>
              </w:rPr>
              <w:t>针对本项目</w:t>
            </w:r>
            <w:r>
              <w:rPr>
                <w:rFonts w:hint="eastAsia" w:ascii="仿宋" w:hAnsi="仿宋" w:cs="仿宋"/>
                <w:color w:val="auto"/>
                <w:sz w:val="21"/>
                <w:szCs w:val="21"/>
                <w:highlight w:val="none"/>
                <w:lang w:val="en-US" w:eastAsia="zh-CN"/>
              </w:rPr>
              <w:t>特点</w:t>
            </w:r>
            <w:r>
              <w:rPr>
                <w:rFonts w:hint="eastAsia" w:ascii="Calibri" w:hAnsi="Calibri" w:eastAsia="宋体" w:cs="Times New Roman"/>
                <w:color w:val="auto"/>
                <w:kern w:val="2"/>
                <w:sz w:val="21"/>
                <w:szCs w:val="21"/>
                <w:highlight w:val="none"/>
                <w:lang w:val="en-US" w:eastAsia="zh-CN" w:bidi="ar-SA"/>
              </w:rPr>
              <w:t>提出的各项现状分析欠准确的得</w:t>
            </w:r>
            <w:r>
              <w:rPr>
                <w:rFonts w:hint="eastAsia" w:ascii="仿宋" w:hAnsi="仿宋" w:cs="仿宋"/>
                <w:color w:val="auto"/>
                <w:sz w:val="21"/>
                <w:szCs w:val="21"/>
                <w:highlight w:val="none"/>
                <w:lang w:val="en-US" w:eastAsia="zh-CN"/>
              </w:rPr>
              <w:t>4</w:t>
            </w:r>
            <w:r>
              <w:rPr>
                <w:rFonts w:hint="eastAsia" w:ascii="Calibri" w:hAnsi="Calibri" w:eastAsia="宋体" w:cs="Times New Roman"/>
                <w:color w:val="auto"/>
                <w:kern w:val="2"/>
                <w:sz w:val="21"/>
                <w:szCs w:val="21"/>
                <w:highlight w:val="none"/>
                <w:lang w:val="en-US" w:eastAsia="zh-CN" w:bidi="ar-SA"/>
              </w:rPr>
              <w:t>分；</w:t>
            </w:r>
          </w:p>
          <w:p w14:paraId="5BAAB058">
            <w:pPr>
              <w:adjustRightInd w:val="0"/>
              <w:snapToGrid w:val="0"/>
              <w:jc w:val="left"/>
              <w:rPr>
                <w:rFonts w:hint="eastAsia" w:ascii="宋体" w:hAnsi="宋体" w:cs="宋体"/>
                <w:bCs/>
                <w:color w:val="auto"/>
                <w:szCs w:val="21"/>
                <w:highlight w:val="none"/>
              </w:rPr>
            </w:pPr>
            <w:r>
              <w:rPr>
                <w:rFonts w:hint="eastAsia" w:ascii="宋体" w:hAnsi="宋体" w:cs="宋体"/>
                <w:bCs/>
                <w:color w:val="auto"/>
                <w:szCs w:val="21"/>
                <w:highlight w:val="none"/>
              </w:rPr>
              <w:t>（4）</w:t>
            </w:r>
            <w:r>
              <w:rPr>
                <w:rFonts w:hint="eastAsia" w:ascii="仿宋" w:hAnsi="仿宋" w:cs="仿宋"/>
                <w:color w:val="auto"/>
                <w:sz w:val="21"/>
                <w:szCs w:val="21"/>
                <w:highlight w:val="none"/>
                <w:lang w:val="en-US" w:eastAsia="zh-CN"/>
              </w:rPr>
              <w:t>分析不准确</w:t>
            </w:r>
            <w:r>
              <w:rPr>
                <w:rFonts w:hint="eastAsia" w:ascii="仿宋" w:hAnsi="仿宋" w:cs="仿宋"/>
                <w:color w:val="auto"/>
                <w:sz w:val="21"/>
                <w:szCs w:val="21"/>
                <w:highlight w:val="none"/>
              </w:rPr>
              <w:t>或者未提供相关内容的不得分。</w:t>
            </w:r>
          </w:p>
        </w:tc>
      </w:tr>
      <w:tr w14:paraId="5FFFE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vMerge w:val="continue"/>
            <w:noWrap w:val="0"/>
            <w:vAlign w:val="center"/>
          </w:tcPr>
          <w:p w14:paraId="05BADF1E">
            <w:pPr>
              <w:adjustRightInd w:val="0"/>
              <w:snapToGrid w:val="0"/>
              <w:jc w:val="center"/>
              <w:rPr>
                <w:rFonts w:hint="eastAsia" w:ascii="Arial" w:hAnsi="Arial" w:cs="Arial"/>
                <w:color w:val="auto"/>
                <w:szCs w:val="21"/>
                <w:highlight w:val="none"/>
                <w:lang w:val="en-US" w:eastAsia="zh-CN"/>
              </w:rPr>
            </w:pPr>
          </w:p>
        </w:tc>
        <w:tc>
          <w:tcPr>
            <w:tcW w:w="1784" w:type="dxa"/>
            <w:vMerge w:val="continue"/>
            <w:noWrap w:val="0"/>
            <w:vAlign w:val="center"/>
          </w:tcPr>
          <w:p w14:paraId="21BDBF9B">
            <w:pPr>
              <w:adjustRightInd w:val="0"/>
              <w:snapToGrid w:val="0"/>
              <w:jc w:val="center"/>
              <w:rPr>
                <w:rFonts w:hint="default" w:ascii="Arial" w:hAnsi="Arial" w:eastAsia="宋体" w:cs="Arial"/>
                <w:color w:val="auto"/>
                <w:szCs w:val="21"/>
                <w:highlight w:val="none"/>
                <w:lang w:val="en-US" w:eastAsia="zh-CN"/>
              </w:rPr>
            </w:pPr>
          </w:p>
        </w:tc>
        <w:tc>
          <w:tcPr>
            <w:tcW w:w="7546" w:type="dxa"/>
            <w:noWrap w:val="0"/>
            <w:vAlign w:val="center"/>
          </w:tcPr>
          <w:p w14:paraId="05D37699">
            <w:pPr>
              <w:adjustRightInd w:val="0"/>
              <w:snapToGrid w:val="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en-US" w:eastAsia="zh-CN"/>
              </w:rPr>
              <w:t>针对本项目重难点，提出解决对策与方案</w:t>
            </w:r>
            <w:r>
              <w:rPr>
                <w:rFonts w:hint="eastAsia" w:ascii="宋体" w:hAnsi="宋体" w:cs="宋体"/>
                <w:bCs/>
                <w:color w:val="auto"/>
                <w:szCs w:val="21"/>
                <w:highlight w:val="none"/>
                <w:lang w:val="zh-CN"/>
              </w:rPr>
              <w:t>，是否具有可操作性，</w:t>
            </w:r>
            <w:r>
              <w:rPr>
                <w:rFonts w:hint="eastAsia" w:ascii="宋体" w:hAnsi="宋体" w:cs="宋体"/>
                <w:bCs/>
                <w:color w:val="auto"/>
                <w:szCs w:val="21"/>
                <w:highlight w:val="none"/>
                <w:lang w:val="en-US" w:eastAsia="zh-CN"/>
              </w:rPr>
              <w:t>是否符合实际、具有合理性等情况，由专家综合评分：</w:t>
            </w:r>
          </w:p>
          <w:p w14:paraId="7FEDC1B3">
            <w:pPr>
              <w:numPr>
                <w:ilvl w:val="0"/>
                <w:numId w:val="0"/>
              </w:numPr>
              <w:snapToGrid w:val="0"/>
              <w:ind w:leftChars="0"/>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1</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rPr>
              <w:t>方案</w:t>
            </w:r>
            <w:r>
              <w:rPr>
                <w:rFonts w:hint="eastAsia" w:ascii="宋体" w:hAnsi="宋体" w:cs="宋体"/>
                <w:color w:val="auto"/>
                <w:kern w:val="2"/>
                <w:sz w:val="21"/>
                <w:szCs w:val="21"/>
                <w:highlight w:val="none"/>
                <w:lang w:val="en-US" w:eastAsia="zh-CN"/>
              </w:rPr>
              <w:t>完全</w:t>
            </w:r>
            <w:r>
              <w:rPr>
                <w:rFonts w:hint="eastAsia" w:ascii="宋体" w:hAnsi="宋体" w:cs="宋体"/>
                <w:color w:val="auto"/>
                <w:kern w:val="2"/>
                <w:sz w:val="21"/>
                <w:szCs w:val="21"/>
                <w:highlight w:val="none"/>
              </w:rPr>
              <w:t>合理、</w:t>
            </w:r>
            <w:r>
              <w:rPr>
                <w:rFonts w:hint="eastAsia" w:ascii="宋体" w:hAnsi="宋体" w:cs="宋体"/>
                <w:color w:val="auto"/>
                <w:kern w:val="2"/>
                <w:sz w:val="21"/>
                <w:szCs w:val="21"/>
                <w:highlight w:val="none"/>
                <w:lang w:val="en-US" w:eastAsia="zh-CN"/>
              </w:rPr>
              <w:t>具有</w:t>
            </w:r>
            <w:r>
              <w:rPr>
                <w:rFonts w:hint="eastAsia" w:ascii="宋体" w:hAnsi="宋体" w:cs="宋体"/>
                <w:color w:val="auto"/>
                <w:kern w:val="2"/>
                <w:sz w:val="21"/>
                <w:szCs w:val="21"/>
                <w:highlight w:val="none"/>
              </w:rPr>
              <w:t>可</w:t>
            </w:r>
            <w:r>
              <w:rPr>
                <w:rFonts w:hint="eastAsia" w:ascii="宋体" w:hAnsi="宋体" w:cs="宋体"/>
                <w:color w:val="auto"/>
                <w:kern w:val="2"/>
                <w:sz w:val="21"/>
                <w:szCs w:val="21"/>
                <w:highlight w:val="none"/>
                <w:lang w:eastAsia="zh-CN"/>
              </w:rPr>
              <w:t>操作性、</w:t>
            </w:r>
            <w:r>
              <w:rPr>
                <w:rFonts w:hint="eastAsia" w:ascii="宋体" w:hAnsi="宋体" w:cs="宋体"/>
                <w:color w:val="auto"/>
                <w:kern w:val="2"/>
                <w:sz w:val="21"/>
                <w:szCs w:val="21"/>
                <w:highlight w:val="none"/>
                <w:lang w:val="en-US" w:eastAsia="zh-CN"/>
              </w:rPr>
              <w:t>符合实际</w:t>
            </w:r>
            <w:r>
              <w:rPr>
                <w:rFonts w:hint="eastAsia" w:ascii="宋体" w:hAnsi="宋体" w:cs="宋体"/>
                <w:color w:val="auto"/>
                <w:kern w:val="2"/>
                <w:sz w:val="21"/>
                <w:szCs w:val="21"/>
                <w:highlight w:val="none"/>
              </w:rPr>
              <w:t>的得</w:t>
            </w:r>
            <w:r>
              <w:rPr>
                <w:rFonts w:hint="eastAsia" w:ascii="宋体" w:hAnsi="宋体" w:cs="宋体"/>
                <w:color w:val="auto"/>
                <w:kern w:val="2"/>
                <w:sz w:val="21"/>
                <w:szCs w:val="21"/>
                <w:highlight w:val="none"/>
                <w:lang w:val="en-US" w:eastAsia="zh-CN"/>
              </w:rPr>
              <w:t>6</w:t>
            </w:r>
            <w:r>
              <w:rPr>
                <w:rFonts w:hint="eastAsia" w:ascii="宋体" w:hAnsi="宋体" w:cs="宋体"/>
                <w:color w:val="auto"/>
                <w:kern w:val="2"/>
                <w:sz w:val="21"/>
                <w:szCs w:val="21"/>
                <w:highlight w:val="none"/>
              </w:rPr>
              <w:t>分；</w:t>
            </w:r>
          </w:p>
          <w:p w14:paraId="4A931C66">
            <w:pPr>
              <w:numPr>
                <w:ilvl w:val="0"/>
                <w:numId w:val="0"/>
              </w:numPr>
              <w:snapToGrid w:val="0"/>
              <w:ind w:leftChars="0"/>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2</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rPr>
              <w:t>方案基本合理、基本</w:t>
            </w:r>
            <w:r>
              <w:rPr>
                <w:rFonts w:hint="eastAsia" w:ascii="宋体" w:hAnsi="宋体" w:cs="宋体"/>
                <w:color w:val="auto"/>
                <w:kern w:val="2"/>
                <w:sz w:val="21"/>
                <w:szCs w:val="21"/>
                <w:highlight w:val="none"/>
                <w:lang w:eastAsia="zh-CN"/>
              </w:rPr>
              <w:t>具有</w:t>
            </w:r>
            <w:r>
              <w:rPr>
                <w:rFonts w:hint="eastAsia" w:ascii="宋体" w:hAnsi="宋体" w:cs="宋体"/>
                <w:color w:val="auto"/>
                <w:kern w:val="2"/>
                <w:sz w:val="21"/>
                <w:szCs w:val="21"/>
                <w:highlight w:val="none"/>
              </w:rPr>
              <w:t>可</w:t>
            </w:r>
            <w:r>
              <w:rPr>
                <w:rFonts w:hint="eastAsia" w:ascii="宋体" w:hAnsi="宋体" w:cs="宋体"/>
                <w:color w:val="auto"/>
                <w:kern w:val="2"/>
                <w:sz w:val="21"/>
                <w:szCs w:val="21"/>
                <w:highlight w:val="none"/>
                <w:lang w:eastAsia="zh-CN"/>
              </w:rPr>
              <w:t>操作性、</w:t>
            </w:r>
            <w:r>
              <w:rPr>
                <w:rFonts w:hint="eastAsia" w:ascii="宋体" w:hAnsi="宋体" w:cs="宋体"/>
                <w:color w:val="auto"/>
                <w:kern w:val="2"/>
                <w:sz w:val="21"/>
                <w:szCs w:val="21"/>
                <w:highlight w:val="none"/>
                <w:lang w:val="en-US" w:eastAsia="zh-CN"/>
              </w:rPr>
              <w:t>较符合实际</w:t>
            </w:r>
            <w:r>
              <w:rPr>
                <w:rFonts w:hint="eastAsia" w:ascii="宋体" w:hAnsi="宋体" w:cs="宋体"/>
                <w:color w:val="auto"/>
                <w:kern w:val="2"/>
                <w:sz w:val="21"/>
                <w:szCs w:val="21"/>
                <w:highlight w:val="none"/>
              </w:rPr>
              <w:t>的得</w:t>
            </w:r>
            <w:r>
              <w:rPr>
                <w:rFonts w:hint="eastAsia" w:ascii="宋体" w:hAnsi="宋体" w:cs="宋体"/>
                <w:color w:val="auto"/>
                <w:kern w:val="2"/>
                <w:sz w:val="21"/>
                <w:szCs w:val="21"/>
                <w:highlight w:val="none"/>
                <w:lang w:val="en-US" w:eastAsia="zh-CN"/>
              </w:rPr>
              <w:t>5</w:t>
            </w:r>
            <w:r>
              <w:rPr>
                <w:rFonts w:hint="eastAsia" w:ascii="宋体" w:hAnsi="宋体" w:cs="宋体"/>
                <w:color w:val="auto"/>
                <w:kern w:val="2"/>
                <w:sz w:val="21"/>
                <w:szCs w:val="21"/>
                <w:highlight w:val="none"/>
              </w:rPr>
              <w:t>分；</w:t>
            </w:r>
          </w:p>
          <w:p w14:paraId="1962C071">
            <w:pPr>
              <w:numPr>
                <w:ilvl w:val="0"/>
                <w:numId w:val="0"/>
              </w:numPr>
              <w:snapToGrid w:val="0"/>
              <w:ind w:leftChars="0"/>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3</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rPr>
              <w:t>方案一般合理、一般可行</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欠符合实际</w:t>
            </w:r>
            <w:r>
              <w:rPr>
                <w:rFonts w:hint="eastAsia" w:ascii="宋体" w:hAnsi="宋体" w:cs="宋体"/>
                <w:color w:val="auto"/>
                <w:kern w:val="2"/>
                <w:sz w:val="21"/>
                <w:szCs w:val="21"/>
                <w:highlight w:val="none"/>
              </w:rPr>
              <w:t>的得</w:t>
            </w:r>
            <w:r>
              <w:rPr>
                <w:rFonts w:hint="eastAsia" w:ascii="宋体" w:hAnsi="宋体" w:cs="宋体"/>
                <w:color w:val="auto"/>
                <w:kern w:val="2"/>
                <w:sz w:val="21"/>
                <w:szCs w:val="21"/>
                <w:highlight w:val="none"/>
                <w:lang w:val="en-US" w:eastAsia="zh-CN"/>
              </w:rPr>
              <w:t>4</w:t>
            </w:r>
            <w:r>
              <w:rPr>
                <w:rFonts w:hint="eastAsia" w:ascii="宋体" w:hAnsi="宋体" w:cs="宋体"/>
                <w:color w:val="auto"/>
                <w:kern w:val="2"/>
                <w:sz w:val="21"/>
                <w:szCs w:val="21"/>
                <w:highlight w:val="none"/>
              </w:rPr>
              <w:t>分；</w:t>
            </w:r>
          </w:p>
          <w:p w14:paraId="510E030C">
            <w:pPr>
              <w:adjustRightInd w:val="0"/>
              <w:snapToGrid w:val="0"/>
              <w:jc w:val="left"/>
              <w:rPr>
                <w:rFonts w:hint="eastAsia" w:ascii="仿宋" w:hAnsi="仿宋" w:cs="仿宋"/>
                <w:color w:val="auto"/>
                <w:sz w:val="21"/>
                <w:szCs w:val="21"/>
                <w:highlight w:val="none"/>
              </w:rPr>
            </w:pP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4</w:t>
            </w:r>
            <w:r>
              <w:rPr>
                <w:rFonts w:hint="eastAsia" w:ascii="宋体" w:hAnsi="宋体" w:cs="宋体"/>
                <w:color w:val="auto"/>
                <w:kern w:val="2"/>
                <w:sz w:val="21"/>
                <w:szCs w:val="21"/>
                <w:highlight w:val="none"/>
                <w:lang w:eastAsia="zh-CN"/>
              </w:rPr>
              <w:t>）</w:t>
            </w:r>
            <w:r>
              <w:rPr>
                <w:rFonts w:hint="eastAsia" w:ascii="仿宋" w:hAnsi="仿宋" w:cs="仿宋"/>
                <w:color w:val="auto"/>
                <w:sz w:val="21"/>
                <w:szCs w:val="21"/>
                <w:highlight w:val="none"/>
              </w:rPr>
              <w:t>不可行或者未提供相关内容的不得分</w:t>
            </w:r>
            <w:r>
              <w:rPr>
                <w:rFonts w:hint="eastAsia" w:ascii="宋体" w:hAnsi="宋体" w:cs="宋体"/>
                <w:color w:val="auto"/>
                <w:kern w:val="2"/>
                <w:sz w:val="21"/>
                <w:szCs w:val="21"/>
                <w:highlight w:val="none"/>
              </w:rPr>
              <w:t>。</w:t>
            </w:r>
          </w:p>
        </w:tc>
      </w:tr>
      <w:tr w14:paraId="18173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vMerge w:val="restart"/>
            <w:noWrap w:val="0"/>
            <w:vAlign w:val="center"/>
          </w:tcPr>
          <w:p w14:paraId="47EC3898">
            <w:pPr>
              <w:adjustRightInd w:val="0"/>
              <w:snapToGrid w:val="0"/>
              <w:jc w:val="center"/>
              <w:rPr>
                <w:rFonts w:hint="eastAsia" w:ascii="Arial" w:hAnsi="Arial" w:eastAsia="宋体" w:cs="Arial"/>
                <w:color w:val="auto"/>
                <w:kern w:val="2"/>
                <w:sz w:val="21"/>
                <w:szCs w:val="21"/>
                <w:highlight w:val="none"/>
                <w:lang w:val="en-US" w:eastAsia="zh-CN" w:bidi="ar-SA"/>
              </w:rPr>
            </w:pPr>
            <w:r>
              <w:rPr>
                <w:rFonts w:hint="eastAsia" w:ascii="Arial" w:hAnsi="Arial" w:cs="Arial"/>
                <w:color w:val="auto"/>
                <w:szCs w:val="21"/>
                <w:highlight w:val="none"/>
                <w:lang w:val="en-US" w:eastAsia="zh-CN"/>
              </w:rPr>
              <w:t>6</w:t>
            </w:r>
          </w:p>
        </w:tc>
        <w:tc>
          <w:tcPr>
            <w:tcW w:w="1784" w:type="dxa"/>
            <w:vMerge w:val="restart"/>
            <w:noWrap w:val="0"/>
            <w:vAlign w:val="center"/>
          </w:tcPr>
          <w:p w14:paraId="1E87B2B8">
            <w:pPr>
              <w:adjustRightInd w:val="0"/>
              <w:snapToGrid w:val="0"/>
              <w:jc w:val="center"/>
              <w:rPr>
                <w:rFonts w:ascii="Arial" w:hAnsi="Arial" w:cs="Arial"/>
                <w:color w:val="auto"/>
                <w:szCs w:val="21"/>
                <w:highlight w:val="none"/>
              </w:rPr>
            </w:pPr>
            <w:r>
              <w:rPr>
                <w:rFonts w:hint="eastAsia" w:ascii="Arial" w:hAnsi="Arial" w:cs="Arial"/>
                <w:color w:val="auto"/>
                <w:szCs w:val="21"/>
                <w:highlight w:val="none"/>
              </w:rPr>
              <w:t>相关专题研究和案例总结</w:t>
            </w:r>
          </w:p>
          <w:p w14:paraId="4B0F2535">
            <w:pPr>
              <w:adjustRightInd w:val="0"/>
              <w:snapToGrid w:val="0"/>
              <w:jc w:val="center"/>
              <w:rPr>
                <w:rFonts w:hint="default" w:ascii="Arial" w:hAnsi="Arial" w:eastAsia="宋体" w:cs="Arial"/>
                <w:color w:val="auto"/>
                <w:kern w:val="2"/>
                <w:sz w:val="21"/>
                <w:szCs w:val="21"/>
                <w:highlight w:val="none"/>
                <w:lang w:val="en-US" w:eastAsia="zh-CN" w:bidi="ar-SA"/>
              </w:rPr>
            </w:pPr>
            <w:r>
              <w:rPr>
                <w:rFonts w:ascii="Arial" w:hAnsi="Arial" w:cs="Arial"/>
                <w:color w:val="auto"/>
                <w:szCs w:val="21"/>
                <w:highlight w:val="none"/>
              </w:rPr>
              <w:t>（</w:t>
            </w:r>
            <w:r>
              <w:rPr>
                <w:rFonts w:hint="eastAsia" w:ascii="Arial" w:hAnsi="Arial" w:cs="Arial"/>
                <w:color w:val="auto"/>
                <w:szCs w:val="21"/>
                <w:highlight w:val="none"/>
                <w:lang w:val="en-US" w:eastAsia="zh-CN"/>
              </w:rPr>
              <w:t>12</w:t>
            </w:r>
            <w:r>
              <w:rPr>
                <w:rFonts w:ascii="Arial" w:hAnsi="Arial" w:cs="Arial"/>
                <w:color w:val="auto"/>
                <w:szCs w:val="21"/>
                <w:highlight w:val="none"/>
              </w:rPr>
              <w:t>分）</w:t>
            </w:r>
          </w:p>
        </w:tc>
        <w:tc>
          <w:tcPr>
            <w:tcW w:w="7546" w:type="dxa"/>
            <w:noWrap w:val="0"/>
            <w:vAlign w:val="center"/>
          </w:tcPr>
          <w:p w14:paraId="38D4F4DD">
            <w:pPr>
              <w:adjustRightInd w:val="0"/>
              <w:snapToGrid w:val="0"/>
              <w:jc w:val="left"/>
              <w:rPr>
                <w:rFonts w:ascii="宋体" w:hAnsi="宋体" w:cs="宋体"/>
                <w:bCs/>
                <w:color w:val="auto"/>
                <w:szCs w:val="21"/>
                <w:highlight w:val="none"/>
              </w:rPr>
            </w:pPr>
            <w:r>
              <w:rPr>
                <w:rFonts w:ascii="宋体" w:hAnsi="宋体" w:cs="宋体"/>
                <w:bCs/>
                <w:color w:val="auto"/>
                <w:szCs w:val="21"/>
                <w:highlight w:val="none"/>
              </w:rPr>
              <w:t>根据</w:t>
            </w:r>
            <w:r>
              <w:rPr>
                <w:rFonts w:hint="eastAsia" w:ascii="仿宋" w:hAnsi="仿宋" w:cs="仿宋"/>
                <w:color w:val="auto"/>
                <w:sz w:val="21"/>
                <w:szCs w:val="21"/>
                <w:highlight w:val="none"/>
                <w:lang w:val="en-US" w:eastAsia="zh-CN"/>
              </w:rPr>
              <w:t>供应商</w:t>
            </w:r>
            <w:r>
              <w:rPr>
                <w:rFonts w:hint="eastAsia" w:ascii="宋体" w:hAnsi="宋体" w:cs="宋体"/>
                <w:bCs/>
                <w:color w:val="auto"/>
                <w:szCs w:val="21"/>
                <w:highlight w:val="none"/>
              </w:rPr>
              <w:t>对相关专题研究的针对性、合理性，</w:t>
            </w:r>
            <w:r>
              <w:rPr>
                <w:rFonts w:ascii="宋体" w:hAnsi="宋体" w:cs="宋体"/>
                <w:bCs/>
                <w:color w:val="auto"/>
                <w:szCs w:val="21"/>
                <w:highlight w:val="none"/>
              </w:rPr>
              <w:t>由专家</w:t>
            </w:r>
            <w:r>
              <w:rPr>
                <w:rFonts w:hint="eastAsia" w:ascii="宋体" w:hAnsi="宋体" w:cs="宋体"/>
                <w:bCs/>
                <w:color w:val="auto"/>
                <w:szCs w:val="21"/>
                <w:highlight w:val="none"/>
                <w:lang w:val="en-US" w:eastAsia="zh-CN"/>
              </w:rPr>
              <w:t>综合</w:t>
            </w:r>
            <w:r>
              <w:rPr>
                <w:rFonts w:ascii="宋体" w:hAnsi="宋体" w:cs="宋体"/>
                <w:bCs/>
                <w:color w:val="auto"/>
                <w:szCs w:val="21"/>
                <w:highlight w:val="none"/>
              </w:rPr>
              <w:t>评分</w:t>
            </w:r>
            <w:r>
              <w:rPr>
                <w:rFonts w:hint="eastAsia" w:ascii="宋体" w:hAnsi="宋体" w:cs="宋体"/>
                <w:bCs/>
                <w:color w:val="auto"/>
                <w:szCs w:val="21"/>
                <w:highlight w:val="none"/>
              </w:rPr>
              <w:t>：</w:t>
            </w:r>
          </w:p>
          <w:p w14:paraId="2C43EC28">
            <w:pPr>
              <w:pStyle w:val="11"/>
              <w:autoSpaceDE w:val="0"/>
              <w:autoSpaceDN w:val="0"/>
              <w:adjustRightInd w:val="0"/>
              <w:snapToGrid w:val="0"/>
              <w:spacing w:after="0"/>
              <w:ind w:left="0" w:leftChars="0"/>
              <w:textAlignment w:val="bottom"/>
              <w:rPr>
                <w:rFonts w:ascii="宋体" w:hAnsi="宋体" w:cs="宋体"/>
                <w:bCs/>
                <w:color w:val="auto"/>
                <w:kern w:val="2"/>
                <w:szCs w:val="21"/>
                <w:highlight w:val="none"/>
              </w:rPr>
            </w:pPr>
            <w:r>
              <w:rPr>
                <w:rFonts w:hint="eastAsia" w:ascii="宋体" w:hAnsi="宋体" w:cs="宋体"/>
                <w:bCs/>
                <w:color w:val="auto"/>
                <w:szCs w:val="21"/>
                <w:highlight w:val="none"/>
              </w:rPr>
              <w:t>（1）</w:t>
            </w:r>
            <w:r>
              <w:rPr>
                <w:rFonts w:hint="eastAsia" w:ascii="宋体" w:hAnsi="宋体" w:cs="宋体"/>
                <w:bCs/>
                <w:color w:val="auto"/>
                <w:kern w:val="2"/>
                <w:szCs w:val="21"/>
                <w:highlight w:val="none"/>
              </w:rPr>
              <w:t>对相关专题研究的针对性、合理性描述准确、全面、合理的得</w:t>
            </w:r>
            <w:r>
              <w:rPr>
                <w:rFonts w:hint="eastAsia" w:ascii="宋体" w:hAnsi="宋体" w:cs="宋体"/>
                <w:bCs/>
                <w:color w:val="auto"/>
                <w:kern w:val="2"/>
                <w:szCs w:val="21"/>
                <w:highlight w:val="none"/>
                <w:lang w:val="en-US" w:eastAsia="zh-CN"/>
              </w:rPr>
              <w:t>6</w:t>
            </w:r>
            <w:r>
              <w:rPr>
                <w:rFonts w:hint="eastAsia" w:ascii="宋体" w:hAnsi="宋体" w:cs="宋体"/>
                <w:bCs/>
                <w:color w:val="auto"/>
                <w:kern w:val="2"/>
                <w:szCs w:val="21"/>
                <w:highlight w:val="none"/>
              </w:rPr>
              <w:t>分；</w:t>
            </w:r>
          </w:p>
          <w:p w14:paraId="253A5188">
            <w:pPr>
              <w:pStyle w:val="11"/>
              <w:autoSpaceDE w:val="0"/>
              <w:autoSpaceDN w:val="0"/>
              <w:adjustRightInd w:val="0"/>
              <w:snapToGrid w:val="0"/>
              <w:spacing w:after="0"/>
              <w:ind w:left="0" w:leftChars="0"/>
              <w:textAlignment w:val="bottom"/>
              <w:rPr>
                <w:rFonts w:ascii="宋体" w:hAnsi="宋体" w:cs="宋体"/>
                <w:bCs/>
                <w:color w:val="auto"/>
                <w:kern w:val="2"/>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w:t>
            </w:r>
            <w:r>
              <w:rPr>
                <w:rFonts w:hint="eastAsia" w:ascii="宋体" w:hAnsi="宋体" w:cs="宋体"/>
                <w:bCs/>
                <w:color w:val="auto"/>
                <w:kern w:val="2"/>
                <w:szCs w:val="21"/>
                <w:highlight w:val="none"/>
              </w:rPr>
              <w:t>对相关专题研究的针对性、合理性描述较为准确、相对全面、较为合理的得5分；</w:t>
            </w:r>
          </w:p>
          <w:p w14:paraId="0641C3EC">
            <w:pPr>
              <w:pStyle w:val="11"/>
              <w:autoSpaceDE w:val="0"/>
              <w:autoSpaceDN w:val="0"/>
              <w:adjustRightInd w:val="0"/>
              <w:snapToGrid w:val="0"/>
              <w:spacing w:after="0"/>
              <w:ind w:left="0" w:leftChars="0"/>
              <w:textAlignment w:val="bottom"/>
              <w:rPr>
                <w:rFonts w:ascii="宋体" w:hAnsi="宋体" w:cs="宋体"/>
                <w:bCs/>
                <w:color w:val="auto"/>
                <w:kern w:val="2"/>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w:t>
            </w:r>
            <w:r>
              <w:rPr>
                <w:rFonts w:hint="eastAsia" w:ascii="宋体" w:hAnsi="宋体" w:cs="宋体"/>
                <w:bCs/>
                <w:color w:val="auto"/>
                <w:kern w:val="2"/>
                <w:szCs w:val="21"/>
                <w:highlight w:val="none"/>
              </w:rPr>
              <w:t>对相关专题研究的针对性、合理性描述不够准确、全面性不足、合理性不足的得</w:t>
            </w:r>
            <w:r>
              <w:rPr>
                <w:rFonts w:hint="eastAsia" w:ascii="宋体" w:hAnsi="宋体" w:cs="宋体"/>
                <w:bCs/>
                <w:color w:val="auto"/>
                <w:kern w:val="2"/>
                <w:szCs w:val="21"/>
                <w:highlight w:val="none"/>
                <w:lang w:val="en-US" w:eastAsia="zh-CN"/>
              </w:rPr>
              <w:t>4</w:t>
            </w:r>
            <w:r>
              <w:rPr>
                <w:rFonts w:hint="eastAsia" w:ascii="宋体" w:hAnsi="宋体" w:cs="宋体"/>
                <w:bCs/>
                <w:color w:val="auto"/>
                <w:kern w:val="2"/>
                <w:szCs w:val="21"/>
                <w:highlight w:val="none"/>
              </w:rPr>
              <w:t>分；</w:t>
            </w:r>
          </w:p>
          <w:p w14:paraId="7483B8DE">
            <w:pPr>
              <w:adjustRightInd w:val="0"/>
              <w:snapToGrid w:val="0"/>
              <w:jc w:val="left"/>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w:t>
            </w:r>
            <w:r>
              <w:rPr>
                <w:rFonts w:hint="eastAsia" w:ascii="仿宋" w:hAnsi="仿宋" w:cs="仿宋"/>
                <w:color w:val="auto"/>
                <w:sz w:val="21"/>
                <w:szCs w:val="21"/>
                <w:highlight w:val="none"/>
              </w:rPr>
              <w:t>不可行或者未提供相关内容的不得分</w:t>
            </w:r>
            <w:r>
              <w:rPr>
                <w:rFonts w:hint="eastAsia" w:ascii="宋体" w:hAnsi="宋体" w:cs="宋体"/>
                <w:bCs/>
                <w:color w:val="auto"/>
                <w:szCs w:val="21"/>
                <w:highlight w:val="none"/>
              </w:rPr>
              <w:t>。</w:t>
            </w:r>
          </w:p>
        </w:tc>
      </w:tr>
      <w:tr w14:paraId="6F249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vMerge w:val="continue"/>
            <w:noWrap w:val="0"/>
            <w:vAlign w:val="center"/>
          </w:tcPr>
          <w:p w14:paraId="69146F59">
            <w:pPr>
              <w:pStyle w:val="7"/>
              <w:rPr>
                <w:rFonts w:hint="eastAsia"/>
                <w:color w:val="auto"/>
                <w:highlight w:val="none"/>
                <w:lang w:val="en-US" w:eastAsia="zh-CN"/>
              </w:rPr>
            </w:pPr>
          </w:p>
        </w:tc>
        <w:tc>
          <w:tcPr>
            <w:tcW w:w="1784" w:type="dxa"/>
            <w:vMerge w:val="continue"/>
            <w:noWrap w:val="0"/>
            <w:vAlign w:val="center"/>
          </w:tcPr>
          <w:p w14:paraId="37F619E3">
            <w:pPr>
              <w:adjustRightInd w:val="0"/>
              <w:snapToGrid w:val="0"/>
              <w:jc w:val="center"/>
              <w:rPr>
                <w:rFonts w:hint="default" w:ascii="Arial" w:hAnsi="Arial" w:eastAsia="宋体" w:cs="Arial"/>
                <w:color w:val="auto"/>
                <w:szCs w:val="21"/>
                <w:highlight w:val="none"/>
                <w:lang w:val="en-US" w:eastAsia="zh-CN"/>
              </w:rPr>
            </w:pPr>
          </w:p>
        </w:tc>
        <w:tc>
          <w:tcPr>
            <w:tcW w:w="7546" w:type="dxa"/>
            <w:noWrap w:val="0"/>
            <w:vAlign w:val="center"/>
          </w:tcPr>
          <w:p w14:paraId="062E9A2E">
            <w:pPr>
              <w:adjustRightInd w:val="0"/>
              <w:snapToGrid w:val="0"/>
              <w:jc w:val="left"/>
              <w:rPr>
                <w:rFonts w:ascii="宋体" w:hAnsi="宋体" w:cs="宋体"/>
                <w:bCs/>
                <w:color w:val="auto"/>
                <w:szCs w:val="21"/>
                <w:highlight w:val="none"/>
              </w:rPr>
            </w:pPr>
            <w:r>
              <w:rPr>
                <w:rFonts w:ascii="宋体" w:hAnsi="宋体" w:cs="宋体"/>
                <w:bCs/>
                <w:color w:val="auto"/>
                <w:szCs w:val="21"/>
                <w:highlight w:val="none"/>
              </w:rPr>
              <w:t>根据</w:t>
            </w:r>
            <w:r>
              <w:rPr>
                <w:rFonts w:hint="eastAsia" w:ascii="仿宋" w:hAnsi="仿宋" w:cs="仿宋"/>
                <w:color w:val="auto"/>
                <w:sz w:val="21"/>
                <w:szCs w:val="21"/>
                <w:highlight w:val="none"/>
                <w:lang w:val="en-US" w:eastAsia="zh-CN"/>
              </w:rPr>
              <w:t>供应商</w:t>
            </w:r>
            <w:r>
              <w:rPr>
                <w:rFonts w:hint="eastAsia" w:ascii="宋体" w:hAnsi="宋体" w:cs="宋体"/>
                <w:bCs/>
                <w:color w:val="auto"/>
                <w:szCs w:val="21"/>
                <w:highlight w:val="none"/>
              </w:rPr>
              <w:t>对相关案例总结的针对性、合理性，</w:t>
            </w:r>
            <w:r>
              <w:rPr>
                <w:rFonts w:ascii="宋体" w:hAnsi="宋体" w:cs="宋体"/>
                <w:bCs/>
                <w:color w:val="auto"/>
                <w:szCs w:val="21"/>
                <w:highlight w:val="none"/>
              </w:rPr>
              <w:t>由专家</w:t>
            </w:r>
            <w:r>
              <w:rPr>
                <w:rFonts w:hint="eastAsia" w:ascii="宋体" w:hAnsi="宋体" w:cs="宋体"/>
                <w:bCs/>
                <w:color w:val="auto"/>
                <w:szCs w:val="21"/>
                <w:highlight w:val="none"/>
                <w:lang w:val="en-US" w:eastAsia="zh-CN"/>
              </w:rPr>
              <w:t>综合</w:t>
            </w:r>
            <w:r>
              <w:rPr>
                <w:rFonts w:ascii="宋体" w:hAnsi="宋体" w:cs="宋体"/>
                <w:bCs/>
                <w:color w:val="auto"/>
                <w:szCs w:val="21"/>
                <w:highlight w:val="none"/>
              </w:rPr>
              <w:t>评分</w:t>
            </w:r>
            <w:r>
              <w:rPr>
                <w:rFonts w:hint="eastAsia" w:ascii="宋体" w:hAnsi="宋体" w:cs="宋体"/>
                <w:bCs/>
                <w:color w:val="auto"/>
                <w:szCs w:val="21"/>
                <w:highlight w:val="none"/>
              </w:rPr>
              <w:t>：</w:t>
            </w:r>
          </w:p>
          <w:p w14:paraId="025D98DC">
            <w:pPr>
              <w:pStyle w:val="11"/>
              <w:autoSpaceDE w:val="0"/>
              <w:autoSpaceDN w:val="0"/>
              <w:adjustRightInd w:val="0"/>
              <w:snapToGrid w:val="0"/>
              <w:spacing w:after="0"/>
              <w:ind w:left="0" w:leftChars="0"/>
              <w:textAlignment w:val="bottom"/>
              <w:rPr>
                <w:rFonts w:ascii="宋体" w:hAnsi="宋体" w:cs="宋体"/>
                <w:bCs/>
                <w:color w:val="auto"/>
                <w:kern w:val="2"/>
                <w:szCs w:val="21"/>
                <w:highlight w:val="none"/>
              </w:rPr>
            </w:pPr>
            <w:r>
              <w:rPr>
                <w:rFonts w:hint="eastAsia" w:ascii="宋体" w:hAnsi="宋体" w:cs="宋体"/>
                <w:bCs/>
                <w:color w:val="auto"/>
                <w:szCs w:val="21"/>
                <w:highlight w:val="none"/>
              </w:rPr>
              <w:t>（1）</w:t>
            </w:r>
            <w:r>
              <w:rPr>
                <w:rFonts w:hint="eastAsia" w:ascii="宋体" w:hAnsi="宋体" w:cs="宋体"/>
                <w:bCs/>
                <w:color w:val="auto"/>
                <w:kern w:val="2"/>
                <w:szCs w:val="21"/>
                <w:highlight w:val="none"/>
              </w:rPr>
              <w:t>对相关案例总结的针对性、合理性描述准确、全面、合理的得</w:t>
            </w:r>
            <w:r>
              <w:rPr>
                <w:rFonts w:hint="eastAsia" w:ascii="宋体" w:hAnsi="宋体" w:cs="宋体"/>
                <w:bCs/>
                <w:color w:val="auto"/>
                <w:kern w:val="2"/>
                <w:szCs w:val="21"/>
                <w:highlight w:val="none"/>
                <w:lang w:val="en-US" w:eastAsia="zh-CN"/>
              </w:rPr>
              <w:t>6</w:t>
            </w:r>
            <w:r>
              <w:rPr>
                <w:rFonts w:hint="eastAsia" w:ascii="宋体" w:hAnsi="宋体" w:cs="宋体"/>
                <w:bCs/>
                <w:color w:val="auto"/>
                <w:kern w:val="2"/>
                <w:szCs w:val="21"/>
                <w:highlight w:val="none"/>
              </w:rPr>
              <w:t>分；</w:t>
            </w:r>
          </w:p>
          <w:p w14:paraId="7D02F64B">
            <w:pPr>
              <w:pStyle w:val="11"/>
              <w:autoSpaceDE w:val="0"/>
              <w:autoSpaceDN w:val="0"/>
              <w:adjustRightInd w:val="0"/>
              <w:snapToGrid w:val="0"/>
              <w:spacing w:after="0"/>
              <w:ind w:left="0" w:leftChars="0"/>
              <w:textAlignment w:val="bottom"/>
              <w:rPr>
                <w:rFonts w:ascii="宋体" w:hAnsi="宋体" w:cs="宋体"/>
                <w:bCs/>
                <w:color w:val="auto"/>
                <w:kern w:val="2"/>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w:t>
            </w:r>
            <w:r>
              <w:rPr>
                <w:rFonts w:hint="eastAsia" w:ascii="宋体" w:hAnsi="宋体" w:cs="宋体"/>
                <w:bCs/>
                <w:color w:val="auto"/>
                <w:kern w:val="2"/>
                <w:szCs w:val="21"/>
                <w:highlight w:val="none"/>
              </w:rPr>
              <w:t>对相关案例总结的针对性、合理性描述较为准确、相对全面、较为合理的得5分；</w:t>
            </w:r>
          </w:p>
          <w:p w14:paraId="3FDBCF07">
            <w:pPr>
              <w:pStyle w:val="11"/>
              <w:autoSpaceDE w:val="0"/>
              <w:autoSpaceDN w:val="0"/>
              <w:adjustRightInd w:val="0"/>
              <w:snapToGrid w:val="0"/>
              <w:spacing w:after="0"/>
              <w:ind w:left="0" w:leftChars="0"/>
              <w:textAlignment w:val="bottom"/>
              <w:rPr>
                <w:rFonts w:ascii="宋体" w:hAnsi="宋体" w:cs="宋体"/>
                <w:bCs/>
                <w:color w:val="auto"/>
                <w:kern w:val="2"/>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w:t>
            </w:r>
            <w:r>
              <w:rPr>
                <w:rFonts w:hint="eastAsia" w:ascii="宋体" w:hAnsi="宋体" w:cs="宋体"/>
                <w:bCs/>
                <w:color w:val="auto"/>
                <w:kern w:val="2"/>
                <w:szCs w:val="21"/>
                <w:highlight w:val="none"/>
              </w:rPr>
              <w:t>对相关案例总结的针对性、合理性描述不够准确、全面性不足、合理性不足的得</w:t>
            </w:r>
            <w:r>
              <w:rPr>
                <w:rFonts w:hint="eastAsia" w:ascii="宋体" w:hAnsi="宋体" w:cs="宋体"/>
                <w:bCs/>
                <w:color w:val="auto"/>
                <w:kern w:val="2"/>
                <w:szCs w:val="21"/>
                <w:highlight w:val="none"/>
                <w:lang w:val="en-US" w:eastAsia="zh-CN"/>
              </w:rPr>
              <w:t>4</w:t>
            </w:r>
            <w:r>
              <w:rPr>
                <w:rFonts w:hint="eastAsia" w:ascii="宋体" w:hAnsi="宋体" w:cs="宋体"/>
                <w:bCs/>
                <w:color w:val="auto"/>
                <w:kern w:val="2"/>
                <w:szCs w:val="21"/>
                <w:highlight w:val="none"/>
              </w:rPr>
              <w:t>分；</w:t>
            </w:r>
          </w:p>
          <w:p w14:paraId="4245EE6A">
            <w:pPr>
              <w:bidi w:val="0"/>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w:t>
            </w:r>
            <w:r>
              <w:rPr>
                <w:rFonts w:hint="eastAsia" w:ascii="仿宋" w:hAnsi="仿宋" w:cs="仿宋"/>
                <w:color w:val="auto"/>
                <w:sz w:val="21"/>
                <w:szCs w:val="21"/>
                <w:highlight w:val="none"/>
              </w:rPr>
              <w:t>不可行或者未提供相关内容的不得分</w:t>
            </w:r>
            <w:r>
              <w:rPr>
                <w:rFonts w:hint="eastAsia" w:ascii="宋体" w:hAnsi="宋体" w:cs="宋体"/>
                <w:bCs/>
                <w:color w:val="auto"/>
                <w:szCs w:val="21"/>
                <w:highlight w:val="none"/>
              </w:rPr>
              <w:t>。</w:t>
            </w:r>
          </w:p>
        </w:tc>
      </w:tr>
      <w:tr w14:paraId="17EC3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jc w:val="center"/>
        </w:trPr>
        <w:tc>
          <w:tcPr>
            <w:tcW w:w="0" w:type="auto"/>
            <w:vAlign w:val="center"/>
          </w:tcPr>
          <w:p w14:paraId="4E682E9F">
            <w:pPr>
              <w:adjustRightInd w:val="0"/>
              <w:snapToGrid w:val="0"/>
              <w:jc w:val="center"/>
              <w:rPr>
                <w:rFonts w:hint="default" w:ascii="Arial" w:hAnsi="Arial" w:eastAsia="宋体" w:cs="Arial"/>
                <w:color w:val="auto"/>
                <w:kern w:val="2"/>
                <w:sz w:val="21"/>
                <w:szCs w:val="21"/>
                <w:highlight w:val="none"/>
                <w:lang w:val="en-US" w:eastAsia="zh-CN" w:bidi="ar-SA"/>
              </w:rPr>
            </w:pPr>
            <w:r>
              <w:rPr>
                <w:rFonts w:hint="eastAsia" w:ascii="Arial" w:hAnsi="Arial" w:cs="Arial"/>
                <w:color w:val="auto"/>
                <w:kern w:val="2"/>
                <w:sz w:val="21"/>
                <w:szCs w:val="21"/>
                <w:highlight w:val="none"/>
                <w:lang w:val="en-US" w:eastAsia="zh-CN" w:bidi="ar-SA"/>
              </w:rPr>
              <w:t>7</w:t>
            </w:r>
          </w:p>
        </w:tc>
        <w:tc>
          <w:tcPr>
            <w:tcW w:w="1784" w:type="dxa"/>
            <w:vAlign w:val="center"/>
          </w:tcPr>
          <w:p w14:paraId="6CB0A7E8">
            <w:pPr>
              <w:adjustRightInd w:val="0"/>
              <w:snapToGrid w:val="0"/>
              <w:jc w:val="center"/>
              <w:rPr>
                <w:rFonts w:hint="eastAsia" w:ascii="Arial" w:hAnsi="Arial" w:eastAsia="宋体" w:cs="Arial"/>
                <w:color w:val="auto"/>
                <w:szCs w:val="21"/>
                <w:highlight w:val="none"/>
                <w:lang w:eastAsia="zh-CN"/>
              </w:rPr>
            </w:pPr>
            <w:r>
              <w:rPr>
                <w:rFonts w:hint="eastAsia" w:ascii="Arial" w:hAnsi="Arial" w:cs="Arial"/>
                <w:color w:val="auto"/>
                <w:szCs w:val="21"/>
                <w:highlight w:val="none"/>
              </w:rPr>
              <w:t>调查技术方案</w:t>
            </w:r>
            <w:r>
              <w:rPr>
                <w:rFonts w:hint="eastAsia" w:ascii="Arial" w:hAnsi="Arial" w:cs="Arial"/>
                <w:color w:val="auto"/>
                <w:szCs w:val="21"/>
                <w:highlight w:val="none"/>
                <w:lang w:eastAsia="zh-CN"/>
              </w:rPr>
              <w:t>制定</w:t>
            </w:r>
          </w:p>
          <w:p w14:paraId="1392D07F">
            <w:pPr>
              <w:adjustRightInd w:val="0"/>
              <w:snapToGrid w:val="0"/>
              <w:jc w:val="center"/>
              <w:rPr>
                <w:rFonts w:ascii="Arial" w:hAnsi="Arial" w:eastAsia="宋体" w:cs="Arial"/>
                <w:color w:val="auto"/>
                <w:kern w:val="2"/>
                <w:sz w:val="21"/>
                <w:szCs w:val="21"/>
                <w:highlight w:val="none"/>
                <w:lang w:val="en-US" w:eastAsia="zh-CN" w:bidi="ar-SA"/>
              </w:rPr>
            </w:pPr>
            <w:r>
              <w:rPr>
                <w:rFonts w:ascii="Arial" w:hAnsi="Arial" w:cs="Arial"/>
                <w:color w:val="auto"/>
                <w:szCs w:val="21"/>
                <w:highlight w:val="none"/>
              </w:rPr>
              <w:t>（</w:t>
            </w:r>
            <w:r>
              <w:rPr>
                <w:rFonts w:hint="eastAsia" w:ascii="Arial" w:hAnsi="Arial" w:cs="Arial"/>
                <w:color w:val="auto"/>
                <w:szCs w:val="21"/>
                <w:highlight w:val="none"/>
                <w:lang w:val="en-US" w:eastAsia="zh-CN"/>
              </w:rPr>
              <w:t>6</w:t>
            </w:r>
            <w:r>
              <w:rPr>
                <w:rFonts w:ascii="Arial" w:hAnsi="Arial" w:cs="Arial"/>
                <w:color w:val="auto"/>
                <w:szCs w:val="21"/>
                <w:highlight w:val="none"/>
              </w:rPr>
              <w:t>分）</w:t>
            </w:r>
          </w:p>
        </w:tc>
        <w:tc>
          <w:tcPr>
            <w:tcW w:w="7546" w:type="dxa"/>
            <w:vAlign w:val="center"/>
          </w:tcPr>
          <w:p w14:paraId="4EDAE4C6">
            <w:pPr>
              <w:adjustRightInd w:val="0"/>
              <w:snapToGrid w:val="0"/>
              <w:jc w:val="left"/>
              <w:rPr>
                <w:rFonts w:ascii="宋体" w:hAnsi="宋体" w:cs="宋体"/>
                <w:bCs/>
                <w:color w:val="auto"/>
                <w:szCs w:val="21"/>
                <w:highlight w:val="none"/>
              </w:rPr>
            </w:pPr>
            <w:r>
              <w:rPr>
                <w:rFonts w:ascii="宋体" w:hAnsi="宋体" w:cs="宋体"/>
                <w:bCs/>
                <w:color w:val="auto"/>
                <w:szCs w:val="21"/>
                <w:highlight w:val="none"/>
              </w:rPr>
              <w:t>根据</w:t>
            </w:r>
            <w:r>
              <w:rPr>
                <w:rFonts w:hint="eastAsia" w:ascii="仿宋" w:hAnsi="仿宋" w:cs="仿宋"/>
                <w:color w:val="auto"/>
                <w:sz w:val="21"/>
                <w:szCs w:val="21"/>
                <w:highlight w:val="none"/>
                <w:lang w:val="en-US" w:eastAsia="zh-CN"/>
              </w:rPr>
              <w:t>供应商</w:t>
            </w:r>
            <w:r>
              <w:rPr>
                <w:rFonts w:hint="eastAsia" w:ascii="宋体" w:hAnsi="宋体" w:cs="宋体"/>
                <w:bCs/>
                <w:color w:val="auto"/>
                <w:szCs w:val="21"/>
                <w:highlight w:val="none"/>
              </w:rPr>
              <w:t>对调查技术方案的技术要求、路线和方法的合理性，</w:t>
            </w:r>
            <w:r>
              <w:rPr>
                <w:rFonts w:ascii="宋体" w:hAnsi="宋体" w:cs="宋体"/>
                <w:bCs/>
                <w:color w:val="auto"/>
                <w:szCs w:val="21"/>
                <w:highlight w:val="none"/>
              </w:rPr>
              <w:t>由专家</w:t>
            </w:r>
            <w:r>
              <w:rPr>
                <w:rFonts w:hint="eastAsia" w:ascii="宋体" w:hAnsi="宋体" w:cs="宋体"/>
                <w:bCs/>
                <w:color w:val="auto"/>
                <w:szCs w:val="21"/>
                <w:highlight w:val="none"/>
                <w:lang w:val="en-US" w:eastAsia="zh-CN"/>
              </w:rPr>
              <w:t>综合</w:t>
            </w:r>
            <w:r>
              <w:rPr>
                <w:rFonts w:ascii="宋体" w:hAnsi="宋体" w:cs="宋体"/>
                <w:bCs/>
                <w:color w:val="auto"/>
                <w:szCs w:val="21"/>
                <w:highlight w:val="none"/>
              </w:rPr>
              <w:t>评分</w:t>
            </w:r>
            <w:r>
              <w:rPr>
                <w:rFonts w:hint="eastAsia" w:ascii="宋体" w:hAnsi="宋体" w:cs="宋体"/>
                <w:bCs/>
                <w:color w:val="auto"/>
                <w:szCs w:val="21"/>
                <w:highlight w:val="none"/>
              </w:rPr>
              <w:t>：</w:t>
            </w:r>
          </w:p>
          <w:p w14:paraId="681CA49D">
            <w:pPr>
              <w:pStyle w:val="11"/>
              <w:autoSpaceDE w:val="0"/>
              <w:autoSpaceDN w:val="0"/>
              <w:adjustRightInd w:val="0"/>
              <w:snapToGrid w:val="0"/>
              <w:spacing w:after="0"/>
              <w:ind w:left="0" w:leftChars="0"/>
              <w:textAlignment w:val="bottom"/>
              <w:rPr>
                <w:rFonts w:ascii="宋体" w:hAnsi="宋体" w:cs="宋体"/>
                <w:bCs/>
                <w:color w:val="auto"/>
                <w:kern w:val="2"/>
                <w:szCs w:val="21"/>
                <w:highlight w:val="none"/>
              </w:rPr>
            </w:pPr>
            <w:r>
              <w:rPr>
                <w:rFonts w:hint="eastAsia" w:ascii="宋体" w:hAnsi="宋体" w:cs="宋体"/>
                <w:bCs/>
                <w:color w:val="auto"/>
                <w:szCs w:val="21"/>
                <w:highlight w:val="none"/>
              </w:rPr>
              <w:t>（1）</w:t>
            </w:r>
            <w:r>
              <w:rPr>
                <w:rFonts w:hint="eastAsia" w:ascii="宋体" w:hAnsi="宋体" w:cs="宋体"/>
                <w:bCs/>
                <w:color w:val="auto"/>
                <w:kern w:val="2"/>
                <w:szCs w:val="21"/>
                <w:highlight w:val="none"/>
              </w:rPr>
              <w:t>对调查技术方案的技术要求、路线和方法描述准确、全面、合理的得</w:t>
            </w:r>
            <w:r>
              <w:rPr>
                <w:rFonts w:hint="eastAsia" w:ascii="宋体" w:hAnsi="宋体" w:cs="宋体"/>
                <w:bCs/>
                <w:color w:val="auto"/>
                <w:kern w:val="2"/>
                <w:szCs w:val="21"/>
                <w:highlight w:val="none"/>
                <w:lang w:val="en-US" w:eastAsia="zh-CN"/>
              </w:rPr>
              <w:t>6</w:t>
            </w:r>
            <w:r>
              <w:rPr>
                <w:rFonts w:hint="eastAsia" w:ascii="宋体" w:hAnsi="宋体" w:cs="宋体"/>
                <w:bCs/>
                <w:color w:val="auto"/>
                <w:kern w:val="2"/>
                <w:szCs w:val="21"/>
                <w:highlight w:val="none"/>
              </w:rPr>
              <w:t>分；</w:t>
            </w:r>
          </w:p>
          <w:p w14:paraId="14CDA6E0">
            <w:pPr>
              <w:adjustRightInd w:val="0"/>
              <w:snapToGrid w:val="0"/>
              <w:jc w:val="left"/>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）对调查技术方案的技术要求、路线和方法描述较为准确、相对全面、较为合理的得</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w:t>
            </w:r>
          </w:p>
          <w:p w14:paraId="1045C458">
            <w:pPr>
              <w:pStyle w:val="11"/>
              <w:autoSpaceDE w:val="0"/>
              <w:autoSpaceDN w:val="0"/>
              <w:adjustRightInd w:val="0"/>
              <w:snapToGrid w:val="0"/>
              <w:spacing w:after="0"/>
              <w:ind w:left="0" w:leftChars="0"/>
              <w:textAlignment w:val="bottom"/>
              <w:rPr>
                <w:rFonts w:ascii="宋体" w:hAnsi="宋体" w:cs="宋体"/>
                <w:bCs/>
                <w:color w:val="auto"/>
                <w:kern w:val="2"/>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w:t>
            </w:r>
            <w:r>
              <w:rPr>
                <w:rFonts w:hint="eastAsia" w:ascii="宋体" w:hAnsi="宋体" w:cs="宋体"/>
                <w:bCs/>
                <w:color w:val="auto"/>
                <w:kern w:val="2"/>
                <w:szCs w:val="21"/>
                <w:highlight w:val="none"/>
              </w:rPr>
              <w:t>对调查技术方案的技术要求、路线和方法描述不够准确、全面性不足、合理性不足的得</w:t>
            </w:r>
            <w:r>
              <w:rPr>
                <w:rFonts w:hint="eastAsia" w:ascii="宋体" w:hAnsi="宋体" w:cs="宋体"/>
                <w:bCs/>
                <w:color w:val="auto"/>
                <w:kern w:val="2"/>
                <w:szCs w:val="21"/>
                <w:highlight w:val="none"/>
                <w:lang w:val="en-US" w:eastAsia="zh-CN"/>
              </w:rPr>
              <w:t>4</w:t>
            </w:r>
            <w:r>
              <w:rPr>
                <w:rFonts w:hint="eastAsia" w:ascii="宋体" w:hAnsi="宋体" w:cs="宋体"/>
                <w:bCs/>
                <w:color w:val="auto"/>
                <w:kern w:val="2"/>
                <w:szCs w:val="21"/>
                <w:highlight w:val="none"/>
              </w:rPr>
              <w:t>分；</w:t>
            </w:r>
          </w:p>
          <w:p w14:paraId="2EFEE960">
            <w:pPr>
              <w:adjustRightInd w:val="0"/>
              <w:snapToGrid w:val="0"/>
              <w:jc w:val="left"/>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w:t>
            </w:r>
            <w:r>
              <w:rPr>
                <w:rFonts w:hint="eastAsia" w:ascii="仿宋" w:hAnsi="仿宋" w:cs="仿宋"/>
                <w:color w:val="auto"/>
                <w:sz w:val="21"/>
                <w:szCs w:val="21"/>
                <w:highlight w:val="none"/>
              </w:rPr>
              <w:t>不可行或者未提供相关内容的不得分</w:t>
            </w:r>
            <w:r>
              <w:rPr>
                <w:rFonts w:hint="eastAsia" w:ascii="宋体" w:hAnsi="宋体" w:cs="宋体"/>
                <w:bCs/>
                <w:color w:val="auto"/>
                <w:szCs w:val="21"/>
                <w:highlight w:val="none"/>
              </w:rPr>
              <w:t>。</w:t>
            </w:r>
          </w:p>
        </w:tc>
      </w:tr>
      <w:tr w14:paraId="6089E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0" w:type="auto"/>
            <w:vAlign w:val="center"/>
          </w:tcPr>
          <w:p w14:paraId="09A9B534">
            <w:pPr>
              <w:adjustRightInd w:val="0"/>
              <w:snapToGrid w:val="0"/>
              <w:jc w:val="center"/>
              <w:rPr>
                <w:rFonts w:hint="default" w:ascii="Arial" w:hAnsi="Arial" w:eastAsia="宋体" w:cs="Arial"/>
                <w:color w:val="auto"/>
                <w:kern w:val="2"/>
                <w:sz w:val="21"/>
                <w:szCs w:val="21"/>
                <w:highlight w:val="none"/>
                <w:lang w:val="en-US" w:eastAsia="zh-CN" w:bidi="ar-SA"/>
              </w:rPr>
            </w:pPr>
            <w:r>
              <w:rPr>
                <w:rFonts w:hint="eastAsia" w:ascii="Arial" w:hAnsi="Arial" w:cs="Arial"/>
                <w:color w:val="auto"/>
                <w:szCs w:val="21"/>
                <w:highlight w:val="none"/>
                <w:lang w:val="en-US" w:eastAsia="zh-CN"/>
              </w:rPr>
              <w:t>8</w:t>
            </w:r>
          </w:p>
        </w:tc>
        <w:tc>
          <w:tcPr>
            <w:tcW w:w="1784" w:type="dxa"/>
            <w:vAlign w:val="center"/>
          </w:tcPr>
          <w:p w14:paraId="2B57E9B9">
            <w:pPr>
              <w:adjustRightInd w:val="0"/>
              <w:snapToGrid w:val="0"/>
              <w:jc w:val="center"/>
              <w:rPr>
                <w:rFonts w:hint="eastAsia" w:ascii="Arial" w:hAnsi="Arial" w:eastAsia="宋体" w:cs="Arial"/>
                <w:color w:val="auto"/>
                <w:szCs w:val="21"/>
                <w:highlight w:val="none"/>
                <w:lang w:eastAsia="zh-CN"/>
              </w:rPr>
            </w:pPr>
            <w:r>
              <w:rPr>
                <w:rFonts w:hint="eastAsia" w:ascii="Arial" w:hAnsi="Arial" w:cs="Arial"/>
                <w:color w:val="auto"/>
                <w:szCs w:val="21"/>
                <w:highlight w:val="none"/>
                <w:lang w:eastAsia="zh-CN"/>
              </w:rPr>
              <w:t>低效入库地块评估分析</w:t>
            </w:r>
          </w:p>
          <w:p w14:paraId="68B93B41">
            <w:pPr>
              <w:adjustRightInd w:val="0"/>
              <w:snapToGrid w:val="0"/>
              <w:jc w:val="center"/>
              <w:rPr>
                <w:rFonts w:ascii="Arial" w:hAnsi="Arial" w:eastAsia="宋体" w:cs="Arial"/>
                <w:color w:val="auto"/>
                <w:kern w:val="2"/>
                <w:sz w:val="21"/>
                <w:szCs w:val="21"/>
                <w:highlight w:val="none"/>
                <w:lang w:val="en-US" w:eastAsia="zh-CN" w:bidi="ar-SA"/>
              </w:rPr>
            </w:pPr>
            <w:r>
              <w:rPr>
                <w:rFonts w:ascii="Arial" w:hAnsi="Arial" w:cs="Arial"/>
                <w:color w:val="auto"/>
                <w:szCs w:val="21"/>
                <w:highlight w:val="none"/>
              </w:rPr>
              <w:t>（</w:t>
            </w:r>
            <w:r>
              <w:rPr>
                <w:rFonts w:hint="eastAsia" w:ascii="Arial" w:hAnsi="Arial" w:cs="Arial"/>
                <w:color w:val="auto"/>
                <w:szCs w:val="21"/>
                <w:highlight w:val="none"/>
                <w:lang w:val="en-US" w:eastAsia="zh-CN"/>
              </w:rPr>
              <w:t>6</w:t>
            </w:r>
            <w:r>
              <w:rPr>
                <w:rFonts w:ascii="Arial" w:hAnsi="Arial" w:cs="Arial"/>
                <w:color w:val="auto"/>
                <w:szCs w:val="21"/>
                <w:highlight w:val="none"/>
              </w:rPr>
              <w:t>分）</w:t>
            </w:r>
          </w:p>
        </w:tc>
        <w:tc>
          <w:tcPr>
            <w:tcW w:w="7546" w:type="dxa"/>
            <w:vAlign w:val="center"/>
          </w:tcPr>
          <w:p w14:paraId="3716F586">
            <w:pPr>
              <w:adjustRightInd w:val="0"/>
              <w:snapToGrid w:val="0"/>
              <w:jc w:val="left"/>
              <w:rPr>
                <w:rFonts w:ascii="宋体" w:hAnsi="宋体" w:cs="宋体"/>
                <w:bCs/>
                <w:color w:val="auto"/>
                <w:szCs w:val="21"/>
                <w:highlight w:val="none"/>
              </w:rPr>
            </w:pPr>
            <w:r>
              <w:rPr>
                <w:rFonts w:ascii="宋体" w:hAnsi="宋体" w:cs="宋体"/>
                <w:bCs/>
                <w:color w:val="auto"/>
                <w:szCs w:val="21"/>
                <w:highlight w:val="none"/>
              </w:rPr>
              <w:t>根据</w:t>
            </w:r>
            <w:r>
              <w:rPr>
                <w:rFonts w:hint="eastAsia" w:ascii="仿宋" w:hAnsi="仿宋" w:cs="仿宋"/>
                <w:color w:val="auto"/>
                <w:sz w:val="21"/>
                <w:szCs w:val="21"/>
                <w:highlight w:val="none"/>
                <w:lang w:val="en-US" w:eastAsia="zh-CN"/>
              </w:rPr>
              <w:t>供应商</w:t>
            </w:r>
            <w:r>
              <w:rPr>
                <w:rFonts w:hint="eastAsia" w:ascii="宋体" w:hAnsi="宋体" w:cs="宋体"/>
                <w:bCs/>
                <w:color w:val="auto"/>
                <w:szCs w:val="21"/>
                <w:highlight w:val="none"/>
              </w:rPr>
              <w:t>对</w:t>
            </w:r>
            <w:r>
              <w:rPr>
                <w:rFonts w:hint="eastAsia" w:ascii="宋体" w:hAnsi="宋体" w:cs="宋体"/>
                <w:bCs/>
                <w:color w:val="auto"/>
                <w:szCs w:val="21"/>
                <w:highlight w:val="none"/>
                <w:lang w:eastAsia="zh-CN"/>
              </w:rPr>
              <w:t>低效用地入库地块进行评估分析的准确、全面、合理情况，</w:t>
            </w:r>
            <w:r>
              <w:rPr>
                <w:rFonts w:ascii="宋体" w:hAnsi="宋体" w:cs="宋体"/>
                <w:bCs/>
                <w:color w:val="auto"/>
                <w:szCs w:val="21"/>
                <w:highlight w:val="none"/>
              </w:rPr>
              <w:t>由专家</w:t>
            </w:r>
            <w:r>
              <w:rPr>
                <w:rFonts w:hint="eastAsia" w:ascii="宋体" w:hAnsi="宋体" w:cs="宋体"/>
                <w:bCs/>
                <w:color w:val="auto"/>
                <w:szCs w:val="21"/>
                <w:highlight w:val="none"/>
                <w:lang w:val="en-US" w:eastAsia="zh-CN"/>
              </w:rPr>
              <w:t>综合</w:t>
            </w:r>
            <w:r>
              <w:rPr>
                <w:rFonts w:ascii="宋体" w:hAnsi="宋体" w:cs="宋体"/>
                <w:bCs/>
                <w:color w:val="auto"/>
                <w:szCs w:val="21"/>
                <w:highlight w:val="none"/>
              </w:rPr>
              <w:t>评分</w:t>
            </w:r>
            <w:r>
              <w:rPr>
                <w:rFonts w:hint="eastAsia" w:ascii="宋体" w:hAnsi="宋体" w:cs="宋体"/>
                <w:bCs/>
                <w:color w:val="auto"/>
                <w:szCs w:val="21"/>
                <w:highlight w:val="none"/>
              </w:rPr>
              <w:t>：</w:t>
            </w:r>
          </w:p>
          <w:p w14:paraId="09DAC737">
            <w:pPr>
              <w:pStyle w:val="11"/>
              <w:autoSpaceDE w:val="0"/>
              <w:autoSpaceDN w:val="0"/>
              <w:adjustRightInd w:val="0"/>
              <w:snapToGrid w:val="0"/>
              <w:spacing w:after="0"/>
              <w:ind w:left="0" w:leftChars="0"/>
              <w:textAlignment w:val="bottom"/>
              <w:rPr>
                <w:rFonts w:ascii="宋体" w:hAnsi="宋体" w:cs="宋体"/>
                <w:bCs/>
                <w:color w:val="auto"/>
                <w:kern w:val="2"/>
                <w:szCs w:val="21"/>
                <w:highlight w:val="none"/>
              </w:rPr>
            </w:pPr>
            <w:r>
              <w:rPr>
                <w:rFonts w:hint="eastAsia" w:ascii="宋体" w:hAnsi="宋体" w:cs="宋体"/>
                <w:bCs/>
                <w:color w:val="auto"/>
                <w:szCs w:val="21"/>
                <w:highlight w:val="none"/>
              </w:rPr>
              <w:t>（1）</w:t>
            </w:r>
            <w:r>
              <w:rPr>
                <w:rFonts w:hint="eastAsia" w:ascii="宋体" w:hAnsi="宋体" w:cs="宋体"/>
                <w:bCs/>
                <w:color w:val="auto"/>
                <w:kern w:val="2"/>
                <w:szCs w:val="21"/>
                <w:highlight w:val="none"/>
              </w:rPr>
              <w:t>对</w:t>
            </w:r>
            <w:r>
              <w:rPr>
                <w:rFonts w:hint="eastAsia" w:ascii="宋体" w:hAnsi="宋体" w:cs="宋体"/>
                <w:bCs/>
                <w:color w:val="auto"/>
                <w:szCs w:val="21"/>
                <w:highlight w:val="none"/>
                <w:lang w:eastAsia="zh-CN"/>
              </w:rPr>
              <w:t>低效用地入库地块进行评估分析</w:t>
            </w:r>
            <w:r>
              <w:rPr>
                <w:rFonts w:hint="eastAsia" w:ascii="宋体" w:hAnsi="宋体" w:cs="宋体"/>
                <w:bCs/>
                <w:color w:val="auto"/>
                <w:kern w:val="2"/>
                <w:szCs w:val="21"/>
                <w:highlight w:val="none"/>
              </w:rPr>
              <w:t>准确、全面、合理的得</w:t>
            </w:r>
            <w:r>
              <w:rPr>
                <w:rFonts w:hint="eastAsia" w:ascii="宋体" w:hAnsi="宋体" w:cs="宋体"/>
                <w:bCs/>
                <w:color w:val="auto"/>
                <w:kern w:val="2"/>
                <w:szCs w:val="21"/>
                <w:highlight w:val="none"/>
                <w:lang w:val="en-US" w:eastAsia="zh-CN"/>
              </w:rPr>
              <w:t>6</w:t>
            </w:r>
            <w:r>
              <w:rPr>
                <w:rFonts w:hint="eastAsia" w:ascii="宋体" w:hAnsi="宋体" w:cs="宋体"/>
                <w:bCs/>
                <w:color w:val="auto"/>
                <w:kern w:val="2"/>
                <w:szCs w:val="21"/>
                <w:highlight w:val="none"/>
              </w:rPr>
              <w:t>分；</w:t>
            </w:r>
          </w:p>
          <w:p w14:paraId="675029DE">
            <w:pPr>
              <w:pStyle w:val="11"/>
              <w:autoSpaceDE w:val="0"/>
              <w:autoSpaceDN w:val="0"/>
              <w:adjustRightInd w:val="0"/>
              <w:snapToGrid w:val="0"/>
              <w:spacing w:after="0"/>
              <w:ind w:left="0" w:leftChars="0"/>
              <w:textAlignment w:val="bottom"/>
              <w:rPr>
                <w:rFonts w:ascii="宋体" w:hAnsi="宋体" w:cs="宋体"/>
                <w:bCs/>
                <w:color w:val="auto"/>
                <w:kern w:val="2"/>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w:t>
            </w:r>
            <w:r>
              <w:rPr>
                <w:rFonts w:hint="eastAsia" w:ascii="宋体" w:hAnsi="宋体" w:cs="宋体"/>
                <w:bCs/>
                <w:color w:val="auto"/>
                <w:kern w:val="2"/>
                <w:szCs w:val="21"/>
                <w:highlight w:val="none"/>
              </w:rPr>
              <w:t>对</w:t>
            </w:r>
            <w:r>
              <w:rPr>
                <w:rFonts w:hint="eastAsia" w:ascii="宋体" w:hAnsi="宋体" w:cs="宋体"/>
                <w:bCs/>
                <w:color w:val="auto"/>
                <w:szCs w:val="21"/>
                <w:highlight w:val="none"/>
                <w:lang w:eastAsia="zh-CN"/>
              </w:rPr>
              <w:t>低效用地入库地块进行评估分析</w:t>
            </w:r>
            <w:r>
              <w:rPr>
                <w:rFonts w:hint="eastAsia" w:ascii="宋体" w:hAnsi="宋体" w:cs="宋体"/>
                <w:bCs/>
                <w:color w:val="auto"/>
                <w:kern w:val="2"/>
                <w:szCs w:val="21"/>
                <w:highlight w:val="none"/>
              </w:rPr>
              <w:t>较为准确、相对全面、较为合理的得</w:t>
            </w:r>
            <w:r>
              <w:rPr>
                <w:rFonts w:hint="eastAsia" w:ascii="宋体" w:hAnsi="宋体" w:cs="宋体"/>
                <w:bCs/>
                <w:color w:val="auto"/>
                <w:kern w:val="2"/>
                <w:szCs w:val="21"/>
                <w:highlight w:val="none"/>
                <w:lang w:val="en-US" w:eastAsia="zh-CN"/>
              </w:rPr>
              <w:t>5</w:t>
            </w:r>
            <w:r>
              <w:rPr>
                <w:rFonts w:hint="eastAsia" w:ascii="宋体" w:hAnsi="宋体" w:cs="宋体"/>
                <w:bCs/>
                <w:color w:val="auto"/>
                <w:kern w:val="2"/>
                <w:szCs w:val="21"/>
                <w:highlight w:val="none"/>
              </w:rPr>
              <w:t>分；</w:t>
            </w:r>
          </w:p>
          <w:p w14:paraId="3A0C1E43">
            <w:pPr>
              <w:pStyle w:val="11"/>
              <w:autoSpaceDE w:val="0"/>
              <w:autoSpaceDN w:val="0"/>
              <w:adjustRightInd w:val="0"/>
              <w:snapToGrid w:val="0"/>
              <w:spacing w:after="0"/>
              <w:ind w:left="0" w:leftChars="0"/>
              <w:textAlignment w:val="bottom"/>
              <w:rPr>
                <w:rFonts w:ascii="宋体" w:hAnsi="宋体" w:cs="宋体"/>
                <w:bCs/>
                <w:color w:val="auto"/>
                <w:kern w:val="2"/>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w:t>
            </w:r>
            <w:r>
              <w:rPr>
                <w:rFonts w:hint="eastAsia" w:ascii="宋体" w:hAnsi="宋体" w:cs="宋体"/>
                <w:bCs/>
                <w:color w:val="auto"/>
                <w:kern w:val="2"/>
                <w:szCs w:val="21"/>
                <w:highlight w:val="none"/>
              </w:rPr>
              <w:t>对</w:t>
            </w:r>
            <w:r>
              <w:rPr>
                <w:rFonts w:hint="eastAsia" w:ascii="宋体" w:hAnsi="宋体" w:cs="宋体"/>
                <w:bCs/>
                <w:color w:val="auto"/>
                <w:szCs w:val="21"/>
                <w:highlight w:val="none"/>
                <w:lang w:eastAsia="zh-CN"/>
              </w:rPr>
              <w:t>低效用地入库地块进行评估分析</w:t>
            </w:r>
            <w:r>
              <w:rPr>
                <w:rFonts w:hint="eastAsia" w:ascii="宋体" w:hAnsi="宋体" w:cs="宋体"/>
                <w:bCs/>
                <w:color w:val="auto"/>
                <w:kern w:val="2"/>
                <w:szCs w:val="21"/>
                <w:highlight w:val="none"/>
              </w:rPr>
              <w:t>不够准确、全面性不足、合理性不足的得</w:t>
            </w:r>
            <w:r>
              <w:rPr>
                <w:rFonts w:hint="eastAsia" w:ascii="宋体" w:hAnsi="宋体" w:cs="宋体"/>
                <w:bCs/>
                <w:color w:val="auto"/>
                <w:kern w:val="2"/>
                <w:szCs w:val="21"/>
                <w:highlight w:val="none"/>
                <w:lang w:val="en-US" w:eastAsia="zh-CN"/>
              </w:rPr>
              <w:t>4</w:t>
            </w:r>
            <w:r>
              <w:rPr>
                <w:rFonts w:hint="eastAsia" w:ascii="宋体" w:hAnsi="宋体" w:cs="宋体"/>
                <w:bCs/>
                <w:color w:val="auto"/>
                <w:kern w:val="2"/>
                <w:szCs w:val="21"/>
                <w:highlight w:val="none"/>
              </w:rPr>
              <w:t>分；</w:t>
            </w:r>
          </w:p>
          <w:p w14:paraId="2B4567DA">
            <w:pPr>
              <w:adjustRightInd w:val="0"/>
              <w:snapToGrid w:val="0"/>
              <w:jc w:val="left"/>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w:t>
            </w:r>
            <w:r>
              <w:rPr>
                <w:rFonts w:hint="eastAsia" w:ascii="仿宋" w:hAnsi="仿宋" w:cs="仿宋"/>
                <w:color w:val="auto"/>
                <w:sz w:val="21"/>
                <w:szCs w:val="21"/>
                <w:highlight w:val="none"/>
              </w:rPr>
              <w:t>不可行或者未提供相关内容的不得分</w:t>
            </w:r>
            <w:r>
              <w:rPr>
                <w:rFonts w:hint="eastAsia" w:ascii="宋体" w:hAnsi="宋体" w:cs="宋体"/>
                <w:bCs/>
                <w:color w:val="auto"/>
                <w:szCs w:val="21"/>
                <w:highlight w:val="none"/>
              </w:rPr>
              <w:t>。</w:t>
            </w:r>
          </w:p>
        </w:tc>
      </w:tr>
      <w:tr w14:paraId="2CAAB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jc w:val="center"/>
        </w:trPr>
        <w:tc>
          <w:tcPr>
            <w:tcW w:w="881" w:type="dxa"/>
            <w:vAlign w:val="center"/>
          </w:tcPr>
          <w:p w14:paraId="083F8994">
            <w:pPr>
              <w:adjustRightInd w:val="0"/>
              <w:snapToGrid w:val="0"/>
              <w:jc w:val="center"/>
              <w:rPr>
                <w:rFonts w:hint="default" w:ascii="Arial" w:hAnsi="Arial" w:cs="Arial"/>
                <w:color w:val="auto"/>
                <w:szCs w:val="21"/>
                <w:highlight w:val="none"/>
                <w:lang w:val="en-US" w:eastAsia="zh-CN"/>
              </w:rPr>
            </w:pPr>
            <w:r>
              <w:rPr>
                <w:rFonts w:hint="eastAsia" w:ascii="Arial" w:hAnsi="Arial" w:cs="Arial"/>
                <w:color w:val="auto"/>
                <w:sz w:val="21"/>
                <w:szCs w:val="21"/>
                <w:highlight w:val="none"/>
                <w:lang w:val="en-US" w:eastAsia="zh-CN"/>
              </w:rPr>
              <w:t>9</w:t>
            </w:r>
          </w:p>
        </w:tc>
        <w:tc>
          <w:tcPr>
            <w:tcW w:w="1784" w:type="dxa"/>
            <w:vAlign w:val="center"/>
          </w:tcPr>
          <w:p w14:paraId="4A91CB4D">
            <w:pPr>
              <w:adjustRightInd w:val="0"/>
              <w:snapToGrid w:val="0"/>
              <w:jc w:val="center"/>
              <w:rPr>
                <w:rFonts w:ascii="Arial" w:hAnsi="Arial" w:cs="Arial"/>
                <w:color w:val="auto"/>
                <w:szCs w:val="21"/>
                <w:highlight w:val="none"/>
              </w:rPr>
            </w:pPr>
            <w:r>
              <w:rPr>
                <w:rFonts w:hint="default" w:ascii="Arial" w:hAnsi="Arial" w:eastAsia="宋体" w:cs="Arial"/>
                <w:color w:val="auto"/>
                <w:sz w:val="21"/>
                <w:szCs w:val="21"/>
                <w:highlight w:val="none"/>
                <w:lang w:eastAsia="zh-CN"/>
              </w:rPr>
              <w:t>工作安排（</w:t>
            </w:r>
            <w:r>
              <w:rPr>
                <w:rFonts w:hint="eastAsia" w:ascii="Arial" w:hAnsi="Arial" w:eastAsia="宋体" w:cs="Arial"/>
                <w:color w:val="auto"/>
                <w:sz w:val="21"/>
                <w:szCs w:val="21"/>
                <w:highlight w:val="none"/>
                <w:lang w:val="en-US" w:eastAsia="zh-CN"/>
              </w:rPr>
              <w:t>6</w:t>
            </w:r>
            <w:r>
              <w:rPr>
                <w:rFonts w:hint="default" w:ascii="Arial" w:hAnsi="Arial" w:eastAsia="宋体" w:cs="Arial"/>
                <w:color w:val="auto"/>
                <w:sz w:val="21"/>
                <w:szCs w:val="21"/>
                <w:highlight w:val="none"/>
                <w:lang w:val="en-US" w:eastAsia="zh-CN"/>
              </w:rPr>
              <w:t>分</w:t>
            </w:r>
            <w:r>
              <w:rPr>
                <w:rFonts w:hint="default" w:ascii="Arial" w:hAnsi="Arial" w:eastAsia="宋体" w:cs="Arial"/>
                <w:color w:val="auto"/>
                <w:sz w:val="21"/>
                <w:szCs w:val="21"/>
                <w:highlight w:val="none"/>
                <w:lang w:eastAsia="zh-CN"/>
              </w:rPr>
              <w:t>）</w:t>
            </w:r>
          </w:p>
        </w:tc>
        <w:tc>
          <w:tcPr>
            <w:tcW w:w="7546" w:type="dxa"/>
            <w:vAlign w:val="center"/>
          </w:tcPr>
          <w:p w14:paraId="7EE68DCF">
            <w:pPr>
              <w:adjustRightInd w:val="0"/>
              <w:snapToGrid w:val="0"/>
              <w:jc w:val="left"/>
              <w:rPr>
                <w:rFonts w:ascii="宋体" w:hAnsi="宋体" w:cs="宋体"/>
                <w:bCs/>
                <w:color w:val="auto"/>
                <w:szCs w:val="21"/>
                <w:highlight w:val="none"/>
              </w:rPr>
            </w:pPr>
            <w:r>
              <w:rPr>
                <w:rFonts w:ascii="宋体" w:hAnsi="宋体" w:cs="宋体"/>
                <w:bCs/>
                <w:color w:val="auto"/>
                <w:szCs w:val="21"/>
                <w:highlight w:val="none"/>
              </w:rPr>
              <w:t>根据</w:t>
            </w:r>
            <w:r>
              <w:rPr>
                <w:rFonts w:hint="eastAsia" w:ascii="仿宋" w:hAnsi="仿宋" w:cs="仿宋"/>
                <w:color w:val="auto"/>
                <w:sz w:val="21"/>
                <w:szCs w:val="21"/>
                <w:highlight w:val="none"/>
                <w:lang w:val="en-US" w:eastAsia="zh-CN"/>
              </w:rPr>
              <w:t>供应商</w:t>
            </w:r>
            <w:r>
              <w:rPr>
                <w:rFonts w:ascii="宋体" w:hAnsi="宋体" w:cs="宋体"/>
                <w:bCs/>
                <w:color w:val="auto"/>
                <w:szCs w:val="21"/>
                <w:highlight w:val="none"/>
              </w:rPr>
              <w:t>制定的工作进度安排情况的高效性</w:t>
            </w:r>
            <w:r>
              <w:rPr>
                <w:rFonts w:hint="eastAsia" w:ascii="宋体" w:hAnsi="宋体" w:cs="宋体"/>
                <w:bCs/>
                <w:color w:val="auto"/>
                <w:szCs w:val="21"/>
                <w:highlight w:val="none"/>
              </w:rPr>
              <w:t>及合理性</w:t>
            </w:r>
            <w:r>
              <w:rPr>
                <w:rFonts w:ascii="宋体" w:hAnsi="宋体" w:cs="宋体"/>
                <w:bCs/>
                <w:color w:val="auto"/>
                <w:szCs w:val="21"/>
                <w:highlight w:val="none"/>
              </w:rPr>
              <w:t>，由专家</w:t>
            </w:r>
            <w:r>
              <w:rPr>
                <w:rFonts w:hint="eastAsia" w:ascii="宋体" w:hAnsi="宋体" w:cs="宋体"/>
                <w:bCs/>
                <w:color w:val="auto"/>
                <w:szCs w:val="21"/>
                <w:highlight w:val="none"/>
                <w:lang w:val="en-US" w:eastAsia="zh-CN"/>
              </w:rPr>
              <w:t>综合</w:t>
            </w:r>
            <w:r>
              <w:rPr>
                <w:rFonts w:ascii="宋体" w:hAnsi="宋体" w:cs="宋体"/>
                <w:bCs/>
                <w:color w:val="auto"/>
                <w:szCs w:val="21"/>
                <w:highlight w:val="none"/>
              </w:rPr>
              <w:t>评分</w:t>
            </w:r>
            <w:r>
              <w:rPr>
                <w:rFonts w:hint="eastAsia" w:ascii="宋体" w:hAnsi="宋体" w:cs="宋体"/>
                <w:bCs/>
                <w:color w:val="auto"/>
                <w:szCs w:val="21"/>
                <w:highlight w:val="none"/>
              </w:rPr>
              <w:t>：</w:t>
            </w:r>
          </w:p>
          <w:p w14:paraId="5D76183B">
            <w:pPr>
              <w:pStyle w:val="11"/>
              <w:autoSpaceDE w:val="0"/>
              <w:autoSpaceDN w:val="0"/>
              <w:adjustRightInd w:val="0"/>
              <w:snapToGrid w:val="0"/>
              <w:spacing w:after="0"/>
              <w:ind w:left="0" w:leftChars="0"/>
              <w:textAlignment w:val="bottom"/>
              <w:rPr>
                <w:rFonts w:ascii="宋体" w:hAnsi="宋体" w:cs="宋体"/>
                <w:bCs/>
                <w:color w:val="auto"/>
                <w:kern w:val="2"/>
                <w:szCs w:val="21"/>
                <w:highlight w:val="none"/>
              </w:rPr>
            </w:pPr>
            <w:r>
              <w:rPr>
                <w:rFonts w:hint="eastAsia" w:ascii="宋体" w:hAnsi="宋体" w:cs="宋体"/>
                <w:bCs/>
                <w:color w:val="auto"/>
                <w:szCs w:val="21"/>
                <w:highlight w:val="none"/>
              </w:rPr>
              <w:t>（1）</w:t>
            </w:r>
            <w:r>
              <w:rPr>
                <w:rFonts w:hint="eastAsia" w:ascii="宋体" w:hAnsi="宋体" w:cs="宋体"/>
                <w:bCs/>
                <w:color w:val="auto"/>
                <w:kern w:val="2"/>
                <w:szCs w:val="21"/>
                <w:highlight w:val="none"/>
              </w:rPr>
              <w:t>对</w:t>
            </w:r>
            <w:r>
              <w:rPr>
                <w:rFonts w:ascii="宋体" w:hAnsi="宋体" w:cs="宋体"/>
                <w:bCs/>
                <w:color w:val="auto"/>
                <w:kern w:val="2"/>
                <w:szCs w:val="21"/>
                <w:highlight w:val="none"/>
              </w:rPr>
              <w:t>制定的工作进度安排措施</w:t>
            </w:r>
            <w:r>
              <w:rPr>
                <w:rFonts w:hint="eastAsia" w:ascii="宋体" w:hAnsi="宋体" w:cs="宋体"/>
                <w:bCs/>
                <w:color w:val="auto"/>
                <w:kern w:val="2"/>
                <w:szCs w:val="21"/>
                <w:highlight w:val="none"/>
              </w:rPr>
              <w:t>描述清晰、准确、完整，措施高效合理的得</w:t>
            </w:r>
            <w:r>
              <w:rPr>
                <w:rFonts w:hint="eastAsia" w:ascii="宋体" w:hAnsi="宋体" w:cs="宋体"/>
                <w:bCs/>
                <w:color w:val="auto"/>
                <w:kern w:val="2"/>
                <w:szCs w:val="21"/>
                <w:highlight w:val="none"/>
                <w:lang w:val="en-US" w:eastAsia="zh-CN"/>
              </w:rPr>
              <w:t>6</w:t>
            </w:r>
            <w:r>
              <w:rPr>
                <w:rFonts w:hint="eastAsia" w:ascii="宋体" w:hAnsi="宋体" w:cs="宋体"/>
                <w:bCs/>
                <w:color w:val="auto"/>
                <w:kern w:val="2"/>
                <w:szCs w:val="21"/>
                <w:highlight w:val="none"/>
              </w:rPr>
              <w:t>分；</w:t>
            </w:r>
          </w:p>
          <w:p w14:paraId="3D15B26E">
            <w:pPr>
              <w:pStyle w:val="11"/>
              <w:autoSpaceDE w:val="0"/>
              <w:autoSpaceDN w:val="0"/>
              <w:adjustRightInd w:val="0"/>
              <w:snapToGrid w:val="0"/>
              <w:spacing w:after="0"/>
              <w:ind w:left="0" w:leftChars="0"/>
              <w:textAlignment w:val="bottom"/>
              <w:rPr>
                <w:rFonts w:ascii="宋体" w:hAnsi="宋体" w:cs="宋体"/>
                <w:bCs/>
                <w:color w:val="auto"/>
                <w:kern w:val="2"/>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w:t>
            </w:r>
            <w:r>
              <w:rPr>
                <w:rFonts w:hint="eastAsia" w:ascii="宋体" w:hAnsi="宋体" w:cs="宋体"/>
                <w:bCs/>
                <w:color w:val="auto"/>
                <w:kern w:val="2"/>
                <w:szCs w:val="21"/>
                <w:highlight w:val="none"/>
              </w:rPr>
              <w:t>对</w:t>
            </w:r>
            <w:r>
              <w:rPr>
                <w:rFonts w:ascii="宋体" w:hAnsi="宋体" w:cs="宋体"/>
                <w:bCs/>
                <w:color w:val="auto"/>
                <w:kern w:val="2"/>
                <w:szCs w:val="21"/>
                <w:highlight w:val="none"/>
              </w:rPr>
              <w:t>制定的工作进度安排措施</w:t>
            </w:r>
            <w:r>
              <w:rPr>
                <w:rFonts w:hint="eastAsia" w:ascii="宋体" w:hAnsi="宋体" w:cs="宋体"/>
                <w:bCs/>
                <w:color w:val="auto"/>
                <w:kern w:val="2"/>
                <w:szCs w:val="21"/>
                <w:highlight w:val="none"/>
              </w:rPr>
              <w:t>描述相对清晰、基本准确、较为完整，措施相对高效，具有一定的合理性的得</w:t>
            </w:r>
            <w:r>
              <w:rPr>
                <w:rFonts w:hint="eastAsia" w:ascii="宋体" w:hAnsi="宋体" w:cs="宋体"/>
                <w:bCs/>
                <w:color w:val="auto"/>
                <w:kern w:val="2"/>
                <w:szCs w:val="21"/>
                <w:highlight w:val="none"/>
                <w:lang w:val="en-US" w:eastAsia="zh-CN"/>
              </w:rPr>
              <w:t>5</w:t>
            </w:r>
            <w:r>
              <w:rPr>
                <w:rFonts w:hint="eastAsia" w:ascii="宋体" w:hAnsi="宋体" w:cs="宋体"/>
                <w:bCs/>
                <w:color w:val="auto"/>
                <w:kern w:val="2"/>
                <w:szCs w:val="21"/>
                <w:highlight w:val="none"/>
              </w:rPr>
              <w:t>分；</w:t>
            </w:r>
          </w:p>
          <w:p w14:paraId="3143ACF1">
            <w:pPr>
              <w:pStyle w:val="11"/>
              <w:autoSpaceDE w:val="0"/>
              <w:autoSpaceDN w:val="0"/>
              <w:adjustRightInd w:val="0"/>
              <w:snapToGrid w:val="0"/>
              <w:spacing w:after="0"/>
              <w:ind w:left="0" w:leftChars="0"/>
              <w:textAlignment w:val="bottom"/>
              <w:rPr>
                <w:rFonts w:ascii="宋体" w:hAnsi="宋体" w:cs="宋体"/>
                <w:bCs/>
                <w:color w:val="auto"/>
                <w:kern w:val="2"/>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w:t>
            </w:r>
            <w:r>
              <w:rPr>
                <w:rFonts w:hint="eastAsia" w:ascii="宋体" w:hAnsi="宋体" w:cs="宋体"/>
                <w:bCs/>
                <w:color w:val="auto"/>
                <w:kern w:val="2"/>
                <w:szCs w:val="21"/>
                <w:highlight w:val="none"/>
              </w:rPr>
              <w:t>对</w:t>
            </w:r>
            <w:r>
              <w:rPr>
                <w:rFonts w:ascii="宋体" w:hAnsi="宋体" w:cs="宋体"/>
                <w:bCs/>
                <w:color w:val="auto"/>
                <w:kern w:val="2"/>
                <w:szCs w:val="21"/>
                <w:highlight w:val="none"/>
              </w:rPr>
              <w:t>制定的工作进度安排措施</w:t>
            </w:r>
            <w:r>
              <w:rPr>
                <w:rFonts w:hint="eastAsia" w:ascii="宋体" w:hAnsi="宋体" w:cs="宋体"/>
                <w:bCs/>
                <w:color w:val="auto"/>
                <w:kern w:val="2"/>
                <w:szCs w:val="21"/>
                <w:highlight w:val="none"/>
              </w:rPr>
              <w:t>描述基本清晰、基本准确、完整性一般，措施相对简单，效率一般，合理性较差，项目的顺利实施存在一定的风险的得</w:t>
            </w:r>
            <w:r>
              <w:rPr>
                <w:rFonts w:hint="eastAsia" w:ascii="宋体" w:hAnsi="宋体" w:cs="宋体"/>
                <w:bCs/>
                <w:color w:val="auto"/>
                <w:kern w:val="2"/>
                <w:szCs w:val="21"/>
                <w:highlight w:val="none"/>
                <w:lang w:val="en-US" w:eastAsia="zh-CN"/>
              </w:rPr>
              <w:t>4</w:t>
            </w:r>
            <w:r>
              <w:rPr>
                <w:rFonts w:hint="eastAsia" w:ascii="宋体" w:hAnsi="宋体" w:cs="宋体"/>
                <w:bCs/>
                <w:color w:val="auto"/>
                <w:kern w:val="2"/>
                <w:szCs w:val="21"/>
                <w:highlight w:val="none"/>
              </w:rPr>
              <w:t>分；</w:t>
            </w:r>
          </w:p>
          <w:p w14:paraId="63189D4C">
            <w:pPr>
              <w:adjustRightInd w:val="0"/>
              <w:snapToGrid w:val="0"/>
              <w:jc w:val="left"/>
              <w:rPr>
                <w:rFonts w:hint="eastAsia"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w:t>
            </w:r>
            <w:r>
              <w:rPr>
                <w:rFonts w:hint="eastAsia" w:ascii="仿宋" w:hAnsi="仿宋" w:cs="仿宋"/>
                <w:color w:val="auto"/>
                <w:sz w:val="21"/>
                <w:szCs w:val="21"/>
                <w:highlight w:val="none"/>
              </w:rPr>
              <w:t>不可行或者未提供相关内容的不得分</w:t>
            </w:r>
            <w:r>
              <w:rPr>
                <w:rFonts w:hint="eastAsia" w:ascii="宋体" w:hAnsi="宋体" w:cs="宋体"/>
                <w:bCs/>
                <w:color w:val="auto"/>
                <w:szCs w:val="21"/>
                <w:highlight w:val="none"/>
              </w:rPr>
              <w:t>。</w:t>
            </w:r>
          </w:p>
        </w:tc>
      </w:tr>
      <w:tr w14:paraId="1483A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0" w:type="auto"/>
            <w:vAlign w:val="center"/>
          </w:tcPr>
          <w:p w14:paraId="4F6CD645">
            <w:pPr>
              <w:adjustRightInd w:val="0"/>
              <w:snapToGrid w:val="0"/>
              <w:jc w:val="center"/>
              <w:rPr>
                <w:rFonts w:hint="default" w:ascii="Arial" w:hAnsi="Arial" w:eastAsia="宋体" w:cs="Arial"/>
                <w:color w:val="auto"/>
                <w:kern w:val="2"/>
                <w:sz w:val="21"/>
                <w:szCs w:val="21"/>
                <w:highlight w:val="none"/>
                <w:lang w:val="en-US" w:eastAsia="zh-CN" w:bidi="ar-SA"/>
              </w:rPr>
            </w:pPr>
            <w:r>
              <w:rPr>
                <w:rFonts w:hint="eastAsia" w:ascii="Arial" w:hAnsi="Arial" w:cs="Arial"/>
                <w:color w:val="auto"/>
                <w:szCs w:val="21"/>
                <w:highlight w:val="none"/>
                <w:lang w:val="en-US" w:eastAsia="zh-CN"/>
              </w:rPr>
              <w:t>10</w:t>
            </w:r>
          </w:p>
        </w:tc>
        <w:tc>
          <w:tcPr>
            <w:tcW w:w="1784" w:type="dxa"/>
            <w:vAlign w:val="center"/>
          </w:tcPr>
          <w:p w14:paraId="7B59E5F6">
            <w:pPr>
              <w:adjustRightInd w:val="0"/>
              <w:snapToGrid w:val="0"/>
              <w:jc w:val="center"/>
              <w:rPr>
                <w:rFonts w:ascii="Arial" w:hAnsi="Arial" w:cs="Arial"/>
                <w:color w:val="auto"/>
                <w:szCs w:val="21"/>
                <w:highlight w:val="none"/>
              </w:rPr>
            </w:pPr>
            <w:r>
              <w:rPr>
                <w:rFonts w:ascii="Arial" w:hAnsi="Arial" w:cs="Arial"/>
                <w:color w:val="auto"/>
                <w:szCs w:val="21"/>
                <w:highlight w:val="none"/>
              </w:rPr>
              <w:t>保障措施</w:t>
            </w:r>
          </w:p>
          <w:p w14:paraId="34C2C8EE">
            <w:pPr>
              <w:adjustRightInd w:val="0"/>
              <w:snapToGrid w:val="0"/>
              <w:jc w:val="center"/>
              <w:rPr>
                <w:rFonts w:ascii="Arial" w:hAnsi="Arial" w:eastAsia="宋体" w:cs="Arial"/>
                <w:color w:val="auto"/>
                <w:kern w:val="2"/>
                <w:sz w:val="21"/>
                <w:szCs w:val="21"/>
                <w:highlight w:val="none"/>
                <w:lang w:val="en-US" w:eastAsia="zh-CN" w:bidi="ar-SA"/>
              </w:rPr>
            </w:pPr>
            <w:r>
              <w:rPr>
                <w:rFonts w:ascii="Arial" w:hAnsi="Arial" w:cs="Arial"/>
                <w:color w:val="auto"/>
                <w:szCs w:val="21"/>
                <w:highlight w:val="none"/>
              </w:rPr>
              <w:t>（</w:t>
            </w:r>
            <w:r>
              <w:rPr>
                <w:rFonts w:hint="eastAsia" w:ascii="Arial" w:hAnsi="Arial" w:cs="Arial"/>
                <w:color w:val="auto"/>
                <w:szCs w:val="21"/>
                <w:highlight w:val="none"/>
                <w:lang w:val="en-US" w:eastAsia="zh-CN"/>
              </w:rPr>
              <w:t>6</w:t>
            </w:r>
            <w:r>
              <w:rPr>
                <w:rFonts w:ascii="Arial" w:hAnsi="Arial" w:cs="Arial"/>
                <w:color w:val="auto"/>
                <w:szCs w:val="21"/>
                <w:highlight w:val="none"/>
              </w:rPr>
              <w:t>分）</w:t>
            </w:r>
          </w:p>
        </w:tc>
        <w:tc>
          <w:tcPr>
            <w:tcW w:w="7546" w:type="dxa"/>
            <w:vAlign w:val="center"/>
          </w:tcPr>
          <w:p w14:paraId="1B02D8E2">
            <w:pPr>
              <w:adjustRightInd w:val="0"/>
              <w:snapToGrid w:val="0"/>
              <w:jc w:val="left"/>
              <w:rPr>
                <w:rFonts w:ascii="宋体" w:hAnsi="宋体" w:cs="宋体"/>
                <w:bCs/>
                <w:color w:val="auto"/>
                <w:szCs w:val="21"/>
                <w:highlight w:val="none"/>
              </w:rPr>
            </w:pPr>
            <w:r>
              <w:rPr>
                <w:rFonts w:ascii="宋体" w:hAnsi="宋体" w:cs="宋体"/>
                <w:bCs/>
                <w:color w:val="auto"/>
                <w:szCs w:val="21"/>
                <w:highlight w:val="none"/>
              </w:rPr>
              <w:t>根据</w:t>
            </w:r>
            <w:r>
              <w:rPr>
                <w:rFonts w:hint="eastAsia" w:ascii="仿宋" w:hAnsi="仿宋" w:cs="仿宋"/>
                <w:color w:val="auto"/>
                <w:sz w:val="21"/>
                <w:szCs w:val="21"/>
                <w:highlight w:val="none"/>
                <w:lang w:val="en-US" w:eastAsia="zh-CN"/>
              </w:rPr>
              <w:t>供应商</w:t>
            </w:r>
            <w:r>
              <w:rPr>
                <w:rFonts w:ascii="宋体" w:hAnsi="宋体" w:cs="宋体"/>
                <w:bCs/>
                <w:color w:val="auto"/>
                <w:szCs w:val="21"/>
                <w:highlight w:val="none"/>
              </w:rPr>
              <w:t>提供的本项目在实施过程、成果管理等方面</w:t>
            </w:r>
            <w:r>
              <w:rPr>
                <w:rFonts w:hint="eastAsia" w:ascii="宋体" w:hAnsi="宋体" w:cs="宋体"/>
                <w:bCs/>
                <w:color w:val="auto"/>
                <w:szCs w:val="21"/>
                <w:highlight w:val="none"/>
                <w:lang w:eastAsia="zh-CN"/>
              </w:rPr>
              <w:t>提供</w:t>
            </w:r>
            <w:r>
              <w:rPr>
                <w:rFonts w:ascii="宋体" w:hAnsi="宋体" w:cs="宋体"/>
                <w:bCs/>
                <w:color w:val="auto"/>
                <w:szCs w:val="21"/>
                <w:highlight w:val="none"/>
              </w:rPr>
              <w:t>保障措施的完善性</w:t>
            </w:r>
            <w:r>
              <w:rPr>
                <w:rFonts w:hint="eastAsia" w:ascii="宋体" w:hAnsi="宋体" w:cs="宋体"/>
                <w:bCs/>
                <w:color w:val="auto"/>
                <w:szCs w:val="21"/>
                <w:highlight w:val="none"/>
              </w:rPr>
              <w:t>及合理性</w:t>
            </w:r>
            <w:r>
              <w:rPr>
                <w:rFonts w:ascii="宋体" w:hAnsi="宋体" w:cs="宋体"/>
                <w:bCs/>
                <w:color w:val="auto"/>
                <w:szCs w:val="21"/>
                <w:highlight w:val="none"/>
              </w:rPr>
              <w:t>，由专家</w:t>
            </w:r>
            <w:r>
              <w:rPr>
                <w:rFonts w:hint="eastAsia" w:ascii="宋体" w:hAnsi="宋体" w:cs="宋体"/>
                <w:bCs/>
                <w:color w:val="auto"/>
                <w:szCs w:val="21"/>
                <w:highlight w:val="none"/>
                <w:lang w:val="en-US" w:eastAsia="zh-CN"/>
              </w:rPr>
              <w:t>综合</w:t>
            </w:r>
            <w:r>
              <w:rPr>
                <w:rFonts w:ascii="宋体" w:hAnsi="宋体" w:cs="宋体"/>
                <w:bCs/>
                <w:color w:val="auto"/>
                <w:szCs w:val="21"/>
                <w:highlight w:val="none"/>
              </w:rPr>
              <w:t>评分</w:t>
            </w:r>
            <w:r>
              <w:rPr>
                <w:rFonts w:hint="eastAsia" w:ascii="宋体" w:hAnsi="宋体" w:cs="宋体"/>
                <w:bCs/>
                <w:color w:val="auto"/>
                <w:szCs w:val="21"/>
                <w:highlight w:val="none"/>
              </w:rPr>
              <w:t>：</w:t>
            </w:r>
          </w:p>
          <w:p w14:paraId="7D36D670">
            <w:pPr>
              <w:pStyle w:val="11"/>
              <w:autoSpaceDE w:val="0"/>
              <w:autoSpaceDN w:val="0"/>
              <w:adjustRightInd w:val="0"/>
              <w:snapToGrid w:val="0"/>
              <w:spacing w:after="0"/>
              <w:ind w:left="0" w:leftChars="0"/>
              <w:textAlignment w:val="bottom"/>
              <w:rPr>
                <w:rFonts w:ascii="宋体" w:hAnsi="宋体" w:cs="宋体"/>
                <w:bCs/>
                <w:color w:val="auto"/>
                <w:kern w:val="2"/>
                <w:szCs w:val="21"/>
                <w:highlight w:val="none"/>
              </w:rPr>
            </w:pPr>
            <w:r>
              <w:rPr>
                <w:rFonts w:hint="eastAsia" w:ascii="宋体" w:hAnsi="宋体" w:cs="宋体"/>
                <w:bCs/>
                <w:color w:val="auto"/>
                <w:szCs w:val="21"/>
                <w:highlight w:val="none"/>
              </w:rPr>
              <w:t>（1）</w:t>
            </w:r>
            <w:r>
              <w:rPr>
                <w:rFonts w:hint="eastAsia" w:ascii="宋体" w:hAnsi="宋体" w:cs="宋体"/>
                <w:bCs/>
                <w:color w:val="auto"/>
                <w:kern w:val="2"/>
                <w:szCs w:val="21"/>
                <w:highlight w:val="none"/>
              </w:rPr>
              <w:t>对</w:t>
            </w:r>
            <w:r>
              <w:rPr>
                <w:rFonts w:ascii="宋体" w:hAnsi="宋体" w:cs="宋体"/>
                <w:bCs/>
                <w:color w:val="auto"/>
                <w:kern w:val="2"/>
                <w:szCs w:val="21"/>
                <w:highlight w:val="none"/>
              </w:rPr>
              <w:t>项目实施过程、成果管理等方面的质量保障措施</w:t>
            </w:r>
            <w:r>
              <w:rPr>
                <w:rFonts w:hint="eastAsia" w:ascii="宋体" w:hAnsi="宋体" w:cs="宋体"/>
                <w:bCs/>
                <w:color w:val="auto"/>
                <w:kern w:val="2"/>
                <w:szCs w:val="21"/>
                <w:highlight w:val="none"/>
              </w:rPr>
              <w:t>描述清晰、准确、完整，措施完善合理的得</w:t>
            </w:r>
            <w:r>
              <w:rPr>
                <w:rFonts w:hint="eastAsia" w:ascii="宋体" w:hAnsi="宋体" w:cs="宋体"/>
                <w:bCs/>
                <w:color w:val="auto"/>
                <w:kern w:val="2"/>
                <w:szCs w:val="21"/>
                <w:highlight w:val="none"/>
                <w:lang w:val="en-US" w:eastAsia="zh-CN"/>
              </w:rPr>
              <w:t>6</w:t>
            </w:r>
            <w:r>
              <w:rPr>
                <w:rFonts w:hint="eastAsia" w:ascii="宋体" w:hAnsi="宋体" w:cs="宋体"/>
                <w:bCs/>
                <w:color w:val="auto"/>
                <w:kern w:val="2"/>
                <w:szCs w:val="21"/>
                <w:highlight w:val="none"/>
              </w:rPr>
              <w:t>分；</w:t>
            </w:r>
          </w:p>
          <w:p w14:paraId="08E6ACE5">
            <w:pPr>
              <w:pStyle w:val="11"/>
              <w:autoSpaceDE w:val="0"/>
              <w:autoSpaceDN w:val="0"/>
              <w:adjustRightInd w:val="0"/>
              <w:snapToGrid w:val="0"/>
              <w:spacing w:after="0"/>
              <w:ind w:left="0" w:leftChars="0"/>
              <w:textAlignment w:val="bottom"/>
              <w:rPr>
                <w:rFonts w:ascii="宋体" w:hAnsi="宋体" w:cs="宋体"/>
                <w:bCs/>
                <w:color w:val="auto"/>
                <w:kern w:val="2"/>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w:t>
            </w:r>
            <w:r>
              <w:rPr>
                <w:rFonts w:hint="eastAsia" w:ascii="宋体" w:hAnsi="宋体" w:cs="宋体"/>
                <w:bCs/>
                <w:color w:val="auto"/>
                <w:kern w:val="2"/>
                <w:szCs w:val="21"/>
                <w:highlight w:val="none"/>
              </w:rPr>
              <w:t>对</w:t>
            </w:r>
            <w:r>
              <w:rPr>
                <w:rFonts w:ascii="宋体" w:hAnsi="宋体" w:cs="宋体"/>
                <w:bCs/>
                <w:color w:val="auto"/>
                <w:kern w:val="2"/>
                <w:szCs w:val="21"/>
                <w:highlight w:val="none"/>
              </w:rPr>
              <w:t>项目实施过程、成果管理等方面的质量保障措施</w:t>
            </w:r>
            <w:r>
              <w:rPr>
                <w:rFonts w:hint="eastAsia" w:ascii="宋体" w:hAnsi="宋体" w:cs="宋体"/>
                <w:bCs/>
                <w:color w:val="auto"/>
                <w:kern w:val="2"/>
                <w:szCs w:val="21"/>
                <w:highlight w:val="none"/>
              </w:rPr>
              <w:t>描述相对清晰、基本准确、较为完整，措施相对完善，具有一定的合理性的得</w:t>
            </w:r>
            <w:r>
              <w:rPr>
                <w:rFonts w:hint="eastAsia" w:ascii="宋体" w:hAnsi="宋体" w:cs="宋体"/>
                <w:bCs/>
                <w:color w:val="auto"/>
                <w:kern w:val="2"/>
                <w:szCs w:val="21"/>
                <w:highlight w:val="none"/>
                <w:lang w:val="en-US" w:eastAsia="zh-CN"/>
              </w:rPr>
              <w:t>5</w:t>
            </w:r>
            <w:r>
              <w:rPr>
                <w:rFonts w:hint="eastAsia" w:ascii="宋体" w:hAnsi="宋体" w:cs="宋体"/>
                <w:bCs/>
                <w:color w:val="auto"/>
                <w:kern w:val="2"/>
                <w:szCs w:val="21"/>
                <w:highlight w:val="none"/>
              </w:rPr>
              <w:t>分；</w:t>
            </w:r>
          </w:p>
          <w:p w14:paraId="5D828CEB">
            <w:pPr>
              <w:pStyle w:val="11"/>
              <w:autoSpaceDE w:val="0"/>
              <w:autoSpaceDN w:val="0"/>
              <w:adjustRightInd w:val="0"/>
              <w:snapToGrid w:val="0"/>
              <w:spacing w:after="0"/>
              <w:ind w:left="0" w:leftChars="0"/>
              <w:textAlignment w:val="bottom"/>
              <w:rPr>
                <w:rFonts w:ascii="宋体" w:hAnsi="宋体" w:cs="宋体"/>
                <w:bCs/>
                <w:color w:val="auto"/>
                <w:kern w:val="2"/>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w:t>
            </w:r>
            <w:r>
              <w:rPr>
                <w:rFonts w:hint="eastAsia" w:ascii="宋体" w:hAnsi="宋体" w:cs="宋体"/>
                <w:bCs/>
                <w:color w:val="auto"/>
                <w:kern w:val="2"/>
                <w:szCs w:val="21"/>
                <w:highlight w:val="none"/>
              </w:rPr>
              <w:t>对</w:t>
            </w:r>
            <w:r>
              <w:rPr>
                <w:rFonts w:ascii="宋体" w:hAnsi="宋体" w:cs="宋体"/>
                <w:bCs/>
                <w:color w:val="auto"/>
                <w:kern w:val="2"/>
                <w:szCs w:val="21"/>
                <w:highlight w:val="none"/>
              </w:rPr>
              <w:t>项目实施过程、成果管理等方面的质量保障措施</w:t>
            </w:r>
            <w:r>
              <w:rPr>
                <w:rFonts w:hint="eastAsia" w:ascii="宋体" w:hAnsi="宋体" w:cs="宋体"/>
                <w:bCs/>
                <w:color w:val="auto"/>
                <w:kern w:val="2"/>
                <w:szCs w:val="21"/>
                <w:highlight w:val="none"/>
              </w:rPr>
              <w:t>描述基本清晰、基本准确、完整性一般，措施相对简单，合理性较差，项目的顺利实施存在一定的风险的得</w:t>
            </w:r>
            <w:r>
              <w:rPr>
                <w:rFonts w:hint="eastAsia" w:ascii="宋体" w:hAnsi="宋体" w:cs="宋体"/>
                <w:bCs/>
                <w:color w:val="auto"/>
                <w:kern w:val="2"/>
                <w:szCs w:val="21"/>
                <w:highlight w:val="none"/>
                <w:lang w:val="en-US" w:eastAsia="zh-CN"/>
              </w:rPr>
              <w:t>4</w:t>
            </w:r>
            <w:r>
              <w:rPr>
                <w:rFonts w:hint="eastAsia" w:ascii="宋体" w:hAnsi="宋体" w:cs="宋体"/>
                <w:bCs/>
                <w:color w:val="auto"/>
                <w:kern w:val="2"/>
                <w:szCs w:val="21"/>
                <w:highlight w:val="none"/>
              </w:rPr>
              <w:t>分；</w:t>
            </w:r>
          </w:p>
          <w:p w14:paraId="111D43BB">
            <w:pPr>
              <w:adjustRightInd w:val="0"/>
              <w:snapToGrid w:val="0"/>
              <w:jc w:val="left"/>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w:t>
            </w:r>
            <w:r>
              <w:rPr>
                <w:rFonts w:hint="eastAsia" w:ascii="仿宋" w:hAnsi="仿宋" w:cs="仿宋"/>
                <w:color w:val="auto"/>
                <w:sz w:val="21"/>
                <w:szCs w:val="21"/>
                <w:highlight w:val="none"/>
              </w:rPr>
              <w:t>不可行或者未提供相关内容的不得分</w:t>
            </w:r>
            <w:r>
              <w:rPr>
                <w:rFonts w:ascii="宋体" w:hAnsi="宋体" w:cs="宋体"/>
                <w:bCs/>
                <w:color w:val="auto"/>
                <w:szCs w:val="21"/>
                <w:highlight w:val="none"/>
              </w:rPr>
              <w:t>。</w:t>
            </w:r>
          </w:p>
        </w:tc>
      </w:tr>
      <w:tr w14:paraId="15641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0" w:type="auto"/>
            <w:vAlign w:val="center"/>
          </w:tcPr>
          <w:p w14:paraId="23B6A849">
            <w:pPr>
              <w:adjustRightInd w:val="0"/>
              <w:snapToGrid w:val="0"/>
              <w:jc w:val="center"/>
              <w:rPr>
                <w:rFonts w:hint="default" w:ascii="Arial" w:hAnsi="Arial" w:eastAsia="宋体" w:cs="Arial"/>
                <w:color w:val="auto"/>
                <w:kern w:val="2"/>
                <w:sz w:val="21"/>
                <w:szCs w:val="21"/>
                <w:highlight w:val="none"/>
                <w:lang w:val="en-US" w:eastAsia="zh-CN" w:bidi="ar-SA"/>
              </w:rPr>
            </w:pPr>
            <w:r>
              <w:rPr>
                <w:rFonts w:hint="eastAsia" w:ascii="Arial" w:hAnsi="Arial" w:eastAsia="宋体" w:cs="Arial"/>
                <w:color w:val="auto"/>
                <w:szCs w:val="21"/>
                <w:highlight w:val="none"/>
                <w:lang w:val="en-US" w:eastAsia="zh-CN"/>
              </w:rPr>
              <w:t>1</w:t>
            </w:r>
            <w:r>
              <w:rPr>
                <w:rFonts w:hint="eastAsia" w:ascii="Arial" w:hAnsi="Arial" w:cs="Arial"/>
                <w:color w:val="auto"/>
                <w:szCs w:val="21"/>
                <w:highlight w:val="none"/>
                <w:lang w:val="en-US" w:eastAsia="zh-CN"/>
              </w:rPr>
              <w:t>1</w:t>
            </w:r>
          </w:p>
        </w:tc>
        <w:tc>
          <w:tcPr>
            <w:tcW w:w="1784" w:type="dxa"/>
            <w:vAlign w:val="center"/>
          </w:tcPr>
          <w:p w14:paraId="34DEA37B">
            <w:pPr>
              <w:adjustRightInd w:val="0"/>
              <w:snapToGrid w:val="0"/>
              <w:jc w:val="center"/>
              <w:rPr>
                <w:rFonts w:ascii="Arial" w:hAnsi="Arial" w:cs="Arial"/>
                <w:color w:val="auto"/>
                <w:szCs w:val="21"/>
                <w:highlight w:val="none"/>
              </w:rPr>
            </w:pPr>
            <w:r>
              <w:rPr>
                <w:rFonts w:ascii="Arial" w:hAnsi="Arial" w:cs="Arial"/>
                <w:color w:val="auto"/>
                <w:szCs w:val="21"/>
                <w:highlight w:val="none"/>
              </w:rPr>
              <w:t>制度建设</w:t>
            </w:r>
          </w:p>
          <w:p w14:paraId="28B24EA4">
            <w:pPr>
              <w:adjustRightInd w:val="0"/>
              <w:snapToGrid w:val="0"/>
              <w:jc w:val="center"/>
              <w:rPr>
                <w:rFonts w:ascii="Arial" w:hAnsi="Arial" w:eastAsia="宋体" w:cs="Arial"/>
                <w:color w:val="auto"/>
                <w:kern w:val="2"/>
                <w:sz w:val="21"/>
                <w:szCs w:val="21"/>
                <w:highlight w:val="none"/>
                <w:lang w:val="en-US" w:eastAsia="zh-CN" w:bidi="ar-SA"/>
              </w:rPr>
            </w:pPr>
            <w:r>
              <w:rPr>
                <w:rFonts w:ascii="Arial" w:hAnsi="Arial" w:cs="Arial"/>
                <w:color w:val="auto"/>
                <w:szCs w:val="21"/>
                <w:highlight w:val="none"/>
              </w:rPr>
              <w:t>（</w:t>
            </w:r>
            <w:r>
              <w:rPr>
                <w:rFonts w:hint="eastAsia" w:ascii="Arial" w:hAnsi="Arial" w:cs="Arial"/>
                <w:color w:val="auto"/>
                <w:szCs w:val="21"/>
                <w:highlight w:val="none"/>
                <w:lang w:val="en-US" w:eastAsia="zh-CN"/>
              </w:rPr>
              <w:t>6</w:t>
            </w:r>
            <w:r>
              <w:rPr>
                <w:rFonts w:ascii="Arial" w:hAnsi="Arial" w:cs="Arial"/>
                <w:color w:val="auto"/>
                <w:szCs w:val="21"/>
                <w:highlight w:val="none"/>
              </w:rPr>
              <w:t>分）</w:t>
            </w:r>
          </w:p>
        </w:tc>
        <w:tc>
          <w:tcPr>
            <w:tcW w:w="7546" w:type="dxa"/>
            <w:vAlign w:val="center"/>
          </w:tcPr>
          <w:p w14:paraId="1CA6ECBC">
            <w:pPr>
              <w:adjustRightInd w:val="0"/>
              <w:snapToGrid w:val="0"/>
              <w:jc w:val="left"/>
              <w:rPr>
                <w:rFonts w:ascii="宋体" w:hAnsi="宋体" w:cs="宋体"/>
                <w:bCs/>
                <w:color w:val="auto"/>
                <w:szCs w:val="21"/>
                <w:highlight w:val="none"/>
              </w:rPr>
            </w:pPr>
            <w:r>
              <w:rPr>
                <w:rFonts w:ascii="宋体" w:hAnsi="宋体" w:cs="宋体"/>
                <w:bCs/>
                <w:color w:val="auto"/>
                <w:szCs w:val="21"/>
                <w:highlight w:val="none"/>
              </w:rPr>
              <w:t>根据</w:t>
            </w:r>
            <w:r>
              <w:rPr>
                <w:rFonts w:hint="eastAsia" w:ascii="仿宋" w:hAnsi="仿宋" w:cs="仿宋"/>
                <w:color w:val="auto"/>
                <w:sz w:val="21"/>
                <w:szCs w:val="21"/>
                <w:highlight w:val="none"/>
                <w:lang w:val="en-US" w:eastAsia="zh-CN"/>
              </w:rPr>
              <w:t>供应商</w:t>
            </w:r>
            <w:r>
              <w:rPr>
                <w:rFonts w:ascii="宋体" w:hAnsi="宋体" w:cs="宋体"/>
                <w:bCs/>
                <w:color w:val="auto"/>
                <w:szCs w:val="21"/>
                <w:highlight w:val="none"/>
              </w:rPr>
              <w:t>安全保密制度的完善性及规范性，由专家</w:t>
            </w:r>
            <w:r>
              <w:rPr>
                <w:rFonts w:hint="eastAsia" w:ascii="宋体" w:hAnsi="宋体" w:cs="宋体"/>
                <w:bCs/>
                <w:color w:val="auto"/>
                <w:szCs w:val="21"/>
                <w:highlight w:val="none"/>
                <w:lang w:val="en-US" w:eastAsia="zh-CN"/>
              </w:rPr>
              <w:t>综合</w:t>
            </w:r>
            <w:r>
              <w:rPr>
                <w:rFonts w:ascii="宋体" w:hAnsi="宋体" w:cs="宋体"/>
                <w:bCs/>
                <w:color w:val="auto"/>
                <w:szCs w:val="21"/>
                <w:highlight w:val="none"/>
              </w:rPr>
              <w:t>评分</w:t>
            </w:r>
            <w:r>
              <w:rPr>
                <w:rFonts w:hint="eastAsia" w:ascii="宋体" w:hAnsi="宋体" w:cs="宋体"/>
                <w:bCs/>
                <w:color w:val="auto"/>
                <w:szCs w:val="21"/>
                <w:highlight w:val="none"/>
              </w:rPr>
              <w:t>：</w:t>
            </w:r>
          </w:p>
          <w:p w14:paraId="50DF75EB">
            <w:pPr>
              <w:pStyle w:val="11"/>
              <w:autoSpaceDE w:val="0"/>
              <w:autoSpaceDN w:val="0"/>
              <w:adjustRightInd w:val="0"/>
              <w:snapToGrid w:val="0"/>
              <w:spacing w:after="0"/>
              <w:ind w:left="0" w:leftChars="0"/>
              <w:textAlignment w:val="bottom"/>
              <w:rPr>
                <w:rFonts w:ascii="宋体" w:hAnsi="宋体" w:cs="宋体"/>
                <w:bCs/>
                <w:color w:val="auto"/>
                <w:kern w:val="2"/>
                <w:szCs w:val="21"/>
                <w:highlight w:val="none"/>
              </w:rPr>
            </w:pPr>
            <w:r>
              <w:rPr>
                <w:rFonts w:hint="eastAsia" w:ascii="宋体" w:hAnsi="宋体" w:cs="宋体"/>
                <w:bCs/>
                <w:color w:val="auto"/>
                <w:szCs w:val="21"/>
                <w:highlight w:val="none"/>
              </w:rPr>
              <w:t>（1）</w:t>
            </w:r>
            <w:r>
              <w:rPr>
                <w:rFonts w:hint="eastAsia" w:ascii="仿宋" w:hAnsi="仿宋" w:cs="仿宋"/>
                <w:color w:val="auto"/>
                <w:sz w:val="21"/>
                <w:szCs w:val="21"/>
                <w:highlight w:val="none"/>
                <w:lang w:val="en-US" w:eastAsia="zh-CN"/>
              </w:rPr>
              <w:t>供应商提供的安全保密制度</w:t>
            </w:r>
            <w:r>
              <w:rPr>
                <w:rFonts w:hint="eastAsia" w:ascii="宋体" w:hAnsi="宋体" w:cs="宋体"/>
                <w:bCs/>
                <w:color w:val="auto"/>
                <w:kern w:val="2"/>
                <w:szCs w:val="21"/>
                <w:highlight w:val="none"/>
              </w:rPr>
              <w:t>完善、规范，能够很好的保障本项目的顺利实施的得</w:t>
            </w:r>
            <w:r>
              <w:rPr>
                <w:rFonts w:hint="eastAsia" w:ascii="宋体" w:hAnsi="宋体" w:cs="宋体"/>
                <w:bCs/>
                <w:color w:val="auto"/>
                <w:kern w:val="2"/>
                <w:szCs w:val="21"/>
                <w:highlight w:val="none"/>
                <w:lang w:val="en-US" w:eastAsia="zh-CN"/>
              </w:rPr>
              <w:t>6</w:t>
            </w:r>
            <w:r>
              <w:rPr>
                <w:rFonts w:hint="eastAsia" w:ascii="宋体" w:hAnsi="宋体" w:cs="宋体"/>
                <w:bCs/>
                <w:color w:val="auto"/>
                <w:kern w:val="2"/>
                <w:szCs w:val="21"/>
                <w:highlight w:val="none"/>
              </w:rPr>
              <w:t>分；</w:t>
            </w:r>
          </w:p>
          <w:p w14:paraId="413E7E21">
            <w:pPr>
              <w:pStyle w:val="11"/>
              <w:autoSpaceDE w:val="0"/>
              <w:autoSpaceDN w:val="0"/>
              <w:adjustRightInd w:val="0"/>
              <w:snapToGrid w:val="0"/>
              <w:spacing w:after="0"/>
              <w:ind w:left="0" w:leftChars="0"/>
              <w:textAlignment w:val="bottom"/>
              <w:rPr>
                <w:rFonts w:ascii="宋体" w:hAnsi="宋体" w:cs="宋体"/>
                <w:bCs/>
                <w:color w:val="auto"/>
                <w:kern w:val="2"/>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w:t>
            </w:r>
            <w:r>
              <w:rPr>
                <w:rFonts w:hint="eastAsia" w:ascii="仿宋" w:hAnsi="仿宋" w:cs="仿宋"/>
                <w:color w:val="auto"/>
                <w:sz w:val="21"/>
                <w:szCs w:val="21"/>
                <w:highlight w:val="none"/>
                <w:lang w:val="en-US" w:eastAsia="zh-CN"/>
              </w:rPr>
              <w:t>供应商提供的安全保密制度</w:t>
            </w:r>
            <w:r>
              <w:rPr>
                <w:rFonts w:hint="eastAsia" w:ascii="宋体" w:hAnsi="宋体" w:cs="宋体"/>
                <w:bCs/>
                <w:color w:val="auto"/>
                <w:kern w:val="2"/>
                <w:szCs w:val="21"/>
                <w:highlight w:val="none"/>
              </w:rPr>
              <w:t>相对完善、规范，但部分管理制度不齐全，基本能够保障本项目的顺利实施的得</w:t>
            </w:r>
            <w:r>
              <w:rPr>
                <w:rFonts w:hint="eastAsia" w:ascii="宋体" w:hAnsi="宋体" w:cs="宋体"/>
                <w:bCs/>
                <w:color w:val="auto"/>
                <w:kern w:val="2"/>
                <w:szCs w:val="21"/>
                <w:highlight w:val="none"/>
                <w:lang w:val="en-US" w:eastAsia="zh-CN"/>
              </w:rPr>
              <w:t>5</w:t>
            </w:r>
            <w:r>
              <w:rPr>
                <w:rFonts w:hint="eastAsia" w:ascii="宋体" w:hAnsi="宋体" w:cs="宋体"/>
                <w:bCs/>
                <w:color w:val="auto"/>
                <w:kern w:val="2"/>
                <w:szCs w:val="21"/>
                <w:highlight w:val="none"/>
              </w:rPr>
              <w:t>分；</w:t>
            </w:r>
          </w:p>
          <w:p w14:paraId="41969C64">
            <w:pPr>
              <w:pStyle w:val="11"/>
              <w:autoSpaceDE w:val="0"/>
              <w:autoSpaceDN w:val="0"/>
              <w:adjustRightInd w:val="0"/>
              <w:snapToGrid w:val="0"/>
              <w:spacing w:after="0"/>
              <w:ind w:left="0" w:leftChars="0"/>
              <w:textAlignment w:val="bottom"/>
              <w:rPr>
                <w:rFonts w:ascii="宋体" w:hAnsi="宋体" w:cs="宋体"/>
                <w:bCs/>
                <w:color w:val="auto"/>
                <w:kern w:val="2"/>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w:t>
            </w:r>
            <w:r>
              <w:rPr>
                <w:rFonts w:hint="eastAsia" w:ascii="仿宋" w:hAnsi="仿宋" w:cs="仿宋"/>
                <w:color w:val="auto"/>
                <w:sz w:val="21"/>
                <w:szCs w:val="21"/>
                <w:highlight w:val="none"/>
                <w:lang w:val="en-US" w:eastAsia="zh-CN"/>
              </w:rPr>
              <w:t>供应商提供的安全保密制度</w:t>
            </w:r>
            <w:r>
              <w:rPr>
                <w:rFonts w:hint="eastAsia" w:ascii="宋体" w:hAnsi="宋体" w:cs="宋体"/>
                <w:bCs/>
                <w:color w:val="auto"/>
                <w:kern w:val="2"/>
                <w:szCs w:val="21"/>
                <w:highlight w:val="none"/>
              </w:rPr>
              <w:t>的完善性和规范性不足，管理制度存在欠缺，对项目的顺利实施存在一定的风险的得</w:t>
            </w:r>
            <w:r>
              <w:rPr>
                <w:rFonts w:hint="eastAsia" w:ascii="宋体" w:hAnsi="宋体" w:cs="宋体"/>
                <w:bCs/>
                <w:color w:val="auto"/>
                <w:kern w:val="2"/>
                <w:szCs w:val="21"/>
                <w:highlight w:val="none"/>
                <w:lang w:val="en-US" w:eastAsia="zh-CN"/>
              </w:rPr>
              <w:t>4</w:t>
            </w:r>
            <w:r>
              <w:rPr>
                <w:rFonts w:hint="eastAsia" w:ascii="宋体" w:hAnsi="宋体" w:cs="宋体"/>
                <w:bCs/>
                <w:color w:val="auto"/>
                <w:kern w:val="2"/>
                <w:szCs w:val="21"/>
                <w:highlight w:val="none"/>
              </w:rPr>
              <w:t>分；</w:t>
            </w:r>
          </w:p>
          <w:p w14:paraId="163BE382">
            <w:pPr>
              <w:adjustRightInd w:val="0"/>
              <w:snapToGrid w:val="0"/>
              <w:jc w:val="left"/>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w:t>
            </w:r>
            <w:r>
              <w:rPr>
                <w:rFonts w:hint="eastAsia" w:ascii="仿宋" w:hAnsi="仿宋" w:cs="仿宋"/>
                <w:color w:val="auto"/>
                <w:sz w:val="21"/>
                <w:szCs w:val="21"/>
                <w:highlight w:val="none"/>
              </w:rPr>
              <w:t>不可行或者未提供相关内容的不得分</w:t>
            </w:r>
            <w:r>
              <w:rPr>
                <w:rFonts w:hint="eastAsia" w:ascii="宋体" w:hAnsi="宋体" w:cs="宋体"/>
                <w:bCs/>
                <w:color w:val="auto"/>
                <w:szCs w:val="21"/>
                <w:highlight w:val="none"/>
              </w:rPr>
              <w:t>。</w:t>
            </w:r>
          </w:p>
        </w:tc>
      </w:tr>
      <w:tr w14:paraId="4C6CF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jc w:val="center"/>
        </w:trPr>
        <w:tc>
          <w:tcPr>
            <w:tcW w:w="0" w:type="auto"/>
            <w:vMerge w:val="restart"/>
            <w:vAlign w:val="center"/>
          </w:tcPr>
          <w:p w14:paraId="6039B105">
            <w:pPr>
              <w:adjustRightInd w:val="0"/>
              <w:snapToGrid w:val="0"/>
              <w:jc w:val="center"/>
              <w:rPr>
                <w:rFonts w:hint="default" w:ascii="Arial" w:hAnsi="Arial" w:eastAsia="宋体" w:cs="Arial"/>
                <w:color w:val="auto"/>
                <w:kern w:val="2"/>
                <w:sz w:val="21"/>
                <w:szCs w:val="21"/>
                <w:highlight w:val="none"/>
                <w:lang w:val="en-US" w:eastAsia="zh-CN" w:bidi="ar-SA"/>
              </w:rPr>
            </w:pPr>
            <w:r>
              <w:rPr>
                <w:rFonts w:hint="eastAsia" w:ascii="Arial" w:hAnsi="Arial" w:cs="Arial"/>
                <w:color w:val="auto"/>
                <w:szCs w:val="21"/>
                <w:highlight w:val="none"/>
                <w:lang w:val="en-US" w:eastAsia="zh-CN"/>
              </w:rPr>
              <w:t>12</w:t>
            </w:r>
          </w:p>
        </w:tc>
        <w:tc>
          <w:tcPr>
            <w:tcW w:w="1784" w:type="dxa"/>
            <w:vMerge w:val="restart"/>
            <w:vAlign w:val="center"/>
          </w:tcPr>
          <w:p w14:paraId="02BFF46A">
            <w:pPr>
              <w:adjustRightInd w:val="0"/>
              <w:snapToGrid w:val="0"/>
              <w:jc w:val="center"/>
              <w:rPr>
                <w:rFonts w:ascii="Arial" w:hAnsi="Arial" w:cs="Arial"/>
                <w:color w:val="auto"/>
                <w:kern w:val="0"/>
                <w:szCs w:val="21"/>
                <w:highlight w:val="none"/>
              </w:rPr>
            </w:pPr>
            <w:r>
              <w:rPr>
                <w:rFonts w:ascii="Arial" w:hAnsi="Arial" w:cs="Arial"/>
                <w:color w:val="auto"/>
                <w:kern w:val="0"/>
                <w:szCs w:val="21"/>
                <w:highlight w:val="none"/>
              </w:rPr>
              <w:t>售后服务</w:t>
            </w:r>
          </w:p>
          <w:p w14:paraId="03F08AC8">
            <w:pPr>
              <w:adjustRightInd w:val="0"/>
              <w:snapToGrid w:val="0"/>
              <w:jc w:val="center"/>
              <w:rPr>
                <w:rFonts w:ascii="Arial" w:hAnsi="Arial" w:eastAsia="宋体" w:cs="Arial"/>
                <w:color w:val="auto"/>
                <w:kern w:val="2"/>
                <w:sz w:val="21"/>
                <w:szCs w:val="21"/>
                <w:highlight w:val="none"/>
                <w:lang w:val="en-US" w:eastAsia="zh-CN" w:bidi="ar-SA"/>
              </w:rPr>
            </w:pPr>
            <w:r>
              <w:rPr>
                <w:rFonts w:hint="eastAsia" w:ascii="Arial" w:hAnsi="Arial" w:cs="Arial"/>
                <w:color w:val="auto"/>
                <w:kern w:val="0"/>
                <w:szCs w:val="21"/>
                <w:highlight w:val="none"/>
              </w:rPr>
              <w:t>（</w:t>
            </w:r>
            <w:r>
              <w:rPr>
                <w:rFonts w:hint="eastAsia" w:ascii="Arial" w:hAnsi="Arial" w:cs="Arial"/>
                <w:color w:val="auto"/>
                <w:kern w:val="0"/>
                <w:szCs w:val="21"/>
                <w:highlight w:val="none"/>
                <w:lang w:val="en-US" w:eastAsia="zh-CN"/>
              </w:rPr>
              <w:t>10</w:t>
            </w:r>
            <w:r>
              <w:rPr>
                <w:rFonts w:ascii="Arial" w:hAnsi="Arial" w:cs="Arial"/>
                <w:color w:val="auto"/>
                <w:kern w:val="0"/>
                <w:szCs w:val="21"/>
                <w:highlight w:val="none"/>
              </w:rPr>
              <w:t>分）</w:t>
            </w:r>
          </w:p>
        </w:tc>
        <w:tc>
          <w:tcPr>
            <w:tcW w:w="7546" w:type="dxa"/>
            <w:vAlign w:val="center"/>
          </w:tcPr>
          <w:p w14:paraId="79261BCE">
            <w:pPr>
              <w:adjustRightInd w:val="0"/>
              <w:snapToGrid w:val="0"/>
              <w:jc w:val="left"/>
              <w:rPr>
                <w:rFonts w:ascii="宋体" w:hAnsi="宋体" w:cs="宋体"/>
                <w:bCs/>
                <w:color w:val="auto"/>
                <w:szCs w:val="21"/>
                <w:highlight w:val="none"/>
              </w:rPr>
            </w:pPr>
            <w:r>
              <w:rPr>
                <w:rFonts w:ascii="宋体" w:hAnsi="宋体" w:cs="宋体"/>
                <w:bCs/>
                <w:color w:val="auto"/>
                <w:szCs w:val="21"/>
                <w:highlight w:val="none"/>
              </w:rPr>
              <w:t>根据</w:t>
            </w:r>
            <w:r>
              <w:rPr>
                <w:rFonts w:hint="eastAsia" w:ascii="仿宋" w:hAnsi="仿宋" w:cs="仿宋"/>
                <w:color w:val="auto"/>
                <w:sz w:val="21"/>
                <w:szCs w:val="21"/>
                <w:highlight w:val="none"/>
                <w:lang w:val="en-US" w:eastAsia="zh-CN"/>
              </w:rPr>
              <w:t>供应商</w:t>
            </w:r>
            <w:r>
              <w:rPr>
                <w:rFonts w:ascii="宋体" w:hAnsi="宋体" w:cs="宋体"/>
                <w:bCs/>
                <w:color w:val="auto"/>
                <w:szCs w:val="21"/>
                <w:highlight w:val="none"/>
              </w:rPr>
              <w:t>售后服务方案可行性、完整性以及为采购人提供服务的便利性等，由专家</w:t>
            </w:r>
            <w:r>
              <w:rPr>
                <w:rFonts w:hint="eastAsia" w:ascii="宋体" w:hAnsi="宋体" w:cs="宋体"/>
                <w:bCs/>
                <w:color w:val="auto"/>
                <w:szCs w:val="21"/>
                <w:highlight w:val="none"/>
                <w:lang w:val="en-US" w:eastAsia="zh-CN"/>
              </w:rPr>
              <w:t>综合</w:t>
            </w:r>
            <w:r>
              <w:rPr>
                <w:rFonts w:ascii="宋体" w:hAnsi="宋体" w:cs="宋体"/>
                <w:bCs/>
                <w:color w:val="auto"/>
                <w:szCs w:val="21"/>
                <w:highlight w:val="none"/>
              </w:rPr>
              <w:t>评分</w:t>
            </w:r>
            <w:r>
              <w:rPr>
                <w:rFonts w:hint="eastAsia" w:ascii="宋体" w:hAnsi="宋体" w:cs="宋体"/>
                <w:bCs/>
                <w:color w:val="auto"/>
                <w:szCs w:val="21"/>
                <w:highlight w:val="none"/>
              </w:rPr>
              <w:t>：</w:t>
            </w:r>
          </w:p>
          <w:p w14:paraId="1AFC9F28">
            <w:pPr>
              <w:pStyle w:val="11"/>
              <w:autoSpaceDE w:val="0"/>
              <w:autoSpaceDN w:val="0"/>
              <w:adjustRightInd w:val="0"/>
              <w:snapToGrid w:val="0"/>
              <w:spacing w:after="0"/>
              <w:ind w:left="0" w:leftChars="0"/>
              <w:textAlignment w:val="bottom"/>
              <w:rPr>
                <w:rFonts w:ascii="宋体" w:hAnsi="宋体" w:cs="宋体"/>
                <w:bCs/>
                <w:color w:val="auto"/>
                <w:kern w:val="2"/>
                <w:szCs w:val="21"/>
                <w:highlight w:val="none"/>
              </w:rPr>
            </w:pPr>
            <w:r>
              <w:rPr>
                <w:rFonts w:hint="eastAsia" w:ascii="仿宋" w:hAnsi="仿宋" w:cs="仿宋"/>
                <w:color w:val="auto"/>
                <w:sz w:val="21"/>
                <w:szCs w:val="21"/>
                <w:highlight w:val="none"/>
                <w:lang w:val="en-US" w:eastAsia="zh-CN"/>
              </w:rPr>
              <w:t>（1）供应商</w:t>
            </w:r>
            <w:r>
              <w:rPr>
                <w:rFonts w:hint="eastAsia" w:ascii="宋体" w:hAnsi="宋体" w:cs="宋体"/>
                <w:bCs/>
                <w:color w:val="auto"/>
                <w:kern w:val="2"/>
                <w:szCs w:val="21"/>
                <w:highlight w:val="none"/>
              </w:rPr>
              <w:t>提供的</w:t>
            </w:r>
            <w:r>
              <w:rPr>
                <w:rFonts w:ascii="宋体" w:hAnsi="宋体" w:cs="宋体"/>
                <w:bCs/>
                <w:color w:val="auto"/>
                <w:szCs w:val="21"/>
                <w:highlight w:val="none"/>
              </w:rPr>
              <w:t>服务方案可行</w:t>
            </w:r>
            <w:r>
              <w:rPr>
                <w:rFonts w:hint="eastAsia" w:ascii="宋体" w:hAnsi="宋体" w:cs="宋体"/>
                <w:bCs/>
                <w:color w:val="auto"/>
                <w:szCs w:val="21"/>
                <w:highlight w:val="none"/>
                <w:lang w:val="en-US" w:eastAsia="zh-CN"/>
              </w:rPr>
              <w:t>性</w:t>
            </w:r>
            <w:r>
              <w:rPr>
                <w:rFonts w:hint="eastAsia" w:ascii="宋体" w:hAnsi="宋体" w:cs="宋体"/>
                <w:bCs/>
                <w:color w:val="auto"/>
                <w:kern w:val="2"/>
                <w:szCs w:val="21"/>
                <w:highlight w:val="none"/>
              </w:rPr>
              <w:t>强，相关内容完整，为采购人提供服务的便利性条件好的得</w:t>
            </w:r>
            <w:r>
              <w:rPr>
                <w:rFonts w:hint="eastAsia" w:ascii="宋体" w:hAnsi="宋体" w:cs="宋体"/>
                <w:bCs/>
                <w:color w:val="auto"/>
                <w:kern w:val="2"/>
                <w:szCs w:val="21"/>
                <w:highlight w:val="none"/>
                <w:lang w:val="en-US" w:eastAsia="zh-CN"/>
              </w:rPr>
              <w:t>5</w:t>
            </w:r>
            <w:r>
              <w:rPr>
                <w:rFonts w:hint="eastAsia" w:ascii="宋体" w:hAnsi="宋体" w:cs="宋体"/>
                <w:bCs/>
                <w:color w:val="auto"/>
                <w:kern w:val="2"/>
                <w:szCs w:val="21"/>
                <w:highlight w:val="none"/>
              </w:rPr>
              <w:t>分；</w:t>
            </w:r>
          </w:p>
          <w:p w14:paraId="737C950B">
            <w:pPr>
              <w:pStyle w:val="11"/>
              <w:autoSpaceDE w:val="0"/>
              <w:autoSpaceDN w:val="0"/>
              <w:adjustRightInd w:val="0"/>
              <w:snapToGrid w:val="0"/>
              <w:spacing w:after="0"/>
              <w:ind w:left="0" w:leftChars="0"/>
              <w:textAlignment w:val="bottom"/>
              <w:rPr>
                <w:rFonts w:ascii="宋体" w:hAnsi="宋体" w:cs="宋体"/>
                <w:bCs/>
                <w:color w:val="auto"/>
                <w:kern w:val="2"/>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w:t>
            </w:r>
            <w:r>
              <w:rPr>
                <w:rFonts w:hint="eastAsia" w:ascii="仿宋" w:hAnsi="仿宋" w:cs="仿宋"/>
                <w:color w:val="auto"/>
                <w:sz w:val="21"/>
                <w:szCs w:val="21"/>
                <w:highlight w:val="none"/>
                <w:lang w:val="en-US" w:eastAsia="zh-CN"/>
              </w:rPr>
              <w:t>供应商</w:t>
            </w:r>
            <w:r>
              <w:rPr>
                <w:rFonts w:hint="eastAsia" w:ascii="宋体" w:hAnsi="宋体" w:cs="宋体"/>
                <w:bCs/>
                <w:color w:val="auto"/>
                <w:kern w:val="2"/>
                <w:szCs w:val="21"/>
                <w:highlight w:val="none"/>
              </w:rPr>
              <w:t>提供的</w:t>
            </w:r>
            <w:r>
              <w:rPr>
                <w:rFonts w:ascii="宋体" w:hAnsi="宋体" w:cs="宋体"/>
                <w:bCs/>
                <w:color w:val="auto"/>
                <w:szCs w:val="21"/>
                <w:highlight w:val="none"/>
              </w:rPr>
              <w:t>服务方案可行</w:t>
            </w:r>
            <w:r>
              <w:rPr>
                <w:rFonts w:hint="eastAsia" w:ascii="宋体" w:hAnsi="宋体" w:cs="宋体"/>
                <w:bCs/>
                <w:color w:val="auto"/>
                <w:szCs w:val="21"/>
                <w:highlight w:val="none"/>
                <w:lang w:val="en-US" w:eastAsia="zh-CN"/>
              </w:rPr>
              <w:t>性较</w:t>
            </w:r>
            <w:r>
              <w:rPr>
                <w:rFonts w:hint="eastAsia" w:ascii="宋体" w:hAnsi="宋体" w:cs="宋体"/>
                <w:bCs/>
                <w:color w:val="auto"/>
                <w:kern w:val="2"/>
                <w:szCs w:val="21"/>
                <w:highlight w:val="none"/>
              </w:rPr>
              <w:t>强，相关内容</w:t>
            </w:r>
            <w:r>
              <w:rPr>
                <w:rFonts w:hint="eastAsia" w:ascii="宋体" w:hAnsi="宋体" w:cs="宋体"/>
                <w:bCs/>
                <w:color w:val="auto"/>
                <w:kern w:val="2"/>
                <w:szCs w:val="21"/>
                <w:highlight w:val="none"/>
                <w:lang w:val="en-US" w:eastAsia="zh-CN"/>
              </w:rPr>
              <w:t>较</w:t>
            </w:r>
            <w:r>
              <w:rPr>
                <w:rFonts w:hint="eastAsia" w:ascii="宋体" w:hAnsi="宋体" w:cs="宋体"/>
                <w:bCs/>
                <w:color w:val="auto"/>
                <w:kern w:val="2"/>
                <w:szCs w:val="21"/>
                <w:highlight w:val="none"/>
              </w:rPr>
              <w:t>完整，为采购人提供服务的便利性条件</w:t>
            </w:r>
            <w:r>
              <w:rPr>
                <w:rFonts w:hint="eastAsia" w:ascii="宋体" w:hAnsi="宋体" w:cs="宋体"/>
                <w:bCs/>
                <w:color w:val="auto"/>
                <w:kern w:val="2"/>
                <w:szCs w:val="21"/>
                <w:highlight w:val="none"/>
                <w:lang w:val="en-US" w:eastAsia="zh-CN"/>
              </w:rPr>
              <w:t>较</w:t>
            </w:r>
            <w:r>
              <w:rPr>
                <w:rFonts w:hint="eastAsia" w:ascii="宋体" w:hAnsi="宋体" w:cs="宋体"/>
                <w:bCs/>
                <w:color w:val="auto"/>
                <w:kern w:val="2"/>
                <w:szCs w:val="21"/>
                <w:highlight w:val="none"/>
              </w:rPr>
              <w:t>好的得</w:t>
            </w:r>
            <w:r>
              <w:rPr>
                <w:rFonts w:hint="eastAsia" w:ascii="宋体" w:hAnsi="宋体" w:cs="宋体"/>
                <w:bCs/>
                <w:color w:val="auto"/>
                <w:kern w:val="2"/>
                <w:szCs w:val="21"/>
                <w:highlight w:val="none"/>
                <w:lang w:val="en-US" w:eastAsia="zh-CN"/>
              </w:rPr>
              <w:t>4</w:t>
            </w:r>
            <w:r>
              <w:rPr>
                <w:rFonts w:hint="eastAsia" w:ascii="宋体" w:hAnsi="宋体" w:cs="宋体"/>
                <w:bCs/>
                <w:color w:val="auto"/>
                <w:kern w:val="2"/>
                <w:szCs w:val="21"/>
                <w:highlight w:val="none"/>
              </w:rPr>
              <w:t>分；</w:t>
            </w:r>
          </w:p>
          <w:p w14:paraId="5AFBD83D">
            <w:pPr>
              <w:pStyle w:val="11"/>
              <w:autoSpaceDE w:val="0"/>
              <w:autoSpaceDN w:val="0"/>
              <w:adjustRightInd w:val="0"/>
              <w:snapToGrid w:val="0"/>
              <w:spacing w:after="0"/>
              <w:ind w:left="0" w:leftChars="0"/>
              <w:textAlignment w:val="bottom"/>
              <w:rPr>
                <w:rFonts w:ascii="宋体" w:hAnsi="宋体" w:cs="宋体"/>
                <w:bCs/>
                <w:color w:val="auto"/>
                <w:kern w:val="2"/>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w:t>
            </w:r>
            <w:r>
              <w:rPr>
                <w:rFonts w:hint="eastAsia" w:ascii="仿宋" w:hAnsi="仿宋" w:cs="仿宋"/>
                <w:color w:val="auto"/>
                <w:sz w:val="21"/>
                <w:szCs w:val="21"/>
                <w:highlight w:val="none"/>
                <w:lang w:val="en-US" w:eastAsia="zh-CN"/>
              </w:rPr>
              <w:t>供应商</w:t>
            </w:r>
            <w:r>
              <w:rPr>
                <w:rFonts w:hint="eastAsia" w:ascii="宋体" w:hAnsi="宋体" w:cs="宋体"/>
                <w:bCs/>
                <w:color w:val="auto"/>
                <w:kern w:val="2"/>
                <w:szCs w:val="21"/>
                <w:highlight w:val="none"/>
              </w:rPr>
              <w:t>提供的</w:t>
            </w:r>
            <w:r>
              <w:rPr>
                <w:rFonts w:ascii="宋体" w:hAnsi="宋体" w:cs="宋体"/>
                <w:bCs/>
                <w:color w:val="auto"/>
                <w:szCs w:val="21"/>
                <w:highlight w:val="none"/>
              </w:rPr>
              <w:t>服务方案可行</w:t>
            </w:r>
            <w:r>
              <w:rPr>
                <w:rFonts w:hint="eastAsia" w:ascii="宋体" w:hAnsi="宋体" w:cs="宋体"/>
                <w:bCs/>
                <w:color w:val="auto"/>
                <w:szCs w:val="21"/>
                <w:highlight w:val="none"/>
                <w:lang w:val="en-US" w:eastAsia="zh-CN"/>
              </w:rPr>
              <w:t>性欠</w:t>
            </w:r>
            <w:r>
              <w:rPr>
                <w:rFonts w:hint="eastAsia" w:ascii="宋体" w:hAnsi="宋体" w:cs="宋体"/>
                <w:bCs/>
                <w:color w:val="auto"/>
                <w:kern w:val="2"/>
                <w:szCs w:val="21"/>
                <w:highlight w:val="none"/>
              </w:rPr>
              <w:t>强，相关内容</w:t>
            </w:r>
            <w:r>
              <w:rPr>
                <w:rFonts w:hint="eastAsia" w:ascii="宋体" w:hAnsi="宋体" w:cs="宋体"/>
                <w:bCs/>
                <w:color w:val="auto"/>
                <w:kern w:val="2"/>
                <w:szCs w:val="21"/>
                <w:highlight w:val="none"/>
                <w:lang w:val="en-US" w:eastAsia="zh-CN"/>
              </w:rPr>
              <w:t>欠</w:t>
            </w:r>
            <w:r>
              <w:rPr>
                <w:rFonts w:hint="eastAsia" w:ascii="宋体" w:hAnsi="宋体" w:cs="宋体"/>
                <w:bCs/>
                <w:color w:val="auto"/>
                <w:kern w:val="2"/>
                <w:szCs w:val="21"/>
                <w:highlight w:val="none"/>
              </w:rPr>
              <w:t>完整，为采购人提供服务的便利性条件</w:t>
            </w:r>
            <w:r>
              <w:rPr>
                <w:rFonts w:hint="eastAsia" w:ascii="宋体" w:hAnsi="宋体" w:cs="宋体"/>
                <w:bCs/>
                <w:color w:val="auto"/>
                <w:kern w:val="2"/>
                <w:szCs w:val="21"/>
                <w:highlight w:val="none"/>
                <w:lang w:val="en-US" w:eastAsia="zh-CN"/>
              </w:rPr>
              <w:t>欠</w:t>
            </w:r>
            <w:r>
              <w:rPr>
                <w:rFonts w:hint="eastAsia" w:ascii="宋体" w:hAnsi="宋体" w:cs="宋体"/>
                <w:bCs/>
                <w:color w:val="auto"/>
                <w:kern w:val="2"/>
                <w:szCs w:val="21"/>
                <w:highlight w:val="none"/>
              </w:rPr>
              <w:t>好的得</w:t>
            </w:r>
            <w:r>
              <w:rPr>
                <w:rFonts w:hint="eastAsia" w:ascii="宋体" w:hAnsi="宋体" w:cs="宋体"/>
                <w:bCs/>
                <w:color w:val="auto"/>
                <w:kern w:val="2"/>
                <w:szCs w:val="21"/>
                <w:highlight w:val="none"/>
                <w:lang w:val="en-US" w:eastAsia="zh-CN"/>
              </w:rPr>
              <w:t>3</w:t>
            </w:r>
            <w:r>
              <w:rPr>
                <w:rFonts w:hint="eastAsia" w:ascii="宋体" w:hAnsi="宋体" w:cs="宋体"/>
                <w:bCs/>
                <w:color w:val="auto"/>
                <w:kern w:val="2"/>
                <w:szCs w:val="21"/>
                <w:highlight w:val="none"/>
              </w:rPr>
              <w:t>分；</w:t>
            </w:r>
          </w:p>
          <w:p w14:paraId="0CA83662">
            <w:pPr>
              <w:adjustRightInd w:val="0"/>
              <w:snapToGrid w:val="0"/>
              <w:jc w:val="left"/>
              <w:rPr>
                <w:rFonts w:hint="eastAsia"/>
                <w:color w:val="auto"/>
                <w:highlight w:val="none"/>
                <w:lang w:val="en-US" w:eastAsia="zh-CN"/>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w:t>
            </w:r>
            <w:r>
              <w:rPr>
                <w:rFonts w:hint="eastAsia" w:ascii="仿宋" w:hAnsi="仿宋" w:cs="仿宋"/>
                <w:color w:val="auto"/>
                <w:sz w:val="21"/>
                <w:szCs w:val="21"/>
                <w:highlight w:val="none"/>
              </w:rPr>
              <w:t>不可行或者未提供相关内容的不得分</w:t>
            </w:r>
            <w:r>
              <w:rPr>
                <w:rFonts w:ascii="宋体" w:hAnsi="宋体" w:cs="宋体"/>
                <w:bCs/>
                <w:color w:val="auto"/>
                <w:szCs w:val="21"/>
                <w:highlight w:val="none"/>
              </w:rPr>
              <w:t>。</w:t>
            </w:r>
          </w:p>
        </w:tc>
      </w:tr>
      <w:tr w14:paraId="7A78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0" w:type="auto"/>
            <w:vMerge w:val="continue"/>
            <w:vAlign w:val="center"/>
          </w:tcPr>
          <w:p w14:paraId="2E92D675">
            <w:pPr>
              <w:adjustRightInd w:val="0"/>
              <w:snapToGrid w:val="0"/>
              <w:jc w:val="center"/>
              <w:rPr>
                <w:rFonts w:hint="eastAsia" w:ascii="Arial" w:hAnsi="Arial" w:eastAsia="宋体" w:cs="Arial"/>
                <w:color w:val="auto"/>
                <w:szCs w:val="21"/>
                <w:highlight w:val="none"/>
                <w:lang w:val="en-US" w:eastAsia="zh-CN"/>
              </w:rPr>
            </w:pPr>
          </w:p>
        </w:tc>
        <w:tc>
          <w:tcPr>
            <w:tcW w:w="1784" w:type="dxa"/>
            <w:vMerge w:val="continue"/>
            <w:vAlign w:val="center"/>
          </w:tcPr>
          <w:p w14:paraId="1BA910C6">
            <w:pPr>
              <w:adjustRightInd w:val="0"/>
              <w:snapToGrid w:val="0"/>
              <w:jc w:val="center"/>
              <w:rPr>
                <w:rFonts w:hint="eastAsia" w:ascii="Arial" w:hAnsi="Arial" w:cs="Arial"/>
                <w:color w:val="auto"/>
                <w:kern w:val="0"/>
                <w:szCs w:val="21"/>
                <w:highlight w:val="none"/>
              </w:rPr>
            </w:pPr>
          </w:p>
        </w:tc>
        <w:tc>
          <w:tcPr>
            <w:tcW w:w="7546" w:type="dxa"/>
            <w:vAlign w:val="center"/>
          </w:tcPr>
          <w:p w14:paraId="5378AEC0">
            <w:pPr>
              <w:adjustRightInd w:val="0"/>
              <w:snapToGrid w:val="0"/>
              <w:jc w:val="left"/>
              <w:rPr>
                <w:rFonts w:ascii="宋体" w:hAnsi="宋体" w:cs="宋体"/>
                <w:bCs/>
                <w:color w:val="auto"/>
                <w:szCs w:val="21"/>
                <w:highlight w:val="none"/>
              </w:rPr>
            </w:pPr>
            <w:r>
              <w:rPr>
                <w:rFonts w:ascii="宋体" w:hAnsi="宋体" w:cs="宋体"/>
                <w:bCs/>
                <w:color w:val="auto"/>
                <w:szCs w:val="21"/>
                <w:highlight w:val="none"/>
              </w:rPr>
              <w:t>根据</w:t>
            </w:r>
            <w:r>
              <w:rPr>
                <w:rFonts w:hint="eastAsia" w:ascii="仿宋" w:hAnsi="仿宋" w:cs="仿宋"/>
                <w:color w:val="auto"/>
                <w:sz w:val="21"/>
                <w:szCs w:val="21"/>
                <w:highlight w:val="none"/>
                <w:lang w:val="en-US" w:eastAsia="zh-CN"/>
              </w:rPr>
              <w:t>供应商</w:t>
            </w:r>
            <w:r>
              <w:rPr>
                <w:rFonts w:ascii="宋体" w:hAnsi="宋体" w:cs="宋体"/>
                <w:bCs/>
                <w:color w:val="auto"/>
                <w:szCs w:val="21"/>
                <w:highlight w:val="none"/>
              </w:rPr>
              <w:t>售后服务承诺情况，以及服务承诺的可行性、完整性以及落实服务承诺的保障措施</w:t>
            </w:r>
            <w:r>
              <w:rPr>
                <w:rFonts w:hint="eastAsia" w:ascii="宋体" w:hAnsi="宋体" w:cs="宋体"/>
                <w:bCs/>
                <w:color w:val="auto"/>
                <w:szCs w:val="21"/>
                <w:highlight w:val="none"/>
                <w:lang w:val="en-US" w:eastAsia="zh-CN"/>
              </w:rPr>
              <w:t>和</w:t>
            </w:r>
            <w:r>
              <w:rPr>
                <w:rFonts w:ascii="宋体" w:hAnsi="宋体" w:cs="宋体"/>
                <w:bCs/>
                <w:color w:val="auto"/>
                <w:szCs w:val="21"/>
                <w:highlight w:val="none"/>
              </w:rPr>
              <w:t>其他优惠承诺</w:t>
            </w:r>
            <w:r>
              <w:rPr>
                <w:rFonts w:hint="eastAsia" w:ascii="宋体" w:hAnsi="宋体" w:cs="宋体"/>
                <w:bCs/>
                <w:color w:val="auto"/>
                <w:szCs w:val="21"/>
                <w:highlight w:val="none"/>
                <w:lang w:eastAsia="zh-CN"/>
              </w:rPr>
              <w:t>，</w:t>
            </w:r>
            <w:r>
              <w:rPr>
                <w:rFonts w:ascii="宋体" w:hAnsi="宋体" w:cs="宋体"/>
                <w:bCs/>
                <w:color w:val="auto"/>
                <w:szCs w:val="21"/>
                <w:highlight w:val="none"/>
              </w:rPr>
              <w:t>由专家</w:t>
            </w:r>
            <w:r>
              <w:rPr>
                <w:rFonts w:hint="eastAsia" w:ascii="宋体" w:hAnsi="宋体" w:cs="宋体"/>
                <w:bCs/>
                <w:color w:val="auto"/>
                <w:szCs w:val="21"/>
                <w:highlight w:val="none"/>
                <w:lang w:val="en-US" w:eastAsia="zh-CN"/>
              </w:rPr>
              <w:t>综合</w:t>
            </w:r>
            <w:r>
              <w:rPr>
                <w:rFonts w:ascii="宋体" w:hAnsi="宋体" w:cs="宋体"/>
                <w:bCs/>
                <w:color w:val="auto"/>
                <w:szCs w:val="21"/>
                <w:highlight w:val="none"/>
              </w:rPr>
              <w:t>评分</w:t>
            </w:r>
            <w:r>
              <w:rPr>
                <w:rFonts w:hint="eastAsia" w:ascii="宋体" w:hAnsi="宋体" w:cs="宋体"/>
                <w:bCs/>
                <w:color w:val="auto"/>
                <w:szCs w:val="21"/>
                <w:highlight w:val="none"/>
              </w:rPr>
              <w:t>：</w:t>
            </w:r>
          </w:p>
          <w:p w14:paraId="47E86E33">
            <w:pPr>
              <w:pStyle w:val="11"/>
              <w:autoSpaceDE w:val="0"/>
              <w:autoSpaceDN w:val="0"/>
              <w:adjustRightInd w:val="0"/>
              <w:snapToGrid w:val="0"/>
              <w:spacing w:after="0"/>
              <w:ind w:left="0" w:leftChars="0"/>
              <w:textAlignment w:val="bottom"/>
              <w:rPr>
                <w:rFonts w:ascii="宋体" w:hAnsi="宋体" w:cs="宋体"/>
                <w:bCs/>
                <w:color w:val="auto"/>
                <w:kern w:val="2"/>
                <w:szCs w:val="21"/>
                <w:highlight w:val="none"/>
              </w:rPr>
            </w:pPr>
            <w:r>
              <w:rPr>
                <w:rFonts w:hint="eastAsia" w:ascii="仿宋" w:hAnsi="仿宋" w:cs="仿宋"/>
                <w:color w:val="auto"/>
                <w:sz w:val="21"/>
                <w:szCs w:val="21"/>
                <w:highlight w:val="none"/>
                <w:lang w:val="en-US" w:eastAsia="zh-CN"/>
              </w:rPr>
              <w:t>（1）供应商</w:t>
            </w:r>
            <w:r>
              <w:rPr>
                <w:rFonts w:hint="eastAsia" w:ascii="宋体" w:hAnsi="宋体" w:cs="宋体"/>
                <w:bCs/>
                <w:color w:val="auto"/>
                <w:kern w:val="2"/>
                <w:szCs w:val="21"/>
                <w:highlight w:val="none"/>
              </w:rPr>
              <w:t>提供的</w:t>
            </w:r>
            <w:r>
              <w:rPr>
                <w:rFonts w:ascii="宋体" w:hAnsi="宋体" w:cs="宋体"/>
                <w:bCs/>
                <w:color w:val="auto"/>
                <w:kern w:val="2"/>
                <w:szCs w:val="21"/>
                <w:highlight w:val="none"/>
              </w:rPr>
              <w:t>售后服务承诺</w:t>
            </w:r>
            <w:r>
              <w:rPr>
                <w:rFonts w:hint="eastAsia" w:ascii="宋体" w:hAnsi="宋体" w:cs="宋体"/>
                <w:bCs/>
                <w:color w:val="auto"/>
                <w:kern w:val="2"/>
                <w:szCs w:val="21"/>
                <w:highlight w:val="none"/>
              </w:rPr>
              <w:t>可行性强，服务承诺的保障措施合理有效，各项优惠承诺较多的得</w:t>
            </w:r>
            <w:r>
              <w:rPr>
                <w:rFonts w:hint="eastAsia" w:ascii="宋体" w:hAnsi="宋体" w:cs="宋体"/>
                <w:bCs/>
                <w:color w:val="auto"/>
                <w:kern w:val="2"/>
                <w:szCs w:val="21"/>
                <w:highlight w:val="none"/>
                <w:lang w:val="en-US" w:eastAsia="zh-CN"/>
              </w:rPr>
              <w:t>5</w:t>
            </w:r>
            <w:r>
              <w:rPr>
                <w:rFonts w:hint="eastAsia" w:ascii="宋体" w:hAnsi="宋体" w:cs="宋体"/>
                <w:bCs/>
                <w:color w:val="auto"/>
                <w:kern w:val="2"/>
                <w:szCs w:val="21"/>
                <w:highlight w:val="none"/>
              </w:rPr>
              <w:t>分；</w:t>
            </w:r>
          </w:p>
          <w:p w14:paraId="6980877E">
            <w:pPr>
              <w:pStyle w:val="11"/>
              <w:autoSpaceDE w:val="0"/>
              <w:autoSpaceDN w:val="0"/>
              <w:adjustRightInd w:val="0"/>
              <w:snapToGrid w:val="0"/>
              <w:spacing w:after="0"/>
              <w:ind w:left="0" w:leftChars="0"/>
              <w:textAlignment w:val="bottom"/>
              <w:rPr>
                <w:rFonts w:ascii="宋体" w:hAnsi="宋体" w:cs="宋体"/>
                <w:bCs/>
                <w:color w:val="auto"/>
                <w:kern w:val="2"/>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w:t>
            </w:r>
            <w:r>
              <w:rPr>
                <w:rFonts w:hint="eastAsia" w:ascii="仿宋" w:hAnsi="仿宋" w:cs="仿宋"/>
                <w:color w:val="auto"/>
                <w:sz w:val="21"/>
                <w:szCs w:val="21"/>
                <w:highlight w:val="none"/>
                <w:lang w:val="en-US" w:eastAsia="zh-CN"/>
              </w:rPr>
              <w:t>供应商</w:t>
            </w:r>
            <w:r>
              <w:rPr>
                <w:rFonts w:hint="eastAsia" w:ascii="宋体" w:hAnsi="宋体" w:cs="宋体"/>
                <w:bCs/>
                <w:color w:val="auto"/>
                <w:kern w:val="2"/>
                <w:szCs w:val="21"/>
                <w:highlight w:val="none"/>
              </w:rPr>
              <w:t>提供的</w:t>
            </w:r>
            <w:r>
              <w:rPr>
                <w:rFonts w:ascii="宋体" w:hAnsi="宋体" w:cs="宋体"/>
                <w:bCs/>
                <w:color w:val="auto"/>
                <w:kern w:val="2"/>
                <w:szCs w:val="21"/>
                <w:highlight w:val="none"/>
              </w:rPr>
              <w:t>售后服务承诺</w:t>
            </w:r>
            <w:r>
              <w:rPr>
                <w:rFonts w:hint="eastAsia" w:ascii="宋体" w:hAnsi="宋体" w:cs="宋体"/>
                <w:bCs/>
                <w:color w:val="auto"/>
                <w:kern w:val="2"/>
                <w:szCs w:val="21"/>
                <w:highlight w:val="none"/>
              </w:rPr>
              <w:t>可行性一般，服务承诺的保障措施相对合理有效，各项优惠承诺一般的得</w:t>
            </w:r>
            <w:r>
              <w:rPr>
                <w:rFonts w:hint="eastAsia" w:ascii="宋体" w:hAnsi="宋体" w:cs="宋体"/>
                <w:bCs/>
                <w:color w:val="auto"/>
                <w:kern w:val="2"/>
                <w:szCs w:val="21"/>
                <w:highlight w:val="none"/>
                <w:lang w:val="en-US" w:eastAsia="zh-CN"/>
              </w:rPr>
              <w:t>4</w:t>
            </w:r>
            <w:r>
              <w:rPr>
                <w:rFonts w:hint="eastAsia" w:ascii="宋体" w:hAnsi="宋体" w:cs="宋体"/>
                <w:bCs/>
                <w:color w:val="auto"/>
                <w:kern w:val="2"/>
                <w:szCs w:val="21"/>
                <w:highlight w:val="none"/>
              </w:rPr>
              <w:t>分；</w:t>
            </w:r>
          </w:p>
          <w:p w14:paraId="66D7E1A9">
            <w:pPr>
              <w:pStyle w:val="11"/>
              <w:autoSpaceDE w:val="0"/>
              <w:autoSpaceDN w:val="0"/>
              <w:adjustRightInd w:val="0"/>
              <w:snapToGrid w:val="0"/>
              <w:spacing w:after="0"/>
              <w:ind w:left="0" w:leftChars="0"/>
              <w:textAlignment w:val="bottom"/>
              <w:rPr>
                <w:rFonts w:ascii="宋体" w:hAnsi="宋体" w:cs="宋体"/>
                <w:bCs/>
                <w:color w:val="auto"/>
                <w:kern w:val="2"/>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w:t>
            </w:r>
            <w:r>
              <w:rPr>
                <w:rFonts w:hint="eastAsia" w:ascii="仿宋" w:hAnsi="仿宋" w:cs="仿宋"/>
                <w:color w:val="auto"/>
                <w:sz w:val="21"/>
                <w:szCs w:val="21"/>
                <w:highlight w:val="none"/>
                <w:lang w:val="en-US" w:eastAsia="zh-CN"/>
              </w:rPr>
              <w:t>供应商</w:t>
            </w:r>
            <w:r>
              <w:rPr>
                <w:rFonts w:hint="eastAsia" w:ascii="宋体" w:hAnsi="宋体" w:cs="宋体"/>
                <w:bCs/>
                <w:color w:val="auto"/>
                <w:kern w:val="2"/>
                <w:szCs w:val="21"/>
                <w:highlight w:val="none"/>
              </w:rPr>
              <w:t>提供的</w:t>
            </w:r>
            <w:r>
              <w:rPr>
                <w:rFonts w:ascii="宋体" w:hAnsi="宋体" w:cs="宋体"/>
                <w:bCs/>
                <w:color w:val="auto"/>
                <w:kern w:val="2"/>
                <w:szCs w:val="21"/>
                <w:highlight w:val="none"/>
              </w:rPr>
              <w:t>售后服务承诺</w:t>
            </w:r>
            <w:r>
              <w:rPr>
                <w:rFonts w:hint="eastAsia" w:ascii="宋体" w:hAnsi="宋体" w:cs="宋体"/>
                <w:bCs/>
                <w:color w:val="auto"/>
                <w:kern w:val="2"/>
                <w:szCs w:val="21"/>
                <w:highlight w:val="none"/>
              </w:rPr>
              <w:t>可行性较差，服务承诺的保障措施合理性一般，各项优惠承诺较少的得</w:t>
            </w:r>
            <w:r>
              <w:rPr>
                <w:rFonts w:hint="eastAsia" w:ascii="宋体" w:hAnsi="宋体" w:cs="宋体"/>
                <w:bCs/>
                <w:color w:val="auto"/>
                <w:kern w:val="2"/>
                <w:szCs w:val="21"/>
                <w:highlight w:val="none"/>
                <w:lang w:val="en-US" w:eastAsia="zh-CN"/>
              </w:rPr>
              <w:t>3</w:t>
            </w:r>
            <w:r>
              <w:rPr>
                <w:rFonts w:hint="eastAsia" w:ascii="宋体" w:hAnsi="宋体" w:cs="宋体"/>
                <w:bCs/>
                <w:color w:val="auto"/>
                <w:kern w:val="2"/>
                <w:szCs w:val="21"/>
                <w:highlight w:val="none"/>
              </w:rPr>
              <w:t>分；</w:t>
            </w:r>
          </w:p>
          <w:p w14:paraId="34106512">
            <w:pPr>
              <w:bidi w:val="0"/>
              <w:rPr>
                <w:rFonts w:hint="eastAsia"/>
                <w:color w:val="auto"/>
                <w:highlight w:val="none"/>
                <w:lang w:val="en-US" w:eastAsia="zh-CN"/>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w:t>
            </w:r>
            <w:r>
              <w:rPr>
                <w:rFonts w:hint="eastAsia" w:ascii="仿宋" w:hAnsi="仿宋" w:cs="仿宋"/>
                <w:color w:val="auto"/>
                <w:sz w:val="21"/>
                <w:szCs w:val="21"/>
                <w:highlight w:val="none"/>
              </w:rPr>
              <w:t>不可行或者未提供相关内容的不得分</w:t>
            </w:r>
            <w:r>
              <w:rPr>
                <w:rFonts w:ascii="宋体" w:hAnsi="宋体" w:cs="宋体"/>
                <w:bCs/>
                <w:color w:val="auto"/>
                <w:szCs w:val="21"/>
                <w:highlight w:val="none"/>
              </w:rPr>
              <w:t>。</w:t>
            </w:r>
          </w:p>
        </w:tc>
      </w:tr>
    </w:tbl>
    <w:p w14:paraId="7AF13E82">
      <w:pPr>
        <w:spacing w:line="360" w:lineRule="auto"/>
        <w:rPr>
          <w:rFonts w:hint="eastAsia" w:asciiTheme="minorEastAsia" w:hAnsiTheme="minorEastAsia" w:eastAsiaTheme="minorEastAsia"/>
          <w:b/>
          <w:color w:val="auto"/>
          <w:sz w:val="24"/>
          <w:highlight w:val="none"/>
        </w:rPr>
      </w:pPr>
      <w:r>
        <w:rPr>
          <w:rFonts w:hint="eastAsia"/>
          <w:b/>
          <w:bCs/>
          <w:color w:val="auto"/>
          <w:highlight w:val="none"/>
        </w:rPr>
        <w:t>注</w:t>
      </w:r>
      <w:r>
        <w:rPr>
          <w:rFonts w:hint="eastAsia"/>
          <w:color w:val="auto"/>
          <w:highlight w:val="none"/>
        </w:rPr>
        <w:t>：</w:t>
      </w:r>
      <w:r>
        <w:rPr>
          <w:rFonts w:hint="eastAsia" w:cs="Times New Roman" w:asciiTheme="minorEastAsia" w:hAnsiTheme="minorEastAsia" w:eastAsiaTheme="minorEastAsia"/>
          <w:b w:val="0"/>
          <w:bCs/>
          <w:color w:val="auto"/>
          <w:sz w:val="24"/>
          <w:highlight w:val="none"/>
        </w:rPr>
        <w:t>①请扫描上传合同、证书、报告及其他相关证明材料的原件至投标文件。</w:t>
      </w:r>
      <w:r>
        <w:rPr>
          <w:rFonts w:hint="eastAsia" w:asciiTheme="minorEastAsia" w:hAnsiTheme="minorEastAsia" w:eastAsiaTheme="minorEastAsia"/>
          <w:b w:val="0"/>
          <w:bCs/>
          <w:color w:val="auto"/>
          <w:sz w:val="24"/>
          <w:highlight w:val="none"/>
        </w:rPr>
        <w:t>商务</w:t>
      </w:r>
      <w:r>
        <w:rPr>
          <w:rFonts w:hint="eastAsia" w:asciiTheme="minorEastAsia" w:hAnsiTheme="minorEastAsia" w:eastAsiaTheme="minorEastAsia"/>
          <w:b w:val="0"/>
          <w:bCs/>
          <w:color w:val="auto"/>
          <w:sz w:val="24"/>
          <w:highlight w:val="none"/>
          <w:lang w:val="en-US" w:eastAsia="zh-CN"/>
        </w:rPr>
        <w:t>与</w:t>
      </w:r>
      <w:r>
        <w:rPr>
          <w:rFonts w:hint="eastAsia" w:asciiTheme="minorEastAsia" w:hAnsiTheme="minorEastAsia" w:eastAsiaTheme="minorEastAsia"/>
          <w:b w:val="0"/>
          <w:bCs/>
          <w:color w:val="auto"/>
          <w:sz w:val="24"/>
          <w:highlight w:val="none"/>
        </w:rPr>
        <w:t>技术文件内容缺项的，该项得0分。</w:t>
      </w:r>
    </w:p>
    <w:p w14:paraId="7E8C926C">
      <w:pPr>
        <w:pStyle w:val="12"/>
        <w:snapToGrid w:val="0"/>
        <w:spacing w:before="159" w:beforeLines="50" w:beforeAutospacing="0" w:after="63" w:afterLines="20" w:afterAutospacing="0" w:line="360" w:lineRule="auto"/>
        <w:ind w:firstLine="480" w:firstLineChars="200"/>
        <w:rPr>
          <w:rFonts w:hint="eastAsia" w:asciiTheme="minorEastAsia" w:hAnsiTheme="minorEastAsia" w:eastAsiaTheme="minorEastAsia"/>
          <w:b w:val="0"/>
          <w:bCs/>
          <w:color w:val="auto"/>
          <w:sz w:val="24"/>
          <w:highlight w:val="none"/>
        </w:rPr>
      </w:pPr>
      <w:r>
        <w:rPr>
          <w:rFonts w:hint="eastAsia" w:asciiTheme="minorEastAsia" w:hAnsiTheme="minorEastAsia" w:eastAsiaTheme="minorEastAsia"/>
          <w:b w:val="0"/>
          <w:bCs/>
          <w:color w:val="auto"/>
          <w:sz w:val="24"/>
          <w:highlight w:val="none"/>
        </w:rPr>
        <w:t>（</w:t>
      </w:r>
      <w:r>
        <w:rPr>
          <w:rFonts w:hint="eastAsia" w:asciiTheme="minorEastAsia" w:hAnsiTheme="minorEastAsia" w:eastAsiaTheme="minorEastAsia"/>
          <w:b w:val="0"/>
          <w:bCs/>
          <w:color w:val="auto"/>
          <w:sz w:val="24"/>
          <w:highlight w:val="none"/>
          <w:lang w:val="en-US" w:eastAsia="zh-CN"/>
        </w:rPr>
        <w:t>2</w:t>
      </w:r>
      <w:r>
        <w:rPr>
          <w:rFonts w:hint="eastAsia" w:asciiTheme="minorEastAsia" w:hAnsiTheme="minorEastAsia" w:eastAsiaTheme="minorEastAsia"/>
          <w:b w:val="0"/>
          <w:bCs/>
          <w:color w:val="auto"/>
          <w:sz w:val="24"/>
          <w:highlight w:val="none"/>
        </w:rPr>
        <w:t>）报价文件评定分值为</w:t>
      </w:r>
      <w:r>
        <w:rPr>
          <w:rFonts w:hint="eastAsia" w:asciiTheme="minorEastAsia" w:hAnsiTheme="minorEastAsia" w:eastAsiaTheme="minorEastAsia"/>
          <w:b w:val="0"/>
          <w:bCs/>
          <w:color w:val="auto"/>
          <w:sz w:val="24"/>
          <w:highlight w:val="none"/>
          <w:lang w:val="en-US" w:eastAsia="zh-CN"/>
        </w:rPr>
        <w:t>1</w:t>
      </w:r>
      <w:r>
        <w:rPr>
          <w:rFonts w:hint="eastAsia" w:asciiTheme="minorEastAsia" w:hAnsiTheme="minorEastAsia" w:eastAsiaTheme="minorEastAsia"/>
          <w:b w:val="0"/>
          <w:bCs/>
          <w:color w:val="auto"/>
          <w:sz w:val="24"/>
          <w:highlight w:val="none"/>
        </w:rPr>
        <w:t>0分。（以下除注明外，计算结果小数点后保留2位，第3位四舍五入）。</w:t>
      </w:r>
    </w:p>
    <w:p w14:paraId="42C466C3">
      <w:pPr>
        <w:pStyle w:val="12"/>
        <w:snapToGrid w:val="0"/>
        <w:spacing w:before="159" w:beforeLines="50" w:beforeAutospacing="0" w:after="63" w:afterLines="20" w:afterAutospacing="0" w:line="360" w:lineRule="auto"/>
        <w:ind w:firstLine="480" w:firstLineChars="200"/>
        <w:rPr>
          <w:rFonts w:hint="eastAsia" w:asciiTheme="minorEastAsia" w:hAnsiTheme="minorEastAsia" w:eastAsiaTheme="minorEastAsia"/>
          <w:b w:val="0"/>
          <w:bCs/>
          <w:color w:val="auto"/>
          <w:sz w:val="24"/>
          <w:highlight w:val="none"/>
        </w:rPr>
      </w:pPr>
      <w:r>
        <w:rPr>
          <w:rFonts w:hint="eastAsia" w:asciiTheme="minorEastAsia" w:hAnsiTheme="minorEastAsia" w:eastAsiaTheme="minorEastAsia"/>
          <w:b w:val="0"/>
          <w:bCs/>
          <w:color w:val="auto"/>
          <w:sz w:val="24"/>
          <w:highlight w:val="none"/>
        </w:rPr>
        <w:t>价格分采用低价优先法计算，以最低有效投标报价作为评标基准价，其价格分为</w:t>
      </w:r>
      <w:r>
        <w:rPr>
          <w:rFonts w:hint="eastAsia" w:asciiTheme="minorEastAsia" w:hAnsiTheme="minorEastAsia" w:eastAsiaTheme="minorEastAsia"/>
          <w:b w:val="0"/>
          <w:bCs/>
          <w:color w:val="auto"/>
          <w:sz w:val="24"/>
          <w:highlight w:val="none"/>
          <w:lang w:val="en-US" w:eastAsia="zh-CN"/>
        </w:rPr>
        <w:t>10</w:t>
      </w:r>
      <w:r>
        <w:rPr>
          <w:rFonts w:hint="eastAsia" w:asciiTheme="minorEastAsia" w:hAnsiTheme="minorEastAsia" w:eastAsiaTheme="minorEastAsia"/>
          <w:b w:val="0"/>
          <w:bCs/>
          <w:color w:val="auto"/>
          <w:sz w:val="24"/>
          <w:highlight w:val="none"/>
        </w:rPr>
        <w:t>分。其他</w:t>
      </w:r>
      <w:r>
        <w:rPr>
          <w:rFonts w:hint="eastAsia" w:asciiTheme="minorEastAsia" w:hAnsiTheme="minorEastAsia" w:eastAsiaTheme="minorEastAsia"/>
          <w:b w:val="0"/>
          <w:bCs/>
          <w:color w:val="auto"/>
          <w:sz w:val="24"/>
          <w:highlight w:val="none"/>
          <w:lang w:val="en-US" w:eastAsia="zh-CN"/>
        </w:rPr>
        <w:t>供应商</w:t>
      </w:r>
      <w:r>
        <w:rPr>
          <w:rFonts w:hint="eastAsia" w:asciiTheme="minorEastAsia" w:hAnsiTheme="minorEastAsia" w:eastAsiaTheme="minorEastAsia"/>
          <w:b w:val="0"/>
          <w:bCs/>
          <w:color w:val="auto"/>
          <w:sz w:val="24"/>
          <w:highlight w:val="none"/>
        </w:rPr>
        <w:t>的价格分统一按照下列公式计算：</w:t>
      </w:r>
    </w:p>
    <w:p w14:paraId="7D212D1C">
      <w:pPr>
        <w:pStyle w:val="12"/>
        <w:snapToGrid w:val="0"/>
        <w:spacing w:before="159" w:beforeLines="50" w:beforeAutospacing="0" w:after="63" w:afterLines="20" w:afterAutospacing="0" w:line="360" w:lineRule="auto"/>
        <w:ind w:firstLine="480" w:firstLineChars="200"/>
        <w:rPr>
          <w:rFonts w:hint="eastAsia" w:asciiTheme="minorEastAsia" w:hAnsiTheme="minorEastAsia" w:eastAsiaTheme="minorEastAsia"/>
          <w:b w:val="0"/>
          <w:bCs/>
          <w:color w:val="auto"/>
          <w:sz w:val="24"/>
          <w:highlight w:val="none"/>
        </w:rPr>
      </w:pPr>
      <w:r>
        <w:rPr>
          <w:rFonts w:hint="eastAsia" w:asciiTheme="minorEastAsia" w:hAnsiTheme="minorEastAsia" w:eastAsiaTheme="minorEastAsia"/>
          <w:b w:val="0"/>
          <w:bCs/>
          <w:color w:val="auto"/>
          <w:sz w:val="24"/>
          <w:highlight w:val="none"/>
        </w:rPr>
        <w:t>报价文件得分=(评标基准价／投标报价)×</w:t>
      </w:r>
      <w:r>
        <w:rPr>
          <w:rFonts w:hint="eastAsia" w:asciiTheme="minorEastAsia" w:hAnsiTheme="minorEastAsia" w:eastAsiaTheme="minorEastAsia"/>
          <w:b w:val="0"/>
          <w:bCs/>
          <w:color w:val="auto"/>
          <w:sz w:val="24"/>
          <w:highlight w:val="none"/>
          <w:lang w:val="en-US" w:eastAsia="zh-CN"/>
        </w:rPr>
        <w:t>1</w:t>
      </w:r>
      <w:r>
        <w:rPr>
          <w:rFonts w:hint="eastAsia" w:asciiTheme="minorEastAsia" w:hAnsiTheme="minorEastAsia" w:eastAsiaTheme="minorEastAsia"/>
          <w:b w:val="0"/>
          <w:bCs/>
          <w:color w:val="auto"/>
          <w:sz w:val="24"/>
          <w:highlight w:val="none"/>
        </w:rPr>
        <w:t>0</w:t>
      </w:r>
    </w:p>
    <w:p w14:paraId="44F5F025">
      <w:pPr>
        <w:pStyle w:val="12"/>
        <w:snapToGrid w:val="0"/>
        <w:spacing w:before="159" w:beforeLines="50" w:beforeAutospacing="0" w:after="63" w:afterLines="20" w:afterAutospacing="0" w:line="360" w:lineRule="auto"/>
        <w:ind w:firstLine="480" w:firstLineChars="200"/>
        <w:rPr>
          <w:rFonts w:hint="eastAsia" w:asciiTheme="minorEastAsia" w:hAnsiTheme="minorEastAsia" w:eastAsiaTheme="minorEastAsia"/>
          <w:b w:val="0"/>
          <w:bCs/>
          <w:color w:val="auto"/>
          <w:sz w:val="24"/>
          <w:highlight w:val="none"/>
        </w:rPr>
      </w:pPr>
      <w:r>
        <w:rPr>
          <w:rFonts w:hint="eastAsia" w:asciiTheme="minorEastAsia" w:hAnsiTheme="minorEastAsia" w:eastAsiaTheme="minorEastAsia"/>
          <w:b w:val="0"/>
          <w:bCs/>
          <w:color w:val="auto"/>
          <w:sz w:val="24"/>
          <w:highlight w:val="none"/>
        </w:rPr>
        <w:t>（</w:t>
      </w:r>
      <w:r>
        <w:rPr>
          <w:rFonts w:hint="eastAsia" w:asciiTheme="minorEastAsia" w:hAnsiTheme="minorEastAsia" w:eastAsiaTheme="minorEastAsia"/>
          <w:b w:val="0"/>
          <w:bCs/>
          <w:color w:val="auto"/>
          <w:sz w:val="24"/>
          <w:highlight w:val="none"/>
          <w:lang w:val="en-US" w:eastAsia="zh-CN"/>
        </w:rPr>
        <w:t>3</w:t>
      </w:r>
      <w:r>
        <w:rPr>
          <w:rFonts w:hint="eastAsia" w:asciiTheme="minorEastAsia" w:hAnsiTheme="minorEastAsia" w:eastAsiaTheme="minorEastAsia"/>
          <w:b w:val="0"/>
          <w:bCs/>
          <w:color w:val="auto"/>
          <w:sz w:val="24"/>
          <w:highlight w:val="none"/>
        </w:rPr>
        <w:t>）总得分的统计及中标候选人的确定。</w:t>
      </w:r>
    </w:p>
    <w:p w14:paraId="70789E8A">
      <w:pPr>
        <w:pStyle w:val="12"/>
        <w:snapToGrid w:val="0"/>
        <w:spacing w:line="360" w:lineRule="auto"/>
        <w:ind w:firstLine="480" w:firstLineChars="200"/>
        <w:rPr>
          <w:rFonts w:hint="eastAsia" w:asciiTheme="minorEastAsia" w:hAnsiTheme="minorEastAsia" w:eastAsiaTheme="minorEastAsia"/>
          <w:b/>
          <w:color w:val="auto"/>
          <w:sz w:val="24"/>
          <w:highlight w:val="none"/>
        </w:rPr>
      </w:pPr>
      <w:r>
        <w:rPr>
          <w:rFonts w:hint="eastAsia" w:asciiTheme="minorEastAsia" w:hAnsiTheme="minorEastAsia" w:eastAsiaTheme="minorEastAsia"/>
          <w:b w:val="0"/>
          <w:bCs/>
          <w:color w:val="auto"/>
          <w:sz w:val="24"/>
          <w:highlight w:val="none"/>
        </w:rPr>
        <w:t>评标总得分的确定：</w:t>
      </w:r>
      <w:r>
        <w:rPr>
          <w:rFonts w:hint="eastAsia" w:asciiTheme="minorEastAsia" w:hAnsiTheme="minorEastAsia" w:eastAsiaTheme="minorEastAsia"/>
          <w:b w:val="0"/>
          <w:bCs/>
          <w:color w:val="auto"/>
          <w:sz w:val="24"/>
          <w:highlight w:val="none"/>
          <w:lang w:val="en-US" w:eastAsia="zh-CN"/>
        </w:rPr>
        <w:t>供应商</w:t>
      </w:r>
      <w:r>
        <w:rPr>
          <w:rFonts w:hint="eastAsia" w:asciiTheme="minorEastAsia" w:hAnsiTheme="minorEastAsia" w:eastAsiaTheme="minorEastAsia"/>
          <w:b w:val="0"/>
          <w:bCs/>
          <w:color w:val="auto"/>
          <w:sz w:val="24"/>
          <w:highlight w:val="none"/>
        </w:rPr>
        <w:t>的总得分＝商务</w:t>
      </w:r>
      <w:r>
        <w:rPr>
          <w:rFonts w:hint="eastAsia" w:asciiTheme="minorEastAsia" w:hAnsiTheme="minorEastAsia" w:eastAsiaTheme="minorEastAsia"/>
          <w:b w:val="0"/>
          <w:bCs/>
          <w:color w:val="auto"/>
          <w:sz w:val="24"/>
          <w:highlight w:val="none"/>
          <w:lang w:val="en-US" w:eastAsia="zh-CN"/>
        </w:rPr>
        <w:t>与</w:t>
      </w:r>
      <w:r>
        <w:rPr>
          <w:rFonts w:hint="eastAsia" w:asciiTheme="minorEastAsia" w:hAnsiTheme="minorEastAsia" w:eastAsiaTheme="minorEastAsia"/>
          <w:b w:val="0"/>
          <w:bCs/>
          <w:color w:val="auto"/>
          <w:sz w:val="24"/>
          <w:highlight w:val="none"/>
        </w:rPr>
        <w:t>技术文件得分+报价文件得分。</w:t>
      </w:r>
    </w:p>
    <w:p w14:paraId="47133B2A">
      <w:pPr>
        <w:pStyle w:val="12"/>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2.评审要求</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lang w:val="en-US" w:eastAsia="zh-CN"/>
        </w:rPr>
        <w:t>标项一、标项二</w:t>
      </w:r>
      <w:r>
        <w:rPr>
          <w:rFonts w:hint="eastAsia" w:asciiTheme="minorEastAsia" w:hAnsiTheme="minorEastAsia" w:eastAsiaTheme="minorEastAsia"/>
          <w:b/>
          <w:color w:val="auto"/>
          <w:sz w:val="24"/>
          <w:highlight w:val="none"/>
          <w:lang w:eastAsia="zh-CN"/>
        </w:rPr>
        <w:t>）</w:t>
      </w:r>
    </w:p>
    <w:p w14:paraId="38F19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（1）评标委员会应当按照招标文件中规定的评标方法和标准，对符合性审查合格的投标文件的</w:t>
      </w:r>
      <w:r>
        <w:rPr>
          <w:rFonts w:hint="eastAsia" w:ascii="宋体" w:hAnsi="宋体" w:cs="宋体"/>
          <w:color w:val="auto"/>
          <w:sz w:val="24"/>
          <w:highlight w:val="none"/>
          <w:lang w:val="en-US" w:eastAsia="zh-CN"/>
        </w:rPr>
        <w:t>商务与技术文件</w:t>
      </w:r>
      <w:r>
        <w:rPr>
          <w:rFonts w:hint="eastAsia" w:ascii="宋体" w:hAnsi="宋体" w:cs="宋体"/>
          <w:color w:val="auto"/>
          <w:sz w:val="24"/>
          <w:highlight w:val="none"/>
        </w:rPr>
        <w:t>进行综合比较与评价，其中</w:t>
      </w:r>
      <w:r>
        <w:rPr>
          <w:rFonts w:hint="eastAsia" w:ascii="宋体"/>
          <w:bCs/>
          <w:color w:val="auto"/>
          <w:sz w:val="24"/>
          <w:highlight w:val="none"/>
          <w:lang w:val="zh-CN"/>
        </w:rPr>
        <w:t>客观</w:t>
      </w:r>
      <w:r>
        <w:rPr>
          <w:rFonts w:hint="eastAsia" w:ascii="宋体"/>
          <w:bCs/>
          <w:color w:val="auto"/>
          <w:sz w:val="24"/>
          <w:highlight w:val="none"/>
        </w:rPr>
        <w:t>评分项的分值</w:t>
      </w:r>
      <w:r>
        <w:rPr>
          <w:rFonts w:hint="eastAsia" w:ascii="宋体"/>
          <w:bCs/>
          <w:color w:val="auto"/>
          <w:sz w:val="24"/>
          <w:highlight w:val="none"/>
          <w:lang w:val="zh-CN"/>
        </w:rPr>
        <w:t>应当一致。</w:t>
      </w:r>
    </w:p>
    <w:p w14:paraId="6D0191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（2）对于投标文件报价出现前后不一致的，除招标文件另有规定外，按照下列规定修正：</w:t>
      </w:r>
    </w:p>
    <w:p w14:paraId="2566F8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①“政采云平台”上开启的投标报价与电子投标文件中开标一览表（报价表）内容不一致的，以电子投标文件中开标一览表（报价表）为准；</w:t>
      </w:r>
    </w:p>
    <w:p w14:paraId="1A0FE4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②投标文件中开标一览表（报价表）内容与投标文件中相应内容不一致的，以开标一览表（报价表）为准；</w:t>
      </w:r>
    </w:p>
    <w:p w14:paraId="24AC26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③大写金额和小写金额不一致的，以大写金额为准；</w:t>
      </w:r>
    </w:p>
    <w:p w14:paraId="1E3A5D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④单价金额小数点或者百分比有明显错位的，以开标一览表的总价为准，并修改单价；</w:t>
      </w:r>
    </w:p>
    <w:p w14:paraId="0E3F8B91">
      <w:pPr>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5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⑤</w:t>
      </w:r>
      <w:r>
        <w:rPr>
          <w:rFonts w:hint="eastAsia" w:ascii="宋体" w:hAnsi="宋体" w:eastAsia="宋体" w:cs="宋体"/>
          <w:color w:val="auto"/>
          <w:sz w:val="24"/>
          <w:highlight w:val="none"/>
        </w:rPr>
        <w:fldChar w:fldCharType="end"/>
      </w:r>
      <w:r>
        <w:rPr>
          <w:rFonts w:hint="eastAsia" w:ascii="宋体" w:hAnsi="宋体" w:cs="宋体"/>
          <w:color w:val="auto"/>
          <w:sz w:val="24"/>
          <w:highlight w:val="none"/>
        </w:rPr>
        <w:t>总价金额与按单价汇总金额不一致的，以单价金额计算结果为准。</w:t>
      </w:r>
    </w:p>
    <w:p w14:paraId="6EE3E6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同时出现两种以上不一致的，按照前款规定的顺序修正。修正应当采用询标的形式，并加盖公章。</w:t>
      </w:r>
    </w:p>
    <w:p w14:paraId="4400C4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（3）对于投标文件中含义不明确、同类问题表述不一致或者有明显文字和计算错误的内容，评标委员会应当要求</w:t>
      </w:r>
      <w:r>
        <w:rPr>
          <w:rFonts w:hint="eastAsia" w:asciiTheme="minorEastAsia" w:hAnsiTheme="minorEastAsia" w:eastAsiaTheme="minorEastAsia"/>
          <w:color w:val="auto"/>
          <w:sz w:val="24"/>
          <w:highlight w:val="none"/>
          <w:lang w:eastAsia="zh-CN"/>
        </w:rPr>
        <w:t>供应商</w:t>
      </w:r>
      <w:r>
        <w:rPr>
          <w:rFonts w:hint="eastAsia" w:ascii="宋体" w:hAnsi="宋体" w:cs="宋体"/>
          <w:color w:val="auto"/>
          <w:sz w:val="24"/>
          <w:highlight w:val="none"/>
        </w:rPr>
        <w:t>作出必要的澄清、说明或者补正。</w:t>
      </w:r>
    </w:p>
    <w:p w14:paraId="31EA1D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的澄清、说明或者补正采用书面形式，并加盖公章或者由法定代表人或授权代表签字，且不得超出投标文件的范围或者改变投标文件的实质性内容。</w:t>
      </w:r>
    </w:p>
    <w:p w14:paraId="4A334787">
      <w:pPr>
        <w:spacing w:line="360" w:lineRule="auto"/>
        <w:ind w:firstLine="482" w:firstLineChars="200"/>
        <w:rPr>
          <w:rFonts w:ascii="宋体"/>
          <w:color w:val="auto"/>
          <w:sz w:val="24"/>
          <w:highlight w:val="none"/>
        </w:rPr>
      </w:pPr>
      <w:r>
        <w:rPr>
          <w:rFonts w:hint="eastAsia" w:ascii="宋体" w:hAnsi="宋体" w:cs="宋体"/>
          <w:b/>
          <w:bCs/>
          <w:color w:val="auto"/>
          <w:sz w:val="24"/>
          <w:highlight w:val="none"/>
        </w:rPr>
        <w:t>（四）结果汇总及排序</w:t>
      </w:r>
    </w:p>
    <w:p w14:paraId="4C33EAE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评标结果按评审后综合得分由高到低顺序排列。</w:t>
      </w:r>
      <w:r>
        <w:rPr>
          <w:rFonts w:hint="eastAsia" w:ascii="宋体" w:hAnsi="宋体" w:cs="宋体"/>
          <w:color w:val="auto"/>
          <w:sz w:val="24"/>
          <w:highlight w:val="none"/>
          <w:lang w:val="zh-CN"/>
        </w:rPr>
        <w:t>得分相同</w:t>
      </w:r>
      <w:r>
        <w:rPr>
          <w:rFonts w:hint="eastAsia" w:ascii="宋体" w:hAnsi="宋体" w:cs="宋体"/>
          <w:color w:val="auto"/>
          <w:sz w:val="24"/>
          <w:highlight w:val="none"/>
        </w:rPr>
        <w:t>的</w:t>
      </w:r>
      <w:r>
        <w:rPr>
          <w:rFonts w:hint="eastAsia" w:ascii="宋体" w:hAnsi="宋体" w:cs="宋体"/>
          <w:color w:val="auto"/>
          <w:sz w:val="24"/>
          <w:highlight w:val="none"/>
          <w:lang w:val="zh-CN"/>
        </w:rPr>
        <w:t>，</w:t>
      </w:r>
      <w:r>
        <w:rPr>
          <w:rFonts w:hint="eastAsia" w:ascii="宋体" w:hAnsi="宋体" w:cs="宋体"/>
          <w:color w:val="auto"/>
          <w:sz w:val="24"/>
          <w:highlight w:val="none"/>
        </w:rPr>
        <w:t>按</w:t>
      </w:r>
      <w:r>
        <w:rPr>
          <w:rFonts w:hint="eastAsia" w:ascii="宋体" w:hAnsi="宋体" w:cs="宋体"/>
          <w:color w:val="auto"/>
          <w:sz w:val="24"/>
          <w:highlight w:val="none"/>
          <w:lang w:val="zh-CN"/>
        </w:rPr>
        <w:t>投标报价</w:t>
      </w:r>
      <w:r>
        <w:rPr>
          <w:rFonts w:hint="eastAsia" w:ascii="宋体" w:hAnsi="宋体" w:cs="宋体"/>
          <w:color w:val="auto"/>
          <w:sz w:val="24"/>
          <w:highlight w:val="none"/>
        </w:rPr>
        <w:t>由</w:t>
      </w:r>
      <w:r>
        <w:rPr>
          <w:rFonts w:hint="eastAsia" w:ascii="宋体" w:hAnsi="宋体" w:cs="宋体"/>
          <w:color w:val="auto"/>
          <w:sz w:val="24"/>
          <w:highlight w:val="none"/>
          <w:lang w:val="zh-CN"/>
        </w:rPr>
        <w:t>低</w:t>
      </w:r>
      <w:r>
        <w:rPr>
          <w:rFonts w:hint="eastAsia" w:ascii="宋体" w:hAnsi="宋体" w:cs="宋体"/>
          <w:color w:val="auto"/>
          <w:sz w:val="24"/>
          <w:highlight w:val="none"/>
        </w:rPr>
        <w:t>到高顺序排列。</w:t>
      </w:r>
      <w:r>
        <w:rPr>
          <w:rFonts w:hint="eastAsia" w:ascii="宋体" w:hAnsi="宋体" w:cs="宋体"/>
          <w:color w:val="auto"/>
          <w:sz w:val="24"/>
          <w:highlight w:val="none"/>
          <w:lang w:val="zh-CN"/>
        </w:rPr>
        <w:t>得分且投标报价相同的</w:t>
      </w:r>
      <w:r>
        <w:rPr>
          <w:rFonts w:hint="eastAsia" w:ascii="宋体" w:hAnsi="宋体" w:cs="宋体"/>
          <w:color w:val="auto"/>
          <w:sz w:val="24"/>
          <w:highlight w:val="none"/>
        </w:rPr>
        <w:t>并列</w:t>
      </w:r>
      <w:r>
        <w:rPr>
          <w:rFonts w:hint="eastAsia" w:ascii="宋体" w:hAnsi="宋体" w:cs="宋体"/>
          <w:color w:val="auto"/>
          <w:sz w:val="24"/>
          <w:highlight w:val="none"/>
          <w:lang w:val="zh-CN"/>
        </w:rPr>
        <w:t>。</w:t>
      </w:r>
      <w:r>
        <w:rPr>
          <w:rFonts w:hint="eastAsia" w:ascii="宋体" w:hAnsi="宋体" w:cs="宋体"/>
          <w:color w:val="auto"/>
          <w:sz w:val="24"/>
          <w:highlight w:val="none"/>
        </w:rPr>
        <w:t>投标文件满足招标文件全部实质性要求，且按照评审因素的量化指标评审得分最高的</w:t>
      </w:r>
      <w:r>
        <w:rPr>
          <w:rFonts w:hint="eastAsia" w:asciiTheme="minorEastAsia" w:hAnsiTheme="minorEastAsia" w:eastAsiaTheme="minorEastAsia"/>
          <w:color w:val="auto"/>
          <w:sz w:val="24"/>
          <w:highlight w:val="none"/>
          <w:lang w:eastAsia="zh-CN"/>
        </w:rPr>
        <w:t>供应商</w:t>
      </w:r>
      <w:r>
        <w:rPr>
          <w:rFonts w:hint="eastAsia" w:ascii="宋体" w:hAnsi="宋体" w:cs="宋体"/>
          <w:color w:val="auto"/>
          <w:sz w:val="24"/>
          <w:highlight w:val="none"/>
        </w:rPr>
        <w:t>为排名第一的中标候选人。</w:t>
      </w:r>
    </w:p>
    <w:p w14:paraId="3E73D34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（五）评标报告撰写</w:t>
      </w:r>
    </w:p>
    <w:p w14:paraId="04C77569">
      <w:pPr>
        <w:spacing w:line="360" w:lineRule="auto"/>
        <w:ind w:firstLine="480" w:firstLineChars="200"/>
        <w:rPr>
          <w:color w:val="auto"/>
          <w:highlight w:val="none"/>
        </w:rPr>
      </w:pPr>
      <w:r>
        <w:rPr>
          <w:rFonts w:hint="eastAsia" w:ascii="宋体" w:hAnsi="宋体" w:cs="宋体"/>
          <w:color w:val="auto"/>
          <w:sz w:val="24"/>
          <w:highlight w:val="none"/>
        </w:rPr>
        <w:t>评标委员会根据全体评标成员签字的原始评标记录和评标结果编写评标报告。</w:t>
      </w:r>
    </w:p>
    <w:p w14:paraId="77C04861">
      <w:pPr>
        <w:pStyle w:val="20"/>
        <w:ind w:left="0" w:leftChars="0" w:firstLine="0" w:firstLineChars="0"/>
        <w:rPr>
          <w:rFonts w:hint="eastAsia" w:asciiTheme="minorEastAsia" w:hAnsiTheme="minorEastAsia" w:eastAsiaTheme="minorEastAsia"/>
          <w:b/>
          <w:color w:val="auto"/>
          <w:sz w:val="36"/>
          <w:szCs w:val="36"/>
          <w:highlight w:val="none"/>
        </w:rPr>
      </w:pPr>
      <w:bookmarkStart w:id="40" w:name="_Toc27944_WPSOffice_Level1"/>
    </w:p>
    <w:p w14:paraId="65263B94">
      <w:pPr>
        <w:pStyle w:val="20"/>
        <w:rPr>
          <w:rFonts w:hint="eastAsia" w:asciiTheme="minorEastAsia" w:hAnsiTheme="minorEastAsia" w:eastAsiaTheme="minorEastAsia"/>
          <w:b/>
          <w:color w:val="auto"/>
          <w:sz w:val="36"/>
          <w:szCs w:val="36"/>
          <w:highlight w:val="none"/>
        </w:rPr>
        <w:sectPr>
          <w:pgSz w:w="11906" w:h="16838"/>
          <w:pgMar w:top="1247" w:right="1361" w:bottom="1247" w:left="1361" w:header="851" w:footer="851" w:gutter="0"/>
          <w:pgNumType w:fmt="numberInDash"/>
          <w:cols w:space="720" w:num="1"/>
          <w:docGrid w:type="lines" w:linePitch="312" w:charSpace="0"/>
        </w:sectPr>
      </w:pPr>
    </w:p>
    <w:p w14:paraId="6770A900">
      <w:p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 xml:space="preserve">第五章 </w:t>
      </w:r>
      <w:bookmarkEnd w:id="40"/>
      <w:r>
        <w:rPr>
          <w:rFonts w:hint="eastAsia" w:asciiTheme="minorEastAsia" w:hAnsiTheme="minorEastAsia" w:eastAsiaTheme="minorEastAsia"/>
          <w:b/>
          <w:color w:val="auto"/>
          <w:sz w:val="36"/>
          <w:szCs w:val="36"/>
          <w:highlight w:val="none"/>
        </w:rPr>
        <w:t>拟签订的合同文本</w:t>
      </w:r>
    </w:p>
    <w:p w14:paraId="4159F387">
      <w:pPr>
        <w:pStyle w:val="60"/>
        <w:jc w:val="center"/>
        <w:textAlignment w:val="baseline"/>
        <w:rPr>
          <w:b/>
          <w:bCs/>
          <w:color w:val="auto"/>
          <w:sz w:val="36"/>
          <w:szCs w:val="36"/>
          <w:highlight w:val="none"/>
        </w:rPr>
      </w:pPr>
      <w:r>
        <w:rPr>
          <w:rFonts w:hint="eastAsia"/>
          <w:b/>
          <w:bCs/>
          <w:color w:val="auto"/>
          <w:sz w:val="36"/>
          <w:szCs w:val="36"/>
          <w:highlight w:val="none"/>
        </w:rPr>
        <w:t>浙江省政府采购合同主要条款指引</w:t>
      </w:r>
    </w:p>
    <w:p w14:paraId="6F4C411C">
      <w:pPr>
        <w:widowControl/>
        <w:shd w:val="clear" w:color="auto" w:fill="FFFFFF"/>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（此稿为合同样本，最终定稿待双方协商后定）</w:t>
      </w:r>
    </w:p>
    <w:p w14:paraId="3C7C211D">
      <w:pPr>
        <w:pStyle w:val="2"/>
        <w:jc w:val="center"/>
        <w:rPr>
          <w:rFonts w:hint="eastAsia" w:eastAsia="宋体"/>
          <w:color w:val="auto"/>
          <w:highlight w:val="none"/>
          <w:lang w:eastAsia="zh-CN"/>
        </w:rPr>
      </w:pPr>
      <w:r>
        <w:rPr>
          <w:rFonts w:hint="eastAsia" w:ascii="宋体" w:hAnsi="宋体"/>
          <w:b/>
          <w:bCs/>
          <w:color w:val="auto"/>
          <w:sz w:val="32"/>
          <w:szCs w:val="32"/>
          <w:highlight w:val="none"/>
          <w:lang w:eastAsia="zh-CN"/>
        </w:rPr>
        <w:t>（</w:t>
      </w:r>
      <w:r>
        <w:rPr>
          <w:rFonts w:hint="eastAsia" w:ascii="宋体" w:hAnsi="宋体"/>
          <w:b/>
          <w:bCs/>
          <w:color w:val="auto"/>
          <w:sz w:val="32"/>
          <w:szCs w:val="32"/>
          <w:highlight w:val="none"/>
          <w:lang w:val="en-US" w:eastAsia="zh-CN"/>
        </w:rPr>
        <w:t>适用于标项一</w:t>
      </w:r>
      <w:r>
        <w:rPr>
          <w:rFonts w:hint="eastAsia" w:ascii="宋体" w:hAnsi="宋体"/>
          <w:b/>
          <w:bCs/>
          <w:color w:val="auto"/>
          <w:sz w:val="32"/>
          <w:szCs w:val="32"/>
          <w:highlight w:val="none"/>
          <w:lang w:eastAsia="zh-CN"/>
        </w:rPr>
        <w:t>）</w:t>
      </w:r>
    </w:p>
    <w:p w14:paraId="5E7066F0">
      <w:pPr>
        <w:pStyle w:val="12"/>
        <w:snapToGrid w:val="0"/>
        <w:spacing w:line="480" w:lineRule="auto"/>
        <w:jc w:val="left"/>
        <w:rPr>
          <w:rFonts w:hint="eastAsia" w:hAnsi="宋体" w:cs="宋体"/>
          <w:color w:val="auto"/>
          <w:sz w:val="24"/>
          <w:highlight w:val="none"/>
        </w:rPr>
      </w:pPr>
    </w:p>
    <w:p w14:paraId="617D1DB0">
      <w:pPr>
        <w:pStyle w:val="12"/>
        <w:snapToGrid w:val="0"/>
        <w:spacing w:line="360" w:lineRule="auto"/>
        <w:jc w:val="left"/>
        <w:rPr>
          <w:rFonts w:hint="eastAsia" w:hAnsi="宋体" w:cs="宋体"/>
          <w:color w:val="auto"/>
          <w:sz w:val="24"/>
          <w:highlight w:val="none"/>
        </w:rPr>
      </w:pPr>
      <w:r>
        <w:rPr>
          <w:rFonts w:hint="eastAsia" w:hAnsi="宋体" w:cs="宋体"/>
          <w:color w:val="auto"/>
          <w:sz w:val="24"/>
          <w:highlight w:val="none"/>
        </w:rPr>
        <w:t>项目编号：</w:t>
      </w:r>
      <w:r>
        <w:rPr>
          <w:rFonts w:hint="eastAsia" w:hAnsi="宋体" w:cs="宋体"/>
          <w:color w:val="auto"/>
          <w:sz w:val="24"/>
          <w:highlight w:val="none"/>
          <w:lang w:val="en-US" w:eastAsia="zh-CN"/>
        </w:rPr>
        <w:t>台财采确临[2025]4736号、4735号</w:t>
      </w:r>
    </w:p>
    <w:p w14:paraId="1766FF8D">
      <w:pPr>
        <w:pStyle w:val="12"/>
        <w:snapToGrid w:val="0"/>
        <w:spacing w:line="360" w:lineRule="auto"/>
        <w:jc w:val="left"/>
        <w:rPr>
          <w:rFonts w:hint="eastAsia" w:hAnsi="宋体" w:eastAsia="宋体" w:cs="宋体"/>
          <w:color w:val="auto"/>
          <w:spacing w:val="-6"/>
          <w:sz w:val="24"/>
          <w:highlight w:val="none"/>
          <w:lang w:eastAsia="zh-CN"/>
        </w:rPr>
      </w:pPr>
      <w:r>
        <w:rPr>
          <w:rFonts w:hint="eastAsia" w:hAnsi="宋体" w:cs="宋体"/>
          <w:color w:val="auto"/>
          <w:sz w:val="24"/>
          <w:highlight w:val="none"/>
        </w:rPr>
        <w:t>项</w:t>
      </w:r>
      <w:r>
        <w:rPr>
          <w:rFonts w:hint="eastAsia" w:hAnsi="宋体" w:cs="宋体"/>
          <w:color w:val="auto"/>
          <w:spacing w:val="-6"/>
          <w:sz w:val="24"/>
          <w:highlight w:val="none"/>
        </w:rPr>
        <w:t>目名称：</w:t>
      </w:r>
      <w:r>
        <w:rPr>
          <w:rFonts w:hint="eastAsia" w:hAnsi="宋体" w:cs="宋体"/>
          <w:color w:val="auto"/>
          <w:spacing w:val="-6"/>
          <w:sz w:val="24"/>
          <w:highlight w:val="none"/>
          <w:lang w:eastAsia="zh-CN"/>
        </w:rPr>
        <w:t>台州市低效用地再开发试点项目（标项一）</w:t>
      </w:r>
    </w:p>
    <w:p w14:paraId="01C04EF0">
      <w:pPr>
        <w:pStyle w:val="12"/>
        <w:snapToGrid w:val="0"/>
        <w:spacing w:line="360" w:lineRule="auto"/>
        <w:jc w:val="left"/>
        <w:rPr>
          <w:rFonts w:hint="eastAsia" w:hAnsi="宋体" w:eastAsia="宋体" w:cs="宋体"/>
          <w:color w:val="auto"/>
          <w:sz w:val="24"/>
          <w:highlight w:val="none"/>
          <w:u w:val="single"/>
          <w:lang w:eastAsia="zh-CN"/>
        </w:rPr>
      </w:pPr>
      <w:r>
        <w:rPr>
          <w:rFonts w:hint="eastAsia" w:hAnsi="宋体" w:cs="宋体"/>
          <w:color w:val="auto"/>
          <w:sz w:val="24"/>
          <w:highlight w:val="none"/>
        </w:rPr>
        <w:t>甲方(委托方)：台州市自然资源和规划局</w:t>
      </w:r>
    </w:p>
    <w:p w14:paraId="5D8F7DD1">
      <w:pPr>
        <w:pStyle w:val="12"/>
        <w:snapToGrid w:val="0"/>
        <w:spacing w:line="360" w:lineRule="auto"/>
        <w:jc w:val="left"/>
        <w:rPr>
          <w:rFonts w:hAnsi="宋体" w:cs="宋体"/>
          <w:color w:val="auto"/>
          <w:sz w:val="24"/>
          <w:highlight w:val="none"/>
        </w:rPr>
      </w:pPr>
      <w:r>
        <w:rPr>
          <w:rFonts w:hint="eastAsia" w:hAnsi="宋体" w:cs="宋体"/>
          <w:color w:val="auto"/>
          <w:sz w:val="24"/>
          <w:highlight w:val="none"/>
        </w:rPr>
        <w:t>乙方(</w:t>
      </w:r>
      <w:r>
        <w:rPr>
          <w:rFonts w:hint="eastAsia" w:hAnsi="宋体" w:cs="宋体"/>
          <w:color w:val="auto"/>
          <w:sz w:val="24"/>
          <w:highlight w:val="none"/>
          <w:lang w:val="en-US" w:eastAsia="zh-CN"/>
        </w:rPr>
        <w:t>受托方</w:t>
      </w:r>
      <w:r>
        <w:rPr>
          <w:rFonts w:hint="eastAsia" w:hAnsi="宋体" w:cs="宋体"/>
          <w:color w:val="auto"/>
          <w:sz w:val="24"/>
          <w:highlight w:val="none"/>
        </w:rPr>
        <w:t>)：</w:t>
      </w:r>
    </w:p>
    <w:p w14:paraId="7D13BC5F">
      <w:pPr>
        <w:pStyle w:val="12"/>
        <w:snapToGrid w:val="0"/>
        <w:spacing w:line="360" w:lineRule="auto"/>
        <w:ind w:firstLine="480"/>
        <w:jc w:val="left"/>
        <w:rPr>
          <w:rFonts w:hAnsi="宋体" w:cs="宋体"/>
          <w:color w:val="auto"/>
          <w:sz w:val="24"/>
          <w:highlight w:val="none"/>
        </w:rPr>
      </w:pPr>
      <w:r>
        <w:rPr>
          <w:rFonts w:hint="eastAsia" w:hAnsi="宋体" w:cs="宋体"/>
          <w:color w:val="auto"/>
          <w:sz w:val="24"/>
          <w:highlight w:val="none"/>
        </w:rPr>
        <w:t>根据《中华人民共和国政府采购法》、《中华人民共和国</w:t>
      </w:r>
      <w:r>
        <w:rPr>
          <w:rFonts w:hint="eastAsia" w:hAnsi="宋体" w:cs="宋体"/>
          <w:color w:val="auto"/>
          <w:sz w:val="24"/>
          <w:highlight w:val="none"/>
          <w:lang w:val="en-US" w:eastAsia="zh-CN"/>
        </w:rPr>
        <w:t>民法典</w:t>
      </w:r>
      <w:r>
        <w:rPr>
          <w:rFonts w:hint="eastAsia" w:hAnsi="宋体" w:cs="宋体"/>
          <w:color w:val="auto"/>
          <w:sz w:val="24"/>
          <w:highlight w:val="none"/>
        </w:rPr>
        <w:t>》等相关法律法规和</w:t>
      </w:r>
      <w:r>
        <w:rPr>
          <w:rFonts w:hint="eastAsia" w:hAnsi="宋体" w:cs="宋体"/>
          <w:color w:val="auto"/>
          <w:sz w:val="24"/>
          <w:highlight w:val="none"/>
          <w:u w:val="single"/>
          <w:lang w:eastAsia="zh-CN"/>
        </w:rPr>
        <w:t>台州市低效用地再开发试点项目（标项一）</w:t>
      </w:r>
      <w:r>
        <w:rPr>
          <w:rFonts w:hint="eastAsia" w:hAnsi="宋体" w:cs="宋体"/>
          <w:color w:val="auto"/>
          <w:sz w:val="24"/>
          <w:highlight w:val="none"/>
          <w:u w:val="single"/>
        </w:rPr>
        <w:t>（采购编号：              ）</w:t>
      </w:r>
      <w:r>
        <w:rPr>
          <w:rFonts w:hint="eastAsia" w:hAnsi="宋体" w:cs="宋体"/>
          <w:color w:val="auto"/>
          <w:sz w:val="24"/>
          <w:highlight w:val="none"/>
        </w:rPr>
        <w:t>的中标情况，遵循平等、自愿、公平、诚实信用的原则，由采购单位（以下简称甲方）与经评审最终确定的中标供应商（以下简称乙方）结合本项目具体情况，经双方协商一致后达成以下条款:</w:t>
      </w:r>
    </w:p>
    <w:p w14:paraId="0344179A">
      <w:pPr>
        <w:numPr>
          <w:ilvl w:val="0"/>
          <w:numId w:val="9"/>
        </w:numPr>
        <w:spacing w:line="360" w:lineRule="auto"/>
        <w:jc w:val="left"/>
        <w:rPr>
          <w:rFonts w:ascii="宋体" w:hAnsi="宋体" w:cs="宋体"/>
          <w:b/>
          <w:color w:val="auto"/>
          <w:sz w:val="24"/>
          <w:highlight w:val="none"/>
        </w:rPr>
      </w:pPr>
      <w:r>
        <w:rPr>
          <w:rFonts w:hint="eastAsia" w:ascii="宋体" w:hAnsi="宋体" w:cs="宋体"/>
          <w:b/>
          <w:color w:val="auto"/>
          <w:sz w:val="24"/>
          <w:highlight w:val="none"/>
        </w:rPr>
        <w:t>服务内容</w:t>
      </w:r>
    </w:p>
    <w:p w14:paraId="44604561">
      <w:pPr>
        <w:pStyle w:val="3"/>
        <w:spacing w:line="360" w:lineRule="auto"/>
        <w:ind w:firstLine="480"/>
        <w:rPr>
          <w:rFonts w:hint="eastAsia" w:ascii="宋体" w:hAnsi="宋体" w:cs="宋体"/>
          <w:color w:val="auto"/>
          <w:highlight w:val="none"/>
        </w:rPr>
      </w:pPr>
      <w:r>
        <w:rPr>
          <w:rFonts w:hint="eastAsia" w:ascii="宋体" w:hAnsi="宋体" w:cs="宋体"/>
          <w:color w:val="auto"/>
          <w:highlight w:val="none"/>
        </w:rPr>
        <w:t>1.实施背景及要求分析</w:t>
      </w:r>
    </w:p>
    <w:p w14:paraId="7ECC9C2B">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（1）梳理国家、省级层面关于低效用地再开发的政策法规，明确规划编制的政策依据。</w:t>
      </w:r>
    </w:p>
    <w:p w14:paraId="411FA7CE">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（2）分析全市土地利用现状</w:t>
      </w:r>
      <w:r>
        <w:rPr>
          <w:rFonts w:hint="eastAsia" w:cs="Times New Roman" w:asciiTheme="minorEastAsia" w:hAnsiTheme="minorEastAsia" w:eastAsiaTheme="minorEastAsia"/>
          <w:b w:val="0"/>
          <w:bCs/>
          <w:color w:val="auto"/>
          <w:kern w:val="2"/>
          <w:sz w:val="24"/>
          <w:szCs w:val="24"/>
          <w:highlight w:val="none"/>
          <w:lang w:val="en-US" w:eastAsia="zh-CN" w:bidi="ar-SA"/>
        </w:rPr>
        <w:t>、</w:t>
      </w:r>
      <w:r>
        <w:rPr>
          <w:rFonts w:hint="default" w:cs="Times New Roman" w:asciiTheme="minorEastAsia" w:hAnsiTheme="minorEastAsia" w:eastAsiaTheme="minorEastAsia"/>
          <w:b w:val="0"/>
          <w:bCs/>
          <w:color w:val="auto"/>
          <w:kern w:val="2"/>
          <w:sz w:val="24"/>
          <w:szCs w:val="24"/>
          <w:highlight w:val="none"/>
          <w:lang w:val="en-US" w:eastAsia="zh-CN" w:bidi="ar-SA"/>
        </w:rPr>
        <w:t>面临的主要问题</w:t>
      </w:r>
      <w:r>
        <w:rPr>
          <w:rFonts w:hint="eastAsia" w:cs="Times New Roman" w:asciiTheme="minorEastAsia" w:hAnsiTheme="minorEastAsia" w:eastAsiaTheme="minorEastAsia"/>
          <w:b w:val="0"/>
          <w:bCs/>
          <w:color w:val="auto"/>
          <w:kern w:val="2"/>
          <w:sz w:val="24"/>
          <w:szCs w:val="24"/>
          <w:highlight w:val="none"/>
          <w:lang w:val="en-US" w:eastAsia="zh-CN" w:bidi="ar-SA"/>
        </w:rPr>
        <w:t>以及全市低效用地用地的主要特征，</w:t>
      </w:r>
      <w:r>
        <w:rPr>
          <w:rFonts w:hint="default" w:cs="Times New Roman" w:asciiTheme="minorEastAsia" w:hAnsiTheme="minorEastAsia" w:eastAsiaTheme="minorEastAsia"/>
          <w:b w:val="0"/>
          <w:bCs/>
          <w:color w:val="auto"/>
          <w:kern w:val="2"/>
          <w:sz w:val="24"/>
          <w:szCs w:val="24"/>
          <w:highlight w:val="none"/>
          <w:lang w:val="en-US" w:eastAsia="zh-CN" w:bidi="ar-SA"/>
        </w:rPr>
        <w:t>阐述低效用地再开发的必要性。</w:t>
      </w:r>
    </w:p>
    <w:p w14:paraId="1D291725">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（3）结合城市发展战略、国土空间规划以及产业发展、城市更新、农业农村等部门工作任务，分析低效用地再开发的核心要求。</w:t>
      </w:r>
    </w:p>
    <w:p w14:paraId="2047DEB4">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（4）借鉴国内同类城市低效用地再开发的经验，提出适宜的再开发模式。</w:t>
      </w:r>
    </w:p>
    <w:p w14:paraId="121A4D96">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2.历年低效用地再开发实施评估</w:t>
      </w:r>
    </w:p>
    <w:p w14:paraId="5ED442E6">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（1）分析全市历年低效用地再开发主要成效；</w:t>
      </w:r>
    </w:p>
    <w:p w14:paraId="7E74C250">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（2）归纳总结历年再开发成功案例及其做法、经验；</w:t>
      </w:r>
    </w:p>
    <w:p w14:paraId="522DF314">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（3）分析存在的问题及短板。</w:t>
      </w:r>
    </w:p>
    <w:p w14:paraId="1362ECCA">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3</w:t>
      </w:r>
      <w:r>
        <w:rPr>
          <w:rFonts w:hint="eastAsia" w:cs="Times New Roman" w:asciiTheme="minorEastAsia" w:hAnsiTheme="minorEastAsia" w:eastAsiaTheme="minorEastAsia"/>
          <w:b w:val="0"/>
          <w:bCs/>
          <w:color w:val="auto"/>
          <w:kern w:val="2"/>
          <w:sz w:val="24"/>
          <w:szCs w:val="24"/>
          <w:highlight w:val="none"/>
          <w:lang w:val="en-US" w:eastAsia="zh-CN" w:bidi="ar-SA"/>
        </w:rPr>
        <w:t>.</w:t>
      </w:r>
      <w:r>
        <w:rPr>
          <w:rFonts w:hint="default" w:cs="Times New Roman" w:asciiTheme="minorEastAsia" w:hAnsiTheme="minorEastAsia" w:eastAsiaTheme="minorEastAsia"/>
          <w:b w:val="0"/>
          <w:bCs/>
          <w:color w:val="auto"/>
          <w:kern w:val="2"/>
          <w:sz w:val="24"/>
          <w:szCs w:val="24"/>
          <w:highlight w:val="none"/>
          <w:lang w:val="en-US" w:eastAsia="zh-CN" w:bidi="ar-SA"/>
        </w:rPr>
        <w:t>低效用地底数分析</w:t>
      </w:r>
    </w:p>
    <w:p w14:paraId="45063677">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在全市低效用地调查数据的基础上，全面客观分析低效用地构成、分布、性质、成因、特征等指标，为规划编制奠定科学基础。</w:t>
      </w:r>
    </w:p>
    <w:p w14:paraId="4A96635F">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4.低效用地再开发目标和策略</w:t>
      </w:r>
    </w:p>
    <w:p w14:paraId="4BFE5D46">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（1）确定再开发目标。结合国土空间规划、“十五五”规划、政府及相关部门年度工作计划，提出全市低效用地再开发的总体目标；</w:t>
      </w:r>
    </w:p>
    <w:p w14:paraId="5BB5732B">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（2）确定再开发规模。制定分阶段（近期、远期）、分区域（市区、县市）的实施目标指标，明确各阶段重点任务。</w:t>
      </w:r>
    </w:p>
    <w:p w14:paraId="53D0B7EE">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（3）结合全市发展战略，确定低效用地再开发策略。</w:t>
      </w:r>
    </w:p>
    <w:p w14:paraId="7635706C">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5.市域纲要层面——低效用地再开发纲要和编制导则</w:t>
      </w:r>
    </w:p>
    <w:p w14:paraId="0B4C3349">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（1）全市低效用地再开发潜力认定标准；</w:t>
      </w:r>
    </w:p>
    <w:p w14:paraId="78D872BF">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（2）县（市、区）低效用地再开发规模及任务分解；</w:t>
      </w:r>
    </w:p>
    <w:p w14:paraId="79DB2276">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（3）县（市、区）低效用地再开发空间区划；</w:t>
      </w:r>
    </w:p>
    <w:p w14:paraId="643CEFED">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w:t>
      </w:r>
      <w:r>
        <w:rPr>
          <w:rFonts w:hint="eastAsia" w:cs="Times New Roman" w:asciiTheme="minorEastAsia" w:hAnsiTheme="minorEastAsia" w:eastAsiaTheme="minorEastAsia"/>
          <w:b w:val="0"/>
          <w:bCs/>
          <w:color w:val="auto"/>
          <w:kern w:val="2"/>
          <w:sz w:val="24"/>
          <w:szCs w:val="24"/>
          <w:highlight w:val="none"/>
          <w:lang w:val="en-US" w:eastAsia="zh-CN" w:bidi="ar-SA"/>
        </w:rPr>
        <w:t>4</w:t>
      </w:r>
      <w:r>
        <w:rPr>
          <w:rFonts w:hint="default" w:cs="Times New Roman" w:asciiTheme="minorEastAsia" w:hAnsiTheme="minorEastAsia" w:eastAsiaTheme="minorEastAsia"/>
          <w:b w:val="0"/>
          <w:bCs/>
          <w:color w:val="auto"/>
          <w:kern w:val="2"/>
          <w:sz w:val="24"/>
          <w:szCs w:val="24"/>
          <w:highlight w:val="none"/>
          <w:lang w:val="en-US" w:eastAsia="zh-CN" w:bidi="ar-SA"/>
        </w:rPr>
        <w:t>）县（市、区）低效用地再开发分类引导；</w:t>
      </w:r>
    </w:p>
    <w:p w14:paraId="5053AD44">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w:t>
      </w:r>
      <w:r>
        <w:rPr>
          <w:rFonts w:hint="eastAsia" w:cs="Times New Roman" w:asciiTheme="minorEastAsia" w:hAnsiTheme="minorEastAsia" w:eastAsiaTheme="minorEastAsia"/>
          <w:b w:val="0"/>
          <w:bCs/>
          <w:color w:val="auto"/>
          <w:kern w:val="2"/>
          <w:sz w:val="24"/>
          <w:szCs w:val="24"/>
          <w:highlight w:val="none"/>
          <w:lang w:val="en-US" w:eastAsia="zh-CN" w:bidi="ar-SA"/>
        </w:rPr>
        <w:t>5</w:t>
      </w:r>
      <w:r>
        <w:rPr>
          <w:rFonts w:hint="default" w:cs="Times New Roman" w:asciiTheme="minorEastAsia" w:hAnsiTheme="minorEastAsia" w:eastAsiaTheme="minorEastAsia"/>
          <w:b w:val="0"/>
          <w:bCs/>
          <w:color w:val="auto"/>
          <w:kern w:val="2"/>
          <w:sz w:val="24"/>
          <w:szCs w:val="24"/>
          <w:highlight w:val="none"/>
          <w:lang w:val="en-US" w:eastAsia="zh-CN" w:bidi="ar-SA"/>
        </w:rPr>
        <w:t>）县（市、区）低效用地再开发专项规划编制指引；</w:t>
      </w:r>
    </w:p>
    <w:p w14:paraId="0B0A8887">
      <w:pPr>
        <w:ind w:firstLine="480" w:firstLineChars="200"/>
        <w:rPr>
          <w:rFonts w:hint="default"/>
          <w:color w:val="auto"/>
          <w:highlight w:val="none"/>
          <w:lang w:val="en-US" w:eastAsia="zh-CN"/>
        </w:rPr>
      </w:pPr>
      <w:r>
        <w:rPr>
          <w:rFonts w:hint="eastAsia" w:cs="Times New Roman" w:asciiTheme="minorEastAsia" w:hAnsiTheme="minorEastAsia" w:eastAsiaTheme="minorEastAsia"/>
          <w:b w:val="0"/>
          <w:bCs/>
          <w:color w:val="auto"/>
          <w:kern w:val="2"/>
          <w:sz w:val="24"/>
          <w:szCs w:val="24"/>
          <w:highlight w:val="none"/>
          <w:lang w:val="en-US" w:eastAsia="zh-CN" w:bidi="ar-SA"/>
        </w:rPr>
        <w:t>（6）县（市、区）低效用地再开发专项规划结合详细规划的主要编制要点；</w:t>
      </w:r>
    </w:p>
    <w:p w14:paraId="7D9CE15F">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w:t>
      </w:r>
      <w:r>
        <w:rPr>
          <w:rFonts w:hint="eastAsia" w:cs="Times New Roman" w:asciiTheme="minorEastAsia" w:hAnsiTheme="minorEastAsia" w:eastAsiaTheme="minorEastAsia"/>
          <w:b w:val="0"/>
          <w:bCs/>
          <w:color w:val="auto"/>
          <w:kern w:val="2"/>
          <w:sz w:val="24"/>
          <w:szCs w:val="24"/>
          <w:highlight w:val="none"/>
          <w:lang w:val="en-US" w:eastAsia="zh-CN" w:bidi="ar-SA"/>
        </w:rPr>
        <w:t>7</w:t>
      </w:r>
      <w:r>
        <w:rPr>
          <w:rFonts w:hint="default" w:cs="Times New Roman" w:asciiTheme="minorEastAsia" w:hAnsiTheme="minorEastAsia" w:eastAsiaTheme="minorEastAsia"/>
          <w:b w:val="0"/>
          <w:bCs/>
          <w:color w:val="auto"/>
          <w:kern w:val="2"/>
          <w:sz w:val="24"/>
          <w:szCs w:val="24"/>
          <w:highlight w:val="none"/>
          <w:lang w:val="en-US" w:eastAsia="zh-CN" w:bidi="ar-SA"/>
        </w:rPr>
        <w:t>）全市低效用地再开发政策、法规指引。</w:t>
      </w:r>
    </w:p>
    <w:p w14:paraId="4D8A8CF7">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6.市区专规层面——低效用地再开发分区和实施引导</w:t>
      </w:r>
    </w:p>
    <w:p w14:paraId="015BB009">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（1）采用GIS空间分析、遥感影像解译、现场走访调研等方法，识别市区低效用地的空间分布、规模及类型；分析低效用地的成因和主要特征。</w:t>
      </w:r>
    </w:p>
    <w:p w14:paraId="7EAD7C78">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（2）结合潜力认定标准，评估低效用地再开发潜力。</w:t>
      </w:r>
    </w:p>
    <w:p w14:paraId="64EB02AD">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（3）明确再开发分区。结合全市战略、低效用地空间分布和再开发潜力，确定重点片区、一般片区、零星片区等空间区划。</w:t>
      </w:r>
    </w:p>
    <w:p w14:paraId="1DD9CC14">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（4）提出分片区实施策略。结合各片区定位、低效用地类型，提出各片区低效用地管控要求、再开发方式、实施引导、时序安排、配套政策等内容。</w:t>
      </w:r>
    </w:p>
    <w:p w14:paraId="62C032CB">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（5）近期实施重点。围绕试点期限，编制2025至2027年重点项目（一图一表），指导近期实施项目建设。</w:t>
      </w:r>
    </w:p>
    <w:p w14:paraId="425E995C">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7.政策法规及实施建议</w:t>
      </w:r>
    </w:p>
    <w:p w14:paraId="75AAC2D8">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（1）结合文件精神，梳理现行政策法规，找到路径堵点、提出制度供给建议（如土地收储、容积率奖励等）。</w:t>
      </w:r>
    </w:p>
    <w:p w14:paraId="6D592BAE">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（2）提出规划实施保障机制，如领导小组架构、部门协同机制、动态监测评估体系、公众宣传和参与等内容。</w:t>
      </w:r>
    </w:p>
    <w:p w14:paraId="136EF4F1">
      <w:pPr>
        <w:pStyle w:val="13"/>
        <w:spacing w:line="360" w:lineRule="auto"/>
        <w:ind w:left="0" w:leftChars="0" w:firstLine="480" w:firstLineChars="200"/>
        <w:rPr>
          <w:rFonts w:hint="default" w:cs="Times New Roman" w:asciiTheme="minorEastAsia" w:hAnsiTheme="minorEastAsia" w:eastAsiaTheme="minorEastAsia"/>
          <w:b w:val="0"/>
          <w:bCs/>
          <w:color w:val="auto"/>
          <w:kern w:val="2"/>
          <w:sz w:val="24"/>
          <w:szCs w:val="24"/>
          <w:highlight w:val="none"/>
          <w:lang w:val="en-US" w:eastAsia="zh-CN" w:bidi="ar-SA"/>
        </w:rPr>
      </w:pPr>
      <w:r>
        <w:rPr>
          <w:rFonts w:hint="default" w:cs="Times New Roman" w:asciiTheme="minorEastAsia" w:hAnsiTheme="minorEastAsia" w:eastAsiaTheme="minorEastAsia"/>
          <w:b w:val="0"/>
          <w:bCs/>
          <w:color w:val="auto"/>
          <w:kern w:val="2"/>
          <w:sz w:val="24"/>
          <w:szCs w:val="24"/>
          <w:highlight w:val="none"/>
          <w:lang w:val="en-US" w:eastAsia="zh-CN" w:bidi="ar-SA"/>
        </w:rPr>
        <w:t>8</w:t>
      </w:r>
      <w:r>
        <w:rPr>
          <w:rFonts w:hint="eastAsia" w:cs="Times New Roman" w:asciiTheme="minorEastAsia" w:hAnsiTheme="minorEastAsia" w:eastAsiaTheme="minorEastAsia"/>
          <w:b w:val="0"/>
          <w:bCs/>
          <w:color w:val="auto"/>
          <w:kern w:val="2"/>
          <w:sz w:val="24"/>
          <w:szCs w:val="24"/>
          <w:highlight w:val="none"/>
          <w:lang w:val="en-US" w:eastAsia="zh-CN" w:bidi="ar-SA"/>
        </w:rPr>
        <w:t>.</w:t>
      </w:r>
      <w:r>
        <w:rPr>
          <w:rFonts w:hint="default" w:cs="Times New Roman" w:asciiTheme="minorEastAsia" w:hAnsiTheme="minorEastAsia" w:eastAsiaTheme="minorEastAsia"/>
          <w:b w:val="0"/>
          <w:bCs/>
          <w:color w:val="auto"/>
          <w:kern w:val="2"/>
          <w:sz w:val="24"/>
          <w:szCs w:val="24"/>
          <w:highlight w:val="none"/>
          <w:lang w:val="en-US" w:eastAsia="zh-CN" w:bidi="ar-SA"/>
        </w:rPr>
        <w:t>技术审查</w:t>
      </w:r>
    </w:p>
    <w:p w14:paraId="253618C9">
      <w:pPr>
        <w:pStyle w:val="3"/>
        <w:spacing w:line="360" w:lineRule="auto"/>
        <w:ind w:left="0" w:leftChars="0" w:firstLine="0" w:firstLineChars="0"/>
        <w:rPr>
          <w:rFonts w:ascii="宋体" w:hAnsi="宋体" w:cs="宋体"/>
          <w:color w:val="auto"/>
          <w:highlight w:val="none"/>
        </w:rPr>
      </w:pPr>
      <w:r>
        <w:rPr>
          <w:rFonts w:hint="default" w:cs="Times New Roman" w:asciiTheme="minorEastAsia" w:hAnsiTheme="minorEastAsia" w:eastAsiaTheme="minorEastAsia"/>
          <w:b w:val="0"/>
          <w:bCs/>
          <w:color w:val="auto"/>
          <w:kern w:val="2"/>
          <w:sz w:val="24"/>
          <w:szCs w:val="24"/>
          <w:highlight w:val="none"/>
          <w:lang w:val="en-US" w:eastAsia="zh-CN" w:bidi="ar-SA"/>
        </w:rPr>
        <w:t>协助</w:t>
      </w:r>
      <w:r>
        <w:rPr>
          <w:rFonts w:hint="eastAsia" w:cs="Times New Roman" w:asciiTheme="minorEastAsia" w:hAnsiTheme="minorEastAsia" w:eastAsiaTheme="minorEastAsia"/>
          <w:b w:val="0"/>
          <w:bCs/>
          <w:color w:val="auto"/>
          <w:kern w:val="2"/>
          <w:sz w:val="24"/>
          <w:szCs w:val="24"/>
          <w:highlight w:val="none"/>
          <w:lang w:val="en-US" w:eastAsia="zh-CN" w:bidi="ar-SA"/>
        </w:rPr>
        <w:t>自然资源和</w:t>
      </w:r>
      <w:r>
        <w:rPr>
          <w:rFonts w:hint="default" w:cs="Times New Roman" w:asciiTheme="minorEastAsia" w:hAnsiTheme="minorEastAsia" w:eastAsiaTheme="minorEastAsia"/>
          <w:b w:val="0"/>
          <w:bCs/>
          <w:color w:val="auto"/>
          <w:kern w:val="2"/>
          <w:sz w:val="24"/>
          <w:szCs w:val="24"/>
          <w:highlight w:val="none"/>
          <w:lang w:val="en-US" w:eastAsia="zh-CN" w:bidi="ar-SA"/>
        </w:rPr>
        <w:t>规划主管部门，指导协助县级专规编制。</w:t>
      </w:r>
    </w:p>
    <w:p w14:paraId="1F207588">
      <w:pPr>
        <w:pStyle w:val="12"/>
        <w:snapToGrid w:val="0"/>
        <w:spacing w:line="360" w:lineRule="auto"/>
        <w:jc w:val="left"/>
        <w:rPr>
          <w:rFonts w:hAnsi="宋体" w:cs="宋体"/>
          <w:b/>
          <w:color w:val="auto"/>
          <w:sz w:val="24"/>
          <w:highlight w:val="none"/>
        </w:rPr>
      </w:pPr>
      <w:r>
        <w:rPr>
          <w:rFonts w:hint="eastAsia" w:hAnsi="宋体" w:cs="宋体"/>
          <w:b/>
          <w:color w:val="auto"/>
          <w:sz w:val="24"/>
          <w:highlight w:val="none"/>
        </w:rPr>
        <w:t>二、服务期、地点和方式：</w:t>
      </w:r>
    </w:p>
    <w:p w14:paraId="27C37845">
      <w:pPr>
        <w:pStyle w:val="12"/>
        <w:snapToGrid w:val="0"/>
        <w:spacing w:line="360" w:lineRule="auto"/>
        <w:ind w:firstLine="240" w:firstLineChars="100"/>
        <w:jc w:val="left"/>
        <w:rPr>
          <w:rFonts w:hint="eastAsia" w:hAnsi="宋体" w:cs="宋体"/>
          <w:b w:val="0"/>
          <w:bCs/>
          <w:color w:val="auto"/>
          <w:sz w:val="24"/>
          <w:highlight w:val="none"/>
        </w:rPr>
      </w:pPr>
      <w:r>
        <w:rPr>
          <w:rFonts w:hint="eastAsia" w:hAnsi="宋体" w:cs="宋体"/>
          <w:b w:val="0"/>
          <w:bCs/>
          <w:color w:val="auto"/>
          <w:sz w:val="24"/>
          <w:highlight w:val="none"/>
        </w:rPr>
        <w:t>1</w:t>
      </w:r>
      <w:r>
        <w:rPr>
          <w:rFonts w:hint="eastAsia" w:hAnsi="宋体" w:cs="宋体"/>
          <w:b w:val="0"/>
          <w:bCs/>
          <w:color w:val="auto"/>
          <w:sz w:val="24"/>
          <w:highlight w:val="none"/>
          <w:lang w:eastAsia="zh-CN"/>
        </w:rPr>
        <w:t>、</w:t>
      </w:r>
      <w:r>
        <w:rPr>
          <w:rFonts w:hint="eastAsia" w:hAnsi="宋体" w:cs="宋体"/>
          <w:b w:val="0"/>
          <w:bCs/>
          <w:color w:val="auto"/>
          <w:sz w:val="24"/>
          <w:highlight w:val="none"/>
        </w:rPr>
        <w:t>2025年12月底前，提交市区专规初步成果；</w:t>
      </w:r>
    </w:p>
    <w:p w14:paraId="238C1351">
      <w:pPr>
        <w:pStyle w:val="12"/>
        <w:snapToGrid w:val="0"/>
        <w:spacing w:line="360" w:lineRule="auto"/>
        <w:ind w:firstLine="240" w:firstLineChars="100"/>
        <w:jc w:val="left"/>
        <w:rPr>
          <w:rFonts w:hint="eastAsia" w:hAnsi="宋体" w:cs="宋体"/>
          <w:b w:val="0"/>
          <w:bCs/>
          <w:color w:val="auto"/>
          <w:sz w:val="24"/>
          <w:highlight w:val="none"/>
        </w:rPr>
      </w:pPr>
      <w:r>
        <w:rPr>
          <w:rFonts w:hint="eastAsia" w:hAnsi="宋体" w:cs="宋体"/>
          <w:b w:val="0"/>
          <w:bCs/>
          <w:color w:val="auto"/>
          <w:sz w:val="24"/>
          <w:highlight w:val="none"/>
        </w:rPr>
        <w:t>2</w:t>
      </w:r>
      <w:r>
        <w:rPr>
          <w:rFonts w:hint="eastAsia" w:hAnsi="宋体" w:cs="宋体"/>
          <w:b w:val="0"/>
          <w:bCs/>
          <w:color w:val="auto"/>
          <w:sz w:val="24"/>
          <w:highlight w:val="none"/>
          <w:lang w:eastAsia="zh-CN"/>
        </w:rPr>
        <w:t>、</w:t>
      </w:r>
      <w:r>
        <w:rPr>
          <w:rFonts w:hint="eastAsia" w:hAnsi="宋体" w:cs="宋体"/>
          <w:b w:val="0"/>
          <w:bCs/>
          <w:color w:val="auto"/>
          <w:sz w:val="24"/>
          <w:highlight w:val="none"/>
        </w:rPr>
        <w:t>2026年1月底前，提交市域专规纲要初步成果；</w:t>
      </w:r>
    </w:p>
    <w:p w14:paraId="32D75EA1">
      <w:pPr>
        <w:pStyle w:val="12"/>
        <w:snapToGrid w:val="0"/>
        <w:spacing w:line="360" w:lineRule="auto"/>
        <w:ind w:firstLine="240" w:firstLineChars="100"/>
        <w:jc w:val="left"/>
        <w:rPr>
          <w:rFonts w:hint="eastAsia" w:hAnsi="宋体" w:cs="宋体"/>
          <w:b w:val="0"/>
          <w:bCs/>
          <w:color w:val="auto"/>
          <w:sz w:val="24"/>
          <w:highlight w:val="none"/>
        </w:rPr>
      </w:pPr>
      <w:r>
        <w:rPr>
          <w:rFonts w:hint="eastAsia" w:hAnsi="宋体" w:cs="宋体"/>
          <w:b w:val="0"/>
          <w:bCs/>
          <w:color w:val="auto"/>
          <w:sz w:val="24"/>
          <w:highlight w:val="none"/>
        </w:rPr>
        <w:t>3</w:t>
      </w:r>
      <w:r>
        <w:rPr>
          <w:rFonts w:hint="eastAsia" w:hAnsi="宋体" w:cs="宋体"/>
          <w:b w:val="0"/>
          <w:bCs/>
          <w:color w:val="auto"/>
          <w:sz w:val="24"/>
          <w:highlight w:val="none"/>
          <w:lang w:eastAsia="zh-CN"/>
        </w:rPr>
        <w:t>、</w:t>
      </w:r>
      <w:r>
        <w:rPr>
          <w:rFonts w:hint="eastAsia" w:hAnsi="宋体" w:cs="宋体"/>
          <w:b w:val="0"/>
          <w:bCs/>
          <w:color w:val="auto"/>
          <w:sz w:val="24"/>
          <w:highlight w:val="none"/>
        </w:rPr>
        <w:t>2026年6月底前，提交最终成果。</w:t>
      </w:r>
    </w:p>
    <w:p w14:paraId="76C161BF">
      <w:pPr>
        <w:pStyle w:val="12"/>
        <w:snapToGrid w:val="0"/>
        <w:spacing w:line="360" w:lineRule="auto"/>
        <w:jc w:val="left"/>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三、</w:t>
      </w:r>
      <w:r>
        <w:rPr>
          <w:rFonts w:hint="eastAsia" w:ascii="宋体" w:hAnsi="宋体" w:eastAsia="宋体" w:cs="宋体"/>
          <w:b/>
          <w:color w:val="auto"/>
          <w:sz w:val="24"/>
          <w:highlight w:val="none"/>
          <w:lang w:val="en-US" w:eastAsia="zh-CN"/>
        </w:rPr>
        <w:t>成果要求</w:t>
      </w:r>
    </w:p>
    <w:p w14:paraId="3F2FAE17">
      <w:pPr>
        <w:pStyle w:val="12"/>
        <w:snapToGrid w:val="0"/>
        <w:spacing w:line="360" w:lineRule="auto"/>
        <w:ind w:firstLine="480" w:firstLineChars="200"/>
        <w:jc w:val="left"/>
        <w:rPr>
          <w:rFonts w:hint="eastAsia" w:hAnsi="宋体" w:cs="宋体"/>
          <w:b w:val="0"/>
          <w:bCs/>
          <w:color w:val="auto"/>
          <w:sz w:val="24"/>
          <w:highlight w:val="none"/>
          <w:lang w:val="en-US" w:eastAsia="zh-CN"/>
        </w:rPr>
      </w:pPr>
      <w:r>
        <w:rPr>
          <w:rFonts w:hint="eastAsia" w:hAnsi="宋体" w:cs="宋体"/>
          <w:b w:val="0"/>
          <w:bCs/>
          <w:color w:val="auto"/>
          <w:sz w:val="24"/>
          <w:highlight w:val="none"/>
          <w:lang w:val="en-US" w:eastAsia="zh-CN"/>
        </w:rPr>
        <w:t>形成《台州市低效用地再开发专项规划》，包括市域纲要和市区专规两部分成果。成果形式包括：</w:t>
      </w:r>
    </w:p>
    <w:p w14:paraId="355F8A31">
      <w:pPr>
        <w:pStyle w:val="12"/>
        <w:snapToGrid w:val="0"/>
        <w:spacing w:line="360" w:lineRule="auto"/>
        <w:ind w:firstLine="480" w:firstLineChars="200"/>
        <w:jc w:val="left"/>
        <w:rPr>
          <w:rFonts w:hint="eastAsia" w:hAnsi="宋体" w:cs="宋体"/>
          <w:b w:val="0"/>
          <w:bCs/>
          <w:color w:val="auto"/>
          <w:sz w:val="24"/>
          <w:highlight w:val="none"/>
          <w:lang w:val="en-US" w:eastAsia="zh-CN"/>
        </w:rPr>
      </w:pPr>
      <w:r>
        <w:rPr>
          <w:rFonts w:hint="eastAsia" w:hAnsi="宋体" w:cs="宋体"/>
          <w:b w:val="0"/>
          <w:bCs/>
          <w:color w:val="auto"/>
          <w:sz w:val="24"/>
          <w:highlight w:val="none"/>
          <w:lang w:val="en-US" w:eastAsia="zh-CN"/>
        </w:rPr>
        <w:t>文本成果：包括规划文本、规划说明及专题等。</w:t>
      </w:r>
    </w:p>
    <w:p w14:paraId="6C323EC6">
      <w:pPr>
        <w:pStyle w:val="12"/>
        <w:snapToGrid w:val="0"/>
        <w:spacing w:line="360" w:lineRule="auto"/>
        <w:ind w:firstLine="480" w:firstLineChars="200"/>
        <w:jc w:val="left"/>
        <w:rPr>
          <w:rFonts w:hint="eastAsia" w:hAnsi="宋体" w:cs="宋体"/>
          <w:b w:val="0"/>
          <w:bCs/>
          <w:color w:val="auto"/>
          <w:sz w:val="24"/>
          <w:highlight w:val="none"/>
          <w:lang w:val="en-US" w:eastAsia="zh-CN"/>
        </w:rPr>
      </w:pPr>
      <w:r>
        <w:rPr>
          <w:rFonts w:hint="eastAsia" w:hAnsi="宋体" w:cs="宋体"/>
          <w:b w:val="0"/>
          <w:bCs/>
          <w:color w:val="auto"/>
          <w:sz w:val="24"/>
          <w:highlight w:val="none"/>
          <w:lang w:val="en-US" w:eastAsia="zh-CN"/>
        </w:rPr>
        <w:t>图件成果：低效用地分布图、潜力评估图、再开发分区图、项目布局图等。</w:t>
      </w:r>
    </w:p>
    <w:p w14:paraId="1B5CAC9A">
      <w:pPr>
        <w:pStyle w:val="12"/>
        <w:snapToGrid w:val="0"/>
        <w:spacing w:line="360" w:lineRule="auto"/>
        <w:ind w:firstLine="480" w:firstLineChars="200"/>
        <w:jc w:val="left"/>
        <w:rPr>
          <w:rFonts w:hint="eastAsia" w:hAnsi="宋体" w:cs="宋体"/>
          <w:b w:val="0"/>
          <w:bCs/>
          <w:color w:val="auto"/>
          <w:sz w:val="24"/>
          <w:highlight w:val="none"/>
          <w:lang w:val="en-US" w:eastAsia="zh-CN"/>
        </w:rPr>
      </w:pPr>
      <w:r>
        <w:rPr>
          <w:rFonts w:hint="eastAsia" w:hAnsi="宋体" w:cs="宋体"/>
          <w:b w:val="0"/>
          <w:bCs/>
          <w:color w:val="auto"/>
          <w:sz w:val="24"/>
          <w:highlight w:val="none"/>
          <w:lang w:val="en-US" w:eastAsia="zh-CN"/>
        </w:rPr>
        <w:t>数据成果：低效用地矢量数据库。</w:t>
      </w:r>
    </w:p>
    <w:p w14:paraId="775C70E0">
      <w:pPr>
        <w:pStyle w:val="12"/>
        <w:snapToGrid w:val="0"/>
        <w:spacing w:line="360" w:lineRule="auto"/>
        <w:ind w:firstLine="480" w:firstLineChars="200"/>
        <w:jc w:val="left"/>
        <w:rPr>
          <w:rFonts w:hint="eastAsia" w:hAnsi="宋体" w:cs="宋体"/>
          <w:b/>
          <w:color w:val="auto"/>
          <w:sz w:val="24"/>
          <w:highlight w:val="none"/>
          <w:lang w:val="en-US" w:eastAsia="zh-CN"/>
        </w:rPr>
      </w:pPr>
      <w:r>
        <w:rPr>
          <w:rFonts w:hint="eastAsia" w:hAnsi="宋体" w:cs="宋体"/>
          <w:b w:val="0"/>
          <w:bCs/>
          <w:color w:val="auto"/>
          <w:sz w:val="24"/>
          <w:highlight w:val="none"/>
          <w:lang w:val="en-US" w:eastAsia="zh-CN"/>
        </w:rPr>
        <w:t>汇报材料：PPT演示文件，用于专家评审和政府汇报。</w:t>
      </w:r>
    </w:p>
    <w:p w14:paraId="58AB229B">
      <w:pPr>
        <w:pStyle w:val="12"/>
        <w:snapToGrid w:val="0"/>
        <w:spacing w:line="360" w:lineRule="auto"/>
        <w:jc w:val="left"/>
        <w:rPr>
          <w:rFonts w:hAnsi="宋体" w:cs="宋体"/>
          <w:b/>
          <w:color w:val="auto"/>
          <w:sz w:val="24"/>
          <w:highlight w:val="none"/>
        </w:rPr>
      </w:pPr>
      <w:r>
        <w:rPr>
          <w:rFonts w:hint="eastAsia" w:hAnsi="宋体" w:cs="宋体"/>
          <w:b/>
          <w:color w:val="auto"/>
          <w:sz w:val="24"/>
          <w:highlight w:val="none"/>
          <w:lang w:val="en-US" w:eastAsia="zh-CN"/>
        </w:rPr>
        <w:t>四</w:t>
      </w:r>
      <w:r>
        <w:rPr>
          <w:rFonts w:hint="eastAsia" w:hAnsi="宋体" w:cs="宋体"/>
          <w:b/>
          <w:color w:val="auto"/>
          <w:sz w:val="24"/>
          <w:highlight w:val="none"/>
        </w:rPr>
        <w:t>、合同金额</w:t>
      </w:r>
    </w:p>
    <w:p w14:paraId="74BAE198">
      <w:pPr>
        <w:pStyle w:val="12"/>
        <w:snapToGrid w:val="0"/>
        <w:spacing w:line="360" w:lineRule="auto"/>
        <w:ind w:firstLine="480"/>
        <w:jc w:val="left"/>
        <w:rPr>
          <w:rFonts w:hAnsi="宋体" w:cs="宋体"/>
          <w:color w:val="auto"/>
          <w:sz w:val="24"/>
          <w:highlight w:val="none"/>
        </w:rPr>
      </w:pPr>
      <w:r>
        <w:rPr>
          <w:rFonts w:hint="eastAsia" w:hAnsi="宋体" w:cs="宋体"/>
          <w:color w:val="auto"/>
          <w:sz w:val="24"/>
          <w:highlight w:val="none"/>
        </w:rPr>
        <w:t>本合同金额为(大写)：</w:t>
      </w:r>
      <w:r>
        <w:rPr>
          <w:rFonts w:hint="eastAsia" w:hAnsi="宋体" w:cs="宋体"/>
          <w:color w:val="auto"/>
          <w:sz w:val="24"/>
          <w:highlight w:val="none"/>
          <w:u w:val="single"/>
        </w:rPr>
        <w:t xml:space="preserve">          </w:t>
      </w:r>
      <w:r>
        <w:rPr>
          <w:rFonts w:hint="eastAsia" w:hAnsi="宋体" w:cs="宋体"/>
          <w:color w:val="auto"/>
          <w:sz w:val="24"/>
          <w:highlight w:val="none"/>
        </w:rPr>
        <w:t>元(￥</w:t>
      </w:r>
      <w:r>
        <w:rPr>
          <w:rFonts w:hint="eastAsia" w:hAnsi="宋体" w:cs="宋体"/>
          <w:color w:val="auto"/>
          <w:sz w:val="24"/>
          <w:highlight w:val="none"/>
          <w:u w:val="single"/>
        </w:rPr>
        <w:t xml:space="preserve">                </w:t>
      </w:r>
      <w:r>
        <w:rPr>
          <w:rFonts w:hint="eastAsia" w:hAnsi="宋体" w:cs="宋体"/>
          <w:color w:val="auto"/>
          <w:sz w:val="24"/>
          <w:highlight w:val="none"/>
        </w:rPr>
        <w:t>元)人民币。</w:t>
      </w:r>
    </w:p>
    <w:p w14:paraId="7A95F8D4">
      <w:pPr>
        <w:pStyle w:val="12"/>
        <w:snapToGrid w:val="0"/>
        <w:spacing w:line="360" w:lineRule="auto"/>
        <w:ind w:firstLine="480"/>
        <w:jc w:val="left"/>
        <w:rPr>
          <w:rFonts w:hAnsi="宋体" w:cs="宋体"/>
          <w:color w:val="auto"/>
          <w:sz w:val="24"/>
          <w:highlight w:val="none"/>
        </w:rPr>
      </w:pPr>
      <w:r>
        <w:rPr>
          <w:rFonts w:hint="eastAsia" w:hAnsi="宋体" w:cs="宋体"/>
          <w:color w:val="auto"/>
          <w:sz w:val="24"/>
          <w:highlight w:val="none"/>
          <w:lang w:val="en-US" w:eastAsia="zh-CN"/>
        </w:rPr>
        <w:t>合同价</w:t>
      </w:r>
      <w:r>
        <w:rPr>
          <w:rFonts w:hint="eastAsia" w:hAnsi="宋体" w:cs="宋体"/>
          <w:color w:val="auto"/>
          <w:sz w:val="24"/>
          <w:highlight w:val="none"/>
        </w:rPr>
        <w:t>包括本项目采购需求和投入使用的所有费用，</w:t>
      </w:r>
      <w:r>
        <w:rPr>
          <w:rFonts w:hint="eastAsia" w:asciiTheme="minorEastAsia" w:hAnsiTheme="minorEastAsia" w:eastAsiaTheme="minorEastAsia"/>
          <w:bCs/>
          <w:color w:val="auto"/>
          <w:kern w:val="0"/>
          <w:sz w:val="24"/>
          <w:highlight w:val="none"/>
        </w:rPr>
        <w:t>包括但不限于检查验收服务</w:t>
      </w:r>
      <w:r>
        <w:rPr>
          <w:rFonts w:hint="eastAsia" w:asciiTheme="minorEastAsia" w:hAnsiTheme="minorEastAsia" w:eastAsiaTheme="minorEastAsia"/>
          <w:bCs/>
          <w:color w:val="auto"/>
          <w:kern w:val="0"/>
          <w:sz w:val="24"/>
          <w:highlight w:val="none"/>
          <w:lang w:val="en-US" w:eastAsia="zh-CN"/>
        </w:rPr>
        <w:t>费</w:t>
      </w:r>
      <w:r>
        <w:rPr>
          <w:rFonts w:hint="eastAsia" w:asciiTheme="minorEastAsia" w:hAnsiTheme="minorEastAsia" w:eastAsiaTheme="minorEastAsia"/>
          <w:bCs/>
          <w:color w:val="auto"/>
          <w:kern w:val="0"/>
          <w:sz w:val="24"/>
          <w:highlight w:val="none"/>
        </w:rPr>
        <w:t>、劳务、管理、材料、</w:t>
      </w:r>
      <w:r>
        <w:rPr>
          <w:rFonts w:hint="eastAsia" w:asciiTheme="minorEastAsia" w:hAnsiTheme="minorEastAsia" w:eastAsiaTheme="minorEastAsia"/>
          <w:bCs/>
          <w:color w:val="auto"/>
          <w:kern w:val="0"/>
          <w:sz w:val="24"/>
          <w:highlight w:val="none"/>
          <w:lang w:val="en-US" w:eastAsia="zh-CN"/>
        </w:rPr>
        <w:t>交通住宿费、</w:t>
      </w:r>
      <w:r>
        <w:rPr>
          <w:rFonts w:hint="eastAsia" w:asciiTheme="minorEastAsia" w:hAnsiTheme="minorEastAsia" w:eastAsiaTheme="minorEastAsia"/>
          <w:bCs/>
          <w:color w:val="auto"/>
          <w:kern w:val="0"/>
          <w:sz w:val="24"/>
          <w:highlight w:val="none"/>
        </w:rPr>
        <w:t>安全文明、风险费、保险、利润、税金、工伤保险费、</w:t>
      </w:r>
      <w:r>
        <w:rPr>
          <w:rFonts w:hint="eastAsia" w:asciiTheme="minorEastAsia" w:hAnsiTheme="minorEastAsia" w:eastAsiaTheme="minorEastAsia"/>
          <w:bCs/>
          <w:color w:val="auto"/>
          <w:kern w:val="0"/>
          <w:sz w:val="24"/>
          <w:highlight w:val="none"/>
          <w:lang w:val="en-US" w:eastAsia="zh-CN"/>
        </w:rPr>
        <w:t>招标代理费、</w:t>
      </w:r>
      <w:r>
        <w:rPr>
          <w:rFonts w:hint="eastAsia" w:asciiTheme="minorEastAsia" w:hAnsiTheme="minorEastAsia" w:eastAsiaTheme="minorEastAsia"/>
          <w:bCs/>
          <w:color w:val="auto"/>
          <w:kern w:val="0"/>
          <w:sz w:val="24"/>
          <w:highlight w:val="none"/>
        </w:rPr>
        <w:t>政策性文件规定、及合同包含的所有风险、责任等所有费用。各</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bCs/>
          <w:color w:val="auto"/>
          <w:kern w:val="0"/>
          <w:sz w:val="24"/>
          <w:highlight w:val="none"/>
        </w:rPr>
        <w:t>应根据招标人提供的招标需求，以及本项目实际情况和自身的综合实力，竞报投标报价。总报价以人民币元计。</w:t>
      </w:r>
    </w:p>
    <w:p w14:paraId="435DA2EF">
      <w:pPr>
        <w:pStyle w:val="12"/>
        <w:snapToGrid w:val="0"/>
        <w:spacing w:line="360" w:lineRule="auto"/>
        <w:jc w:val="left"/>
        <w:rPr>
          <w:rFonts w:hAnsi="宋体" w:cs="宋体"/>
          <w:b/>
          <w:color w:val="auto"/>
          <w:highlight w:val="none"/>
        </w:rPr>
      </w:pPr>
      <w:r>
        <w:rPr>
          <w:rFonts w:hint="eastAsia" w:hAnsi="宋体" w:cs="宋体"/>
          <w:b/>
          <w:color w:val="auto"/>
          <w:highlight w:val="none"/>
          <w:lang w:val="en-US" w:eastAsia="zh-CN"/>
        </w:rPr>
        <w:t>五</w:t>
      </w:r>
      <w:r>
        <w:rPr>
          <w:rFonts w:hint="eastAsia" w:hAnsi="宋体" w:cs="宋体"/>
          <w:b/>
          <w:color w:val="auto"/>
          <w:highlight w:val="none"/>
        </w:rPr>
        <w:t>、技术资料</w:t>
      </w:r>
    </w:p>
    <w:p w14:paraId="23650341">
      <w:pPr>
        <w:snapToGrid w:val="0"/>
        <w:spacing w:line="360" w:lineRule="auto"/>
        <w:ind w:left="0" w:lef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1.乙方应按招标文件规定的时间向甲方提供使用货物的有关技术资料。</w:t>
      </w:r>
    </w:p>
    <w:p w14:paraId="22AD7143">
      <w:pPr>
        <w:snapToGrid w:val="0"/>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9698BDC">
      <w:pPr>
        <w:pStyle w:val="12"/>
        <w:snapToGrid w:val="0"/>
        <w:spacing w:line="360" w:lineRule="auto"/>
        <w:jc w:val="left"/>
        <w:rPr>
          <w:rFonts w:hAnsi="宋体" w:cs="宋体"/>
          <w:color w:val="auto"/>
          <w:sz w:val="24"/>
          <w:highlight w:val="none"/>
        </w:rPr>
      </w:pPr>
      <w:r>
        <w:rPr>
          <w:rFonts w:hint="eastAsia" w:hAnsi="宋体" w:cs="宋体"/>
          <w:b/>
          <w:color w:val="auto"/>
          <w:highlight w:val="none"/>
          <w:lang w:val="en-US" w:eastAsia="zh-CN"/>
        </w:rPr>
        <w:t>六</w:t>
      </w:r>
      <w:r>
        <w:rPr>
          <w:rFonts w:hint="eastAsia" w:hAnsi="宋体" w:cs="宋体"/>
          <w:b/>
          <w:color w:val="auto"/>
          <w:highlight w:val="none"/>
        </w:rPr>
        <w:t>、知识产权</w:t>
      </w:r>
    </w:p>
    <w:p w14:paraId="6AABFA28">
      <w:pPr>
        <w:pStyle w:val="12"/>
        <w:snapToGrid w:val="0"/>
        <w:spacing w:line="360" w:lineRule="auto"/>
        <w:ind w:firstLine="480" w:firstLineChars="200"/>
        <w:jc w:val="left"/>
        <w:rPr>
          <w:rFonts w:hAnsi="宋体" w:cs="宋体"/>
          <w:color w:val="auto"/>
          <w:sz w:val="24"/>
          <w:highlight w:val="none"/>
        </w:rPr>
      </w:pPr>
      <w:r>
        <w:rPr>
          <w:rFonts w:hint="eastAsia" w:hAnsi="宋体" w:cs="宋体"/>
          <w:color w:val="auto"/>
          <w:sz w:val="24"/>
          <w:highlight w:val="none"/>
        </w:rPr>
        <w:t>乙方应保证所提供的服务及任何一部分均不会侵犯任何第三方的知识产权。</w:t>
      </w:r>
    </w:p>
    <w:p w14:paraId="0F47819B">
      <w:pPr>
        <w:pStyle w:val="12"/>
        <w:snapToGrid w:val="0"/>
        <w:spacing w:line="360" w:lineRule="auto"/>
        <w:jc w:val="left"/>
        <w:rPr>
          <w:rFonts w:hAnsi="宋体" w:cs="宋体"/>
          <w:b/>
          <w:color w:val="auto"/>
          <w:highlight w:val="none"/>
        </w:rPr>
      </w:pPr>
      <w:r>
        <w:rPr>
          <w:rFonts w:hint="eastAsia" w:hAnsi="宋体" w:cs="宋体"/>
          <w:b/>
          <w:color w:val="auto"/>
          <w:highlight w:val="none"/>
          <w:lang w:val="en-US" w:eastAsia="zh-CN"/>
        </w:rPr>
        <w:t>七</w:t>
      </w:r>
      <w:r>
        <w:rPr>
          <w:rFonts w:hint="eastAsia" w:hAnsi="宋体" w:cs="宋体"/>
          <w:b/>
          <w:color w:val="auto"/>
          <w:highlight w:val="none"/>
        </w:rPr>
        <w:t>、转包或分包</w:t>
      </w:r>
    </w:p>
    <w:p w14:paraId="685D2ED6">
      <w:pPr>
        <w:snapToGrid w:val="0"/>
        <w:spacing w:line="360" w:lineRule="auto"/>
        <w:ind w:left="0" w:lef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1.本合同范围的货物，应由乙方直接供应，不得转让他人供应；</w:t>
      </w:r>
    </w:p>
    <w:p w14:paraId="73E8A499">
      <w:pPr>
        <w:snapToGrid w:val="0"/>
        <w:spacing w:line="360" w:lineRule="auto"/>
        <w:ind w:left="0" w:lef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2.乙方不得将本合同范围的货物全部或部分分包给他人供应；</w:t>
      </w:r>
    </w:p>
    <w:p w14:paraId="052D9227">
      <w:pPr>
        <w:snapToGrid w:val="0"/>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3.如有转让和分包行为，甲方有权解除合同并追究乙方的违约责任。</w:t>
      </w:r>
    </w:p>
    <w:p w14:paraId="69EF13B1">
      <w:pPr>
        <w:spacing w:line="360" w:lineRule="auto"/>
        <w:jc w:val="left"/>
        <w:rPr>
          <w:rFonts w:ascii="宋体" w:hAnsi="宋体" w:cs="宋体"/>
          <w:b/>
          <w:color w:val="auto"/>
          <w:sz w:val="24"/>
          <w:highlight w:val="none"/>
        </w:rPr>
      </w:pP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、支付方式</w:t>
      </w:r>
    </w:p>
    <w:p w14:paraId="0B450563">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、合同签订后，</w:t>
      </w:r>
      <w:r>
        <w:rPr>
          <w:rFonts w:hint="eastAsia" w:ascii="宋体" w:hAnsi="宋体"/>
          <w:color w:val="auto"/>
          <w:sz w:val="24"/>
          <w:highlight w:val="none"/>
          <w:lang w:val="en-US" w:eastAsia="zh-CN"/>
        </w:rPr>
        <w:t>甲方</w:t>
      </w:r>
      <w:r>
        <w:rPr>
          <w:rFonts w:hint="eastAsia" w:ascii="宋体" w:hAnsi="宋体"/>
          <w:color w:val="auto"/>
          <w:sz w:val="24"/>
          <w:highlight w:val="none"/>
        </w:rPr>
        <w:t>向</w:t>
      </w:r>
      <w:r>
        <w:rPr>
          <w:rFonts w:hint="eastAsia" w:ascii="宋体" w:hAnsi="宋体"/>
          <w:color w:val="auto"/>
          <w:sz w:val="24"/>
          <w:highlight w:val="none"/>
          <w:lang w:val="en-US" w:eastAsia="zh-CN"/>
        </w:rPr>
        <w:t>乙方（联合体牵头人）</w:t>
      </w:r>
      <w:r>
        <w:rPr>
          <w:rFonts w:hint="eastAsia" w:ascii="宋体" w:hAnsi="宋体"/>
          <w:color w:val="auto"/>
          <w:sz w:val="24"/>
          <w:highlight w:val="none"/>
        </w:rPr>
        <w:t>支付</w:t>
      </w:r>
      <w:r>
        <w:rPr>
          <w:rFonts w:hint="eastAsia" w:ascii="宋体" w:hAnsi="宋体"/>
          <w:color w:val="auto"/>
          <w:sz w:val="24"/>
          <w:highlight w:val="none"/>
          <w:lang w:val="en-US" w:eastAsia="zh-CN"/>
        </w:rPr>
        <w:t>合同价</w:t>
      </w:r>
      <w:r>
        <w:rPr>
          <w:rFonts w:hint="eastAsia" w:ascii="宋体" w:hAnsi="宋体"/>
          <w:color w:val="auto"/>
          <w:sz w:val="24"/>
          <w:highlight w:val="none"/>
        </w:rPr>
        <w:t>的</w:t>
      </w:r>
      <w:r>
        <w:rPr>
          <w:rFonts w:ascii="宋体" w:hAnsi="宋体"/>
          <w:color w:val="auto"/>
          <w:sz w:val="24"/>
          <w:highlight w:val="none"/>
        </w:rPr>
        <w:t>20</w:t>
      </w:r>
      <w:r>
        <w:rPr>
          <w:rFonts w:hint="eastAsia" w:ascii="宋体" w:hAnsi="宋体"/>
          <w:color w:val="auto"/>
          <w:sz w:val="24"/>
          <w:highlight w:val="none"/>
        </w:rPr>
        <w:t>%；</w:t>
      </w:r>
    </w:p>
    <w:p w14:paraId="0CBAF2A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2、提交市级低效用地再开发行动规划纲要、市区低效用地再开发专项规划</w:t>
      </w:r>
      <w:r>
        <w:rPr>
          <w:rFonts w:hint="eastAsia" w:ascii="宋体" w:hAnsi="宋体"/>
          <w:color w:val="auto"/>
          <w:sz w:val="24"/>
          <w:highlight w:val="none"/>
          <w:lang w:eastAsia="zh-CN"/>
        </w:rPr>
        <w:t>初步成果</w:t>
      </w:r>
      <w:r>
        <w:rPr>
          <w:rFonts w:hint="eastAsia" w:ascii="宋体" w:hAnsi="宋体"/>
          <w:color w:val="auto"/>
          <w:sz w:val="24"/>
          <w:highlight w:val="none"/>
        </w:rPr>
        <w:t>，并通过</w:t>
      </w:r>
      <w:r>
        <w:rPr>
          <w:rFonts w:hint="eastAsia" w:ascii="宋体" w:hAnsi="宋体"/>
          <w:color w:val="auto"/>
          <w:sz w:val="24"/>
          <w:highlight w:val="none"/>
          <w:lang w:val="en-US" w:eastAsia="zh-CN"/>
        </w:rPr>
        <w:t>甲方</w:t>
      </w:r>
      <w:r>
        <w:rPr>
          <w:rFonts w:hint="eastAsia" w:ascii="宋体" w:hAnsi="宋体"/>
          <w:color w:val="auto"/>
          <w:sz w:val="24"/>
          <w:highlight w:val="none"/>
        </w:rPr>
        <w:t>内部审查后，</w:t>
      </w:r>
      <w:r>
        <w:rPr>
          <w:rFonts w:hint="eastAsia" w:ascii="宋体" w:hAnsi="宋体"/>
          <w:color w:val="auto"/>
          <w:sz w:val="24"/>
          <w:highlight w:val="none"/>
          <w:lang w:val="en-US" w:eastAsia="zh-CN"/>
        </w:rPr>
        <w:t>甲方</w:t>
      </w:r>
      <w:r>
        <w:rPr>
          <w:rFonts w:hint="eastAsia" w:ascii="宋体" w:hAnsi="宋体"/>
          <w:color w:val="auto"/>
          <w:sz w:val="24"/>
          <w:highlight w:val="none"/>
        </w:rPr>
        <w:t>向</w:t>
      </w:r>
      <w:r>
        <w:rPr>
          <w:rFonts w:hint="eastAsia" w:ascii="宋体" w:hAnsi="宋体"/>
          <w:color w:val="auto"/>
          <w:sz w:val="24"/>
          <w:highlight w:val="none"/>
          <w:lang w:val="en-US" w:eastAsia="zh-CN"/>
        </w:rPr>
        <w:t>乙方（联合体牵头人）</w:t>
      </w:r>
      <w:r>
        <w:rPr>
          <w:rFonts w:hint="eastAsia" w:ascii="宋体" w:hAnsi="宋体"/>
          <w:color w:val="auto"/>
          <w:sz w:val="24"/>
          <w:highlight w:val="none"/>
        </w:rPr>
        <w:t>支付</w:t>
      </w:r>
      <w:r>
        <w:rPr>
          <w:rFonts w:hint="eastAsia" w:ascii="宋体" w:hAnsi="宋体"/>
          <w:color w:val="auto"/>
          <w:sz w:val="24"/>
          <w:highlight w:val="none"/>
          <w:lang w:val="en-US" w:eastAsia="zh-CN"/>
        </w:rPr>
        <w:t>合同价</w:t>
      </w:r>
      <w:r>
        <w:rPr>
          <w:rFonts w:hint="eastAsia" w:ascii="宋体" w:hAnsi="宋体"/>
          <w:color w:val="auto"/>
          <w:sz w:val="24"/>
          <w:highlight w:val="none"/>
        </w:rPr>
        <w:t>的</w:t>
      </w:r>
      <w:r>
        <w:rPr>
          <w:rFonts w:hint="eastAsia" w:ascii="宋体" w:hAnsi="宋体"/>
          <w:color w:val="auto"/>
          <w:sz w:val="24"/>
          <w:highlight w:val="none"/>
          <w:lang w:val="en-US" w:eastAsia="zh-CN"/>
        </w:rPr>
        <w:t>40</w:t>
      </w:r>
      <w:r>
        <w:rPr>
          <w:rFonts w:ascii="宋体" w:hAnsi="宋体"/>
          <w:color w:val="auto"/>
          <w:sz w:val="24"/>
          <w:highlight w:val="none"/>
        </w:rPr>
        <w:t>%；</w:t>
      </w:r>
    </w:p>
    <w:p w14:paraId="010DEE57">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、提交相关专题研究，并通过</w:t>
      </w:r>
      <w:r>
        <w:rPr>
          <w:rFonts w:hint="eastAsia" w:ascii="宋体" w:hAnsi="宋体"/>
          <w:color w:val="auto"/>
          <w:sz w:val="24"/>
          <w:highlight w:val="none"/>
          <w:lang w:val="en-US" w:eastAsia="zh-CN"/>
        </w:rPr>
        <w:t>甲方</w:t>
      </w:r>
      <w:r>
        <w:rPr>
          <w:rFonts w:hint="eastAsia" w:ascii="宋体" w:hAnsi="宋体"/>
          <w:color w:val="auto"/>
          <w:sz w:val="24"/>
          <w:highlight w:val="none"/>
        </w:rPr>
        <w:t>内部审查后，</w:t>
      </w:r>
      <w:r>
        <w:rPr>
          <w:rFonts w:hint="eastAsia" w:ascii="宋体" w:hAnsi="宋体"/>
          <w:color w:val="auto"/>
          <w:sz w:val="24"/>
          <w:highlight w:val="none"/>
          <w:lang w:val="en-US" w:eastAsia="zh-CN"/>
        </w:rPr>
        <w:t>甲方</w:t>
      </w:r>
      <w:r>
        <w:rPr>
          <w:rFonts w:hint="eastAsia" w:ascii="宋体" w:hAnsi="宋体"/>
          <w:color w:val="auto"/>
          <w:sz w:val="24"/>
          <w:highlight w:val="none"/>
        </w:rPr>
        <w:t>向</w:t>
      </w:r>
      <w:r>
        <w:rPr>
          <w:rFonts w:hint="eastAsia" w:ascii="宋体" w:hAnsi="宋体"/>
          <w:color w:val="auto"/>
          <w:sz w:val="24"/>
          <w:highlight w:val="none"/>
          <w:lang w:val="en-US" w:eastAsia="zh-CN"/>
        </w:rPr>
        <w:t>乙方（联合体牵头人）</w:t>
      </w:r>
      <w:r>
        <w:rPr>
          <w:rFonts w:hint="eastAsia" w:ascii="宋体" w:hAnsi="宋体"/>
          <w:color w:val="auto"/>
          <w:sz w:val="24"/>
          <w:highlight w:val="none"/>
        </w:rPr>
        <w:t>支付</w:t>
      </w:r>
      <w:r>
        <w:rPr>
          <w:rFonts w:hint="eastAsia" w:ascii="宋体" w:hAnsi="宋体"/>
          <w:color w:val="auto"/>
          <w:sz w:val="24"/>
          <w:highlight w:val="none"/>
          <w:lang w:val="en-US" w:eastAsia="zh-CN"/>
        </w:rPr>
        <w:t>合同价</w:t>
      </w:r>
      <w:r>
        <w:rPr>
          <w:rFonts w:hint="eastAsia" w:ascii="宋体" w:hAnsi="宋体"/>
          <w:color w:val="auto"/>
          <w:sz w:val="24"/>
          <w:highlight w:val="none"/>
        </w:rPr>
        <w:t>的</w:t>
      </w:r>
      <w:r>
        <w:rPr>
          <w:rFonts w:hint="eastAsia" w:ascii="宋体" w:hAnsi="宋体"/>
          <w:color w:val="auto"/>
          <w:sz w:val="24"/>
          <w:highlight w:val="none"/>
          <w:lang w:val="en-US" w:eastAsia="zh-CN"/>
        </w:rPr>
        <w:t>2</w:t>
      </w:r>
      <w:r>
        <w:rPr>
          <w:rFonts w:ascii="宋体" w:hAnsi="宋体"/>
          <w:color w:val="auto"/>
          <w:sz w:val="24"/>
          <w:highlight w:val="none"/>
        </w:rPr>
        <w:t>0%</w:t>
      </w:r>
      <w:r>
        <w:rPr>
          <w:rFonts w:hint="eastAsia" w:ascii="宋体" w:hAnsi="宋体"/>
          <w:color w:val="auto"/>
          <w:sz w:val="24"/>
          <w:highlight w:val="none"/>
        </w:rPr>
        <w:t>；</w:t>
      </w:r>
    </w:p>
    <w:p w14:paraId="6CBC08FB">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4</w:t>
      </w:r>
      <w:r>
        <w:rPr>
          <w:rFonts w:hint="eastAsia" w:ascii="宋体" w:hAnsi="宋体"/>
          <w:color w:val="auto"/>
          <w:sz w:val="24"/>
          <w:highlight w:val="none"/>
        </w:rPr>
        <w:t>、提交市级低效用地再开发行动规划纲要、市区低效用地再开发专项规划</w:t>
      </w:r>
      <w:r>
        <w:rPr>
          <w:rFonts w:hint="eastAsia" w:ascii="宋体" w:hAnsi="宋体"/>
          <w:color w:val="auto"/>
          <w:sz w:val="24"/>
          <w:highlight w:val="none"/>
          <w:lang w:eastAsia="zh-CN"/>
        </w:rPr>
        <w:t>最终</w:t>
      </w:r>
      <w:r>
        <w:rPr>
          <w:rFonts w:hint="eastAsia" w:ascii="宋体" w:hAnsi="宋体"/>
          <w:color w:val="auto"/>
          <w:sz w:val="24"/>
          <w:highlight w:val="none"/>
        </w:rPr>
        <w:t>成果后，</w:t>
      </w:r>
      <w:r>
        <w:rPr>
          <w:rFonts w:hint="eastAsia" w:ascii="宋体" w:hAnsi="宋体"/>
          <w:color w:val="auto"/>
          <w:sz w:val="24"/>
          <w:highlight w:val="none"/>
          <w:lang w:val="en-US" w:eastAsia="zh-CN"/>
        </w:rPr>
        <w:t>甲方</w:t>
      </w:r>
      <w:r>
        <w:rPr>
          <w:rFonts w:hint="eastAsia" w:ascii="宋体" w:hAnsi="宋体"/>
          <w:color w:val="auto"/>
          <w:sz w:val="24"/>
          <w:highlight w:val="none"/>
        </w:rPr>
        <w:t>向</w:t>
      </w:r>
      <w:r>
        <w:rPr>
          <w:rFonts w:hint="eastAsia" w:ascii="宋体" w:hAnsi="宋体"/>
          <w:color w:val="auto"/>
          <w:sz w:val="24"/>
          <w:highlight w:val="none"/>
          <w:lang w:val="en-US" w:eastAsia="zh-CN"/>
        </w:rPr>
        <w:t>乙方（联合体牵头人）</w:t>
      </w:r>
      <w:r>
        <w:rPr>
          <w:rFonts w:hint="eastAsia" w:ascii="宋体" w:hAnsi="宋体"/>
          <w:color w:val="auto"/>
          <w:sz w:val="24"/>
          <w:highlight w:val="none"/>
        </w:rPr>
        <w:t>支付</w:t>
      </w:r>
      <w:r>
        <w:rPr>
          <w:rFonts w:hint="eastAsia" w:ascii="宋体" w:hAnsi="宋体"/>
          <w:color w:val="auto"/>
          <w:sz w:val="24"/>
          <w:highlight w:val="none"/>
          <w:lang w:val="en-US" w:eastAsia="zh-CN"/>
        </w:rPr>
        <w:t>合同价</w:t>
      </w:r>
      <w:r>
        <w:rPr>
          <w:rFonts w:hint="eastAsia" w:ascii="宋体" w:hAnsi="宋体"/>
          <w:color w:val="auto"/>
          <w:sz w:val="24"/>
          <w:highlight w:val="none"/>
        </w:rPr>
        <w:t>的</w:t>
      </w:r>
      <w:r>
        <w:rPr>
          <w:rFonts w:hint="eastAsia" w:ascii="宋体" w:hAnsi="宋体"/>
          <w:color w:val="auto"/>
          <w:sz w:val="24"/>
          <w:highlight w:val="none"/>
          <w:lang w:val="en-US" w:eastAsia="zh-CN"/>
        </w:rPr>
        <w:t>2</w:t>
      </w:r>
      <w:r>
        <w:rPr>
          <w:rFonts w:hint="eastAsia" w:ascii="宋体" w:hAnsi="宋体"/>
          <w:color w:val="auto"/>
          <w:sz w:val="24"/>
          <w:highlight w:val="none"/>
        </w:rPr>
        <w:t>0</w:t>
      </w:r>
      <w:r>
        <w:rPr>
          <w:rFonts w:ascii="宋体" w:hAnsi="宋体"/>
          <w:color w:val="auto"/>
          <w:sz w:val="24"/>
          <w:highlight w:val="none"/>
        </w:rPr>
        <w:t>%</w:t>
      </w:r>
      <w:r>
        <w:rPr>
          <w:rFonts w:hint="eastAsia" w:ascii="宋体" w:hAnsi="宋体"/>
          <w:color w:val="auto"/>
          <w:sz w:val="24"/>
          <w:highlight w:val="none"/>
          <w:lang w:eastAsia="zh-CN"/>
        </w:rPr>
        <w:t>。</w:t>
      </w:r>
    </w:p>
    <w:p w14:paraId="31DFBCF2">
      <w:pPr>
        <w:snapToGrid w:val="0"/>
        <w:spacing w:line="360" w:lineRule="auto"/>
        <w:ind w:firstLine="482" w:firstLineChars="200"/>
        <w:jc w:val="left"/>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注：每款项支付前须乙方</w:t>
      </w:r>
      <w:r>
        <w:rPr>
          <w:rFonts w:hint="eastAsia" w:ascii="宋体" w:hAnsi="宋体"/>
          <w:b/>
          <w:bCs/>
          <w:color w:val="auto"/>
          <w:sz w:val="24"/>
          <w:highlight w:val="none"/>
          <w:lang w:val="en-US" w:eastAsia="zh-CN"/>
        </w:rPr>
        <w:t>（联合体牵头人）</w:t>
      </w:r>
      <w:r>
        <w:rPr>
          <w:rFonts w:hint="eastAsia" w:ascii="宋体" w:hAnsi="宋体" w:cs="宋体"/>
          <w:b/>
          <w:color w:val="auto"/>
          <w:sz w:val="24"/>
          <w:highlight w:val="none"/>
          <w:lang w:val="en-US" w:eastAsia="zh-CN"/>
        </w:rPr>
        <w:t>提供甲方相应的增值税发票。</w:t>
      </w:r>
    </w:p>
    <w:p w14:paraId="0B42C11C">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lang w:val="en-US" w:eastAsia="zh-CN"/>
        </w:rPr>
        <w:t>九</w:t>
      </w:r>
      <w:r>
        <w:rPr>
          <w:rFonts w:hint="eastAsia" w:ascii="宋体" w:hAnsi="宋体" w:cs="宋体"/>
          <w:b/>
          <w:color w:val="auto"/>
          <w:sz w:val="24"/>
          <w:highlight w:val="none"/>
        </w:rPr>
        <w:t>、税费</w:t>
      </w:r>
    </w:p>
    <w:p w14:paraId="1424CEA7">
      <w:pPr>
        <w:snapToGrid w:val="0"/>
        <w:spacing w:line="360" w:lineRule="auto"/>
        <w:ind w:left="0" w:lef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本合同执行中相关的一切税费均由乙方负担。</w:t>
      </w:r>
    </w:p>
    <w:p w14:paraId="1E3F9A17">
      <w:pPr>
        <w:spacing w:line="360" w:lineRule="auto"/>
        <w:rPr>
          <w:rFonts w:ascii="宋体" w:hAnsi="宋体" w:cs="宋体"/>
          <w:color w:val="auto"/>
          <w:sz w:val="24"/>
          <w:highlight w:val="none"/>
        </w:rPr>
      </w:pPr>
      <w:r>
        <w:rPr>
          <w:rFonts w:hint="eastAsia" w:ascii="宋体" w:hAnsi="宋体" w:cs="宋体"/>
          <w:b/>
          <w:color w:val="auto"/>
          <w:sz w:val="24"/>
          <w:highlight w:val="none"/>
          <w:lang w:val="en-US" w:eastAsia="zh-CN"/>
        </w:rPr>
        <w:t>十</w:t>
      </w:r>
      <w:r>
        <w:rPr>
          <w:rFonts w:hint="eastAsia" w:ascii="宋体" w:hAnsi="宋体" w:cs="宋体"/>
          <w:b/>
          <w:color w:val="auto"/>
          <w:sz w:val="24"/>
          <w:highlight w:val="none"/>
        </w:rPr>
        <w:t>、质量保证及后续服务</w:t>
      </w:r>
    </w:p>
    <w:p w14:paraId="5C1AD5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1．乙方应按招标文件规定向甲方提供服务。</w:t>
      </w:r>
    </w:p>
    <w:p w14:paraId="16A77AC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2．乙方提供的服务成果在服务质量保证期内发生故障，乙方应负责免费提供后续服务。对达不到要求者，根据实际情况，经双方协商，可按以下办法处理：</w:t>
      </w:r>
    </w:p>
    <w:p w14:paraId="01AF0B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⑴重做：由乙方承担所发生的全部费用。</w:t>
      </w:r>
    </w:p>
    <w:p w14:paraId="677056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⑵贬值处理：由甲乙双方合议定价。</w:t>
      </w:r>
    </w:p>
    <w:p w14:paraId="7BEBA8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⑶解除合同。</w:t>
      </w:r>
    </w:p>
    <w:p w14:paraId="621E503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3．如在使用过程中发生问题，乙方在接到甲方通知后在小时内到达甲方现场。</w:t>
      </w:r>
    </w:p>
    <w:p w14:paraId="743278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4．在服务质量保证期内，乙方应对出现的质量及安全问题负责处理解决并承担一切费用。</w:t>
      </w:r>
    </w:p>
    <w:p w14:paraId="231256FB">
      <w:pPr>
        <w:spacing w:line="360" w:lineRule="auto"/>
        <w:rPr>
          <w:rFonts w:ascii="宋体" w:hAnsi="宋体" w:cs="宋体"/>
          <w:b/>
          <w:color w:val="auto"/>
          <w:sz w:val="24"/>
          <w:szCs w:val="20"/>
          <w:highlight w:val="none"/>
        </w:rPr>
      </w:pPr>
      <w:r>
        <w:rPr>
          <w:rFonts w:hint="eastAsia" w:ascii="宋体" w:hAnsi="宋体" w:cs="宋体"/>
          <w:b/>
          <w:color w:val="auto"/>
          <w:sz w:val="24"/>
          <w:highlight w:val="none"/>
        </w:rPr>
        <w:t>十</w:t>
      </w:r>
      <w:r>
        <w:rPr>
          <w:rFonts w:hint="eastAsia" w:ascii="宋体" w:hAnsi="宋体" w:cs="宋体"/>
          <w:b/>
          <w:color w:val="auto"/>
          <w:sz w:val="24"/>
          <w:highlight w:val="none"/>
          <w:lang w:val="en-US" w:eastAsia="zh-CN"/>
        </w:rPr>
        <w:t>一</w:t>
      </w:r>
      <w:r>
        <w:rPr>
          <w:rFonts w:hint="eastAsia" w:ascii="宋体" w:hAnsi="宋体" w:cs="宋体"/>
          <w:b/>
          <w:color w:val="auto"/>
          <w:sz w:val="24"/>
          <w:highlight w:val="none"/>
        </w:rPr>
        <w:t>、</w:t>
      </w:r>
      <w:r>
        <w:rPr>
          <w:rFonts w:hint="eastAsia" w:ascii="宋体" w:hAnsi="宋体" w:cs="宋体"/>
          <w:b/>
          <w:color w:val="auto"/>
          <w:sz w:val="24"/>
          <w:szCs w:val="20"/>
          <w:highlight w:val="none"/>
        </w:rPr>
        <w:t>甲方的权利与义务</w:t>
      </w:r>
    </w:p>
    <w:p w14:paraId="6083D9B4">
      <w:pPr>
        <w:spacing w:line="360" w:lineRule="auto"/>
        <w:ind w:firstLine="480" w:firstLineChars="200"/>
        <w:rPr>
          <w:rFonts w:hint="eastAsia" w:ascii="宋体" w:hAnsi="宋体" w:cs="宋体"/>
          <w:b w:val="0"/>
          <w:bCs/>
          <w:color w:val="auto"/>
          <w:sz w:val="24"/>
          <w:highlight w:val="none"/>
        </w:rPr>
      </w:pPr>
      <w:r>
        <w:rPr>
          <w:rFonts w:hint="eastAsia" w:ascii="宋体" w:hAnsi="宋体" w:cs="宋体"/>
          <w:b w:val="0"/>
          <w:bCs/>
          <w:color w:val="auto"/>
          <w:sz w:val="24"/>
          <w:highlight w:val="none"/>
        </w:rPr>
        <w:t>1、有权对服务质量、进度进行检查、监督；</w:t>
      </w:r>
    </w:p>
    <w:p w14:paraId="21F14E49">
      <w:pPr>
        <w:spacing w:line="360" w:lineRule="auto"/>
        <w:ind w:firstLine="480" w:firstLineChars="200"/>
        <w:rPr>
          <w:rFonts w:hint="eastAsia" w:ascii="宋体" w:hAnsi="宋体" w:cs="宋体"/>
          <w:b w:val="0"/>
          <w:bCs/>
          <w:color w:val="auto"/>
          <w:sz w:val="24"/>
          <w:highlight w:val="none"/>
        </w:rPr>
      </w:pPr>
      <w:r>
        <w:rPr>
          <w:rFonts w:hint="eastAsia" w:ascii="宋体" w:hAnsi="宋体" w:cs="宋体"/>
          <w:b w:val="0"/>
          <w:bCs/>
          <w:color w:val="auto"/>
          <w:sz w:val="24"/>
          <w:highlight w:val="none"/>
        </w:rPr>
        <w:t>2、甲方保证按本合同规定时限支付相关费用。</w:t>
      </w:r>
    </w:p>
    <w:p w14:paraId="3F18F061">
      <w:pPr>
        <w:spacing w:line="360" w:lineRule="auto"/>
        <w:rPr>
          <w:rFonts w:ascii="宋体" w:hAnsi="宋体" w:cs="宋体"/>
          <w:b/>
          <w:color w:val="auto"/>
          <w:sz w:val="24"/>
          <w:szCs w:val="20"/>
          <w:highlight w:val="none"/>
        </w:rPr>
      </w:pPr>
      <w:r>
        <w:rPr>
          <w:rFonts w:hint="eastAsia" w:ascii="宋体" w:hAnsi="宋体" w:cs="宋体"/>
          <w:b/>
          <w:color w:val="auto"/>
          <w:sz w:val="24"/>
          <w:highlight w:val="none"/>
        </w:rPr>
        <w:t>十</w:t>
      </w:r>
      <w:r>
        <w:rPr>
          <w:rFonts w:hint="eastAsia" w:ascii="宋体" w:hAnsi="宋体" w:cs="宋体"/>
          <w:b/>
          <w:color w:val="auto"/>
          <w:sz w:val="24"/>
          <w:highlight w:val="none"/>
          <w:lang w:val="en-US" w:eastAsia="zh-CN"/>
        </w:rPr>
        <w:t>二</w:t>
      </w:r>
      <w:r>
        <w:rPr>
          <w:rFonts w:hint="eastAsia" w:ascii="宋体" w:hAnsi="宋体" w:cs="宋体"/>
          <w:b/>
          <w:color w:val="auto"/>
          <w:sz w:val="24"/>
          <w:highlight w:val="none"/>
        </w:rPr>
        <w:t>、</w:t>
      </w:r>
      <w:r>
        <w:rPr>
          <w:rFonts w:hint="eastAsia" w:ascii="宋体" w:hAnsi="宋体" w:cs="宋体"/>
          <w:b/>
          <w:color w:val="auto"/>
          <w:sz w:val="24"/>
          <w:szCs w:val="20"/>
          <w:highlight w:val="none"/>
        </w:rPr>
        <w:t>乙方的权利与义务</w:t>
      </w:r>
    </w:p>
    <w:p w14:paraId="5D5C59B1">
      <w:pPr>
        <w:spacing w:line="360" w:lineRule="auto"/>
        <w:ind w:firstLine="480" w:firstLineChars="200"/>
        <w:rPr>
          <w:rFonts w:hint="eastAsia" w:ascii="宋体" w:hAnsi="宋体"/>
          <w:color w:val="auto"/>
          <w:kern w:val="21"/>
          <w:sz w:val="24"/>
          <w:highlight w:val="none"/>
        </w:rPr>
      </w:pPr>
      <w:r>
        <w:rPr>
          <w:rFonts w:hint="eastAsia" w:ascii="宋体" w:hAnsi="宋体"/>
          <w:color w:val="auto"/>
          <w:kern w:val="21"/>
          <w:sz w:val="24"/>
          <w:highlight w:val="none"/>
        </w:rPr>
        <w:t>1、严格按照技术要求进行编制工作；</w:t>
      </w:r>
    </w:p>
    <w:p w14:paraId="60E77A8B">
      <w:pPr>
        <w:spacing w:line="360" w:lineRule="auto"/>
        <w:ind w:firstLine="480" w:firstLineChars="200"/>
        <w:rPr>
          <w:rFonts w:hint="eastAsia" w:ascii="宋体" w:hAnsi="宋体"/>
          <w:color w:val="auto"/>
          <w:kern w:val="21"/>
          <w:sz w:val="24"/>
          <w:highlight w:val="none"/>
        </w:rPr>
      </w:pPr>
      <w:r>
        <w:rPr>
          <w:rFonts w:hint="eastAsia" w:ascii="宋体" w:hAnsi="宋体"/>
          <w:color w:val="auto"/>
          <w:kern w:val="21"/>
          <w:sz w:val="24"/>
          <w:highlight w:val="none"/>
        </w:rPr>
        <w:t>2、成果质量达不到有关技术标准或未通过专家评审，应按甲方要求返工，所造成的经济损失由乙方承担；</w:t>
      </w:r>
    </w:p>
    <w:p w14:paraId="4DD36508">
      <w:pPr>
        <w:spacing w:line="360" w:lineRule="auto"/>
        <w:ind w:firstLine="480" w:firstLineChars="200"/>
        <w:rPr>
          <w:rFonts w:hint="eastAsia" w:ascii="宋体" w:hAnsi="宋体"/>
          <w:color w:val="auto"/>
          <w:kern w:val="21"/>
          <w:sz w:val="24"/>
          <w:highlight w:val="none"/>
        </w:rPr>
      </w:pPr>
      <w:r>
        <w:rPr>
          <w:rFonts w:hint="eastAsia" w:ascii="宋体" w:hAnsi="宋体"/>
          <w:color w:val="auto"/>
          <w:kern w:val="21"/>
          <w:sz w:val="24"/>
          <w:highlight w:val="none"/>
        </w:rPr>
        <w:t>3、满足甲方对本项目的其他合理要求；</w:t>
      </w:r>
    </w:p>
    <w:p w14:paraId="08C0D3AC">
      <w:pPr>
        <w:spacing w:line="360" w:lineRule="auto"/>
        <w:ind w:firstLine="480" w:firstLineChars="200"/>
        <w:rPr>
          <w:rFonts w:hint="eastAsia" w:ascii="宋体" w:hAnsi="宋体"/>
          <w:color w:val="auto"/>
          <w:kern w:val="21"/>
          <w:sz w:val="24"/>
          <w:highlight w:val="none"/>
        </w:rPr>
      </w:pPr>
      <w:r>
        <w:rPr>
          <w:rFonts w:hint="eastAsia" w:ascii="宋体" w:hAnsi="宋体"/>
          <w:color w:val="auto"/>
          <w:kern w:val="21"/>
          <w:sz w:val="24"/>
          <w:highlight w:val="none"/>
        </w:rPr>
        <w:t>4、按投标书确定的人员和方案计划开展工作；</w:t>
      </w:r>
    </w:p>
    <w:p w14:paraId="2C32E39D">
      <w:pPr>
        <w:spacing w:line="360" w:lineRule="auto"/>
        <w:ind w:firstLine="480" w:firstLineChars="200"/>
        <w:rPr>
          <w:rFonts w:ascii="宋体" w:hAnsi="宋体" w:cs="宋体"/>
          <w:color w:val="auto"/>
          <w:sz w:val="24"/>
          <w:szCs w:val="20"/>
          <w:highlight w:val="none"/>
        </w:rPr>
      </w:pPr>
      <w:r>
        <w:rPr>
          <w:rFonts w:hint="eastAsia" w:ascii="宋体" w:hAnsi="宋体"/>
          <w:color w:val="auto"/>
          <w:kern w:val="21"/>
          <w:sz w:val="24"/>
          <w:highlight w:val="none"/>
        </w:rPr>
        <w:t>5、按时完成方案编制工作。</w:t>
      </w:r>
    </w:p>
    <w:p w14:paraId="1578BD4E">
      <w:pPr>
        <w:spacing w:line="360" w:lineRule="auto"/>
        <w:rPr>
          <w:rFonts w:ascii="宋体" w:hAnsi="宋体" w:cs="宋体"/>
          <w:b/>
          <w:color w:val="auto"/>
          <w:sz w:val="24"/>
          <w:szCs w:val="20"/>
          <w:highlight w:val="none"/>
        </w:rPr>
      </w:pPr>
      <w:r>
        <w:rPr>
          <w:rFonts w:hint="eastAsia" w:ascii="宋体" w:hAnsi="宋体" w:cs="宋体"/>
          <w:b/>
          <w:color w:val="auto"/>
          <w:sz w:val="24"/>
          <w:highlight w:val="none"/>
        </w:rPr>
        <w:t>十</w:t>
      </w:r>
      <w:r>
        <w:rPr>
          <w:rFonts w:hint="eastAsia" w:ascii="宋体" w:hAnsi="宋体" w:cs="宋体"/>
          <w:b/>
          <w:color w:val="auto"/>
          <w:sz w:val="24"/>
          <w:highlight w:val="none"/>
          <w:lang w:val="en-US" w:eastAsia="zh-CN"/>
        </w:rPr>
        <w:t>三</w:t>
      </w:r>
      <w:r>
        <w:rPr>
          <w:rFonts w:hint="eastAsia" w:ascii="宋体" w:hAnsi="宋体" w:cs="宋体"/>
          <w:b/>
          <w:color w:val="auto"/>
          <w:sz w:val="24"/>
          <w:highlight w:val="none"/>
        </w:rPr>
        <w:t>、</w:t>
      </w:r>
      <w:r>
        <w:rPr>
          <w:rFonts w:hint="eastAsia" w:ascii="宋体" w:hAnsi="宋体" w:cs="宋体"/>
          <w:b/>
          <w:color w:val="auto"/>
          <w:sz w:val="24"/>
          <w:szCs w:val="20"/>
          <w:highlight w:val="none"/>
        </w:rPr>
        <w:t>争议的解决</w:t>
      </w:r>
    </w:p>
    <w:p w14:paraId="369EC00D">
      <w:pPr>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（一）甲乙双方应及时相互通报执行本协议所发生的问题，及时协商解决办法，由于延误造成的损失由责任方承担。</w:t>
      </w:r>
    </w:p>
    <w:p w14:paraId="142DB01F">
      <w:pPr>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（二）甲乙双方均应认真履行本协议，由于任何一方过错使本协议不能履行、不能完全履行、或履行不符合约定条件的，有过错方承担责任；如属双方过错，则根据各自过错大小，分别承担相应的责任。</w:t>
      </w:r>
    </w:p>
    <w:p w14:paraId="3C36477D">
      <w:pPr>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三）由于不可抗力造成本协议不能履行时，受不可抗力影响的一方应当在不可抗力发生后的十日内，将有关情况通知另一方，并及时提供有关机构出具的书面证明，因不可抗力造成的任何损失，均由受损失方自行承担。</w:t>
      </w:r>
    </w:p>
    <w:p w14:paraId="66203052">
      <w:pPr>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（四）甲乙双方同意，在执行本协议过程中所发生的一切争议，应先通过友好协商解决，自发生争议之日起30日内协商不成的，任何一方均可以诉诸甲方住所地人民法院解决。</w:t>
      </w:r>
    </w:p>
    <w:p w14:paraId="06ED5495">
      <w:pPr>
        <w:spacing w:line="360" w:lineRule="auto"/>
        <w:rPr>
          <w:rFonts w:ascii="宋体" w:hAnsi="宋体" w:cs="宋体"/>
          <w:b/>
          <w:color w:val="auto"/>
          <w:sz w:val="24"/>
          <w:szCs w:val="20"/>
          <w:highlight w:val="none"/>
        </w:rPr>
      </w:pPr>
      <w:r>
        <w:rPr>
          <w:rFonts w:hint="eastAsia" w:ascii="宋体" w:hAnsi="宋体" w:cs="宋体"/>
          <w:b/>
          <w:color w:val="auto"/>
          <w:sz w:val="24"/>
          <w:highlight w:val="none"/>
        </w:rPr>
        <w:t>十</w:t>
      </w:r>
      <w:r>
        <w:rPr>
          <w:rFonts w:hint="eastAsia" w:ascii="宋体" w:hAnsi="宋体" w:cs="宋体"/>
          <w:b/>
          <w:color w:val="auto"/>
          <w:sz w:val="24"/>
          <w:highlight w:val="none"/>
          <w:lang w:val="en-US" w:eastAsia="zh-CN"/>
        </w:rPr>
        <w:t>四</w:t>
      </w:r>
      <w:r>
        <w:rPr>
          <w:rFonts w:hint="eastAsia" w:ascii="宋体" w:hAnsi="宋体" w:cs="宋体"/>
          <w:b/>
          <w:color w:val="auto"/>
          <w:sz w:val="24"/>
          <w:highlight w:val="none"/>
        </w:rPr>
        <w:t>、</w:t>
      </w:r>
      <w:r>
        <w:rPr>
          <w:rFonts w:hint="eastAsia" w:ascii="宋体" w:hAnsi="宋体" w:cs="宋体"/>
          <w:b/>
          <w:color w:val="auto"/>
          <w:sz w:val="24"/>
          <w:szCs w:val="20"/>
          <w:highlight w:val="none"/>
        </w:rPr>
        <w:t>协议生效</w:t>
      </w:r>
    </w:p>
    <w:p w14:paraId="75928631">
      <w:pPr>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本协议自双方法定代表人或授权代表签字并加盖公章之日起生效。协议有效期内，双方可协商变更或提前终止本协议。</w:t>
      </w:r>
    </w:p>
    <w:p w14:paraId="0038BA01">
      <w:pPr>
        <w:spacing w:line="360" w:lineRule="auto"/>
        <w:rPr>
          <w:rFonts w:ascii="宋体" w:hAnsi="宋体" w:cs="宋体"/>
          <w:b/>
          <w:color w:val="auto"/>
          <w:sz w:val="24"/>
          <w:szCs w:val="20"/>
          <w:highlight w:val="none"/>
        </w:rPr>
      </w:pPr>
      <w:r>
        <w:rPr>
          <w:rFonts w:hint="eastAsia" w:ascii="宋体" w:hAnsi="宋体" w:cs="宋体"/>
          <w:b/>
          <w:color w:val="auto"/>
          <w:sz w:val="24"/>
          <w:highlight w:val="none"/>
        </w:rPr>
        <w:t>十</w:t>
      </w:r>
      <w:r>
        <w:rPr>
          <w:rFonts w:hint="eastAsia" w:ascii="宋体" w:hAnsi="宋体" w:cs="宋体"/>
          <w:b/>
          <w:color w:val="auto"/>
          <w:sz w:val="24"/>
          <w:highlight w:val="none"/>
          <w:lang w:val="en-US" w:eastAsia="zh-CN"/>
        </w:rPr>
        <w:t>五</w:t>
      </w:r>
      <w:r>
        <w:rPr>
          <w:rFonts w:hint="eastAsia" w:ascii="宋体" w:hAnsi="宋体" w:cs="宋体"/>
          <w:b/>
          <w:color w:val="auto"/>
          <w:sz w:val="24"/>
          <w:highlight w:val="none"/>
        </w:rPr>
        <w:t>、</w:t>
      </w:r>
      <w:r>
        <w:rPr>
          <w:rFonts w:hint="eastAsia" w:ascii="宋体" w:hAnsi="宋体" w:cs="宋体"/>
          <w:b/>
          <w:color w:val="auto"/>
          <w:sz w:val="24"/>
          <w:szCs w:val="20"/>
          <w:highlight w:val="none"/>
        </w:rPr>
        <w:t>协议变更</w:t>
      </w:r>
    </w:p>
    <w:p w14:paraId="0F1ECACC">
      <w:pPr>
        <w:spacing w:line="360" w:lineRule="auto"/>
        <w:rPr>
          <w:rFonts w:ascii="宋体" w:hAnsi="宋体" w:cs="宋体"/>
          <w:color w:val="auto"/>
          <w:sz w:val="24"/>
          <w:szCs w:val="20"/>
          <w:highlight w:val="none"/>
        </w:rPr>
      </w:pPr>
      <w:r>
        <w:rPr>
          <w:rFonts w:hint="eastAsia" w:ascii="宋体" w:hAnsi="宋体" w:cs="宋体"/>
          <w:color w:val="auto"/>
          <w:sz w:val="24"/>
          <w:szCs w:val="20"/>
          <w:highlight w:val="none"/>
        </w:rPr>
        <w:t xml:space="preserve">   本协议可以修改或补充。其修改或补充内容须在协商一致的基础上，经双方法定代表人或授权代表签署书面补充协议并加盖公章后生效。补充协议构成本协议的组成部分，具有与本协议的同等效力。补充协议与本协议不一致的，以补充协议为准。</w:t>
      </w:r>
    </w:p>
    <w:p w14:paraId="298BC5D0">
      <w:pPr>
        <w:spacing w:line="360" w:lineRule="auto"/>
        <w:rPr>
          <w:rFonts w:ascii="宋体" w:hAnsi="宋体" w:cs="宋体"/>
          <w:b/>
          <w:color w:val="auto"/>
          <w:sz w:val="24"/>
          <w:szCs w:val="20"/>
          <w:highlight w:val="none"/>
        </w:rPr>
      </w:pPr>
      <w:r>
        <w:rPr>
          <w:rFonts w:hint="eastAsia" w:ascii="宋体" w:hAnsi="宋体" w:cs="宋体"/>
          <w:b/>
          <w:color w:val="auto"/>
          <w:sz w:val="24"/>
          <w:highlight w:val="none"/>
        </w:rPr>
        <w:t>十</w:t>
      </w: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w:t>
      </w:r>
      <w:r>
        <w:rPr>
          <w:rFonts w:hint="eastAsia" w:ascii="宋体" w:hAnsi="宋体" w:cs="宋体"/>
          <w:b/>
          <w:color w:val="auto"/>
          <w:sz w:val="24"/>
          <w:szCs w:val="20"/>
          <w:highlight w:val="none"/>
        </w:rPr>
        <w:t>保密条款</w:t>
      </w:r>
    </w:p>
    <w:p w14:paraId="268D26F1">
      <w:pPr>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本协议履行期间及履行完毕的任何时候，未经对方同意，任何一方不得以任何形式公开本合同及附件内容，以确保双方的商业机密。法律、法规另有规定的除外。</w:t>
      </w:r>
    </w:p>
    <w:p w14:paraId="1E18CC31">
      <w:pPr>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如需要，乙方应根据甲方的要求签署相应的保密协议，保密协议与本条款存在不一致的，以保密协议为准。</w:t>
      </w:r>
    </w:p>
    <w:p w14:paraId="4B8C92A8">
      <w:pPr>
        <w:spacing w:line="360" w:lineRule="auto"/>
        <w:rPr>
          <w:rFonts w:ascii="宋体" w:hAnsi="宋体" w:cs="宋体"/>
          <w:b/>
          <w:color w:val="auto"/>
          <w:sz w:val="24"/>
          <w:highlight w:val="none"/>
        </w:rPr>
      </w:pPr>
      <w:r>
        <w:rPr>
          <w:rFonts w:hint="eastAsia" w:ascii="宋体" w:hAnsi="宋体" w:cs="宋体"/>
          <w:b/>
          <w:color w:val="auto"/>
          <w:sz w:val="24"/>
          <w:highlight w:val="none"/>
        </w:rPr>
        <w:t>十</w:t>
      </w: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、违约责任</w:t>
      </w:r>
    </w:p>
    <w:p w14:paraId="71E2B4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1．甲方无正当理由拒收接受服务的，甲方向乙方偿付合同款项百分之五作为违约金。</w:t>
      </w:r>
    </w:p>
    <w:p w14:paraId="10510F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2．甲方无故逾期验收和办理款项支付手续的,甲方应按逾期付款总额每日万分之五向乙方支付违约金。</w:t>
      </w:r>
    </w:p>
    <w:p w14:paraId="2E98C5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百分之十的违约金，如造成甲方损失超过违约金的，超出部分由乙方继续承担赔偿责任。</w:t>
      </w:r>
    </w:p>
    <w:p w14:paraId="63F687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4.乙方提供的</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质量不合格，乙方应负责无偿给予修改或采取补救措施，以达到质量要求。</w:t>
      </w:r>
    </w:p>
    <w:p w14:paraId="0D9A37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5.对于甲方提供的图纸、技术资料和档案资料以及属于甲方的调查成果，乙方有义务保密，不得向第三方转让，否则，甲方有权对因此造成的损失追究乙方责任。</w:t>
      </w:r>
    </w:p>
    <w:p w14:paraId="5D31305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lang w:val="en-US" w:eastAsia="zh-CN"/>
        </w:rPr>
        <w:t>十八</w:t>
      </w:r>
      <w:r>
        <w:rPr>
          <w:rFonts w:hint="eastAsia" w:ascii="宋体" w:hAnsi="宋体" w:cs="宋体"/>
          <w:b/>
          <w:color w:val="auto"/>
          <w:sz w:val="24"/>
          <w:highlight w:val="none"/>
        </w:rPr>
        <w:t>、不可抗力事件处理</w:t>
      </w:r>
    </w:p>
    <w:p w14:paraId="009C64A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1.在合同有效期内，任何一方因不可抗力事件导致不能履行合同，则合同履行期可　　</w:t>
      </w:r>
    </w:p>
    <w:p w14:paraId="3BA16DAD">
      <w:pPr>
        <w:spacing w:line="360" w:lineRule="auto"/>
        <w:rPr>
          <w:rFonts w:ascii="宋体" w:hAnsi="宋体" w:cs="宋体"/>
          <w:color w:val="auto"/>
          <w:sz w:val="24"/>
          <w:highlight w:val="none"/>
        </w:rPr>
      </w:pPr>
      <w:r>
        <w:rPr>
          <w:rFonts w:hint="eastAsia" w:ascii="宋体" w:hAnsi="宋体" w:cs="宋体"/>
          <w:color w:val="auto"/>
          <w:sz w:val="24"/>
          <w:highlight w:val="none"/>
        </w:rPr>
        <w:t>延长，其延长期与不可抗力影响期相同。</w:t>
      </w:r>
    </w:p>
    <w:p w14:paraId="31AFFF0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2.不可抗力事件发生后，应立即通知对方，并寄送有关权威机构出具的证明。</w:t>
      </w:r>
    </w:p>
    <w:p w14:paraId="19B1F35F">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3.不可抗力事件延续120天以上，双方应通过友好协商，确定是否继续履行合同。</w:t>
      </w:r>
    </w:p>
    <w:p w14:paraId="2AADDDFC">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lang w:val="en-US" w:eastAsia="zh-CN"/>
        </w:rPr>
        <w:t>十九</w:t>
      </w:r>
      <w:r>
        <w:rPr>
          <w:rFonts w:hint="eastAsia" w:ascii="宋体" w:hAnsi="宋体" w:cs="宋体"/>
          <w:b/>
          <w:color w:val="auto"/>
          <w:sz w:val="24"/>
          <w:highlight w:val="none"/>
        </w:rPr>
        <w:t>、诉讼</w:t>
      </w:r>
    </w:p>
    <w:p w14:paraId="231CDB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双方在执行合同中所发生的一切争议，应通过协商解决。如协商不成，可向甲方所</w:t>
      </w:r>
    </w:p>
    <w:p w14:paraId="434C9338">
      <w:pPr>
        <w:spacing w:line="360" w:lineRule="auto"/>
        <w:rPr>
          <w:rFonts w:ascii="宋体" w:hAnsi="宋体" w:cs="宋体"/>
          <w:color w:val="auto"/>
          <w:sz w:val="24"/>
          <w:highlight w:val="none"/>
        </w:rPr>
      </w:pPr>
      <w:r>
        <w:rPr>
          <w:rFonts w:hint="eastAsia" w:ascii="宋体" w:hAnsi="宋体" w:cs="宋体"/>
          <w:color w:val="auto"/>
          <w:sz w:val="24"/>
          <w:highlight w:val="none"/>
        </w:rPr>
        <w:t>在地法院起诉。</w:t>
      </w:r>
    </w:p>
    <w:p w14:paraId="3EC95137">
      <w:pPr>
        <w:pStyle w:val="12"/>
        <w:snapToGrid w:val="0"/>
        <w:spacing w:line="360" w:lineRule="auto"/>
        <w:jc w:val="left"/>
        <w:rPr>
          <w:rFonts w:hAnsi="宋体" w:cs="宋体"/>
          <w:b/>
          <w:color w:val="auto"/>
          <w:highlight w:val="none"/>
        </w:rPr>
      </w:pPr>
      <w:r>
        <w:rPr>
          <w:rFonts w:hint="eastAsia" w:hAnsi="宋体" w:cs="宋体"/>
          <w:b/>
          <w:color w:val="auto"/>
          <w:highlight w:val="none"/>
        </w:rPr>
        <w:t>二十、合同生效及其它</w:t>
      </w:r>
    </w:p>
    <w:p w14:paraId="68F32C7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1.合同经双方法定代表人或授权代表签字并加盖单位公章后生效。</w:t>
      </w:r>
    </w:p>
    <w:p w14:paraId="7B3D87D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2.合同执行中涉及采购资金和采购内容修改或补充的，须经财政部门审批，并签书面补充协议报政府采购监督管理部门备案，方可作为主合同不可分割的一部分。</w:t>
      </w:r>
    </w:p>
    <w:p w14:paraId="5D4F848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3.本合同未尽事宜，遵照《民法典》有关条文执行。</w:t>
      </w:r>
    </w:p>
    <w:p w14:paraId="0BD47800">
      <w:pPr>
        <w:snapToGrid w:val="0"/>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4.本合同壹式陆份，具有同等法律效力，甲乙双方各执三份。自双方签字盖章之日起生效</w:t>
      </w:r>
      <w:r>
        <w:rPr>
          <w:rFonts w:hint="eastAsia" w:ascii="宋体" w:hAnsi="宋体" w:cs="宋体"/>
          <w:color w:val="auto"/>
          <w:sz w:val="24"/>
          <w:highlight w:val="none"/>
          <w:lang w:eastAsia="zh-CN"/>
        </w:rPr>
        <w:t>。</w:t>
      </w:r>
    </w:p>
    <w:p w14:paraId="0B42CF86">
      <w:pPr>
        <w:spacing w:before="156" w:beforeLines="50" w:after="156" w:afterLines="50" w:line="360" w:lineRule="auto"/>
        <w:ind w:firstLine="482" w:firstLineChars="200"/>
        <w:jc w:val="both"/>
        <w:rPr>
          <w:rFonts w:ascii="宋体" w:hAnsi="宋体" w:cs="宋体"/>
          <w:b/>
          <w:color w:val="auto"/>
          <w:sz w:val="24"/>
          <w:highlight w:val="none"/>
        </w:rPr>
      </w:pPr>
      <w:r>
        <w:rPr>
          <w:rFonts w:hint="eastAsia" w:ascii="宋体" w:hAnsi="宋体" w:cs="宋体"/>
          <w:b/>
          <w:color w:val="auto"/>
          <w:sz w:val="24"/>
          <w:highlight w:val="none"/>
        </w:rPr>
        <w:t>甲方：                                   乙方：</w:t>
      </w:r>
    </w:p>
    <w:p w14:paraId="4D53D388">
      <w:pPr>
        <w:spacing w:before="156" w:beforeLines="50" w:after="156" w:afterLines="50"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地址：                                   地址：</w:t>
      </w:r>
    </w:p>
    <w:p w14:paraId="694B1CF8">
      <w:pPr>
        <w:spacing w:before="156" w:beforeLines="50" w:after="156" w:afterLines="50"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法定(授权)代表人                         法定(授权)代表人</w:t>
      </w:r>
    </w:p>
    <w:p w14:paraId="53059BE6">
      <w:pPr>
        <w:autoSpaceDE w:val="0"/>
        <w:autoSpaceDN w:val="0"/>
        <w:spacing w:line="360" w:lineRule="auto"/>
        <w:ind w:firstLine="480" w:firstLineChars="200"/>
        <w:jc w:val="both"/>
        <w:rPr>
          <w:rFonts w:hint="eastAsia" w:ascii="宋体" w:hAnsi="宋体" w:cs="宋体"/>
          <w:color w:val="auto"/>
          <w:sz w:val="24"/>
          <w:highlight w:val="none"/>
        </w:rPr>
        <w:sectPr>
          <w:pgSz w:w="11906" w:h="16838"/>
          <w:pgMar w:top="1247" w:right="1361" w:bottom="1247" w:left="1361" w:header="851" w:footer="851" w:gutter="0"/>
          <w:pgNumType w:fmt="numberInDash"/>
          <w:cols w:space="720" w:num="1"/>
          <w:docGrid w:type="lines" w:linePitch="312" w:charSpace="0"/>
        </w:sectPr>
      </w:pPr>
      <w:r>
        <w:rPr>
          <w:rFonts w:hint="eastAsia" w:ascii="宋体" w:hAnsi="宋体" w:cs="宋体"/>
          <w:color w:val="auto"/>
          <w:sz w:val="24"/>
          <w:highlight w:val="none"/>
        </w:rPr>
        <w:t>签字日期：                               签字日期：</w:t>
      </w:r>
    </w:p>
    <w:p w14:paraId="09C29609">
      <w:p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第五章 拟签订的合同文本</w:t>
      </w:r>
    </w:p>
    <w:p w14:paraId="38BAEF9E">
      <w:pPr>
        <w:pStyle w:val="60"/>
        <w:jc w:val="center"/>
        <w:textAlignment w:val="baseline"/>
        <w:rPr>
          <w:b/>
          <w:bCs/>
          <w:color w:val="auto"/>
          <w:sz w:val="36"/>
          <w:szCs w:val="36"/>
          <w:highlight w:val="none"/>
        </w:rPr>
      </w:pPr>
      <w:r>
        <w:rPr>
          <w:rFonts w:hint="eastAsia"/>
          <w:b/>
          <w:bCs/>
          <w:color w:val="auto"/>
          <w:sz w:val="36"/>
          <w:szCs w:val="36"/>
          <w:highlight w:val="none"/>
        </w:rPr>
        <w:t>浙江省政府采购合同主要条款指引</w:t>
      </w:r>
    </w:p>
    <w:p w14:paraId="52515AB2">
      <w:pPr>
        <w:widowControl/>
        <w:shd w:val="clear" w:color="auto" w:fill="FFFFFF"/>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（此稿为合同样本，最终定稿待双方协商后定）</w:t>
      </w:r>
    </w:p>
    <w:p w14:paraId="449111D3">
      <w:pPr>
        <w:pStyle w:val="2"/>
        <w:jc w:val="center"/>
        <w:rPr>
          <w:rFonts w:hint="eastAsia" w:eastAsia="宋体"/>
          <w:color w:val="auto"/>
          <w:highlight w:val="none"/>
          <w:lang w:eastAsia="zh-CN"/>
        </w:rPr>
      </w:pPr>
      <w:r>
        <w:rPr>
          <w:rFonts w:hint="eastAsia" w:ascii="宋体" w:hAnsi="宋体"/>
          <w:b/>
          <w:bCs/>
          <w:color w:val="auto"/>
          <w:sz w:val="32"/>
          <w:szCs w:val="32"/>
          <w:highlight w:val="none"/>
          <w:lang w:eastAsia="zh-CN"/>
        </w:rPr>
        <w:t>（</w:t>
      </w:r>
      <w:r>
        <w:rPr>
          <w:rFonts w:hint="eastAsia" w:ascii="宋体" w:hAnsi="宋体"/>
          <w:b/>
          <w:bCs/>
          <w:color w:val="auto"/>
          <w:sz w:val="32"/>
          <w:szCs w:val="32"/>
          <w:highlight w:val="none"/>
          <w:lang w:val="en-US" w:eastAsia="zh-CN"/>
        </w:rPr>
        <w:t>适用于标项二</w:t>
      </w:r>
      <w:r>
        <w:rPr>
          <w:rFonts w:hint="eastAsia" w:ascii="宋体" w:hAnsi="宋体"/>
          <w:b/>
          <w:bCs/>
          <w:color w:val="auto"/>
          <w:sz w:val="32"/>
          <w:szCs w:val="32"/>
          <w:highlight w:val="none"/>
          <w:lang w:eastAsia="zh-CN"/>
        </w:rPr>
        <w:t>）</w:t>
      </w:r>
    </w:p>
    <w:p w14:paraId="20608469">
      <w:pPr>
        <w:pStyle w:val="12"/>
        <w:snapToGrid w:val="0"/>
        <w:spacing w:line="480" w:lineRule="auto"/>
        <w:jc w:val="left"/>
        <w:rPr>
          <w:rFonts w:hint="eastAsia" w:hAnsi="宋体" w:cs="宋体"/>
          <w:color w:val="auto"/>
          <w:sz w:val="24"/>
          <w:highlight w:val="none"/>
        </w:rPr>
      </w:pPr>
    </w:p>
    <w:p w14:paraId="4351E739">
      <w:pPr>
        <w:pStyle w:val="12"/>
        <w:snapToGrid w:val="0"/>
        <w:spacing w:line="360" w:lineRule="auto"/>
        <w:jc w:val="left"/>
        <w:rPr>
          <w:rFonts w:hint="eastAsia" w:hAnsi="宋体" w:cs="宋体"/>
          <w:color w:val="auto"/>
          <w:sz w:val="24"/>
          <w:highlight w:val="none"/>
        </w:rPr>
      </w:pPr>
      <w:r>
        <w:rPr>
          <w:rFonts w:hint="eastAsia" w:hAnsi="宋体" w:cs="宋体"/>
          <w:color w:val="auto"/>
          <w:sz w:val="24"/>
          <w:highlight w:val="none"/>
        </w:rPr>
        <w:t>项目编号：</w:t>
      </w:r>
      <w:r>
        <w:rPr>
          <w:rFonts w:hint="eastAsia" w:hAnsi="宋体" w:cs="宋体"/>
          <w:color w:val="auto"/>
          <w:sz w:val="24"/>
          <w:highlight w:val="none"/>
          <w:lang w:val="en-US" w:eastAsia="zh-CN"/>
        </w:rPr>
        <w:t>台财采确临[2025]4736号、4735号</w:t>
      </w:r>
    </w:p>
    <w:p w14:paraId="344D8FD7">
      <w:pPr>
        <w:pStyle w:val="12"/>
        <w:snapToGrid w:val="0"/>
        <w:spacing w:line="360" w:lineRule="auto"/>
        <w:jc w:val="left"/>
        <w:rPr>
          <w:rFonts w:hint="eastAsia" w:hAnsi="宋体" w:eastAsia="宋体" w:cs="宋体"/>
          <w:color w:val="auto"/>
          <w:spacing w:val="-6"/>
          <w:sz w:val="24"/>
          <w:highlight w:val="none"/>
          <w:lang w:eastAsia="zh-CN"/>
        </w:rPr>
      </w:pPr>
      <w:r>
        <w:rPr>
          <w:rFonts w:hint="eastAsia" w:hAnsi="宋体" w:cs="宋体"/>
          <w:color w:val="auto"/>
          <w:sz w:val="24"/>
          <w:highlight w:val="none"/>
        </w:rPr>
        <w:t>项</w:t>
      </w:r>
      <w:r>
        <w:rPr>
          <w:rFonts w:hint="eastAsia" w:hAnsi="宋体" w:cs="宋体"/>
          <w:color w:val="auto"/>
          <w:spacing w:val="-6"/>
          <w:sz w:val="24"/>
          <w:highlight w:val="none"/>
        </w:rPr>
        <w:t>目名称：</w:t>
      </w:r>
      <w:r>
        <w:rPr>
          <w:rFonts w:hint="eastAsia" w:hAnsi="宋体" w:cs="宋体"/>
          <w:color w:val="auto"/>
          <w:spacing w:val="-6"/>
          <w:sz w:val="24"/>
          <w:highlight w:val="none"/>
          <w:lang w:eastAsia="zh-CN"/>
        </w:rPr>
        <w:t>台州市低效用地再开发试点项目（标项二）</w:t>
      </w:r>
    </w:p>
    <w:p w14:paraId="5E50DD2B">
      <w:pPr>
        <w:pStyle w:val="12"/>
        <w:snapToGrid w:val="0"/>
        <w:spacing w:line="360" w:lineRule="auto"/>
        <w:jc w:val="left"/>
        <w:rPr>
          <w:rFonts w:hint="eastAsia" w:hAnsi="宋体" w:eastAsia="宋体" w:cs="宋体"/>
          <w:color w:val="auto"/>
          <w:sz w:val="24"/>
          <w:highlight w:val="none"/>
          <w:u w:val="single"/>
          <w:lang w:eastAsia="zh-CN"/>
        </w:rPr>
      </w:pPr>
      <w:r>
        <w:rPr>
          <w:rFonts w:hint="eastAsia" w:hAnsi="宋体" w:cs="宋体"/>
          <w:color w:val="auto"/>
          <w:sz w:val="24"/>
          <w:highlight w:val="none"/>
        </w:rPr>
        <w:t>甲方(委托方)：台州市自然资源和规划局</w:t>
      </w:r>
    </w:p>
    <w:p w14:paraId="41011785">
      <w:pPr>
        <w:pStyle w:val="12"/>
        <w:snapToGrid w:val="0"/>
        <w:spacing w:line="360" w:lineRule="auto"/>
        <w:jc w:val="left"/>
        <w:rPr>
          <w:rFonts w:hAnsi="宋体" w:cs="宋体"/>
          <w:color w:val="auto"/>
          <w:sz w:val="24"/>
          <w:highlight w:val="none"/>
        </w:rPr>
      </w:pPr>
      <w:r>
        <w:rPr>
          <w:rFonts w:hint="eastAsia" w:hAnsi="宋体" w:cs="宋体"/>
          <w:color w:val="auto"/>
          <w:sz w:val="24"/>
          <w:highlight w:val="none"/>
        </w:rPr>
        <w:t>乙方(</w:t>
      </w:r>
      <w:r>
        <w:rPr>
          <w:rFonts w:hint="eastAsia" w:hAnsi="宋体" w:cs="宋体"/>
          <w:color w:val="auto"/>
          <w:sz w:val="24"/>
          <w:highlight w:val="none"/>
          <w:lang w:val="en-US" w:eastAsia="zh-CN"/>
        </w:rPr>
        <w:t>受托方</w:t>
      </w:r>
      <w:r>
        <w:rPr>
          <w:rFonts w:hint="eastAsia" w:hAnsi="宋体" w:cs="宋体"/>
          <w:color w:val="auto"/>
          <w:sz w:val="24"/>
          <w:highlight w:val="none"/>
        </w:rPr>
        <w:t>)：</w:t>
      </w:r>
    </w:p>
    <w:p w14:paraId="059E3DD1">
      <w:pPr>
        <w:pStyle w:val="12"/>
        <w:snapToGrid w:val="0"/>
        <w:spacing w:line="360" w:lineRule="auto"/>
        <w:ind w:firstLine="480"/>
        <w:jc w:val="left"/>
        <w:rPr>
          <w:rFonts w:hAnsi="宋体" w:cs="宋体"/>
          <w:color w:val="auto"/>
          <w:sz w:val="24"/>
          <w:highlight w:val="none"/>
        </w:rPr>
      </w:pPr>
      <w:r>
        <w:rPr>
          <w:rFonts w:hint="eastAsia" w:hAnsi="宋体" w:cs="宋体"/>
          <w:color w:val="auto"/>
          <w:sz w:val="24"/>
          <w:highlight w:val="none"/>
        </w:rPr>
        <w:t>根据《中华人民共和国政府采购法》、《中华人民共和国</w:t>
      </w:r>
      <w:r>
        <w:rPr>
          <w:rFonts w:hint="eastAsia" w:hAnsi="宋体" w:cs="宋体"/>
          <w:color w:val="auto"/>
          <w:sz w:val="24"/>
          <w:highlight w:val="none"/>
          <w:lang w:val="en-US" w:eastAsia="zh-CN"/>
        </w:rPr>
        <w:t>民法典</w:t>
      </w:r>
      <w:r>
        <w:rPr>
          <w:rFonts w:hint="eastAsia" w:hAnsi="宋体" w:cs="宋体"/>
          <w:color w:val="auto"/>
          <w:sz w:val="24"/>
          <w:highlight w:val="none"/>
        </w:rPr>
        <w:t>》等相关法律法规和</w:t>
      </w:r>
      <w:r>
        <w:rPr>
          <w:rFonts w:hint="eastAsia" w:hAnsi="宋体" w:cs="宋体"/>
          <w:color w:val="auto"/>
          <w:sz w:val="24"/>
          <w:highlight w:val="none"/>
          <w:u w:val="single"/>
          <w:lang w:eastAsia="zh-CN"/>
        </w:rPr>
        <w:t>台州市低效用地再开发试点项目（标项二）</w:t>
      </w:r>
      <w:r>
        <w:rPr>
          <w:rFonts w:hint="eastAsia" w:hAnsi="宋体" w:cs="宋体"/>
          <w:color w:val="auto"/>
          <w:sz w:val="24"/>
          <w:highlight w:val="none"/>
          <w:u w:val="single"/>
        </w:rPr>
        <w:t>（采购编号：              ）</w:t>
      </w:r>
      <w:r>
        <w:rPr>
          <w:rFonts w:hint="eastAsia" w:hAnsi="宋体" w:cs="宋体"/>
          <w:color w:val="auto"/>
          <w:sz w:val="24"/>
          <w:highlight w:val="none"/>
        </w:rPr>
        <w:t>的中标情况，遵循平等、自愿、公平、诚实信用的原则，由采购单位（以下简称甲方）与经评审最终确定的中标供应商（以下简称乙方）结合本项目具体情况，经双方协商一致后达成以下条款:</w:t>
      </w:r>
    </w:p>
    <w:p w14:paraId="68472DA7">
      <w:pPr>
        <w:spacing w:line="360" w:lineRule="auto"/>
        <w:jc w:val="left"/>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一、服务内容</w:t>
      </w:r>
    </w:p>
    <w:p w14:paraId="77653ECC">
      <w:pPr>
        <w:pStyle w:val="12"/>
        <w:snapToGrid w:val="0"/>
        <w:spacing w:line="360" w:lineRule="auto"/>
        <w:outlineLvl w:val="0"/>
        <w:rPr>
          <w:rFonts w:hint="eastAsia" w:asciiTheme="minorEastAsia" w:hAnsiTheme="minorEastAsia" w:eastAsiaTheme="minorEastAsia" w:cstheme="minorBidi"/>
          <w:color w:val="auto"/>
          <w:kern w:val="0"/>
          <w:sz w:val="24"/>
          <w:highlight w:val="none"/>
        </w:rPr>
      </w:pPr>
      <w:r>
        <w:rPr>
          <w:rFonts w:hint="eastAsia" w:asciiTheme="minorEastAsia" w:hAnsiTheme="minorEastAsia" w:eastAsiaTheme="minorEastAsia" w:cstheme="minorBidi"/>
          <w:color w:val="auto"/>
          <w:kern w:val="0"/>
          <w:sz w:val="24"/>
          <w:highlight w:val="none"/>
        </w:rPr>
        <w:t>（一）低效用地调查摸底技术支撑</w:t>
      </w:r>
    </w:p>
    <w:p w14:paraId="1618DCED">
      <w:pPr>
        <w:pStyle w:val="3"/>
        <w:spacing w:line="360" w:lineRule="auto"/>
        <w:ind w:left="0" w:leftChars="0" w:firstLine="480" w:firstLineChars="200"/>
        <w:rPr>
          <w:rFonts w:hint="eastAsia" w:ascii="宋体" w:hAnsi="宋体" w:cs="宋体"/>
          <w:color w:val="auto"/>
          <w:highlight w:val="none"/>
        </w:rPr>
      </w:pPr>
      <w:r>
        <w:rPr>
          <w:rFonts w:hint="eastAsia" w:asciiTheme="minorEastAsia" w:hAnsiTheme="minorEastAsia" w:eastAsiaTheme="minorEastAsia" w:cstheme="minorBidi"/>
          <w:color w:val="auto"/>
          <w:kern w:val="0"/>
          <w:sz w:val="24"/>
          <w:highlight w:val="none"/>
        </w:rPr>
        <w:t>按照自然资源部开发利用司《关于做好低效用地再开发试点工作有关事项的函》（自然资利用函〔2023〕165号）以及其他相关要求，制定调查技术方案，明确技术要求、路线和方法；指导各县（市、区）开展低效用地调查摸底，检查各县（市、区）调查成果的完整性、规范性以及各类低效用地数据、属性信息以及图形信息；汇总全市调查数据并对数据成果展开分析。试点期间，按照部、省厅要求，</w:t>
      </w:r>
      <w:r>
        <w:rPr>
          <w:rFonts w:hint="eastAsia" w:asciiTheme="minorEastAsia" w:hAnsiTheme="minorEastAsia" w:eastAsiaTheme="minorEastAsia" w:cstheme="minorBidi"/>
          <w:color w:val="auto"/>
          <w:kern w:val="0"/>
          <w:sz w:val="24"/>
          <w:highlight w:val="none"/>
          <w:lang w:eastAsia="zh-CN"/>
        </w:rPr>
        <w:t>完成市区的低效数据库年度更新、指导</w:t>
      </w:r>
      <w:r>
        <w:rPr>
          <w:rFonts w:hint="eastAsia" w:asciiTheme="minorEastAsia" w:hAnsiTheme="minorEastAsia" w:eastAsiaTheme="minorEastAsia" w:cstheme="minorBidi"/>
          <w:color w:val="auto"/>
          <w:kern w:val="0"/>
          <w:sz w:val="24"/>
          <w:highlight w:val="none"/>
        </w:rPr>
        <w:t>各县（市）开展调查数据年度更新。</w:t>
      </w:r>
    </w:p>
    <w:p w14:paraId="472EE401">
      <w:pPr>
        <w:pStyle w:val="3"/>
        <w:spacing w:line="360" w:lineRule="auto"/>
        <w:ind w:left="0" w:leftChars="0" w:firstLine="0" w:firstLineChars="0"/>
        <w:rPr>
          <w:rFonts w:ascii="宋体" w:hAnsi="宋体" w:cs="宋体"/>
          <w:color w:val="auto"/>
          <w:highlight w:val="none"/>
        </w:rPr>
      </w:pPr>
      <w:r>
        <w:rPr>
          <w:rFonts w:hint="eastAsia" w:ascii="宋体" w:hAnsi="宋体" w:cs="宋体"/>
          <w:color w:val="auto"/>
          <w:highlight w:val="none"/>
        </w:rPr>
        <w:t>（二）相关专题研究和案例总结</w:t>
      </w:r>
    </w:p>
    <w:p w14:paraId="1BE928D6">
      <w:pPr>
        <w:pStyle w:val="3"/>
        <w:spacing w:line="360" w:lineRule="auto"/>
        <w:ind w:left="0" w:leftChars="0" w:firstLine="480" w:firstLineChars="200"/>
        <w:rPr>
          <w:rFonts w:hint="eastAsia" w:ascii="宋体" w:hAnsi="宋体" w:cs="宋体"/>
          <w:color w:val="auto"/>
          <w:highlight w:val="none"/>
        </w:rPr>
      </w:pPr>
      <w:r>
        <w:rPr>
          <w:rFonts w:hint="eastAsia" w:ascii="宋体" w:hAnsi="宋体" w:cs="宋体"/>
          <w:color w:val="auto"/>
          <w:highlight w:val="none"/>
        </w:rPr>
        <w:t>结合部、省政策动态，总结分析以往存量改造工作的问题与困难，协助甲方开展试点相关专题研究，挖掘案例素材，总结台州做法，形成案例成果。</w:t>
      </w:r>
    </w:p>
    <w:p w14:paraId="52E9A7C2">
      <w:pPr>
        <w:pStyle w:val="3"/>
        <w:spacing w:line="360" w:lineRule="auto"/>
        <w:ind w:left="0" w:leftChars="0" w:firstLine="0" w:firstLineChars="0"/>
        <w:rPr>
          <w:rFonts w:ascii="宋体" w:hAnsi="宋体" w:cs="宋体"/>
          <w:color w:val="auto"/>
          <w:highlight w:val="none"/>
        </w:rPr>
      </w:pPr>
      <w:r>
        <w:rPr>
          <w:rFonts w:hint="eastAsia" w:ascii="宋体" w:hAnsi="宋体" w:cs="宋体"/>
          <w:color w:val="auto"/>
          <w:highlight w:val="none"/>
        </w:rPr>
        <w:t>（三）试点实施跟踪、评估、总结</w:t>
      </w:r>
    </w:p>
    <w:p w14:paraId="5A80F41F">
      <w:pPr>
        <w:pStyle w:val="3"/>
        <w:spacing w:line="360" w:lineRule="auto"/>
        <w:ind w:left="0" w:leftChars="0" w:firstLine="480" w:firstLineChars="200"/>
        <w:rPr>
          <w:rFonts w:ascii="宋体" w:hAnsi="宋体" w:cs="宋体"/>
          <w:color w:val="auto"/>
          <w:highlight w:val="none"/>
        </w:rPr>
      </w:pPr>
      <w:r>
        <w:rPr>
          <w:rFonts w:hint="eastAsia" w:ascii="宋体" w:hAnsi="宋体" w:cs="宋体"/>
          <w:color w:val="auto"/>
          <w:highlight w:val="none"/>
        </w:rPr>
        <w:t>协助甲方每两月开展试点实施情况跟踪分析，每半年开展试点工作评估分析，每年末开展试点年度工作总结，试点结束全面开展评估总结。围绕试点工作推进情况、成效展开，分析存在的问题，提出有针对性的对策建议，挖掘台州特色创新及亮点。</w:t>
      </w:r>
    </w:p>
    <w:p w14:paraId="2D48136B">
      <w:pPr>
        <w:spacing w:line="360" w:lineRule="auto"/>
        <w:jc w:val="left"/>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二、服务期、地点和方式：</w:t>
      </w:r>
    </w:p>
    <w:p w14:paraId="62473904">
      <w:pPr>
        <w:pStyle w:val="12"/>
        <w:snapToGrid w:val="0"/>
        <w:spacing w:line="360" w:lineRule="auto"/>
        <w:ind w:firstLine="480" w:firstLineChars="200"/>
        <w:outlineLvl w:val="0"/>
        <w:rPr>
          <w:rFonts w:hint="eastAsia" w:asciiTheme="minorEastAsia" w:hAnsiTheme="minorEastAsia" w:eastAsiaTheme="minorEastAsia" w:cstheme="minorBidi"/>
          <w:color w:val="auto"/>
          <w:kern w:val="0"/>
          <w:sz w:val="24"/>
          <w:highlight w:val="none"/>
        </w:rPr>
      </w:pPr>
      <w:r>
        <w:rPr>
          <w:rFonts w:hint="eastAsia" w:asciiTheme="minorEastAsia" w:hAnsiTheme="minorEastAsia" w:eastAsiaTheme="minorEastAsia" w:cstheme="minorBidi"/>
          <w:color w:val="auto"/>
          <w:kern w:val="0"/>
          <w:sz w:val="24"/>
          <w:highlight w:val="none"/>
        </w:rPr>
        <w:t>（一）项目实施进度要求</w:t>
      </w:r>
    </w:p>
    <w:p w14:paraId="7B1E47A5">
      <w:pPr>
        <w:pStyle w:val="12"/>
        <w:snapToGrid w:val="0"/>
        <w:spacing w:line="360" w:lineRule="auto"/>
        <w:ind w:firstLine="480" w:firstLineChars="200"/>
        <w:jc w:val="left"/>
        <w:rPr>
          <w:rFonts w:hint="eastAsia" w:asciiTheme="minorEastAsia" w:hAnsiTheme="minorEastAsia" w:eastAsiaTheme="minorEastAsia" w:cstheme="minorBidi"/>
          <w:color w:val="auto"/>
          <w:kern w:val="0"/>
          <w:sz w:val="24"/>
          <w:highlight w:val="none"/>
        </w:rPr>
      </w:pPr>
      <w:r>
        <w:rPr>
          <w:rFonts w:hint="eastAsia" w:hAnsi="宋体" w:cs="宋体"/>
          <w:b w:val="0"/>
          <w:bCs/>
          <w:color w:val="auto"/>
          <w:sz w:val="24"/>
          <w:highlight w:val="none"/>
        </w:rPr>
        <w:t>项目服务期</w:t>
      </w:r>
      <w:r>
        <w:rPr>
          <w:rFonts w:hint="eastAsia" w:hAnsi="宋体" w:cs="宋体"/>
          <w:b w:val="0"/>
          <w:bCs/>
          <w:color w:val="auto"/>
          <w:sz w:val="24"/>
          <w:highlight w:val="none"/>
          <w:lang w:val="en-US" w:eastAsia="zh-CN"/>
        </w:rPr>
        <w:t>至</w:t>
      </w:r>
      <w:r>
        <w:rPr>
          <w:rFonts w:hint="eastAsia" w:hAnsi="宋体" w:cs="宋体"/>
          <w:b w:val="0"/>
          <w:bCs/>
          <w:color w:val="auto"/>
          <w:sz w:val="24"/>
          <w:highlight w:val="none"/>
        </w:rPr>
        <w:t>2027年9月结束。</w:t>
      </w:r>
    </w:p>
    <w:p w14:paraId="5DCF67DB">
      <w:pPr>
        <w:pStyle w:val="12"/>
        <w:snapToGrid w:val="0"/>
        <w:spacing w:line="360" w:lineRule="auto"/>
        <w:ind w:firstLine="480" w:firstLineChars="200"/>
        <w:outlineLvl w:val="0"/>
        <w:rPr>
          <w:rFonts w:hint="eastAsia" w:asciiTheme="minorEastAsia" w:hAnsiTheme="minorEastAsia" w:eastAsiaTheme="minorEastAsia" w:cstheme="minorBidi"/>
          <w:color w:val="auto"/>
          <w:kern w:val="0"/>
          <w:sz w:val="24"/>
          <w:highlight w:val="none"/>
          <w:lang w:val="en"/>
        </w:rPr>
      </w:pPr>
      <w:r>
        <w:rPr>
          <w:rFonts w:hint="eastAsia" w:asciiTheme="minorEastAsia" w:hAnsiTheme="minorEastAsia" w:eastAsiaTheme="minorEastAsia" w:cstheme="minorBidi"/>
          <w:color w:val="auto"/>
          <w:kern w:val="0"/>
          <w:sz w:val="24"/>
          <w:highlight w:val="none"/>
        </w:rPr>
        <w:t>1.2025年11</w:t>
      </w:r>
      <w:r>
        <w:rPr>
          <w:rFonts w:hint="eastAsia" w:asciiTheme="minorEastAsia" w:hAnsiTheme="minorEastAsia" w:eastAsiaTheme="minorEastAsia" w:cstheme="minorBidi"/>
          <w:color w:val="auto"/>
          <w:kern w:val="0"/>
          <w:sz w:val="24"/>
          <w:highlight w:val="none"/>
          <w:lang w:val="en"/>
        </w:rPr>
        <w:t>月底前，</w:t>
      </w:r>
      <w:r>
        <w:rPr>
          <w:rFonts w:hint="eastAsia" w:asciiTheme="minorEastAsia" w:hAnsiTheme="minorEastAsia" w:eastAsiaTheme="minorEastAsia" w:cstheme="minorBidi"/>
          <w:color w:val="auto"/>
          <w:kern w:val="0"/>
          <w:sz w:val="24"/>
          <w:highlight w:val="none"/>
        </w:rPr>
        <w:t>汇总全市低效用地再开发数据库初步成果；</w:t>
      </w:r>
      <w:r>
        <w:rPr>
          <w:rFonts w:hint="eastAsia" w:asciiTheme="minorEastAsia" w:hAnsiTheme="minorEastAsia" w:eastAsiaTheme="minorEastAsia" w:cstheme="minorBidi"/>
          <w:color w:val="auto"/>
          <w:kern w:val="0"/>
          <w:sz w:val="24"/>
          <w:highlight w:val="none"/>
          <w:lang w:val="en"/>
        </w:rPr>
        <w:t>2026年3月底，汇总提交2026年度台州市低效用地再开发数据库更新成果；2027年3月底，</w:t>
      </w:r>
      <w:r>
        <w:rPr>
          <w:rFonts w:hint="eastAsia" w:asciiTheme="minorEastAsia" w:hAnsiTheme="minorEastAsia" w:eastAsiaTheme="minorEastAsia" w:cstheme="minorBidi"/>
          <w:color w:val="auto"/>
          <w:kern w:val="0"/>
          <w:sz w:val="24"/>
          <w:highlight w:val="none"/>
          <w:lang w:val="en" w:eastAsia="zh-CN"/>
        </w:rPr>
        <w:t>汇交</w:t>
      </w:r>
      <w:r>
        <w:rPr>
          <w:rFonts w:hint="eastAsia" w:asciiTheme="minorEastAsia" w:hAnsiTheme="minorEastAsia" w:eastAsiaTheme="minorEastAsia" w:cstheme="minorBidi"/>
          <w:color w:val="auto"/>
          <w:kern w:val="0"/>
          <w:sz w:val="24"/>
          <w:highlight w:val="none"/>
          <w:lang w:val="en"/>
        </w:rPr>
        <w:t>提交2027年度台州市低效用地再开发数据库更新成果。</w:t>
      </w:r>
    </w:p>
    <w:p w14:paraId="5D98F10E">
      <w:pPr>
        <w:pStyle w:val="12"/>
        <w:snapToGrid w:val="0"/>
        <w:spacing w:line="360" w:lineRule="auto"/>
        <w:ind w:firstLine="480" w:firstLineChars="200"/>
        <w:outlineLvl w:val="0"/>
        <w:rPr>
          <w:rFonts w:hint="eastAsia" w:asciiTheme="minorEastAsia" w:hAnsiTheme="minorEastAsia" w:eastAsiaTheme="minorEastAsia" w:cstheme="minorBidi"/>
          <w:color w:val="auto"/>
          <w:kern w:val="0"/>
          <w:sz w:val="24"/>
          <w:highlight w:val="none"/>
        </w:rPr>
      </w:pPr>
      <w:r>
        <w:rPr>
          <w:rFonts w:hint="eastAsia" w:asciiTheme="minorEastAsia" w:hAnsiTheme="minorEastAsia" w:eastAsiaTheme="minorEastAsia" w:cstheme="minorBidi"/>
          <w:color w:val="auto"/>
          <w:kern w:val="0"/>
          <w:sz w:val="24"/>
          <w:highlight w:val="none"/>
        </w:rPr>
        <w:t>每双月末提交双月报，每年6月底前提交半年总结报告，每年12月底前提交年度工作总结，2027年9月底前提交试点总结报告。</w:t>
      </w:r>
    </w:p>
    <w:p w14:paraId="799ECA01">
      <w:pPr>
        <w:pStyle w:val="12"/>
        <w:snapToGrid w:val="0"/>
        <w:spacing w:line="360" w:lineRule="auto"/>
        <w:ind w:firstLine="480" w:firstLineChars="200"/>
        <w:jc w:val="left"/>
        <w:rPr>
          <w:rFonts w:hint="eastAsia" w:hAnsi="宋体" w:cs="宋体"/>
          <w:b w:val="0"/>
          <w:bCs/>
          <w:color w:val="auto"/>
          <w:sz w:val="24"/>
          <w:highlight w:val="none"/>
        </w:rPr>
      </w:pPr>
      <w:r>
        <w:rPr>
          <w:rFonts w:hint="eastAsia" w:asciiTheme="minorEastAsia" w:hAnsiTheme="minorEastAsia" w:eastAsiaTheme="minorEastAsia" w:cstheme="minorBidi"/>
          <w:color w:val="auto"/>
          <w:kern w:val="0"/>
          <w:sz w:val="24"/>
          <w:highlight w:val="none"/>
        </w:rPr>
        <w:t>部、省对提交成果时间另有要求的，从其规定。</w:t>
      </w:r>
    </w:p>
    <w:p w14:paraId="46B21F2E">
      <w:pPr>
        <w:spacing w:line="360" w:lineRule="auto"/>
        <w:jc w:val="left"/>
        <w:rPr>
          <w:rFonts w:hint="default" w:ascii="宋体" w:hAnsi="宋体" w:cs="宋体"/>
          <w:b/>
          <w:color w:val="auto"/>
          <w:sz w:val="24"/>
          <w:highlight w:val="none"/>
          <w:lang w:val="en-US" w:eastAsia="zh-CN"/>
        </w:rPr>
      </w:pPr>
      <w:r>
        <w:rPr>
          <w:rFonts w:hint="eastAsia" w:ascii="宋体" w:hAnsi="宋体" w:cs="宋体"/>
          <w:b/>
          <w:color w:val="auto"/>
          <w:sz w:val="24"/>
          <w:highlight w:val="none"/>
          <w:lang w:val="en-US" w:eastAsia="zh-CN"/>
        </w:rPr>
        <w:t>三、成果要求</w:t>
      </w:r>
    </w:p>
    <w:p w14:paraId="62B119B1">
      <w:pPr>
        <w:pStyle w:val="12"/>
        <w:snapToGrid w:val="0"/>
        <w:spacing w:line="360" w:lineRule="auto"/>
        <w:ind w:firstLine="480" w:firstLineChars="200"/>
        <w:jc w:val="left"/>
        <w:rPr>
          <w:rFonts w:hint="eastAsia" w:hAnsi="宋体" w:cs="宋体"/>
          <w:b w:val="0"/>
          <w:bCs/>
          <w:color w:val="auto"/>
          <w:sz w:val="24"/>
          <w:highlight w:val="none"/>
          <w:lang w:val="en-US" w:eastAsia="zh-CN"/>
        </w:rPr>
      </w:pPr>
      <w:r>
        <w:rPr>
          <w:rFonts w:hint="eastAsia" w:hAnsi="宋体" w:cs="宋体"/>
          <w:b w:val="0"/>
          <w:bCs/>
          <w:color w:val="auto"/>
          <w:sz w:val="24"/>
          <w:highlight w:val="none"/>
          <w:lang w:val="en-US" w:eastAsia="zh-CN"/>
        </w:rPr>
        <w:t>最终汇交成果包括以下四项材料：</w:t>
      </w:r>
    </w:p>
    <w:p w14:paraId="19149463">
      <w:pPr>
        <w:pStyle w:val="12"/>
        <w:snapToGrid w:val="0"/>
        <w:spacing w:line="360" w:lineRule="auto"/>
        <w:ind w:firstLine="480" w:firstLineChars="200"/>
        <w:jc w:val="left"/>
        <w:rPr>
          <w:rFonts w:hint="eastAsia" w:hAnsi="宋体" w:cs="宋体"/>
          <w:b w:val="0"/>
          <w:bCs/>
          <w:color w:val="auto"/>
          <w:sz w:val="24"/>
          <w:highlight w:val="none"/>
          <w:lang w:val="en-US" w:eastAsia="zh-CN"/>
        </w:rPr>
      </w:pPr>
      <w:r>
        <w:rPr>
          <w:rFonts w:hint="eastAsia" w:hAnsi="宋体" w:cs="宋体"/>
          <w:b w:val="0"/>
          <w:bCs/>
          <w:color w:val="auto"/>
          <w:sz w:val="24"/>
          <w:highlight w:val="none"/>
          <w:lang w:val="en-US" w:eastAsia="zh-CN"/>
        </w:rPr>
        <w:t>1.调查成果，包含：全市低效用地数据库（gdb或shp格式）、表数据（XLSX格式）、图集（jpg和psd）、文字报告（word或pdf）。</w:t>
      </w:r>
    </w:p>
    <w:p w14:paraId="3BDCB63D">
      <w:pPr>
        <w:pStyle w:val="12"/>
        <w:snapToGrid w:val="0"/>
        <w:spacing w:line="360" w:lineRule="auto"/>
        <w:ind w:firstLine="480" w:firstLineChars="200"/>
        <w:jc w:val="left"/>
        <w:rPr>
          <w:rFonts w:hint="eastAsia" w:hAnsi="宋体" w:cs="宋体"/>
          <w:b w:val="0"/>
          <w:bCs/>
          <w:color w:val="auto"/>
          <w:sz w:val="24"/>
          <w:highlight w:val="none"/>
          <w:lang w:val="en-US" w:eastAsia="zh-CN"/>
        </w:rPr>
      </w:pPr>
      <w:r>
        <w:rPr>
          <w:rFonts w:hint="eastAsia" w:hAnsi="宋体" w:cs="宋体"/>
          <w:b w:val="0"/>
          <w:bCs/>
          <w:color w:val="auto"/>
          <w:sz w:val="24"/>
          <w:highlight w:val="none"/>
          <w:lang w:val="en-US" w:eastAsia="zh-CN"/>
        </w:rPr>
        <w:t>2.报告成果，包含：双月报、半年工作评估报告、年度工作总结报告、试点总结报告（word或pdf）。</w:t>
      </w:r>
    </w:p>
    <w:p w14:paraId="7AE91C27">
      <w:pPr>
        <w:pStyle w:val="12"/>
        <w:snapToGrid w:val="0"/>
        <w:spacing w:line="360" w:lineRule="auto"/>
        <w:ind w:firstLine="480" w:firstLineChars="200"/>
        <w:jc w:val="left"/>
        <w:rPr>
          <w:rFonts w:hint="eastAsia" w:hAnsi="宋体" w:cs="宋体"/>
          <w:b w:val="0"/>
          <w:bCs/>
          <w:color w:val="auto"/>
          <w:sz w:val="24"/>
          <w:highlight w:val="none"/>
          <w:lang w:val="en-US" w:eastAsia="zh-CN"/>
        </w:rPr>
      </w:pPr>
      <w:r>
        <w:rPr>
          <w:rFonts w:hint="eastAsia" w:hAnsi="宋体" w:cs="宋体"/>
          <w:b w:val="0"/>
          <w:bCs/>
          <w:color w:val="auto"/>
          <w:sz w:val="24"/>
          <w:highlight w:val="none"/>
          <w:lang w:val="en-US" w:eastAsia="zh-CN"/>
        </w:rPr>
        <w:t>3.案例成果：低效用地再开发案例成果（word或pdf）。</w:t>
      </w:r>
    </w:p>
    <w:p w14:paraId="18D65E01">
      <w:pPr>
        <w:pStyle w:val="12"/>
        <w:snapToGrid w:val="0"/>
        <w:spacing w:line="360" w:lineRule="auto"/>
        <w:ind w:firstLine="480" w:firstLineChars="200"/>
        <w:jc w:val="left"/>
        <w:rPr>
          <w:rFonts w:hint="eastAsia" w:hAnsi="宋体" w:cs="宋体"/>
          <w:b/>
          <w:color w:val="auto"/>
          <w:sz w:val="24"/>
          <w:highlight w:val="none"/>
          <w:lang w:val="en-US" w:eastAsia="zh-CN"/>
        </w:rPr>
      </w:pPr>
      <w:r>
        <w:rPr>
          <w:rFonts w:hint="eastAsia" w:hAnsi="宋体" w:cs="宋体"/>
          <w:b w:val="0"/>
          <w:bCs/>
          <w:color w:val="auto"/>
          <w:sz w:val="24"/>
          <w:highlight w:val="none"/>
          <w:lang w:val="en-US" w:eastAsia="zh-CN"/>
        </w:rPr>
        <w:t>4.其他成果：服务期间形成的其他成果。</w:t>
      </w:r>
    </w:p>
    <w:p w14:paraId="2C76270A">
      <w:pPr>
        <w:spacing w:line="360" w:lineRule="auto"/>
        <w:jc w:val="left"/>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四、合同金额</w:t>
      </w:r>
    </w:p>
    <w:p w14:paraId="3607DBC9">
      <w:pPr>
        <w:pStyle w:val="12"/>
        <w:snapToGrid w:val="0"/>
        <w:spacing w:line="360" w:lineRule="auto"/>
        <w:ind w:firstLine="480"/>
        <w:jc w:val="left"/>
        <w:rPr>
          <w:rFonts w:hAnsi="宋体" w:cs="宋体"/>
          <w:color w:val="auto"/>
          <w:sz w:val="24"/>
          <w:highlight w:val="none"/>
        </w:rPr>
      </w:pPr>
      <w:r>
        <w:rPr>
          <w:rFonts w:hint="eastAsia" w:hAnsi="宋体" w:cs="宋体"/>
          <w:color w:val="auto"/>
          <w:sz w:val="24"/>
          <w:highlight w:val="none"/>
        </w:rPr>
        <w:t>本合同金额为(大写)：</w:t>
      </w:r>
      <w:r>
        <w:rPr>
          <w:rFonts w:hint="eastAsia" w:hAnsi="宋体" w:cs="宋体"/>
          <w:color w:val="auto"/>
          <w:sz w:val="24"/>
          <w:highlight w:val="none"/>
          <w:u w:val="single"/>
        </w:rPr>
        <w:t xml:space="preserve">          </w:t>
      </w:r>
      <w:r>
        <w:rPr>
          <w:rFonts w:hint="eastAsia" w:hAnsi="宋体" w:cs="宋体"/>
          <w:color w:val="auto"/>
          <w:sz w:val="24"/>
          <w:highlight w:val="none"/>
        </w:rPr>
        <w:t>元(￥</w:t>
      </w:r>
      <w:r>
        <w:rPr>
          <w:rFonts w:hint="eastAsia" w:hAnsi="宋体" w:cs="宋体"/>
          <w:color w:val="auto"/>
          <w:sz w:val="24"/>
          <w:highlight w:val="none"/>
          <w:u w:val="single"/>
        </w:rPr>
        <w:t xml:space="preserve">                </w:t>
      </w:r>
      <w:r>
        <w:rPr>
          <w:rFonts w:hint="eastAsia" w:hAnsi="宋体" w:cs="宋体"/>
          <w:color w:val="auto"/>
          <w:sz w:val="24"/>
          <w:highlight w:val="none"/>
        </w:rPr>
        <w:t>元)人民币。</w:t>
      </w:r>
    </w:p>
    <w:p w14:paraId="56CEECE8">
      <w:pPr>
        <w:pStyle w:val="12"/>
        <w:snapToGrid w:val="0"/>
        <w:spacing w:line="360" w:lineRule="auto"/>
        <w:ind w:firstLine="480"/>
        <w:jc w:val="left"/>
        <w:rPr>
          <w:rFonts w:hAnsi="宋体" w:cs="宋体"/>
          <w:color w:val="auto"/>
          <w:sz w:val="24"/>
          <w:highlight w:val="none"/>
        </w:rPr>
      </w:pPr>
      <w:r>
        <w:rPr>
          <w:rFonts w:hint="eastAsia" w:hAnsi="宋体" w:cs="宋体"/>
          <w:color w:val="auto"/>
          <w:sz w:val="24"/>
          <w:highlight w:val="none"/>
          <w:lang w:val="en-US" w:eastAsia="zh-CN"/>
        </w:rPr>
        <w:t>合同价</w:t>
      </w:r>
      <w:r>
        <w:rPr>
          <w:rFonts w:hint="eastAsia" w:hAnsi="宋体" w:cs="宋体"/>
          <w:color w:val="auto"/>
          <w:sz w:val="24"/>
          <w:highlight w:val="none"/>
        </w:rPr>
        <w:t>包括本项目采购需求和投入使用的所有费用，</w:t>
      </w:r>
      <w:r>
        <w:rPr>
          <w:rFonts w:hint="eastAsia" w:asciiTheme="minorEastAsia" w:hAnsiTheme="minorEastAsia" w:eastAsiaTheme="minorEastAsia"/>
          <w:bCs/>
          <w:color w:val="auto"/>
          <w:kern w:val="0"/>
          <w:sz w:val="24"/>
          <w:highlight w:val="none"/>
        </w:rPr>
        <w:t>包括但不限于检查验收服务</w:t>
      </w:r>
      <w:r>
        <w:rPr>
          <w:rFonts w:hint="eastAsia" w:asciiTheme="minorEastAsia" w:hAnsiTheme="minorEastAsia" w:eastAsiaTheme="minorEastAsia"/>
          <w:bCs/>
          <w:color w:val="auto"/>
          <w:kern w:val="0"/>
          <w:sz w:val="24"/>
          <w:highlight w:val="none"/>
          <w:lang w:val="en-US" w:eastAsia="zh-CN"/>
        </w:rPr>
        <w:t>费</w:t>
      </w:r>
      <w:r>
        <w:rPr>
          <w:rFonts w:hint="eastAsia" w:asciiTheme="minorEastAsia" w:hAnsiTheme="minorEastAsia" w:eastAsiaTheme="minorEastAsia"/>
          <w:bCs/>
          <w:color w:val="auto"/>
          <w:kern w:val="0"/>
          <w:sz w:val="24"/>
          <w:highlight w:val="none"/>
        </w:rPr>
        <w:t>、劳务、管理、材料、</w:t>
      </w:r>
      <w:r>
        <w:rPr>
          <w:rFonts w:hint="eastAsia" w:asciiTheme="minorEastAsia" w:hAnsiTheme="minorEastAsia" w:eastAsiaTheme="minorEastAsia"/>
          <w:bCs/>
          <w:color w:val="auto"/>
          <w:kern w:val="0"/>
          <w:sz w:val="24"/>
          <w:highlight w:val="none"/>
          <w:lang w:val="en-US" w:eastAsia="zh-CN"/>
        </w:rPr>
        <w:t>交通住宿费、</w:t>
      </w:r>
      <w:r>
        <w:rPr>
          <w:rFonts w:hint="eastAsia" w:asciiTheme="minorEastAsia" w:hAnsiTheme="minorEastAsia" w:eastAsiaTheme="minorEastAsia"/>
          <w:bCs/>
          <w:color w:val="auto"/>
          <w:kern w:val="0"/>
          <w:sz w:val="24"/>
          <w:highlight w:val="none"/>
        </w:rPr>
        <w:t>安全文明、风险费、保险、利润、税金、工伤保险费、</w:t>
      </w:r>
      <w:r>
        <w:rPr>
          <w:rFonts w:hint="eastAsia" w:asciiTheme="minorEastAsia" w:hAnsiTheme="minorEastAsia" w:eastAsiaTheme="minorEastAsia"/>
          <w:bCs/>
          <w:color w:val="auto"/>
          <w:kern w:val="0"/>
          <w:sz w:val="24"/>
          <w:highlight w:val="none"/>
          <w:lang w:val="en-US" w:eastAsia="zh-CN"/>
        </w:rPr>
        <w:t>招标代理费、</w:t>
      </w:r>
      <w:r>
        <w:rPr>
          <w:rFonts w:hint="eastAsia" w:asciiTheme="minorEastAsia" w:hAnsiTheme="minorEastAsia" w:eastAsiaTheme="minorEastAsia"/>
          <w:bCs/>
          <w:color w:val="auto"/>
          <w:kern w:val="0"/>
          <w:sz w:val="24"/>
          <w:highlight w:val="none"/>
        </w:rPr>
        <w:t>政策性文件规定、及合同包含的所有风险、责任等所有费用。各</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bCs/>
          <w:color w:val="auto"/>
          <w:kern w:val="0"/>
          <w:sz w:val="24"/>
          <w:highlight w:val="none"/>
        </w:rPr>
        <w:t>应根据招标人提供的招标需求，以及本项目实际情况和自身的综合实力，竞报投标报价。总报价以人民币元计。</w:t>
      </w:r>
    </w:p>
    <w:p w14:paraId="1893DD47">
      <w:pPr>
        <w:spacing w:line="360" w:lineRule="auto"/>
        <w:jc w:val="left"/>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五、技术资料</w:t>
      </w:r>
    </w:p>
    <w:p w14:paraId="4C1CC1ED">
      <w:pPr>
        <w:snapToGrid w:val="0"/>
        <w:spacing w:line="360" w:lineRule="auto"/>
        <w:ind w:left="0" w:lef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1.乙方应按招标文件规定的时间向甲方提供使用货物的有关技术资料。</w:t>
      </w:r>
    </w:p>
    <w:p w14:paraId="7A9E9B72">
      <w:pPr>
        <w:snapToGrid w:val="0"/>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1786B99">
      <w:pPr>
        <w:spacing w:line="360" w:lineRule="auto"/>
        <w:jc w:val="left"/>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六、知识产权</w:t>
      </w:r>
    </w:p>
    <w:p w14:paraId="12EA2FF0">
      <w:pPr>
        <w:pStyle w:val="12"/>
        <w:snapToGrid w:val="0"/>
        <w:spacing w:line="360" w:lineRule="auto"/>
        <w:ind w:firstLine="480" w:firstLineChars="200"/>
        <w:jc w:val="left"/>
        <w:rPr>
          <w:rFonts w:hAnsi="宋体" w:cs="宋体"/>
          <w:color w:val="auto"/>
          <w:sz w:val="24"/>
          <w:highlight w:val="none"/>
        </w:rPr>
      </w:pPr>
      <w:r>
        <w:rPr>
          <w:rFonts w:hint="eastAsia" w:hAnsi="宋体" w:cs="宋体"/>
          <w:color w:val="auto"/>
          <w:sz w:val="24"/>
          <w:highlight w:val="none"/>
        </w:rPr>
        <w:t>乙方应保证所提供的服务及任何一部分均不会侵犯任何第三方的知识产权。</w:t>
      </w:r>
    </w:p>
    <w:p w14:paraId="0567620E">
      <w:pPr>
        <w:spacing w:line="360" w:lineRule="auto"/>
        <w:jc w:val="left"/>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七、转包或分包</w:t>
      </w:r>
    </w:p>
    <w:p w14:paraId="2740DF9E">
      <w:pPr>
        <w:snapToGrid w:val="0"/>
        <w:spacing w:line="360" w:lineRule="auto"/>
        <w:ind w:left="0" w:lef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1.本合同范围的货物，应由乙方直接供应，不得转让他人供应；</w:t>
      </w:r>
    </w:p>
    <w:p w14:paraId="62B8DBBF">
      <w:pPr>
        <w:snapToGrid w:val="0"/>
        <w:spacing w:line="360" w:lineRule="auto"/>
        <w:ind w:left="0" w:lef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2.乙方不得将本合同范围的货物全部或部分分包给他人供应；</w:t>
      </w:r>
    </w:p>
    <w:p w14:paraId="1FA40B6B">
      <w:pPr>
        <w:snapToGrid w:val="0"/>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3.如有转让和分包行为，甲方有权解除合同并追究乙方的违约责任。</w:t>
      </w:r>
    </w:p>
    <w:p w14:paraId="0A0415E8">
      <w:pPr>
        <w:spacing w:line="360" w:lineRule="auto"/>
        <w:jc w:val="left"/>
        <w:rPr>
          <w:rFonts w:ascii="宋体" w:hAnsi="宋体" w:cs="宋体"/>
          <w:b/>
          <w:color w:val="auto"/>
          <w:sz w:val="24"/>
          <w:highlight w:val="none"/>
        </w:rPr>
      </w:pP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、支付方式</w:t>
      </w:r>
    </w:p>
    <w:p w14:paraId="2EF18075">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、合同签订后，</w:t>
      </w:r>
      <w:r>
        <w:rPr>
          <w:rFonts w:hint="eastAsia" w:ascii="宋体" w:hAnsi="宋体"/>
          <w:color w:val="auto"/>
          <w:sz w:val="24"/>
          <w:highlight w:val="none"/>
          <w:lang w:val="en-US" w:eastAsia="zh-CN"/>
        </w:rPr>
        <w:t>甲方</w:t>
      </w:r>
      <w:r>
        <w:rPr>
          <w:rFonts w:hint="eastAsia" w:ascii="宋体" w:hAnsi="宋体"/>
          <w:color w:val="auto"/>
          <w:sz w:val="24"/>
          <w:highlight w:val="none"/>
        </w:rPr>
        <w:t>向</w:t>
      </w:r>
      <w:r>
        <w:rPr>
          <w:rFonts w:hint="eastAsia" w:ascii="宋体" w:hAnsi="宋体"/>
          <w:color w:val="auto"/>
          <w:sz w:val="24"/>
          <w:highlight w:val="none"/>
          <w:lang w:val="en-US" w:eastAsia="zh-CN"/>
        </w:rPr>
        <w:t>乙方（联合体牵头人）</w:t>
      </w:r>
      <w:r>
        <w:rPr>
          <w:rFonts w:hint="eastAsia" w:ascii="宋体" w:hAnsi="宋体"/>
          <w:color w:val="auto"/>
          <w:sz w:val="24"/>
          <w:highlight w:val="none"/>
        </w:rPr>
        <w:t>支付中标总金额的</w:t>
      </w:r>
      <w:r>
        <w:rPr>
          <w:rFonts w:hint="eastAsia" w:ascii="宋体" w:hAnsi="宋体"/>
          <w:color w:val="auto"/>
          <w:sz w:val="24"/>
          <w:highlight w:val="none"/>
          <w:lang w:val="en-US" w:eastAsia="zh-CN"/>
        </w:rPr>
        <w:t>20</w:t>
      </w:r>
      <w:r>
        <w:rPr>
          <w:rFonts w:hint="eastAsia" w:ascii="宋体" w:hAnsi="宋体"/>
          <w:color w:val="auto"/>
          <w:sz w:val="24"/>
          <w:highlight w:val="none"/>
        </w:rPr>
        <w:t>%；</w:t>
      </w:r>
    </w:p>
    <w:p w14:paraId="430240FF">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、完成</w:t>
      </w:r>
      <w:r>
        <w:rPr>
          <w:rFonts w:ascii="宋体" w:hAnsi="宋体"/>
          <w:color w:val="auto"/>
          <w:sz w:val="24"/>
          <w:highlight w:val="none"/>
        </w:rPr>
        <w:t>2025年度低效用地调查及当年度数据库更新</w:t>
      </w:r>
      <w:r>
        <w:rPr>
          <w:rFonts w:hint="eastAsia" w:ascii="宋体" w:hAnsi="宋体"/>
          <w:color w:val="auto"/>
          <w:sz w:val="24"/>
          <w:highlight w:val="none"/>
        </w:rPr>
        <w:t>工作，并</w:t>
      </w:r>
      <w:r>
        <w:rPr>
          <w:rFonts w:ascii="宋体" w:hAnsi="宋体"/>
          <w:color w:val="auto"/>
          <w:sz w:val="24"/>
          <w:highlight w:val="none"/>
        </w:rPr>
        <w:t>通过部备案</w:t>
      </w:r>
      <w:r>
        <w:rPr>
          <w:rFonts w:hint="eastAsia" w:ascii="宋体" w:hAnsi="宋体"/>
          <w:color w:val="auto"/>
          <w:sz w:val="24"/>
          <w:highlight w:val="none"/>
        </w:rPr>
        <w:t>后，</w:t>
      </w:r>
      <w:r>
        <w:rPr>
          <w:rFonts w:hint="eastAsia" w:ascii="宋体" w:hAnsi="宋体"/>
          <w:color w:val="auto"/>
          <w:sz w:val="24"/>
          <w:highlight w:val="none"/>
          <w:lang w:val="en-US" w:eastAsia="zh-CN"/>
        </w:rPr>
        <w:t>甲方</w:t>
      </w:r>
      <w:r>
        <w:rPr>
          <w:rFonts w:hint="eastAsia" w:ascii="宋体" w:hAnsi="宋体"/>
          <w:color w:val="auto"/>
          <w:sz w:val="24"/>
          <w:highlight w:val="none"/>
        </w:rPr>
        <w:t>向</w:t>
      </w:r>
      <w:r>
        <w:rPr>
          <w:rFonts w:hint="eastAsia" w:ascii="宋体" w:hAnsi="宋体"/>
          <w:color w:val="auto"/>
          <w:sz w:val="24"/>
          <w:highlight w:val="none"/>
          <w:lang w:val="en-US" w:eastAsia="zh-CN"/>
        </w:rPr>
        <w:t>乙方（联合体牵头人）</w:t>
      </w:r>
      <w:r>
        <w:rPr>
          <w:rFonts w:hint="eastAsia" w:ascii="宋体" w:hAnsi="宋体"/>
          <w:color w:val="auto"/>
          <w:sz w:val="24"/>
          <w:highlight w:val="none"/>
        </w:rPr>
        <w:t>支付</w:t>
      </w:r>
      <w:r>
        <w:rPr>
          <w:rFonts w:hint="eastAsia" w:ascii="宋体" w:hAnsi="宋体"/>
          <w:color w:val="auto"/>
          <w:sz w:val="24"/>
          <w:highlight w:val="none"/>
          <w:lang w:val="en-US" w:eastAsia="zh-CN"/>
        </w:rPr>
        <w:t>合同价</w:t>
      </w:r>
      <w:r>
        <w:rPr>
          <w:rFonts w:hint="eastAsia" w:ascii="宋体" w:hAnsi="宋体"/>
          <w:color w:val="auto"/>
          <w:sz w:val="24"/>
          <w:highlight w:val="none"/>
        </w:rPr>
        <w:t>的</w:t>
      </w:r>
      <w:r>
        <w:rPr>
          <w:rFonts w:hint="eastAsia" w:ascii="宋体" w:hAnsi="宋体"/>
          <w:color w:val="auto"/>
          <w:sz w:val="24"/>
          <w:highlight w:val="none"/>
          <w:lang w:val="en-US" w:eastAsia="zh-CN"/>
        </w:rPr>
        <w:t>15</w:t>
      </w:r>
      <w:r>
        <w:rPr>
          <w:rFonts w:ascii="宋体" w:hAnsi="宋体"/>
          <w:color w:val="auto"/>
          <w:sz w:val="24"/>
          <w:highlight w:val="none"/>
        </w:rPr>
        <w:t>%；</w:t>
      </w:r>
    </w:p>
    <w:p w14:paraId="27F939F0">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、完成</w:t>
      </w:r>
      <w:r>
        <w:rPr>
          <w:rFonts w:ascii="宋体" w:hAnsi="宋体"/>
          <w:color w:val="auto"/>
          <w:sz w:val="24"/>
          <w:highlight w:val="none"/>
        </w:rPr>
        <w:t>2026年数据库更新报部备案通过</w:t>
      </w:r>
      <w:r>
        <w:rPr>
          <w:rFonts w:hint="eastAsia" w:ascii="宋体" w:hAnsi="宋体"/>
          <w:color w:val="auto"/>
          <w:sz w:val="24"/>
          <w:highlight w:val="none"/>
        </w:rPr>
        <w:t>后，</w:t>
      </w:r>
      <w:r>
        <w:rPr>
          <w:rFonts w:hint="eastAsia" w:ascii="宋体" w:hAnsi="宋体"/>
          <w:color w:val="auto"/>
          <w:sz w:val="24"/>
          <w:highlight w:val="none"/>
          <w:lang w:val="en-US" w:eastAsia="zh-CN"/>
        </w:rPr>
        <w:t>甲方</w:t>
      </w:r>
      <w:r>
        <w:rPr>
          <w:rFonts w:hint="eastAsia" w:ascii="宋体" w:hAnsi="宋体"/>
          <w:color w:val="auto"/>
          <w:sz w:val="24"/>
          <w:highlight w:val="none"/>
        </w:rPr>
        <w:t>向</w:t>
      </w:r>
      <w:r>
        <w:rPr>
          <w:rFonts w:hint="eastAsia" w:ascii="宋体" w:hAnsi="宋体"/>
          <w:color w:val="auto"/>
          <w:sz w:val="24"/>
          <w:highlight w:val="none"/>
          <w:lang w:val="en-US" w:eastAsia="zh-CN"/>
        </w:rPr>
        <w:t>乙方（联合体牵头人）</w:t>
      </w:r>
      <w:r>
        <w:rPr>
          <w:rFonts w:hint="eastAsia" w:ascii="宋体" w:hAnsi="宋体"/>
          <w:color w:val="auto"/>
          <w:sz w:val="24"/>
          <w:highlight w:val="none"/>
        </w:rPr>
        <w:t>支付</w:t>
      </w:r>
      <w:r>
        <w:rPr>
          <w:rFonts w:hint="eastAsia" w:ascii="宋体" w:hAnsi="宋体"/>
          <w:color w:val="auto"/>
          <w:sz w:val="24"/>
          <w:highlight w:val="none"/>
          <w:lang w:val="en-US" w:eastAsia="zh-CN"/>
        </w:rPr>
        <w:t>合同价</w:t>
      </w:r>
      <w:r>
        <w:rPr>
          <w:rFonts w:hint="eastAsia" w:ascii="宋体" w:hAnsi="宋体"/>
          <w:color w:val="auto"/>
          <w:sz w:val="24"/>
          <w:highlight w:val="none"/>
        </w:rPr>
        <w:t>的</w:t>
      </w:r>
      <w:r>
        <w:rPr>
          <w:rFonts w:hint="eastAsia" w:ascii="宋体" w:hAnsi="宋体"/>
          <w:color w:val="auto"/>
          <w:sz w:val="24"/>
          <w:highlight w:val="none"/>
          <w:lang w:val="en-US" w:eastAsia="zh-CN"/>
        </w:rPr>
        <w:t>3</w:t>
      </w:r>
      <w:r>
        <w:rPr>
          <w:rFonts w:ascii="宋体" w:hAnsi="宋体"/>
          <w:color w:val="auto"/>
          <w:sz w:val="24"/>
          <w:highlight w:val="none"/>
        </w:rPr>
        <w:t>0%；</w:t>
      </w:r>
    </w:p>
    <w:p w14:paraId="233C48B2">
      <w:pPr>
        <w:spacing w:line="360" w:lineRule="auto"/>
        <w:ind w:firstLine="480" w:firstLineChars="200"/>
        <w:rPr>
          <w:rFonts w:ascii="宋体" w:hAnsi="宋体"/>
          <w:color w:val="auto"/>
          <w:sz w:val="24"/>
          <w:highlight w:val="none"/>
        </w:rPr>
      </w:pPr>
      <w:r>
        <w:rPr>
          <w:rFonts w:hint="eastAsia" w:ascii="宋体" w:hAnsi="宋体" w:eastAsia="宋体" w:cs="Times New Roman"/>
          <w:color w:val="auto"/>
          <w:sz w:val="24"/>
          <w:highlight w:val="none"/>
          <w:lang w:val="en-US" w:eastAsia="zh-CN"/>
        </w:rPr>
        <w:t>4、</w:t>
      </w:r>
      <w:r>
        <w:rPr>
          <w:rFonts w:hint="eastAsia" w:ascii="宋体" w:hAnsi="宋体"/>
          <w:color w:val="auto"/>
          <w:sz w:val="24"/>
          <w:highlight w:val="none"/>
        </w:rPr>
        <w:t>完成</w:t>
      </w:r>
      <w:r>
        <w:rPr>
          <w:rFonts w:ascii="宋体" w:hAnsi="宋体"/>
          <w:color w:val="auto"/>
          <w:sz w:val="24"/>
          <w:highlight w:val="none"/>
        </w:rPr>
        <w:t>202</w:t>
      </w:r>
      <w:r>
        <w:rPr>
          <w:rFonts w:hint="eastAsia" w:ascii="宋体" w:hAnsi="宋体"/>
          <w:color w:val="auto"/>
          <w:sz w:val="24"/>
          <w:highlight w:val="none"/>
        </w:rPr>
        <w:t>7</w:t>
      </w:r>
      <w:r>
        <w:rPr>
          <w:rFonts w:ascii="宋体" w:hAnsi="宋体"/>
          <w:color w:val="auto"/>
          <w:sz w:val="24"/>
          <w:highlight w:val="none"/>
        </w:rPr>
        <w:t>年数据库更新报部备案通过</w:t>
      </w:r>
      <w:r>
        <w:rPr>
          <w:rFonts w:hint="eastAsia" w:ascii="宋体" w:hAnsi="宋体"/>
          <w:color w:val="auto"/>
          <w:sz w:val="24"/>
          <w:highlight w:val="none"/>
        </w:rPr>
        <w:t>后，</w:t>
      </w:r>
      <w:r>
        <w:rPr>
          <w:rFonts w:hint="eastAsia" w:ascii="宋体" w:hAnsi="宋体"/>
          <w:color w:val="auto"/>
          <w:sz w:val="24"/>
          <w:highlight w:val="none"/>
          <w:lang w:val="en-US" w:eastAsia="zh-CN"/>
        </w:rPr>
        <w:t>甲方</w:t>
      </w:r>
      <w:r>
        <w:rPr>
          <w:rFonts w:hint="eastAsia" w:ascii="宋体" w:hAnsi="宋体"/>
          <w:color w:val="auto"/>
          <w:sz w:val="24"/>
          <w:highlight w:val="none"/>
        </w:rPr>
        <w:t>向</w:t>
      </w:r>
      <w:r>
        <w:rPr>
          <w:rFonts w:hint="eastAsia" w:ascii="宋体" w:hAnsi="宋体"/>
          <w:color w:val="auto"/>
          <w:sz w:val="24"/>
          <w:highlight w:val="none"/>
          <w:lang w:val="en-US" w:eastAsia="zh-CN"/>
        </w:rPr>
        <w:t>乙方（联合体牵头人）</w:t>
      </w:r>
      <w:r>
        <w:rPr>
          <w:rFonts w:hint="eastAsia" w:ascii="宋体" w:hAnsi="宋体"/>
          <w:color w:val="auto"/>
          <w:sz w:val="24"/>
          <w:highlight w:val="none"/>
        </w:rPr>
        <w:t>支付</w:t>
      </w:r>
      <w:r>
        <w:rPr>
          <w:rFonts w:hint="eastAsia" w:ascii="宋体" w:hAnsi="宋体"/>
          <w:color w:val="auto"/>
          <w:sz w:val="24"/>
          <w:highlight w:val="none"/>
          <w:lang w:val="en-US" w:eastAsia="zh-CN"/>
        </w:rPr>
        <w:t>合同价</w:t>
      </w:r>
      <w:r>
        <w:rPr>
          <w:rFonts w:hint="eastAsia" w:ascii="宋体" w:hAnsi="宋体"/>
          <w:color w:val="auto"/>
          <w:sz w:val="24"/>
          <w:highlight w:val="none"/>
        </w:rPr>
        <w:t>的</w:t>
      </w:r>
      <w:r>
        <w:rPr>
          <w:rFonts w:hint="eastAsia" w:ascii="宋体" w:hAnsi="宋体"/>
          <w:color w:val="auto"/>
          <w:sz w:val="24"/>
          <w:highlight w:val="none"/>
          <w:lang w:val="en-US" w:eastAsia="zh-CN"/>
        </w:rPr>
        <w:t>30</w:t>
      </w:r>
      <w:r>
        <w:rPr>
          <w:rFonts w:ascii="宋体" w:hAnsi="宋体"/>
          <w:color w:val="auto"/>
          <w:sz w:val="24"/>
          <w:highlight w:val="none"/>
        </w:rPr>
        <w:t>%；</w:t>
      </w:r>
    </w:p>
    <w:p w14:paraId="0E7AF3A3">
      <w:pPr>
        <w:snapToGrid w:val="0"/>
        <w:spacing w:line="360" w:lineRule="auto"/>
        <w:ind w:firstLine="480" w:firstLineChars="200"/>
        <w:jc w:val="left"/>
        <w:rPr>
          <w:rFonts w:hint="eastAsia" w:ascii="宋体" w:hAnsi="宋体"/>
          <w:color w:val="auto"/>
          <w:sz w:val="24"/>
          <w:highlight w:val="none"/>
        </w:rPr>
      </w:pPr>
      <w:r>
        <w:rPr>
          <w:rFonts w:hint="eastAsia" w:ascii="宋体" w:hAnsi="宋体" w:eastAsia="宋体" w:cs="Times New Roman"/>
          <w:color w:val="auto"/>
          <w:sz w:val="24"/>
          <w:highlight w:val="none"/>
          <w:lang w:val="en-US" w:eastAsia="zh-CN"/>
        </w:rPr>
        <w:t>5、</w:t>
      </w:r>
      <w:r>
        <w:rPr>
          <w:rFonts w:ascii="宋体" w:hAnsi="宋体"/>
          <w:color w:val="auto"/>
          <w:sz w:val="24"/>
          <w:highlight w:val="none"/>
        </w:rPr>
        <w:t>2027</w:t>
      </w:r>
      <w:r>
        <w:rPr>
          <w:rFonts w:hint="eastAsia" w:ascii="宋体" w:hAnsi="宋体"/>
          <w:color w:val="auto"/>
          <w:sz w:val="24"/>
          <w:highlight w:val="none"/>
        </w:rPr>
        <w:t>年9月3</w:t>
      </w:r>
      <w:r>
        <w:rPr>
          <w:rFonts w:ascii="宋体" w:hAnsi="宋体"/>
          <w:color w:val="auto"/>
          <w:sz w:val="24"/>
          <w:highlight w:val="none"/>
        </w:rPr>
        <w:t>0</w:t>
      </w:r>
      <w:r>
        <w:rPr>
          <w:rFonts w:hint="eastAsia" w:ascii="宋体" w:hAnsi="宋体"/>
          <w:color w:val="auto"/>
          <w:sz w:val="24"/>
          <w:highlight w:val="none"/>
        </w:rPr>
        <w:t>日前，全面总结试点的做法、政策和经验，并通过试点总体评估，以及配套服务完成后完成后，</w:t>
      </w:r>
      <w:r>
        <w:rPr>
          <w:rFonts w:hint="eastAsia" w:ascii="宋体" w:hAnsi="宋体"/>
          <w:color w:val="auto"/>
          <w:sz w:val="24"/>
          <w:highlight w:val="none"/>
          <w:lang w:val="en-US" w:eastAsia="zh-CN"/>
        </w:rPr>
        <w:t>甲方</w:t>
      </w:r>
      <w:r>
        <w:rPr>
          <w:rFonts w:hint="eastAsia" w:ascii="宋体" w:hAnsi="宋体"/>
          <w:color w:val="auto"/>
          <w:sz w:val="24"/>
          <w:highlight w:val="none"/>
        </w:rPr>
        <w:t>向</w:t>
      </w:r>
      <w:r>
        <w:rPr>
          <w:rFonts w:hint="eastAsia" w:ascii="宋体" w:hAnsi="宋体"/>
          <w:color w:val="auto"/>
          <w:sz w:val="24"/>
          <w:highlight w:val="none"/>
          <w:lang w:val="en-US" w:eastAsia="zh-CN"/>
        </w:rPr>
        <w:t>乙方（联合体牵头人）</w:t>
      </w:r>
      <w:r>
        <w:rPr>
          <w:rFonts w:hint="eastAsia" w:ascii="宋体" w:hAnsi="宋体"/>
          <w:color w:val="auto"/>
          <w:sz w:val="24"/>
          <w:highlight w:val="none"/>
        </w:rPr>
        <w:t>支付</w:t>
      </w:r>
      <w:r>
        <w:rPr>
          <w:rFonts w:hint="eastAsia" w:ascii="宋体" w:hAnsi="宋体"/>
          <w:color w:val="auto"/>
          <w:sz w:val="24"/>
          <w:highlight w:val="none"/>
          <w:lang w:val="en-US" w:eastAsia="zh-CN"/>
        </w:rPr>
        <w:t>合同价</w:t>
      </w:r>
      <w:r>
        <w:rPr>
          <w:rFonts w:hint="eastAsia" w:ascii="宋体" w:hAnsi="宋体"/>
          <w:color w:val="auto"/>
          <w:sz w:val="24"/>
          <w:highlight w:val="none"/>
        </w:rPr>
        <w:t>的</w:t>
      </w:r>
      <w:r>
        <w:rPr>
          <w:rFonts w:hint="eastAsia" w:ascii="宋体" w:hAnsi="宋体"/>
          <w:color w:val="auto"/>
          <w:sz w:val="24"/>
          <w:highlight w:val="none"/>
          <w:lang w:val="en-US" w:eastAsia="zh-CN"/>
        </w:rPr>
        <w:t>5</w:t>
      </w:r>
      <w:r>
        <w:rPr>
          <w:rFonts w:ascii="宋体" w:hAnsi="宋体"/>
          <w:color w:val="auto"/>
          <w:sz w:val="24"/>
          <w:highlight w:val="none"/>
        </w:rPr>
        <w:t>%</w:t>
      </w:r>
      <w:r>
        <w:rPr>
          <w:rFonts w:hint="eastAsia" w:ascii="宋体" w:hAnsi="宋体"/>
          <w:color w:val="auto"/>
          <w:sz w:val="24"/>
          <w:highlight w:val="none"/>
        </w:rPr>
        <w:t>。</w:t>
      </w:r>
    </w:p>
    <w:p w14:paraId="7F5F8AF2">
      <w:pPr>
        <w:snapToGrid w:val="0"/>
        <w:spacing w:line="360" w:lineRule="auto"/>
        <w:ind w:firstLine="482" w:firstLineChars="200"/>
        <w:jc w:val="left"/>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注：每款项支付前须乙方</w:t>
      </w:r>
      <w:r>
        <w:rPr>
          <w:rFonts w:hint="eastAsia" w:ascii="宋体" w:hAnsi="宋体"/>
          <w:b/>
          <w:bCs/>
          <w:color w:val="auto"/>
          <w:sz w:val="24"/>
          <w:highlight w:val="none"/>
          <w:lang w:val="en-US" w:eastAsia="zh-CN"/>
        </w:rPr>
        <w:t>（联合体牵头人）</w:t>
      </w:r>
      <w:r>
        <w:rPr>
          <w:rFonts w:hint="eastAsia" w:ascii="宋体" w:hAnsi="宋体" w:cs="宋体"/>
          <w:b/>
          <w:color w:val="auto"/>
          <w:sz w:val="24"/>
          <w:highlight w:val="none"/>
          <w:lang w:val="en-US" w:eastAsia="zh-CN"/>
        </w:rPr>
        <w:t>提供甲方相应的增值税发票。</w:t>
      </w:r>
    </w:p>
    <w:p w14:paraId="4750CC0F">
      <w:pPr>
        <w:spacing w:line="360" w:lineRule="auto"/>
        <w:jc w:val="left"/>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九、税费</w:t>
      </w:r>
    </w:p>
    <w:p w14:paraId="535D79A0">
      <w:pPr>
        <w:snapToGrid w:val="0"/>
        <w:spacing w:line="360" w:lineRule="auto"/>
        <w:ind w:left="0" w:lef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本合同执行中相关的一切税费均由乙方负担。</w:t>
      </w:r>
    </w:p>
    <w:p w14:paraId="1F3FFC25">
      <w:pPr>
        <w:spacing w:line="360" w:lineRule="auto"/>
        <w:rPr>
          <w:rFonts w:ascii="宋体" w:hAnsi="宋体" w:cs="宋体"/>
          <w:color w:val="auto"/>
          <w:sz w:val="24"/>
          <w:highlight w:val="none"/>
        </w:rPr>
      </w:pPr>
      <w:r>
        <w:rPr>
          <w:rFonts w:hint="eastAsia" w:ascii="宋体" w:hAnsi="宋体" w:cs="宋体"/>
          <w:b/>
          <w:color w:val="auto"/>
          <w:sz w:val="24"/>
          <w:highlight w:val="none"/>
          <w:lang w:val="en-US" w:eastAsia="zh-CN"/>
        </w:rPr>
        <w:t>十</w:t>
      </w:r>
      <w:r>
        <w:rPr>
          <w:rFonts w:hint="eastAsia" w:ascii="宋体" w:hAnsi="宋体" w:cs="宋体"/>
          <w:b/>
          <w:color w:val="auto"/>
          <w:sz w:val="24"/>
          <w:highlight w:val="none"/>
        </w:rPr>
        <w:t>、质量保证及后续服务</w:t>
      </w:r>
    </w:p>
    <w:p w14:paraId="248655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1．乙方应按招标文件规定向甲方提供服务。</w:t>
      </w:r>
    </w:p>
    <w:p w14:paraId="616ACD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2．乙方提供的服务成果在服务质量保证期内发生故障，乙方应负责免费提供后续服务。对达不到要求者，根据实际情况，经双方协商，可按以下办法处理：</w:t>
      </w:r>
    </w:p>
    <w:p w14:paraId="5E5343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⑴重做：由乙方承担所发生的全部费用。</w:t>
      </w:r>
    </w:p>
    <w:p w14:paraId="553724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⑵贬值处理：由甲乙双方合议定价。</w:t>
      </w:r>
    </w:p>
    <w:p w14:paraId="7A104F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⑶解除合同。</w:t>
      </w:r>
    </w:p>
    <w:p w14:paraId="69A56F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3．如在使用过程中发生问题，乙方在接到甲方通知后在小时内到达甲方现场。</w:t>
      </w:r>
    </w:p>
    <w:p w14:paraId="574C2F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4．在服务质量保证期内，乙方应对出现的质量及安全问题负责处理解决并承担一切费用。</w:t>
      </w:r>
    </w:p>
    <w:p w14:paraId="4E16D9DA">
      <w:pPr>
        <w:spacing w:line="360" w:lineRule="auto"/>
        <w:rPr>
          <w:rFonts w:ascii="宋体" w:hAnsi="宋体" w:cs="宋体"/>
          <w:b/>
          <w:color w:val="auto"/>
          <w:sz w:val="24"/>
          <w:szCs w:val="20"/>
          <w:highlight w:val="none"/>
        </w:rPr>
      </w:pPr>
      <w:r>
        <w:rPr>
          <w:rFonts w:hint="eastAsia" w:ascii="宋体" w:hAnsi="宋体" w:cs="宋体"/>
          <w:b/>
          <w:color w:val="auto"/>
          <w:sz w:val="24"/>
          <w:highlight w:val="none"/>
        </w:rPr>
        <w:t>十</w:t>
      </w:r>
      <w:r>
        <w:rPr>
          <w:rFonts w:hint="eastAsia" w:ascii="宋体" w:hAnsi="宋体" w:cs="宋体"/>
          <w:b/>
          <w:color w:val="auto"/>
          <w:sz w:val="24"/>
          <w:highlight w:val="none"/>
          <w:lang w:val="en-US" w:eastAsia="zh-CN"/>
        </w:rPr>
        <w:t>一</w:t>
      </w:r>
      <w:r>
        <w:rPr>
          <w:rFonts w:hint="eastAsia" w:ascii="宋体" w:hAnsi="宋体" w:cs="宋体"/>
          <w:b/>
          <w:color w:val="auto"/>
          <w:sz w:val="24"/>
          <w:highlight w:val="none"/>
        </w:rPr>
        <w:t>、</w:t>
      </w:r>
      <w:r>
        <w:rPr>
          <w:rFonts w:hint="eastAsia" w:ascii="宋体" w:hAnsi="宋体" w:cs="宋体"/>
          <w:b/>
          <w:color w:val="auto"/>
          <w:sz w:val="24"/>
          <w:szCs w:val="20"/>
          <w:highlight w:val="none"/>
        </w:rPr>
        <w:t>甲方的权利与义务</w:t>
      </w:r>
    </w:p>
    <w:p w14:paraId="164D92E8">
      <w:pPr>
        <w:spacing w:line="360" w:lineRule="auto"/>
        <w:ind w:firstLine="480" w:firstLineChars="200"/>
        <w:rPr>
          <w:rFonts w:hint="eastAsia" w:ascii="宋体" w:hAnsi="宋体" w:cs="宋体"/>
          <w:b w:val="0"/>
          <w:bCs/>
          <w:color w:val="auto"/>
          <w:sz w:val="24"/>
          <w:highlight w:val="none"/>
        </w:rPr>
      </w:pPr>
      <w:r>
        <w:rPr>
          <w:rFonts w:hint="eastAsia" w:ascii="宋体" w:hAnsi="宋体" w:cs="宋体"/>
          <w:b w:val="0"/>
          <w:bCs/>
          <w:color w:val="auto"/>
          <w:sz w:val="24"/>
          <w:highlight w:val="none"/>
        </w:rPr>
        <w:t>1、有权对服务质量、进度进行检查、监督；</w:t>
      </w:r>
    </w:p>
    <w:p w14:paraId="66D45649">
      <w:pPr>
        <w:spacing w:line="360" w:lineRule="auto"/>
        <w:ind w:firstLine="480" w:firstLineChars="200"/>
        <w:rPr>
          <w:rFonts w:hint="eastAsia" w:ascii="宋体" w:hAnsi="宋体" w:cs="宋体"/>
          <w:b w:val="0"/>
          <w:bCs/>
          <w:color w:val="auto"/>
          <w:sz w:val="24"/>
          <w:highlight w:val="none"/>
        </w:rPr>
      </w:pPr>
      <w:r>
        <w:rPr>
          <w:rFonts w:hint="eastAsia" w:ascii="宋体" w:hAnsi="宋体" w:cs="宋体"/>
          <w:b w:val="0"/>
          <w:bCs/>
          <w:color w:val="auto"/>
          <w:sz w:val="24"/>
          <w:highlight w:val="none"/>
        </w:rPr>
        <w:t>2、甲方保证按本合同规定时限支付相关费用。</w:t>
      </w:r>
    </w:p>
    <w:p w14:paraId="695EC10B">
      <w:pPr>
        <w:spacing w:line="360" w:lineRule="auto"/>
        <w:rPr>
          <w:rFonts w:ascii="宋体" w:hAnsi="宋体" w:cs="宋体"/>
          <w:b/>
          <w:color w:val="auto"/>
          <w:sz w:val="24"/>
          <w:szCs w:val="20"/>
          <w:highlight w:val="none"/>
        </w:rPr>
      </w:pPr>
      <w:r>
        <w:rPr>
          <w:rFonts w:hint="eastAsia" w:ascii="宋体" w:hAnsi="宋体" w:cs="宋体"/>
          <w:b/>
          <w:color w:val="auto"/>
          <w:sz w:val="24"/>
          <w:highlight w:val="none"/>
        </w:rPr>
        <w:t>十</w:t>
      </w:r>
      <w:r>
        <w:rPr>
          <w:rFonts w:hint="eastAsia" w:ascii="宋体" w:hAnsi="宋体" w:cs="宋体"/>
          <w:b/>
          <w:color w:val="auto"/>
          <w:sz w:val="24"/>
          <w:highlight w:val="none"/>
          <w:lang w:val="en-US" w:eastAsia="zh-CN"/>
        </w:rPr>
        <w:t>二</w:t>
      </w:r>
      <w:r>
        <w:rPr>
          <w:rFonts w:hint="eastAsia" w:ascii="宋体" w:hAnsi="宋体" w:cs="宋体"/>
          <w:b/>
          <w:color w:val="auto"/>
          <w:sz w:val="24"/>
          <w:highlight w:val="none"/>
        </w:rPr>
        <w:t>、</w:t>
      </w:r>
      <w:r>
        <w:rPr>
          <w:rFonts w:hint="eastAsia" w:ascii="宋体" w:hAnsi="宋体" w:cs="宋体"/>
          <w:b/>
          <w:color w:val="auto"/>
          <w:sz w:val="24"/>
          <w:szCs w:val="20"/>
          <w:highlight w:val="none"/>
        </w:rPr>
        <w:t>乙方的权利与义务</w:t>
      </w:r>
    </w:p>
    <w:p w14:paraId="191BE38B">
      <w:pPr>
        <w:spacing w:line="360" w:lineRule="auto"/>
        <w:ind w:firstLine="480" w:firstLineChars="200"/>
        <w:rPr>
          <w:rFonts w:hint="eastAsia" w:ascii="宋体" w:hAnsi="宋体"/>
          <w:color w:val="auto"/>
          <w:kern w:val="21"/>
          <w:sz w:val="24"/>
          <w:highlight w:val="none"/>
        </w:rPr>
      </w:pPr>
      <w:r>
        <w:rPr>
          <w:rFonts w:hint="eastAsia" w:ascii="宋体" w:hAnsi="宋体"/>
          <w:color w:val="auto"/>
          <w:kern w:val="21"/>
          <w:sz w:val="24"/>
          <w:highlight w:val="none"/>
        </w:rPr>
        <w:t>1、严格按照技术要求进行编制工作；</w:t>
      </w:r>
    </w:p>
    <w:p w14:paraId="1DAC3506">
      <w:pPr>
        <w:spacing w:line="360" w:lineRule="auto"/>
        <w:ind w:firstLine="480" w:firstLineChars="200"/>
        <w:rPr>
          <w:rFonts w:hint="eastAsia" w:ascii="宋体" w:hAnsi="宋体"/>
          <w:color w:val="auto"/>
          <w:kern w:val="21"/>
          <w:sz w:val="24"/>
          <w:highlight w:val="none"/>
        </w:rPr>
      </w:pPr>
      <w:r>
        <w:rPr>
          <w:rFonts w:hint="eastAsia" w:ascii="宋体" w:hAnsi="宋体"/>
          <w:color w:val="auto"/>
          <w:kern w:val="21"/>
          <w:sz w:val="24"/>
          <w:highlight w:val="none"/>
        </w:rPr>
        <w:t>2、成果质量达不到有关技术标准或未通过专家评审，应按甲方要求返工，所造成的经济损失由乙方承担；</w:t>
      </w:r>
    </w:p>
    <w:p w14:paraId="4EC6FFD5">
      <w:pPr>
        <w:spacing w:line="360" w:lineRule="auto"/>
        <w:ind w:firstLine="480" w:firstLineChars="200"/>
        <w:rPr>
          <w:rFonts w:hint="eastAsia" w:ascii="宋体" w:hAnsi="宋体"/>
          <w:color w:val="auto"/>
          <w:kern w:val="21"/>
          <w:sz w:val="24"/>
          <w:highlight w:val="none"/>
        </w:rPr>
      </w:pPr>
      <w:r>
        <w:rPr>
          <w:rFonts w:hint="eastAsia" w:ascii="宋体" w:hAnsi="宋体"/>
          <w:color w:val="auto"/>
          <w:kern w:val="21"/>
          <w:sz w:val="24"/>
          <w:highlight w:val="none"/>
        </w:rPr>
        <w:t>3、满足甲方对本项目的其他合理要求；</w:t>
      </w:r>
    </w:p>
    <w:p w14:paraId="2A6D4B69">
      <w:pPr>
        <w:spacing w:line="360" w:lineRule="auto"/>
        <w:ind w:firstLine="480" w:firstLineChars="200"/>
        <w:rPr>
          <w:rFonts w:hint="eastAsia" w:ascii="宋体" w:hAnsi="宋体"/>
          <w:color w:val="auto"/>
          <w:kern w:val="21"/>
          <w:sz w:val="24"/>
          <w:highlight w:val="none"/>
        </w:rPr>
      </w:pPr>
      <w:r>
        <w:rPr>
          <w:rFonts w:hint="eastAsia" w:ascii="宋体" w:hAnsi="宋体"/>
          <w:color w:val="auto"/>
          <w:kern w:val="21"/>
          <w:sz w:val="24"/>
          <w:highlight w:val="none"/>
        </w:rPr>
        <w:t>4、按投标书确定的人员和方案计划开展工作；</w:t>
      </w:r>
    </w:p>
    <w:p w14:paraId="09B6E8B6">
      <w:pPr>
        <w:spacing w:line="360" w:lineRule="auto"/>
        <w:ind w:firstLine="480" w:firstLineChars="200"/>
        <w:rPr>
          <w:rFonts w:ascii="宋体" w:hAnsi="宋体" w:cs="宋体"/>
          <w:color w:val="auto"/>
          <w:sz w:val="24"/>
          <w:szCs w:val="20"/>
          <w:highlight w:val="none"/>
        </w:rPr>
      </w:pPr>
      <w:r>
        <w:rPr>
          <w:rFonts w:hint="eastAsia" w:ascii="宋体" w:hAnsi="宋体"/>
          <w:color w:val="auto"/>
          <w:kern w:val="21"/>
          <w:sz w:val="24"/>
          <w:highlight w:val="none"/>
        </w:rPr>
        <w:t>5、按时完成方案编制工作。</w:t>
      </w:r>
    </w:p>
    <w:p w14:paraId="6765D5F6">
      <w:pPr>
        <w:spacing w:line="360" w:lineRule="auto"/>
        <w:rPr>
          <w:rFonts w:ascii="宋体" w:hAnsi="宋体" w:cs="宋体"/>
          <w:b/>
          <w:color w:val="auto"/>
          <w:sz w:val="24"/>
          <w:szCs w:val="20"/>
          <w:highlight w:val="none"/>
        </w:rPr>
      </w:pPr>
      <w:r>
        <w:rPr>
          <w:rFonts w:hint="eastAsia" w:ascii="宋体" w:hAnsi="宋体" w:cs="宋体"/>
          <w:b/>
          <w:color w:val="auto"/>
          <w:sz w:val="24"/>
          <w:highlight w:val="none"/>
        </w:rPr>
        <w:t>十</w:t>
      </w:r>
      <w:r>
        <w:rPr>
          <w:rFonts w:hint="eastAsia" w:ascii="宋体" w:hAnsi="宋体" w:cs="宋体"/>
          <w:b/>
          <w:color w:val="auto"/>
          <w:sz w:val="24"/>
          <w:highlight w:val="none"/>
          <w:lang w:val="en-US" w:eastAsia="zh-CN"/>
        </w:rPr>
        <w:t>三</w:t>
      </w:r>
      <w:r>
        <w:rPr>
          <w:rFonts w:hint="eastAsia" w:ascii="宋体" w:hAnsi="宋体" w:cs="宋体"/>
          <w:b/>
          <w:color w:val="auto"/>
          <w:sz w:val="24"/>
          <w:highlight w:val="none"/>
        </w:rPr>
        <w:t>、</w:t>
      </w:r>
      <w:r>
        <w:rPr>
          <w:rFonts w:hint="eastAsia" w:ascii="宋体" w:hAnsi="宋体" w:cs="宋体"/>
          <w:b/>
          <w:color w:val="auto"/>
          <w:sz w:val="24"/>
          <w:szCs w:val="20"/>
          <w:highlight w:val="none"/>
        </w:rPr>
        <w:t>争议的解决</w:t>
      </w:r>
    </w:p>
    <w:p w14:paraId="0DB9F2D4">
      <w:pPr>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（一）甲乙双方应及时相互通报执行本协议所发生的问题，及时协商解决办法，由于延误造成的损失由责任方承担。</w:t>
      </w:r>
    </w:p>
    <w:p w14:paraId="4F952076">
      <w:pPr>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（二）甲乙双方均应认真履行本协议，由于任何一方过错使本协议不能履行、不能完全履行、或履行不符合约定条件的，有过错方承担责任；如属双方过错，则根据各自过错大小，分别承担相应的责任。</w:t>
      </w:r>
    </w:p>
    <w:p w14:paraId="019A9E3E">
      <w:pPr>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三）由于不可抗力造成本协议不能履行时，受不可抗力影响的一方应当在不可抗力发生后的十日内，将有关情况通知另一方，并及时提供有关机构出具的书面证明，因不可抗力造成的任何损失，均由受损失方自行承担。</w:t>
      </w:r>
    </w:p>
    <w:p w14:paraId="68F8853A">
      <w:pPr>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（四）甲乙双方同意，在执行本协议过程中所发生的一切争议，应先通过友好协商解决，自发生争议之日起30日内协商不成的，任何一方均可以诉诸甲方住所地人民法院解决。</w:t>
      </w:r>
    </w:p>
    <w:p w14:paraId="0F192FFB">
      <w:pPr>
        <w:spacing w:line="360" w:lineRule="auto"/>
        <w:rPr>
          <w:rFonts w:ascii="宋体" w:hAnsi="宋体" w:cs="宋体"/>
          <w:b/>
          <w:color w:val="auto"/>
          <w:sz w:val="24"/>
          <w:szCs w:val="20"/>
          <w:highlight w:val="none"/>
        </w:rPr>
      </w:pPr>
      <w:r>
        <w:rPr>
          <w:rFonts w:hint="eastAsia" w:ascii="宋体" w:hAnsi="宋体" w:cs="宋体"/>
          <w:b/>
          <w:color w:val="auto"/>
          <w:sz w:val="24"/>
          <w:highlight w:val="none"/>
        </w:rPr>
        <w:t>十</w:t>
      </w:r>
      <w:r>
        <w:rPr>
          <w:rFonts w:hint="eastAsia" w:ascii="宋体" w:hAnsi="宋体" w:cs="宋体"/>
          <w:b/>
          <w:color w:val="auto"/>
          <w:sz w:val="24"/>
          <w:highlight w:val="none"/>
          <w:lang w:val="en-US" w:eastAsia="zh-CN"/>
        </w:rPr>
        <w:t>四</w:t>
      </w:r>
      <w:r>
        <w:rPr>
          <w:rFonts w:hint="eastAsia" w:ascii="宋体" w:hAnsi="宋体" w:cs="宋体"/>
          <w:b/>
          <w:color w:val="auto"/>
          <w:sz w:val="24"/>
          <w:highlight w:val="none"/>
        </w:rPr>
        <w:t>、</w:t>
      </w:r>
      <w:r>
        <w:rPr>
          <w:rFonts w:hint="eastAsia" w:ascii="宋体" w:hAnsi="宋体" w:cs="宋体"/>
          <w:b/>
          <w:color w:val="auto"/>
          <w:sz w:val="24"/>
          <w:szCs w:val="20"/>
          <w:highlight w:val="none"/>
        </w:rPr>
        <w:t>协议生效</w:t>
      </w:r>
    </w:p>
    <w:p w14:paraId="320906CF">
      <w:pPr>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本协议自双方法定代表人或授权代表签字并加盖公章之日起生效。协议有效期内，双方可协商变更或提前终止本协议。</w:t>
      </w:r>
    </w:p>
    <w:p w14:paraId="59CB89EE">
      <w:pPr>
        <w:spacing w:line="360" w:lineRule="auto"/>
        <w:rPr>
          <w:rFonts w:ascii="宋体" w:hAnsi="宋体" w:cs="宋体"/>
          <w:b/>
          <w:color w:val="auto"/>
          <w:sz w:val="24"/>
          <w:szCs w:val="20"/>
          <w:highlight w:val="none"/>
        </w:rPr>
      </w:pPr>
      <w:r>
        <w:rPr>
          <w:rFonts w:hint="eastAsia" w:ascii="宋体" w:hAnsi="宋体" w:cs="宋体"/>
          <w:b/>
          <w:color w:val="auto"/>
          <w:sz w:val="24"/>
          <w:highlight w:val="none"/>
        </w:rPr>
        <w:t>十</w:t>
      </w:r>
      <w:r>
        <w:rPr>
          <w:rFonts w:hint="eastAsia" w:ascii="宋体" w:hAnsi="宋体" w:cs="宋体"/>
          <w:b/>
          <w:color w:val="auto"/>
          <w:sz w:val="24"/>
          <w:highlight w:val="none"/>
          <w:lang w:val="en-US" w:eastAsia="zh-CN"/>
        </w:rPr>
        <w:t>五</w:t>
      </w:r>
      <w:r>
        <w:rPr>
          <w:rFonts w:hint="eastAsia" w:ascii="宋体" w:hAnsi="宋体" w:cs="宋体"/>
          <w:b/>
          <w:color w:val="auto"/>
          <w:sz w:val="24"/>
          <w:highlight w:val="none"/>
        </w:rPr>
        <w:t>、</w:t>
      </w:r>
      <w:r>
        <w:rPr>
          <w:rFonts w:hint="eastAsia" w:ascii="宋体" w:hAnsi="宋体" w:cs="宋体"/>
          <w:b/>
          <w:color w:val="auto"/>
          <w:sz w:val="24"/>
          <w:szCs w:val="20"/>
          <w:highlight w:val="none"/>
        </w:rPr>
        <w:t>协议变更</w:t>
      </w:r>
    </w:p>
    <w:p w14:paraId="1A7239FD">
      <w:pPr>
        <w:spacing w:line="360" w:lineRule="auto"/>
        <w:ind w:left="0" w:leftChars="0"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本协议可以修改或补充。其修改或补充内容须在协商一致的基础上，经双方法定代表人或授权代表签署书面补充协议并加盖公章后生效。补充协议构成本协议的组成部分，具有与本协议的同等效力。补充协议与本协议不一致的，以补充协议为准。</w:t>
      </w:r>
    </w:p>
    <w:p w14:paraId="159FF6B2">
      <w:pPr>
        <w:spacing w:line="360" w:lineRule="auto"/>
        <w:rPr>
          <w:rFonts w:ascii="宋体" w:hAnsi="宋体" w:cs="宋体"/>
          <w:b/>
          <w:color w:val="auto"/>
          <w:sz w:val="24"/>
          <w:szCs w:val="20"/>
          <w:highlight w:val="none"/>
        </w:rPr>
      </w:pPr>
      <w:r>
        <w:rPr>
          <w:rFonts w:hint="eastAsia" w:ascii="宋体" w:hAnsi="宋体" w:cs="宋体"/>
          <w:b/>
          <w:color w:val="auto"/>
          <w:sz w:val="24"/>
          <w:highlight w:val="none"/>
        </w:rPr>
        <w:t>十</w:t>
      </w: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w:t>
      </w:r>
      <w:r>
        <w:rPr>
          <w:rFonts w:hint="eastAsia" w:ascii="宋体" w:hAnsi="宋体" w:cs="宋体"/>
          <w:b/>
          <w:color w:val="auto"/>
          <w:sz w:val="24"/>
          <w:szCs w:val="20"/>
          <w:highlight w:val="none"/>
        </w:rPr>
        <w:t>保密条款</w:t>
      </w:r>
    </w:p>
    <w:p w14:paraId="150B48D0">
      <w:pPr>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本协议履行期间及履行完毕的任何时候，未经对方同意，任何一方不得以任何形式公开本合同及附件内容，以确保双方的商业机密。法律、法规另有规定的除外。</w:t>
      </w:r>
    </w:p>
    <w:p w14:paraId="181DAE1A">
      <w:pPr>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如需要，乙方应根据甲方的要求签署相应的保密协议，保密协议与本条款存在不一致的，以保密协议为准。</w:t>
      </w:r>
    </w:p>
    <w:p w14:paraId="49964709">
      <w:pPr>
        <w:spacing w:line="360" w:lineRule="auto"/>
        <w:rPr>
          <w:rFonts w:ascii="宋体" w:hAnsi="宋体" w:cs="宋体"/>
          <w:b/>
          <w:color w:val="auto"/>
          <w:sz w:val="24"/>
          <w:highlight w:val="none"/>
        </w:rPr>
      </w:pPr>
      <w:r>
        <w:rPr>
          <w:rFonts w:hint="eastAsia" w:ascii="宋体" w:hAnsi="宋体" w:cs="宋体"/>
          <w:b/>
          <w:color w:val="auto"/>
          <w:sz w:val="24"/>
          <w:highlight w:val="none"/>
        </w:rPr>
        <w:t>十</w:t>
      </w: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、违约责任</w:t>
      </w:r>
    </w:p>
    <w:p w14:paraId="2686CB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1．甲方无正当理由拒收接受服务的，甲方向乙方偿付合同款项百分之五作为违约金。</w:t>
      </w:r>
    </w:p>
    <w:p w14:paraId="64EB31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2．甲方无故逾期验收和办理款项支付手续的,甲方应按逾期付款总额每日万分之五向乙方支付违约金。</w:t>
      </w:r>
    </w:p>
    <w:p w14:paraId="2B3C74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百分之十的违约金，如造成甲方损失超过违约金的，超出部分由乙方继续承担赔偿责任。</w:t>
      </w:r>
    </w:p>
    <w:p w14:paraId="349028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4.乙方提供的</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质量不合格，乙方应负责无偿给予修改或采取补救措施，以达到质量要求。</w:t>
      </w:r>
    </w:p>
    <w:p w14:paraId="476628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5.对于甲方提供的图纸、技术资料和档案资料以及属于甲方的调查成果，乙方有义务保密，不得向第三方转让，否则，甲方有权对因此造成的损失追究乙方责任。</w:t>
      </w:r>
    </w:p>
    <w:p w14:paraId="537FDB7B">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lang w:val="en-US" w:eastAsia="zh-CN"/>
        </w:rPr>
        <w:t>十八</w:t>
      </w:r>
      <w:r>
        <w:rPr>
          <w:rFonts w:hint="eastAsia" w:ascii="宋体" w:hAnsi="宋体" w:cs="宋体"/>
          <w:b/>
          <w:color w:val="auto"/>
          <w:sz w:val="24"/>
          <w:highlight w:val="none"/>
        </w:rPr>
        <w:t>、不可抗力事件处理</w:t>
      </w:r>
    </w:p>
    <w:p w14:paraId="14F0034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1.在合同有效期内，任何一方因不可抗力事件导致不能履行合同，则合同履行期可　　</w:t>
      </w:r>
    </w:p>
    <w:p w14:paraId="3D4E440A">
      <w:pPr>
        <w:spacing w:line="360" w:lineRule="auto"/>
        <w:rPr>
          <w:rFonts w:ascii="宋体" w:hAnsi="宋体" w:cs="宋体"/>
          <w:color w:val="auto"/>
          <w:sz w:val="24"/>
          <w:highlight w:val="none"/>
        </w:rPr>
      </w:pPr>
      <w:r>
        <w:rPr>
          <w:rFonts w:hint="eastAsia" w:ascii="宋体" w:hAnsi="宋体" w:cs="宋体"/>
          <w:color w:val="auto"/>
          <w:sz w:val="24"/>
          <w:highlight w:val="none"/>
        </w:rPr>
        <w:t>延长，其延长期与不可抗力影响期相同。</w:t>
      </w:r>
    </w:p>
    <w:p w14:paraId="651E20E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2.不可抗力事件发生后，应立即通知对方，并寄送有关权威机构出具的证明。</w:t>
      </w:r>
    </w:p>
    <w:p w14:paraId="7A50930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3.不可抗力事件延续120天以上，双方应通过友好协商，确定是否继续履行合同。</w:t>
      </w:r>
    </w:p>
    <w:p w14:paraId="38766786">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lang w:val="en-US" w:eastAsia="zh-CN"/>
        </w:rPr>
        <w:t>十九</w:t>
      </w:r>
      <w:r>
        <w:rPr>
          <w:rFonts w:hint="eastAsia" w:ascii="宋体" w:hAnsi="宋体" w:cs="宋体"/>
          <w:b/>
          <w:color w:val="auto"/>
          <w:sz w:val="24"/>
          <w:highlight w:val="none"/>
        </w:rPr>
        <w:t>、诉讼</w:t>
      </w:r>
    </w:p>
    <w:p w14:paraId="74D446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双方在执行合同中所发生的一切争议，应通过协商解决。如协商不成，可向甲方所</w:t>
      </w:r>
    </w:p>
    <w:p w14:paraId="48E9D5C5">
      <w:pPr>
        <w:spacing w:line="360" w:lineRule="auto"/>
        <w:rPr>
          <w:rFonts w:ascii="宋体" w:hAnsi="宋体" w:cs="宋体"/>
          <w:color w:val="auto"/>
          <w:sz w:val="24"/>
          <w:highlight w:val="none"/>
        </w:rPr>
      </w:pPr>
      <w:r>
        <w:rPr>
          <w:rFonts w:hint="eastAsia" w:ascii="宋体" w:hAnsi="宋体" w:cs="宋体"/>
          <w:color w:val="auto"/>
          <w:sz w:val="24"/>
          <w:highlight w:val="none"/>
        </w:rPr>
        <w:t>在地法院起诉。</w:t>
      </w:r>
    </w:p>
    <w:p w14:paraId="0DB53200">
      <w:pPr>
        <w:snapToGrid w:val="0"/>
        <w:spacing w:line="360" w:lineRule="auto"/>
        <w:jc w:val="left"/>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二十、合同生效及其它</w:t>
      </w:r>
    </w:p>
    <w:p w14:paraId="47612214">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1.合同经双方法定代表人或授权代表签字并加盖单位公章后生效。</w:t>
      </w:r>
    </w:p>
    <w:p w14:paraId="26932BF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2.合同执行中涉及采购资金和采购内容修改或补充的，须经财政部门审批，并签书面补充协议报政府采购监督管理部门备案，方可作为主合同不可分割的一部分。</w:t>
      </w:r>
    </w:p>
    <w:p w14:paraId="21AFAC2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3.本合同未尽事宜，遵照《民法典》有关条文执行。</w:t>
      </w:r>
    </w:p>
    <w:p w14:paraId="0D899BA8">
      <w:pPr>
        <w:snapToGrid w:val="0"/>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4.本合同壹式陆份，具有同等法律效力，甲乙双方各执三份。自双方签字盖章之日起生效</w:t>
      </w:r>
      <w:r>
        <w:rPr>
          <w:rFonts w:hint="eastAsia" w:ascii="宋体" w:hAnsi="宋体" w:cs="宋体"/>
          <w:color w:val="auto"/>
          <w:sz w:val="24"/>
          <w:highlight w:val="none"/>
          <w:lang w:eastAsia="zh-CN"/>
        </w:rPr>
        <w:t>。</w:t>
      </w:r>
    </w:p>
    <w:p w14:paraId="0FB8D741">
      <w:pPr>
        <w:spacing w:before="156" w:beforeLines="50" w:after="156" w:afterLines="50" w:line="360" w:lineRule="auto"/>
        <w:ind w:firstLine="482" w:firstLineChars="200"/>
        <w:jc w:val="both"/>
        <w:rPr>
          <w:rFonts w:ascii="宋体" w:hAnsi="宋体" w:cs="宋体"/>
          <w:b/>
          <w:color w:val="auto"/>
          <w:sz w:val="24"/>
          <w:highlight w:val="none"/>
        </w:rPr>
      </w:pPr>
      <w:r>
        <w:rPr>
          <w:rFonts w:hint="eastAsia" w:ascii="宋体" w:hAnsi="宋体" w:cs="宋体"/>
          <w:b/>
          <w:color w:val="auto"/>
          <w:sz w:val="24"/>
          <w:highlight w:val="none"/>
        </w:rPr>
        <w:t>甲方：                                   乙方：</w:t>
      </w:r>
    </w:p>
    <w:p w14:paraId="5F60F22E">
      <w:pPr>
        <w:spacing w:before="156" w:beforeLines="50" w:after="156" w:afterLines="50"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地址：                                   地址：</w:t>
      </w:r>
    </w:p>
    <w:p w14:paraId="1E988FB3">
      <w:pPr>
        <w:spacing w:before="156" w:beforeLines="50" w:after="156" w:afterLines="50"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法定(授权)代表人                         法定(授权)代表人</w:t>
      </w:r>
    </w:p>
    <w:p w14:paraId="4241087B">
      <w:pPr>
        <w:autoSpaceDE w:val="0"/>
        <w:autoSpaceDN w:val="0"/>
        <w:spacing w:line="360" w:lineRule="auto"/>
        <w:ind w:firstLine="480" w:firstLineChars="200"/>
        <w:jc w:val="both"/>
        <w:rPr>
          <w:rFonts w:hint="eastAsia" w:ascii="宋体" w:hAnsi="宋体" w:cs="宋体"/>
          <w:color w:val="auto"/>
          <w:sz w:val="24"/>
          <w:highlight w:val="none"/>
        </w:rPr>
        <w:sectPr>
          <w:pgSz w:w="11906" w:h="16838"/>
          <w:pgMar w:top="1247" w:right="1361" w:bottom="1247" w:left="1361" w:header="851" w:footer="851" w:gutter="0"/>
          <w:pgNumType w:fmt="numberInDash"/>
          <w:cols w:space="720" w:num="1"/>
          <w:docGrid w:type="lines" w:linePitch="312" w:charSpace="0"/>
        </w:sectPr>
      </w:pPr>
      <w:r>
        <w:rPr>
          <w:rFonts w:hint="eastAsia" w:ascii="宋体" w:hAnsi="宋体" w:cs="宋体"/>
          <w:color w:val="auto"/>
          <w:sz w:val="24"/>
          <w:highlight w:val="none"/>
        </w:rPr>
        <w:t>签字日期：                               签字日期：</w:t>
      </w:r>
    </w:p>
    <w:p w14:paraId="31E40A9B">
      <w:pPr>
        <w:spacing w:line="360" w:lineRule="auto"/>
        <w:jc w:val="center"/>
        <w:rPr>
          <w:rFonts w:asciiTheme="minorEastAsia" w:hAnsiTheme="minorEastAsia" w:eastAsiaTheme="minorEastAsia"/>
          <w:b/>
          <w:color w:val="auto"/>
          <w:sz w:val="36"/>
          <w:szCs w:val="36"/>
          <w:highlight w:val="none"/>
        </w:rPr>
      </w:pPr>
      <w:bookmarkStart w:id="41" w:name="_Toc5481_WPSOffice_Level1"/>
      <w:r>
        <w:rPr>
          <w:rFonts w:hint="eastAsia" w:asciiTheme="minorEastAsia" w:hAnsiTheme="minorEastAsia" w:eastAsiaTheme="minorEastAsia"/>
          <w:b/>
          <w:color w:val="auto"/>
          <w:sz w:val="36"/>
          <w:szCs w:val="36"/>
          <w:highlight w:val="none"/>
        </w:rPr>
        <w:t>第六章 投标文件格式</w:t>
      </w:r>
      <w:bookmarkEnd w:id="41"/>
    </w:p>
    <w:p w14:paraId="1F3B43F1">
      <w:pPr>
        <w:rPr>
          <w:rFonts w:ascii="宋体" w:hAnsi="宋体"/>
          <w:b/>
          <w:color w:val="auto"/>
          <w:sz w:val="30"/>
          <w:szCs w:val="30"/>
          <w:highlight w:val="none"/>
        </w:rPr>
      </w:pPr>
    </w:p>
    <w:p w14:paraId="3BB13C69">
      <w:pPr>
        <w:spacing w:line="360" w:lineRule="auto"/>
        <w:rPr>
          <w:rFonts w:asciiTheme="minorEastAsia" w:hAnsiTheme="minorEastAsia" w:eastAsiaTheme="minorEastAsia"/>
          <w:b/>
          <w:color w:val="auto"/>
          <w:sz w:val="30"/>
          <w:szCs w:val="30"/>
          <w:highlight w:val="none"/>
        </w:rPr>
      </w:pPr>
    </w:p>
    <w:p w14:paraId="6EE98F8A">
      <w:pPr>
        <w:jc w:val="center"/>
        <w:rPr>
          <w:color w:val="auto"/>
          <w:sz w:val="52"/>
          <w:szCs w:val="52"/>
          <w:highlight w:val="none"/>
        </w:rPr>
      </w:pPr>
      <w:bookmarkStart w:id="42" w:name="_Toc4956_WPSOffice_Level1"/>
      <w:bookmarkStart w:id="43" w:name="_Toc32372_WPSOffice_Level1"/>
      <w:bookmarkStart w:id="44" w:name="_Toc19093_WPSOffice_Level1"/>
      <w:r>
        <w:rPr>
          <w:rFonts w:hint="eastAsia"/>
          <w:color w:val="auto"/>
          <w:sz w:val="52"/>
          <w:szCs w:val="52"/>
          <w:highlight w:val="none"/>
        </w:rPr>
        <w:t>项目名称</w:t>
      </w:r>
      <w:bookmarkEnd w:id="42"/>
      <w:bookmarkEnd w:id="43"/>
      <w:bookmarkEnd w:id="44"/>
    </w:p>
    <w:p w14:paraId="547D5D5B">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14:paraId="0BB15283">
      <w:pPr>
        <w:pStyle w:val="20"/>
        <w:rPr>
          <w:color w:val="auto"/>
          <w:highlight w:val="none"/>
        </w:rPr>
      </w:pPr>
    </w:p>
    <w:p w14:paraId="7DD1C68A">
      <w:pPr>
        <w:jc w:val="center"/>
        <w:rPr>
          <w:color w:val="auto"/>
          <w:sz w:val="84"/>
          <w:szCs w:val="84"/>
          <w:highlight w:val="none"/>
          <w:lang w:val="zh-CN"/>
        </w:rPr>
      </w:pPr>
      <w:r>
        <w:rPr>
          <w:rFonts w:hint="eastAsia"/>
          <w:color w:val="auto"/>
          <w:sz w:val="84"/>
          <w:szCs w:val="84"/>
          <w:highlight w:val="none"/>
          <w:lang w:val="zh-CN"/>
        </w:rPr>
        <w:t>投</w:t>
      </w:r>
    </w:p>
    <w:p w14:paraId="597DBA84">
      <w:pPr>
        <w:jc w:val="center"/>
        <w:rPr>
          <w:color w:val="auto"/>
          <w:sz w:val="84"/>
          <w:szCs w:val="84"/>
          <w:highlight w:val="none"/>
          <w:lang w:val="zh-CN"/>
        </w:rPr>
      </w:pPr>
      <w:r>
        <w:rPr>
          <w:rFonts w:hint="eastAsia"/>
          <w:color w:val="auto"/>
          <w:sz w:val="84"/>
          <w:szCs w:val="84"/>
          <w:highlight w:val="none"/>
          <w:lang w:val="zh-CN"/>
        </w:rPr>
        <w:t>标</w:t>
      </w:r>
    </w:p>
    <w:p w14:paraId="63FAE356">
      <w:pPr>
        <w:jc w:val="center"/>
        <w:rPr>
          <w:color w:val="auto"/>
          <w:sz w:val="84"/>
          <w:szCs w:val="84"/>
          <w:highlight w:val="none"/>
        </w:rPr>
      </w:pPr>
      <w:r>
        <w:rPr>
          <w:rFonts w:hint="eastAsia"/>
          <w:color w:val="auto"/>
          <w:sz w:val="84"/>
          <w:szCs w:val="84"/>
          <w:highlight w:val="none"/>
          <w:lang w:val="zh-CN"/>
        </w:rPr>
        <w:t>文</w:t>
      </w:r>
    </w:p>
    <w:p w14:paraId="55A1ABA3">
      <w:pPr>
        <w:jc w:val="center"/>
        <w:rPr>
          <w:color w:val="auto"/>
          <w:sz w:val="84"/>
          <w:szCs w:val="84"/>
          <w:highlight w:val="none"/>
          <w:lang w:val="zh-CN"/>
        </w:rPr>
      </w:pPr>
      <w:r>
        <w:rPr>
          <w:rFonts w:hint="eastAsia"/>
          <w:color w:val="auto"/>
          <w:sz w:val="84"/>
          <w:szCs w:val="84"/>
          <w:highlight w:val="none"/>
          <w:lang w:val="zh-CN"/>
        </w:rPr>
        <w:t>件</w:t>
      </w:r>
    </w:p>
    <w:p w14:paraId="4DBBF78F">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z w:val="28"/>
          <w:szCs w:val="28"/>
          <w:highlight w:val="none"/>
        </w:rPr>
        <w:t>资格证明文件）</w:t>
      </w:r>
    </w:p>
    <w:p w14:paraId="299998F4">
      <w:pPr>
        <w:pStyle w:val="20"/>
        <w:rPr>
          <w:color w:val="auto"/>
          <w:highlight w:val="none"/>
        </w:rPr>
      </w:pPr>
    </w:p>
    <w:p w14:paraId="2C0D8DE2">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lang w:eastAsia="zh-CN"/>
        </w:rPr>
        <w:t>供应商</w:t>
      </w:r>
      <w:r>
        <w:rPr>
          <w:rFonts w:hint="eastAsia" w:ascii="宋体" w:hAnsi="宋体"/>
          <w:color w:val="auto"/>
          <w:sz w:val="32"/>
          <w:szCs w:val="32"/>
          <w:highlight w:val="none"/>
        </w:rPr>
        <w:t>全称（公章）：</w:t>
      </w:r>
    </w:p>
    <w:p w14:paraId="79A54122">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14:paraId="037707A6">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时    间：</w:t>
      </w:r>
    </w:p>
    <w:p w14:paraId="6F4F9E51">
      <w:pPr>
        <w:snapToGrid w:val="0"/>
        <w:spacing w:before="50" w:after="50" w:line="360" w:lineRule="auto"/>
        <w:rPr>
          <w:rFonts w:ascii="仿宋_GB2312" w:hAnsi="宋体" w:eastAsia="仿宋_GB2312"/>
          <w:b/>
          <w:color w:val="auto"/>
          <w:sz w:val="36"/>
          <w:szCs w:val="36"/>
          <w:highlight w:val="none"/>
        </w:rPr>
      </w:pPr>
    </w:p>
    <w:p w14:paraId="3A8BB691">
      <w:pPr>
        <w:pStyle w:val="9"/>
        <w:rPr>
          <w:rFonts w:ascii="仿宋_GB2312" w:hAnsi="宋体" w:eastAsia="仿宋_GB2312"/>
          <w:b/>
          <w:color w:val="auto"/>
          <w:sz w:val="36"/>
          <w:szCs w:val="36"/>
          <w:highlight w:val="none"/>
        </w:rPr>
      </w:pPr>
    </w:p>
    <w:p w14:paraId="36A2EC69">
      <w:pPr>
        <w:pStyle w:val="9"/>
        <w:rPr>
          <w:rFonts w:ascii="仿宋_GB2312" w:hAnsi="宋体" w:eastAsia="仿宋_GB2312"/>
          <w:b/>
          <w:color w:val="auto"/>
          <w:sz w:val="36"/>
          <w:szCs w:val="36"/>
          <w:highlight w:val="none"/>
        </w:rPr>
      </w:pPr>
    </w:p>
    <w:p w14:paraId="63837C42">
      <w:pPr>
        <w:spacing w:line="360" w:lineRule="auto"/>
        <w:jc w:val="center"/>
        <w:rPr>
          <w:rFonts w:hint="eastAsia"/>
          <w:b/>
          <w:bCs/>
          <w:color w:val="auto"/>
          <w:sz w:val="36"/>
          <w:szCs w:val="36"/>
          <w:highlight w:val="none"/>
        </w:rPr>
        <w:sectPr>
          <w:headerReference r:id="rId6" w:type="first"/>
          <w:headerReference r:id="rId5" w:type="default"/>
          <w:footerReference r:id="rId7" w:type="default"/>
          <w:pgSz w:w="11906" w:h="16838"/>
          <w:pgMar w:top="1701" w:right="1448" w:bottom="1531" w:left="1418" w:header="851" w:footer="851" w:gutter="0"/>
          <w:pgNumType w:fmt="numberInDash"/>
          <w:cols w:space="720" w:num="1"/>
          <w:docGrid w:linePitch="312" w:charSpace="0"/>
        </w:sectPr>
      </w:pPr>
    </w:p>
    <w:p w14:paraId="2FEC99DA">
      <w:pPr>
        <w:spacing w:line="360" w:lineRule="auto"/>
        <w:jc w:val="center"/>
        <w:rPr>
          <w:rFonts w:hint="eastAsia"/>
          <w:b/>
          <w:bCs/>
          <w:color w:val="auto"/>
          <w:sz w:val="36"/>
          <w:szCs w:val="36"/>
          <w:highlight w:val="none"/>
        </w:rPr>
      </w:pPr>
      <w:r>
        <w:rPr>
          <w:rFonts w:hint="eastAsia"/>
          <w:b/>
          <w:bCs/>
          <w:color w:val="auto"/>
          <w:sz w:val="36"/>
          <w:szCs w:val="36"/>
          <w:highlight w:val="none"/>
        </w:rPr>
        <w:t>资格证明文件目录</w:t>
      </w:r>
    </w:p>
    <w:p w14:paraId="4AADFA74">
      <w:pPr>
        <w:bidi w:val="0"/>
        <w:jc w:val="center"/>
        <w:rPr>
          <w:rFonts w:hint="eastAsia" w:eastAsia="宋体"/>
          <w:b/>
          <w:bCs/>
          <w:color w:val="auto"/>
          <w:sz w:val="28"/>
          <w:szCs w:val="36"/>
          <w:highlight w:val="none"/>
          <w:lang w:eastAsia="zh-CN"/>
        </w:rPr>
      </w:pPr>
      <w:r>
        <w:rPr>
          <w:rFonts w:hint="eastAsia"/>
          <w:b/>
          <w:bCs/>
          <w:color w:val="auto"/>
          <w:sz w:val="28"/>
          <w:szCs w:val="36"/>
          <w:highlight w:val="none"/>
          <w:lang w:eastAsia="zh-CN"/>
        </w:rPr>
        <w:t>（</w:t>
      </w:r>
      <w:r>
        <w:rPr>
          <w:rFonts w:hint="eastAsia"/>
          <w:b/>
          <w:bCs/>
          <w:color w:val="auto"/>
          <w:sz w:val="28"/>
          <w:szCs w:val="36"/>
          <w:highlight w:val="none"/>
          <w:lang w:val="en-US" w:eastAsia="zh-CN"/>
        </w:rPr>
        <w:t>适用于标项一</w:t>
      </w:r>
      <w:r>
        <w:rPr>
          <w:rFonts w:hint="eastAsia"/>
          <w:b/>
          <w:bCs/>
          <w:color w:val="auto"/>
          <w:sz w:val="28"/>
          <w:szCs w:val="36"/>
          <w:highlight w:val="none"/>
          <w:lang w:eastAsia="zh-CN"/>
        </w:rPr>
        <w:t>）</w:t>
      </w:r>
    </w:p>
    <w:p w14:paraId="6D7468C2">
      <w:pPr>
        <w:spacing w:line="360" w:lineRule="auto"/>
        <w:ind w:firstLine="560" w:firstLineChars="200"/>
        <w:rPr>
          <w:color w:val="auto"/>
          <w:sz w:val="28"/>
          <w:szCs w:val="36"/>
          <w:highlight w:val="none"/>
        </w:rPr>
      </w:pPr>
    </w:p>
    <w:p w14:paraId="4C05860A">
      <w:pPr>
        <w:snapToGrid w:val="0"/>
        <w:spacing w:line="360" w:lineRule="auto"/>
        <w:ind w:firstLine="480" w:firstLineChars="200"/>
        <w:rPr>
          <w:rFonts w:ascii="宋体" w:hAnsi="宋体" w:cs="宋体"/>
          <w:color w:val="auto"/>
          <w:sz w:val="24"/>
          <w:highlight w:val="none"/>
        </w:rPr>
      </w:pPr>
      <w:r>
        <w:rPr>
          <w:rFonts w:hint="eastAsia" w:ascii="宋体" w:hAnsi="宋体"/>
          <w:bCs/>
          <w:color w:val="auto"/>
          <w:sz w:val="24"/>
          <w:highlight w:val="none"/>
        </w:rPr>
        <w:t>（1）</w:t>
      </w:r>
      <w:r>
        <w:rPr>
          <w:rFonts w:hint="eastAsia" w:ascii="宋体" w:hAnsi="宋体" w:cs="宋体"/>
          <w:color w:val="auto"/>
          <w:sz w:val="24"/>
          <w:highlight w:val="none"/>
        </w:rPr>
        <w:t>投标声明书（附件1）；</w:t>
      </w:r>
    </w:p>
    <w:p w14:paraId="05C1EB3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（2）授权委托书（法定代表人亲自办理投标事宜的，则无需提交；附件2）；</w:t>
      </w:r>
    </w:p>
    <w:p w14:paraId="7553DF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（3）法人或者其他组织的营业执照等证明文件，自然人的身份证明；</w:t>
      </w:r>
    </w:p>
    <w:p w14:paraId="173A475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（4）具有依法缴纳税收和社会保障资金证明的承诺函（附件3</w:t>
      </w:r>
      <w:r>
        <w:rPr>
          <w:rFonts w:hint="eastAsia" w:ascii="宋体" w:hAnsi="宋体" w:cs="宋体"/>
          <w:color w:val="auto"/>
          <w:sz w:val="24"/>
          <w:highlight w:val="none"/>
          <w:lang w:eastAsia="zh-CN"/>
        </w:rPr>
        <w:t>，</w:t>
      </w:r>
      <w:r>
        <w:rPr>
          <w:rFonts w:hint="eastAsia" w:ascii="宋体" w:hAnsi="宋体"/>
          <w:color w:val="auto"/>
          <w:kern w:val="0"/>
          <w:sz w:val="24"/>
          <w:highlight w:val="none"/>
          <w:lang w:val="en-US" w:eastAsia="zh-CN"/>
        </w:rPr>
        <w:t>若为联合体投标，联合体各方均需提供</w:t>
      </w:r>
      <w:r>
        <w:rPr>
          <w:rFonts w:hint="eastAsia" w:ascii="宋体" w:hAnsi="宋体" w:cs="宋体"/>
          <w:color w:val="auto"/>
          <w:sz w:val="24"/>
          <w:highlight w:val="none"/>
        </w:rPr>
        <w:t>）；</w:t>
      </w:r>
    </w:p>
    <w:p w14:paraId="4F7C3B0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（5）具有良好的商业信誉和健全的财务会计制度的承诺函（附件4</w:t>
      </w:r>
      <w:r>
        <w:rPr>
          <w:rFonts w:hint="eastAsia" w:ascii="宋体" w:hAnsi="宋体" w:cs="宋体"/>
          <w:color w:val="auto"/>
          <w:sz w:val="24"/>
          <w:highlight w:val="none"/>
          <w:lang w:eastAsia="zh-CN"/>
        </w:rPr>
        <w:t>，</w:t>
      </w:r>
      <w:r>
        <w:rPr>
          <w:rFonts w:hint="eastAsia" w:ascii="宋体" w:hAnsi="宋体"/>
          <w:color w:val="auto"/>
          <w:kern w:val="0"/>
          <w:sz w:val="24"/>
          <w:highlight w:val="none"/>
          <w:lang w:val="en-US" w:eastAsia="zh-CN"/>
        </w:rPr>
        <w:t>若为联合体投标，联合体各方均需提供</w:t>
      </w:r>
      <w:r>
        <w:rPr>
          <w:rFonts w:hint="eastAsia" w:ascii="宋体" w:hAnsi="宋体" w:cs="宋体"/>
          <w:color w:val="auto"/>
          <w:sz w:val="24"/>
          <w:highlight w:val="none"/>
        </w:rPr>
        <w:t>）；</w:t>
      </w:r>
    </w:p>
    <w:p w14:paraId="7EFEB70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（6）具有履行合同所必须的设备和专业技术能力的承诺函（附件5</w:t>
      </w:r>
      <w:r>
        <w:rPr>
          <w:rFonts w:hint="eastAsia" w:ascii="宋体" w:hAnsi="宋体" w:cs="宋体"/>
          <w:color w:val="auto"/>
          <w:sz w:val="24"/>
          <w:highlight w:val="none"/>
          <w:lang w:eastAsia="zh-CN"/>
        </w:rPr>
        <w:t>，</w:t>
      </w:r>
      <w:r>
        <w:rPr>
          <w:rFonts w:hint="eastAsia" w:ascii="宋体" w:hAnsi="宋体"/>
          <w:color w:val="auto"/>
          <w:kern w:val="0"/>
          <w:sz w:val="24"/>
          <w:highlight w:val="none"/>
          <w:lang w:val="en-US" w:eastAsia="zh-CN"/>
        </w:rPr>
        <w:t>若为联合体投标，联合体各方均需提供</w:t>
      </w:r>
      <w:r>
        <w:rPr>
          <w:rFonts w:hint="eastAsia" w:ascii="宋体" w:hAnsi="宋体" w:cs="宋体"/>
          <w:color w:val="auto"/>
          <w:sz w:val="24"/>
          <w:highlight w:val="none"/>
        </w:rPr>
        <w:t>）；</w:t>
      </w:r>
    </w:p>
    <w:p w14:paraId="3DE532C9">
      <w:pPr>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）中小企业、</w:t>
      </w:r>
      <w:r>
        <w:rPr>
          <w:rFonts w:hint="eastAsia" w:ascii="宋体" w:hAnsi="宋体" w:cs="宋体"/>
          <w:color w:val="auto"/>
          <w:sz w:val="24"/>
          <w:highlight w:val="none"/>
          <w:lang w:val="en-GB"/>
        </w:rPr>
        <w:t>残疾人福利性单位、监狱企业</w:t>
      </w:r>
      <w:r>
        <w:rPr>
          <w:rFonts w:hint="eastAsia" w:ascii="宋体" w:hAnsi="宋体" w:cs="宋体"/>
          <w:color w:val="auto"/>
          <w:sz w:val="24"/>
          <w:highlight w:val="none"/>
        </w:rPr>
        <w:t>等声明函（附件</w:t>
      </w:r>
      <w:r>
        <w:rPr>
          <w:rFonts w:hint="eastAsia" w:ascii="宋体" w:hAnsi="宋体" w:cs="宋体"/>
          <w:color w:val="auto"/>
          <w:sz w:val="24"/>
          <w:highlight w:val="none"/>
          <w:lang w:val="en-US" w:eastAsia="zh-CN"/>
        </w:rPr>
        <w:t>6，</w:t>
      </w:r>
      <w:r>
        <w:rPr>
          <w:rFonts w:hint="eastAsia" w:ascii="宋体" w:hAnsi="宋体"/>
          <w:color w:val="auto"/>
          <w:kern w:val="0"/>
          <w:sz w:val="24"/>
          <w:highlight w:val="none"/>
          <w:lang w:val="en-US" w:eastAsia="zh-CN"/>
        </w:rPr>
        <w:t>若为联合体投标，联合体各方均需提供</w:t>
      </w:r>
      <w:r>
        <w:rPr>
          <w:rFonts w:hint="eastAsia" w:ascii="宋体" w:hAnsi="宋体" w:cs="宋体"/>
          <w:color w:val="auto"/>
          <w:sz w:val="24"/>
          <w:highlight w:val="none"/>
        </w:rPr>
        <w:t>）；</w:t>
      </w:r>
    </w:p>
    <w:p w14:paraId="6D1EF819">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具有城乡规划编制乙级及以上资质或土地规划</w:t>
      </w:r>
      <w:r>
        <w:rPr>
          <w:rFonts w:hint="eastAsia" w:ascii="宋体" w:hAnsi="宋体" w:cs="宋体"/>
          <w:color w:val="auto"/>
          <w:sz w:val="24"/>
          <w:highlight w:val="none"/>
        </w:rPr>
        <w:t>编制</w:t>
      </w:r>
      <w:r>
        <w:rPr>
          <w:rFonts w:hint="eastAsia" w:ascii="宋体" w:hAnsi="宋体" w:cs="宋体"/>
          <w:color w:val="auto"/>
          <w:sz w:val="24"/>
          <w:highlight w:val="none"/>
          <w:lang w:eastAsia="zh-CN"/>
        </w:rPr>
        <w:t>乙级</w:t>
      </w:r>
      <w:r>
        <w:rPr>
          <w:rFonts w:hint="eastAsia" w:ascii="宋体" w:hAnsi="宋体" w:cs="宋体"/>
          <w:color w:val="auto"/>
          <w:sz w:val="24"/>
          <w:highlight w:val="none"/>
        </w:rPr>
        <w:t>及以上资质</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若为联合体投标，联合体各方均需提供</w:t>
      </w:r>
      <w:r>
        <w:rPr>
          <w:rFonts w:hint="eastAsia" w:ascii="宋体" w:hAnsi="宋体" w:cs="宋体"/>
          <w:color w:val="auto"/>
          <w:sz w:val="24"/>
          <w:highlight w:val="none"/>
          <w:lang w:eastAsia="zh-CN"/>
        </w:rPr>
        <w:t>）；</w:t>
      </w:r>
    </w:p>
    <w:p w14:paraId="189FA8A0">
      <w:pPr>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）联合体协议（</w:t>
      </w:r>
      <w:r>
        <w:rPr>
          <w:rFonts w:hint="eastAsia" w:ascii="宋体" w:hAnsi="宋体" w:cs="宋体"/>
          <w:color w:val="auto"/>
          <w:sz w:val="24"/>
          <w:highlight w:val="none"/>
          <w:lang w:val="en-US" w:eastAsia="zh-CN"/>
        </w:rPr>
        <w:t>若供应商</w:t>
      </w:r>
      <w:r>
        <w:rPr>
          <w:rFonts w:hint="eastAsia" w:ascii="宋体" w:hAnsi="宋体" w:cs="宋体"/>
          <w:color w:val="auto"/>
          <w:sz w:val="24"/>
          <w:highlight w:val="none"/>
        </w:rPr>
        <w:t>以联合体方式投标的必须提供联合体协议书，否则作无效标处理</w:t>
      </w:r>
      <w:r>
        <w:rPr>
          <w:rFonts w:hint="eastAsia" w:ascii="宋体" w:hAnsi="宋体" w:cs="宋体"/>
          <w:color w:val="auto"/>
          <w:sz w:val="24"/>
          <w:highlight w:val="none"/>
          <w:lang w:val="en-US" w:eastAsia="zh-CN"/>
        </w:rPr>
        <w:t>，见附件7</w:t>
      </w:r>
      <w:r>
        <w:rPr>
          <w:rFonts w:hint="eastAsia" w:ascii="宋体" w:hAnsi="宋体" w:cs="宋体"/>
          <w:color w:val="auto"/>
          <w:sz w:val="24"/>
          <w:highlight w:val="none"/>
        </w:rPr>
        <w:t>）；</w:t>
      </w:r>
    </w:p>
    <w:p w14:paraId="7BE508E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w:t>
      </w:r>
      <w:r>
        <w:rPr>
          <w:rFonts w:hint="eastAsia" w:ascii="宋体" w:hAnsi="宋体" w:cs="宋体"/>
          <w:color w:val="auto"/>
          <w:sz w:val="24"/>
          <w:highlight w:val="none"/>
        </w:rPr>
        <w:t>需要说明的其他资料。</w:t>
      </w:r>
    </w:p>
    <w:p w14:paraId="6CEE0C33">
      <w:pPr>
        <w:spacing w:line="360" w:lineRule="auto"/>
        <w:rPr>
          <w:rFonts w:ascii="宋体" w:hAnsi="宋体"/>
          <w:b/>
          <w:color w:val="auto"/>
          <w:sz w:val="28"/>
          <w:highlight w:val="none"/>
        </w:rPr>
      </w:pPr>
    </w:p>
    <w:p w14:paraId="1B057698">
      <w:pPr>
        <w:spacing w:line="360" w:lineRule="auto"/>
        <w:rPr>
          <w:rFonts w:ascii="宋体" w:hAnsi="宋体"/>
          <w:b/>
          <w:color w:val="auto"/>
          <w:sz w:val="28"/>
          <w:highlight w:val="none"/>
        </w:rPr>
      </w:pPr>
    </w:p>
    <w:p w14:paraId="11BF49A3">
      <w:pPr>
        <w:pStyle w:val="26"/>
        <w:rPr>
          <w:rFonts w:ascii="宋体" w:hAnsi="宋体"/>
          <w:b/>
          <w:color w:val="auto"/>
          <w:sz w:val="28"/>
          <w:highlight w:val="none"/>
        </w:rPr>
      </w:pPr>
    </w:p>
    <w:p w14:paraId="300CADEB">
      <w:pPr>
        <w:pStyle w:val="26"/>
        <w:rPr>
          <w:rFonts w:ascii="宋体" w:hAnsi="宋体"/>
          <w:b/>
          <w:color w:val="auto"/>
          <w:sz w:val="28"/>
          <w:highlight w:val="none"/>
        </w:rPr>
      </w:pPr>
    </w:p>
    <w:p w14:paraId="67786CB2">
      <w:pPr>
        <w:pStyle w:val="9"/>
        <w:ind w:left="0" w:leftChars="0" w:firstLine="0" w:firstLineChars="0"/>
        <w:rPr>
          <w:rFonts w:ascii="宋体" w:hAnsi="宋体"/>
          <w:b/>
          <w:color w:val="auto"/>
          <w:sz w:val="28"/>
          <w:highlight w:val="none"/>
        </w:rPr>
      </w:pPr>
    </w:p>
    <w:p w14:paraId="131A5ED8">
      <w:pPr>
        <w:pStyle w:val="9"/>
        <w:ind w:left="0" w:leftChars="0" w:firstLine="0" w:firstLineChars="0"/>
        <w:rPr>
          <w:rFonts w:ascii="宋体" w:hAnsi="宋体"/>
          <w:b/>
          <w:color w:val="auto"/>
          <w:sz w:val="28"/>
          <w:highlight w:val="none"/>
        </w:rPr>
      </w:pPr>
    </w:p>
    <w:p w14:paraId="08DBDBC3">
      <w:pPr>
        <w:pStyle w:val="9"/>
        <w:ind w:left="0" w:leftChars="0" w:firstLine="0" w:firstLineChars="0"/>
        <w:rPr>
          <w:rFonts w:ascii="宋体" w:hAnsi="宋体"/>
          <w:b/>
          <w:color w:val="auto"/>
          <w:sz w:val="28"/>
          <w:highlight w:val="none"/>
        </w:rPr>
        <w:sectPr>
          <w:pgSz w:w="11906" w:h="16838"/>
          <w:pgMar w:top="1701" w:right="1448" w:bottom="1531" w:left="1418" w:header="851" w:footer="851" w:gutter="0"/>
          <w:pgNumType w:fmt="numberInDash"/>
          <w:cols w:space="720" w:num="1"/>
          <w:docGrid w:linePitch="312" w:charSpace="0"/>
        </w:sectPr>
      </w:pPr>
    </w:p>
    <w:p w14:paraId="788AF434">
      <w:pPr>
        <w:spacing w:line="360" w:lineRule="auto"/>
        <w:jc w:val="center"/>
        <w:rPr>
          <w:rFonts w:hint="eastAsia"/>
          <w:b/>
          <w:bCs/>
          <w:color w:val="auto"/>
          <w:sz w:val="36"/>
          <w:szCs w:val="36"/>
          <w:highlight w:val="none"/>
        </w:rPr>
      </w:pPr>
      <w:r>
        <w:rPr>
          <w:rFonts w:hint="eastAsia"/>
          <w:b/>
          <w:bCs/>
          <w:color w:val="auto"/>
          <w:sz w:val="36"/>
          <w:szCs w:val="36"/>
          <w:highlight w:val="none"/>
        </w:rPr>
        <w:t>资格证明文件目录</w:t>
      </w:r>
    </w:p>
    <w:p w14:paraId="5BBCB199">
      <w:pPr>
        <w:bidi w:val="0"/>
        <w:jc w:val="center"/>
        <w:rPr>
          <w:rFonts w:hint="eastAsia" w:eastAsia="宋体"/>
          <w:b/>
          <w:bCs/>
          <w:color w:val="auto"/>
          <w:sz w:val="28"/>
          <w:szCs w:val="36"/>
          <w:highlight w:val="none"/>
          <w:lang w:eastAsia="zh-CN"/>
        </w:rPr>
      </w:pPr>
      <w:r>
        <w:rPr>
          <w:rFonts w:hint="eastAsia"/>
          <w:b/>
          <w:bCs/>
          <w:color w:val="auto"/>
          <w:sz w:val="28"/>
          <w:szCs w:val="36"/>
          <w:highlight w:val="none"/>
          <w:lang w:eastAsia="zh-CN"/>
        </w:rPr>
        <w:t>（</w:t>
      </w:r>
      <w:r>
        <w:rPr>
          <w:rFonts w:hint="eastAsia"/>
          <w:b/>
          <w:bCs/>
          <w:color w:val="auto"/>
          <w:sz w:val="28"/>
          <w:szCs w:val="36"/>
          <w:highlight w:val="none"/>
          <w:lang w:val="en-US" w:eastAsia="zh-CN"/>
        </w:rPr>
        <w:t>适用于标项二</w:t>
      </w:r>
      <w:r>
        <w:rPr>
          <w:rFonts w:hint="eastAsia"/>
          <w:b/>
          <w:bCs/>
          <w:color w:val="auto"/>
          <w:sz w:val="28"/>
          <w:szCs w:val="36"/>
          <w:highlight w:val="none"/>
          <w:lang w:eastAsia="zh-CN"/>
        </w:rPr>
        <w:t>）</w:t>
      </w:r>
    </w:p>
    <w:p w14:paraId="354C7EAE">
      <w:pPr>
        <w:spacing w:line="360" w:lineRule="auto"/>
        <w:ind w:firstLine="560" w:firstLineChars="200"/>
        <w:rPr>
          <w:color w:val="auto"/>
          <w:sz w:val="28"/>
          <w:szCs w:val="36"/>
          <w:highlight w:val="none"/>
        </w:rPr>
      </w:pPr>
    </w:p>
    <w:p w14:paraId="10C65989">
      <w:pPr>
        <w:snapToGrid w:val="0"/>
        <w:spacing w:line="360" w:lineRule="auto"/>
        <w:ind w:firstLine="480" w:firstLineChars="200"/>
        <w:rPr>
          <w:rFonts w:ascii="宋体" w:hAnsi="宋体" w:cs="宋体"/>
          <w:color w:val="auto"/>
          <w:sz w:val="24"/>
          <w:highlight w:val="none"/>
        </w:rPr>
      </w:pPr>
      <w:r>
        <w:rPr>
          <w:rFonts w:hint="eastAsia" w:ascii="宋体" w:hAnsi="宋体"/>
          <w:bCs/>
          <w:color w:val="auto"/>
          <w:sz w:val="24"/>
          <w:highlight w:val="none"/>
        </w:rPr>
        <w:t>（1）</w:t>
      </w:r>
      <w:r>
        <w:rPr>
          <w:rFonts w:hint="eastAsia" w:ascii="宋体" w:hAnsi="宋体" w:cs="宋体"/>
          <w:color w:val="auto"/>
          <w:sz w:val="24"/>
          <w:highlight w:val="none"/>
        </w:rPr>
        <w:t>投标声明书（附件1）；</w:t>
      </w:r>
    </w:p>
    <w:p w14:paraId="04CC1ED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（2）授权委托书（法定代表人亲自办理投标事宜的，则无需提交；附件2）；</w:t>
      </w:r>
    </w:p>
    <w:p w14:paraId="2905E72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（3）法人或者其他组织的营业执照等证明文件，自然人的身份证明；</w:t>
      </w:r>
    </w:p>
    <w:p w14:paraId="12419C8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（4）具有依法缴纳税收和社会保障资金证明的承诺函（附件3</w:t>
      </w:r>
      <w:r>
        <w:rPr>
          <w:rFonts w:hint="eastAsia" w:ascii="宋体" w:hAnsi="宋体" w:cs="宋体"/>
          <w:color w:val="auto"/>
          <w:sz w:val="24"/>
          <w:highlight w:val="none"/>
          <w:lang w:eastAsia="zh-CN"/>
        </w:rPr>
        <w:t>，</w:t>
      </w:r>
      <w:r>
        <w:rPr>
          <w:rFonts w:hint="eastAsia" w:ascii="宋体" w:hAnsi="宋体"/>
          <w:color w:val="auto"/>
          <w:kern w:val="0"/>
          <w:sz w:val="24"/>
          <w:highlight w:val="none"/>
          <w:lang w:val="en-US" w:eastAsia="zh-CN"/>
        </w:rPr>
        <w:t>若为联合体投标，联合体各方均需提供</w:t>
      </w:r>
      <w:r>
        <w:rPr>
          <w:rFonts w:hint="eastAsia" w:ascii="宋体" w:hAnsi="宋体" w:cs="宋体"/>
          <w:color w:val="auto"/>
          <w:sz w:val="24"/>
          <w:highlight w:val="none"/>
        </w:rPr>
        <w:t>）；</w:t>
      </w:r>
    </w:p>
    <w:p w14:paraId="774B8B7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（5）具有良好的商业信誉和健全的财务会计制度的承诺函（附件4</w:t>
      </w:r>
      <w:r>
        <w:rPr>
          <w:rFonts w:hint="eastAsia" w:ascii="宋体" w:hAnsi="宋体" w:cs="宋体"/>
          <w:color w:val="auto"/>
          <w:sz w:val="24"/>
          <w:highlight w:val="none"/>
          <w:lang w:eastAsia="zh-CN"/>
        </w:rPr>
        <w:t>，</w:t>
      </w:r>
      <w:r>
        <w:rPr>
          <w:rFonts w:hint="eastAsia" w:ascii="宋体" w:hAnsi="宋体"/>
          <w:color w:val="auto"/>
          <w:kern w:val="0"/>
          <w:sz w:val="24"/>
          <w:highlight w:val="none"/>
          <w:lang w:val="en-US" w:eastAsia="zh-CN"/>
        </w:rPr>
        <w:t>若为联合体投标，联合体各方均需提供</w:t>
      </w:r>
      <w:r>
        <w:rPr>
          <w:rFonts w:hint="eastAsia" w:ascii="宋体" w:hAnsi="宋体" w:cs="宋体"/>
          <w:color w:val="auto"/>
          <w:sz w:val="24"/>
          <w:highlight w:val="none"/>
        </w:rPr>
        <w:t>）；</w:t>
      </w:r>
    </w:p>
    <w:p w14:paraId="27DC9C5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（6）具有履行合同所必须的设备和专业技术能力的承诺函（附件5</w:t>
      </w:r>
      <w:r>
        <w:rPr>
          <w:rFonts w:hint="eastAsia" w:ascii="宋体" w:hAnsi="宋体" w:cs="宋体"/>
          <w:color w:val="auto"/>
          <w:sz w:val="24"/>
          <w:highlight w:val="none"/>
          <w:lang w:eastAsia="zh-CN"/>
        </w:rPr>
        <w:t>，</w:t>
      </w:r>
      <w:r>
        <w:rPr>
          <w:rFonts w:hint="eastAsia" w:ascii="宋体" w:hAnsi="宋体"/>
          <w:color w:val="auto"/>
          <w:kern w:val="0"/>
          <w:sz w:val="24"/>
          <w:highlight w:val="none"/>
          <w:lang w:val="en-US" w:eastAsia="zh-CN"/>
        </w:rPr>
        <w:t>若为联合体投标，联合体各方均需提供</w:t>
      </w:r>
      <w:r>
        <w:rPr>
          <w:rFonts w:hint="eastAsia" w:ascii="宋体" w:hAnsi="宋体" w:cs="宋体"/>
          <w:color w:val="auto"/>
          <w:sz w:val="24"/>
          <w:highlight w:val="none"/>
        </w:rPr>
        <w:t>）；</w:t>
      </w:r>
    </w:p>
    <w:p w14:paraId="4358043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）中小企业、</w:t>
      </w:r>
      <w:r>
        <w:rPr>
          <w:rFonts w:hint="eastAsia" w:ascii="宋体" w:hAnsi="宋体" w:cs="宋体"/>
          <w:color w:val="auto"/>
          <w:sz w:val="24"/>
          <w:highlight w:val="none"/>
          <w:lang w:val="en-GB"/>
        </w:rPr>
        <w:t>残疾人福利性单位、监狱企业</w:t>
      </w:r>
      <w:r>
        <w:rPr>
          <w:rFonts w:hint="eastAsia" w:ascii="宋体" w:hAnsi="宋体" w:cs="宋体"/>
          <w:color w:val="auto"/>
          <w:sz w:val="24"/>
          <w:highlight w:val="none"/>
        </w:rPr>
        <w:t>等声明函（附件</w:t>
      </w:r>
      <w:r>
        <w:rPr>
          <w:rFonts w:hint="eastAsia" w:ascii="宋体" w:hAnsi="宋体" w:cs="宋体"/>
          <w:color w:val="auto"/>
          <w:sz w:val="24"/>
          <w:highlight w:val="none"/>
          <w:lang w:val="en-US" w:eastAsia="zh-CN"/>
        </w:rPr>
        <w:t>6，</w:t>
      </w:r>
      <w:r>
        <w:rPr>
          <w:rFonts w:hint="eastAsia" w:ascii="宋体" w:hAnsi="宋体"/>
          <w:color w:val="auto"/>
          <w:kern w:val="0"/>
          <w:sz w:val="24"/>
          <w:highlight w:val="none"/>
          <w:lang w:val="en-US" w:eastAsia="zh-CN"/>
        </w:rPr>
        <w:t>若为联合体投标，联合体各方均需提供</w:t>
      </w:r>
      <w:r>
        <w:rPr>
          <w:rFonts w:hint="eastAsia" w:ascii="宋体" w:hAnsi="宋体" w:cs="宋体"/>
          <w:color w:val="auto"/>
          <w:sz w:val="24"/>
          <w:highlight w:val="none"/>
        </w:rPr>
        <w:t>）；</w:t>
      </w:r>
    </w:p>
    <w:p w14:paraId="75C7F201">
      <w:pPr>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eastAsia="宋体" w:cs="宋体"/>
          <w:color w:val="auto"/>
          <w:sz w:val="24"/>
          <w:highlight w:val="none"/>
          <w:lang w:val="en-US" w:eastAsia="zh-CN"/>
        </w:rPr>
        <w:t>具有测绘乙级及以上资质（专业类别：地理信息系统工程方面）</w:t>
      </w:r>
      <w:r>
        <w:rPr>
          <w:rFonts w:hint="eastAsia" w:ascii="宋体" w:hAnsi="宋体" w:cs="宋体"/>
          <w:color w:val="auto"/>
          <w:sz w:val="24"/>
          <w:highlight w:val="none"/>
          <w:lang w:val="en-US" w:eastAsia="zh-CN"/>
        </w:rPr>
        <w:t>，</w:t>
      </w:r>
      <w:r>
        <w:rPr>
          <w:rFonts w:hint="eastAsia" w:ascii="宋体" w:hAnsi="宋体"/>
          <w:color w:val="auto"/>
          <w:kern w:val="0"/>
          <w:sz w:val="24"/>
          <w:highlight w:val="none"/>
          <w:lang w:val="en-US" w:eastAsia="zh-CN"/>
        </w:rPr>
        <w:t>若为联合体投标，联合体各方均需提供；</w:t>
      </w:r>
    </w:p>
    <w:p w14:paraId="289E6831">
      <w:pPr>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）联合体协议（</w:t>
      </w:r>
      <w:r>
        <w:rPr>
          <w:rFonts w:hint="eastAsia" w:ascii="宋体" w:hAnsi="宋体" w:cs="宋体"/>
          <w:color w:val="auto"/>
          <w:sz w:val="24"/>
          <w:highlight w:val="none"/>
          <w:lang w:val="en-US" w:eastAsia="zh-CN"/>
        </w:rPr>
        <w:t>若供应商</w:t>
      </w:r>
      <w:r>
        <w:rPr>
          <w:rFonts w:hint="eastAsia" w:ascii="宋体" w:hAnsi="宋体" w:cs="宋体"/>
          <w:color w:val="auto"/>
          <w:sz w:val="24"/>
          <w:highlight w:val="none"/>
        </w:rPr>
        <w:t>以联合体方式投标的必须提供联合体协议书，否则作无效标处理</w:t>
      </w:r>
      <w:r>
        <w:rPr>
          <w:rFonts w:hint="eastAsia" w:ascii="宋体" w:hAnsi="宋体" w:cs="宋体"/>
          <w:color w:val="auto"/>
          <w:sz w:val="24"/>
          <w:highlight w:val="none"/>
          <w:lang w:val="en-US" w:eastAsia="zh-CN"/>
        </w:rPr>
        <w:t>，见附件7</w:t>
      </w:r>
      <w:r>
        <w:rPr>
          <w:rFonts w:hint="eastAsia" w:ascii="宋体" w:hAnsi="宋体" w:cs="宋体"/>
          <w:color w:val="auto"/>
          <w:sz w:val="24"/>
          <w:highlight w:val="none"/>
        </w:rPr>
        <w:t>）；</w:t>
      </w:r>
    </w:p>
    <w:p w14:paraId="74877F2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w:t>
      </w:r>
      <w:r>
        <w:rPr>
          <w:rFonts w:hint="eastAsia" w:ascii="宋体" w:hAnsi="宋体" w:cs="宋体"/>
          <w:color w:val="auto"/>
          <w:sz w:val="24"/>
          <w:highlight w:val="none"/>
        </w:rPr>
        <w:t>需要说明的其他资料。</w:t>
      </w:r>
    </w:p>
    <w:p w14:paraId="501035C2">
      <w:pPr>
        <w:pStyle w:val="9"/>
        <w:ind w:left="0" w:leftChars="0" w:firstLine="480" w:firstLineChars="200"/>
        <w:rPr>
          <w:rFonts w:hint="eastAsia" w:ascii="宋体" w:hAnsi="宋体" w:cs="宋体"/>
          <w:color w:val="auto"/>
          <w:sz w:val="24"/>
          <w:highlight w:val="none"/>
        </w:rPr>
        <w:sectPr>
          <w:pgSz w:w="11906" w:h="16838"/>
          <w:pgMar w:top="1701" w:right="1448" w:bottom="1531" w:left="1418" w:header="851" w:footer="851" w:gutter="0"/>
          <w:pgNumType w:fmt="numberInDash"/>
          <w:cols w:space="720" w:num="1"/>
          <w:docGrid w:linePitch="312" w:charSpace="0"/>
        </w:sectPr>
      </w:pPr>
    </w:p>
    <w:p w14:paraId="6BD1B34F">
      <w:pPr>
        <w:spacing w:line="312" w:lineRule="auto"/>
        <w:rPr>
          <w:rFonts w:ascii="宋体" w:hAnsi="宋体"/>
          <w:b/>
          <w:color w:val="auto"/>
          <w:sz w:val="28"/>
          <w:highlight w:val="none"/>
        </w:rPr>
      </w:pPr>
      <w:r>
        <w:rPr>
          <w:rFonts w:hint="eastAsia" w:ascii="宋体" w:hAnsi="宋体"/>
          <w:b/>
          <w:color w:val="auto"/>
          <w:sz w:val="28"/>
          <w:highlight w:val="none"/>
        </w:rPr>
        <w:t>附件1</w:t>
      </w:r>
    </w:p>
    <w:p w14:paraId="437D3FE1">
      <w:pPr>
        <w:adjustRightInd w:val="0"/>
        <w:snapToGrid w:val="0"/>
        <w:spacing w:line="312" w:lineRule="auto"/>
        <w:ind w:right="480"/>
        <w:jc w:val="center"/>
        <w:rPr>
          <w:rFonts w:ascii="宋体" w:hAnsi="宋体"/>
          <w:b/>
          <w:color w:val="auto"/>
          <w:kern w:val="0"/>
          <w:sz w:val="32"/>
          <w:szCs w:val="32"/>
          <w:highlight w:val="none"/>
          <w:lang w:val="zh-CN"/>
        </w:rPr>
      </w:pPr>
      <w:bookmarkStart w:id="45" w:name="_Toc31708_WPSOffice_Level1"/>
      <w:bookmarkStart w:id="46" w:name="_Toc30723_WPSOffice_Level1"/>
      <w:r>
        <w:rPr>
          <w:rFonts w:hint="eastAsia" w:ascii="宋体" w:hAnsi="宋体"/>
          <w:b/>
          <w:color w:val="auto"/>
          <w:kern w:val="0"/>
          <w:sz w:val="32"/>
          <w:szCs w:val="32"/>
          <w:highlight w:val="none"/>
          <w:lang w:val="zh-CN"/>
        </w:rPr>
        <w:t>投标声明书</w:t>
      </w:r>
      <w:bookmarkEnd w:id="45"/>
      <w:bookmarkEnd w:id="46"/>
    </w:p>
    <w:p w14:paraId="37E618AF">
      <w:pPr>
        <w:snapToGrid w:val="0"/>
        <w:spacing w:before="120" w:beforeLines="50" w:after="50" w:line="312" w:lineRule="auto"/>
        <w:rPr>
          <w:rFonts w:ascii="宋体" w:hAnsi="宋体" w:cs="宋体"/>
          <w:color w:val="auto"/>
          <w:kern w:val="0"/>
          <w:sz w:val="24"/>
          <w:highlight w:val="none"/>
        </w:rPr>
      </w:pPr>
      <w:r>
        <w:rPr>
          <w:rFonts w:hint="eastAsia" w:ascii="宋体" w:hAnsi="宋体" w:cstheme="minorBidi"/>
          <w:color w:val="auto"/>
          <w:sz w:val="24"/>
          <w:highlight w:val="none"/>
          <w:u w:val="single"/>
        </w:rPr>
        <w:t>台州市建设咨询有限公司</w:t>
      </w:r>
      <w:r>
        <w:rPr>
          <w:rFonts w:hint="eastAsia" w:ascii="宋体" w:hAnsi="宋体" w:cs="宋体"/>
          <w:color w:val="auto"/>
          <w:kern w:val="0"/>
          <w:sz w:val="24"/>
          <w:highlight w:val="none"/>
        </w:rPr>
        <w:t>：</w:t>
      </w:r>
    </w:p>
    <w:p w14:paraId="1828B2F5">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rPr>
        <w:t>系中华人民共和国合法企业，经营地址。</w:t>
      </w:r>
    </w:p>
    <w:p w14:paraId="1B035914">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lang w:eastAsia="zh-CN"/>
        </w:rPr>
        <w:t>台州市低效用地再开发试点项目（</w:t>
      </w:r>
      <w:r>
        <w:rPr>
          <w:rFonts w:hint="eastAsia" w:ascii="宋体" w:hAnsi="宋体" w:cs="宋体"/>
          <w:color w:val="auto"/>
          <w:kern w:val="0"/>
          <w:sz w:val="24"/>
          <w:highlight w:val="none"/>
          <w:u w:val="single"/>
          <w:lang w:eastAsia="zh-CN"/>
        </w:rPr>
        <w:t>标项</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eastAsia="zh-CN"/>
        </w:rPr>
        <w:t>）</w:t>
      </w:r>
      <w:r>
        <w:rPr>
          <w:rFonts w:hint="eastAsia" w:ascii="宋体" w:hAnsi="宋体"/>
          <w:color w:val="auto"/>
          <w:kern w:val="0"/>
          <w:sz w:val="24"/>
          <w:highlight w:val="none"/>
          <w:u w:val="single"/>
          <w:lang w:val="en-US" w:eastAsia="zh-CN"/>
        </w:rPr>
        <w:t>(项目名称）</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）的投标，为此，我公司就本次投标有关事项郑重声明如下：</w:t>
      </w:r>
    </w:p>
    <w:p w14:paraId="3FFD1EA2">
      <w:pPr>
        <w:numPr>
          <w:ilvl w:val="0"/>
          <w:numId w:val="10"/>
        </w:numPr>
        <w:snapToGrid w:val="0"/>
        <w:spacing w:line="360" w:lineRule="auto"/>
        <w:ind w:left="5" w:firstLine="415"/>
        <w:rPr>
          <w:rFonts w:ascii="宋体" w:hAnsi="宋体" w:cs="宋体"/>
          <w:color w:val="auto"/>
          <w:kern w:val="0"/>
          <w:sz w:val="24"/>
          <w:highlight w:val="none"/>
        </w:rPr>
      </w:pPr>
      <w:r>
        <w:rPr>
          <w:rFonts w:hint="eastAsia" w:ascii="宋体" w:hAnsi="宋体" w:cs="宋体"/>
          <w:color w:val="auto"/>
          <w:kern w:val="0"/>
          <w:sz w:val="24"/>
          <w:highlight w:val="none"/>
        </w:rPr>
        <w:t>我公司声明截止投标时间近三年以来：未被列入失信被执行人、重大税收违法案件当事人名单、政府采购严重违法失信行为记录名单，以及不存在其他不符合《中华人民共和国政府采购法》第二十二条规定的条件【说明：</w:t>
      </w:r>
      <w:r>
        <w:rPr>
          <w:rFonts w:hint="eastAsia" w:asciiTheme="minorEastAsia" w:hAnsiTheme="minorEastAsia" w:eastAsiaTheme="minorEastAsia"/>
          <w:color w:val="auto"/>
          <w:sz w:val="24"/>
          <w:highlight w:val="none"/>
          <w:lang w:eastAsia="zh-CN"/>
        </w:rPr>
        <w:t>供应商</w:t>
      </w:r>
      <w:r>
        <w:rPr>
          <w:rFonts w:hint="eastAsia" w:ascii="宋体" w:hAnsi="宋体" w:cs="宋体"/>
          <w:color w:val="auto"/>
          <w:kern w:val="0"/>
          <w:sz w:val="24"/>
          <w:highlight w:val="none"/>
        </w:rPr>
        <w:t>在截止投标时间近三年以来，如有上述所列情形，但限制期届满的，可按实陈述，并提供相应证明文件】。</w:t>
      </w:r>
    </w:p>
    <w:p w14:paraId="1FB15905">
      <w:pPr>
        <w:numPr>
          <w:ilvl w:val="0"/>
          <w:numId w:val="10"/>
        </w:numPr>
        <w:snapToGrid w:val="0"/>
        <w:spacing w:line="360" w:lineRule="auto"/>
        <w:ind w:left="5" w:firstLine="415"/>
        <w:rPr>
          <w:rFonts w:ascii="宋体" w:hAnsi="宋体" w:cs="宋体"/>
          <w:color w:val="auto"/>
          <w:kern w:val="0"/>
          <w:sz w:val="24"/>
          <w:highlight w:val="none"/>
        </w:rPr>
      </w:pPr>
      <w:r>
        <w:rPr>
          <w:rFonts w:hint="eastAsia" w:ascii="宋体" w:hAnsi="宋体" w:cs="宋体"/>
          <w:color w:val="auto"/>
          <w:kern w:val="0"/>
          <w:sz w:val="24"/>
          <w:highlight w:val="none"/>
        </w:rPr>
        <w:t>我公司在参与投标前已详细审查了招标文件和所有相关资料，我方完全知悉并认为此招标文件没有倾向性，也没有存在排斥潜在</w:t>
      </w:r>
      <w:r>
        <w:rPr>
          <w:rFonts w:hint="eastAsia" w:asciiTheme="minorEastAsia" w:hAnsiTheme="minorEastAsia" w:eastAsiaTheme="minorEastAsia"/>
          <w:color w:val="auto"/>
          <w:sz w:val="24"/>
          <w:highlight w:val="none"/>
          <w:lang w:eastAsia="zh-CN"/>
        </w:rPr>
        <w:t>供应商</w:t>
      </w:r>
      <w:r>
        <w:rPr>
          <w:rFonts w:hint="eastAsia" w:ascii="宋体" w:hAnsi="宋体" w:cs="宋体"/>
          <w:color w:val="auto"/>
          <w:kern w:val="0"/>
          <w:sz w:val="24"/>
          <w:highlight w:val="none"/>
        </w:rPr>
        <w:t>的内容，我方对招标文件的所有内容没有任何异议，不申请澄清和质疑。</w:t>
      </w:r>
    </w:p>
    <w:p w14:paraId="61AF7AA0">
      <w:pPr>
        <w:numPr>
          <w:ilvl w:val="0"/>
          <w:numId w:val="10"/>
        </w:numPr>
        <w:snapToGrid w:val="0"/>
        <w:spacing w:line="360" w:lineRule="auto"/>
        <w:ind w:left="5" w:firstLine="415"/>
        <w:rPr>
          <w:rFonts w:ascii="宋体" w:hAnsi="宋体"/>
          <w:color w:val="auto"/>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rPr>
        <w:t>不是采购人的附属机构；</w:t>
      </w:r>
      <w:r>
        <w:rPr>
          <w:rFonts w:hint="eastAsia" w:ascii="宋体" w:hAnsi="宋体"/>
          <w:color w:val="auto"/>
          <w:sz w:val="24"/>
          <w:highlight w:val="none"/>
        </w:rPr>
        <w:t>在获知本项目采购信息后，与采购人聘请的为此项目提供咨询服务的公司及其附属机构没有任何联系。</w:t>
      </w:r>
    </w:p>
    <w:p w14:paraId="745319D3">
      <w:pPr>
        <w:numPr>
          <w:ilvl w:val="0"/>
          <w:numId w:val="10"/>
        </w:numPr>
        <w:snapToGrid w:val="0"/>
        <w:spacing w:line="360" w:lineRule="auto"/>
        <w:ind w:left="5" w:firstLine="415"/>
        <w:rPr>
          <w:rFonts w:ascii="宋体" w:hAnsi="宋体"/>
          <w:color w:val="auto"/>
          <w:kern w:val="0"/>
          <w:sz w:val="24"/>
          <w:highlight w:val="none"/>
          <w:lang w:val="af-ZA"/>
        </w:rPr>
      </w:pP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投标报价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14:paraId="6A478B4E">
      <w:pPr>
        <w:numPr>
          <w:ilvl w:val="0"/>
          <w:numId w:val="10"/>
        </w:numPr>
        <w:snapToGrid w:val="0"/>
        <w:spacing w:line="360" w:lineRule="auto"/>
        <w:ind w:left="5" w:firstLine="415"/>
        <w:rPr>
          <w:rFonts w:ascii="仿宋_GB2312" w:hAnsi="仿宋_GB2312" w:cs="仿宋_GB2312"/>
          <w:color w:val="auto"/>
          <w:sz w:val="24"/>
          <w:highlight w:val="none"/>
        </w:rPr>
      </w:pPr>
      <w:r>
        <w:rPr>
          <w:rFonts w:hint="eastAsia" w:ascii="宋体" w:hAnsi="宋体" w:cs="宋体"/>
          <w:color w:val="auto"/>
          <w:kern w:val="0"/>
          <w:sz w:val="24"/>
          <w:highlight w:val="none"/>
          <w:lang w:val="af-ZA"/>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14:paraId="2154C677">
      <w:pPr>
        <w:numPr>
          <w:ilvl w:val="0"/>
          <w:numId w:val="10"/>
        </w:numPr>
        <w:snapToGrid w:val="0"/>
        <w:spacing w:line="360" w:lineRule="auto"/>
        <w:ind w:left="5" w:firstLine="415"/>
        <w:rPr>
          <w:rFonts w:ascii="宋体" w:hAnsi="宋体"/>
          <w:color w:val="auto"/>
          <w:sz w:val="24"/>
          <w:highlight w:val="none"/>
        </w:rPr>
      </w:pPr>
      <w:r>
        <w:rPr>
          <w:rFonts w:hint="eastAsia" w:ascii="宋体" w:hAnsi="宋体"/>
          <w:color w:val="auto"/>
          <w:sz w:val="24"/>
          <w:highlight w:val="none"/>
        </w:rPr>
        <w:t>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14:paraId="71D3AD1A">
      <w:pPr>
        <w:pStyle w:val="20"/>
        <w:ind w:left="0" w:leftChars="0" w:firstLine="0"/>
        <w:rPr>
          <w:color w:val="auto"/>
          <w:highlight w:val="none"/>
        </w:rPr>
      </w:pPr>
    </w:p>
    <w:p w14:paraId="028E1A7C">
      <w:pPr>
        <w:pStyle w:val="20"/>
        <w:ind w:left="0" w:leftChars="0" w:firstLine="0"/>
        <w:rPr>
          <w:color w:val="auto"/>
          <w:highlight w:val="none"/>
        </w:rPr>
      </w:pPr>
    </w:p>
    <w:p w14:paraId="35056689">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Theme="minorEastAsia" w:hAnsiTheme="minorEastAsia" w:eastAsiaTheme="minorEastAsia"/>
          <w:color w:val="auto"/>
          <w:sz w:val="24"/>
          <w:highlight w:val="none"/>
          <w:lang w:eastAsia="zh-CN"/>
        </w:rPr>
        <w:t>供应商</w:t>
      </w:r>
      <w:r>
        <w:rPr>
          <w:rFonts w:hint="eastAsia" w:ascii="宋体" w:hAnsi="宋体" w:cs="仿宋_GB2312"/>
          <w:color w:val="auto"/>
          <w:kern w:val="0"/>
          <w:sz w:val="24"/>
          <w:highlight w:val="none"/>
          <w:lang w:val="zh-CN"/>
        </w:rPr>
        <w:t>名称（</w:t>
      </w:r>
      <w:r>
        <w:rPr>
          <w:rFonts w:hint="eastAsia" w:ascii="宋体" w:hAnsi="宋体"/>
          <w:color w:val="auto"/>
          <w:sz w:val="24"/>
          <w:highlight w:val="none"/>
        </w:rPr>
        <w:t>公章/电子章</w:t>
      </w:r>
      <w:r>
        <w:rPr>
          <w:rFonts w:hint="eastAsia" w:ascii="宋体" w:hAnsi="宋体" w:cs="仿宋_GB2312"/>
          <w:color w:val="auto"/>
          <w:kern w:val="0"/>
          <w:sz w:val="24"/>
          <w:highlight w:val="none"/>
          <w:lang w:val="zh-CN"/>
        </w:rPr>
        <w:t>）：</w:t>
      </w:r>
    </w:p>
    <w:p w14:paraId="1B7A9C52">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0274D3BE">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日</w:t>
      </w:r>
    </w:p>
    <w:p w14:paraId="75447EA2">
      <w:pPr>
        <w:adjustRightInd w:val="0"/>
        <w:snapToGrid w:val="0"/>
        <w:spacing w:line="360" w:lineRule="auto"/>
        <w:ind w:right="480"/>
        <w:rPr>
          <w:rFonts w:hint="eastAsia" w:ascii="宋体" w:hAnsi="宋体"/>
          <w:b/>
          <w:color w:val="auto"/>
          <w:sz w:val="28"/>
          <w:highlight w:val="none"/>
        </w:rPr>
        <w:sectPr>
          <w:pgSz w:w="11906" w:h="16838"/>
          <w:pgMar w:top="1701" w:right="1448" w:bottom="1531" w:left="1418" w:header="851" w:footer="851" w:gutter="0"/>
          <w:pgNumType w:fmt="numberInDash"/>
          <w:cols w:space="720" w:num="1"/>
          <w:docGrid w:linePitch="312" w:charSpace="0"/>
        </w:sectPr>
      </w:pPr>
    </w:p>
    <w:p w14:paraId="7FFB2D20">
      <w:pPr>
        <w:adjustRightInd w:val="0"/>
        <w:snapToGrid w:val="0"/>
        <w:spacing w:line="360" w:lineRule="auto"/>
        <w:ind w:right="480"/>
        <w:rPr>
          <w:rFonts w:ascii="宋体"/>
          <w:b/>
          <w:color w:val="auto"/>
          <w:sz w:val="30"/>
          <w:szCs w:val="30"/>
          <w:highlight w:val="none"/>
        </w:rPr>
      </w:pPr>
      <w:r>
        <w:rPr>
          <w:rFonts w:hint="eastAsia" w:ascii="宋体" w:hAnsi="宋体"/>
          <w:b/>
          <w:color w:val="auto"/>
          <w:sz w:val="28"/>
          <w:highlight w:val="none"/>
        </w:rPr>
        <w:t>附件2</w:t>
      </w:r>
    </w:p>
    <w:p w14:paraId="3D75685B">
      <w:pPr>
        <w:spacing w:line="360" w:lineRule="auto"/>
        <w:ind w:firstLine="321" w:firstLineChars="100"/>
        <w:jc w:val="center"/>
        <w:rPr>
          <w:rFonts w:hAnsi="宋体"/>
          <w:b/>
          <w:color w:val="auto"/>
          <w:sz w:val="32"/>
          <w:szCs w:val="32"/>
          <w:highlight w:val="none"/>
          <w:u w:val="single"/>
        </w:rPr>
      </w:pPr>
      <w:bookmarkStart w:id="47" w:name="_Toc6870_WPSOffice_Level1"/>
      <w:bookmarkStart w:id="48" w:name="_Toc24373_WPSOffice_Level1"/>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bookmarkEnd w:id="47"/>
      <w:bookmarkEnd w:id="48"/>
    </w:p>
    <w:p w14:paraId="354404AD">
      <w:pPr>
        <w:snapToGrid w:val="0"/>
        <w:spacing w:before="120" w:beforeLines="50" w:after="50" w:line="360" w:lineRule="auto"/>
        <w:rPr>
          <w:rFonts w:ascii="宋体" w:hAnsi="宋体" w:cs="宋体"/>
          <w:color w:val="auto"/>
          <w:kern w:val="0"/>
          <w:sz w:val="24"/>
          <w:highlight w:val="none"/>
        </w:rPr>
      </w:pPr>
      <w:r>
        <w:rPr>
          <w:rFonts w:hint="eastAsia" w:ascii="宋体" w:hAnsi="宋体" w:cs="宋体"/>
          <w:color w:val="auto"/>
          <w:kern w:val="0"/>
          <w:sz w:val="24"/>
          <w:highlight w:val="none"/>
          <w:u w:val="single"/>
        </w:rPr>
        <w:t>台州市建设咨询有限公司</w:t>
      </w:r>
      <w:r>
        <w:rPr>
          <w:rFonts w:hint="eastAsia" w:ascii="宋体" w:hAnsi="宋体" w:cs="宋体"/>
          <w:color w:val="auto"/>
          <w:kern w:val="0"/>
          <w:sz w:val="24"/>
          <w:highlight w:val="none"/>
        </w:rPr>
        <w:t>：</w:t>
      </w:r>
    </w:p>
    <w:p w14:paraId="0EFA15B3">
      <w:pPr>
        <w:pStyle w:val="12"/>
        <w:spacing w:line="360" w:lineRule="auto"/>
        <w:ind w:firstLine="480" w:firstLineChars="200"/>
        <w:rPr>
          <w:rFonts w:hAnsi="宋体"/>
          <w:color w:val="auto"/>
          <w:sz w:val="24"/>
          <w:highlight w:val="none"/>
        </w:rPr>
      </w:pPr>
      <w:r>
        <w:rPr>
          <w:rFonts w:hAnsi="宋体"/>
          <w:color w:val="auto"/>
          <w:sz w:val="24"/>
          <w:highlight w:val="none"/>
          <w:u w:val="single"/>
        </w:rPr>
        <w:t xml:space="preserve">  （</w:t>
      </w:r>
      <w:r>
        <w:rPr>
          <w:rFonts w:hint="eastAsia" w:hAnsi="宋体"/>
          <w:color w:val="auto"/>
          <w:sz w:val="24"/>
          <w:highlight w:val="none"/>
          <w:u w:val="single"/>
          <w:lang w:eastAsia="zh-CN"/>
        </w:rPr>
        <w:t>供应商</w:t>
      </w:r>
      <w:r>
        <w:rPr>
          <w:rFonts w:hAnsi="宋体"/>
          <w:color w:val="auto"/>
          <w:sz w:val="24"/>
          <w:highlight w:val="none"/>
          <w:u w:val="single"/>
        </w:rPr>
        <w:t xml:space="preserve">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int="eastAsia" w:ascii="宋体" w:hAnsi="宋体" w:cs="宋体"/>
          <w:color w:val="auto"/>
          <w:kern w:val="0"/>
          <w:sz w:val="24"/>
          <w:highlight w:val="none"/>
          <w:u w:val="single"/>
          <w:lang w:eastAsia="zh-CN"/>
        </w:rPr>
        <w:t>台州市低效用地再开发试点项目（</w:t>
      </w:r>
      <w:r>
        <w:rPr>
          <w:rFonts w:hint="eastAsia" w:ascii="宋体" w:hAnsi="宋体" w:cs="宋体"/>
          <w:color w:val="auto"/>
          <w:kern w:val="0"/>
          <w:sz w:val="24"/>
          <w:highlight w:val="none"/>
          <w:u w:val="single"/>
          <w:lang w:eastAsia="zh-CN"/>
        </w:rPr>
        <w:t>标项</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eastAsia="zh-CN"/>
        </w:rPr>
        <w:t>）</w:t>
      </w:r>
      <w:r>
        <w:rPr>
          <w:rFonts w:hint="eastAsia" w:ascii="宋体" w:hAnsi="宋体"/>
          <w:color w:val="auto"/>
          <w:kern w:val="0"/>
          <w:sz w:val="24"/>
          <w:highlight w:val="none"/>
          <w:u w:val="single"/>
          <w:lang w:val="en-US" w:eastAsia="zh-CN"/>
        </w:rPr>
        <w:t>(项目名称）</w:t>
      </w:r>
      <w:r>
        <w:rPr>
          <w:rFonts w:hAnsi="宋体"/>
          <w:color w:val="auto"/>
          <w:sz w:val="24"/>
          <w:highlight w:val="none"/>
        </w:rPr>
        <w:t>项目</w:t>
      </w:r>
      <w:r>
        <w:rPr>
          <w:rFonts w:hint="eastAsia" w:hAnsi="宋体" w:cs="宋体"/>
          <w:color w:val="auto"/>
          <w:kern w:val="0"/>
          <w:sz w:val="24"/>
          <w:highlight w:val="none"/>
        </w:rPr>
        <w:t>（编号为</w:t>
      </w:r>
      <w:r>
        <w:rPr>
          <w:rFonts w:hint="eastAsia" w:hAnsi="宋体" w:cs="宋体"/>
          <w:color w:val="auto"/>
          <w:kern w:val="0"/>
          <w:sz w:val="24"/>
          <w:highlight w:val="none"/>
          <w:u w:val="single"/>
        </w:rPr>
        <w:t xml:space="preserve">           </w:t>
      </w:r>
      <w:r>
        <w:rPr>
          <w:rFonts w:hint="eastAsia" w:hAnsi="宋体" w:cs="宋体"/>
          <w:color w:val="auto"/>
          <w:kern w:val="0"/>
          <w:sz w:val="24"/>
          <w:highlight w:val="none"/>
        </w:rPr>
        <w:t>）</w:t>
      </w:r>
      <w:r>
        <w:rPr>
          <w:rFonts w:hAnsi="宋体"/>
          <w:color w:val="auto"/>
          <w:sz w:val="24"/>
          <w:highlight w:val="none"/>
        </w:rPr>
        <w:t>的采购活动，并代表我方全权办理针对上述项目的投标、开标、评标、签约等具体事务和签署相关文件。</w:t>
      </w:r>
      <w:r>
        <w:rPr>
          <w:rFonts w:hint="eastAsia" w:hAnsi="宋体"/>
          <w:color w:val="auto"/>
          <w:sz w:val="24"/>
          <w:highlight w:val="none"/>
        </w:rPr>
        <w:t>我方对全权代表的签字事项负全部责任。</w:t>
      </w:r>
    </w:p>
    <w:p w14:paraId="18B7434B">
      <w:pPr>
        <w:pStyle w:val="12"/>
        <w:spacing w:line="360" w:lineRule="auto"/>
        <w:ind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14:paraId="7CB5B418">
      <w:pPr>
        <w:pStyle w:val="12"/>
        <w:spacing w:line="360" w:lineRule="auto"/>
        <w:ind w:firstLine="480" w:firstLineChars="200"/>
        <w:rPr>
          <w:rFonts w:hAnsi="宋体"/>
          <w:color w:val="auto"/>
          <w:sz w:val="24"/>
          <w:highlight w:val="none"/>
        </w:rPr>
      </w:pPr>
      <w:r>
        <w:rPr>
          <w:rFonts w:hint="eastAsia" w:hAnsi="宋体"/>
          <w:color w:val="auto"/>
          <w:sz w:val="24"/>
          <w:highlight w:val="none"/>
        </w:rPr>
        <w:t>全权代表无转委托权，特此委托。</w:t>
      </w:r>
    </w:p>
    <w:p w14:paraId="53D1E675">
      <w:pPr>
        <w:spacing w:line="360" w:lineRule="auto"/>
        <w:rPr>
          <w:color w:val="auto"/>
          <w:sz w:val="24"/>
          <w:highlight w:val="none"/>
        </w:rPr>
      </w:pPr>
    </w:p>
    <w:p w14:paraId="0EC5DD98">
      <w:pPr>
        <w:spacing w:line="360" w:lineRule="auto"/>
        <w:rPr>
          <w:color w:val="auto"/>
          <w:sz w:val="24"/>
          <w:highlight w:val="none"/>
        </w:rPr>
      </w:pPr>
      <w:r>
        <w:rPr>
          <w:rFonts w:hint="eastAsia" w:ascii="宋体"/>
          <w:color w:val="auto"/>
          <w:sz w:val="24"/>
          <w:highlight w:val="none"/>
        </w:rPr>
        <w:t>法定代表人签字或盖章：</w:t>
      </w:r>
    </w:p>
    <w:p w14:paraId="6AA05EFF">
      <w:pPr>
        <w:spacing w:line="360" w:lineRule="auto"/>
        <w:rPr>
          <w:color w:val="auto"/>
          <w:sz w:val="24"/>
          <w:highlight w:val="none"/>
        </w:rPr>
      </w:pPr>
      <w:r>
        <w:rPr>
          <w:rFonts w:hint="eastAsia" w:ascii="宋体"/>
          <w:color w:val="auto"/>
          <w:sz w:val="24"/>
          <w:highlight w:val="none"/>
          <w:lang w:eastAsia="zh-CN"/>
        </w:rPr>
        <w:t>供应商</w:t>
      </w:r>
      <w:r>
        <w:rPr>
          <w:rFonts w:hint="eastAsia" w:ascii="宋体"/>
          <w:color w:val="auto"/>
          <w:sz w:val="24"/>
          <w:highlight w:val="none"/>
        </w:rPr>
        <w:t>全称（</w:t>
      </w:r>
      <w:r>
        <w:rPr>
          <w:rFonts w:hint="eastAsia" w:ascii="宋体" w:hAnsi="宋体"/>
          <w:color w:val="auto"/>
          <w:sz w:val="24"/>
          <w:highlight w:val="none"/>
        </w:rPr>
        <w:t>公章/电子章</w:t>
      </w:r>
      <w:r>
        <w:rPr>
          <w:rFonts w:hint="eastAsia" w:ascii="宋体"/>
          <w:color w:val="auto"/>
          <w:sz w:val="24"/>
          <w:highlight w:val="none"/>
        </w:rPr>
        <w:t>）：                              日期：</w:t>
      </w:r>
    </w:p>
    <w:p w14:paraId="045A32F3">
      <w:pPr>
        <w:spacing w:line="360" w:lineRule="auto"/>
        <w:rPr>
          <w:color w:val="auto"/>
          <w:sz w:val="24"/>
          <w:highlight w:val="none"/>
        </w:rPr>
      </w:pPr>
    </w:p>
    <w:p w14:paraId="019DFC62">
      <w:pPr>
        <w:spacing w:line="360" w:lineRule="auto"/>
        <w:rPr>
          <w:b/>
          <w:color w:val="auto"/>
          <w:sz w:val="24"/>
          <w:highlight w:val="none"/>
        </w:rPr>
      </w:pPr>
      <w:r>
        <w:rPr>
          <w:rFonts w:hint="eastAsia" w:ascii="宋体"/>
          <w:b/>
          <w:color w:val="auto"/>
          <w:sz w:val="24"/>
          <w:highlight w:val="none"/>
        </w:rPr>
        <w:t>附：</w:t>
      </w: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ADF3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02F59E64">
            <w:pPr>
              <w:spacing w:line="360" w:lineRule="auto"/>
              <w:rPr>
                <w:rFonts w:ascii="宋体"/>
                <w:b/>
                <w:color w:val="auto"/>
                <w:sz w:val="24"/>
                <w:highlight w:val="none"/>
              </w:rPr>
            </w:pPr>
          </w:p>
          <w:p w14:paraId="3E416A4C">
            <w:pPr>
              <w:spacing w:line="360" w:lineRule="auto"/>
              <w:ind w:firstLine="361" w:firstLineChars="150"/>
              <w:rPr>
                <w:rFonts w:hint="eastAsia" w:ascii="宋体" w:eastAsia="宋体"/>
                <w:b/>
                <w:color w:val="auto"/>
                <w:sz w:val="24"/>
                <w:highlight w:val="none"/>
                <w:lang w:val="en-US" w:eastAsia="zh-CN"/>
              </w:rPr>
            </w:pPr>
            <w:r>
              <w:rPr>
                <w:rFonts w:hint="eastAsia" w:ascii="宋体"/>
                <w:b/>
                <w:color w:val="auto"/>
                <w:sz w:val="24"/>
                <w:highlight w:val="none"/>
              </w:rPr>
              <w:t>法定代表身份证</w:t>
            </w:r>
            <w:r>
              <w:rPr>
                <w:rFonts w:hint="eastAsia" w:ascii="宋体"/>
                <w:b/>
                <w:color w:val="auto"/>
                <w:sz w:val="24"/>
                <w:highlight w:val="none"/>
                <w:lang w:val="en-US" w:eastAsia="zh-CN"/>
              </w:rPr>
              <w:t>正反面</w:t>
            </w:r>
          </w:p>
        </w:tc>
      </w:tr>
    </w:tbl>
    <w:p w14:paraId="0AC09C92">
      <w:pPr>
        <w:spacing w:line="360" w:lineRule="auto"/>
        <w:rPr>
          <w:color w:val="auto"/>
          <w:sz w:val="24"/>
          <w:highlight w:val="none"/>
        </w:rPr>
      </w:pPr>
      <w:r>
        <w:rPr>
          <w:rFonts w:hint="eastAsia" w:ascii="宋体"/>
          <w:color w:val="auto"/>
          <w:sz w:val="24"/>
          <w:highlight w:val="none"/>
        </w:rPr>
        <w:t xml:space="preserve">法定代表人姓名：                                 </w:t>
      </w:r>
    </w:p>
    <w:p w14:paraId="39BB4FC9">
      <w:pPr>
        <w:spacing w:line="360" w:lineRule="auto"/>
        <w:rPr>
          <w:color w:val="auto"/>
          <w:sz w:val="24"/>
          <w:highlight w:val="none"/>
        </w:rPr>
      </w:pPr>
      <w:r>
        <w:rPr>
          <w:rFonts w:hint="eastAsia" w:ascii="宋体"/>
          <w:color w:val="auto"/>
          <w:sz w:val="24"/>
          <w:highlight w:val="none"/>
        </w:rPr>
        <w:t>传真：</w:t>
      </w:r>
    </w:p>
    <w:p w14:paraId="2A6CD1CF">
      <w:pPr>
        <w:spacing w:line="360" w:lineRule="auto"/>
        <w:rPr>
          <w:rFonts w:ascii="宋体"/>
          <w:color w:val="auto"/>
          <w:sz w:val="24"/>
          <w:highlight w:val="none"/>
        </w:rPr>
      </w:pPr>
      <w:r>
        <w:rPr>
          <w:rFonts w:hint="eastAsia" w:ascii="宋体"/>
          <w:color w:val="auto"/>
          <w:sz w:val="24"/>
          <w:highlight w:val="none"/>
        </w:rPr>
        <w:t>电话：</w:t>
      </w:r>
    </w:p>
    <w:p w14:paraId="6C07DDBD">
      <w:pPr>
        <w:spacing w:line="360" w:lineRule="auto"/>
        <w:rPr>
          <w:color w:val="auto"/>
          <w:sz w:val="24"/>
          <w:highlight w:val="none"/>
        </w:rPr>
      </w:pPr>
      <w:r>
        <w:rPr>
          <w:rFonts w:hint="eastAsia" w:ascii="宋体"/>
          <w:color w:val="auto"/>
          <w:sz w:val="24"/>
          <w:highlight w:val="none"/>
        </w:rPr>
        <w:t>详细通讯地址：</w:t>
      </w:r>
    </w:p>
    <w:p w14:paraId="1ABC3515">
      <w:pPr>
        <w:spacing w:line="360" w:lineRule="auto"/>
        <w:rPr>
          <w:rFonts w:ascii="宋体"/>
          <w:color w:val="auto"/>
          <w:sz w:val="24"/>
          <w:highlight w:val="none"/>
        </w:rPr>
      </w:pPr>
      <w:r>
        <w:rPr>
          <w:rFonts w:hint="eastAsia" w:ascii="宋体"/>
          <w:color w:val="auto"/>
          <w:sz w:val="24"/>
          <w:highlight w:val="none"/>
        </w:rPr>
        <w:t>邮政编码：</w:t>
      </w:r>
    </w:p>
    <w:p w14:paraId="3D079E1D">
      <w:pPr>
        <w:spacing w:line="360" w:lineRule="auto"/>
        <w:rPr>
          <w:b/>
          <w:color w:val="auto"/>
          <w:sz w:val="24"/>
          <w:highlight w:val="none"/>
        </w:rPr>
      </w:pP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2BF9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1B955DCA">
            <w:pPr>
              <w:spacing w:line="360" w:lineRule="auto"/>
              <w:rPr>
                <w:rFonts w:ascii="宋体"/>
                <w:b/>
                <w:color w:val="auto"/>
                <w:sz w:val="24"/>
                <w:highlight w:val="none"/>
              </w:rPr>
            </w:pPr>
          </w:p>
          <w:p w14:paraId="3CF81938">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w:t>
            </w:r>
            <w:r>
              <w:rPr>
                <w:rFonts w:hint="eastAsia" w:ascii="宋体"/>
                <w:b/>
                <w:color w:val="auto"/>
                <w:sz w:val="24"/>
                <w:highlight w:val="none"/>
                <w:lang w:val="en-US" w:eastAsia="zh-CN"/>
              </w:rPr>
              <w:t>正反面</w:t>
            </w:r>
          </w:p>
        </w:tc>
      </w:tr>
    </w:tbl>
    <w:p w14:paraId="0BFD957F">
      <w:pPr>
        <w:spacing w:line="360" w:lineRule="auto"/>
        <w:rPr>
          <w:rFonts w:ascii="宋体"/>
          <w:color w:val="auto"/>
          <w:sz w:val="24"/>
          <w:highlight w:val="none"/>
        </w:rPr>
      </w:pPr>
      <w:r>
        <w:rPr>
          <w:rFonts w:hint="eastAsia" w:ascii="宋体"/>
          <w:color w:val="auto"/>
          <w:sz w:val="24"/>
          <w:highlight w:val="none"/>
        </w:rPr>
        <w:t xml:space="preserve">全权代表姓名：       </w:t>
      </w:r>
    </w:p>
    <w:p w14:paraId="71DF7425">
      <w:pPr>
        <w:spacing w:line="360" w:lineRule="auto"/>
        <w:rPr>
          <w:color w:val="auto"/>
          <w:sz w:val="24"/>
          <w:highlight w:val="none"/>
        </w:rPr>
      </w:pPr>
      <w:r>
        <w:rPr>
          <w:rFonts w:hint="eastAsia" w:ascii="宋体"/>
          <w:color w:val="auto"/>
          <w:sz w:val="24"/>
          <w:highlight w:val="none"/>
        </w:rPr>
        <w:t xml:space="preserve">职务：                           </w:t>
      </w:r>
    </w:p>
    <w:p w14:paraId="6C014E17">
      <w:pPr>
        <w:spacing w:line="360" w:lineRule="auto"/>
        <w:rPr>
          <w:color w:val="auto"/>
          <w:sz w:val="24"/>
          <w:highlight w:val="none"/>
        </w:rPr>
      </w:pPr>
      <w:r>
        <w:rPr>
          <w:rFonts w:hint="eastAsia" w:ascii="宋体"/>
          <w:color w:val="auto"/>
          <w:sz w:val="24"/>
          <w:highlight w:val="none"/>
        </w:rPr>
        <w:t>传真：</w:t>
      </w:r>
    </w:p>
    <w:p w14:paraId="4E74AE1F">
      <w:pPr>
        <w:spacing w:line="360" w:lineRule="auto"/>
        <w:rPr>
          <w:rFonts w:ascii="宋体"/>
          <w:color w:val="auto"/>
          <w:sz w:val="24"/>
          <w:highlight w:val="none"/>
        </w:rPr>
      </w:pPr>
      <w:r>
        <w:rPr>
          <w:rFonts w:hint="eastAsia" w:ascii="宋体"/>
          <w:color w:val="auto"/>
          <w:sz w:val="24"/>
          <w:highlight w:val="none"/>
        </w:rPr>
        <w:t>电话：</w:t>
      </w:r>
    </w:p>
    <w:p w14:paraId="2B93A81D">
      <w:pPr>
        <w:spacing w:line="360" w:lineRule="auto"/>
        <w:rPr>
          <w:color w:val="auto"/>
          <w:sz w:val="24"/>
          <w:highlight w:val="none"/>
        </w:rPr>
      </w:pPr>
      <w:r>
        <w:rPr>
          <w:rFonts w:hint="eastAsia" w:ascii="宋体"/>
          <w:color w:val="auto"/>
          <w:sz w:val="24"/>
          <w:highlight w:val="none"/>
        </w:rPr>
        <w:t>详细通讯地址：</w:t>
      </w:r>
    </w:p>
    <w:p w14:paraId="101690D2">
      <w:pPr>
        <w:spacing w:line="360" w:lineRule="auto"/>
        <w:rPr>
          <w:rFonts w:ascii="宋体"/>
          <w:color w:val="auto"/>
          <w:sz w:val="24"/>
          <w:highlight w:val="none"/>
        </w:rPr>
      </w:pPr>
      <w:r>
        <w:rPr>
          <w:rFonts w:hint="eastAsia" w:ascii="宋体"/>
          <w:color w:val="auto"/>
          <w:sz w:val="24"/>
          <w:highlight w:val="none"/>
        </w:rPr>
        <w:t>邮政编码：</w:t>
      </w:r>
    </w:p>
    <w:p w14:paraId="138F5EA8">
      <w:pPr>
        <w:rPr>
          <w:rFonts w:ascii="宋体" w:hAnsi="宋体"/>
          <w:b/>
          <w:color w:val="auto"/>
          <w:sz w:val="28"/>
          <w:highlight w:val="none"/>
        </w:rPr>
      </w:pPr>
      <w:r>
        <w:rPr>
          <w:rFonts w:hint="eastAsia" w:ascii="宋体" w:hAnsi="宋体"/>
          <w:b/>
          <w:color w:val="auto"/>
          <w:sz w:val="28"/>
          <w:highlight w:val="none"/>
        </w:rPr>
        <w:br w:type="page"/>
      </w:r>
    </w:p>
    <w:p w14:paraId="206500A1">
      <w:pPr>
        <w:rPr>
          <w:rFonts w:ascii="宋体" w:hAnsi="宋体"/>
          <w:b/>
          <w:color w:val="auto"/>
          <w:sz w:val="28"/>
          <w:highlight w:val="none"/>
        </w:rPr>
      </w:pPr>
      <w:bookmarkStart w:id="49" w:name="_Toc26389_WPSOffice_Level1"/>
      <w:bookmarkStart w:id="50" w:name="_Toc12331_WPSOffice_Level1"/>
      <w:bookmarkStart w:id="51" w:name="_Toc16825_WPSOffice_Level1"/>
      <w:r>
        <w:rPr>
          <w:rFonts w:hint="eastAsia" w:ascii="宋体" w:hAnsi="宋体"/>
          <w:b/>
          <w:color w:val="auto"/>
          <w:sz w:val="28"/>
          <w:highlight w:val="none"/>
        </w:rPr>
        <w:t>附件3</w:t>
      </w:r>
    </w:p>
    <w:p w14:paraId="0A29D738">
      <w:pPr>
        <w:widowControl/>
        <w:adjustRightInd w:val="0"/>
        <w:snapToGrid w:val="0"/>
        <w:jc w:val="center"/>
        <w:rPr>
          <w:rFonts w:ascii="宋体" w:hAnsi="宋体"/>
          <w:b/>
          <w:color w:val="auto"/>
          <w:kern w:val="0"/>
          <w:sz w:val="32"/>
          <w:szCs w:val="32"/>
          <w:highlight w:val="none"/>
        </w:rPr>
      </w:pPr>
      <w:r>
        <w:rPr>
          <w:rFonts w:hint="eastAsia" w:ascii="宋体" w:hAnsi="宋体"/>
          <w:b/>
          <w:color w:val="auto"/>
          <w:kern w:val="0"/>
          <w:sz w:val="32"/>
          <w:szCs w:val="32"/>
          <w:highlight w:val="none"/>
        </w:rPr>
        <w:t>具有</w:t>
      </w:r>
      <w:r>
        <w:rPr>
          <w:rFonts w:ascii="宋体" w:hAnsi="宋体"/>
          <w:b/>
          <w:color w:val="auto"/>
          <w:kern w:val="0"/>
          <w:sz w:val="32"/>
          <w:szCs w:val="32"/>
          <w:highlight w:val="none"/>
        </w:rPr>
        <w:t>依法缴纳税收和</w:t>
      </w:r>
      <w:r>
        <w:rPr>
          <w:rFonts w:hint="eastAsia" w:ascii="宋体" w:hAnsi="宋体"/>
          <w:b/>
          <w:color w:val="auto"/>
          <w:kern w:val="0"/>
          <w:sz w:val="32"/>
          <w:szCs w:val="32"/>
          <w:highlight w:val="none"/>
        </w:rPr>
        <w:t>社会保障资金证明</w:t>
      </w:r>
      <w:r>
        <w:rPr>
          <w:rFonts w:ascii="宋体" w:hAnsi="宋体"/>
          <w:b/>
          <w:color w:val="auto"/>
          <w:kern w:val="0"/>
          <w:sz w:val="32"/>
          <w:szCs w:val="32"/>
          <w:highlight w:val="none"/>
        </w:rPr>
        <w:t>的承诺函</w:t>
      </w:r>
    </w:p>
    <w:p w14:paraId="1F21F00D">
      <w:pPr>
        <w:widowControl/>
        <w:adjustRightInd w:val="0"/>
        <w:snapToGrid w:val="0"/>
        <w:jc w:val="center"/>
        <w:rPr>
          <w:rFonts w:ascii="宋体" w:hAnsi="宋体"/>
          <w:b/>
          <w:color w:val="auto"/>
          <w:kern w:val="0"/>
          <w:sz w:val="32"/>
          <w:szCs w:val="32"/>
          <w:highlight w:val="none"/>
        </w:rPr>
      </w:pPr>
    </w:p>
    <w:p w14:paraId="3B9037EA">
      <w:pPr>
        <w:widowControl/>
        <w:adjustRightInd w:val="0"/>
        <w:snapToGrid w:val="0"/>
        <w:jc w:val="left"/>
        <w:rPr>
          <w:rFonts w:ascii="宋体" w:hAnsi="宋体"/>
          <w:color w:val="auto"/>
          <w:kern w:val="0"/>
          <w:sz w:val="28"/>
          <w:szCs w:val="32"/>
          <w:highlight w:val="none"/>
        </w:rPr>
      </w:pPr>
      <w:r>
        <w:rPr>
          <w:rFonts w:hint="eastAsia" w:ascii="宋体" w:hAnsi="宋体"/>
          <w:color w:val="auto"/>
          <w:kern w:val="0"/>
          <w:sz w:val="28"/>
          <w:szCs w:val="32"/>
          <w:highlight w:val="none"/>
        </w:rPr>
        <w:t>（如依法免税的，应提供相应文件证明其依法免税；如依法不需要缴纳社会保障资金的，应提供相应文件证明其依法不需要缴纳社会保障资金。）</w:t>
      </w:r>
    </w:p>
    <w:p w14:paraId="1D77D308">
      <w:pPr>
        <w:adjustRightInd w:val="0"/>
        <w:snapToGrid w:val="0"/>
        <w:jc w:val="left"/>
        <w:rPr>
          <w:rFonts w:ascii="宋体" w:hAnsi="宋体"/>
          <w:b/>
          <w:color w:val="auto"/>
          <w:kern w:val="0"/>
          <w:sz w:val="32"/>
          <w:szCs w:val="32"/>
          <w:highlight w:val="none"/>
        </w:rPr>
      </w:pPr>
    </w:p>
    <w:p w14:paraId="322ECA73">
      <w:pPr>
        <w:widowControl/>
        <w:shd w:val="clear" w:color="auto" w:fill="FFFFFF"/>
        <w:spacing w:before="100" w:beforeAutospacing="1" w:after="100" w:afterAutospacing="1" w:line="480" w:lineRule="auto"/>
        <w:jc w:val="left"/>
        <w:rPr>
          <w:rFonts w:ascii="宋体" w:hAnsi="宋体"/>
          <w:color w:val="auto"/>
          <w:kern w:val="0"/>
          <w:sz w:val="24"/>
          <w:highlight w:val="none"/>
        </w:rPr>
      </w:pPr>
      <w:r>
        <w:rPr>
          <w:rFonts w:hint="eastAsia" w:ascii="宋体" w:hAnsi="宋体"/>
          <w:color w:val="auto"/>
          <w:kern w:val="0"/>
          <w:sz w:val="24"/>
          <w:highlight w:val="none"/>
          <w:u w:val="single"/>
        </w:rPr>
        <w:t>台州市自然资源和规划局</w:t>
      </w:r>
      <w:r>
        <w:rPr>
          <w:rFonts w:ascii="宋体" w:hAnsi="宋体"/>
          <w:color w:val="auto"/>
          <w:kern w:val="0"/>
          <w:sz w:val="24"/>
          <w:highlight w:val="none"/>
        </w:rPr>
        <w:t>：</w:t>
      </w:r>
    </w:p>
    <w:p w14:paraId="1A70485B">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w:t>
      </w:r>
      <w:r>
        <w:rPr>
          <w:rFonts w:hint="eastAsia" w:ascii="宋体" w:hAnsi="宋体"/>
          <w:color w:val="auto"/>
          <w:kern w:val="0"/>
          <w:sz w:val="24"/>
          <w:highlight w:val="none"/>
        </w:rPr>
        <w:t>具有</w:t>
      </w:r>
      <w:r>
        <w:rPr>
          <w:rFonts w:ascii="宋体" w:hAnsi="宋体"/>
          <w:color w:val="auto"/>
          <w:kern w:val="0"/>
          <w:sz w:val="24"/>
          <w:highlight w:val="none"/>
        </w:rPr>
        <w:t>依法缴纳税收和</w:t>
      </w:r>
      <w:r>
        <w:rPr>
          <w:rFonts w:hint="eastAsia" w:ascii="宋体" w:hAnsi="宋体"/>
          <w:color w:val="auto"/>
          <w:kern w:val="0"/>
          <w:sz w:val="24"/>
          <w:highlight w:val="none"/>
        </w:rPr>
        <w:t>社会保障资金</w:t>
      </w:r>
      <w:r>
        <w:rPr>
          <w:rFonts w:ascii="宋体" w:hAnsi="宋体"/>
          <w:color w:val="auto"/>
          <w:kern w:val="0"/>
          <w:sz w:val="24"/>
          <w:highlight w:val="none"/>
        </w:rPr>
        <w:t>。如本声明失实，我单位自愿承担被取消成交资格等责任。</w:t>
      </w:r>
    </w:p>
    <w:p w14:paraId="3DE4834A">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4A3486BD">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Theme="minorEastAsia" w:hAnsiTheme="minorEastAsia" w:eastAsiaTheme="minorEastAsia"/>
          <w:color w:val="auto"/>
          <w:sz w:val="24"/>
          <w:highlight w:val="none"/>
          <w:lang w:eastAsia="zh-CN"/>
        </w:rPr>
        <w:t>供应商</w:t>
      </w:r>
      <w:r>
        <w:rPr>
          <w:rFonts w:hint="eastAsia" w:ascii="宋体" w:hAnsi="宋体" w:cs="仿宋_GB2312"/>
          <w:color w:val="auto"/>
          <w:kern w:val="0"/>
          <w:sz w:val="24"/>
          <w:highlight w:val="none"/>
          <w:lang w:val="zh-CN"/>
        </w:rPr>
        <w:t>名称（</w:t>
      </w:r>
      <w:r>
        <w:rPr>
          <w:rFonts w:hint="eastAsia" w:ascii="宋体" w:hAnsi="宋体"/>
          <w:color w:val="auto"/>
          <w:sz w:val="24"/>
          <w:highlight w:val="none"/>
        </w:rPr>
        <w:t>公章/电子章</w:t>
      </w:r>
      <w:r>
        <w:rPr>
          <w:rFonts w:hint="eastAsia" w:ascii="宋体" w:hAnsi="宋体" w:cs="仿宋_GB2312"/>
          <w:color w:val="auto"/>
          <w:kern w:val="0"/>
          <w:sz w:val="24"/>
          <w:highlight w:val="none"/>
          <w:lang w:val="zh-CN"/>
        </w:rPr>
        <w:t>）：</w:t>
      </w:r>
    </w:p>
    <w:p w14:paraId="0F87571B">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72142382">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日</w:t>
      </w:r>
    </w:p>
    <w:p w14:paraId="6F9ABE05">
      <w:pPr>
        <w:rPr>
          <w:rFonts w:ascii="宋体" w:hAnsi="宋体"/>
          <w:b/>
          <w:color w:val="auto"/>
          <w:sz w:val="28"/>
          <w:highlight w:val="none"/>
        </w:rPr>
      </w:pPr>
      <w:r>
        <w:rPr>
          <w:rFonts w:hint="eastAsia" w:ascii="宋体" w:hAnsi="宋体"/>
          <w:b/>
          <w:color w:val="auto"/>
          <w:sz w:val="28"/>
          <w:highlight w:val="none"/>
        </w:rPr>
        <w:br w:type="page"/>
      </w:r>
      <w:r>
        <w:rPr>
          <w:rFonts w:hint="eastAsia" w:ascii="宋体" w:hAnsi="宋体"/>
          <w:b/>
          <w:color w:val="auto"/>
          <w:sz w:val="28"/>
          <w:highlight w:val="none"/>
        </w:rPr>
        <w:t>附件4</w:t>
      </w:r>
    </w:p>
    <w:p w14:paraId="5992A61E">
      <w:pPr>
        <w:jc w:val="center"/>
        <w:rPr>
          <w:rFonts w:ascii="宋体" w:hAnsi="宋体"/>
          <w:b/>
          <w:color w:val="auto"/>
          <w:kern w:val="0"/>
          <w:sz w:val="32"/>
          <w:szCs w:val="32"/>
          <w:highlight w:val="none"/>
        </w:rPr>
      </w:pPr>
      <w:r>
        <w:rPr>
          <w:rFonts w:ascii="宋体" w:hAnsi="宋体"/>
          <w:b/>
          <w:color w:val="auto"/>
          <w:kern w:val="0"/>
          <w:sz w:val="32"/>
          <w:szCs w:val="32"/>
          <w:highlight w:val="none"/>
        </w:rPr>
        <w:t>具有良好的商业信誉和健全的财务会计制度的承诺函</w:t>
      </w:r>
    </w:p>
    <w:p w14:paraId="66AFB92B">
      <w:pPr>
        <w:jc w:val="center"/>
        <w:rPr>
          <w:rFonts w:ascii="宋体" w:hAnsi="宋体"/>
          <w:b/>
          <w:color w:val="auto"/>
          <w:kern w:val="0"/>
          <w:sz w:val="32"/>
          <w:szCs w:val="32"/>
          <w:highlight w:val="none"/>
        </w:rPr>
      </w:pPr>
    </w:p>
    <w:p w14:paraId="169B9D4F">
      <w:pPr>
        <w:widowControl/>
        <w:shd w:val="clear" w:color="auto" w:fill="FFFFFF"/>
        <w:spacing w:before="100" w:beforeAutospacing="1" w:after="100" w:afterAutospacing="1" w:line="480" w:lineRule="auto"/>
        <w:jc w:val="left"/>
        <w:rPr>
          <w:rFonts w:ascii="宋体" w:hAnsi="宋体"/>
          <w:color w:val="auto"/>
          <w:kern w:val="0"/>
          <w:sz w:val="24"/>
          <w:highlight w:val="none"/>
        </w:rPr>
      </w:pPr>
      <w:r>
        <w:rPr>
          <w:rFonts w:hint="eastAsia" w:ascii="宋体" w:hAnsi="宋体"/>
          <w:color w:val="auto"/>
          <w:kern w:val="0"/>
          <w:sz w:val="24"/>
          <w:highlight w:val="none"/>
          <w:u w:val="single"/>
        </w:rPr>
        <w:t>台州市自然资源和规划局</w:t>
      </w:r>
      <w:r>
        <w:rPr>
          <w:rFonts w:ascii="宋体" w:hAnsi="宋体"/>
          <w:color w:val="auto"/>
          <w:kern w:val="0"/>
          <w:sz w:val="24"/>
          <w:highlight w:val="none"/>
        </w:rPr>
        <w:t>：</w:t>
      </w:r>
    </w:p>
    <w:p w14:paraId="79CF5424">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我单位具有良好的商业信誉和健全的财务会计制度。如本声明失实，我单位自愿承担被取消成交资格等责任。</w:t>
      </w:r>
    </w:p>
    <w:p w14:paraId="11F43528">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51894F2F">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Theme="minorEastAsia" w:hAnsiTheme="minorEastAsia" w:eastAsiaTheme="minorEastAsia"/>
          <w:color w:val="auto"/>
          <w:sz w:val="24"/>
          <w:highlight w:val="none"/>
          <w:lang w:eastAsia="zh-CN"/>
        </w:rPr>
        <w:t>供应商</w:t>
      </w:r>
      <w:r>
        <w:rPr>
          <w:rFonts w:hint="eastAsia" w:ascii="宋体" w:hAnsi="宋体" w:cs="仿宋_GB2312"/>
          <w:color w:val="auto"/>
          <w:kern w:val="0"/>
          <w:sz w:val="24"/>
          <w:highlight w:val="none"/>
          <w:lang w:val="zh-CN"/>
        </w:rPr>
        <w:t>名称（</w:t>
      </w:r>
      <w:r>
        <w:rPr>
          <w:rFonts w:hint="eastAsia" w:ascii="宋体" w:hAnsi="宋体"/>
          <w:color w:val="auto"/>
          <w:sz w:val="24"/>
          <w:highlight w:val="none"/>
        </w:rPr>
        <w:t>公章/电子章</w:t>
      </w:r>
      <w:r>
        <w:rPr>
          <w:rFonts w:hint="eastAsia" w:ascii="宋体" w:hAnsi="宋体" w:cs="仿宋_GB2312"/>
          <w:color w:val="auto"/>
          <w:kern w:val="0"/>
          <w:sz w:val="24"/>
          <w:highlight w:val="none"/>
          <w:lang w:val="zh-CN"/>
        </w:rPr>
        <w:t>）：</w:t>
      </w:r>
    </w:p>
    <w:p w14:paraId="338D14C3">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72A8A3FC">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日</w:t>
      </w:r>
    </w:p>
    <w:p w14:paraId="492D991B">
      <w:pPr>
        <w:jc w:val="center"/>
        <w:rPr>
          <w:rFonts w:ascii="宋体" w:hAnsi="宋体"/>
          <w:b/>
          <w:color w:val="auto"/>
          <w:kern w:val="0"/>
          <w:sz w:val="32"/>
          <w:szCs w:val="32"/>
          <w:highlight w:val="none"/>
        </w:rPr>
      </w:pPr>
    </w:p>
    <w:p w14:paraId="099C3A68">
      <w:pPr>
        <w:jc w:val="center"/>
        <w:rPr>
          <w:rFonts w:ascii="宋体" w:hAnsi="宋体"/>
          <w:b/>
          <w:color w:val="auto"/>
          <w:kern w:val="0"/>
          <w:sz w:val="32"/>
          <w:szCs w:val="32"/>
          <w:highlight w:val="none"/>
        </w:rPr>
      </w:pPr>
    </w:p>
    <w:p w14:paraId="1AF645D8">
      <w:pPr>
        <w:rPr>
          <w:rFonts w:ascii="宋体" w:hAnsi="宋体"/>
          <w:b/>
          <w:color w:val="auto"/>
          <w:kern w:val="0"/>
          <w:sz w:val="32"/>
          <w:szCs w:val="32"/>
          <w:highlight w:val="none"/>
        </w:rPr>
      </w:pPr>
      <w:r>
        <w:rPr>
          <w:rFonts w:ascii="宋体" w:hAnsi="宋体"/>
          <w:b/>
          <w:color w:val="auto"/>
          <w:kern w:val="0"/>
          <w:sz w:val="32"/>
          <w:szCs w:val="32"/>
          <w:highlight w:val="none"/>
        </w:rPr>
        <w:br w:type="page"/>
      </w:r>
    </w:p>
    <w:p w14:paraId="493A0157">
      <w:pPr>
        <w:jc w:val="left"/>
        <w:rPr>
          <w:rFonts w:ascii="宋体" w:hAnsi="宋体"/>
          <w:b/>
          <w:color w:val="auto"/>
          <w:kern w:val="0"/>
          <w:sz w:val="32"/>
          <w:szCs w:val="32"/>
          <w:highlight w:val="none"/>
        </w:rPr>
      </w:pPr>
      <w:r>
        <w:rPr>
          <w:rFonts w:hint="eastAsia" w:ascii="宋体" w:hAnsi="宋体"/>
          <w:b/>
          <w:color w:val="auto"/>
          <w:kern w:val="0"/>
          <w:sz w:val="32"/>
          <w:szCs w:val="32"/>
          <w:highlight w:val="none"/>
        </w:rPr>
        <w:t>附件5</w:t>
      </w:r>
    </w:p>
    <w:p w14:paraId="61CDDE51">
      <w:pPr>
        <w:jc w:val="center"/>
        <w:rPr>
          <w:rFonts w:ascii="宋体" w:hAnsi="宋体"/>
          <w:b/>
          <w:color w:val="auto"/>
          <w:sz w:val="28"/>
          <w:highlight w:val="none"/>
        </w:rPr>
      </w:pPr>
      <w:r>
        <w:rPr>
          <w:rFonts w:ascii="宋体" w:hAnsi="宋体"/>
          <w:b/>
          <w:color w:val="auto"/>
          <w:kern w:val="0"/>
          <w:sz w:val="32"/>
          <w:szCs w:val="32"/>
          <w:highlight w:val="none"/>
        </w:rPr>
        <w:t>具有履行合同所必须的设备和专业技术能力的承诺函</w:t>
      </w:r>
    </w:p>
    <w:p w14:paraId="1F21118B">
      <w:pPr>
        <w:jc w:val="center"/>
        <w:rPr>
          <w:rFonts w:ascii="宋体" w:hAnsi="宋体"/>
          <w:b/>
          <w:color w:val="auto"/>
          <w:sz w:val="28"/>
          <w:highlight w:val="none"/>
        </w:rPr>
      </w:pPr>
    </w:p>
    <w:p w14:paraId="02EC1678">
      <w:pPr>
        <w:widowControl/>
        <w:shd w:val="clear" w:color="auto" w:fill="FFFFFF"/>
        <w:snapToGrid w:val="0"/>
        <w:spacing w:after="50" w:line="480" w:lineRule="auto"/>
        <w:jc w:val="left"/>
        <w:rPr>
          <w:rFonts w:ascii="宋体" w:hAnsi="宋体"/>
          <w:color w:val="auto"/>
          <w:kern w:val="0"/>
          <w:sz w:val="24"/>
          <w:highlight w:val="none"/>
        </w:rPr>
      </w:pPr>
      <w:r>
        <w:rPr>
          <w:rFonts w:hint="eastAsia" w:ascii="宋体" w:hAnsi="宋体"/>
          <w:color w:val="auto"/>
          <w:kern w:val="0"/>
          <w:sz w:val="24"/>
          <w:highlight w:val="none"/>
          <w:u w:val="single"/>
        </w:rPr>
        <w:t>台州市自然资源和规划局</w:t>
      </w:r>
      <w:r>
        <w:rPr>
          <w:rFonts w:ascii="宋体" w:hAnsi="宋体"/>
          <w:color w:val="auto"/>
          <w:kern w:val="0"/>
          <w:sz w:val="24"/>
          <w:highlight w:val="none"/>
        </w:rPr>
        <w:t>：</w:t>
      </w:r>
    </w:p>
    <w:p w14:paraId="44C10BF4">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若我单位有幸成为</w:t>
      </w:r>
      <w:r>
        <w:rPr>
          <w:rFonts w:hint="eastAsia" w:ascii="宋体" w:hAnsi="宋体"/>
          <w:color w:val="auto"/>
          <w:kern w:val="0"/>
          <w:sz w:val="24"/>
          <w:highlight w:val="none"/>
          <w:u w:val="single"/>
          <w:lang w:val="en-US" w:eastAsia="zh-CN"/>
        </w:rPr>
        <w:t xml:space="preserve"> 台州市低效用地再开发试点项目（标项   ）(项目名称）</w:t>
      </w:r>
      <w:r>
        <w:rPr>
          <w:rFonts w:hint="eastAsia" w:hAnsi="宋体"/>
          <w:color w:val="auto"/>
          <w:sz w:val="24"/>
          <w:highlight w:val="none"/>
        </w:rPr>
        <w:t>（</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lang w:val="en-US" w:eastAsia="zh-CN"/>
        </w:rPr>
        <w:t xml:space="preserve">               </w:t>
      </w:r>
      <w:r>
        <w:rPr>
          <w:rFonts w:hint="eastAsia" w:hAnsi="宋体" w:cs="宋体"/>
          <w:color w:val="auto"/>
          <w:kern w:val="0"/>
          <w:sz w:val="24"/>
          <w:highlight w:val="none"/>
          <w:u w:val="none"/>
        </w:rPr>
        <w:t>）</w:t>
      </w:r>
      <w:r>
        <w:rPr>
          <w:rFonts w:ascii="宋体" w:hAnsi="宋体"/>
          <w:color w:val="auto"/>
          <w:kern w:val="0"/>
          <w:sz w:val="24"/>
          <w:highlight w:val="none"/>
        </w:rPr>
        <w:t>的成交单位，我单位有履行该项目合同的设备和专业技术能力，胜任本项目的服务工作。如本声明失实，我单位自愿承担被取消成交资格等责任。</w:t>
      </w:r>
    </w:p>
    <w:p w14:paraId="74E3151A">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p>
    <w:p w14:paraId="5A4F70CB">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7D30C509">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Theme="minorEastAsia" w:hAnsiTheme="minorEastAsia" w:eastAsiaTheme="minorEastAsia"/>
          <w:color w:val="auto"/>
          <w:sz w:val="24"/>
          <w:highlight w:val="none"/>
          <w:lang w:eastAsia="zh-CN"/>
        </w:rPr>
        <w:t>供应商</w:t>
      </w:r>
      <w:r>
        <w:rPr>
          <w:rFonts w:hint="eastAsia" w:ascii="宋体" w:hAnsi="宋体" w:cs="仿宋_GB2312"/>
          <w:color w:val="auto"/>
          <w:kern w:val="0"/>
          <w:sz w:val="24"/>
          <w:highlight w:val="none"/>
          <w:lang w:val="zh-CN"/>
        </w:rPr>
        <w:t>名称（</w:t>
      </w:r>
      <w:r>
        <w:rPr>
          <w:rFonts w:hint="eastAsia" w:ascii="宋体" w:hAnsi="宋体"/>
          <w:color w:val="auto"/>
          <w:sz w:val="24"/>
          <w:highlight w:val="none"/>
        </w:rPr>
        <w:t>公章/电子章</w:t>
      </w:r>
      <w:r>
        <w:rPr>
          <w:rFonts w:hint="eastAsia" w:ascii="宋体" w:hAnsi="宋体" w:cs="仿宋_GB2312"/>
          <w:color w:val="auto"/>
          <w:kern w:val="0"/>
          <w:sz w:val="24"/>
          <w:highlight w:val="none"/>
          <w:lang w:val="zh-CN"/>
        </w:rPr>
        <w:t>）：</w:t>
      </w:r>
    </w:p>
    <w:p w14:paraId="0C6921D1">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4E58F83F">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日</w:t>
      </w:r>
    </w:p>
    <w:p w14:paraId="39BC4CFA">
      <w:pPr>
        <w:jc w:val="center"/>
        <w:rPr>
          <w:color w:val="auto"/>
          <w:sz w:val="52"/>
          <w:szCs w:val="52"/>
          <w:highlight w:val="none"/>
        </w:rPr>
      </w:pPr>
    </w:p>
    <w:p w14:paraId="08C17E78">
      <w:pPr>
        <w:jc w:val="center"/>
        <w:rPr>
          <w:color w:val="auto"/>
          <w:sz w:val="52"/>
          <w:szCs w:val="52"/>
          <w:highlight w:val="none"/>
        </w:rPr>
      </w:pPr>
    </w:p>
    <w:p w14:paraId="00648AA3">
      <w:pPr>
        <w:jc w:val="center"/>
        <w:rPr>
          <w:color w:val="auto"/>
          <w:sz w:val="52"/>
          <w:szCs w:val="52"/>
          <w:highlight w:val="none"/>
        </w:rPr>
      </w:pPr>
    </w:p>
    <w:p w14:paraId="1CF2126A">
      <w:pPr>
        <w:rPr>
          <w:color w:val="auto"/>
          <w:highlight w:val="none"/>
        </w:rPr>
        <w:sectPr>
          <w:pgSz w:w="11906" w:h="16838"/>
          <w:pgMar w:top="1701" w:right="1448" w:bottom="1531" w:left="1418" w:header="851" w:footer="851" w:gutter="0"/>
          <w:pgNumType w:fmt="numberInDash"/>
          <w:cols w:space="720" w:num="1"/>
          <w:docGrid w:linePitch="312" w:charSpace="0"/>
        </w:sectPr>
      </w:pPr>
    </w:p>
    <w:p w14:paraId="5077D5B3">
      <w:pPr>
        <w:snapToGrid w:val="0"/>
        <w:spacing w:before="120" w:beforeLines="50" w:after="50" w:line="360" w:lineRule="auto"/>
        <w:rPr>
          <w:rFonts w:hint="eastAsia" w:ascii="宋体" w:hAnsi="宋体" w:eastAsia="宋体"/>
          <w:b/>
          <w:color w:val="auto"/>
          <w:sz w:val="28"/>
          <w:szCs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6</w:t>
      </w:r>
    </w:p>
    <w:p w14:paraId="09201AE8">
      <w:pPr>
        <w:pStyle w:val="40"/>
        <w:spacing w:line="360" w:lineRule="auto"/>
        <w:jc w:val="center"/>
        <w:rPr>
          <w:rFonts w:ascii="宋体" w:hAnsi="宋体"/>
          <w:b/>
          <w:color w:val="auto"/>
          <w:sz w:val="32"/>
          <w:szCs w:val="32"/>
          <w:highlight w:val="none"/>
          <w:lang w:val="en-GB"/>
        </w:rPr>
      </w:pPr>
      <w:r>
        <w:rPr>
          <w:rFonts w:hint="eastAsia" w:ascii="宋体" w:hAnsi="宋体"/>
          <w:b/>
          <w:color w:val="auto"/>
          <w:sz w:val="32"/>
          <w:szCs w:val="32"/>
          <w:highlight w:val="none"/>
          <w:lang w:val="en-GB"/>
        </w:rPr>
        <w:t>中小企业声明函</w:t>
      </w:r>
    </w:p>
    <w:p w14:paraId="0BC93B61">
      <w:pPr>
        <w:pStyle w:val="40"/>
        <w:spacing w:line="360" w:lineRule="auto"/>
        <w:jc w:val="center"/>
        <w:rPr>
          <w:rFonts w:ascii="宋体" w:hAnsi="宋体"/>
          <w:b/>
          <w:color w:val="auto"/>
          <w:sz w:val="24"/>
          <w:highlight w:val="none"/>
          <w:lang w:val="en-GB"/>
        </w:rPr>
      </w:pPr>
    </w:p>
    <w:p w14:paraId="62AD2DD7">
      <w:pPr>
        <w:pStyle w:val="4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本公司（联合体）郑重声明，根据《政府采购促进中小企业发展管理办法》（财库﹝2020﹞46号）的规定，本公司（联合体）参加（</w:t>
      </w:r>
      <w:r>
        <w:rPr>
          <w:rFonts w:hint="eastAsia" w:ascii="宋体" w:hAnsi="宋体"/>
          <w:color w:val="auto"/>
          <w:kern w:val="0"/>
          <w:sz w:val="24"/>
          <w:highlight w:val="none"/>
          <w:u w:val="single"/>
        </w:rPr>
        <w:t>台州市自然资源和规划局</w:t>
      </w:r>
      <w:r>
        <w:rPr>
          <w:rFonts w:hint="eastAsia" w:ascii="宋体" w:hAnsi="宋体"/>
          <w:color w:val="auto"/>
          <w:sz w:val="24"/>
          <w:highlight w:val="none"/>
        </w:rPr>
        <w:t>）的（</w:t>
      </w:r>
      <w:r>
        <w:rPr>
          <w:rFonts w:hint="eastAsia" w:ascii="宋体" w:hAnsi="宋体"/>
          <w:color w:val="auto"/>
          <w:sz w:val="24"/>
          <w:highlight w:val="none"/>
          <w:u w:val="single"/>
          <w:lang w:val="en-US" w:eastAsia="zh-CN"/>
        </w:rPr>
        <w:t xml:space="preserve"> </w:t>
      </w:r>
      <w:r>
        <w:rPr>
          <w:rFonts w:hint="eastAsia" w:ascii="宋体" w:hAnsi="宋体"/>
          <w:color w:val="auto"/>
          <w:kern w:val="0"/>
          <w:sz w:val="24"/>
          <w:highlight w:val="none"/>
          <w:u w:val="single"/>
          <w:lang w:val="en-US" w:eastAsia="zh-CN"/>
        </w:rPr>
        <w:t>台州市低效用地再开发试点项目（标项   ）</w:t>
      </w:r>
      <w:r>
        <w:rPr>
          <w:rFonts w:hint="eastAsia" w:ascii="宋体" w:hAnsi="宋体"/>
          <w:color w:val="auto"/>
          <w:kern w:val="0"/>
          <w:sz w:val="24"/>
          <w:highlight w:val="none"/>
          <w:u w:val="single"/>
          <w:lang w:eastAsia="zh-CN"/>
        </w:rPr>
        <w:t>（</w:t>
      </w:r>
      <w:r>
        <w:rPr>
          <w:rFonts w:hint="eastAsia" w:ascii="宋体" w:hAnsi="宋体"/>
          <w:color w:val="auto"/>
          <w:kern w:val="0"/>
          <w:sz w:val="24"/>
          <w:highlight w:val="none"/>
          <w:u w:val="single"/>
          <w:lang w:val="en-US" w:eastAsia="zh-CN"/>
        </w:rPr>
        <w:t>项目名称</w:t>
      </w:r>
      <w:r>
        <w:rPr>
          <w:rFonts w:hint="eastAsia" w:ascii="宋体" w:hAnsi="宋体"/>
          <w:color w:val="auto"/>
          <w:kern w:val="0"/>
          <w:sz w:val="24"/>
          <w:highlight w:val="none"/>
          <w:u w:val="single"/>
          <w:lang w:eastAsia="zh-CN"/>
        </w:rPr>
        <w:t>）</w:t>
      </w:r>
      <w:r>
        <w:rPr>
          <w:rFonts w:hint="eastAsia" w:ascii="宋体" w:hAnsi="宋体"/>
          <w:color w:val="auto"/>
          <w:sz w:val="24"/>
          <w:highlight w:val="none"/>
        </w:rPr>
        <w:t>）采购活动，服务全部由符合政策要求的中小企业承接）。相关企业（含联合体中的中小企业、签订分包意向协议的中小企业）的具体情况如下：</w:t>
      </w:r>
    </w:p>
    <w:p w14:paraId="75ABDDE2">
      <w:pPr>
        <w:pStyle w:val="40"/>
        <w:numPr>
          <w:ilvl w:val="0"/>
          <w:numId w:val="11"/>
        </w:numPr>
        <w:spacing w:line="360" w:lineRule="auto"/>
        <w:ind w:firstLine="480" w:firstLineChars="200"/>
        <w:rPr>
          <w:rFonts w:ascii="宋体" w:hAnsi="宋体"/>
          <w:color w:val="auto"/>
          <w:sz w:val="24"/>
          <w:highlight w:val="none"/>
        </w:rPr>
      </w:pPr>
      <w:r>
        <w:rPr>
          <w:rFonts w:hint="eastAsia" w:ascii="宋体" w:hAnsi="宋体"/>
          <w:color w:val="auto"/>
          <w:sz w:val="24"/>
          <w:highlight w:val="none"/>
          <w:u w:val="single"/>
        </w:rPr>
        <w:t>（</w:t>
      </w:r>
      <w:r>
        <w:rPr>
          <w:rFonts w:hint="eastAsia" w:ascii="宋体" w:hAnsi="宋体"/>
          <w:color w:val="auto"/>
          <w:kern w:val="0"/>
          <w:sz w:val="24"/>
          <w:highlight w:val="none"/>
          <w:u w:val="single"/>
          <w:lang w:val="en-US" w:eastAsia="zh-CN"/>
        </w:rPr>
        <w:t>台州市低效用地再开发试点项目（标项   ）</w:t>
      </w:r>
      <w:r>
        <w:rPr>
          <w:rFonts w:hint="eastAsia" w:ascii="宋体" w:hAnsi="宋体"/>
          <w:color w:val="auto"/>
          <w:sz w:val="24"/>
          <w:highlight w:val="none"/>
          <w:u w:val="single"/>
        </w:rPr>
        <w:t>）</w:t>
      </w:r>
      <w:r>
        <w:rPr>
          <w:rFonts w:hint="eastAsia" w:ascii="宋体" w:hAnsi="宋体"/>
          <w:color w:val="auto"/>
          <w:sz w:val="24"/>
          <w:highlight w:val="none"/>
        </w:rPr>
        <w:t>，属于</w:t>
      </w:r>
      <w:r>
        <w:rPr>
          <w:rFonts w:hint="eastAsia" w:ascii="宋体" w:hAnsi="宋体"/>
          <w:color w:val="auto"/>
          <w:sz w:val="24"/>
          <w:highlight w:val="none"/>
          <w:u w:val="single"/>
        </w:rPr>
        <w:t>（（十六）其他未列明行业）</w:t>
      </w:r>
      <w:r>
        <w:rPr>
          <w:rFonts w:hint="eastAsia" w:ascii="宋体" w:hAnsi="宋体"/>
          <w:color w:val="auto"/>
          <w:sz w:val="24"/>
          <w:highlight w:val="none"/>
        </w:rPr>
        <w:t>；承建（承接）企业为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olor w:val="auto"/>
          <w:sz w:val="24"/>
          <w:highlight w:val="none"/>
        </w:rPr>
        <w:t>，属于（中型企业、小型企业、微型企业）；</w:t>
      </w:r>
    </w:p>
    <w:p w14:paraId="545B46AF">
      <w:pPr>
        <w:pStyle w:val="40"/>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u w:val="single"/>
        </w:rPr>
        <w:t>（标的名称）</w:t>
      </w:r>
      <w:r>
        <w:rPr>
          <w:rFonts w:hint="eastAsia" w:ascii="宋体" w:hAnsi="宋体"/>
          <w:color w:val="auto"/>
          <w:sz w:val="24"/>
          <w:highlight w:val="none"/>
        </w:rPr>
        <w:t>，属于</w:t>
      </w:r>
      <w:r>
        <w:rPr>
          <w:rFonts w:hint="eastAsia" w:ascii="宋体" w:hAnsi="宋体"/>
          <w:color w:val="auto"/>
          <w:sz w:val="24"/>
          <w:highlight w:val="none"/>
          <w:u w:val="single"/>
        </w:rPr>
        <w:t>（招标文件中明确的所属行业）</w:t>
      </w:r>
      <w:r>
        <w:rPr>
          <w:rFonts w:hint="eastAsia" w:ascii="宋体" w:hAnsi="宋体"/>
          <w:color w:val="auto"/>
          <w:sz w:val="24"/>
          <w:highlight w:val="none"/>
        </w:rPr>
        <w:t>；承建（承接）企业为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万元，属于（中型企业、小型企业、微型企业）；</w:t>
      </w:r>
    </w:p>
    <w:p w14:paraId="46E25E64">
      <w:pPr>
        <w:pStyle w:val="40"/>
        <w:spacing w:line="360" w:lineRule="auto"/>
        <w:ind w:firstLine="480" w:firstLineChars="200"/>
        <w:rPr>
          <w:rFonts w:ascii="宋体" w:hAnsi="宋体"/>
          <w:color w:val="auto"/>
          <w:sz w:val="24"/>
          <w:highlight w:val="none"/>
        </w:rPr>
      </w:pPr>
      <w:r>
        <w:rPr>
          <w:rFonts w:hint="eastAsia" w:ascii="宋体" w:hAnsi="宋体"/>
          <w:color w:val="auto"/>
          <w:sz w:val="24"/>
          <w:highlight w:val="none"/>
        </w:rPr>
        <w:t>……以上企业，不属于大企业的分支机构，不存在控股股东为大企业的情形，也不存在与大企业的负责人为同一人的情形。</w:t>
      </w:r>
    </w:p>
    <w:p w14:paraId="10DED830">
      <w:pPr>
        <w:pStyle w:val="4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本企业对上述声明内容的真实性负责。如有虚假，将依法承担相应责任。</w:t>
      </w:r>
    </w:p>
    <w:p w14:paraId="4F92B737">
      <w:pPr>
        <w:pStyle w:val="40"/>
        <w:spacing w:line="360" w:lineRule="auto"/>
        <w:ind w:firstLine="480" w:firstLineChars="200"/>
        <w:rPr>
          <w:rFonts w:ascii="宋体" w:hAnsi="宋体" w:cs="Arial"/>
          <w:bCs/>
          <w:color w:val="auto"/>
          <w:sz w:val="24"/>
          <w:highlight w:val="none"/>
        </w:rPr>
      </w:pPr>
      <w:r>
        <w:rPr>
          <w:rFonts w:ascii="宋体" w:hAnsi="宋体" w:cs="Arial"/>
          <w:bCs/>
          <w:color w:val="auto"/>
          <w:sz w:val="24"/>
          <w:highlight w:val="none"/>
        </w:rPr>
        <w:t>信息查询</w:t>
      </w:r>
      <w:r>
        <w:rPr>
          <w:rFonts w:hint="eastAsia" w:ascii="宋体" w:hAnsi="宋体" w:cs="Arial"/>
          <w:bCs/>
          <w:color w:val="auto"/>
          <w:sz w:val="24"/>
          <w:highlight w:val="none"/>
        </w:rPr>
        <w:t>网址为：</w:t>
      </w:r>
    </w:p>
    <w:p w14:paraId="3864C0C1">
      <w:pPr>
        <w:spacing w:line="360" w:lineRule="auto"/>
        <w:rPr>
          <w:rFonts w:ascii="宋体" w:hAnsi="宋体"/>
          <w:color w:val="auto"/>
          <w:spacing w:val="6"/>
          <w:sz w:val="24"/>
          <w:highlight w:val="none"/>
        </w:rPr>
      </w:pPr>
    </w:p>
    <w:p w14:paraId="53E997E7">
      <w:pPr>
        <w:pStyle w:val="40"/>
        <w:spacing w:line="360" w:lineRule="auto"/>
        <w:ind w:firstLine="480" w:firstLineChars="200"/>
        <w:rPr>
          <w:rFonts w:ascii="宋体" w:hAnsi="宋体" w:cs="Arial"/>
          <w:bCs/>
          <w:color w:val="auto"/>
          <w:sz w:val="24"/>
          <w:highlight w:val="none"/>
        </w:rPr>
      </w:pPr>
    </w:p>
    <w:p w14:paraId="4EC05528">
      <w:pPr>
        <w:pStyle w:val="40"/>
        <w:spacing w:line="360" w:lineRule="auto"/>
        <w:rPr>
          <w:rFonts w:ascii="宋体" w:hAnsi="宋体"/>
          <w:color w:val="auto"/>
          <w:sz w:val="24"/>
          <w:highlight w:val="none"/>
        </w:rPr>
      </w:pPr>
    </w:p>
    <w:p w14:paraId="289E3D45">
      <w:pPr>
        <w:pStyle w:val="40"/>
        <w:spacing w:line="360" w:lineRule="auto"/>
        <w:ind w:firstLine="4800" w:firstLineChars="2000"/>
        <w:rPr>
          <w:rFonts w:ascii="宋体" w:hAnsi="宋体"/>
          <w:color w:val="auto"/>
          <w:sz w:val="24"/>
          <w:highlight w:val="none"/>
        </w:rPr>
      </w:pPr>
      <w:r>
        <w:rPr>
          <w:rFonts w:hint="eastAsia" w:ascii="宋体" w:hAnsi="宋体"/>
          <w:color w:val="auto"/>
          <w:sz w:val="24"/>
          <w:highlight w:val="none"/>
        </w:rPr>
        <w:t>企业名称（</w:t>
      </w:r>
      <w:r>
        <w:rPr>
          <w:rFonts w:hint="eastAsia" w:ascii="宋体" w:hAnsi="宋体"/>
          <w:color w:val="auto"/>
          <w:sz w:val="24"/>
          <w:highlight w:val="none"/>
        </w:rPr>
        <w:t>公章/电子章</w:t>
      </w:r>
      <w:r>
        <w:rPr>
          <w:rFonts w:hint="eastAsia" w:ascii="宋体" w:hAnsi="宋体"/>
          <w:color w:val="auto"/>
          <w:sz w:val="24"/>
          <w:highlight w:val="none"/>
        </w:rPr>
        <w:t xml:space="preserve">）：              </w:t>
      </w:r>
    </w:p>
    <w:p w14:paraId="2FA92FA9">
      <w:pPr>
        <w:pStyle w:val="40"/>
        <w:spacing w:line="360" w:lineRule="auto"/>
        <w:ind w:firstLine="4800" w:firstLineChars="2000"/>
        <w:rPr>
          <w:rFonts w:ascii="宋体" w:hAnsi="宋体"/>
          <w:color w:val="auto"/>
          <w:sz w:val="24"/>
          <w:highlight w:val="none"/>
        </w:rPr>
      </w:pPr>
      <w:r>
        <w:rPr>
          <w:rFonts w:hint="eastAsia" w:ascii="宋体" w:hAnsi="宋体"/>
          <w:color w:val="auto"/>
          <w:sz w:val="24"/>
          <w:highlight w:val="none"/>
        </w:rPr>
        <w:t>日 期：</w:t>
      </w:r>
    </w:p>
    <w:p w14:paraId="7C875156">
      <w:pPr>
        <w:pStyle w:val="9"/>
        <w:rPr>
          <w:rFonts w:ascii="宋体" w:hAnsi="宋体" w:cs="宋体"/>
          <w:color w:val="auto"/>
          <w:sz w:val="24"/>
          <w:szCs w:val="24"/>
          <w:highlight w:val="none"/>
        </w:rPr>
      </w:pPr>
    </w:p>
    <w:p w14:paraId="0B86B9CC">
      <w:pPr>
        <w:pStyle w:val="9"/>
        <w:rPr>
          <w:rFonts w:ascii="宋体" w:hAnsi="宋体" w:cs="宋体"/>
          <w:color w:val="auto"/>
          <w:sz w:val="24"/>
          <w:szCs w:val="24"/>
          <w:highlight w:val="none"/>
        </w:rPr>
      </w:pPr>
    </w:p>
    <w:p w14:paraId="695029F9">
      <w:pPr>
        <w:spacing w:line="360" w:lineRule="auto"/>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209550</wp:posOffset>
                </wp:positionV>
                <wp:extent cx="2984500" cy="0"/>
                <wp:effectExtent l="0" t="7620" r="0" b="8255"/>
                <wp:wrapNone/>
                <wp:docPr id="2" name="直接连接符 2"/>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61312;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EK1nqfYBAADUAwAADgAAAAAAAAABACAAAAAiAQAAZHJzL2Uyb0RvYy54bWxQSwUG&#10;AAAAAAYABgBZAQAAigUAAAAA&#10;">
                <v:fill on="f" focussize="0,0"/>
                <v:stroke weight="1.25pt" color="#000000" miterlimit="8" joinstyle="miter"/>
                <v:imagedata o:title=""/>
                <o:lock v:ext="edit" aspectratio="f"/>
              </v:line>
            </w:pict>
          </mc:Fallback>
        </mc:AlternateContent>
      </w:r>
    </w:p>
    <w:p w14:paraId="62BAFC90">
      <w:pPr>
        <w:spacing w:line="360" w:lineRule="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从业人员、营业收入、资产总额填报上一年度数据，无上一年度数据的新成立企业可不填报。</w:t>
      </w:r>
    </w:p>
    <w:p w14:paraId="6C1F7DDB">
      <w:pPr>
        <w:rPr>
          <w:rFonts w:ascii="宋体" w:hAnsi="宋体" w:cs="宋体"/>
          <w:color w:val="auto"/>
          <w:sz w:val="24"/>
          <w:highlight w:val="none"/>
        </w:rPr>
        <w:sectPr>
          <w:pgSz w:w="11906" w:h="16838"/>
          <w:pgMar w:top="1701" w:right="1448" w:bottom="1531" w:left="1418" w:header="851" w:footer="851" w:gutter="0"/>
          <w:pgNumType w:fmt="numberInDash"/>
          <w:cols w:space="720" w:num="1"/>
          <w:docGrid w:linePitch="312" w:charSpace="0"/>
        </w:sectPr>
      </w:pPr>
      <w:r>
        <w:rPr>
          <w:rFonts w:hint="eastAsia" w:ascii="宋体" w:hAnsi="宋体" w:cs="宋体"/>
          <w:color w:val="auto"/>
          <w:sz w:val="24"/>
          <w:highlight w:val="none"/>
        </w:rPr>
        <w:t>②本声明函将随中标结果公开，接受社会监督。</w:t>
      </w:r>
    </w:p>
    <w:p w14:paraId="0F8DB590">
      <w:pPr>
        <w:pStyle w:val="12"/>
        <w:spacing w:line="360" w:lineRule="auto"/>
        <w:jc w:val="center"/>
        <w:outlineLvl w:val="1"/>
        <w:rPr>
          <w:rFonts w:hAnsi="宋体" w:cs="宋体"/>
          <w:b/>
          <w:color w:val="auto"/>
          <w:sz w:val="32"/>
          <w:szCs w:val="32"/>
          <w:highlight w:val="none"/>
          <w:lang w:val="en-GB"/>
        </w:rPr>
      </w:pPr>
      <w:r>
        <w:rPr>
          <w:rFonts w:hint="eastAsia" w:hAnsi="宋体" w:cs="宋体"/>
          <w:b/>
          <w:color w:val="auto"/>
          <w:sz w:val="32"/>
          <w:szCs w:val="32"/>
          <w:highlight w:val="none"/>
          <w:lang w:val="en-GB"/>
        </w:rPr>
        <w:t>残疾人福利性单位声明函</w:t>
      </w:r>
    </w:p>
    <w:p w14:paraId="06043465">
      <w:pPr>
        <w:spacing w:line="360" w:lineRule="auto"/>
        <w:ind w:firstLine="480" w:firstLineChars="200"/>
        <w:rPr>
          <w:rFonts w:ascii="宋体" w:hAnsi="宋体" w:cs="宋体"/>
          <w:color w:val="auto"/>
          <w:sz w:val="24"/>
          <w:highlight w:val="none"/>
        </w:rPr>
      </w:pPr>
    </w:p>
    <w:p w14:paraId="580EEA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olor w:val="auto"/>
          <w:kern w:val="0"/>
          <w:sz w:val="24"/>
          <w:highlight w:val="none"/>
          <w:u w:val="single"/>
        </w:rPr>
        <w:t>台州市自然资源和规划局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u w:val="single"/>
          <w:lang w:eastAsia="zh-CN"/>
        </w:rPr>
        <w:t>台州市低效用地再开发试点项目（标项</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eastAsia="zh-CN"/>
        </w:rPr>
        <w:t>）</w:t>
      </w:r>
      <w:r>
        <w:rPr>
          <w:rFonts w:hint="eastAsia" w:ascii="宋体" w:hAnsi="宋体"/>
          <w:color w:val="auto"/>
          <w:kern w:val="0"/>
          <w:sz w:val="24"/>
          <w:highlight w:val="none"/>
          <w:u w:val="single"/>
          <w:lang w:eastAsia="zh-CN"/>
        </w:rPr>
        <w:t>（</w:t>
      </w:r>
      <w:r>
        <w:rPr>
          <w:rFonts w:hint="eastAsia" w:ascii="宋体" w:hAnsi="宋体"/>
          <w:color w:val="auto"/>
          <w:kern w:val="0"/>
          <w:sz w:val="24"/>
          <w:highlight w:val="none"/>
          <w:u w:val="single"/>
          <w:lang w:val="en-US" w:eastAsia="zh-CN"/>
        </w:rPr>
        <w:t>项目名称</w:t>
      </w:r>
      <w:r>
        <w:rPr>
          <w:rFonts w:hint="eastAsia" w:ascii="宋体" w:hAnsi="宋体"/>
          <w:color w:val="auto"/>
          <w:kern w:val="0"/>
          <w:sz w:val="24"/>
          <w:highlight w:val="none"/>
          <w:u w:val="single"/>
          <w:lang w:eastAsia="zh-CN"/>
        </w:rPr>
        <w:t>）</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684179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9A03D23">
      <w:pPr>
        <w:pStyle w:val="20"/>
        <w:rPr>
          <w:color w:val="auto"/>
          <w:highlight w:val="none"/>
        </w:rPr>
      </w:pPr>
    </w:p>
    <w:p w14:paraId="268A56E9">
      <w:pP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p>
    <w:p w14:paraId="0A5E160A">
      <w:pPr>
        <w:pStyle w:val="40"/>
        <w:spacing w:line="360" w:lineRule="auto"/>
        <w:ind w:left="4788" w:leftChars="2280"/>
        <w:rPr>
          <w:rFonts w:ascii="宋体" w:hAnsi="宋体" w:cs="宋体"/>
          <w:color w:val="auto"/>
          <w:sz w:val="24"/>
          <w:highlight w:val="none"/>
        </w:rPr>
      </w:pPr>
      <w:r>
        <w:rPr>
          <w:rFonts w:hint="eastAsia" w:ascii="宋体" w:hAnsi="宋体" w:cs="宋体"/>
          <w:color w:val="auto"/>
          <w:sz w:val="24"/>
          <w:highlight w:val="none"/>
        </w:rPr>
        <w:t xml:space="preserve">       </w:t>
      </w:r>
    </w:p>
    <w:p w14:paraId="0B306B8E">
      <w:pPr>
        <w:pStyle w:val="40"/>
        <w:spacing w:line="360" w:lineRule="auto"/>
        <w:ind w:left="4788" w:leftChars="2280"/>
        <w:jc w:val="right"/>
        <w:rPr>
          <w:rFonts w:ascii="宋体" w:hAnsi="宋体"/>
          <w:color w:val="auto"/>
          <w:sz w:val="24"/>
          <w:highlight w:val="none"/>
        </w:rPr>
      </w:pPr>
      <w:r>
        <w:rPr>
          <w:rFonts w:hint="eastAsia" w:ascii="宋体" w:hAnsi="宋体"/>
          <w:color w:val="auto"/>
          <w:sz w:val="24"/>
          <w:highlight w:val="none"/>
        </w:rPr>
        <w:t>单位名称（</w:t>
      </w:r>
      <w:r>
        <w:rPr>
          <w:rFonts w:hint="eastAsia" w:ascii="宋体" w:hAnsi="宋体"/>
          <w:color w:val="auto"/>
          <w:sz w:val="24"/>
          <w:highlight w:val="none"/>
        </w:rPr>
        <w:t>公章/电子章</w:t>
      </w:r>
      <w:r>
        <w:rPr>
          <w:rFonts w:hint="eastAsia" w:ascii="宋体" w:hAnsi="宋体"/>
          <w:color w:val="auto"/>
          <w:sz w:val="24"/>
          <w:highlight w:val="none"/>
        </w:rPr>
        <w:t>）：</w:t>
      </w:r>
    </w:p>
    <w:p w14:paraId="058E7859">
      <w:pPr>
        <w:pStyle w:val="62"/>
        <w:ind w:firstLine="1040"/>
        <w:jc w:val="right"/>
        <w:rPr>
          <w:color w:val="auto"/>
          <w:sz w:val="52"/>
          <w:szCs w:val="52"/>
          <w:highlight w:val="none"/>
        </w:rPr>
      </w:pPr>
      <w:r>
        <w:rPr>
          <w:rFonts w:hint="eastAsia" w:ascii="宋体" w:hAnsi="宋体"/>
          <w:color w:val="auto"/>
          <w:sz w:val="24"/>
          <w:highlight w:val="none"/>
        </w:rPr>
        <w:t>日  期  ：</w:t>
      </w:r>
    </w:p>
    <w:p w14:paraId="6F5A6EA2">
      <w:pPr>
        <w:jc w:val="left"/>
        <w:rPr>
          <w:rFonts w:hint="eastAsia" w:ascii="宋体" w:hAnsi="宋体"/>
          <w:b/>
          <w:color w:val="auto"/>
          <w:kern w:val="0"/>
          <w:sz w:val="32"/>
          <w:szCs w:val="32"/>
          <w:highlight w:val="none"/>
        </w:rPr>
      </w:pPr>
    </w:p>
    <w:p w14:paraId="12DC6FAC">
      <w:pPr>
        <w:pStyle w:val="62"/>
        <w:ind w:firstLine="1040"/>
        <w:rPr>
          <w:color w:val="auto"/>
          <w:sz w:val="52"/>
          <w:szCs w:val="52"/>
          <w:highlight w:val="none"/>
        </w:rPr>
        <w:sectPr>
          <w:pgSz w:w="11906" w:h="16838"/>
          <w:pgMar w:top="1701" w:right="1448" w:bottom="1531" w:left="1418" w:header="851" w:footer="851" w:gutter="0"/>
          <w:pgNumType w:fmt="numberInDash"/>
          <w:cols w:space="720" w:num="1"/>
          <w:docGrid w:linePitch="312" w:charSpace="0"/>
        </w:sectPr>
      </w:pPr>
    </w:p>
    <w:p w14:paraId="1B03ECA3">
      <w:pPr>
        <w:widowControl w:val="0"/>
        <w:autoSpaceDE w:val="0"/>
        <w:autoSpaceDN w:val="0"/>
        <w:adjustRightInd w:val="0"/>
        <w:jc w:val="center"/>
        <w:rPr>
          <w:rFonts w:hint="eastAsia" w:ascii="黑体" w:hAnsi="黑体" w:eastAsia="黑体" w:cs="黑体"/>
          <w:b/>
          <w:bCs/>
          <w:color w:val="auto"/>
          <w:sz w:val="28"/>
          <w:szCs w:val="28"/>
          <w:highlight w:val="none"/>
          <w:lang w:val="en-US" w:eastAsia="zh-CN" w:bidi="ar-SA"/>
        </w:rPr>
      </w:pPr>
      <w:r>
        <w:rPr>
          <w:rFonts w:hint="eastAsia" w:ascii="黑体" w:hAnsi="黑体" w:eastAsia="黑体" w:cs="黑体"/>
          <w:b/>
          <w:bCs/>
          <w:color w:val="auto"/>
          <w:sz w:val="28"/>
          <w:szCs w:val="28"/>
          <w:highlight w:val="none"/>
          <w:lang w:val="en-US" w:eastAsia="zh-CN" w:bidi="ar-SA"/>
        </w:rPr>
        <w:t>监狱企业的证明文件</w:t>
      </w:r>
    </w:p>
    <w:p w14:paraId="3869AD38">
      <w:pPr>
        <w:jc w:val="center"/>
        <w:rPr>
          <w:rFonts w:hint="default" w:eastAsia="宋体"/>
          <w:b/>
          <w:bCs/>
          <w:color w:val="auto"/>
          <w:highlight w:val="none"/>
          <w:lang w:val="en-US" w:eastAsia="zh-CN"/>
        </w:rPr>
      </w:pPr>
      <w:r>
        <w:rPr>
          <w:rFonts w:hint="eastAsia" w:ascii="黑体" w:hAnsi="黑体" w:eastAsia="黑体" w:cs="黑体"/>
          <w:b/>
          <w:bCs/>
          <w:color w:val="auto"/>
          <w:sz w:val="28"/>
          <w:szCs w:val="28"/>
          <w:highlight w:val="none"/>
          <w:lang w:val="en-US" w:eastAsia="zh-CN" w:bidi="ar-SA"/>
        </w:rPr>
        <w:t>（注：格式自拟）</w:t>
      </w:r>
    </w:p>
    <w:p w14:paraId="476D7D2E">
      <w:pPr>
        <w:pStyle w:val="62"/>
        <w:ind w:firstLine="1040"/>
        <w:rPr>
          <w:color w:val="auto"/>
          <w:sz w:val="52"/>
          <w:szCs w:val="52"/>
          <w:highlight w:val="none"/>
        </w:rPr>
        <w:sectPr>
          <w:pgSz w:w="11906" w:h="16838"/>
          <w:pgMar w:top="1701" w:right="1448" w:bottom="1531" w:left="1418" w:header="851" w:footer="851" w:gutter="0"/>
          <w:pgNumType w:fmt="numberInDash"/>
          <w:cols w:space="720" w:num="1"/>
          <w:docGrid w:linePitch="312" w:charSpace="0"/>
        </w:sectPr>
      </w:pPr>
    </w:p>
    <w:p w14:paraId="004E119C">
      <w:pPr>
        <w:adjustRightInd w:val="0"/>
        <w:snapToGrid w:val="0"/>
        <w:spacing w:line="360" w:lineRule="auto"/>
        <w:ind w:right="480"/>
        <w:rPr>
          <w:rFonts w:hint="default" w:ascii="宋体" w:hAnsi="宋体" w:eastAsia="宋体" w:cs="宋体"/>
          <w:b/>
          <w:bCs/>
          <w:color w:val="auto"/>
          <w:sz w:val="28"/>
          <w:szCs w:val="36"/>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 xml:space="preserve">7 </w:t>
      </w:r>
    </w:p>
    <w:p w14:paraId="063F1E78">
      <w:pPr>
        <w:spacing w:line="360" w:lineRule="auto"/>
        <w:jc w:val="center"/>
        <w:rPr>
          <w:rFonts w:hint="eastAsia" w:ascii="宋体" w:hAnsi="宋体" w:eastAsia="宋体" w:cs="宋体"/>
          <w:b/>
          <w:bCs/>
          <w:color w:val="auto"/>
          <w:sz w:val="28"/>
          <w:szCs w:val="36"/>
          <w:highlight w:val="none"/>
          <w:lang w:val="en-US" w:eastAsia="zh-CN"/>
        </w:rPr>
      </w:pPr>
      <w:r>
        <w:rPr>
          <w:rFonts w:hint="eastAsia" w:ascii="宋体" w:hAnsi="宋体" w:cs="宋体"/>
          <w:b/>
          <w:bCs/>
          <w:color w:val="auto"/>
          <w:sz w:val="28"/>
          <w:szCs w:val="36"/>
          <w:highlight w:val="none"/>
          <w:lang w:val="zh-CN"/>
        </w:rPr>
        <w:t>联合</w:t>
      </w:r>
      <w:r>
        <w:rPr>
          <w:rFonts w:hint="eastAsia" w:ascii="宋体" w:hAnsi="宋体" w:cs="宋体"/>
          <w:b/>
          <w:bCs/>
          <w:color w:val="auto"/>
          <w:sz w:val="28"/>
          <w:szCs w:val="36"/>
          <w:highlight w:val="none"/>
        </w:rPr>
        <w:t>体</w:t>
      </w:r>
      <w:r>
        <w:rPr>
          <w:rFonts w:hint="eastAsia" w:ascii="宋体" w:hAnsi="宋体" w:cs="宋体"/>
          <w:b/>
          <w:bCs/>
          <w:color w:val="auto"/>
          <w:sz w:val="28"/>
          <w:szCs w:val="36"/>
          <w:highlight w:val="none"/>
          <w:lang w:val="zh-CN"/>
        </w:rPr>
        <w:t>协议</w:t>
      </w:r>
      <w:r>
        <w:rPr>
          <w:rFonts w:hint="eastAsia" w:ascii="宋体" w:hAnsi="宋体" w:cs="宋体"/>
          <w:b/>
          <w:bCs/>
          <w:color w:val="auto"/>
          <w:sz w:val="28"/>
          <w:szCs w:val="36"/>
          <w:highlight w:val="none"/>
          <w:lang w:val="en-US" w:eastAsia="zh-CN"/>
        </w:rPr>
        <w:t>书</w:t>
      </w:r>
    </w:p>
    <w:p w14:paraId="078F5A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kern w:val="0"/>
          <w:sz w:val="24"/>
          <w:highlight w:val="none"/>
          <w:u w:val="single"/>
          <w:lang w:eastAsia="zh-CN"/>
        </w:rPr>
        <w:t>台州市低效用地再开发试点项目（标项</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eastAsia="zh-CN"/>
        </w:rPr>
        <w:t>）</w:t>
      </w:r>
      <w:r>
        <w:rPr>
          <w:rFonts w:hint="eastAsia" w:ascii="宋体" w:hAnsi="宋体" w:cs="宋体"/>
          <w:color w:val="auto"/>
          <w:sz w:val="24"/>
          <w:highlight w:val="none"/>
          <w:u w:val="single"/>
        </w:rPr>
        <w:t>（项目名称）</w:t>
      </w:r>
      <w:r>
        <w:rPr>
          <w:rFonts w:hint="eastAsia" w:ascii="宋体" w:hAnsi="宋体" w:cs="宋体"/>
          <w:color w:val="auto"/>
          <w:sz w:val="24"/>
          <w:highlight w:val="none"/>
        </w:rPr>
        <w:t>【招标编号：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58FD772">
      <w:pPr>
        <w:numPr>
          <w:ilvl w:val="0"/>
          <w:numId w:val="12"/>
        </w:numPr>
        <w:snapToGrid w:val="0"/>
        <w:spacing w:line="420" w:lineRule="exact"/>
        <w:ind w:firstLine="435"/>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r>
        <w:rPr>
          <w:rFonts w:hint="eastAsia" w:ascii="宋体" w:hAnsi="宋体" w:cs="宋体"/>
          <w:b/>
          <w:bCs/>
          <w:color w:val="auto"/>
          <w:sz w:val="18"/>
          <w:szCs w:val="18"/>
          <w:highlight w:val="none"/>
          <w:lang w:eastAsia="zh-CN"/>
        </w:rPr>
        <w:t>（</w:t>
      </w:r>
      <w:r>
        <w:rPr>
          <w:rFonts w:hint="eastAsia" w:ascii="宋体" w:hAnsi="宋体" w:cs="宋体"/>
          <w:b/>
          <w:bCs/>
          <w:color w:val="auto"/>
          <w:sz w:val="18"/>
          <w:szCs w:val="18"/>
          <w:highlight w:val="none"/>
          <w:lang w:val="en-US" w:eastAsia="zh-CN"/>
        </w:rPr>
        <w:t>以联合体形式参加政府采购活动，联合体各方均为中小企业的，联合体视同中小企业。其中，联合体各方均为小微企业的，联合体视同小微企业。</w:t>
      </w:r>
      <w:r>
        <w:rPr>
          <w:rFonts w:hint="eastAsia" w:ascii="宋体" w:hAnsi="宋体" w:cs="宋体"/>
          <w:b/>
          <w:bCs/>
          <w:color w:val="auto"/>
          <w:sz w:val="18"/>
          <w:szCs w:val="18"/>
          <w:highlight w:val="none"/>
          <w:lang w:eastAsia="zh-CN"/>
        </w:rPr>
        <w:t>）</w:t>
      </w:r>
    </w:p>
    <w:p w14:paraId="6E24DC6B">
      <w:pPr>
        <w:numPr>
          <w:ilvl w:val="0"/>
          <w:numId w:val="12"/>
        </w:numPr>
        <w:snapToGrid w:val="0"/>
        <w:spacing w:line="420" w:lineRule="exact"/>
        <w:ind w:firstLine="435"/>
        <w:rPr>
          <w:rFonts w:ascii="宋体" w:hAnsi="宋体" w:cs="宋体"/>
          <w:color w:val="auto"/>
          <w:kern w:val="0"/>
          <w:sz w:val="24"/>
          <w:highlight w:val="none"/>
        </w:rPr>
      </w:pPr>
      <w:r>
        <w:rPr>
          <w:rFonts w:hint="eastAsia" w:ascii="宋体" w:hAnsi="宋体" w:cs="宋体"/>
          <w:color w:val="auto"/>
          <w:kern w:val="0"/>
          <w:sz w:val="24"/>
          <w:highlight w:val="none"/>
        </w:rPr>
        <w:t>联合体牵头人合法代表联合体各成员负责本项目响应文件递交和合同签署活动，并代表联合体提交和接受相关的资料、信息及指示，并处理与之有关的一切事务，并负责合同实施阶段的主办、组织和协调工作。</w:t>
      </w:r>
    </w:p>
    <w:p w14:paraId="128D8F5A">
      <w:pPr>
        <w:numPr>
          <w:ilvl w:val="0"/>
          <w:numId w:val="12"/>
        </w:numPr>
        <w:snapToGrid w:val="0"/>
        <w:spacing w:line="420" w:lineRule="exact"/>
        <w:ind w:firstLine="435"/>
        <w:rPr>
          <w:rFonts w:ascii="宋体" w:hAnsi="宋体" w:cs="宋体"/>
          <w:color w:val="auto"/>
          <w:kern w:val="0"/>
          <w:sz w:val="24"/>
          <w:highlight w:val="none"/>
        </w:rPr>
      </w:pPr>
      <w:r>
        <w:rPr>
          <w:rFonts w:hint="eastAsia" w:ascii="宋体" w:hAnsi="宋体" w:cs="宋体"/>
          <w:color w:val="auto"/>
          <w:kern w:val="0"/>
          <w:sz w:val="24"/>
          <w:highlight w:val="none"/>
        </w:rPr>
        <w:t>联合体将严格按照响应文件的各项要求，递交响应文件，履行合同，并对外承担连带责任。</w:t>
      </w:r>
    </w:p>
    <w:p w14:paraId="45C5A34F">
      <w:pPr>
        <w:numPr>
          <w:ilvl w:val="0"/>
          <w:numId w:val="12"/>
        </w:numPr>
        <w:snapToGrid w:val="0"/>
        <w:spacing w:line="420" w:lineRule="exact"/>
        <w:ind w:firstLine="435"/>
        <w:rPr>
          <w:rFonts w:ascii="宋体" w:hAnsi="宋体" w:cs="宋体"/>
          <w:color w:val="auto"/>
          <w:kern w:val="0"/>
          <w:sz w:val="24"/>
          <w:highlight w:val="none"/>
          <w:lang w:val="zh-CN"/>
        </w:rPr>
      </w:pPr>
      <w:r>
        <w:rPr>
          <w:rFonts w:hint="eastAsia" w:ascii="宋体" w:hAnsi="宋体" w:cs="宋体"/>
          <w:color w:val="auto"/>
          <w:kern w:val="0"/>
          <w:sz w:val="24"/>
          <w:highlight w:val="none"/>
        </w:rPr>
        <w:t>联合体牵头人代表联合体签署响应文件，联合体牵头人的所有承诺均认为代表了联合体各成员。</w:t>
      </w:r>
    </w:p>
    <w:p w14:paraId="170EF41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rPr>
        <w:t>五</w:t>
      </w:r>
      <w:r>
        <w:rPr>
          <w:rFonts w:hint="eastAsia" w:ascii="宋体" w:hAnsi="宋体" w:cs="宋体"/>
          <w:color w:val="auto"/>
          <w:kern w:val="0"/>
          <w:sz w:val="24"/>
          <w:highlight w:val="none"/>
          <w:lang w:val="zh-CN"/>
        </w:rPr>
        <w:t>、</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03399A8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rPr>
        <w:t>六</w:t>
      </w:r>
      <w:r>
        <w:rPr>
          <w:rFonts w:hint="eastAsia" w:ascii="宋体" w:hAnsi="宋体" w:cs="宋体"/>
          <w:color w:val="auto"/>
          <w:kern w:val="0"/>
          <w:sz w:val="24"/>
          <w:highlight w:val="none"/>
          <w:lang w:val="zh-CN"/>
        </w:rPr>
        <w:t>、本次联合投标中，分工如下：</w:t>
      </w:r>
      <w:r>
        <w:rPr>
          <w:rFonts w:hint="eastAsia" w:ascii="宋体" w:hAnsi="宋体" w:cs="宋体"/>
          <w:color w:val="auto"/>
          <w:kern w:val="0"/>
          <w:sz w:val="24"/>
          <w:highlight w:val="none"/>
          <w:u w:val="single"/>
        </w:rPr>
        <w:t>（联合体</w:t>
      </w:r>
      <w:r>
        <w:rPr>
          <w:rFonts w:hint="eastAsia" w:ascii="宋体" w:hAnsi="宋体" w:cs="宋体"/>
          <w:color w:val="auto"/>
          <w:kern w:val="0"/>
          <w:sz w:val="24"/>
          <w:highlight w:val="none"/>
          <w:u w:val="single"/>
          <w:lang w:val="zh-CN"/>
        </w:rPr>
        <w:t>牵头人</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（联合体成员名称）</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w:t>
      </w:r>
    </w:p>
    <w:p w14:paraId="12FD058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rPr>
        <w:t>七</w:t>
      </w:r>
      <w:r>
        <w:rPr>
          <w:rFonts w:hint="eastAsia" w:ascii="宋体" w:hAnsi="宋体" w:cs="宋体"/>
          <w:color w:val="auto"/>
          <w:kern w:val="0"/>
          <w:sz w:val="24"/>
          <w:highlight w:val="none"/>
          <w:lang w:val="zh-CN"/>
        </w:rPr>
        <w:t>、</w:t>
      </w: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p>
    <w:p w14:paraId="02B85A7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rPr>
        <w:t>八</w:t>
      </w:r>
      <w:r>
        <w:rPr>
          <w:rFonts w:hint="eastAsia" w:ascii="宋体" w:hAnsi="宋体" w:cs="宋体"/>
          <w:color w:val="auto"/>
          <w:kern w:val="0"/>
          <w:sz w:val="24"/>
          <w:highlight w:val="none"/>
          <w:lang w:val="zh-CN"/>
        </w:rPr>
        <w:t>、如果中标，</w:t>
      </w:r>
      <w:r>
        <w:rPr>
          <w:rFonts w:hint="eastAsia" w:ascii="宋体" w:hAnsi="宋体" w:cs="宋体"/>
          <w:color w:val="auto"/>
          <w:sz w:val="24"/>
          <w:highlight w:val="none"/>
        </w:rPr>
        <w:t>联合体各成员方共同与采购人签订合同，并就采购合同约定的事项对采购人承担连带责任。</w:t>
      </w:r>
    </w:p>
    <w:p w14:paraId="14A0BD5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rPr>
        <w:t>九</w:t>
      </w:r>
      <w:r>
        <w:rPr>
          <w:rFonts w:hint="eastAsia" w:ascii="宋体" w:hAnsi="宋体" w:cs="宋体"/>
          <w:color w:val="auto"/>
          <w:kern w:val="0"/>
          <w:sz w:val="24"/>
          <w:highlight w:val="none"/>
          <w:lang w:val="zh-CN"/>
        </w:rPr>
        <w:t>、有关本次联合投标的其他事宜：</w:t>
      </w:r>
    </w:p>
    <w:p w14:paraId="0F12F07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33DCE5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49EC57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13E9B69E">
      <w:pPr>
        <w:snapToGrid w:val="0"/>
        <w:spacing w:line="360" w:lineRule="auto"/>
        <w:ind w:firstLine="4080" w:firstLineChars="1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联合体牵头人名称(签名</w:t>
      </w:r>
      <w:r>
        <w:rPr>
          <w:rFonts w:hint="eastAsia" w:ascii="宋体" w:hAnsi="宋体" w:cs="宋体"/>
          <w:color w:val="auto"/>
          <w:kern w:val="0"/>
          <w:sz w:val="24"/>
          <w:highlight w:val="none"/>
        </w:rPr>
        <w:t>和</w:t>
      </w:r>
      <w:r>
        <w:rPr>
          <w:rFonts w:hint="eastAsia" w:ascii="宋体" w:hAnsi="宋体" w:cs="宋体"/>
          <w:color w:val="auto"/>
          <w:kern w:val="0"/>
          <w:sz w:val="24"/>
          <w:highlight w:val="none"/>
          <w:lang w:val="zh-CN"/>
        </w:rPr>
        <w:t>公章)：</w:t>
      </w:r>
    </w:p>
    <w:p w14:paraId="5D840D8F">
      <w:pPr>
        <w:snapToGrid w:val="0"/>
        <w:spacing w:line="360" w:lineRule="auto"/>
        <w:ind w:firstLine="4080" w:firstLineChars="1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联合体成员名称(签名</w:t>
      </w:r>
      <w:r>
        <w:rPr>
          <w:rFonts w:hint="eastAsia" w:ascii="宋体" w:hAnsi="宋体" w:cs="宋体"/>
          <w:color w:val="auto"/>
          <w:kern w:val="0"/>
          <w:sz w:val="24"/>
          <w:highlight w:val="none"/>
        </w:rPr>
        <w:t>和</w:t>
      </w:r>
      <w:r>
        <w:rPr>
          <w:rFonts w:hint="eastAsia" w:ascii="宋体" w:hAnsi="宋体" w:cs="宋体"/>
          <w:color w:val="auto"/>
          <w:kern w:val="0"/>
          <w:sz w:val="24"/>
          <w:highlight w:val="none"/>
          <w:lang w:val="zh-CN"/>
        </w:rPr>
        <w:t>公章)：</w:t>
      </w:r>
    </w:p>
    <w:p w14:paraId="1A0B35B7">
      <w:pPr>
        <w:snapToGrid w:val="0"/>
        <w:spacing w:line="360" w:lineRule="auto"/>
        <w:rPr>
          <w:color w:val="auto"/>
          <w:highlight w:val="none"/>
        </w:rPr>
      </w:pPr>
      <w:r>
        <w:rPr>
          <w:rFonts w:hint="eastAsia" w:ascii="宋体" w:hAnsi="宋体" w:cs="宋体"/>
          <w:color w:val="auto"/>
          <w:kern w:val="0"/>
          <w:sz w:val="24"/>
          <w:highlight w:val="none"/>
          <w:lang w:val="zh-CN"/>
        </w:rPr>
        <w:t xml:space="preserve">                                          日期：  年  月   日</w:t>
      </w:r>
    </w:p>
    <w:p w14:paraId="00426896">
      <w:pPr>
        <w:spacing w:line="380" w:lineRule="exact"/>
        <w:ind w:firstLine="3120" w:firstLineChars="1300"/>
        <w:rPr>
          <w:rFonts w:hint="eastAsia" w:ascii="宋体" w:hAnsi="宋体" w:cs="宋体"/>
          <w:color w:val="auto"/>
          <w:sz w:val="24"/>
          <w:szCs w:val="32"/>
          <w:highlight w:val="none"/>
        </w:rPr>
      </w:pPr>
      <w:r>
        <w:rPr>
          <w:rFonts w:hint="eastAsia" w:ascii="宋体" w:hAnsi="宋体" w:cs="宋体"/>
          <w:color w:val="auto"/>
          <w:sz w:val="24"/>
          <w:szCs w:val="32"/>
          <w:highlight w:val="none"/>
          <w:lang w:eastAsia="zh-CN"/>
        </w:rPr>
        <w:t>【联合体投标的</w:t>
      </w:r>
      <w:r>
        <w:rPr>
          <w:rFonts w:hint="eastAsia" w:ascii="宋体" w:hAnsi="宋体" w:cs="宋体"/>
          <w:color w:val="auto"/>
          <w:sz w:val="24"/>
          <w:szCs w:val="32"/>
          <w:highlight w:val="none"/>
        </w:rPr>
        <w:t>必须提供联合体协议书，否则作无效标处理</w:t>
      </w:r>
      <w:r>
        <w:rPr>
          <w:rFonts w:hint="eastAsia" w:ascii="宋体" w:hAnsi="宋体" w:cs="宋体"/>
          <w:color w:val="auto"/>
          <w:sz w:val="24"/>
          <w:szCs w:val="32"/>
          <w:highlight w:val="none"/>
          <w:lang w:eastAsia="zh-CN"/>
        </w:rPr>
        <w:t>】</w:t>
      </w:r>
    </w:p>
    <w:p w14:paraId="534C3A36">
      <w:pPr>
        <w:spacing w:line="380" w:lineRule="exact"/>
        <w:ind w:firstLine="3120" w:firstLineChars="1300"/>
        <w:rPr>
          <w:rFonts w:ascii="宋体" w:hAnsi="宋体" w:cs="宋体"/>
          <w:color w:val="auto"/>
          <w:sz w:val="24"/>
          <w:szCs w:val="32"/>
          <w:highlight w:val="none"/>
        </w:rPr>
      </w:pPr>
    </w:p>
    <w:p w14:paraId="276C364C">
      <w:pPr>
        <w:bidi w:val="0"/>
        <w:rPr>
          <w:color w:val="auto"/>
          <w:highlight w:val="none"/>
        </w:rPr>
        <w:sectPr>
          <w:headerReference r:id="rId8" w:type="default"/>
          <w:footerReference r:id="rId9" w:type="default"/>
          <w:pgSz w:w="11906" w:h="16838"/>
          <w:pgMar w:top="1440" w:right="1800" w:bottom="1440" w:left="1800" w:header="851" w:footer="992" w:gutter="0"/>
          <w:pgNumType w:fmt="numberInDash"/>
          <w:cols w:space="425" w:num="1"/>
          <w:docGrid w:type="lines" w:linePitch="312" w:charSpace="0"/>
        </w:sectPr>
      </w:pPr>
      <w:r>
        <w:rPr>
          <w:rFonts w:hint="eastAsia" w:ascii="宋体" w:hAnsi="宋体" w:cs="宋体"/>
          <w:b/>
          <w:bCs/>
          <w:color w:val="auto"/>
          <w:sz w:val="24"/>
          <w:szCs w:val="32"/>
          <w:highlight w:val="none"/>
        </w:rPr>
        <w:t>注：协议书中须明确联合体各方在项目招投标、项目合同签订、项目实施等所有阶段中涉及到的工作分工。</w:t>
      </w:r>
    </w:p>
    <w:p w14:paraId="412E41DC">
      <w:pPr>
        <w:bidi w:val="0"/>
        <w:rPr>
          <w:color w:val="auto"/>
          <w:highlight w:val="none"/>
        </w:rPr>
      </w:pPr>
    </w:p>
    <w:bookmarkEnd w:id="49"/>
    <w:bookmarkEnd w:id="50"/>
    <w:bookmarkEnd w:id="51"/>
    <w:p w14:paraId="107154CF">
      <w:pPr>
        <w:jc w:val="center"/>
        <w:rPr>
          <w:color w:val="auto"/>
          <w:highlight w:val="none"/>
        </w:rPr>
      </w:pPr>
    </w:p>
    <w:p w14:paraId="5F8171CE">
      <w:pPr>
        <w:spacing w:before="240" w:beforeLines="100" w:line="360" w:lineRule="auto"/>
        <w:ind w:right="-108"/>
        <w:jc w:val="center"/>
        <w:rPr>
          <w:rFonts w:ascii="宋体" w:hAnsi="宋体"/>
          <w:color w:val="auto"/>
          <w:sz w:val="52"/>
          <w:szCs w:val="52"/>
          <w:highlight w:val="none"/>
        </w:rPr>
      </w:pPr>
      <w:r>
        <w:rPr>
          <w:rFonts w:hint="eastAsia" w:ascii="宋体" w:hAnsi="宋体"/>
          <w:color w:val="auto"/>
          <w:sz w:val="52"/>
          <w:szCs w:val="52"/>
          <w:highlight w:val="none"/>
        </w:rPr>
        <w:t>项目名称</w:t>
      </w:r>
    </w:p>
    <w:p w14:paraId="0737DD9B">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r>
        <w:rPr>
          <w:rFonts w:hint="eastAsia" w:ascii="宋体" w:hAnsi="宋体"/>
          <w:color w:val="auto"/>
          <w:sz w:val="36"/>
          <w:szCs w:val="36"/>
          <w:highlight w:val="none"/>
          <w:lang w:val="en-US" w:eastAsia="zh-CN"/>
        </w:rPr>
        <w:t xml:space="preserve">  </w:t>
      </w:r>
      <w:r>
        <w:rPr>
          <w:rFonts w:hint="eastAsia" w:ascii="宋体" w:hAnsi="宋体"/>
          <w:color w:val="auto"/>
          <w:sz w:val="36"/>
          <w:szCs w:val="36"/>
          <w:highlight w:val="none"/>
        </w:rPr>
        <w:t>）</w:t>
      </w:r>
    </w:p>
    <w:p w14:paraId="41148220">
      <w:pPr>
        <w:autoSpaceDE w:val="0"/>
        <w:autoSpaceDN w:val="0"/>
        <w:adjustRightInd w:val="0"/>
        <w:spacing w:line="360" w:lineRule="auto"/>
        <w:jc w:val="center"/>
        <w:rPr>
          <w:rFonts w:ascii="宋体" w:hAnsi="宋体" w:cs="宋体"/>
          <w:color w:val="auto"/>
          <w:sz w:val="24"/>
          <w:highlight w:val="none"/>
          <w:lang w:val="zh-CN"/>
        </w:rPr>
      </w:pPr>
    </w:p>
    <w:p w14:paraId="1705E1D7">
      <w:pPr>
        <w:jc w:val="center"/>
        <w:rPr>
          <w:color w:val="auto"/>
          <w:sz w:val="84"/>
          <w:szCs w:val="84"/>
          <w:highlight w:val="none"/>
          <w:lang w:val="zh-CN"/>
        </w:rPr>
      </w:pPr>
      <w:r>
        <w:rPr>
          <w:rFonts w:hint="eastAsia"/>
          <w:color w:val="auto"/>
          <w:sz w:val="84"/>
          <w:szCs w:val="84"/>
          <w:highlight w:val="none"/>
          <w:lang w:val="zh-CN"/>
        </w:rPr>
        <w:t>投</w:t>
      </w:r>
    </w:p>
    <w:p w14:paraId="27BB5A40">
      <w:pPr>
        <w:jc w:val="center"/>
        <w:rPr>
          <w:color w:val="auto"/>
          <w:sz w:val="84"/>
          <w:szCs w:val="84"/>
          <w:highlight w:val="none"/>
          <w:lang w:val="zh-CN"/>
        </w:rPr>
      </w:pPr>
      <w:r>
        <w:rPr>
          <w:rFonts w:hint="eastAsia"/>
          <w:color w:val="auto"/>
          <w:sz w:val="84"/>
          <w:szCs w:val="84"/>
          <w:highlight w:val="none"/>
          <w:lang w:val="zh-CN"/>
        </w:rPr>
        <w:t>标</w:t>
      </w:r>
    </w:p>
    <w:p w14:paraId="24A93C68">
      <w:pPr>
        <w:jc w:val="center"/>
        <w:rPr>
          <w:color w:val="auto"/>
          <w:sz w:val="84"/>
          <w:szCs w:val="84"/>
          <w:highlight w:val="none"/>
        </w:rPr>
      </w:pPr>
      <w:r>
        <w:rPr>
          <w:rFonts w:hint="eastAsia"/>
          <w:color w:val="auto"/>
          <w:sz w:val="84"/>
          <w:szCs w:val="84"/>
          <w:highlight w:val="none"/>
          <w:lang w:val="zh-CN"/>
        </w:rPr>
        <w:t>文</w:t>
      </w:r>
    </w:p>
    <w:p w14:paraId="63F6E73C">
      <w:pPr>
        <w:jc w:val="center"/>
        <w:rPr>
          <w:color w:val="auto"/>
          <w:sz w:val="84"/>
          <w:szCs w:val="84"/>
          <w:highlight w:val="none"/>
          <w:lang w:val="zh-CN"/>
        </w:rPr>
      </w:pPr>
      <w:r>
        <w:rPr>
          <w:rFonts w:hint="eastAsia"/>
          <w:color w:val="auto"/>
          <w:sz w:val="84"/>
          <w:szCs w:val="84"/>
          <w:highlight w:val="none"/>
          <w:lang w:val="zh-CN"/>
        </w:rPr>
        <w:t>件</w:t>
      </w:r>
    </w:p>
    <w:p w14:paraId="6E935CD0">
      <w:pPr>
        <w:spacing w:after="100" w:afterAutospacing="1" w:line="360" w:lineRule="auto"/>
        <w:ind w:right="-108"/>
        <w:jc w:val="center"/>
        <w:rPr>
          <w:rFonts w:ascii="宋体" w:hAnsi="宋体"/>
          <w:b/>
          <w:color w:val="auto"/>
          <w:sz w:val="28"/>
          <w:szCs w:val="28"/>
          <w:highlight w:val="none"/>
        </w:rPr>
      </w:pPr>
      <w:r>
        <w:rPr>
          <w:rFonts w:hint="eastAsia" w:ascii="宋体" w:hAnsi="宋体"/>
          <w:bCs/>
          <w:color w:val="auto"/>
          <w:sz w:val="24"/>
          <w:highlight w:val="none"/>
          <w:lang w:val="zh-CN"/>
        </w:rPr>
        <w:t>（商务与技术文件）</w:t>
      </w:r>
    </w:p>
    <w:p w14:paraId="77A5ED22">
      <w:pPr>
        <w:pStyle w:val="20"/>
        <w:rPr>
          <w:color w:val="auto"/>
          <w:highlight w:val="none"/>
        </w:rPr>
      </w:pPr>
    </w:p>
    <w:p w14:paraId="6B356000">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lang w:eastAsia="zh-CN"/>
        </w:rPr>
        <w:t>供应商</w:t>
      </w:r>
      <w:r>
        <w:rPr>
          <w:rFonts w:hint="eastAsia" w:ascii="宋体" w:hAnsi="宋体"/>
          <w:color w:val="auto"/>
          <w:sz w:val="36"/>
          <w:szCs w:val="36"/>
          <w:highlight w:val="none"/>
        </w:rPr>
        <w:t>全称（公章）：</w:t>
      </w:r>
    </w:p>
    <w:p w14:paraId="14043A8B">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14:paraId="350FCF88">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14:paraId="1EE2050C">
      <w:pPr>
        <w:snapToGrid w:val="0"/>
        <w:spacing w:before="50" w:after="50" w:line="360" w:lineRule="auto"/>
        <w:rPr>
          <w:rFonts w:ascii="仿宋_GB2312" w:hAnsi="宋体" w:eastAsia="仿宋_GB2312"/>
          <w:b/>
          <w:color w:val="auto"/>
          <w:sz w:val="36"/>
          <w:szCs w:val="36"/>
          <w:highlight w:val="none"/>
        </w:rPr>
      </w:pPr>
    </w:p>
    <w:p w14:paraId="129CAC6C">
      <w:pPr>
        <w:pStyle w:val="9"/>
        <w:rPr>
          <w:rFonts w:ascii="仿宋_GB2312" w:hAnsi="宋体" w:eastAsia="仿宋_GB2312"/>
          <w:b/>
          <w:color w:val="auto"/>
          <w:sz w:val="36"/>
          <w:szCs w:val="36"/>
          <w:highlight w:val="none"/>
        </w:rPr>
      </w:pPr>
    </w:p>
    <w:p w14:paraId="104A5B9B">
      <w:pPr>
        <w:jc w:val="both"/>
        <w:rPr>
          <w:b/>
          <w:bCs/>
          <w:color w:val="auto"/>
          <w:sz w:val="36"/>
          <w:szCs w:val="36"/>
          <w:highlight w:val="none"/>
          <w:lang w:val="zh-CN"/>
        </w:rPr>
        <w:sectPr>
          <w:pgSz w:w="11906" w:h="16838"/>
          <w:pgMar w:top="1440" w:right="1800" w:bottom="1440" w:left="1800" w:header="851" w:footer="992" w:gutter="0"/>
          <w:pgNumType w:fmt="numberInDash"/>
          <w:cols w:space="425" w:num="1"/>
          <w:docGrid w:type="lines" w:linePitch="312" w:charSpace="0"/>
        </w:sectPr>
      </w:pPr>
      <w:bookmarkStart w:id="52" w:name="_Toc5889_WPSOffice_Level1"/>
      <w:bookmarkStart w:id="53" w:name="_Toc11308_WPSOffice_Level1"/>
    </w:p>
    <w:p w14:paraId="0655F34F">
      <w:pPr>
        <w:jc w:val="center"/>
        <w:rPr>
          <w:b/>
          <w:bCs/>
          <w:color w:val="auto"/>
          <w:sz w:val="36"/>
          <w:szCs w:val="36"/>
          <w:highlight w:val="none"/>
        </w:rPr>
      </w:pPr>
      <w:r>
        <w:rPr>
          <w:rFonts w:hint="eastAsia"/>
          <w:b/>
          <w:bCs/>
          <w:color w:val="auto"/>
          <w:sz w:val="36"/>
          <w:szCs w:val="36"/>
          <w:highlight w:val="none"/>
          <w:lang w:val="zh-CN"/>
        </w:rPr>
        <w:t>商务与技术文件</w:t>
      </w:r>
      <w:r>
        <w:rPr>
          <w:rFonts w:hint="eastAsia"/>
          <w:b/>
          <w:bCs/>
          <w:color w:val="auto"/>
          <w:sz w:val="36"/>
          <w:szCs w:val="36"/>
          <w:highlight w:val="none"/>
        </w:rPr>
        <w:t>目录</w:t>
      </w:r>
      <w:bookmarkEnd w:id="52"/>
      <w:bookmarkEnd w:id="53"/>
    </w:p>
    <w:p w14:paraId="6DDC58E5">
      <w:pPr>
        <w:spacing w:line="360" w:lineRule="auto"/>
        <w:rPr>
          <w:color w:val="auto"/>
          <w:sz w:val="24"/>
          <w:highlight w:val="none"/>
        </w:rPr>
      </w:pPr>
    </w:p>
    <w:p w14:paraId="037A3B88">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lang w:eastAsia="zh-CN"/>
        </w:rPr>
        <w:t>供应商</w:t>
      </w:r>
      <w:r>
        <w:rPr>
          <w:rFonts w:hint="eastAsia" w:ascii="宋体" w:hAnsi="宋体"/>
          <w:bCs/>
          <w:color w:val="auto"/>
          <w:sz w:val="24"/>
          <w:highlight w:val="none"/>
        </w:rPr>
        <w:t>基本情况表（附件</w:t>
      </w:r>
      <w:r>
        <w:rPr>
          <w:rFonts w:hint="eastAsia" w:ascii="宋体" w:hAnsi="宋体"/>
          <w:bCs/>
          <w:color w:val="auto"/>
          <w:sz w:val="24"/>
          <w:highlight w:val="none"/>
          <w:lang w:val="en-US" w:eastAsia="zh-CN"/>
        </w:rPr>
        <w:t>8</w:t>
      </w:r>
      <w:r>
        <w:rPr>
          <w:rFonts w:hint="eastAsia" w:ascii="宋体" w:hAnsi="宋体"/>
          <w:bCs/>
          <w:color w:val="auto"/>
          <w:sz w:val="24"/>
          <w:highlight w:val="none"/>
        </w:rPr>
        <w:t>）；</w:t>
      </w:r>
    </w:p>
    <w:p w14:paraId="76C693DB">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w:t>
      </w:r>
      <w:r>
        <w:rPr>
          <w:rFonts w:hint="eastAsia" w:ascii="宋体" w:hAnsi="宋体"/>
          <w:bCs/>
          <w:color w:val="auto"/>
          <w:sz w:val="24"/>
          <w:highlight w:val="none"/>
          <w:lang w:val="en-US" w:eastAsia="zh-CN"/>
        </w:rPr>
        <w:t>项目技术</w:t>
      </w:r>
      <w:r>
        <w:rPr>
          <w:rFonts w:hint="eastAsia" w:ascii="宋体" w:hAnsi="宋体"/>
          <w:bCs/>
          <w:color w:val="auto"/>
          <w:sz w:val="24"/>
          <w:highlight w:val="none"/>
        </w:rPr>
        <w:t>方案</w:t>
      </w:r>
      <w:r>
        <w:rPr>
          <w:rFonts w:hint="eastAsia" w:ascii="宋体" w:hAnsi="宋体"/>
          <w:bCs/>
          <w:color w:val="auto"/>
          <w:sz w:val="24"/>
          <w:highlight w:val="none"/>
          <w:lang w:val="en-US" w:eastAsia="zh-CN"/>
        </w:rPr>
        <w:t>根据招标需求和评分标准自行拟定</w:t>
      </w:r>
      <w:r>
        <w:rPr>
          <w:rFonts w:hint="eastAsia" w:ascii="宋体" w:hAnsi="宋体"/>
          <w:bCs/>
          <w:color w:val="auto"/>
          <w:sz w:val="24"/>
          <w:highlight w:val="none"/>
        </w:rPr>
        <w:t>；</w:t>
      </w:r>
    </w:p>
    <w:p w14:paraId="600B29EF">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（3）项目负责人资格情况表（附件</w:t>
      </w:r>
      <w:r>
        <w:rPr>
          <w:rFonts w:hint="eastAsia" w:ascii="宋体" w:hAnsi="宋体"/>
          <w:bCs/>
          <w:color w:val="auto"/>
          <w:sz w:val="24"/>
          <w:highlight w:val="none"/>
          <w:lang w:val="en-US" w:eastAsia="zh-CN"/>
        </w:rPr>
        <w:t>9</w:t>
      </w:r>
      <w:r>
        <w:rPr>
          <w:rFonts w:hint="eastAsia" w:ascii="宋体" w:hAnsi="宋体"/>
          <w:bCs/>
          <w:color w:val="auto"/>
          <w:sz w:val="24"/>
          <w:highlight w:val="none"/>
        </w:rPr>
        <w:t>）；</w:t>
      </w:r>
    </w:p>
    <w:p w14:paraId="00F6B92E">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（4）项目实施人员一览表（附件</w:t>
      </w:r>
      <w:r>
        <w:rPr>
          <w:rFonts w:hint="eastAsia" w:ascii="宋体" w:hAnsi="宋体"/>
          <w:bCs/>
          <w:color w:val="auto"/>
          <w:sz w:val="24"/>
          <w:highlight w:val="none"/>
          <w:lang w:val="en-US" w:eastAsia="zh-CN"/>
        </w:rPr>
        <w:t>10</w:t>
      </w:r>
      <w:r>
        <w:rPr>
          <w:rFonts w:hint="eastAsia" w:ascii="宋体" w:hAnsi="宋体"/>
          <w:bCs/>
          <w:color w:val="auto"/>
          <w:sz w:val="24"/>
          <w:highlight w:val="none"/>
        </w:rPr>
        <w:t>）；</w:t>
      </w:r>
    </w:p>
    <w:p w14:paraId="0327120A">
      <w:pPr>
        <w:snapToGrid w:val="0"/>
        <w:spacing w:line="360" w:lineRule="auto"/>
        <w:ind w:firstLine="480" w:firstLineChars="200"/>
        <w:rPr>
          <w:rFonts w:ascii="Calibri" w:hAnsi="Calibri" w:cs="Calibri"/>
          <w:color w:val="auto"/>
          <w:sz w:val="24"/>
          <w:highlight w:val="none"/>
        </w:rPr>
      </w:pPr>
      <w:r>
        <w:rPr>
          <w:rFonts w:hint="eastAsia" w:ascii="宋体" w:hAnsi="宋体"/>
          <w:bCs/>
          <w:color w:val="auto"/>
          <w:sz w:val="24"/>
          <w:highlight w:val="none"/>
        </w:rPr>
        <w:t>（5）</w:t>
      </w:r>
      <w:r>
        <w:rPr>
          <w:rFonts w:hint="eastAsia" w:ascii="Calibri" w:hAnsi="Calibri" w:cs="Calibri"/>
          <w:color w:val="auto"/>
          <w:sz w:val="24"/>
          <w:highlight w:val="none"/>
        </w:rPr>
        <w:t>服务条款响应表（附件</w:t>
      </w:r>
      <w:r>
        <w:rPr>
          <w:rFonts w:hint="eastAsia" w:ascii="宋体" w:hAnsi="宋体" w:eastAsia="宋体" w:cs="Times New Roman"/>
          <w:bCs/>
          <w:color w:val="auto"/>
          <w:sz w:val="24"/>
          <w:highlight w:val="none"/>
          <w:lang w:val="en-US" w:eastAsia="zh-CN"/>
        </w:rPr>
        <w:t>1</w:t>
      </w:r>
      <w:r>
        <w:rPr>
          <w:rFonts w:hint="eastAsia" w:ascii="宋体" w:hAnsi="宋体" w:cs="Times New Roman"/>
          <w:bCs/>
          <w:color w:val="auto"/>
          <w:sz w:val="24"/>
          <w:highlight w:val="none"/>
          <w:lang w:val="en-US" w:eastAsia="zh-CN"/>
        </w:rPr>
        <w:t>1</w:t>
      </w:r>
      <w:r>
        <w:rPr>
          <w:rFonts w:hint="eastAsia" w:ascii="Calibri" w:hAnsi="Calibri" w:cs="Calibri"/>
          <w:color w:val="auto"/>
          <w:sz w:val="24"/>
          <w:highlight w:val="none"/>
        </w:rPr>
        <w:t>）；</w:t>
      </w:r>
    </w:p>
    <w:p w14:paraId="2AC513E8">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（6）证书一览表（与本项目相关的认证证书或文件；附件1</w:t>
      </w:r>
      <w:r>
        <w:rPr>
          <w:rFonts w:hint="eastAsia" w:ascii="宋体" w:hAnsi="宋体" w:cs="Times New Roman"/>
          <w:bCs/>
          <w:color w:val="auto"/>
          <w:sz w:val="24"/>
          <w:highlight w:val="none"/>
          <w:lang w:val="en-US" w:eastAsia="zh-CN"/>
        </w:rPr>
        <w:t>2</w:t>
      </w:r>
      <w:r>
        <w:rPr>
          <w:rFonts w:hint="eastAsia" w:ascii="宋体" w:hAnsi="宋体" w:eastAsia="宋体" w:cs="Times New Roman"/>
          <w:bCs/>
          <w:color w:val="auto"/>
          <w:sz w:val="24"/>
          <w:highlight w:val="none"/>
        </w:rPr>
        <w:t>）；</w:t>
      </w:r>
    </w:p>
    <w:p w14:paraId="3A688E4D">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（7）同类业绩证明（如有；附件</w:t>
      </w:r>
      <w:r>
        <w:rPr>
          <w:rFonts w:hint="eastAsia" w:ascii="宋体" w:hAnsi="宋体" w:cs="Times New Roman"/>
          <w:bCs/>
          <w:color w:val="auto"/>
          <w:sz w:val="24"/>
          <w:highlight w:val="none"/>
          <w:lang w:val="en-US" w:eastAsia="zh-CN"/>
        </w:rPr>
        <w:t>13</w:t>
      </w:r>
      <w:r>
        <w:rPr>
          <w:rFonts w:hint="eastAsia" w:ascii="宋体" w:hAnsi="宋体" w:eastAsia="宋体" w:cs="Times New Roman"/>
          <w:bCs/>
          <w:color w:val="auto"/>
          <w:sz w:val="24"/>
          <w:highlight w:val="none"/>
        </w:rPr>
        <w:t>）；</w:t>
      </w:r>
    </w:p>
    <w:p w14:paraId="6FEF2CC9">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（8）符合招标文件规定的其他证明文件及评分标准中涉及的其他材料。</w:t>
      </w:r>
    </w:p>
    <w:p w14:paraId="02A0915C">
      <w:pPr>
        <w:pStyle w:val="9"/>
        <w:spacing w:line="360" w:lineRule="auto"/>
        <w:ind w:firstLine="0"/>
        <w:rPr>
          <w:rFonts w:ascii="宋体" w:hAnsi="宋体"/>
          <w:bCs/>
          <w:color w:val="auto"/>
          <w:sz w:val="24"/>
          <w:highlight w:val="none"/>
        </w:rPr>
      </w:pPr>
    </w:p>
    <w:p w14:paraId="50DA788A">
      <w:pPr>
        <w:pStyle w:val="9"/>
        <w:spacing w:line="360" w:lineRule="auto"/>
        <w:ind w:firstLine="0"/>
        <w:rPr>
          <w:rFonts w:ascii="宋体" w:hAnsi="宋体"/>
          <w:bCs/>
          <w:color w:val="auto"/>
          <w:sz w:val="24"/>
          <w:highlight w:val="none"/>
        </w:rPr>
      </w:pPr>
    </w:p>
    <w:p w14:paraId="178E1B0E">
      <w:pPr>
        <w:pStyle w:val="9"/>
        <w:spacing w:line="360" w:lineRule="auto"/>
        <w:ind w:firstLine="0"/>
        <w:rPr>
          <w:rFonts w:ascii="宋体" w:hAnsi="宋体"/>
          <w:bCs/>
          <w:color w:val="auto"/>
          <w:sz w:val="24"/>
          <w:highlight w:val="none"/>
        </w:rPr>
      </w:pPr>
    </w:p>
    <w:p w14:paraId="69B32674">
      <w:pPr>
        <w:pStyle w:val="9"/>
        <w:spacing w:line="360" w:lineRule="auto"/>
        <w:ind w:firstLine="0"/>
        <w:rPr>
          <w:rFonts w:ascii="宋体" w:hAnsi="宋体"/>
          <w:bCs/>
          <w:color w:val="auto"/>
          <w:sz w:val="24"/>
          <w:highlight w:val="none"/>
        </w:rPr>
      </w:pPr>
    </w:p>
    <w:p w14:paraId="1908A5C4">
      <w:pPr>
        <w:pStyle w:val="9"/>
        <w:spacing w:line="360" w:lineRule="auto"/>
        <w:ind w:firstLine="0"/>
        <w:rPr>
          <w:rFonts w:ascii="宋体" w:hAnsi="宋体"/>
          <w:bCs/>
          <w:color w:val="auto"/>
          <w:sz w:val="24"/>
          <w:highlight w:val="none"/>
        </w:rPr>
      </w:pPr>
    </w:p>
    <w:p w14:paraId="2EE4132E">
      <w:pPr>
        <w:pStyle w:val="9"/>
        <w:spacing w:line="360" w:lineRule="auto"/>
        <w:ind w:firstLine="0"/>
        <w:rPr>
          <w:rFonts w:ascii="宋体" w:hAnsi="宋体"/>
          <w:bCs/>
          <w:color w:val="auto"/>
          <w:sz w:val="24"/>
          <w:highlight w:val="none"/>
        </w:rPr>
      </w:pPr>
    </w:p>
    <w:p w14:paraId="46D407F9">
      <w:pPr>
        <w:pStyle w:val="9"/>
        <w:spacing w:line="360" w:lineRule="auto"/>
        <w:ind w:firstLine="0"/>
        <w:rPr>
          <w:rFonts w:ascii="宋体" w:hAnsi="宋体"/>
          <w:bCs/>
          <w:color w:val="auto"/>
          <w:sz w:val="24"/>
          <w:highlight w:val="none"/>
        </w:rPr>
      </w:pPr>
    </w:p>
    <w:p w14:paraId="7CFFA165">
      <w:pPr>
        <w:pStyle w:val="9"/>
        <w:spacing w:line="360" w:lineRule="auto"/>
        <w:ind w:firstLine="0"/>
        <w:rPr>
          <w:rFonts w:ascii="宋体" w:hAnsi="宋体"/>
          <w:bCs/>
          <w:color w:val="auto"/>
          <w:sz w:val="24"/>
          <w:highlight w:val="none"/>
        </w:rPr>
      </w:pPr>
    </w:p>
    <w:p w14:paraId="3DED94C5">
      <w:pPr>
        <w:pStyle w:val="9"/>
        <w:spacing w:line="360" w:lineRule="auto"/>
        <w:ind w:firstLine="0"/>
        <w:rPr>
          <w:rFonts w:ascii="宋体" w:hAnsi="宋体"/>
          <w:bCs/>
          <w:color w:val="auto"/>
          <w:sz w:val="24"/>
          <w:highlight w:val="none"/>
        </w:rPr>
      </w:pPr>
    </w:p>
    <w:p w14:paraId="0C97F7FF">
      <w:pPr>
        <w:pStyle w:val="9"/>
        <w:ind w:firstLine="0"/>
        <w:rPr>
          <w:color w:val="auto"/>
          <w:sz w:val="28"/>
          <w:szCs w:val="28"/>
          <w:highlight w:val="none"/>
        </w:rPr>
        <w:sectPr>
          <w:pgSz w:w="11906" w:h="16838"/>
          <w:pgMar w:top="1440" w:right="1800" w:bottom="1440" w:left="1800" w:header="851" w:footer="992" w:gutter="0"/>
          <w:pgNumType w:fmt="numberInDash"/>
          <w:cols w:space="425" w:num="1"/>
          <w:docGrid w:type="lines" w:linePitch="312" w:charSpace="0"/>
        </w:sectPr>
      </w:pPr>
    </w:p>
    <w:p w14:paraId="331F16A1">
      <w:pPr>
        <w:pStyle w:val="30"/>
        <w:shd w:val="clear" w:color="auto" w:fill="FFFFFF"/>
        <w:spacing w:before="0" w:beforeAutospacing="0" w:after="0" w:afterAutospacing="0" w:line="360" w:lineRule="auto"/>
        <w:rPr>
          <w:rFonts w:hint="eastAsia" w:eastAsia="宋体"/>
          <w:b/>
          <w:color w:val="auto"/>
          <w:sz w:val="28"/>
          <w:highlight w:val="none"/>
          <w:lang w:eastAsia="zh-CN"/>
        </w:rPr>
      </w:pPr>
      <w:r>
        <w:rPr>
          <w:rFonts w:hint="eastAsia"/>
          <w:b/>
          <w:color w:val="auto"/>
          <w:sz w:val="28"/>
          <w:highlight w:val="none"/>
        </w:rPr>
        <w:t>附件</w:t>
      </w:r>
      <w:r>
        <w:rPr>
          <w:rFonts w:hint="eastAsia"/>
          <w:b/>
          <w:color w:val="auto"/>
          <w:sz w:val="28"/>
          <w:highlight w:val="none"/>
          <w:lang w:val="en-US" w:eastAsia="zh-CN"/>
        </w:rPr>
        <w:t>8</w:t>
      </w:r>
    </w:p>
    <w:p w14:paraId="2BD9F15D">
      <w:pPr>
        <w:pStyle w:val="30"/>
        <w:shd w:val="clear" w:color="auto" w:fill="FFFFFF"/>
        <w:spacing w:before="0" w:beforeAutospacing="0" w:after="0" w:afterAutospacing="0" w:line="360" w:lineRule="auto"/>
        <w:jc w:val="center"/>
        <w:rPr>
          <w:rFonts w:eastAsia="微软雅黑"/>
          <w:color w:val="auto"/>
          <w:sz w:val="36"/>
          <w:szCs w:val="36"/>
          <w:highlight w:val="none"/>
        </w:rPr>
      </w:pPr>
      <w:r>
        <w:rPr>
          <w:rFonts w:hint="eastAsia"/>
          <w:b/>
          <w:color w:val="auto"/>
          <w:sz w:val="32"/>
          <w:szCs w:val="32"/>
          <w:highlight w:val="none"/>
        </w:rPr>
        <w:t xml:space="preserve">  </w:t>
      </w:r>
      <w:bookmarkStart w:id="54" w:name="_Toc14261_WPSOffice_Level1"/>
      <w:bookmarkStart w:id="55" w:name="_Toc13307_WPSOffice_Level1"/>
      <w:r>
        <w:rPr>
          <w:rFonts w:hint="eastAsia"/>
          <w:b/>
          <w:color w:val="auto"/>
          <w:sz w:val="32"/>
          <w:szCs w:val="32"/>
          <w:highlight w:val="none"/>
          <w:lang w:eastAsia="zh-CN"/>
        </w:rPr>
        <w:t>供应商</w:t>
      </w:r>
      <w:r>
        <w:rPr>
          <w:rFonts w:hint="eastAsia"/>
          <w:b/>
          <w:bCs/>
          <w:color w:val="auto"/>
          <w:sz w:val="32"/>
          <w:szCs w:val="32"/>
          <w:highlight w:val="none"/>
        </w:rPr>
        <w:t>基本情况表</w:t>
      </w:r>
      <w:bookmarkEnd w:id="54"/>
      <w:bookmarkEnd w:id="55"/>
    </w:p>
    <w:tbl>
      <w:tblPr>
        <w:tblStyle w:val="21"/>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14:paraId="0BA8A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4" w:hRule="atLeast"/>
          <w:jc w:val="center"/>
        </w:trPr>
        <w:tc>
          <w:tcPr>
            <w:tcW w:w="823" w:type="dxa"/>
            <w:tcMar>
              <w:top w:w="57" w:type="dxa"/>
              <w:left w:w="85" w:type="dxa"/>
              <w:bottom w:w="0" w:type="dxa"/>
              <w:right w:w="85" w:type="dxa"/>
            </w:tcMar>
            <w:vAlign w:val="center"/>
          </w:tcPr>
          <w:p w14:paraId="2FBB8EBD">
            <w:pPr>
              <w:pStyle w:val="30"/>
              <w:shd w:val="clear" w:color="auto" w:fill="FFFFFF"/>
              <w:spacing w:before="0" w:beforeAutospacing="0" w:after="0" w:afterAutospacing="0"/>
              <w:jc w:val="center"/>
              <w:rPr>
                <w:bCs/>
                <w:color w:val="auto"/>
                <w:highlight w:val="none"/>
              </w:rPr>
            </w:pPr>
            <w:r>
              <w:rPr>
                <w:rFonts w:hint="eastAsia"/>
                <w:bCs/>
                <w:color w:val="auto"/>
                <w:highlight w:val="none"/>
              </w:rPr>
              <w:t>企业名称</w:t>
            </w:r>
          </w:p>
        </w:tc>
        <w:tc>
          <w:tcPr>
            <w:tcW w:w="3979" w:type="dxa"/>
            <w:gridSpan w:val="6"/>
            <w:tcMar>
              <w:top w:w="57" w:type="dxa"/>
              <w:left w:w="85" w:type="dxa"/>
              <w:bottom w:w="0" w:type="dxa"/>
              <w:right w:w="85" w:type="dxa"/>
            </w:tcMar>
            <w:vAlign w:val="center"/>
          </w:tcPr>
          <w:p w14:paraId="26F4D259">
            <w:pPr>
              <w:pStyle w:val="30"/>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14:paraId="66B4FB40">
            <w:pPr>
              <w:pStyle w:val="30"/>
              <w:shd w:val="clear" w:color="auto" w:fill="FFFFFF"/>
              <w:spacing w:before="0" w:beforeAutospacing="0" w:after="0" w:afterAutospacing="0"/>
              <w:jc w:val="center"/>
              <w:rPr>
                <w:bCs/>
                <w:color w:val="auto"/>
                <w:highlight w:val="none"/>
              </w:rPr>
            </w:pPr>
            <w:r>
              <w:rPr>
                <w:rFonts w:hint="eastAsia"/>
                <w:bCs/>
                <w:color w:val="auto"/>
                <w:highlight w:val="none"/>
              </w:rPr>
              <w:t>法人代表</w:t>
            </w:r>
          </w:p>
        </w:tc>
        <w:tc>
          <w:tcPr>
            <w:tcW w:w="2151" w:type="dxa"/>
            <w:gridSpan w:val="2"/>
            <w:tcMar>
              <w:top w:w="57" w:type="dxa"/>
              <w:left w:w="85" w:type="dxa"/>
              <w:bottom w:w="0" w:type="dxa"/>
              <w:right w:w="85" w:type="dxa"/>
            </w:tcMar>
            <w:vAlign w:val="center"/>
          </w:tcPr>
          <w:p w14:paraId="13939ADD">
            <w:pPr>
              <w:pStyle w:val="30"/>
              <w:shd w:val="clear" w:color="auto" w:fill="FFFFFF"/>
              <w:spacing w:before="0" w:beforeAutospacing="0" w:after="0" w:afterAutospacing="0"/>
              <w:jc w:val="center"/>
              <w:rPr>
                <w:bCs/>
                <w:color w:val="auto"/>
                <w:highlight w:val="none"/>
              </w:rPr>
            </w:pPr>
          </w:p>
        </w:tc>
      </w:tr>
      <w:tr w14:paraId="7E4F8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14:paraId="14D3BCFD">
            <w:pPr>
              <w:pStyle w:val="30"/>
              <w:shd w:val="clear" w:color="auto" w:fill="FFFFFF"/>
              <w:spacing w:before="0" w:beforeAutospacing="0" w:after="0" w:afterAutospacing="0"/>
              <w:jc w:val="center"/>
              <w:rPr>
                <w:bCs/>
                <w:color w:val="auto"/>
                <w:highlight w:val="none"/>
              </w:rPr>
            </w:pPr>
            <w:r>
              <w:rPr>
                <w:rFonts w:hint="eastAsia"/>
                <w:bCs/>
                <w:color w:val="auto"/>
                <w:highlight w:val="none"/>
              </w:rPr>
              <w:t>地址</w:t>
            </w:r>
          </w:p>
        </w:tc>
        <w:tc>
          <w:tcPr>
            <w:tcW w:w="3979" w:type="dxa"/>
            <w:gridSpan w:val="6"/>
            <w:tcBorders>
              <w:bottom w:val="single" w:color="auto" w:sz="4" w:space="0"/>
            </w:tcBorders>
            <w:tcMar>
              <w:top w:w="57" w:type="dxa"/>
              <w:left w:w="85" w:type="dxa"/>
              <w:bottom w:w="0" w:type="dxa"/>
              <w:right w:w="85" w:type="dxa"/>
            </w:tcMar>
            <w:vAlign w:val="center"/>
          </w:tcPr>
          <w:p w14:paraId="5440D98E">
            <w:pPr>
              <w:pStyle w:val="30"/>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14:paraId="3229B98D">
            <w:pPr>
              <w:pStyle w:val="30"/>
              <w:shd w:val="clear" w:color="auto" w:fill="FFFFFF"/>
              <w:spacing w:before="0" w:beforeAutospacing="0" w:after="0" w:afterAutospacing="0"/>
              <w:jc w:val="center"/>
              <w:rPr>
                <w:bCs/>
                <w:color w:val="auto"/>
                <w:highlight w:val="none"/>
              </w:rPr>
            </w:pPr>
            <w:r>
              <w:rPr>
                <w:rFonts w:hint="eastAsia"/>
                <w:bCs/>
                <w:color w:val="auto"/>
                <w:highlight w:val="none"/>
              </w:rPr>
              <w:t>企业性质</w:t>
            </w:r>
          </w:p>
        </w:tc>
        <w:tc>
          <w:tcPr>
            <w:tcW w:w="2151" w:type="dxa"/>
            <w:gridSpan w:val="2"/>
            <w:tcMar>
              <w:top w:w="57" w:type="dxa"/>
              <w:left w:w="85" w:type="dxa"/>
              <w:bottom w:w="0" w:type="dxa"/>
              <w:right w:w="85" w:type="dxa"/>
            </w:tcMar>
            <w:vAlign w:val="center"/>
          </w:tcPr>
          <w:p w14:paraId="31A69741">
            <w:pPr>
              <w:pStyle w:val="30"/>
              <w:shd w:val="clear" w:color="auto" w:fill="FFFFFF"/>
              <w:spacing w:before="0" w:beforeAutospacing="0" w:after="0" w:afterAutospacing="0"/>
              <w:jc w:val="center"/>
              <w:rPr>
                <w:bCs/>
                <w:color w:val="auto"/>
                <w:highlight w:val="none"/>
              </w:rPr>
            </w:pPr>
          </w:p>
        </w:tc>
      </w:tr>
      <w:tr w14:paraId="24308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14:paraId="3CFD422B">
            <w:pPr>
              <w:pStyle w:val="30"/>
              <w:shd w:val="clear" w:color="auto" w:fill="FFFFFF"/>
              <w:spacing w:before="0" w:beforeAutospacing="0" w:after="0" w:afterAutospacing="0"/>
              <w:jc w:val="center"/>
              <w:rPr>
                <w:bCs/>
                <w:color w:val="auto"/>
                <w:highlight w:val="none"/>
              </w:rPr>
            </w:pPr>
            <w:r>
              <w:rPr>
                <w:rFonts w:hint="eastAsia"/>
                <w:bCs/>
                <w:color w:val="auto"/>
                <w:highlight w:val="none"/>
              </w:rPr>
              <w:t>股东姓名</w:t>
            </w:r>
          </w:p>
        </w:tc>
        <w:tc>
          <w:tcPr>
            <w:tcW w:w="701" w:type="dxa"/>
            <w:tcBorders>
              <w:bottom w:val="single" w:color="auto" w:sz="4" w:space="0"/>
            </w:tcBorders>
            <w:tcMar>
              <w:top w:w="57" w:type="dxa"/>
              <w:left w:w="85" w:type="dxa"/>
              <w:bottom w:w="0" w:type="dxa"/>
              <w:right w:w="85" w:type="dxa"/>
            </w:tcMar>
            <w:vAlign w:val="center"/>
          </w:tcPr>
          <w:p w14:paraId="1200E6A8">
            <w:pPr>
              <w:pStyle w:val="30"/>
              <w:shd w:val="clear" w:color="auto" w:fill="FFFFFF"/>
              <w:spacing w:before="0" w:beforeAutospacing="0" w:after="0" w:afterAutospacing="0"/>
              <w:jc w:val="center"/>
              <w:rPr>
                <w:bCs/>
                <w:color w:val="auto"/>
                <w:highlight w:val="none"/>
              </w:rPr>
            </w:pPr>
          </w:p>
        </w:tc>
        <w:tc>
          <w:tcPr>
            <w:tcW w:w="910" w:type="dxa"/>
            <w:gridSpan w:val="2"/>
            <w:tcBorders>
              <w:bottom w:val="single" w:color="auto" w:sz="4" w:space="0"/>
            </w:tcBorders>
            <w:tcMar>
              <w:top w:w="57" w:type="dxa"/>
              <w:left w:w="85" w:type="dxa"/>
              <w:bottom w:w="0" w:type="dxa"/>
              <w:right w:w="85" w:type="dxa"/>
            </w:tcMar>
            <w:vAlign w:val="center"/>
          </w:tcPr>
          <w:p w14:paraId="52635952">
            <w:pPr>
              <w:pStyle w:val="30"/>
              <w:shd w:val="clear" w:color="auto" w:fill="FFFFFF"/>
              <w:spacing w:before="0" w:beforeAutospacing="0" w:after="0" w:afterAutospacing="0"/>
              <w:jc w:val="center"/>
              <w:rPr>
                <w:bCs/>
                <w:color w:val="auto"/>
                <w:highlight w:val="none"/>
              </w:rPr>
            </w:pPr>
            <w:r>
              <w:rPr>
                <w:rFonts w:hint="eastAsia"/>
                <w:bCs/>
                <w:color w:val="auto"/>
                <w:highlight w:val="none"/>
              </w:rPr>
              <w:t>股权结构（%）</w:t>
            </w:r>
          </w:p>
        </w:tc>
        <w:tc>
          <w:tcPr>
            <w:tcW w:w="2368" w:type="dxa"/>
            <w:gridSpan w:val="3"/>
            <w:tcBorders>
              <w:bottom w:val="single" w:color="auto" w:sz="4" w:space="0"/>
            </w:tcBorders>
            <w:tcMar>
              <w:top w:w="57" w:type="dxa"/>
              <w:left w:w="85" w:type="dxa"/>
              <w:bottom w:w="0" w:type="dxa"/>
              <w:right w:w="85" w:type="dxa"/>
            </w:tcMar>
            <w:vAlign w:val="center"/>
          </w:tcPr>
          <w:p w14:paraId="764A5DA5">
            <w:pPr>
              <w:widowControl/>
              <w:jc w:val="center"/>
              <w:rPr>
                <w:rFonts w:ascii="宋体" w:hAnsi="宋体" w:cs="宋体"/>
                <w:bCs/>
                <w:color w:val="auto"/>
                <w:kern w:val="0"/>
                <w:sz w:val="24"/>
                <w:highlight w:val="none"/>
              </w:rPr>
            </w:pPr>
          </w:p>
          <w:p w14:paraId="04C9B2BF">
            <w:pPr>
              <w:pStyle w:val="30"/>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14:paraId="5AEF2E98">
            <w:pPr>
              <w:pStyle w:val="30"/>
              <w:shd w:val="clear" w:color="auto" w:fill="FFFFFF"/>
              <w:spacing w:before="0" w:beforeAutospacing="0" w:after="0" w:afterAutospacing="0"/>
              <w:jc w:val="center"/>
              <w:rPr>
                <w:bCs/>
                <w:color w:val="auto"/>
                <w:highlight w:val="none"/>
              </w:rPr>
            </w:pPr>
            <w:r>
              <w:rPr>
                <w:rFonts w:hint="eastAsia"/>
                <w:bCs/>
                <w:color w:val="auto"/>
                <w:highlight w:val="none"/>
              </w:rPr>
              <w:t>股东关系</w:t>
            </w:r>
          </w:p>
        </w:tc>
        <w:tc>
          <w:tcPr>
            <w:tcW w:w="2151" w:type="dxa"/>
            <w:gridSpan w:val="2"/>
            <w:tcMar>
              <w:top w:w="57" w:type="dxa"/>
              <w:left w:w="85" w:type="dxa"/>
              <w:bottom w:w="0" w:type="dxa"/>
              <w:right w:w="85" w:type="dxa"/>
            </w:tcMar>
            <w:vAlign w:val="center"/>
          </w:tcPr>
          <w:p w14:paraId="4A570838">
            <w:pPr>
              <w:pStyle w:val="30"/>
              <w:shd w:val="clear" w:color="auto" w:fill="FFFFFF"/>
              <w:spacing w:before="0" w:beforeAutospacing="0" w:after="0" w:afterAutospacing="0"/>
              <w:jc w:val="center"/>
              <w:rPr>
                <w:bCs/>
                <w:color w:val="auto"/>
                <w:highlight w:val="none"/>
              </w:rPr>
            </w:pPr>
          </w:p>
        </w:tc>
      </w:tr>
      <w:tr w14:paraId="769D3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14:paraId="3EA5B3B1">
            <w:pPr>
              <w:pStyle w:val="30"/>
              <w:shd w:val="clear" w:color="auto" w:fill="FFFFFF"/>
              <w:spacing w:before="0" w:beforeAutospacing="0" w:after="0" w:afterAutospacing="0"/>
              <w:jc w:val="center"/>
              <w:rPr>
                <w:bCs/>
                <w:color w:val="auto"/>
                <w:highlight w:val="none"/>
              </w:rPr>
            </w:pPr>
            <w:r>
              <w:rPr>
                <w:rFonts w:hint="eastAsia"/>
                <w:bCs/>
                <w:color w:val="auto"/>
                <w:highlight w:val="none"/>
              </w:rPr>
              <w:t>联系人姓名</w:t>
            </w:r>
          </w:p>
        </w:tc>
        <w:tc>
          <w:tcPr>
            <w:tcW w:w="701" w:type="dxa"/>
            <w:vMerge w:val="restart"/>
            <w:tcBorders>
              <w:top w:val="nil"/>
            </w:tcBorders>
            <w:tcMar>
              <w:top w:w="57" w:type="dxa"/>
              <w:left w:w="85" w:type="dxa"/>
              <w:bottom w:w="0" w:type="dxa"/>
              <w:right w:w="85" w:type="dxa"/>
            </w:tcMar>
            <w:vAlign w:val="center"/>
          </w:tcPr>
          <w:p w14:paraId="492471A7">
            <w:pPr>
              <w:pStyle w:val="30"/>
              <w:shd w:val="clear" w:color="auto" w:fill="FFFFFF"/>
              <w:spacing w:before="0" w:beforeAutospacing="0" w:after="0" w:afterAutospacing="0"/>
              <w:jc w:val="center"/>
              <w:rPr>
                <w:bCs/>
                <w:color w:val="auto"/>
                <w:highlight w:val="none"/>
              </w:rPr>
            </w:pPr>
          </w:p>
        </w:tc>
        <w:tc>
          <w:tcPr>
            <w:tcW w:w="910" w:type="dxa"/>
            <w:gridSpan w:val="2"/>
            <w:tcBorders>
              <w:top w:val="nil"/>
              <w:bottom w:val="single" w:color="auto" w:sz="4" w:space="0"/>
            </w:tcBorders>
            <w:tcMar>
              <w:top w:w="57" w:type="dxa"/>
              <w:left w:w="85" w:type="dxa"/>
              <w:bottom w:w="0" w:type="dxa"/>
              <w:right w:w="85" w:type="dxa"/>
            </w:tcMar>
            <w:vAlign w:val="center"/>
          </w:tcPr>
          <w:p w14:paraId="2F59D3BE">
            <w:pPr>
              <w:pStyle w:val="30"/>
              <w:shd w:val="clear" w:color="auto" w:fill="FFFFFF"/>
              <w:spacing w:before="0" w:beforeAutospacing="0" w:after="0" w:afterAutospacing="0"/>
              <w:jc w:val="center"/>
              <w:rPr>
                <w:bCs/>
                <w:color w:val="auto"/>
                <w:highlight w:val="none"/>
              </w:rPr>
            </w:pPr>
            <w:r>
              <w:rPr>
                <w:rFonts w:hint="eastAsia"/>
                <w:bCs/>
                <w:color w:val="auto"/>
                <w:highlight w:val="none"/>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14:paraId="44AB4C8A">
            <w:pPr>
              <w:widowControl/>
              <w:jc w:val="center"/>
              <w:rPr>
                <w:rFonts w:ascii="宋体" w:hAnsi="宋体" w:cs="宋体"/>
                <w:bCs/>
                <w:color w:val="auto"/>
                <w:kern w:val="0"/>
                <w:sz w:val="24"/>
                <w:highlight w:val="none"/>
              </w:rPr>
            </w:pPr>
          </w:p>
          <w:p w14:paraId="788E9D7E">
            <w:pPr>
              <w:pStyle w:val="30"/>
              <w:shd w:val="clear" w:color="auto" w:fill="FFFFFF"/>
              <w:spacing w:before="0" w:beforeAutospacing="0" w:after="0" w:afterAutospacing="0"/>
              <w:jc w:val="center"/>
              <w:rPr>
                <w:bCs/>
                <w:color w:val="auto"/>
                <w:highlight w:val="none"/>
              </w:rPr>
            </w:pPr>
          </w:p>
        </w:tc>
        <w:tc>
          <w:tcPr>
            <w:tcW w:w="2001" w:type="dxa"/>
            <w:gridSpan w:val="3"/>
            <w:vMerge w:val="restart"/>
            <w:tcMar>
              <w:top w:w="57" w:type="dxa"/>
              <w:left w:w="85" w:type="dxa"/>
              <w:bottom w:w="0" w:type="dxa"/>
              <w:right w:w="85" w:type="dxa"/>
            </w:tcMar>
            <w:vAlign w:val="center"/>
          </w:tcPr>
          <w:p w14:paraId="3FEEAB62">
            <w:pPr>
              <w:pStyle w:val="30"/>
              <w:shd w:val="clear" w:color="auto" w:fill="FFFFFF"/>
              <w:spacing w:before="0" w:beforeAutospacing="0" w:after="0" w:afterAutospacing="0"/>
              <w:jc w:val="center"/>
              <w:rPr>
                <w:bCs/>
                <w:color w:val="auto"/>
                <w:highlight w:val="none"/>
              </w:rPr>
            </w:pPr>
            <w:r>
              <w:rPr>
                <w:rFonts w:hint="eastAsia"/>
                <w:bCs/>
                <w:color w:val="auto"/>
                <w:highlight w:val="none"/>
              </w:rPr>
              <w:t>传真</w:t>
            </w:r>
          </w:p>
        </w:tc>
        <w:tc>
          <w:tcPr>
            <w:tcW w:w="2151" w:type="dxa"/>
            <w:gridSpan w:val="2"/>
            <w:vMerge w:val="restart"/>
            <w:tcMar>
              <w:top w:w="57" w:type="dxa"/>
              <w:left w:w="85" w:type="dxa"/>
              <w:bottom w:w="0" w:type="dxa"/>
              <w:right w:w="85" w:type="dxa"/>
            </w:tcMar>
            <w:vAlign w:val="center"/>
          </w:tcPr>
          <w:p w14:paraId="4C5C8456">
            <w:pPr>
              <w:pStyle w:val="30"/>
              <w:shd w:val="clear" w:color="auto" w:fill="FFFFFF"/>
              <w:spacing w:before="0" w:beforeAutospacing="0" w:after="0" w:afterAutospacing="0"/>
              <w:jc w:val="center"/>
              <w:rPr>
                <w:bCs/>
                <w:color w:val="auto"/>
                <w:highlight w:val="none"/>
              </w:rPr>
            </w:pPr>
          </w:p>
        </w:tc>
      </w:tr>
      <w:tr w14:paraId="66F52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14:paraId="48BC5053">
            <w:pPr>
              <w:pStyle w:val="30"/>
              <w:shd w:val="clear" w:color="auto" w:fill="FFFFFF"/>
              <w:spacing w:before="0" w:beforeAutospacing="0" w:after="0" w:afterAutospacing="0"/>
              <w:jc w:val="center"/>
              <w:rPr>
                <w:bCs/>
                <w:color w:val="auto"/>
                <w:highlight w:val="none"/>
              </w:rPr>
            </w:pPr>
          </w:p>
        </w:tc>
        <w:tc>
          <w:tcPr>
            <w:tcW w:w="701" w:type="dxa"/>
            <w:vMerge w:val="continue"/>
            <w:tcBorders>
              <w:bottom w:val="single" w:color="auto" w:sz="4" w:space="0"/>
            </w:tcBorders>
            <w:tcMar>
              <w:top w:w="57" w:type="dxa"/>
              <w:left w:w="85" w:type="dxa"/>
              <w:bottom w:w="0" w:type="dxa"/>
              <w:right w:w="85" w:type="dxa"/>
            </w:tcMar>
            <w:vAlign w:val="center"/>
          </w:tcPr>
          <w:p w14:paraId="1B5A580A">
            <w:pPr>
              <w:pStyle w:val="30"/>
              <w:shd w:val="clear" w:color="auto" w:fill="FFFFFF"/>
              <w:spacing w:before="0" w:beforeAutospacing="0" w:after="0" w:afterAutospacing="0"/>
              <w:jc w:val="center"/>
              <w:rPr>
                <w:bCs/>
                <w:color w:val="auto"/>
                <w:highlight w:val="none"/>
              </w:rPr>
            </w:pPr>
          </w:p>
        </w:tc>
        <w:tc>
          <w:tcPr>
            <w:tcW w:w="910" w:type="dxa"/>
            <w:gridSpan w:val="2"/>
            <w:tcBorders>
              <w:bottom w:val="single" w:color="auto" w:sz="4" w:space="0"/>
            </w:tcBorders>
            <w:tcMar>
              <w:top w:w="57" w:type="dxa"/>
              <w:left w:w="85" w:type="dxa"/>
              <w:bottom w:w="0" w:type="dxa"/>
              <w:right w:w="85" w:type="dxa"/>
            </w:tcMar>
            <w:vAlign w:val="center"/>
          </w:tcPr>
          <w:p w14:paraId="1ADC6E88">
            <w:pPr>
              <w:pStyle w:val="30"/>
              <w:shd w:val="clear" w:color="auto" w:fill="FFFFFF"/>
              <w:spacing w:before="0" w:beforeAutospacing="0" w:after="0" w:afterAutospacing="0"/>
              <w:jc w:val="center"/>
              <w:rPr>
                <w:bCs/>
                <w:color w:val="auto"/>
                <w:highlight w:val="none"/>
              </w:rPr>
            </w:pPr>
            <w:r>
              <w:rPr>
                <w:rFonts w:hint="eastAsia"/>
                <w:bCs/>
                <w:color w:val="auto"/>
                <w:highlight w:val="none"/>
              </w:rPr>
              <w:t>手机</w:t>
            </w:r>
          </w:p>
        </w:tc>
        <w:tc>
          <w:tcPr>
            <w:tcW w:w="2368" w:type="dxa"/>
            <w:gridSpan w:val="3"/>
            <w:tcBorders>
              <w:bottom w:val="single" w:color="auto" w:sz="4" w:space="0"/>
            </w:tcBorders>
            <w:tcMar>
              <w:top w:w="57" w:type="dxa"/>
              <w:left w:w="85" w:type="dxa"/>
              <w:bottom w:w="0" w:type="dxa"/>
              <w:right w:w="85" w:type="dxa"/>
            </w:tcMar>
            <w:vAlign w:val="center"/>
          </w:tcPr>
          <w:p w14:paraId="044840EC">
            <w:pPr>
              <w:pStyle w:val="30"/>
              <w:shd w:val="clear" w:color="auto" w:fill="FFFFFF"/>
              <w:spacing w:before="0" w:beforeAutospacing="0" w:after="0" w:afterAutospacing="0"/>
              <w:jc w:val="center"/>
              <w:rPr>
                <w:bCs/>
                <w:color w:val="auto"/>
                <w:highlight w:val="none"/>
              </w:rPr>
            </w:pPr>
          </w:p>
        </w:tc>
        <w:tc>
          <w:tcPr>
            <w:tcW w:w="2001" w:type="dxa"/>
            <w:gridSpan w:val="3"/>
            <w:vMerge w:val="continue"/>
            <w:tcMar>
              <w:top w:w="57" w:type="dxa"/>
              <w:left w:w="85" w:type="dxa"/>
              <w:bottom w:w="0" w:type="dxa"/>
              <w:right w:w="85" w:type="dxa"/>
            </w:tcMar>
            <w:vAlign w:val="center"/>
          </w:tcPr>
          <w:p w14:paraId="3EEA3324">
            <w:pPr>
              <w:pStyle w:val="30"/>
              <w:shd w:val="clear" w:color="auto" w:fill="FFFFFF"/>
              <w:spacing w:before="0" w:beforeAutospacing="0" w:after="0" w:afterAutospacing="0"/>
              <w:jc w:val="center"/>
              <w:rPr>
                <w:bCs/>
                <w:color w:val="auto"/>
                <w:highlight w:val="none"/>
              </w:rPr>
            </w:pPr>
          </w:p>
        </w:tc>
        <w:tc>
          <w:tcPr>
            <w:tcW w:w="2151" w:type="dxa"/>
            <w:gridSpan w:val="2"/>
            <w:vMerge w:val="continue"/>
            <w:tcMar>
              <w:top w:w="57" w:type="dxa"/>
              <w:left w:w="85" w:type="dxa"/>
              <w:bottom w:w="0" w:type="dxa"/>
              <w:right w:w="85" w:type="dxa"/>
            </w:tcMar>
            <w:vAlign w:val="center"/>
          </w:tcPr>
          <w:p w14:paraId="2D368F36">
            <w:pPr>
              <w:pStyle w:val="30"/>
              <w:shd w:val="clear" w:color="auto" w:fill="FFFFFF"/>
              <w:spacing w:before="0" w:beforeAutospacing="0" w:after="0" w:afterAutospacing="0"/>
              <w:jc w:val="center"/>
              <w:rPr>
                <w:bCs/>
                <w:color w:val="auto"/>
                <w:highlight w:val="none"/>
              </w:rPr>
            </w:pPr>
          </w:p>
        </w:tc>
      </w:tr>
      <w:tr w14:paraId="083CB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14:paraId="5A9DD6D8">
            <w:pPr>
              <w:pStyle w:val="30"/>
              <w:shd w:val="clear" w:color="auto" w:fill="FFFFFF"/>
              <w:spacing w:before="0" w:beforeAutospacing="0" w:after="0" w:afterAutospacing="0"/>
              <w:jc w:val="center"/>
              <w:rPr>
                <w:bCs/>
                <w:color w:val="auto"/>
                <w:highlight w:val="none"/>
              </w:rPr>
            </w:pPr>
            <w:r>
              <w:rPr>
                <w:bCs/>
                <w:color w:val="auto"/>
                <w:highlight w:val="none"/>
              </w:rPr>
              <w:t>1</w:t>
            </w:r>
            <w:r>
              <w:rPr>
                <w:rFonts w:hint="eastAsia"/>
                <w:bCs/>
                <w:color w:val="auto"/>
                <w:highlight w:val="none"/>
              </w:rPr>
              <w:t>.</w:t>
            </w:r>
          </w:p>
          <w:p w14:paraId="763A282D">
            <w:pPr>
              <w:pStyle w:val="30"/>
              <w:shd w:val="clear" w:color="auto" w:fill="FFFFFF"/>
              <w:spacing w:before="0" w:beforeAutospacing="0" w:after="0" w:afterAutospacing="0"/>
              <w:jc w:val="center"/>
              <w:rPr>
                <w:bCs/>
                <w:color w:val="auto"/>
                <w:highlight w:val="none"/>
              </w:rPr>
            </w:pPr>
            <w:r>
              <w:rPr>
                <w:rFonts w:hint="eastAsia"/>
                <w:bCs/>
                <w:color w:val="auto"/>
                <w:highlight w:val="none"/>
              </w:rPr>
              <w:t>企</w:t>
            </w:r>
          </w:p>
          <w:p w14:paraId="6BA661E5">
            <w:pPr>
              <w:pStyle w:val="30"/>
              <w:shd w:val="clear" w:color="auto" w:fill="FFFFFF"/>
              <w:spacing w:before="0" w:beforeAutospacing="0" w:after="0" w:afterAutospacing="0"/>
              <w:jc w:val="center"/>
              <w:rPr>
                <w:bCs/>
                <w:color w:val="auto"/>
                <w:highlight w:val="none"/>
              </w:rPr>
            </w:pPr>
            <w:r>
              <w:rPr>
                <w:rFonts w:hint="eastAsia"/>
                <w:bCs/>
                <w:color w:val="auto"/>
                <w:highlight w:val="none"/>
              </w:rPr>
              <w:t>业</w:t>
            </w:r>
          </w:p>
          <w:p w14:paraId="27A72A8E">
            <w:pPr>
              <w:pStyle w:val="30"/>
              <w:shd w:val="clear" w:color="auto" w:fill="FFFFFF"/>
              <w:spacing w:before="0" w:beforeAutospacing="0" w:after="0" w:afterAutospacing="0"/>
              <w:jc w:val="center"/>
              <w:rPr>
                <w:bCs/>
                <w:color w:val="auto"/>
                <w:highlight w:val="none"/>
              </w:rPr>
            </w:pPr>
            <w:r>
              <w:rPr>
                <w:rFonts w:hint="eastAsia"/>
                <w:bCs/>
                <w:color w:val="auto"/>
                <w:highlight w:val="none"/>
              </w:rPr>
              <w:t>概</w:t>
            </w:r>
          </w:p>
          <w:p w14:paraId="09073DDD">
            <w:pPr>
              <w:pStyle w:val="30"/>
              <w:shd w:val="clear" w:color="auto" w:fill="FFFFFF"/>
              <w:spacing w:before="0" w:beforeAutospacing="0" w:after="0" w:afterAutospacing="0"/>
              <w:jc w:val="center"/>
              <w:rPr>
                <w:bCs/>
                <w:color w:val="auto"/>
                <w:highlight w:val="none"/>
              </w:rPr>
            </w:pPr>
            <w:r>
              <w:rPr>
                <w:rFonts w:hint="eastAsia"/>
                <w:bCs/>
                <w:color w:val="auto"/>
                <w:highlight w:val="none"/>
              </w:rPr>
              <w:t>况</w:t>
            </w:r>
          </w:p>
        </w:tc>
        <w:tc>
          <w:tcPr>
            <w:tcW w:w="701" w:type="dxa"/>
            <w:tcBorders>
              <w:top w:val="nil"/>
            </w:tcBorders>
            <w:tcMar>
              <w:top w:w="57" w:type="dxa"/>
              <w:left w:w="85" w:type="dxa"/>
              <w:bottom w:w="0" w:type="dxa"/>
              <w:right w:w="85" w:type="dxa"/>
            </w:tcMar>
            <w:vAlign w:val="center"/>
          </w:tcPr>
          <w:p w14:paraId="2536A63D">
            <w:pPr>
              <w:pStyle w:val="30"/>
              <w:shd w:val="clear" w:color="auto" w:fill="FFFFFF"/>
              <w:spacing w:before="0" w:beforeAutospacing="0" w:after="0" w:afterAutospacing="0"/>
              <w:jc w:val="center"/>
              <w:rPr>
                <w:bCs/>
                <w:color w:val="auto"/>
                <w:highlight w:val="none"/>
              </w:rPr>
            </w:pPr>
            <w:r>
              <w:rPr>
                <w:rFonts w:hint="eastAsia"/>
                <w:bCs/>
                <w:color w:val="auto"/>
                <w:highlight w:val="none"/>
              </w:rPr>
              <w:t>职工人数</w:t>
            </w:r>
          </w:p>
        </w:tc>
        <w:tc>
          <w:tcPr>
            <w:tcW w:w="910" w:type="dxa"/>
            <w:gridSpan w:val="2"/>
            <w:tcBorders>
              <w:top w:val="nil"/>
            </w:tcBorders>
            <w:tcMar>
              <w:top w:w="57" w:type="dxa"/>
              <w:left w:w="85" w:type="dxa"/>
              <w:bottom w:w="0" w:type="dxa"/>
              <w:right w:w="85" w:type="dxa"/>
            </w:tcMar>
            <w:vAlign w:val="center"/>
          </w:tcPr>
          <w:p w14:paraId="0B7F11D7">
            <w:pPr>
              <w:pStyle w:val="30"/>
              <w:shd w:val="clear" w:color="auto" w:fill="FFFFFF"/>
              <w:spacing w:before="0" w:beforeAutospacing="0" w:after="0" w:afterAutospacing="0"/>
              <w:jc w:val="center"/>
              <w:rPr>
                <w:bCs/>
                <w:color w:val="auto"/>
                <w:highlight w:val="none"/>
              </w:rPr>
            </w:pPr>
          </w:p>
        </w:tc>
        <w:tc>
          <w:tcPr>
            <w:tcW w:w="1163" w:type="dxa"/>
            <w:tcBorders>
              <w:top w:val="nil"/>
            </w:tcBorders>
            <w:tcMar>
              <w:top w:w="57" w:type="dxa"/>
              <w:left w:w="85" w:type="dxa"/>
              <w:bottom w:w="0" w:type="dxa"/>
              <w:right w:w="85" w:type="dxa"/>
            </w:tcMar>
            <w:vAlign w:val="center"/>
          </w:tcPr>
          <w:p w14:paraId="3AEF3133">
            <w:pPr>
              <w:pStyle w:val="30"/>
              <w:shd w:val="clear" w:color="auto" w:fill="FFFFFF"/>
              <w:spacing w:before="0" w:beforeAutospacing="0" w:after="0" w:afterAutospacing="0"/>
              <w:jc w:val="center"/>
              <w:rPr>
                <w:bCs/>
                <w:color w:val="auto"/>
                <w:highlight w:val="none"/>
              </w:rPr>
            </w:pPr>
            <w:r>
              <w:rPr>
                <w:rFonts w:hint="eastAsia"/>
                <w:bCs/>
                <w:color w:val="auto"/>
                <w:highlight w:val="none"/>
              </w:rPr>
              <w:t>具备大专以上学历人数</w:t>
            </w:r>
          </w:p>
        </w:tc>
        <w:tc>
          <w:tcPr>
            <w:tcW w:w="1205" w:type="dxa"/>
            <w:gridSpan w:val="2"/>
            <w:tcBorders>
              <w:top w:val="nil"/>
            </w:tcBorders>
            <w:tcMar>
              <w:top w:w="57" w:type="dxa"/>
              <w:left w:w="85" w:type="dxa"/>
              <w:bottom w:w="0" w:type="dxa"/>
              <w:right w:w="85" w:type="dxa"/>
            </w:tcMar>
            <w:vAlign w:val="center"/>
          </w:tcPr>
          <w:p w14:paraId="59BFBEF7">
            <w:pPr>
              <w:widowControl/>
              <w:jc w:val="center"/>
              <w:rPr>
                <w:rFonts w:ascii="宋体" w:hAnsi="宋体" w:cs="宋体"/>
                <w:bCs/>
                <w:color w:val="auto"/>
                <w:kern w:val="0"/>
                <w:sz w:val="24"/>
                <w:highlight w:val="none"/>
              </w:rPr>
            </w:pPr>
          </w:p>
          <w:p w14:paraId="17619329">
            <w:pPr>
              <w:widowControl/>
              <w:jc w:val="center"/>
              <w:rPr>
                <w:rFonts w:ascii="宋体" w:hAnsi="宋体" w:cs="宋体"/>
                <w:bCs/>
                <w:color w:val="auto"/>
                <w:kern w:val="0"/>
                <w:sz w:val="24"/>
                <w:highlight w:val="none"/>
              </w:rPr>
            </w:pPr>
          </w:p>
          <w:p w14:paraId="6170EA4C">
            <w:pPr>
              <w:pStyle w:val="30"/>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14:paraId="5CBACECC">
            <w:pPr>
              <w:pStyle w:val="30"/>
              <w:shd w:val="clear" w:color="auto" w:fill="FFFFFF"/>
              <w:spacing w:before="0" w:beforeAutospacing="0" w:after="0" w:afterAutospacing="0"/>
              <w:jc w:val="center"/>
              <w:rPr>
                <w:bCs/>
                <w:color w:val="auto"/>
                <w:highlight w:val="none"/>
              </w:rPr>
            </w:pPr>
            <w:r>
              <w:rPr>
                <w:rFonts w:hint="eastAsia"/>
                <w:bCs/>
                <w:color w:val="auto"/>
                <w:highlight w:val="none"/>
              </w:rPr>
              <w:t>国家授予技术职称人数</w:t>
            </w:r>
          </w:p>
        </w:tc>
        <w:tc>
          <w:tcPr>
            <w:tcW w:w="2151" w:type="dxa"/>
            <w:gridSpan w:val="2"/>
            <w:tcMar>
              <w:top w:w="57" w:type="dxa"/>
              <w:left w:w="85" w:type="dxa"/>
              <w:bottom w:w="0" w:type="dxa"/>
              <w:right w:w="85" w:type="dxa"/>
            </w:tcMar>
            <w:vAlign w:val="center"/>
          </w:tcPr>
          <w:p w14:paraId="729F32E3">
            <w:pPr>
              <w:widowControl/>
              <w:jc w:val="center"/>
              <w:rPr>
                <w:rFonts w:ascii="宋体" w:hAnsi="宋体" w:cs="宋体"/>
                <w:bCs/>
                <w:color w:val="auto"/>
                <w:kern w:val="0"/>
                <w:sz w:val="24"/>
                <w:highlight w:val="none"/>
              </w:rPr>
            </w:pPr>
          </w:p>
          <w:p w14:paraId="76583D31">
            <w:pPr>
              <w:pStyle w:val="30"/>
              <w:shd w:val="clear" w:color="auto" w:fill="FFFFFF"/>
              <w:spacing w:before="0" w:beforeAutospacing="0" w:after="0" w:afterAutospacing="0"/>
              <w:jc w:val="center"/>
              <w:rPr>
                <w:bCs/>
                <w:color w:val="auto"/>
                <w:highlight w:val="none"/>
              </w:rPr>
            </w:pPr>
          </w:p>
        </w:tc>
      </w:tr>
      <w:tr w14:paraId="729BB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14:paraId="5A6A08CD">
            <w:pPr>
              <w:pStyle w:val="30"/>
              <w:shd w:val="clear" w:color="auto" w:fill="FFFFFF"/>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14:paraId="0E4B3A85">
            <w:pPr>
              <w:pStyle w:val="30"/>
              <w:shd w:val="clear" w:color="auto" w:fill="FFFFFF"/>
              <w:spacing w:before="0" w:beforeAutospacing="0" w:after="0" w:afterAutospacing="0"/>
              <w:jc w:val="center"/>
              <w:rPr>
                <w:bCs/>
                <w:color w:val="auto"/>
                <w:highlight w:val="none"/>
              </w:rPr>
            </w:pPr>
            <w:r>
              <w:rPr>
                <w:rFonts w:hint="eastAsia"/>
                <w:bCs/>
                <w:color w:val="auto"/>
                <w:highlight w:val="none"/>
              </w:rPr>
              <w:t>占地面积</w:t>
            </w:r>
          </w:p>
        </w:tc>
        <w:tc>
          <w:tcPr>
            <w:tcW w:w="910" w:type="dxa"/>
            <w:gridSpan w:val="2"/>
            <w:tcMar>
              <w:top w:w="57" w:type="dxa"/>
              <w:left w:w="85" w:type="dxa"/>
              <w:bottom w:w="0" w:type="dxa"/>
              <w:right w:w="85" w:type="dxa"/>
            </w:tcMar>
            <w:vAlign w:val="center"/>
          </w:tcPr>
          <w:p w14:paraId="55E96F95">
            <w:pPr>
              <w:pStyle w:val="30"/>
              <w:shd w:val="clear" w:color="auto" w:fill="FFFFFF"/>
              <w:spacing w:before="0" w:beforeAutospacing="0" w:after="0" w:afterAutospacing="0"/>
              <w:jc w:val="center"/>
              <w:rPr>
                <w:bCs/>
                <w:color w:val="auto"/>
                <w:highlight w:val="none"/>
              </w:rPr>
            </w:pPr>
          </w:p>
        </w:tc>
        <w:tc>
          <w:tcPr>
            <w:tcW w:w="1163" w:type="dxa"/>
            <w:tcMar>
              <w:top w:w="57" w:type="dxa"/>
              <w:left w:w="85" w:type="dxa"/>
              <w:bottom w:w="0" w:type="dxa"/>
              <w:right w:w="85" w:type="dxa"/>
            </w:tcMar>
            <w:vAlign w:val="center"/>
          </w:tcPr>
          <w:p w14:paraId="01A8153A">
            <w:pPr>
              <w:pStyle w:val="30"/>
              <w:shd w:val="clear" w:color="auto" w:fill="FFFFFF"/>
              <w:spacing w:before="0" w:beforeAutospacing="0" w:after="0" w:afterAutospacing="0"/>
              <w:jc w:val="center"/>
              <w:rPr>
                <w:bCs/>
                <w:color w:val="auto"/>
                <w:highlight w:val="none"/>
              </w:rPr>
            </w:pPr>
            <w:r>
              <w:rPr>
                <w:rFonts w:hint="eastAsia"/>
                <w:bCs/>
                <w:color w:val="auto"/>
                <w:highlight w:val="none"/>
              </w:rPr>
              <w:t>建筑面积</w:t>
            </w:r>
          </w:p>
        </w:tc>
        <w:tc>
          <w:tcPr>
            <w:tcW w:w="1205" w:type="dxa"/>
            <w:gridSpan w:val="2"/>
            <w:tcMar>
              <w:top w:w="57" w:type="dxa"/>
              <w:left w:w="85" w:type="dxa"/>
              <w:bottom w:w="0" w:type="dxa"/>
              <w:right w:w="85" w:type="dxa"/>
            </w:tcMar>
            <w:vAlign w:val="center"/>
          </w:tcPr>
          <w:p w14:paraId="0F3F52B5">
            <w:pPr>
              <w:pStyle w:val="30"/>
              <w:shd w:val="clear" w:color="auto" w:fill="FFFFFF"/>
              <w:spacing w:before="0" w:beforeAutospacing="0" w:after="0" w:afterAutospacing="0"/>
              <w:jc w:val="center"/>
              <w:rPr>
                <w:bCs/>
                <w:color w:val="auto"/>
                <w:highlight w:val="none"/>
              </w:rPr>
            </w:pPr>
            <w:r>
              <w:rPr>
                <w:rFonts w:hint="eastAsia"/>
                <w:bCs/>
                <w:color w:val="auto"/>
                <w:highlight w:val="none"/>
              </w:rPr>
              <w:t>平方米</w:t>
            </w:r>
          </w:p>
          <w:p w14:paraId="788179DE">
            <w:pPr>
              <w:pStyle w:val="30"/>
              <w:shd w:val="clear" w:color="auto" w:fill="FFFFFF"/>
              <w:spacing w:before="0" w:beforeAutospacing="0" w:after="0" w:afterAutospacing="0"/>
              <w:jc w:val="center"/>
              <w:rPr>
                <w:bCs/>
                <w:color w:val="auto"/>
                <w:highlight w:val="none"/>
              </w:rPr>
            </w:pPr>
            <w:r>
              <w:rPr>
                <w:rFonts w:hint="eastAsia"/>
                <w:bCs/>
                <w:color w:val="auto"/>
                <w:highlight w:val="none"/>
              </w:rPr>
              <w:t>□自有</w:t>
            </w:r>
          </w:p>
          <w:p w14:paraId="043ABAA3">
            <w:pPr>
              <w:pStyle w:val="30"/>
              <w:shd w:val="clear" w:color="auto" w:fill="FFFFFF"/>
              <w:spacing w:before="0" w:beforeAutospacing="0" w:after="0" w:afterAutospacing="0"/>
              <w:jc w:val="center"/>
              <w:rPr>
                <w:bCs/>
                <w:color w:val="auto"/>
                <w:highlight w:val="none"/>
              </w:rPr>
            </w:pPr>
            <w:r>
              <w:rPr>
                <w:rFonts w:hint="eastAsia"/>
                <w:bCs/>
                <w:color w:val="auto"/>
                <w:highlight w:val="none"/>
              </w:rPr>
              <w:t>□租赁</w:t>
            </w:r>
          </w:p>
        </w:tc>
        <w:tc>
          <w:tcPr>
            <w:tcW w:w="2001" w:type="dxa"/>
            <w:gridSpan w:val="3"/>
            <w:tcMar>
              <w:top w:w="57" w:type="dxa"/>
              <w:left w:w="85" w:type="dxa"/>
              <w:bottom w:w="0" w:type="dxa"/>
              <w:right w:w="85" w:type="dxa"/>
            </w:tcMar>
            <w:vAlign w:val="center"/>
          </w:tcPr>
          <w:p w14:paraId="005B0FE0">
            <w:pPr>
              <w:pStyle w:val="30"/>
              <w:shd w:val="clear" w:color="auto" w:fill="FFFFFF"/>
              <w:spacing w:before="0" w:beforeAutospacing="0" w:after="0" w:afterAutospacing="0"/>
              <w:jc w:val="center"/>
              <w:rPr>
                <w:bCs/>
                <w:color w:val="auto"/>
                <w:highlight w:val="none"/>
              </w:rPr>
            </w:pPr>
            <w:r>
              <w:rPr>
                <w:rFonts w:hint="eastAsia"/>
                <w:bCs/>
                <w:color w:val="auto"/>
                <w:highlight w:val="none"/>
              </w:rPr>
              <w:t>生产经营场所及场所的设施与设备</w:t>
            </w:r>
          </w:p>
        </w:tc>
        <w:tc>
          <w:tcPr>
            <w:tcW w:w="2151" w:type="dxa"/>
            <w:gridSpan w:val="2"/>
            <w:tcMar>
              <w:top w:w="57" w:type="dxa"/>
              <w:left w:w="85" w:type="dxa"/>
              <w:bottom w:w="0" w:type="dxa"/>
              <w:right w:w="85" w:type="dxa"/>
            </w:tcMar>
            <w:vAlign w:val="center"/>
          </w:tcPr>
          <w:p w14:paraId="79217D96">
            <w:pPr>
              <w:pStyle w:val="30"/>
              <w:shd w:val="clear" w:color="auto" w:fill="FFFFFF"/>
              <w:spacing w:before="0" w:beforeAutospacing="0" w:after="0" w:afterAutospacing="0"/>
              <w:jc w:val="center"/>
              <w:rPr>
                <w:bCs/>
                <w:color w:val="auto"/>
                <w:highlight w:val="none"/>
              </w:rPr>
            </w:pPr>
          </w:p>
        </w:tc>
      </w:tr>
      <w:tr w14:paraId="7E428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14:paraId="66DDEB56">
            <w:pPr>
              <w:pStyle w:val="30"/>
              <w:shd w:val="clear" w:color="auto" w:fill="FFFFFF"/>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14:paraId="4E72F0BA">
            <w:pPr>
              <w:pStyle w:val="30"/>
              <w:shd w:val="clear" w:color="auto" w:fill="FFFFFF"/>
              <w:spacing w:before="0" w:beforeAutospacing="0" w:after="0" w:afterAutospacing="0"/>
              <w:jc w:val="center"/>
              <w:rPr>
                <w:bCs/>
                <w:color w:val="auto"/>
                <w:highlight w:val="none"/>
              </w:rPr>
            </w:pPr>
            <w:r>
              <w:rPr>
                <w:rFonts w:hint="eastAsia"/>
                <w:bCs/>
                <w:color w:val="auto"/>
                <w:highlight w:val="none"/>
              </w:rPr>
              <w:t>注册资金</w:t>
            </w:r>
          </w:p>
        </w:tc>
        <w:tc>
          <w:tcPr>
            <w:tcW w:w="910" w:type="dxa"/>
            <w:gridSpan w:val="2"/>
            <w:tcMar>
              <w:top w:w="57" w:type="dxa"/>
              <w:left w:w="85" w:type="dxa"/>
              <w:bottom w:w="0" w:type="dxa"/>
              <w:right w:w="85" w:type="dxa"/>
            </w:tcMar>
            <w:vAlign w:val="center"/>
          </w:tcPr>
          <w:p w14:paraId="5ECF71F0">
            <w:pPr>
              <w:pStyle w:val="30"/>
              <w:shd w:val="clear" w:color="auto" w:fill="FFFFFF"/>
              <w:spacing w:before="0" w:beforeAutospacing="0" w:after="0" w:afterAutospacing="0"/>
              <w:jc w:val="center"/>
              <w:rPr>
                <w:bCs/>
                <w:color w:val="auto"/>
                <w:highlight w:val="none"/>
              </w:rPr>
            </w:pPr>
          </w:p>
        </w:tc>
        <w:tc>
          <w:tcPr>
            <w:tcW w:w="1163" w:type="dxa"/>
            <w:tcMar>
              <w:top w:w="57" w:type="dxa"/>
              <w:left w:w="85" w:type="dxa"/>
              <w:bottom w:w="0" w:type="dxa"/>
              <w:right w:w="85" w:type="dxa"/>
            </w:tcMar>
            <w:vAlign w:val="center"/>
          </w:tcPr>
          <w:p w14:paraId="6D30F108">
            <w:pPr>
              <w:pStyle w:val="30"/>
              <w:shd w:val="clear" w:color="auto" w:fill="FFFFFF"/>
              <w:spacing w:before="0" w:beforeAutospacing="0" w:after="0" w:afterAutospacing="0"/>
              <w:jc w:val="center"/>
              <w:rPr>
                <w:bCs/>
                <w:color w:val="auto"/>
                <w:highlight w:val="none"/>
              </w:rPr>
            </w:pPr>
            <w:r>
              <w:rPr>
                <w:rFonts w:hint="eastAsia"/>
                <w:bCs/>
                <w:color w:val="auto"/>
                <w:highlight w:val="none"/>
              </w:rPr>
              <w:t>注册发证机关</w:t>
            </w:r>
          </w:p>
        </w:tc>
        <w:tc>
          <w:tcPr>
            <w:tcW w:w="3206" w:type="dxa"/>
            <w:gridSpan w:val="5"/>
            <w:tcMar>
              <w:top w:w="57" w:type="dxa"/>
              <w:left w:w="85" w:type="dxa"/>
              <w:bottom w:w="0" w:type="dxa"/>
              <w:right w:w="85" w:type="dxa"/>
            </w:tcMar>
            <w:vAlign w:val="center"/>
          </w:tcPr>
          <w:p w14:paraId="1CEABD7D">
            <w:pPr>
              <w:widowControl/>
              <w:jc w:val="center"/>
              <w:rPr>
                <w:rFonts w:ascii="宋体" w:hAnsi="宋体" w:cs="宋体"/>
                <w:bCs/>
                <w:color w:val="auto"/>
                <w:kern w:val="0"/>
                <w:sz w:val="24"/>
                <w:highlight w:val="none"/>
              </w:rPr>
            </w:pPr>
          </w:p>
          <w:p w14:paraId="6488EF51">
            <w:pPr>
              <w:pStyle w:val="30"/>
              <w:shd w:val="clear" w:color="auto" w:fill="FFFFFF"/>
              <w:spacing w:before="0" w:beforeAutospacing="0" w:after="0" w:afterAutospacing="0"/>
              <w:jc w:val="center"/>
              <w:rPr>
                <w:bCs/>
                <w:color w:val="auto"/>
                <w:highlight w:val="none"/>
              </w:rPr>
            </w:pPr>
          </w:p>
        </w:tc>
        <w:tc>
          <w:tcPr>
            <w:tcW w:w="1218" w:type="dxa"/>
            <w:tcMar>
              <w:top w:w="57" w:type="dxa"/>
              <w:left w:w="85" w:type="dxa"/>
              <w:bottom w:w="0" w:type="dxa"/>
              <w:right w:w="85" w:type="dxa"/>
            </w:tcMar>
            <w:vAlign w:val="center"/>
          </w:tcPr>
          <w:p w14:paraId="3FC2AF12">
            <w:pPr>
              <w:pStyle w:val="30"/>
              <w:shd w:val="clear" w:color="auto" w:fill="FFFFFF"/>
              <w:spacing w:before="0" w:beforeAutospacing="0" w:after="0" w:afterAutospacing="0"/>
              <w:jc w:val="center"/>
              <w:rPr>
                <w:bCs/>
                <w:color w:val="auto"/>
                <w:highlight w:val="none"/>
              </w:rPr>
            </w:pPr>
            <w:r>
              <w:rPr>
                <w:rFonts w:hint="eastAsia"/>
                <w:bCs/>
                <w:color w:val="auto"/>
                <w:highlight w:val="none"/>
              </w:rPr>
              <w:t>公司成立时间</w:t>
            </w:r>
          </w:p>
        </w:tc>
        <w:tc>
          <w:tcPr>
            <w:tcW w:w="933" w:type="dxa"/>
            <w:tcMar>
              <w:top w:w="57" w:type="dxa"/>
              <w:left w:w="85" w:type="dxa"/>
              <w:bottom w:w="0" w:type="dxa"/>
              <w:right w:w="85" w:type="dxa"/>
            </w:tcMar>
            <w:vAlign w:val="center"/>
          </w:tcPr>
          <w:p w14:paraId="6F68FF58">
            <w:pPr>
              <w:pStyle w:val="30"/>
              <w:shd w:val="clear" w:color="auto" w:fill="FFFFFF"/>
              <w:spacing w:before="0" w:beforeAutospacing="0" w:after="0" w:afterAutospacing="0"/>
              <w:jc w:val="center"/>
              <w:rPr>
                <w:bCs/>
                <w:color w:val="auto"/>
                <w:highlight w:val="none"/>
              </w:rPr>
            </w:pPr>
          </w:p>
        </w:tc>
      </w:tr>
      <w:tr w14:paraId="1CF4B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14:paraId="6DD91EE3">
            <w:pPr>
              <w:pStyle w:val="30"/>
              <w:shd w:val="clear" w:color="auto" w:fill="FFFFFF"/>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14:paraId="06A001D4">
            <w:pPr>
              <w:pStyle w:val="30"/>
              <w:shd w:val="clear" w:color="auto" w:fill="FFFFFF"/>
              <w:spacing w:before="0" w:beforeAutospacing="0" w:after="0" w:afterAutospacing="0"/>
              <w:jc w:val="center"/>
              <w:rPr>
                <w:bCs/>
                <w:color w:val="auto"/>
                <w:highlight w:val="none"/>
              </w:rPr>
            </w:pPr>
            <w:r>
              <w:rPr>
                <w:rFonts w:hint="eastAsia"/>
                <w:bCs/>
                <w:color w:val="auto"/>
                <w:highlight w:val="none"/>
              </w:rPr>
              <w:t>核准经营范围</w:t>
            </w:r>
          </w:p>
        </w:tc>
        <w:tc>
          <w:tcPr>
            <w:tcW w:w="7430" w:type="dxa"/>
            <w:gridSpan w:val="10"/>
            <w:tcMar>
              <w:top w:w="57" w:type="dxa"/>
              <w:left w:w="85" w:type="dxa"/>
              <w:bottom w:w="0" w:type="dxa"/>
              <w:right w:w="85" w:type="dxa"/>
            </w:tcMar>
            <w:vAlign w:val="center"/>
          </w:tcPr>
          <w:p w14:paraId="12FCD4DF">
            <w:pPr>
              <w:pStyle w:val="30"/>
              <w:shd w:val="clear" w:color="auto" w:fill="FFFFFF"/>
              <w:spacing w:before="0" w:beforeAutospacing="0" w:after="0" w:afterAutospacing="0"/>
              <w:jc w:val="center"/>
              <w:rPr>
                <w:bCs/>
                <w:color w:val="auto"/>
                <w:highlight w:val="none"/>
              </w:rPr>
            </w:pPr>
          </w:p>
        </w:tc>
      </w:tr>
      <w:tr w14:paraId="292E7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14:paraId="080E792A">
            <w:pPr>
              <w:pStyle w:val="30"/>
              <w:shd w:val="clear" w:color="auto" w:fill="FFFFFF"/>
              <w:spacing w:before="0" w:beforeAutospacing="0" w:after="0" w:afterAutospacing="0"/>
              <w:jc w:val="center"/>
              <w:rPr>
                <w:bCs/>
                <w:color w:val="auto"/>
                <w:highlight w:val="none"/>
              </w:rPr>
            </w:pPr>
          </w:p>
        </w:tc>
        <w:tc>
          <w:tcPr>
            <w:tcW w:w="8131" w:type="dxa"/>
            <w:gridSpan w:val="11"/>
            <w:tcMar>
              <w:top w:w="57" w:type="dxa"/>
              <w:left w:w="85" w:type="dxa"/>
              <w:bottom w:w="0" w:type="dxa"/>
              <w:right w:w="85" w:type="dxa"/>
            </w:tcMar>
            <w:vAlign w:val="center"/>
          </w:tcPr>
          <w:p w14:paraId="7D3C3FAF">
            <w:pPr>
              <w:pStyle w:val="30"/>
              <w:shd w:val="clear" w:color="auto" w:fill="FFFFFF"/>
              <w:spacing w:before="0" w:beforeAutospacing="0" w:after="0" w:afterAutospacing="0"/>
              <w:jc w:val="center"/>
              <w:rPr>
                <w:bCs/>
                <w:color w:val="auto"/>
                <w:highlight w:val="none"/>
              </w:rPr>
            </w:pPr>
            <w:r>
              <w:rPr>
                <w:rFonts w:hint="eastAsia"/>
                <w:bCs/>
                <w:color w:val="auto"/>
                <w:highlight w:val="none"/>
              </w:rPr>
              <w:t>发展历程及主要荣誉：</w:t>
            </w:r>
          </w:p>
        </w:tc>
      </w:tr>
      <w:tr w14:paraId="3B5C0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14:paraId="075BEE83">
            <w:pPr>
              <w:pStyle w:val="30"/>
              <w:shd w:val="clear" w:color="auto" w:fill="FFFFFF"/>
              <w:spacing w:before="0" w:beforeAutospacing="0" w:after="0" w:afterAutospacing="0"/>
              <w:jc w:val="center"/>
              <w:rPr>
                <w:bCs/>
                <w:color w:val="auto"/>
                <w:highlight w:val="none"/>
              </w:rPr>
            </w:pPr>
            <w:r>
              <w:rPr>
                <w:bCs/>
                <w:color w:val="auto"/>
                <w:highlight w:val="none"/>
              </w:rPr>
              <w:t>2</w:t>
            </w:r>
            <w:r>
              <w:rPr>
                <w:rFonts w:hint="eastAsia"/>
                <w:bCs/>
                <w:color w:val="auto"/>
                <w:highlight w:val="none"/>
              </w:rPr>
              <w:t>．</w:t>
            </w:r>
          </w:p>
          <w:p w14:paraId="27FF1907">
            <w:pPr>
              <w:pStyle w:val="30"/>
              <w:shd w:val="clear" w:color="auto" w:fill="FFFFFF"/>
              <w:spacing w:before="0" w:beforeAutospacing="0" w:after="0" w:afterAutospacing="0"/>
              <w:jc w:val="center"/>
              <w:rPr>
                <w:bCs/>
                <w:color w:val="auto"/>
                <w:highlight w:val="none"/>
              </w:rPr>
            </w:pPr>
            <w:r>
              <w:rPr>
                <w:rFonts w:hint="eastAsia"/>
                <w:bCs/>
                <w:color w:val="auto"/>
                <w:highlight w:val="none"/>
              </w:rPr>
              <w:t>企业有关资质获证情况</w:t>
            </w:r>
          </w:p>
        </w:tc>
        <w:tc>
          <w:tcPr>
            <w:tcW w:w="1553" w:type="dxa"/>
            <w:gridSpan w:val="2"/>
            <w:vMerge w:val="restart"/>
            <w:tcMar>
              <w:top w:w="57" w:type="dxa"/>
              <w:left w:w="85" w:type="dxa"/>
              <w:bottom w:w="0" w:type="dxa"/>
              <w:right w:w="85" w:type="dxa"/>
            </w:tcMar>
            <w:vAlign w:val="center"/>
          </w:tcPr>
          <w:p w14:paraId="72795CDF">
            <w:pPr>
              <w:pStyle w:val="30"/>
              <w:spacing w:before="0" w:beforeAutospacing="0" w:after="0" w:afterAutospacing="0"/>
              <w:jc w:val="center"/>
              <w:rPr>
                <w:bCs/>
                <w:color w:val="auto"/>
                <w:highlight w:val="none"/>
              </w:rPr>
            </w:pPr>
            <w:r>
              <w:rPr>
                <w:rFonts w:hint="eastAsia"/>
                <w:bCs/>
                <w:color w:val="auto"/>
                <w:spacing w:val="41"/>
                <w:highlight w:val="none"/>
              </w:rPr>
              <w:t>企业获得其他资质</w:t>
            </w:r>
            <w:r>
              <w:rPr>
                <w:rFonts w:hint="eastAsia"/>
                <w:bCs/>
                <w:color w:val="auto"/>
                <w:spacing w:val="11"/>
                <w:highlight w:val="none"/>
              </w:rPr>
              <w:t>认证情况</w:t>
            </w:r>
          </w:p>
        </w:tc>
        <w:tc>
          <w:tcPr>
            <w:tcW w:w="1333" w:type="dxa"/>
            <w:gridSpan w:val="3"/>
            <w:tcMar>
              <w:top w:w="57" w:type="dxa"/>
              <w:left w:w="85" w:type="dxa"/>
              <w:bottom w:w="0" w:type="dxa"/>
              <w:right w:w="85" w:type="dxa"/>
            </w:tcMar>
            <w:vAlign w:val="center"/>
          </w:tcPr>
          <w:p w14:paraId="40C9DEBD">
            <w:pPr>
              <w:pStyle w:val="30"/>
              <w:spacing w:before="0" w:beforeAutospacing="0" w:after="0" w:afterAutospacing="0"/>
              <w:jc w:val="center"/>
              <w:rPr>
                <w:bCs/>
                <w:color w:val="auto"/>
                <w:highlight w:val="none"/>
              </w:rPr>
            </w:pPr>
            <w:r>
              <w:rPr>
                <w:rFonts w:hint="eastAsia"/>
                <w:bCs/>
                <w:color w:val="auto"/>
                <w:spacing w:val="16"/>
                <w:highlight w:val="none"/>
              </w:rPr>
              <w:t>资质名称</w:t>
            </w:r>
          </w:p>
        </w:tc>
        <w:tc>
          <w:tcPr>
            <w:tcW w:w="1418" w:type="dxa"/>
            <w:gridSpan w:val="2"/>
            <w:tcMar>
              <w:top w:w="57" w:type="dxa"/>
              <w:left w:w="85" w:type="dxa"/>
              <w:bottom w:w="0" w:type="dxa"/>
              <w:right w:w="85" w:type="dxa"/>
            </w:tcMar>
            <w:vAlign w:val="center"/>
          </w:tcPr>
          <w:p w14:paraId="07B4D98D">
            <w:pPr>
              <w:pStyle w:val="30"/>
              <w:spacing w:before="0" w:beforeAutospacing="0" w:after="0" w:afterAutospacing="0"/>
              <w:jc w:val="center"/>
              <w:rPr>
                <w:bCs/>
                <w:color w:val="auto"/>
                <w:highlight w:val="none"/>
              </w:rPr>
            </w:pPr>
            <w:r>
              <w:rPr>
                <w:rFonts w:hint="eastAsia"/>
                <w:bCs/>
                <w:color w:val="auto"/>
                <w:spacing w:val="16"/>
                <w:highlight w:val="none"/>
              </w:rPr>
              <w:t>发证机关</w:t>
            </w:r>
          </w:p>
        </w:tc>
        <w:tc>
          <w:tcPr>
            <w:tcW w:w="1276" w:type="dxa"/>
            <w:tcMar>
              <w:top w:w="57" w:type="dxa"/>
              <w:left w:w="85" w:type="dxa"/>
              <w:bottom w:w="0" w:type="dxa"/>
              <w:right w:w="85" w:type="dxa"/>
            </w:tcMar>
            <w:vAlign w:val="center"/>
          </w:tcPr>
          <w:p w14:paraId="390ABB15">
            <w:pPr>
              <w:pStyle w:val="30"/>
              <w:spacing w:before="0" w:beforeAutospacing="0" w:after="0" w:afterAutospacing="0"/>
              <w:jc w:val="center"/>
              <w:rPr>
                <w:bCs/>
                <w:color w:val="auto"/>
                <w:highlight w:val="none"/>
              </w:rPr>
            </w:pPr>
            <w:r>
              <w:rPr>
                <w:rFonts w:hint="eastAsia"/>
                <w:bCs/>
                <w:color w:val="auto"/>
                <w:spacing w:val="27"/>
                <w:highlight w:val="none"/>
              </w:rPr>
              <w:t>编号</w:t>
            </w:r>
          </w:p>
        </w:tc>
        <w:tc>
          <w:tcPr>
            <w:tcW w:w="1618" w:type="dxa"/>
            <w:gridSpan w:val="2"/>
            <w:tcMar>
              <w:top w:w="57" w:type="dxa"/>
              <w:left w:w="85" w:type="dxa"/>
              <w:bottom w:w="0" w:type="dxa"/>
              <w:right w:w="85" w:type="dxa"/>
            </w:tcMar>
            <w:vAlign w:val="center"/>
          </w:tcPr>
          <w:p w14:paraId="09F9C6FA">
            <w:pPr>
              <w:pStyle w:val="30"/>
              <w:spacing w:before="0" w:beforeAutospacing="0" w:after="0" w:afterAutospacing="0"/>
              <w:jc w:val="center"/>
              <w:rPr>
                <w:bCs/>
                <w:color w:val="auto"/>
                <w:highlight w:val="none"/>
              </w:rPr>
            </w:pPr>
            <w:r>
              <w:rPr>
                <w:rFonts w:hint="eastAsia"/>
                <w:bCs/>
                <w:color w:val="auto"/>
                <w:spacing w:val="16"/>
                <w:highlight w:val="none"/>
              </w:rPr>
              <w:t>发证时间</w:t>
            </w:r>
          </w:p>
        </w:tc>
        <w:tc>
          <w:tcPr>
            <w:tcW w:w="933" w:type="dxa"/>
            <w:tcMar>
              <w:top w:w="57" w:type="dxa"/>
              <w:left w:w="85" w:type="dxa"/>
              <w:bottom w:w="0" w:type="dxa"/>
              <w:right w:w="85" w:type="dxa"/>
            </w:tcMar>
            <w:vAlign w:val="center"/>
          </w:tcPr>
          <w:p w14:paraId="423072D4">
            <w:pPr>
              <w:pStyle w:val="30"/>
              <w:spacing w:before="0" w:beforeAutospacing="0" w:after="0" w:afterAutospacing="0"/>
              <w:jc w:val="center"/>
              <w:rPr>
                <w:bCs/>
                <w:color w:val="auto"/>
                <w:highlight w:val="none"/>
              </w:rPr>
            </w:pPr>
            <w:r>
              <w:rPr>
                <w:rFonts w:hint="eastAsia"/>
                <w:bCs/>
                <w:color w:val="auto"/>
                <w:spacing w:val="27"/>
                <w:highlight w:val="none"/>
              </w:rPr>
              <w:t>期限</w:t>
            </w:r>
          </w:p>
        </w:tc>
      </w:tr>
      <w:tr w14:paraId="207F4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14:paraId="5C2D4603">
            <w:pPr>
              <w:pStyle w:val="30"/>
              <w:shd w:val="clear" w:color="auto" w:fill="FFFFFF"/>
              <w:spacing w:before="0" w:beforeAutospacing="0" w:after="0" w:afterAutospacing="0"/>
              <w:jc w:val="center"/>
              <w:rPr>
                <w:bCs/>
                <w:color w:val="auto"/>
                <w:highlight w:val="none"/>
              </w:rPr>
            </w:pPr>
          </w:p>
        </w:tc>
        <w:tc>
          <w:tcPr>
            <w:tcW w:w="1553" w:type="dxa"/>
            <w:gridSpan w:val="2"/>
            <w:vMerge w:val="continue"/>
            <w:tcMar>
              <w:top w:w="57" w:type="dxa"/>
              <w:left w:w="85" w:type="dxa"/>
              <w:bottom w:w="0" w:type="dxa"/>
              <w:right w:w="85" w:type="dxa"/>
            </w:tcMar>
            <w:vAlign w:val="center"/>
          </w:tcPr>
          <w:p w14:paraId="14782832">
            <w:pPr>
              <w:pStyle w:val="30"/>
              <w:spacing w:before="0" w:beforeAutospacing="0" w:after="0" w:afterAutospacing="0"/>
              <w:jc w:val="center"/>
              <w:rPr>
                <w:bCs/>
                <w:color w:val="auto"/>
                <w:highlight w:val="none"/>
              </w:rPr>
            </w:pPr>
          </w:p>
        </w:tc>
        <w:tc>
          <w:tcPr>
            <w:tcW w:w="1333" w:type="dxa"/>
            <w:gridSpan w:val="3"/>
            <w:tcMar>
              <w:top w:w="57" w:type="dxa"/>
              <w:left w:w="85" w:type="dxa"/>
              <w:bottom w:w="0" w:type="dxa"/>
              <w:right w:w="85" w:type="dxa"/>
            </w:tcMar>
            <w:vAlign w:val="center"/>
          </w:tcPr>
          <w:p w14:paraId="33BA8967">
            <w:pPr>
              <w:pStyle w:val="30"/>
              <w:spacing w:before="0" w:beforeAutospacing="0" w:after="0" w:afterAutospacing="0"/>
              <w:jc w:val="center"/>
              <w:rPr>
                <w:bCs/>
                <w:color w:val="auto"/>
                <w:highlight w:val="none"/>
              </w:rPr>
            </w:pPr>
          </w:p>
        </w:tc>
        <w:tc>
          <w:tcPr>
            <w:tcW w:w="1418" w:type="dxa"/>
            <w:gridSpan w:val="2"/>
            <w:tcMar>
              <w:top w:w="57" w:type="dxa"/>
              <w:left w:w="85" w:type="dxa"/>
              <w:bottom w:w="0" w:type="dxa"/>
              <w:right w:w="85" w:type="dxa"/>
            </w:tcMar>
            <w:vAlign w:val="center"/>
          </w:tcPr>
          <w:p w14:paraId="7FA3E5AC">
            <w:pPr>
              <w:pStyle w:val="30"/>
              <w:spacing w:before="0" w:beforeAutospacing="0" w:after="0" w:afterAutospacing="0"/>
              <w:jc w:val="center"/>
              <w:rPr>
                <w:bCs/>
                <w:color w:val="auto"/>
                <w:highlight w:val="none"/>
              </w:rPr>
            </w:pPr>
          </w:p>
        </w:tc>
        <w:tc>
          <w:tcPr>
            <w:tcW w:w="1276" w:type="dxa"/>
            <w:tcMar>
              <w:top w:w="57" w:type="dxa"/>
              <w:left w:w="85" w:type="dxa"/>
              <w:bottom w:w="0" w:type="dxa"/>
              <w:right w:w="85" w:type="dxa"/>
            </w:tcMar>
            <w:vAlign w:val="center"/>
          </w:tcPr>
          <w:p w14:paraId="2C3F0F82">
            <w:pPr>
              <w:pStyle w:val="30"/>
              <w:spacing w:before="0" w:beforeAutospacing="0" w:after="0" w:afterAutospacing="0"/>
              <w:jc w:val="center"/>
              <w:rPr>
                <w:bCs/>
                <w:color w:val="auto"/>
                <w:highlight w:val="none"/>
              </w:rPr>
            </w:pPr>
          </w:p>
        </w:tc>
        <w:tc>
          <w:tcPr>
            <w:tcW w:w="1618" w:type="dxa"/>
            <w:gridSpan w:val="2"/>
            <w:tcMar>
              <w:top w:w="57" w:type="dxa"/>
              <w:left w:w="85" w:type="dxa"/>
              <w:bottom w:w="0" w:type="dxa"/>
              <w:right w:w="85" w:type="dxa"/>
            </w:tcMar>
            <w:vAlign w:val="center"/>
          </w:tcPr>
          <w:p w14:paraId="3E81A128">
            <w:pPr>
              <w:pStyle w:val="30"/>
              <w:spacing w:before="0" w:beforeAutospacing="0" w:after="0" w:afterAutospacing="0"/>
              <w:jc w:val="center"/>
              <w:rPr>
                <w:bCs/>
                <w:color w:val="auto"/>
                <w:highlight w:val="none"/>
              </w:rPr>
            </w:pPr>
          </w:p>
        </w:tc>
        <w:tc>
          <w:tcPr>
            <w:tcW w:w="933" w:type="dxa"/>
            <w:tcMar>
              <w:top w:w="57" w:type="dxa"/>
              <w:left w:w="85" w:type="dxa"/>
              <w:bottom w:w="0" w:type="dxa"/>
              <w:right w:w="85" w:type="dxa"/>
            </w:tcMar>
            <w:vAlign w:val="center"/>
          </w:tcPr>
          <w:p w14:paraId="36049443">
            <w:pPr>
              <w:pStyle w:val="30"/>
              <w:spacing w:before="0" w:beforeAutospacing="0" w:after="0" w:afterAutospacing="0"/>
              <w:jc w:val="center"/>
              <w:rPr>
                <w:color w:val="auto"/>
                <w:highlight w:val="none"/>
              </w:rPr>
            </w:pPr>
          </w:p>
        </w:tc>
      </w:tr>
      <w:tr w14:paraId="342EF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14:paraId="35FB626C">
            <w:pPr>
              <w:pStyle w:val="30"/>
              <w:shd w:val="clear" w:color="auto" w:fill="FFFFFF"/>
              <w:spacing w:before="0" w:beforeAutospacing="0" w:after="0" w:afterAutospacing="0"/>
              <w:jc w:val="center"/>
              <w:rPr>
                <w:bCs/>
                <w:color w:val="auto"/>
                <w:highlight w:val="none"/>
              </w:rPr>
            </w:pPr>
          </w:p>
        </w:tc>
        <w:tc>
          <w:tcPr>
            <w:tcW w:w="1553" w:type="dxa"/>
            <w:gridSpan w:val="2"/>
            <w:tcMar>
              <w:top w:w="57" w:type="dxa"/>
              <w:left w:w="85" w:type="dxa"/>
              <w:bottom w:w="0" w:type="dxa"/>
              <w:right w:w="85" w:type="dxa"/>
            </w:tcMar>
            <w:vAlign w:val="center"/>
          </w:tcPr>
          <w:p w14:paraId="7BE70BD1">
            <w:pPr>
              <w:pStyle w:val="30"/>
              <w:shd w:val="clear" w:color="auto" w:fill="FFFFFF"/>
              <w:spacing w:before="0" w:beforeAutospacing="0" w:after="0" w:afterAutospacing="0"/>
              <w:jc w:val="center"/>
              <w:rPr>
                <w:bCs/>
                <w:color w:val="auto"/>
                <w:highlight w:val="none"/>
              </w:rPr>
            </w:pPr>
            <w:r>
              <w:rPr>
                <w:rFonts w:hint="eastAsia"/>
                <w:bCs/>
                <w:color w:val="auto"/>
                <w:highlight w:val="none"/>
              </w:rPr>
              <w:t>企业获得专利情况</w:t>
            </w:r>
          </w:p>
        </w:tc>
        <w:tc>
          <w:tcPr>
            <w:tcW w:w="6578" w:type="dxa"/>
            <w:gridSpan w:val="9"/>
            <w:tcMar>
              <w:top w:w="57" w:type="dxa"/>
              <w:left w:w="85" w:type="dxa"/>
              <w:bottom w:w="0" w:type="dxa"/>
              <w:right w:w="85" w:type="dxa"/>
            </w:tcMar>
            <w:vAlign w:val="center"/>
          </w:tcPr>
          <w:p w14:paraId="5C16CC79">
            <w:pPr>
              <w:pStyle w:val="30"/>
              <w:shd w:val="clear" w:color="auto" w:fill="FFFFFF"/>
              <w:spacing w:before="0" w:beforeAutospacing="0" w:after="0" w:afterAutospacing="0"/>
              <w:jc w:val="center"/>
              <w:rPr>
                <w:bCs/>
                <w:color w:val="auto"/>
                <w:highlight w:val="none"/>
              </w:rPr>
            </w:pPr>
          </w:p>
        </w:tc>
      </w:tr>
    </w:tbl>
    <w:p w14:paraId="678CAC0E">
      <w:pPr>
        <w:pStyle w:val="30"/>
        <w:shd w:val="clear" w:color="auto" w:fill="FFFFFF"/>
        <w:spacing w:before="0" w:beforeAutospacing="0" w:after="0" w:afterAutospacing="0" w:line="360" w:lineRule="auto"/>
        <w:rPr>
          <w:b/>
          <w:color w:val="auto"/>
          <w:sz w:val="21"/>
          <w:szCs w:val="21"/>
          <w:highlight w:val="none"/>
        </w:rPr>
      </w:pPr>
      <w:r>
        <w:rPr>
          <w:rFonts w:hint="eastAsia"/>
          <w:b/>
          <w:color w:val="auto"/>
          <w:sz w:val="21"/>
          <w:szCs w:val="21"/>
          <w:highlight w:val="none"/>
        </w:rPr>
        <w:t>要求：</w:t>
      </w:r>
    </w:p>
    <w:p w14:paraId="349D8E4E">
      <w:pPr>
        <w:pStyle w:val="30"/>
        <w:shd w:val="clear" w:color="auto" w:fill="FFFFFF"/>
        <w:spacing w:before="0" w:beforeAutospacing="0" w:after="0" w:afterAutospacing="0" w:line="360" w:lineRule="auto"/>
        <w:ind w:firstLine="424" w:firstLineChars="202"/>
        <w:rPr>
          <w:color w:val="auto"/>
          <w:sz w:val="21"/>
          <w:szCs w:val="21"/>
          <w:highlight w:val="none"/>
        </w:rPr>
      </w:pPr>
      <w:r>
        <w:rPr>
          <w:rFonts w:hint="eastAsia" w:ascii="仿宋_GB2312" w:eastAsia="仿宋_GB2312"/>
          <w:color w:val="auto"/>
          <w:sz w:val="21"/>
          <w:szCs w:val="21"/>
          <w:highlight w:val="none"/>
        </w:rPr>
        <w:t>1.</w:t>
      </w:r>
      <w:r>
        <w:rPr>
          <w:rFonts w:hint="eastAsia"/>
          <w:color w:val="auto"/>
          <w:sz w:val="21"/>
          <w:szCs w:val="21"/>
          <w:highlight w:val="none"/>
        </w:rPr>
        <w:t>姓名栏必须将所有股东都统计在内，若非股份公司此行（第三行）无需填写。</w:t>
      </w:r>
    </w:p>
    <w:p w14:paraId="7F9EC5B7">
      <w:pPr>
        <w:spacing w:line="360" w:lineRule="auto"/>
        <w:rPr>
          <w:rFonts w:ascii="宋体" w:hAnsi="宋体"/>
          <w:color w:val="auto"/>
          <w:sz w:val="24"/>
          <w:highlight w:val="none"/>
        </w:rPr>
      </w:pPr>
    </w:p>
    <w:p w14:paraId="4C0215DA">
      <w:pPr>
        <w:spacing w:line="360" w:lineRule="auto"/>
        <w:rPr>
          <w:rFonts w:ascii="宋体" w:hAnsi="宋体"/>
          <w:color w:val="auto"/>
          <w:sz w:val="24"/>
          <w:highlight w:val="none"/>
        </w:rPr>
      </w:pPr>
    </w:p>
    <w:p w14:paraId="6CDD5D5E">
      <w:pPr>
        <w:spacing w:line="360" w:lineRule="auto"/>
        <w:ind w:firstLine="424" w:firstLineChars="177"/>
        <w:rPr>
          <w:rFonts w:ascii="宋体" w:hAnsi="宋体"/>
          <w:color w:val="auto"/>
          <w:sz w:val="24"/>
          <w:highlight w:val="none"/>
          <w:u w:val="single"/>
        </w:rPr>
      </w:pPr>
      <w:r>
        <w:rPr>
          <w:rFonts w:hint="eastAsia" w:asciiTheme="minorEastAsia" w:hAnsiTheme="minorEastAsia" w:eastAsiaTheme="minorEastAsia"/>
          <w:color w:val="auto"/>
          <w:sz w:val="24"/>
          <w:highlight w:val="none"/>
          <w:lang w:eastAsia="zh-CN"/>
        </w:rPr>
        <w:t>供应商</w:t>
      </w:r>
      <w:r>
        <w:rPr>
          <w:rFonts w:hint="eastAsia" w:ascii="宋体" w:hAnsi="宋体"/>
          <w:color w:val="auto"/>
          <w:sz w:val="24"/>
          <w:highlight w:val="none"/>
        </w:rPr>
        <w:t>名称（公章/电子章）：</w:t>
      </w:r>
    </w:p>
    <w:p w14:paraId="0D754F90">
      <w:pPr>
        <w:spacing w:line="360" w:lineRule="auto"/>
        <w:ind w:left="420"/>
        <w:rPr>
          <w:rFonts w:ascii="宋体" w:hAnsi="宋体"/>
          <w:color w:val="auto"/>
          <w:sz w:val="24"/>
          <w:highlight w:val="none"/>
        </w:rPr>
      </w:pPr>
    </w:p>
    <w:p w14:paraId="0C9052B3">
      <w:pPr>
        <w:spacing w:line="360" w:lineRule="auto"/>
        <w:ind w:firstLine="424" w:firstLineChars="177"/>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w:t>
      </w:r>
      <w:r>
        <w:rPr>
          <w:rFonts w:hint="eastAsia" w:ascii="宋体" w:hAnsi="宋体"/>
          <w:color w:val="auto"/>
          <w:sz w:val="24"/>
          <w:highlight w:val="none"/>
        </w:rPr>
        <w:t>：</w:t>
      </w:r>
    </w:p>
    <w:p w14:paraId="6F5D8BAD">
      <w:pPr>
        <w:spacing w:line="360" w:lineRule="auto"/>
        <w:ind w:firstLine="435"/>
        <w:rPr>
          <w:rFonts w:ascii="宋体" w:hAnsi="宋体"/>
          <w:color w:val="auto"/>
          <w:sz w:val="24"/>
          <w:highlight w:val="none"/>
        </w:rPr>
      </w:pPr>
    </w:p>
    <w:p w14:paraId="285900D3">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6AF867BC">
      <w:pPr>
        <w:spacing w:line="360" w:lineRule="auto"/>
        <w:rPr>
          <w:rFonts w:ascii="宋体" w:hAnsi="宋体"/>
          <w:color w:val="auto"/>
          <w:sz w:val="24"/>
          <w:highlight w:val="none"/>
        </w:rPr>
      </w:pPr>
    </w:p>
    <w:p w14:paraId="0CD11DEB">
      <w:pPr>
        <w:pStyle w:val="30"/>
        <w:shd w:val="clear" w:color="auto" w:fill="FFFFFF"/>
        <w:spacing w:before="0" w:beforeAutospacing="0" w:after="0" w:afterAutospacing="0" w:line="360" w:lineRule="auto"/>
        <w:ind w:firstLine="424" w:firstLineChars="177"/>
        <w:rPr>
          <w:b/>
          <w:bCs/>
          <w:color w:val="auto"/>
          <w:highlight w:val="none"/>
        </w:rPr>
      </w:pPr>
      <w:r>
        <w:rPr>
          <w:rFonts w:hint="eastAsia"/>
          <w:color w:val="auto"/>
          <w:highlight w:val="none"/>
        </w:rPr>
        <w:t>日        期：</w:t>
      </w:r>
    </w:p>
    <w:p w14:paraId="484EE77F">
      <w:pPr>
        <w:spacing w:line="360" w:lineRule="auto"/>
        <w:rPr>
          <w:rFonts w:ascii="宋体" w:hAnsi="宋体"/>
          <w:b/>
          <w:color w:val="auto"/>
          <w:sz w:val="24"/>
          <w:highlight w:val="none"/>
        </w:rPr>
      </w:pPr>
    </w:p>
    <w:p w14:paraId="7D1CD913">
      <w:pPr>
        <w:spacing w:line="360" w:lineRule="auto"/>
        <w:rPr>
          <w:rFonts w:ascii="宋体" w:hAnsi="宋体"/>
          <w:b/>
          <w:color w:val="auto"/>
          <w:sz w:val="28"/>
          <w:highlight w:val="none"/>
        </w:rPr>
      </w:pPr>
    </w:p>
    <w:p w14:paraId="00564B07">
      <w:pPr>
        <w:pStyle w:val="20"/>
        <w:ind w:left="0" w:leftChars="0" w:firstLine="0" w:firstLineChars="0"/>
        <w:rPr>
          <w:color w:val="auto"/>
          <w:highlight w:val="none"/>
        </w:rPr>
        <w:sectPr>
          <w:pgSz w:w="11906" w:h="16838"/>
          <w:pgMar w:top="1440" w:right="1800" w:bottom="1440" w:left="1800" w:header="851" w:footer="992" w:gutter="0"/>
          <w:pgNumType w:fmt="numberInDash"/>
          <w:cols w:space="425" w:num="1"/>
          <w:docGrid w:type="lines" w:linePitch="312" w:charSpace="0"/>
        </w:sectPr>
      </w:pPr>
    </w:p>
    <w:p w14:paraId="7233846C">
      <w:pPr>
        <w:spacing w:line="360" w:lineRule="auto"/>
        <w:rPr>
          <w:rFonts w:hint="eastAsia" w:ascii="宋体" w:hAnsi="宋体" w:eastAsia="宋体"/>
          <w:b/>
          <w:color w:val="auto"/>
          <w:sz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9</w:t>
      </w:r>
    </w:p>
    <w:p w14:paraId="15B54C8A">
      <w:pPr>
        <w:spacing w:before="120" w:beforeLines="50" w:after="120" w:afterLines="50" w:line="360" w:lineRule="auto"/>
        <w:ind w:right="-10"/>
        <w:jc w:val="center"/>
        <w:rPr>
          <w:rFonts w:ascii="宋体" w:hAnsi="宋体"/>
          <w:b/>
          <w:bCs/>
          <w:color w:val="auto"/>
          <w:sz w:val="32"/>
          <w:szCs w:val="32"/>
          <w:highlight w:val="none"/>
        </w:rPr>
      </w:pPr>
      <w:r>
        <w:rPr>
          <w:rFonts w:hint="eastAsia" w:ascii="宋体" w:hAnsi="宋体"/>
          <w:b/>
          <w:bCs/>
          <w:color w:val="auto"/>
          <w:sz w:val="32"/>
          <w:szCs w:val="32"/>
          <w:highlight w:val="none"/>
        </w:rPr>
        <w:t>项目负责人资格情况表</w:t>
      </w:r>
    </w:p>
    <w:tbl>
      <w:tblPr>
        <w:tblStyle w:val="21"/>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14:paraId="2A67A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C99E967">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8C9A385">
            <w:pPr>
              <w:autoSpaceDE w:val="0"/>
              <w:autoSpaceDN w:val="0"/>
              <w:adjustRightInd w:val="0"/>
              <w:snapToGrid w:val="0"/>
              <w:spacing w:line="360" w:lineRule="auto"/>
              <w:jc w:val="center"/>
              <w:rPr>
                <w:rFonts w:ascii="宋体" w:hAnsi="宋体"/>
                <w:color w:val="auto"/>
                <w:highlight w:val="none"/>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0AFD36A">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近年来主要工作业绩</w:t>
            </w:r>
          </w:p>
        </w:tc>
      </w:tr>
      <w:tr w14:paraId="15C4B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618504AB">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10BBC71">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A697B9C">
            <w:pPr>
              <w:autoSpaceDE w:val="0"/>
              <w:autoSpaceDN w:val="0"/>
              <w:adjustRightInd w:val="0"/>
              <w:snapToGrid w:val="0"/>
              <w:spacing w:line="360" w:lineRule="auto"/>
              <w:jc w:val="center"/>
              <w:rPr>
                <w:rFonts w:ascii="宋体" w:hAnsi="宋体"/>
                <w:color w:val="auto"/>
                <w:highlight w:val="none"/>
              </w:rPr>
            </w:pPr>
            <w:r>
              <w:rPr>
                <w:rFonts w:hint="eastAsia" w:ascii="宋体" w:hAnsi="宋体"/>
                <w:color w:val="auto"/>
                <w:highlight w:val="none"/>
              </w:rPr>
              <w:t>注：业绩证明应提供旁证材料</w:t>
            </w:r>
          </w:p>
          <w:p w14:paraId="632EBF0B">
            <w:pPr>
              <w:autoSpaceDE w:val="0"/>
              <w:autoSpaceDN w:val="0"/>
              <w:adjustRightInd w:val="0"/>
              <w:snapToGrid w:val="0"/>
              <w:spacing w:line="360" w:lineRule="auto"/>
              <w:jc w:val="center"/>
              <w:rPr>
                <w:rFonts w:ascii="宋体" w:hAnsi="宋体"/>
                <w:color w:val="auto"/>
                <w:highlight w:val="none"/>
                <w:lang w:val="zh-CN"/>
              </w:rPr>
            </w:pPr>
            <w:r>
              <w:rPr>
                <w:rFonts w:hint="eastAsia" w:ascii="宋体" w:hAnsi="宋体"/>
                <w:color w:val="auto"/>
                <w:highlight w:val="none"/>
              </w:rPr>
              <w:t>（供货合同或中标通知书）。</w:t>
            </w:r>
          </w:p>
        </w:tc>
      </w:tr>
      <w:tr w14:paraId="3C38B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21FD1B1A">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7412CD2">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C1D8035">
            <w:pPr>
              <w:autoSpaceDE w:val="0"/>
              <w:autoSpaceDN w:val="0"/>
              <w:adjustRightInd w:val="0"/>
              <w:snapToGrid w:val="0"/>
              <w:spacing w:line="360" w:lineRule="auto"/>
              <w:jc w:val="center"/>
              <w:rPr>
                <w:rFonts w:ascii="宋体" w:hAnsi="宋体"/>
                <w:color w:val="auto"/>
                <w:highlight w:val="none"/>
                <w:lang w:val="zh-CN"/>
              </w:rPr>
            </w:pPr>
          </w:p>
        </w:tc>
      </w:tr>
      <w:tr w14:paraId="5C4E6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68A822C6">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7129B1">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94BD059">
            <w:pPr>
              <w:autoSpaceDE w:val="0"/>
              <w:autoSpaceDN w:val="0"/>
              <w:adjustRightInd w:val="0"/>
              <w:snapToGrid w:val="0"/>
              <w:spacing w:line="360" w:lineRule="auto"/>
              <w:jc w:val="center"/>
              <w:rPr>
                <w:rFonts w:ascii="宋体" w:hAnsi="宋体"/>
                <w:color w:val="auto"/>
                <w:highlight w:val="none"/>
                <w:lang w:val="zh-CN"/>
              </w:rPr>
            </w:pPr>
          </w:p>
        </w:tc>
      </w:tr>
      <w:tr w14:paraId="2E43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DD43834">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BA2B116">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0C2C824F">
            <w:pPr>
              <w:autoSpaceDE w:val="0"/>
              <w:autoSpaceDN w:val="0"/>
              <w:adjustRightInd w:val="0"/>
              <w:snapToGrid w:val="0"/>
              <w:spacing w:line="360" w:lineRule="auto"/>
              <w:jc w:val="center"/>
              <w:rPr>
                <w:rFonts w:ascii="宋体" w:hAnsi="宋体"/>
                <w:color w:val="auto"/>
                <w:highlight w:val="none"/>
                <w:lang w:val="zh-CN"/>
              </w:rPr>
            </w:pPr>
          </w:p>
        </w:tc>
      </w:tr>
      <w:tr w14:paraId="08A36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2ACC9044">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6761124">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B6E1CDE">
            <w:pPr>
              <w:autoSpaceDE w:val="0"/>
              <w:autoSpaceDN w:val="0"/>
              <w:adjustRightInd w:val="0"/>
              <w:snapToGrid w:val="0"/>
              <w:spacing w:line="360" w:lineRule="auto"/>
              <w:jc w:val="center"/>
              <w:rPr>
                <w:rFonts w:ascii="宋体" w:hAnsi="宋体"/>
                <w:color w:val="auto"/>
                <w:highlight w:val="none"/>
                <w:lang w:val="zh-CN"/>
              </w:rPr>
            </w:pPr>
          </w:p>
        </w:tc>
      </w:tr>
      <w:tr w14:paraId="69531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1C631C29">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9CD776">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507D7A6">
            <w:pPr>
              <w:autoSpaceDE w:val="0"/>
              <w:autoSpaceDN w:val="0"/>
              <w:adjustRightInd w:val="0"/>
              <w:snapToGrid w:val="0"/>
              <w:spacing w:line="360" w:lineRule="auto"/>
              <w:jc w:val="center"/>
              <w:rPr>
                <w:rFonts w:ascii="宋体" w:hAnsi="宋体"/>
                <w:color w:val="auto"/>
                <w:highlight w:val="none"/>
                <w:lang w:val="zh-CN"/>
              </w:rPr>
            </w:pPr>
          </w:p>
        </w:tc>
      </w:tr>
      <w:tr w14:paraId="200BF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C26869B">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4DD726D">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43BF85E">
            <w:pPr>
              <w:autoSpaceDE w:val="0"/>
              <w:autoSpaceDN w:val="0"/>
              <w:adjustRightInd w:val="0"/>
              <w:snapToGrid w:val="0"/>
              <w:spacing w:line="360" w:lineRule="auto"/>
              <w:jc w:val="center"/>
              <w:rPr>
                <w:rFonts w:ascii="宋体" w:hAnsi="宋体"/>
                <w:color w:val="auto"/>
                <w:highlight w:val="none"/>
                <w:lang w:val="zh-CN"/>
              </w:rPr>
            </w:pPr>
          </w:p>
        </w:tc>
      </w:tr>
      <w:tr w14:paraId="643A4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662DB1C4">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1C6EDE66">
            <w:pPr>
              <w:autoSpaceDE w:val="0"/>
              <w:autoSpaceDN w:val="0"/>
              <w:adjustRightInd w:val="0"/>
              <w:snapToGrid w:val="0"/>
              <w:spacing w:line="360" w:lineRule="auto"/>
              <w:jc w:val="center"/>
              <w:rPr>
                <w:rFonts w:ascii="宋体" w:hAnsi="宋体"/>
                <w:color w:val="auto"/>
                <w:highlight w:val="none"/>
                <w:lang w:val="zh-CN"/>
              </w:rPr>
            </w:pPr>
          </w:p>
        </w:tc>
      </w:tr>
    </w:tbl>
    <w:p w14:paraId="362CC771">
      <w:pPr>
        <w:spacing w:line="360" w:lineRule="auto"/>
        <w:ind w:left="420"/>
        <w:rPr>
          <w:rFonts w:ascii="宋体" w:hAnsi="宋体"/>
          <w:color w:val="auto"/>
          <w:sz w:val="24"/>
          <w:highlight w:val="none"/>
        </w:rPr>
      </w:pPr>
    </w:p>
    <w:p w14:paraId="1D456100">
      <w:pPr>
        <w:spacing w:line="360" w:lineRule="auto"/>
        <w:ind w:firstLine="480" w:firstLineChars="200"/>
        <w:rPr>
          <w:rFonts w:ascii="宋体" w:hAnsi="宋体"/>
          <w:color w:val="auto"/>
          <w:sz w:val="24"/>
          <w:highlight w:val="none"/>
          <w:u w:val="single"/>
        </w:rPr>
      </w:pPr>
      <w:r>
        <w:rPr>
          <w:rFonts w:hint="eastAsia" w:asciiTheme="minorEastAsia" w:hAnsiTheme="minorEastAsia" w:eastAsiaTheme="minorEastAsia"/>
          <w:color w:val="auto"/>
          <w:sz w:val="24"/>
          <w:highlight w:val="none"/>
          <w:lang w:eastAsia="zh-CN"/>
        </w:rPr>
        <w:t>供应商</w:t>
      </w:r>
      <w:r>
        <w:rPr>
          <w:rFonts w:hint="eastAsia" w:ascii="宋体" w:hAnsi="宋体"/>
          <w:color w:val="auto"/>
          <w:sz w:val="24"/>
          <w:highlight w:val="none"/>
        </w:rPr>
        <w:t>名称（公章/电子章）：</w:t>
      </w:r>
    </w:p>
    <w:p w14:paraId="29B79A51">
      <w:pPr>
        <w:spacing w:line="360" w:lineRule="auto"/>
        <w:ind w:left="420"/>
        <w:rPr>
          <w:rFonts w:ascii="宋体" w:hAnsi="宋体"/>
          <w:color w:val="auto"/>
          <w:sz w:val="24"/>
          <w:highlight w:val="none"/>
        </w:rPr>
      </w:pPr>
    </w:p>
    <w:p w14:paraId="7731AF75">
      <w:pPr>
        <w:spacing w:line="360" w:lineRule="auto"/>
        <w:ind w:firstLine="435"/>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w:t>
      </w:r>
      <w:r>
        <w:rPr>
          <w:rFonts w:hint="eastAsia" w:ascii="宋体" w:hAnsi="宋体"/>
          <w:color w:val="auto"/>
          <w:sz w:val="24"/>
          <w:highlight w:val="none"/>
        </w:rPr>
        <w:t>：</w:t>
      </w:r>
    </w:p>
    <w:p w14:paraId="2EEE7B0D">
      <w:pPr>
        <w:spacing w:line="360" w:lineRule="auto"/>
        <w:ind w:firstLine="435"/>
        <w:rPr>
          <w:rFonts w:ascii="宋体" w:hAnsi="宋体"/>
          <w:color w:val="auto"/>
          <w:sz w:val="24"/>
          <w:highlight w:val="none"/>
        </w:rPr>
      </w:pPr>
    </w:p>
    <w:p w14:paraId="56E1A5F2">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0750C30F">
      <w:pPr>
        <w:spacing w:line="360" w:lineRule="auto"/>
        <w:ind w:firstLine="435"/>
        <w:rPr>
          <w:rFonts w:ascii="宋体" w:hAnsi="宋体"/>
          <w:color w:val="auto"/>
          <w:sz w:val="24"/>
          <w:highlight w:val="none"/>
        </w:rPr>
      </w:pPr>
    </w:p>
    <w:p w14:paraId="2FF088C2">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2D9A0D6A">
      <w:pPr>
        <w:pStyle w:val="2"/>
        <w:rPr>
          <w:color w:val="auto"/>
          <w:highlight w:val="none"/>
        </w:rPr>
      </w:pPr>
    </w:p>
    <w:p w14:paraId="0C5FCE40">
      <w:pPr>
        <w:jc w:val="left"/>
        <w:rPr>
          <w:rFonts w:ascii="宋体" w:hAnsi="宋体"/>
          <w:b/>
          <w:bCs/>
          <w:color w:val="auto"/>
          <w:kern w:val="0"/>
          <w:sz w:val="32"/>
          <w:szCs w:val="32"/>
          <w:highlight w:val="none"/>
        </w:rPr>
      </w:pPr>
      <w:bookmarkStart w:id="56" w:name="_Toc26601_WPSOffice_Level1"/>
      <w:bookmarkStart w:id="57" w:name="_Toc12856_WPSOffice_Level1"/>
      <w:r>
        <w:rPr>
          <w:rFonts w:ascii="宋体" w:hAnsi="宋体"/>
          <w:b/>
          <w:bCs/>
          <w:color w:val="auto"/>
          <w:kern w:val="0"/>
          <w:sz w:val="32"/>
          <w:szCs w:val="32"/>
          <w:highlight w:val="none"/>
        </w:rPr>
        <w:br w:type="page"/>
      </w:r>
    </w:p>
    <w:p w14:paraId="21B0593C">
      <w:pPr>
        <w:jc w:val="left"/>
        <w:rPr>
          <w:rFonts w:hint="default" w:ascii="宋体" w:hAnsi="宋体" w:eastAsia="宋体"/>
          <w:b/>
          <w:bCs/>
          <w:color w:val="auto"/>
          <w:kern w:val="0"/>
          <w:sz w:val="32"/>
          <w:szCs w:val="32"/>
          <w:highlight w:val="none"/>
          <w:lang w:val="en-US" w:eastAsia="zh-CN"/>
        </w:rPr>
      </w:pPr>
      <w:r>
        <w:rPr>
          <w:rFonts w:hint="eastAsia" w:ascii="宋体" w:hAnsi="宋体"/>
          <w:b/>
          <w:bCs/>
          <w:color w:val="auto"/>
          <w:kern w:val="0"/>
          <w:sz w:val="32"/>
          <w:szCs w:val="32"/>
          <w:highlight w:val="none"/>
        </w:rPr>
        <w:t>附件</w:t>
      </w:r>
      <w:r>
        <w:rPr>
          <w:rFonts w:hint="eastAsia" w:ascii="宋体" w:hAnsi="宋体"/>
          <w:b/>
          <w:bCs/>
          <w:color w:val="auto"/>
          <w:kern w:val="0"/>
          <w:sz w:val="32"/>
          <w:szCs w:val="32"/>
          <w:highlight w:val="none"/>
          <w:lang w:val="en-US" w:eastAsia="zh-CN"/>
        </w:rPr>
        <w:t>10</w:t>
      </w:r>
    </w:p>
    <w:p w14:paraId="558F6C45">
      <w:pPr>
        <w:snapToGrid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p w14:paraId="1C4B24E9">
      <w:pPr>
        <w:snapToGrid w:val="0"/>
        <w:spacing w:line="360" w:lineRule="auto"/>
        <w:jc w:val="center"/>
        <w:rPr>
          <w:rFonts w:ascii="宋体" w:hAnsi="宋体"/>
          <w:color w:val="auto"/>
          <w:sz w:val="24"/>
          <w:highlight w:val="none"/>
        </w:rPr>
      </w:pPr>
      <w:r>
        <w:rPr>
          <w:rFonts w:hint="eastAsia" w:ascii="宋体" w:hAnsi="宋体"/>
          <w:color w:val="auto"/>
          <w:sz w:val="24"/>
          <w:highlight w:val="none"/>
        </w:rPr>
        <w:t>（主要从业人员及其技术资格）</w:t>
      </w:r>
    </w:p>
    <w:tbl>
      <w:tblPr>
        <w:tblStyle w:val="21"/>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14:paraId="496E1A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F16A827">
            <w:pPr>
              <w:snapToGrid w:val="0"/>
              <w:jc w:val="center"/>
              <w:rPr>
                <w:rFonts w:ascii="宋体" w:hAnsi="宋体"/>
                <w:b/>
                <w:color w:val="auto"/>
                <w:szCs w:val="21"/>
                <w:highlight w:val="none"/>
              </w:rPr>
            </w:pPr>
            <w:r>
              <w:rPr>
                <w:rFonts w:hint="eastAsia" w:ascii="宋体" w:hAnsi="宋体"/>
                <w:b/>
                <w:color w:val="auto"/>
                <w:szCs w:val="21"/>
                <w:highlight w:val="none"/>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14EBC5A">
            <w:pPr>
              <w:snapToGrid w:val="0"/>
              <w:jc w:val="center"/>
              <w:rPr>
                <w:rFonts w:ascii="宋体" w:hAnsi="宋体"/>
                <w:b/>
                <w:color w:val="auto"/>
                <w:szCs w:val="21"/>
                <w:highlight w:val="none"/>
              </w:rPr>
            </w:pPr>
            <w:r>
              <w:rPr>
                <w:rFonts w:hint="eastAsia" w:ascii="宋体" w:hAnsi="宋体"/>
                <w:b/>
                <w:color w:val="auto"/>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D5C8320">
            <w:pPr>
              <w:snapToGrid w:val="0"/>
              <w:jc w:val="center"/>
              <w:rPr>
                <w:rFonts w:ascii="宋体" w:hAnsi="宋体"/>
                <w:b/>
                <w:color w:val="auto"/>
                <w:szCs w:val="21"/>
                <w:highlight w:val="none"/>
              </w:rPr>
            </w:pPr>
            <w:r>
              <w:rPr>
                <w:rFonts w:hint="eastAsia" w:ascii="宋体" w:hAnsi="宋体"/>
                <w:b/>
                <w:color w:val="auto"/>
                <w:szCs w:val="21"/>
                <w:highlight w:val="none"/>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5F099B">
            <w:pPr>
              <w:snapToGrid w:val="0"/>
              <w:jc w:val="center"/>
              <w:rPr>
                <w:rFonts w:ascii="宋体" w:hAnsi="宋体"/>
                <w:b/>
                <w:color w:val="auto"/>
                <w:szCs w:val="21"/>
                <w:highlight w:val="none"/>
              </w:rPr>
            </w:pPr>
            <w:r>
              <w:rPr>
                <w:rFonts w:hint="eastAsia" w:ascii="宋体" w:hAnsi="宋体"/>
                <w:b/>
                <w:color w:val="auto"/>
                <w:szCs w:val="21"/>
                <w:highlight w:val="none"/>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6EC1F3D">
            <w:pPr>
              <w:snapToGrid w:val="0"/>
              <w:jc w:val="center"/>
              <w:rPr>
                <w:rFonts w:ascii="宋体" w:hAnsi="宋体"/>
                <w:b/>
                <w:color w:val="auto"/>
                <w:szCs w:val="21"/>
                <w:highlight w:val="none"/>
              </w:rPr>
            </w:pPr>
            <w:r>
              <w:rPr>
                <w:rFonts w:hint="eastAsia" w:ascii="宋体" w:hAnsi="宋体"/>
                <w:b/>
                <w:color w:val="auto"/>
                <w:szCs w:val="21"/>
                <w:highlight w:val="none"/>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BD01395">
            <w:pPr>
              <w:snapToGrid w:val="0"/>
              <w:jc w:val="center"/>
              <w:rPr>
                <w:rFonts w:ascii="宋体" w:hAnsi="宋体"/>
                <w:b/>
                <w:color w:val="auto"/>
                <w:szCs w:val="21"/>
                <w:highlight w:val="none"/>
              </w:rPr>
            </w:pPr>
            <w:r>
              <w:rPr>
                <w:rFonts w:hint="eastAsia" w:ascii="宋体" w:hAnsi="宋体"/>
                <w:b/>
                <w:color w:val="auto"/>
                <w:szCs w:val="21"/>
                <w:highlight w:val="none"/>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224D92E">
            <w:pPr>
              <w:snapToGrid w:val="0"/>
              <w:jc w:val="center"/>
              <w:rPr>
                <w:rFonts w:ascii="宋体" w:hAnsi="宋体"/>
                <w:b/>
                <w:bCs/>
                <w:color w:val="auto"/>
                <w:szCs w:val="21"/>
                <w:highlight w:val="none"/>
              </w:rPr>
            </w:pPr>
            <w:r>
              <w:rPr>
                <w:rFonts w:hint="eastAsia" w:ascii="宋体" w:hAnsi="宋体"/>
                <w:b/>
                <w:bCs/>
                <w:color w:val="auto"/>
                <w:szCs w:val="21"/>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5016BF8">
            <w:pPr>
              <w:snapToGrid w:val="0"/>
              <w:jc w:val="center"/>
              <w:rPr>
                <w:rFonts w:ascii="宋体" w:hAnsi="宋体"/>
                <w:b/>
                <w:bCs/>
                <w:color w:val="auto"/>
                <w:szCs w:val="21"/>
                <w:highlight w:val="none"/>
              </w:rPr>
            </w:pPr>
            <w:r>
              <w:rPr>
                <w:rFonts w:hint="eastAsia" w:ascii="宋体" w:hAnsi="宋体"/>
                <w:b/>
                <w:bCs/>
                <w:color w:val="auto"/>
                <w:szCs w:val="21"/>
                <w:highlight w:val="none"/>
                <w:lang w:val="en-US" w:eastAsia="zh-CN"/>
              </w:rPr>
              <w:t>社保证明</w:t>
            </w:r>
          </w:p>
        </w:tc>
      </w:tr>
      <w:tr w14:paraId="5BA94C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BA59C20">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05B6E84">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D39DD94">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B7E7271">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427EDAD">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76F29AA">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DD83A62">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6ACCDFE">
            <w:pPr>
              <w:snapToGrid w:val="0"/>
              <w:spacing w:before="120" w:beforeLines="50" w:after="50" w:line="360" w:lineRule="auto"/>
              <w:rPr>
                <w:rFonts w:ascii="宋体" w:hAnsi="宋体"/>
                <w:b/>
                <w:color w:val="auto"/>
                <w:kern w:val="44"/>
                <w:szCs w:val="21"/>
                <w:highlight w:val="none"/>
              </w:rPr>
            </w:pPr>
          </w:p>
        </w:tc>
      </w:tr>
      <w:tr w14:paraId="071C9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97963AB">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A91BFAF">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AB82A76">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6E6C194">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F8A05CA">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561B6EF">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8CC68DB">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4758C2D">
            <w:pPr>
              <w:snapToGrid w:val="0"/>
              <w:spacing w:before="120" w:beforeLines="50" w:after="50" w:line="360" w:lineRule="auto"/>
              <w:rPr>
                <w:rFonts w:ascii="宋体" w:hAnsi="宋体"/>
                <w:b/>
                <w:color w:val="auto"/>
                <w:kern w:val="44"/>
                <w:szCs w:val="21"/>
                <w:highlight w:val="none"/>
              </w:rPr>
            </w:pPr>
          </w:p>
        </w:tc>
      </w:tr>
      <w:tr w14:paraId="3E448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311DB5D">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CCB0431">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CC8F097">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BE9CA83">
            <w:pPr>
              <w:pStyle w:val="13"/>
              <w:snapToGrid w:val="0"/>
              <w:spacing w:before="120" w:beforeLines="50" w:after="50" w:line="360" w:lineRule="auto"/>
              <w:ind w:left="5250"/>
              <w:rPr>
                <w:rFonts w:ascii="宋体" w:hAnsi="宋体" w:eastAsia="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98DE1C5">
            <w:pPr>
              <w:pStyle w:val="13"/>
              <w:snapToGrid w:val="0"/>
              <w:spacing w:before="120" w:beforeLines="50" w:after="50" w:line="360" w:lineRule="auto"/>
              <w:ind w:left="5250"/>
              <w:rPr>
                <w:rFonts w:ascii="宋体" w:hAnsi="宋体" w:eastAsia="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15962E3">
            <w:pPr>
              <w:pStyle w:val="13"/>
              <w:spacing w:line="360" w:lineRule="auto"/>
              <w:ind w:left="5250"/>
              <w:rPr>
                <w:rFonts w:ascii="宋体" w:hAnsi="宋体"/>
                <w:color w:val="auto"/>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E0E1C7B">
            <w:pPr>
              <w:snapToGrid w:val="0"/>
              <w:spacing w:before="120" w:beforeLines="50" w:after="50" w:line="360" w:lineRule="auto"/>
              <w:rPr>
                <w:rFonts w:ascii="宋体" w:hAnsi="宋体"/>
                <w:color w:val="auto"/>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AEDC627">
            <w:pPr>
              <w:snapToGrid w:val="0"/>
              <w:spacing w:before="120" w:beforeLines="50" w:after="50" w:line="360" w:lineRule="auto"/>
              <w:rPr>
                <w:rFonts w:ascii="宋体" w:hAnsi="宋体"/>
                <w:b/>
                <w:color w:val="auto"/>
                <w:kern w:val="44"/>
                <w:szCs w:val="21"/>
                <w:highlight w:val="none"/>
              </w:rPr>
            </w:pPr>
          </w:p>
        </w:tc>
      </w:tr>
      <w:tr w14:paraId="699AC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6B2B6B9">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3103D44">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D5F3E8E">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AE2F530">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F1404F6">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3AB40D8">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644B088">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0466FBA">
            <w:pPr>
              <w:snapToGrid w:val="0"/>
              <w:spacing w:before="120" w:beforeLines="50" w:after="50" w:line="360" w:lineRule="auto"/>
              <w:rPr>
                <w:rFonts w:ascii="宋体" w:hAnsi="宋体"/>
                <w:b/>
                <w:color w:val="auto"/>
                <w:kern w:val="44"/>
                <w:szCs w:val="21"/>
                <w:highlight w:val="none"/>
              </w:rPr>
            </w:pPr>
          </w:p>
        </w:tc>
      </w:tr>
      <w:tr w14:paraId="209E89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4EA0E03">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2E26F6D">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047BA7B">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8672D46">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A003BF9">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5E107CE">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2DB7593">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2069679">
            <w:pPr>
              <w:snapToGrid w:val="0"/>
              <w:spacing w:before="120" w:beforeLines="50" w:after="50" w:line="360" w:lineRule="auto"/>
              <w:rPr>
                <w:rFonts w:ascii="宋体" w:hAnsi="宋体"/>
                <w:b/>
                <w:color w:val="auto"/>
                <w:kern w:val="44"/>
                <w:szCs w:val="21"/>
                <w:highlight w:val="none"/>
              </w:rPr>
            </w:pPr>
          </w:p>
        </w:tc>
      </w:tr>
    </w:tbl>
    <w:p w14:paraId="51D53966">
      <w:pPr>
        <w:spacing w:line="360" w:lineRule="auto"/>
        <w:rPr>
          <w:rFonts w:ascii="宋体" w:hAnsi="宋体"/>
          <w:b/>
          <w:color w:val="auto"/>
          <w:szCs w:val="21"/>
          <w:highlight w:val="none"/>
        </w:rPr>
      </w:pPr>
      <w:r>
        <w:rPr>
          <w:rFonts w:hint="eastAsia" w:ascii="宋体" w:hAnsi="宋体"/>
          <w:b/>
          <w:color w:val="auto"/>
          <w:szCs w:val="21"/>
          <w:highlight w:val="none"/>
        </w:rPr>
        <w:t>要求：</w:t>
      </w:r>
    </w:p>
    <w:p w14:paraId="74436273">
      <w:pPr>
        <w:spacing w:line="360" w:lineRule="auto"/>
        <w:ind w:left="437"/>
        <w:rPr>
          <w:rFonts w:ascii="宋体" w:hAnsi="宋体"/>
          <w:color w:val="auto"/>
          <w:szCs w:val="21"/>
          <w:highlight w:val="none"/>
        </w:rPr>
      </w:pPr>
      <w:r>
        <w:rPr>
          <w:rFonts w:hint="eastAsia" w:ascii="宋体" w:hAnsi="宋体"/>
          <w:bCs/>
          <w:color w:val="auto"/>
          <w:szCs w:val="21"/>
          <w:highlight w:val="none"/>
        </w:rPr>
        <w:t>1.在填</w:t>
      </w:r>
      <w:r>
        <w:rPr>
          <w:rFonts w:hint="eastAsia" w:ascii="宋体" w:hAnsi="宋体"/>
          <w:color w:val="auto"/>
          <w:szCs w:val="21"/>
          <w:highlight w:val="none"/>
        </w:rPr>
        <w:t>写时，如本表格不适合投标单位的实际情况，可根据本表格式自行划表填写。</w:t>
      </w:r>
    </w:p>
    <w:p w14:paraId="435EC41F">
      <w:pPr>
        <w:pStyle w:val="31"/>
        <w:spacing w:line="360" w:lineRule="auto"/>
        <w:ind w:left="424" w:leftChars="202"/>
        <w:rPr>
          <w:rFonts w:ascii="宋体" w:hAnsi="宋体"/>
          <w:color w:val="auto"/>
          <w:szCs w:val="21"/>
          <w:highlight w:val="none"/>
        </w:rPr>
      </w:pPr>
      <w:r>
        <w:rPr>
          <w:rFonts w:hint="eastAsia" w:ascii="宋体" w:hAnsi="宋体"/>
          <w:color w:val="auto"/>
          <w:szCs w:val="21"/>
          <w:highlight w:val="none"/>
        </w:rPr>
        <w:t>2.附人员证书。</w:t>
      </w:r>
    </w:p>
    <w:p w14:paraId="3455A224">
      <w:pPr>
        <w:pStyle w:val="31"/>
        <w:spacing w:line="360" w:lineRule="auto"/>
        <w:rPr>
          <w:rFonts w:ascii="宋体" w:hAnsi="宋体"/>
          <w:color w:val="auto"/>
          <w:szCs w:val="21"/>
          <w:highlight w:val="none"/>
        </w:rPr>
      </w:pPr>
      <w:r>
        <w:rPr>
          <w:rFonts w:hint="eastAsia" w:ascii="宋体" w:hAnsi="宋体"/>
          <w:color w:val="auto"/>
          <w:szCs w:val="21"/>
          <w:highlight w:val="none"/>
        </w:rPr>
        <w:t>　　3.出具上述人员在本单位服务的外部证明，如：</w:t>
      </w:r>
      <w:r>
        <w:rPr>
          <w:rFonts w:hint="eastAsia" w:ascii="宋体" w:hAnsi="宋体" w:eastAsia="宋体" w:cs="Times New Roman"/>
          <w:bCs/>
          <w:color w:val="auto"/>
          <w:sz w:val="21"/>
          <w:szCs w:val="21"/>
          <w:highlight w:val="none"/>
          <w:lang w:val="en-US" w:eastAsia="zh-CN"/>
        </w:rPr>
        <w:t>近三个月中其中一个月社保证明</w:t>
      </w:r>
      <w:r>
        <w:rPr>
          <w:rFonts w:hint="eastAsia" w:ascii="宋体" w:hAnsi="宋体"/>
          <w:color w:val="auto"/>
          <w:szCs w:val="21"/>
          <w:highlight w:val="none"/>
        </w:rPr>
        <w:t>等。</w:t>
      </w:r>
    </w:p>
    <w:p w14:paraId="58DBB3CA">
      <w:pPr>
        <w:snapToGrid w:val="0"/>
        <w:spacing w:before="50" w:after="120" w:afterLines="50" w:line="360" w:lineRule="auto"/>
        <w:jc w:val="left"/>
        <w:rPr>
          <w:rFonts w:ascii="宋体" w:hAnsi="宋体"/>
          <w:color w:val="auto"/>
          <w:sz w:val="24"/>
          <w:szCs w:val="20"/>
          <w:highlight w:val="none"/>
        </w:rPr>
      </w:pPr>
    </w:p>
    <w:p w14:paraId="76C1B956">
      <w:pPr>
        <w:spacing w:line="360" w:lineRule="auto"/>
        <w:ind w:left="420"/>
        <w:rPr>
          <w:rFonts w:ascii="宋体" w:hAnsi="宋体"/>
          <w:color w:val="auto"/>
          <w:sz w:val="24"/>
          <w:highlight w:val="none"/>
          <w:u w:val="single"/>
        </w:rPr>
      </w:pPr>
      <w:r>
        <w:rPr>
          <w:rFonts w:hint="eastAsia" w:asciiTheme="minorEastAsia" w:hAnsiTheme="minorEastAsia" w:eastAsiaTheme="minorEastAsia"/>
          <w:color w:val="auto"/>
          <w:sz w:val="24"/>
          <w:highlight w:val="none"/>
          <w:lang w:eastAsia="zh-CN"/>
        </w:rPr>
        <w:t>供应商</w:t>
      </w:r>
      <w:r>
        <w:rPr>
          <w:rFonts w:hint="eastAsia" w:ascii="宋体" w:hAnsi="宋体"/>
          <w:color w:val="auto"/>
          <w:sz w:val="24"/>
          <w:highlight w:val="none"/>
        </w:rPr>
        <w:t>名称（公章/电子章）：</w:t>
      </w:r>
    </w:p>
    <w:p w14:paraId="0A733197">
      <w:pPr>
        <w:spacing w:line="360" w:lineRule="auto"/>
        <w:ind w:left="420"/>
        <w:rPr>
          <w:rFonts w:ascii="宋体" w:hAnsi="宋体"/>
          <w:color w:val="auto"/>
          <w:sz w:val="24"/>
          <w:highlight w:val="none"/>
        </w:rPr>
      </w:pPr>
    </w:p>
    <w:p w14:paraId="18B75279">
      <w:pPr>
        <w:spacing w:line="360" w:lineRule="auto"/>
        <w:ind w:firstLine="435"/>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w:t>
      </w:r>
      <w:r>
        <w:rPr>
          <w:rFonts w:hint="eastAsia" w:ascii="宋体" w:hAnsi="宋体"/>
          <w:color w:val="auto"/>
          <w:sz w:val="24"/>
          <w:highlight w:val="none"/>
        </w:rPr>
        <w:t>：</w:t>
      </w:r>
    </w:p>
    <w:p w14:paraId="1FA00AE3">
      <w:pPr>
        <w:spacing w:line="360" w:lineRule="auto"/>
        <w:ind w:firstLine="435"/>
        <w:rPr>
          <w:rFonts w:ascii="宋体" w:hAnsi="宋体"/>
          <w:color w:val="auto"/>
          <w:sz w:val="24"/>
          <w:highlight w:val="none"/>
        </w:rPr>
      </w:pPr>
    </w:p>
    <w:p w14:paraId="7CE1C3FE">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0F5BDA3E">
      <w:pPr>
        <w:spacing w:line="360" w:lineRule="auto"/>
        <w:ind w:firstLine="435"/>
        <w:rPr>
          <w:rFonts w:ascii="宋体" w:hAnsi="宋体"/>
          <w:color w:val="auto"/>
          <w:sz w:val="24"/>
          <w:highlight w:val="none"/>
        </w:rPr>
      </w:pPr>
    </w:p>
    <w:p w14:paraId="0338604A">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767DED4B">
      <w:pPr>
        <w:jc w:val="left"/>
        <w:rPr>
          <w:rFonts w:ascii="宋体" w:hAnsi="宋体"/>
          <w:b/>
          <w:bCs/>
          <w:color w:val="auto"/>
          <w:kern w:val="0"/>
          <w:sz w:val="32"/>
          <w:szCs w:val="32"/>
          <w:highlight w:val="none"/>
        </w:rPr>
      </w:pPr>
    </w:p>
    <w:p w14:paraId="05D6B7F7">
      <w:pPr>
        <w:jc w:val="left"/>
        <w:rPr>
          <w:rFonts w:ascii="宋体" w:hAnsi="宋体"/>
          <w:b/>
          <w:bCs/>
          <w:color w:val="auto"/>
          <w:kern w:val="0"/>
          <w:sz w:val="32"/>
          <w:szCs w:val="32"/>
          <w:highlight w:val="none"/>
        </w:rPr>
      </w:pPr>
      <w:r>
        <w:rPr>
          <w:rFonts w:ascii="宋体" w:hAnsi="宋体"/>
          <w:b/>
          <w:bCs/>
          <w:color w:val="auto"/>
          <w:kern w:val="0"/>
          <w:sz w:val="32"/>
          <w:szCs w:val="32"/>
          <w:highlight w:val="none"/>
        </w:rPr>
        <w:br w:type="page"/>
      </w:r>
    </w:p>
    <w:p w14:paraId="21687F54">
      <w:pPr>
        <w:spacing w:line="360" w:lineRule="auto"/>
        <w:jc w:val="left"/>
        <w:rPr>
          <w:rFonts w:hint="default" w:ascii="宋体" w:hAnsi="宋体" w:eastAsia="宋体"/>
          <w:b/>
          <w:bCs/>
          <w:color w:val="auto"/>
          <w:kern w:val="0"/>
          <w:sz w:val="32"/>
          <w:szCs w:val="32"/>
          <w:highlight w:val="none"/>
          <w:lang w:val="en-US" w:eastAsia="zh-CN"/>
        </w:rPr>
      </w:pPr>
      <w:r>
        <w:rPr>
          <w:rFonts w:hint="eastAsia" w:ascii="宋体" w:hAnsi="宋体"/>
          <w:b/>
          <w:bCs/>
          <w:color w:val="auto"/>
          <w:kern w:val="0"/>
          <w:sz w:val="32"/>
          <w:szCs w:val="32"/>
          <w:highlight w:val="none"/>
        </w:rPr>
        <w:t>附件</w:t>
      </w:r>
      <w:r>
        <w:rPr>
          <w:rFonts w:hint="eastAsia" w:ascii="宋体" w:hAnsi="宋体"/>
          <w:b/>
          <w:bCs/>
          <w:color w:val="auto"/>
          <w:kern w:val="0"/>
          <w:sz w:val="32"/>
          <w:szCs w:val="32"/>
          <w:highlight w:val="none"/>
          <w:lang w:val="en-US" w:eastAsia="zh-CN"/>
        </w:rPr>
        <w:t>11</w:t>
      </w:r>
    </w:p>
    <w:p w14:paraId="35210B12">
      <w:pPr>
        <w:adjustRightInd w:val="0"/>
        <w:snapToGrid w:val="0"/>
        <w:ind w:firstLine="1205" w:firstLineChars="375"/>
        <w:jc w:val="center"/>
        <w:rPr>
          <w:rFonts w:ascii="宋体" w:hAnsi="宋体"/>
          <w:b/>
          <w:color w:val="auto"/>
          <w:kern w:val="0"/>
          <w:sz w:val="32"/>
          <w:szCs w:val="32"/>
          <w:highlight w:val="none"/>
        </w:rPr>
      </w:pPr>
      <w:r>
        <w:rPr>
          <w:rFonts w:ascii="宋体" w:hAnsi="宋体"/>
          <w:b/>
          <w:color w:val="auto"/>
          <w:kern w:val="0"/>
          <w:sz w:val="32"/>
          <w:szCs w:val="32"/>
          <w:highlight w:val="none"/>
        </w:rPr>
        <w:t>服务条款响应表</w:t>
      </w:r>
    </w:p>
    <w:p w14:paraId="18E6DEE5">
      <w:pPr>
        <w:adjustRightInd w:val="0"/>
        <w:snapToGrid w:val="0"/>
        <w:ind w:firstLine="1205" w:firstLineChars="375"/>
        <w:jc w:val="center"/>
        <w:rPr>
          <w:rFonts w:ascii="宋体" w:hAnsi="宋体"/>
          <w:b/>
          <w:color w:val="auto"/>
          <w:kern w:val="0"/>
          <w:sz w:val="32"/>
          <w:szCs w:val="32"/>
          <w:highlight w:val="none"/>
        </w:rPr>
      </w:pPr>
    </w:p>
    <w:tbl>
      <w:tblPr>
        <w:tblStyle w:val="21"/>
        <w:tblW w:w="52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3563"/>
        <w:gridCol w:w="2492"/>
        <w:gridCol w:w="1242"/>
        <w:gridCol w:w="710"/>
      </w:tblGrid>
      <w:tr w14:paraId="4A5B6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14:paraId="6B8F9C9A">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序号</w:t>
            </w:r>
          </w:p>
        </w:tc>
        <w:tc>
          <w:tcPr>
            <w:tcW w:w="2003" w:type="pct"/>
            <w:vAlign w:val="center"/>
          </w:tcPr>
          <w:p w14:paraId="338085E2">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u w:val="thick" w:color="FFFFFF"/>
              </w:rPr>
              <w:t>招标文件</w:t>
            </w:r>
            <w:r>
              <w:rPr>
                <w:rFonts w:ascii="宋体" w:hAnsi="宋体"/>
                <w:color w:val="auto"/>
                <w:sz w:val="24"/>
                <w:highlight w:val="none"/>
              </w:rPr>
              <w:t>要求</w:t>
            </w:r>
          </w:p>
        </w:tc>
        <w:tc>
          <w:tcPr>
            <w:tcW w:w="1401" w:type="pct"/>
            <w:vAlign w:val="center"/>
          </w:tcPr>
          <w:p w14:paraId="32ACE6DD">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投标响应内容</w:t>
            </w:r>
          </w:p>
        </w:tc>
        <w:tc>
          <w:tcPr>
            <w:tcW w:w="698" w:type="pct"/>
            <w:vAlign w:val="center"/>
          </w:tcPr>
          <w:p w14:paraId="088CCA3F">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响应情况</w:t>
            </w:r>
          </w:p>
        </w:tc>
        <w:tc>
          <w:tcPr>
            <w:tcW w:w="400" w:type="pct"/>
            <w:vAlign w:val="center"/>
          </w:tcPr>
          <w:p w14:paraId="2C331B38">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备注</w:t>
            </w:r>
          </w:p>
        </w:tc>
      </w:tr>
      <w:tr w14:paraId="5ADE6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14:paraId="4DB006A2">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1</w:t>
            </w:r>
          </w:p>
        </w:tc>
        <w:tc>
          <w:tcPr>
            <w:tcW w:w="2003" w:type="pct"/>
            <w:vAlign w:val="center"/>
          </w:tcPr>
          <w:p w14:paraId="5D97B7B0">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（服务期）</w:t>
            </w:r>
          </w:p>
        </w:tc>
        <w:tc>
          <w:tcPr>
            <w:tcW w:w="1401" w:type="pct"/>
            <w:vAlign w:val="center"/>
          </w:tcPr>
          <w:p w14:paraId="7B49363B">
            <w:pPr>
              <w:adjustRightInd w:val="0"/>
              <w:snapToGrid w:val="0"/>
              <w:spacing w:before="100" w:beforeAutospacing="1" w:after="100" w:afterAutospacing="1"/>
              <w:rPr>
                <w:rFonts w:ascii="宋体" w:hAnsi="宋体"/>
                <w:color w:val="auto"/>
                <w:sz w:val="24"/>
                <w:highlight w:val="none"/>
              </w:rPr>
            </w:pPr>
          </w:p>
        </w:tc>
        <w:tc>
          <w:tcPr>
            <w:tcW w:w="698" w:type="pct"/>
            <w:vAlign w:val="center"/>
          </w:tcPr>
          <w:p w14:paraId="47985CF1">
            <w:pPr>
              <w:adjustRightInd w:val="0"/>
              <w:snapToGrid w:val="0"/>
              <w:spacing w:before="100" w:beforeAutospacing="1" w:after="100" w:afterAutospacing="1"/>
              <w:jc w:val="center"/>
              <w:rPr>
                <w:rFonts w:ascii="宋体" w:hAnsi="宋体"/>
                <w:color w:val="auto"/>
                <w:sz w:val="24"/>
                <w:highlight w:val="none"/>
              </w:rPr>
            </w:pPr>
          </w:p>
        </w:tc>
        <w:tc>
          <w:tcPr>
            <w:tcW w:w="400" w:type="pct"/>
            <w:vAlign w:val="center"/>
          </w:tcPr>
          <w:p w14:paraId="348E62F1">
            <w:pPr>
              <w:adjustRightInd w:val="0"/>
              <w:snapToGrid w:val="0"/>
              <w:spacing w:before="100" w:beforeAutospacing="1" w:after="100" w:afterAutospacing="1"/>
              <w:rPr>
                <w:rFonts w:ascii="宋体" w:hAnsi="宋体"/>
                <w:color w:val="auto"/>
                <w:sz w:val="24"/>
                <w:highlight w:val="none"/>
              </w:rPr>
            </w:pPr>
          </w:p>
        </w:tc>
      </w:tr>
      <w:tr w14:paraId="165C8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14:paraId="4FD9568E">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2</w:t>
            </w:r>
          </w:p>
        </w:tc>
        <w:tc>
          <w:tcPr>
            <w:tcW w:w="2003" w:type="pct"/>
            <w:vAlign w:val="center"/>
          </w:tcPr>
          <w:p w14:paraId="65939082">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（付款方式）</w:t>
            </w:r>
          </w:p>
        </w:tc>
        <w:tc>
          <w:tcPr>
            <w:tcW w:w="1401" w:type="pct"/>
            <w:vAlign w:val="center"/>
          </w:tcPr>
          <w:p w14:paraId="5605BE48">
            <w:pPr>
              <w:adjustRightInd w:val="0"/>
              <w:snapToGrid w:val="0"/>
              <w:spacing w:before="100" w:beforeAutospacing="1" w:after="100" w:afterAutospacing="1"/>
              <w:rPr>
                <w:rFonts w:ascii="宋体" w:hAnsi="宋体"/>
                <w:color w:val="auto"/>
                <w:sz w:val="24"/>
                <w:highlight w:val="none"/>
              </w:rPr>
            </w:pPr>
          </w:p>
        </w:tc>
        <w:tc>
          <w:tcPr>
            <w:tcW w:w="698" w:type="pct"/>
            <w:vAlign w:val="center"/>
          </w:tcPr>
          <w:p w14:paraId="6F76F7BD">
            <w:pPr>
              <w:adjustRightInd w:val="0"/>
              <w:snapToGrid w:val="0"/>
              <w:spacing w:before="100" w:beforeAutospacing="1" w:after="100" w:afterAutospacing="1"/>
              <w:jc w:val="center"/>
              <w:rPr>
                <w:rFonts w:ascii="宋体" w:hAnsi="宋体"/>
                <w:color w:val="auto"/>
                <w:sz w:val="24"/>
                <w:highlight w:val="none"/>
              </w:rPr>
            </w:pPr>
          </w:p>
        </w:tc>
        <w:tc>
          <w:tcPr>
            <w:tcW w:w="400" w:type="pct"/>
            <w:vAlign w:val="center"/>
          </w:tcPr>
          <w:p w14:paraId="3AEC6EDE">
            <w:pPr>
              <w:adjustRightInd w:val="0"/>
              <w:snapToGrid w:val="0"/>
              <w:spacing w:before="100" w:beforeAutospacing="1" w:after="100" w:afterAutospacing="1"/>
              <w:rPr>
                <w:rFonts w:ascii="宋体" w:hAnsi="宋体"/>
                <w:color w:val="auto"/>
                <w:sz w:val="24"/>
                <w:highlight w:val="none"/>
              </w:rPr>
            </w:pPr>
          </w:p>
        </w:tc>
      </w:tr>
      <w:tr w14:paraId="2F9CF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14:paraId="2B7DC58F">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3</w:t>
            </w:r>
          </w:p>
        </w:tc>
        <w:tc>
          <w:tcPr>
            <w:tcW w:w="2003" w:type="pct"/>
            <w:vAlign w:val="center"/>
          </w:tcPr>
          <w:p w14:paraId="5E7107CE">
            <w:pPr>
              <w:adjustRightInd w:val="0"/>
              <w:snapToGrid w:val="0"/>
              <w:spacing w:before="100" w:beforeAutospacing="1" w:after="100" w:afterAutospacing="1"/>
              <w:jc w:val="center"/>
              <w:rPr>
                <w:rFonts w:ascii="宋体" w:hAnsi="宋体"/>
                <w:color w:val="auto"/>
                <w:sz w:val="24"/>
                <w:highlight w:val="none"/>
              </w:rPr>
            </w:pPr>
          </w:p>
        </w:tc>
        <w:tc>
          <w:tcPr>
            <w:tcW w:w="1401" w:type="pct"/>
            <w:vAlign w:val="center"/>
          </w:tcPr>
          <w:p w14:paraId="3ECF3EE8">
            <w:pPr>
              <w:adjustRightInd w:val="0"/>
              <w:snapToGrid w:val="0"/>
              <w:spacing w:before="100" w:beforeAutospacing="1" w:after="100" w:afterAutospacing="1"/>
              <w:rPr>
                <w:rFonts w:ascii="宋体" w:hAnsi="宋体"/>
                <w:color w:val="auto"/>
                <w:sz w:val="24"/>
                <w:highlight w:val="none"/>
              </w:rPr>
            </w:pPr>
          </w:p>
        </w:tc>
        <w:tc>
          <w:tcPr>
            <w:tcW w:w="698" w:type="pct"/>
            <w:vAlign w:val="center"/>
          </w:tcPr>
          <w:p w14:paraId="35E4D56F">
            <w:pPr>
              <w:adjustRightInd w:val="0"/>
              <w:snapToGrid w:val="0"/>
              <w:spacing w:before="100" w:beforeAutospacing="1" w:after="100" w:afterAutospacing="1"/>
              <w:rPr>
                <w:rFonts w:ascii="宋体" w:hAnsi="宋体"/>
                <w:color w:val="auto"/>
                <w:sz w:val="24"/>
                <w:highlight w:val="none"/>
              </w:rPr>
            </w:pPr>
          </w:p>
        </w:tc>
        <w:tc>
          <w:tcPr>
            <w:tcW w:w="400" w:type="pct"/>
            <w:vAlign w:val="center"/>
          </w:tcPr>
          <w:p w14:paraId="4431BFCF">
            <w:pPr>
              <w:adjustRightInd w:val="0"/>
              <w:snapToGrid w:val="0"/>
              <w:spacing w:before="100" w:beforeAutospacing="1" w:after="100" w:afterAutospacing="1"/>
              <w:rPr>
                <w:rFonts w:ascii="宋体" w:hAnsi="宋体"/>
                <w:color w:val="auto"/>
                <w:sz w:val="24"/>
                <w:highlight w:val="none"/>
              </w:rPr>
            </w:pPr>
          </w:p>
        </w:tc>
      </w:tr>
      <w:tr w14:paraId="5AC38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14:paraId="35386114">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4</w:t>
            </w:r>
          </w:p>
        </w:tc>
        <w:tc>
          <w:tcPr>
            <w:tcW w:w="2003" w:type="pct"/>
            <w:vAlign w:val="center"/>
          </w:tcPr>
          <w:p w14:paraId="5E89C184">
            <w:pPr>
              <w:adjustRightInd w:val="0"/>
              <w:snapToGrid w:val="0"/>
              <w:spacing w:before="100" w:beforeAutospacing="1" w:after="100" w:afterAutospacing="1"/>
              <w:jc w:val="center"/>
              <w:rPr>
                <w:rFonts w:ascii="宋体" w:hAnsi="宋体"/>
                <w:color w:val="auto"/>
                <w:sz w:val="24"/>
                <w:highlight w:val="none"/>
              </w:rPr>
            </w:pPr>
          </w:p>
        </w:tc>
        <w:tc>
          <w:tcPr>
            <w:tcW w:w="1401" w:type="pct"/>
            <w:vAlign w:val="center"/>
          </w:tcPr>
          <w:p w14:paraId="61185632">
            <w:pPr>
              <w:adjustRightInd w:val="0"/>
              <w:snapToGrid w:val="0"/>
              <w:spacing w:before="100" w:beforeAutospacing="1" w:after="100" w:afterAutospacing="1"/>
              <w:rPr>
                <w:rFonts w:ascii="宋体" w:hAnsi="宋体"/>
                <w:color w:val="auto"/>
                <w:sz w:val="24"/>
                <w:highlight w:val="none"/>
              </w:rPr>
            </w:pPr>
          </w:p>
        </w:tc>
        <w:tc>
          <w:tcPr>
            <w:tcW w:w="698" w:type="pct"/>
            <w:vAlign w:val="center"/>
          </w:tcPr>
          <w:p w14:paraId="5590F6AC">
            <w:pPr>
              <w:adjustRightInd w:val="0"/>
              <w:snapToGrid w:val="0"/>
              <w:spacing w:before="100" w:beforeAutospacing="1" w:after="100" w:afterAutospacing="1"/>
              <w:rPr>
                <w:rFonts w:ascii="宋体" w:hAnsi="宋体"/>
                <w:color w:val="auto"/>
                <w:sz w:val="24"/>
                <w:highlight w:val="none"/>
              </w:rPr>
            </w:pPr>
          </w:p>
        </w:tc>
        <w:tc>
          <w:tcPr>
            <w:tcW w:w="400" w:type="pct"/>
            <w:vAlign w:val="center"/>
          </w:tcPr>
          <w:p w14:paraId="724CE994">
            <w:pPr>
              <w:adjustRightInd w:val="0"/>
              <w:snapToGrid w:val="0"/>
              <w:spacing w:before="100" w:beforeAutospacing="1" w:after="100" w:afterAutospacing="1"/>
              <w:rPr>
                <w:rFonts w:ascii="宋体" w:hAnsi="宋体"/>
                <w:color w:val="auto"/>
                <w:sz w:val="24"/>
                <w:highlight w:val="none"/>
              </w:rPr>
            </w:pPr>
          </w:p>
        </w:tc>
      </w:tr>
      <w:tr w14:paraId="65C3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14:paraId="4D7E8C87">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5</w:t>
            </w:r>
          </w:p>
        </w:tc>
        <w:tc>
          <w:tcPr>
            <w:tcW w:w="2003" w:type="pct"/>
            <w:vAlign w:val="center"/>
          </w:tcPr>
          <w:p w14:paraId="1BCA34CC">
            <w:pPr>
              <w:adjustRightInd w:val="0"/>
              <w:snapToGrid w:val="0"/>
              <w:spacing w:before="100" w:beforeAutospacing="1" w:after="100" w:afterAutospacing="1"/>
              <w:jc w:val="center"/>
              <w:rPr>
                <w:rFonts w:ascii="宋体" w:hAnsi="宋体"/>
                <w:color w:val="auto"/>
                <w:sz w:val="24"/>
                <w:highlight w:val="none"/>
              </w:rPr>
            </w:pPr>
          </w:p>
        </w:tc>
        <w:tc>
          <w:tcPr>
            <w:tcW w:w="1401" w:type="pct"/>
            <w:vAlign w:val="center"/>
          </w:tcPr>
          <w:p w14:paraId="5EF52E18">
            <w:pPr>
              <w:adjustRightInd w:val="0"/>
              <w:snapToGrid w:val="0"/>
              <w:spacing w:before="100" w:beforeAutospacing="1" w:after="100" w:afterAutospacing="1"/>
              <w:rPr>
                <w:rFonts w:ascii="宋体" w:hAnsi="宋体"/>
                <w:color w:val="auto"/>
                <w:sz w:val="24"/>
                <w:highlight w:val="none"/>
              </w:rPr>
            </w:pPr>
          </w:p>
        </w:tc>
        <w:tc>
          <w:tcPr>
            <w:tcW w:w="698" w:type="pct"/>
            <w:vAlign w:val="center"/>
          </w:tcPr>
          <w:p w14:paraId="21CCB8A2">
            <w:pPr>
              <w:adjustRightInd w:val="0"/>
              <w:snapToGrid w:val="0"/>
              <w:spacing w:before="100" w:beforeAutospacing="1" w:after="100" w:afterAutospacing="1"/>
              <w:rPr>
                <w:rFonts w:ascii="宋体" w:hAnsi="宋体"/>
                <w:color w:val="auto"/>
                <w:sz w:val="24"/>
                <w:highlight w:val="none"/>
              </w:rPr>
            </w:pPr>
          </w:p>
        </w:tc>
        <w:tc>
          <w:tcPr>
            <w:tcW w:w="400" w:type="pct"/>
            <w:vAlign w:val="center"/>
          </w:tcPr>
          <w:p w14:paraId="2F39EB5C">
            <w:pPr>
              <w:adjustRightInd w:val="0"/>
              <w:snapToGrid w:val="0"/>
              <w:spacing w:before="100" w:beforeAutospacing="1" w:after="100" w:afterAutospacing="1"/>
              <w:rPr>
                <w:rFonts w:ascii="宋体" w:hAnsi="宋体"/>
                <w:color w:val="auto"/>
                <w:sz w:val="24"/>
                <w:highlight w:val="none"/>
              </w:rPr>
            </w:pPr>
          </w:p>
        </w:tc>
      </w:tr>
      <w:tr w14:paraId="545D0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14:paraId="359985C7">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6</w:t>
            </w:r>
          </w:p>
        </w:tc>
        <w:tc>
          <w:tcPr>
            <w:tcW w:w="2003" w:type="pct"/>
            <w:vAlign w:val="center"/>
          </w:tcPr>
          <w:p w14:paraId="714A9365">
            <w:pPr>
              <w:adjustRightInd w:val="0"/>
              <w:snapToGrid w:val="0"/>
              <w:spacing w:before="100" w:beforeAutospacing="1" w:after="100" w:afterAutospacing="1"/>
              <w:jc w:val="center"/>
              <w:rPr>
                <w:rFonts w:ascii="宋体" w:hAnsi="宋体"/>
                <w:color w:val="auto"/>
                <w:sz w:val="24"/>
                <w:highlight w:val="none"/>
              </w:rPr>
            </w:pPr>
          </w:p>
        </w:tc>
        <w:tc>
          <w:tcPr>
            <w:tcW w:w="1401" w:type="pct"/>
            <w:vAlign w:val="center"/>
          </w:tcPr>
          <w:p w14:paraId="76A40291">
            <w:pPr>
              <w:adjustRightInd w:val="0"/>
              <w:snapToGrid w:val="0"/>
              <w:spacing w:before="100" w:beforeAutospacing="1" w:after="100" w:afterAutospacing="1"/>
              <w:rPr>
                <w:rFonts w:ascii="宋体" w:hAnsi="宋体"/>
                <w:color w:val="auto"/>
                <w:sz w:val="24"/>
                <w:highlight w:val="none"/>
              </w:rPr>
            </w:pPr>
          </w:p>
        </w:tc>
        <w:tc>
          <w:tcPr>
            <w:tcW w:w="698" w:type="pct"/>
            <w:vAlign w:val="center"/>
          </w:tcPr>
          <w:p w14:paraId="48FDFC6A">
            <w:pPr>
              <w:adjustRightInd w:val="0"/>
              <w:snapToGrid w:val="0"/>
              <w:spacing w:before="100" w:beforeAutospacing="1" w:after="100" w:afterAutospacing="1"/>
              <w:rPr>
                <w:rFonts w:ascii="宋体" w:hAnsi="宋体"/>
                <w:color w:val="auto"/>
                <w:sz w:val="24"/>
                <w:highlight w:val="none"/>
              </w:rPr>
            </w:pPr>
          </w:p>
        </w:tc>
        <w:tc>
          <w:tcPr>
            <w:tcW w:w="400" w:type="pct"/>
            <w:vAlign w:val="center"/>
          </w:tcPr>
          <w:p w14:paraId="10D85523">
            <w:pPr>
              <w:adjustRightInd w:val="0"/>
              <w:snapToGrid w:val="0"/>
              <w:spacing w:before="100" w:beforeAutospacing="1" w:after="100" w:afterAutospacing="1"/>
              <w:rPr>
                <w:rFonts w:ascii="宋体" w:hAnsi="宋体"/>
                <w:color w:val="auto"/>
                <w:sz w:val="24"/>
                <w:highlight w:val="none"/>
              </w:rPr>
            </w:pPr>
          </w:p>
        </w:tc>
      </w:tr>
      <w:tr w14:paraId="36521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14:paraId="20ED6601">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7</w:t>
            </w:r>
          </w:p>
        </w:tc>
        <w:tc>
          <w:tcPr>
            <w:tcW w:w="2003" w:type="pct"/>
            <w:vAlign w:val="center"/>
          </w:tcPr>
          <w:p w14:paraId="742E35B9">
            <w:pPr>
              <w:adjustRightInd w:val="0"/>
              <w:snapToGrid w:val="0"/>
              <w:spacing w:before="100" w:beforeAutospacing="1" w:after="100" w:afterAutospacing="1"/>
              <w:jc w:val="center"/>
              <w:rPr>
                <w:rFonts w:ascii="宋体" w:hAnsi="宋体"/>
                <w:color w:val="auto"/>
                <w:sz w:val="24"/>
                <w:highlight w:val="none"/>
              </w:rPr>
            </w:pPr>
          </w:p>
        </w:tc>
        <w:tc>
          <w:tcPr>
            <w:tcW w:w="1401" w:type="pct"/>
            <w:vAlign w:val="center"/>
          </w:tcPr>
          <w:p w14:paraId="42B5D6EF">
            <w:pPr>
              <w:adjustRightInd w:val="0"/>
              <w:snapToGrid w:val="0"/>
              <w:spacing w:before="100" w:beforeAutospacing="1" w:after="100" w:afterAutospacing="1"/>
              <w:rPr>
                <w:rFonts w:ascii="宋体" w:hAnsi="宋体"/>
                <w:color w:val="auto"/>
                <w:sz w:val="24"/>
                <w:highlight w:val="none"/>
              </w:rPr>
            </w:pPr>
          </w:p>
        </w:tc>
        <w:tc>
          <w:tcPr>
            <w:tcW w:w="698" w:type="pct"/>
            <w:vAlign w:val="center"/>
          </w:tcPr>
          <w:p w14:paraId="3DD90028">
            <w:pPr>
              <w:adjustRightInd w:val="0"/>
              <w:snapToGrid w:val="0"/>
              <w:spacing w:before="100" w:beforeAutospacing="1" w:after="100" w:afterAutospacing="1"/>
              <w:rPr>
                <w:rFonts w:ascii="宋体" w:hAnsi="宋体"/>
                <w:color w:val="auto"/>
                <w:sz w:val="24"/>
                <w:highlight w:val="none"/>
              </w:rPr>
            </w:pPr>
          </w:p>
        </w:tc>
        <w:tc>
          <w:tcPr>
            <w:tcW w:w="400" w:type="pct"/>
            <w:vAlign w:val="center"/>
          </w:tcPr>
          <w:p w14:paraId="16A1F667">
            <w:pPr>
              <w:adjustRightInd w:val="0"/>
              <w:snapToGrid w:val="0"/>
              <w:spacing w:before="100" w:beforeAutospacing="1" w:after="100" w:afterAutospacing="1"/>
              <w:rPr>
                <w:rFonts w:ascii="宋体" w:hAnsi="宋体"/>
                <w:color w:val="auto"/>
                <w:sz w:val="24"/>
                <w:highlight w:val="none"/>
              </w:rPr>
            </w:pPr>
          </w:p>
        </w:tc>
      </w:tr>
      <w:tr w14:paraId="2748D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14:paraId="18555AB8">
            <w:pPr>
              <w:adjustRightInd w:val="0"/>
              <w:snapToGrid w:val="0"/>
              <w:spacing w:before="100" w:beforeAutospacing="1" w:after="100" w:afterAutospacing="1"/>
              <w:jc w:val="center"/>
              <w:rPr>
                <w:rFonts w:ascii="宋体" w:hAnsi="宋体"/>
                <w:color w:val="auto"/>
                <w:sz w:val="24"/>
                <w:highlight w:val="none"/>
              </w:rPr>
            </w:pPr>
          </w:p>
        </w:tc>
        <w:tc>
          <w:tcPr>
            <w:tcW w:w="2003" w:type="pct"/>
            <w:vAlign w:val="center"/>
          </w:tcPr>
          <w:p w14:paraId="25B8A16E">
            <w:pPr>
              <w:adjustRightInd w:val="0"/>
              <w:snapToGrid w:val="0"/>
              <w:spacing w:before="100" w:beforeAutospacing="1" w:after="100" w:afterAutospacing="1"/>
              <w:jc w:val="center"/>
              <w:rPr>
                <w:rFonts w:ascii="宋体" w:hAnsi="宋体"/>
                <w:color w:val="auto"/>
                <w:sz w:val="24"/>
                <w:highlight w:val="none"/>
              </w:rPr>
            </w:pPr>
            <w:r>
              <w:rPr>
                <w:rFonts w:ascii="宋体" w:hAnsi="宋体"/>
                <w:color w:val="auto"/>
                <w:sz w:val="24"/>
                <w:highlight w:val="none"/>
              </w:rPr>
              <w:t>……</w:t>
            </w:r>
          </w:p>
        </w:tc>
        <w:tc>
          <w:tcPr>
            <w:tcW w:w="1401" w:type="pct"/>
            <w:vAlign w:val="center"/>
          </w:tcPr>
          <w:p w14:paraId="4526BA68">
            <w:pPr>
              <w:adjustRightInd w:val="0"/>
              <w:snapToGrid w:val="0"/>
              <w:spacing w:before="100" w:beforeAutospacing="1" w:after="100" w:afterAutospacing="1"/>
              <w:rPr>
                <w:rFonts w:ascii="宋体" w:hAnsi="宋体"/>
                <w:color w:val="auto"/>
                <w:sz w:val="24"/>
                <w:highlight w:val="none"/>
              </w:rPr>
            </w:pPr>
          </w:p>
        </w:tc>
        <w:tc>
          <w:tcPr>
            <w:tcW w:w="698" w:type="pct"/>
            <w:vAlign w:val="center"/>
          </w:tcPr>
          <w:p w14:paraId="3EC2DB0B">
            <w:pPr>
              <w:adjustRightInd w:val="0"/>
              <w:snapToGrid w:val="0"/>
              <w:spacing w:before="100" w:beforeAutospacing="1" w:after="100" w:afterAutospacing="1"/>
              <w:rPr>
                <w:rFonts w:ascii="宋体" w:hAnsi="宋体"/>
                <w:color w:val="auto"/>
                <w:sz w:val="24"/>
                <w:highlight w:val="none"/>
              </w:rPr>
            </w:pPr>
          </w:p>
        </w:tc>
        <w:tc>
          <w:tcPr>
            <w:tcW w:w="400" w:type="pct"/>
            <w:vAlign w:val="center"/>
          </w:tcPr>
          <w:p w14:paraId="663701C8">
            <w:pPr>
              <w:adjustRightInd w:val="0"/>
              <w:snapToGrid w:val="0"/>
              <w:spacing w:before="100" w:beforeAutospacing="1" w:after="100" w:afterAutospacing="1"/>
              <w:rPr>
                <w:rFonts w:ascii="宋体" w:hAnsi="宋体"/>
                <w:color w:val="auto"/>
                <w:sz w:val="24"/>
                <w:highlight w:val="none"/>
              </w:rPr>
            </w:pPr>
          </w:p>
        </w:tc>
      </w:tr>
      <w:tr w14:paraId="6F58D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14:paraId="5FDD3458">
            <w:pPr>
              <w:adjustRightInd w:val="0"/>
              <w:snapToGrid w:val="0"/>
              <w:spacing w:before="100" w:beforeAutospacing="1" w:after="100" w:afterAutospacing="1"/>
              <w:jc w:val="center"/>
              <w:rPr>
                <w:rFonts w:ascii="宋体" w:hAnsi="宋体"/>
                <w:color w:val="auto"/>
                <w:sz w:val="24"/>
                <w:highlight w:val="none"/>
              </w:rPr>
            </w:pPr>
          </w:p>
        </w:tc>
        <w:tc>
          <w:tcPr>
            <w:tcW w:w="2003" w:type="pct"/>
            <w:vAlign w:val="center"/>
          </w:tcPr>
          <w:p w14:paraId="4104D3FB">
            <w:pPr>
              <w:adjustRightInd w:val="0"/>
              <w:snapToGrid w:val="0"/>
              <w:spacing w:before="100" w:beforeAutospacing="1" w:after="100" w:afterAutospacing="1"/>
              <w:rPr>
                <w:rFonts w:ascii="宋体" w:hAnsi="宋体"/>
                <w:color w:val="auto"/>
                <w:sz w:val="24"/>
                <w:highlight w:val="none"/>
              </w:rPr>
            </w:pPr>
          </w:p>
        </w:tc>
        <w:tc>
          <w:tcPr>
            <w:tcW w:w="1401" w:type="pct"/>
            <w:vAlign w:val="center"/>
          </w:tcPr>
          <w:p w14:paraId="4ABE8876">
            <w:pPr>
              <w:adjustRightInd w:val="0"/>
              <w:snapToGrid w:val="0"/>
              <w:spacing w:before="100" w:beforeAutospacing="1" w:after="100" w:afterAutospacing="1"/>
              <w:rPr>
                <w:rFonts w:ascii="宋体" w:hAnsi="宋体"/>
                <w:color w:val="auto"/>
                <w:sz w:val="24"/>
                <w:highlight w:val="none"/>
              </w:rPr>
            </w:pPr>
          </w:p>
        </w:tc>
        <w:tc>
          <w:tcPr>
            <w:tcW w:w="698" w:type="pct"/>
            <w:vAlign w:val="center"/>
          </w:tcPr>
          <w:p w14:paraId="102403B4">
            <w:pPr>
              <w:adjustRightInd w:val="0"/>
              <w:snapToGrid w:val="0"/>
              <w:spacing w:before="100" w:beforeAutospacing="1" w:after="100" w:afterAutospacing="1"/>
              <w:rPr>
                <w:rFonts w:ascii="宋体" w:hAnsi="宋体"/>
                <w:color w:val="auto"/>
                <w:sz w:val="24"/>
                <w:highlight w:val="none"/>
              </w:rPr>
            </w:pPr>
          </w:p>
        </w:tc>
        <w:tc>
          <w:tcPr>
            <w:tcW w:w="400" w:type="pct"/>
            <w:vAlign w:val="center"/>
          </w:tcPr>
          <w:p w14:paraId="23031CDA">
            <w:pPr>
              <w:adjustRightInd w:val="0"/>
              <w:snapToGrid w:val="0"/>
              <w:spacing w:before="100" w:beforeAutospacing="1" w:after="100" w:afterAutospacing="1"/>
              <w:rPr>
                <w:rFonts w:ascii="宋体" w:hAnsi="宋体"/>
                <w:color w:val="auto"/>
                <w:sz w:val="24"/>
                <w:highlight w:val="none"/>
              </w:rPr>
            </w:pPr>
          </w:p>
        </w:tc>
      </w:tr>
    </w:tbl>
    <w:p w14:paraId="1A69A2FB">
      <w:pPr>
        <w:pStyle w:val="12"/>
        <w:adjustRightInd w:val="0"/>
        <w:snapToGrid w:val="0"/>
        <w:rPr>
          <w:rFonts w:hAnsi="宋体"/>
          <w:b/>
          <w:color w:val="auto"/>
          <w:szCs w:val="21"/>
          <w:highlight w:val="none"/>
        </w:rPr>
      </w:pPr>
      <w:r>
        <w:rPr>
          <w:rFonts w:hAnsi="宋体"/>
          <w:b/>
          <w:color w:val="auto"/>
          <w:szCs w:val="21"/>
          <w:highlight w:val="none"/>
        </w:rPr>
        <w:t>说明：1</w:t>
      </w:r>
      <w:r>
        <w:rPr>
          <w:rFonts w:hint="eastAsia" w:hAnsi="宋体"/>
          <w:b/>
          <w:color w:val="auto"/>
          <w:szCs w:val="21"/>
          <w:highlight w:val="none"/>
        </w:rPr>
        <w:t>、</w:t>
      </w:r>
      <w:r>
        <w:rPr>
          <w:rFonts w:hint="eastAsia" w:hAnsi="宋体"/>
          <w:b/>
          <w:color w:val="auto"/>
          <w:szCs w:val="21"/>
          <w:highlight w:val="none"/>
          <w:lang w:eastAsia="zh-CN"/>
        </w:rPr>
        <w:t>供应商</w:t>
      </w:r>
      <w:r>
        <w:rPr>
          <w:rFonts w:hAnsi="宋体"/>
          <w:b/>
          <w:color w:val="auto"/>
          <w:szCs w:val="21"/>
          <w:highlight w:val="none"/>
        </w:rPr>
        <w:t>若不填写</w:t>
      </w:r>
      <w:r>
        <w:rPr>
          <w:rFonts w:hint="eastAsia" w:hAnsi="宋体"/>
          <w:b/>
          <w:color w:val="auto"/>
          <w:szCs w:val="21"/>
          <w:highlight w:val="none"/>
        </w:rPr>
        <w:t>此表</w:t>
      </w:r>
      <w:r>
        <w:rPr>
          <w:rFonts w:hAnsi="宋体"/>
          <w:b/>
          <w:color w:val="auto"/>
          <w:szCs w:val="21"/>
          <w:highlight w:val="none"/>
        </w:rPr>
        <w:t>，则视为完全响应</w:t>
      </w:r>
      <w:r>
        <w:rPr>
          <w:rFonts w:hint="eastAsia" w:hAnsi="宋体"/>
          <w:b/>
          <w:color w:val="auto"/>
          <w:szCs w:val="21"/>
          <w:highlight w:val="none"/>
        </w:rPr>
        <w:t>招标</w:t>
      </w:r>
      <w:r>
        <w:rPr>
          <w:rFonts w:hAnsi="宋体"/>
          <w:b/>
          <w:color w:val="auto"/>
          <w:szCs w:val="21"/>
          <w:highlight w:val="none"/>
        </w:rPr>
        <w:t>文件要求</w:t>
      </w:r>
      <w:r>
        <w:rPr>
          <w:rFonts w:hint="eastAsia" w:hAnsi="宋体"/>
          <w:b/>
          <w:color w:val="auto"/>
          <w:szCs w:val="21"/>
          <w:highlight w:val="none"/>
        </w:rPr>
        <w:t>。</w:t>
      </w:r>
    </w:p>
    <w:p w14:paraId="03613911">
      <w:pPr>
        <w:pStyle w:val="12"/>
        <w:adjustRightInd w:val="0"/>
        <w:snapToGrid w:val="0"/>
        <w:rPr>
          <w:rFonts w:hAnsi="宋体"/>
          <w:b/>
          <w:color w:val="auto"/>
          <w:szCs w:val="21"/>
          <w:highlight w:val="none"/>
        </w:rPr>
      </w:pPr>
      <w:r>
        <w:rPr>
          <w:rFonts w:hint="eastAsia" w:hAnsi="宋体"/>
          <w:b/>
          <w:color w:val="auto"/>
          <w:szCs w:val="21"/>
          <w:highlight w:val="none"/>
        </w:rPr>
        <w:t xml:space="preserve">       2、</w:t>
      </w:r>
      <w:r>
        <w:rPr>
          <w:rFonts w:hint="eastAsia" w:hAnsi="宋体"/>
          <w:b/>
          <w:color w:val="auto"/>
          <w:szCs w:val="21"/>
          <w:highlight w:val="none"/>
          <w:lang w:eastAsia="zh-CN"/>
        </w:rPr>
        <w:t>供应商</w:t>
      </w:r>
      <w:r>
        <w:rPr>
          <w:rFonts w:hAnsi="宋体"/>
          <w:b/>
          <w:color w:val="auto"/>
          <w:szCs w:val="21"/>
          <w:highlight w:val="none"/>
        </w:rPr>
        <w:t xml:space="preserve">拟提供的服务承诺与招标文件中的要求不一致时，则必须在《服务条款响应表》中予以明确。 </w:t>
      </w:r>
    </w:p>
    <w:p w14:paraId="6EABBE0D">
      <w:pPr>
        <w:adjustRightInd w:val="0"/>
        <w:snapToGrid w:val="0"/>
        <w:jc w:val="left"/>
        <w:rPr>
          <w:rFonts w:ascii="宋体" w:hAnsi="宋体"/>
          <w:b/>
          <w:color w:val="auto"/>
          <w:kern w:val="0"/>
          <w:szCs w:val="21"/>
          <w:highlight w:val="none"/>
        </w:rPr>
      </w:pPr>
      <w:r>
        <w:rPr>
          <w:rFonts w:hint="eastAsia" w:ascii="宋体" w:hAnsi="宋体"/>
          <w:b/>
          <w:color w:val="auto"/>
          <w:szCs w:val="21"/>
          <w:highlight w:val="none"/>
        </w:rPr>
        <w:t xml:space="preserve">       3</w:t>
      </w:r>
      <w:r>
        <w:rPr>
          <w:rFonts w:ascii="宋体" w:hAnsi="宋体"/>
          <w:b/>
          <w:color w:val="auto"/>
          <w:szCs w:val="21"/>
          <w:highlight w:val="none"/>
        </w:rPr>
        <w:t>、响应情况分别为：正偏离、响应或负偏离。</w:t>
      </w:r>
      <w:r>
        <w:rPr>
          <w:rFonts w:hint="eastAsia" w:ascii="宋体" w:hAnsi="宋体"/>
          <w:b/>
          <w:color w:val="auto"/>
          <w:szCs w:val="21"/>
          <w:highlight w:val="none"/>
          <w:lang w:eastAsia="zh-CN"/>
        </w:rPr>
        <w:t>供应商</w:t>
      </w:r>
      <w:r>
        <w:rPr>
          <w:rFonts w:ascii="宋体" w:hAnsi="宋体"/>
          <w:b/>
          <w:color w:val="auto"/>
          <w:szCs w:val="21"/>
          <w:highlight w:val="none"/>
        </w:rPr>
        <w:t>可在备注栏内就偏离原因进行简要说明。</w:t>
      </w:r>
    </w:p>
    <w:bookmarkEnd w:id="56"/>
    <w:bookmarkEnd w:id="57"/>
    <w:p w14:paraId="66C0AE7F">
      <w:pPr>
        <w:spacing w:line="360" w:lineRule="auto"/>
        <w:rPr>
          <w:rFonts w:ascii="宋体" w:hAnsi="宋体"/>
          <w:color w:val="auto"/>
          <w:sz w:val="24"/>
          <w:highlight w:val="none"/>
        </w:rPr>
      </w:pPr>
    </w:p>
    <w:p w14:paraId="3F8F3DDE">
      <w:pPr>
        <w:pStyle w:val="20"/>
        <w:rPr>
          <w:color w:val="auto"/>
          <w:highlight w:val="none"/>
        </w:rPr>
      </w:pPr>
    </w:p>
    <w:p w14:paraId="39CFC149">
      <w:pPr>
        <w:spacing w:line="360" w:lineRule="auto"/>
        <w:ind w:left="420"/>
        <w:rPr>
          <w:rFonts w:ascii="宋体" w:hAnsi="宋体"/>
          <w:color w:val="auto"/>
          <w:sz w:val="24"/>
          <w:highlight w:val="none"/>
          <w:u w:val="single"/>
        </w:rPr>
      </w:pPr>
      <w:r>
        <w:rPr>
          <w:rFonts w:hint="eastAsia" w:asciiTheme="minorEastAsia" w:hAnsiTheme="minorEastAsia" w:eastAsiaTheme="minorEastAsia"/>
          <w:color w:val="auto"/>
          <w:sz w:val="24"/>
          <w:highlight w:val="none"/>
          <w:lang w:eastAsia="zh-CN"/>
        </w:rPr>
        <w:t>供应商</w:t>
      </w:r>
      <w:r>
        <w:rPr>
          <w:rFonts w:hint="eastAsia" w:ascii="宋体" w:hAnsi="宋体"/>
          <w:color w:val="auto"/>
          <w:sz w:val="24"/>
          <w:highlight w:val="none"/>
        </w:rPr>
        <w:t>名称（公章/电子章）：</w:t>
      </w:r>
    </w:p>
    <w:p w14:paraId="1BC2F671">
      <w:pPr>
        <w:spacing w:line="360" w:lineRule="auto"/>
        <w:ind w:firstLine="435"/>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w:t>
      </w:r>
      <w:r>
        <w:rPr>
          <w:rFonts w:hint="eastAsia" w:ascii="宋体" w:hAnsi="宋体"/>
          <w:color w:val="auto"/>
          <w:sz w:val="24"/>
          <w:highlight w:val="none"/>
        </w:rPr>
        <w:t>：</w:t>
      </w:r>
    </w:p>
    <w:p w14:paraId="3E0E00B0">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14:paraId="67BA8D3E">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49C75336">
      <w:pPr>
        <w:spacing w:line="360" w:lineRule="auto"/>
        <w:rPr>
          <w:rFonts w:ascii="宋体" w:hAnsi="宋体"/>
          <w:b/>
          <w:color w:val="auto"/>
          <w:sz w:val="28"/>
          <w:highlight w:val="none"/>
        </w:rPr>
      </w:pPr>
    </w:p>
    <w:p w14:paraId="43D375DE">
      <w:pPr>
        <w:rPr>
          <w:rFonts w:ascii="宋体" w:hAnsi="宋体"/>
          <w:b/>
          <w:color w:val="auto"/>
          <w:sz w:val="28"/>
          <w:highlight w:val="none"/>
        </w:rPr>
      </w:pPr>
      <w:r>
        <w:rPr>
          <w:rFonts w:hint="eastAsia" w:ascii="宋体" w:hAnsi="宋体"/>
          <w:b/>
          <w:color w:val="auto"/>
          <w:sz w:val="28"/>
          <w:highlight w:val="none"/>
        </w:rPr>
        <w:br w:type="page"/>
      </w:r>
    </w:p>
    <w:p w14:paraId="25D7A2D6">
      <w:pPr>
        <w:pStyle w:val="33"/>
        <w:spacing w:line="360" w:lineRule="auto"/>
        <w:jc w:val="left"/>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12</w:t>
      </w:r>
    </w:p>
    <w:p w14:paraId="64B82D61">
      <w:pPr>
        <w:pStyle w:val="34"/>
        <w:spacing w:line="360" w:lineRule="auto"/>
        <w:jc w:val="center"/>
        <w:rPr>
          <w:rFonts w:ascii="宋体" w:hAnsi="宋体" w:cs="Arial"/>
          <w:color w:val="auto"/>
          <w:sz w:val="28"/>
          <w:szCs w:val="28"/>
          <w:highlight w:val="none"/>
        </w:rPr>
      </w:pPr>
      <w:bookmarkStart w:id="58" w:name="_Toc11030_WPSOffice_Level1"/>
      <w:bookmarkStart w:id="59" w:name="_Toc17604_WPSOffice_Level1"/>
      <w:r>
        <w:rPr>
          <w:rFonts w:hint="eastAsia" w:ascii="宋体" w:hAnsi="宋体"/>
          <w:b/>
          <w:color w:val="auto"/>
          <w:sz w:val="32"/>
          <w:szCs w:val="32"/>
          <w:highlight w:val="none"/>
        </w:rPr>
        <w:t>证书一览表</w:t>
      </w:r>
      <w:bookmarkEnd w:id="58"/>
      <w:bookmarkEnd w:id="59"/>
    </w:p>
    <w:tbl>
      <w:tblPr>
        <w:tblStyle w:val="21"/>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14:paraId="7EA0E2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tcPr>
          <w:p w14:paraId="73575F15">
            <w:pPr>
              <w:pStyle w:val="34"/>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证书名称</w:t>
            </w:r>
          </w:p>
        </w:tc>
        <w:tc>
          <w:tcPr>
            <w:tcW w:w="2258" w:type="dxa"/>
            <w:tcBorders>
              <w:top w:val="single" w:color="auto" w:sz="4" w:space="0"/>
              <w:bottom w:val="single" w:color="auto" w:sz="4" w:space="0"/>
            </w:tcBorders>
            <w:tcMar>
              <w:top w:w="57" w:type="dxa"/>
              <w:left w:w="85" w:type="dxa"/>
              <w:bottom w:w="0" w:type="dxa"/>
              <w:right w:w="85" w:type="dxa"/>
            </w:tcMar>
          </w:tcPr>
          <w:p w14:paraId="522F056B">
            <w:pPr>
              <w:pStyle w:val="34"/>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发证单位</w:t>
            </w:r>
          </w:p>
        </w:tc>
        <w:tc>
          <w:tcPr>
            <w:tcW w:w="2260" w:type="dxa"/>
            <w:tcBorders>
              <w:top w:val="single" w:color="auto" w:sz="4" w:space="0"/>
              <w:bottom w:val="single" w:color="auto" w:sz="4" w:space="0"/>
            </w:tcBorders>
            <w:tcMar>
              <w:top w:w="57" w:type="dxa"/>
              <w:left w:w="85" w:type="dxa"/>
              <w:bottom w:w="0" w:type="dxa"/>
              <w:right w:w="85" w:type="dxa"/>
            </w:tcMar>
          </w:tcPr>
          <w:p w14:paraId="2542F868">
            <w:pPr>
              <w:pStyle w:val="34"/>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tcPr>
          <w:p w14:paraId="6CAF229F">
            <w:pPr>
              <w:pStyle w:val="34"/>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证书有效期</w:t>
            </w:r>
          </w:p>
        </w:tc>
      </w:tr>
      <w:tr w14:paraId="0643FD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tcPr>
          <w:p w14:paraId="5989D47C">
            <w:pPr>
              <w:pStyle w:val="34"/>
              <w:spacing w:line="360" w:lineRule="auto"/>
              <w:jc w:val="center"/>
              <w:rPr>
                <w:rFonts w:ascii="宋体" w:hAnsi="宋体" w:cs="Arial"/>
                <w:color w:val="auto"/>
                <w:szCs w:val="21"/>
                <w:highlight w:val="none"/>
              </w:rPr>
            </w:pPr>
          </w:p>
        </w:tc>
        <w:tc>
          <w:tcPr>
            <w:tcW w:w="2258" w:type="dxa"/>
            <w:tcBorders>
              <w:top w:val="single" w:color="auto" w:sz="4" w:space="0"/>
            </w:tcBorders>
            <w:tcMar>
              <w:top w:w="57" w:type="dxa"/>
              <w:left w:w="85" w:type="dxa"/>
              <w:bottom w:w="0" w:type="dxa"/>
              <w:right w:w="85" w:type="dxa"/>
            </w:tcMar>
          </w:tcPr>
          <w:p w14:paraId="3A32CBAA">
            <w:pPr>
              <w:pStyle w:val="34"/>
              <w:spacing w:line="360" w:lineRule="auto"/>
              <w:jc w:val="center"/>
              <w:rPr>
                <w:rFonts w:ascii="宋体" w:hAnsi="宋体" w:cs="Arial"/>
                <w:color w:val="auto"/>
                <w:szCs w:val="21"/>
                <w:highlight w:val="none"/>
              </w:rPr>
            </w:pPr>
          </w:p>
        </w:tc>
        <w:tc>
          <w:tcPr>
            <w:tcW w:w="2260" w:type="dxa"/>
            <w:tcBorders>
              <w:top w:val="single" w:color="auto" w:sz="4" w:space="0"/>
            </w:tcBorders>
            <w:tcMar>
              <w:top w:w="57" w:type="dxa"/>
              <w:left w:w="85" w:type="dxa"/>
              <w:bottom w:w="0" w:type="dxa"/>
              <w:right w:w="85" w:type="dxa"/>
            </w:tcMar>
          </w:tcPr>
          <w:p w14:paraId="26A18FFB">
            <w:pPr>
              <w:pStyle w:val="34"/>
              <w:spacing w:line="360" w:lineRule="auto"/>
              <w:jc w:val="center"/>
              <w:rPr>
                <w:rFonts w:ascii="宋体" w:hAnsi="宋体" w:cs="Arial"/>
                <w:color w:val="auto"/>
                <w:szCs w:val="21"/>
                <w:highlight w:val="none"/>
              </w:rPr>
            </w:pPr>
          </w:p>
        </w:tc>
        <w:tc>
          <w:tcPr>
            <w:tcW w:w="2277" w:type="dxa"/>
            <w:tcBorders>
              <w:top w:val="single" w:color="auto" w:sz="4" w:space="0"/>
              <w:right w:val="single" w:color="auto" w:sz="4" w:space="0"/>
            </w:tcBorders>
            <w:tcMar>
              <w:top w:w="57" w:type="dxa"/>
              <w:left w:w="85" w:type="dxa"/>
              <w:bottom w:w="0" w:type="dxa"/>
              <w:right w:w="85" w:type="dxa"/>
            </w:tcMar>
          </w:tcPr>
          <w:p w14:paraId="2D6A84EA">
            <w:pPr>
              <w:pStyle w:val="34"/>
              <w:spacing w:line="360" w:lineRule="auto"/>
              <w:jc w:val="center"/>
              <w:rPr>
                <w:rFonts w:ascii="宋体" w:hAnsi="宋体" w:cs="Arial"/>
                <w:color w:val="auto"/>
                <w:szCs w:val="21"/>
                <w:highlight w:val="none"/>
              </w:rPr>
            </w:pPr>
          </w:p>
        </w:tc>
      </w:tr>
      <w:tr w14:paraId="55261B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3DF7A0E7">
            <w:pPr>
              <w:pStyle w:val="34"/>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276D94E0">
            <w:pPr>
              <w:pStyle w:val="34"/>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6DF24F3C">
            <w:pPr>
              <w:pStyle w:val="34"/>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054B4B50">
            <w:pPr>
              <w:pStyle w:val="34"/>
              <w:spacing w:line="360" w:lineRule="auto"/>
              <w:jc w:val="center"/>
              <w:rPr>
                <w:rFonts w:ascii="宋体" w:hAnsi="宋体" w:cs="Arial"/>
                <w:color w:val="auto"/>
                <w:szCs w:val="21"/>
                <w:highlight w:val="none"/>
              </w:rPr>
            </w:pPr>
          </w:p>
        </w:tc>
      </w:tr>
      <w:tr w14:paraId="1B5098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492D9C10">
            <w:pPr>
              <w:pStyle w:val="34"/>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444144BD">
            <w:pPr>
              <w:pStyle w:val="34"/>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59CEAF17">
            <w:pPr>
              <w:pStyle w:val="34"/>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65248F3C">
            <w:pPr>
              <w:pStyle w:val="34"/>
              <w:spacing w:line="360" w:lineRule="auto"/>
              <w:jc w:val="center"/>
              <w:rPr>
                <w:rFonts w:ascii="宋体" w:hAnsi="宋体" w:cs="Arial"/>
                <w:color w:val="auto"/>
                <w:szCs w:val="21"/>
                <w:highlight w:val="none"/>
              </w:rPr>
            </w:pPr>
          </w:p>
        </w:tc>
      </w:tr>
      <w:tr w14:paraId="34DA46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1E98BFCC">
            <w:pPr>
              <w:pStyle w:val="34"/>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56950E9C">
            <w:pPr>
              <w:pStyle w:val="34"/>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27F136D3">
            <w:pPr>
              <w:pStyle w:val="34"/>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2F800D37">
            <w:pPr>
              <w:pStyle w:val="34"/>
              <w:spacing w:line="360" w:lineRule="auto"/>
              <w:jc w:val="center"/>
              <w:rPr>
                <w:rFonts w:ascii="宋体" w:hAnsi="宋体" w:cs="Arial"/>
                <w:color w:val="auto"/>
                <w:szCs w:val="21"/>
                <w:highlight w:val="none"/>
              </w:rPr>
            </w:pPr>
          </w:p>
        </w:tc>
      </w:tr>
      <w:tr w14:paraId="764704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769F6F1D">
            <w:pPr>
              <w:pStyle w:val="34"/>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5C5537C1">
            <w:pPr>
              <w:pStyle w:val="34"/>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41EB2ED1">
            <w:pPr>
              <w:pStyle w:val="34"/>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4447F26D">
            <w:pPr>
              <w:pStyle w:val="34"/>
              <w:spacing w:line="360" w:lineRule="auto"/>
              <w:jc w:val="center"/>
              <w:rPr>
                <w:rFonts w:ascii="宋体" w:hAnsi="宋体" w:cs="Arial"/>
                <w:color w:val="auto"/>
                <w:szCs w:val="21"/>
                <w:highlight w:val="none"/>
              </w:rPr>
            </w:pPr>
          </w:p>
        </w:tc>
      </w:tr>
      <w:tr w14:paraId="42094D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7ED18696">
            <w:pPr>
              <w:pStyle w:val="34"/>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116E47F3">
            <w:pPr>
              <w:pStyle w:val="34"/>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2B7DD9F5">
            <w:pPr>
              <w:pStyle w:val="34"/>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1BB0B169">
            <w:pPr>
              <w:pStyle w:val="34"/>
              <w:spacing w:line="360" w:lineRule="auto"/>
              <w:jc w:val="center"/>
              <w:rPr>
                <w:rFonts w:ascii="宋体" w:hAnsi="宋体" w:cs="Arial"/>
                <w:color w:val="auto"/>
                <w:szCs w:val="21"/>
                <w:highlight w:val="none"/>
              </w:rPr>
            </w:pPr>
          </w:p>
        </w:tc>
      </w:tr>
      <w:tr w14:paraId="0A1E86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tcPr>
          <w:p w14:paraId="7E148943">
            <w:pPr>
              <w:pStyle w:val="34"/>
              <w:spacing w:line="360" w:lineRule="auto"/>
              <w:jc w:val="center"/>
              <w:rPr>
                <w:rFonts w:ascii="宋体" w:hAnsi="宋体" w:cs="Arial"/>
                <w:color w:val="auto"/>
                <w:szCs w:val="21"/>
                <w:highlight w:val="none"/>
              </w:rPr>
            </w:pPr>
          </w:p>
        </w:tc>
        <w:tc>
          <w:tcPr>
            <w:tcW w:w="2258" w:type="dxa"/>
            <w:tcBorders>
              <w:bottom w:val="single" w:color="auto" w:sz="4" w:space="0"/>
            </w:tcBorders>
            <w:tcMar>
              <w:top w:w="57" w:type="dxa"/>
              <w:left w:w="85" w:type="dxa"/>
              <w:bottom w:w="0" w:type="dxa"/>
              <w:right w:w="85" w:type="dxa"/>
            </w:tcMar>
          </w:tcPr>
          <w:p w14:paraId="0C546575">
            <w:pPr>
              <w:pStyle w:val="34"/>
              <w:spacing w:line="360" w:lineRule="auto"/>
              <w:jc w:val="center"/>
              <w:rPr>
                <w:rFonts w:ascii="宋体" w:hAnsi="宋体" w:cs="Arial"/>
                <w:color w:val="auto"/>
                <w:szCs w:val="21"/>
                <w:highlight w:val="none"/>
              </w:rPr>
            </w:pPr>
          </w:p>
        </w:tc>
        <w:tc>
          <w:tcPr>
            <w:tcW w:w="2260" w:type="dxa"/>
            <w:tcBorders>
              <w:bottom w:val="single" w:color="auto" w:sz="4" w:space="0"/>
            </w:tcBorders>
            <w:tcMar>
              <w:top w:w="57" w:type="dxa"/>
              <w:left w:w="85" w:type="dxa"/>
              <w:bottom w:w="0" w:type="dxa"/>
              <w:right w:w="85" w:type="dxa"/>
            </w:tcMar>
          </w:tcPr>
          <w:p w14:paraId="57904B03">
            <w:pPr>
              <w:pStyle w:val="34"/>
              <w:spacing w:line="360" w:lineRule="auto"/>
              <w:jc w:val="center"/>
              <w:rPr>
                <w:rFonts w:ascii="宋体" w:hAnsi="宋体" w:cs="Arial"/>
                <w:color w:val="auto"/>
                <w:szCs w:val="21"/>
                <w:highlight w:val="none"/>
              </w:rPr>
            </w:pPr>
          </w:p>
        </w:tc>
        <w:tc>
          <w:tcPr>
            <w:tcW w:w="2277" w:type="dxa"/>
            <w:tcBorders>
              <w:bottom w:val="single" w:color="auto" w:sz="4" w:space="0"/>
              <w:right w:val="single" w:color="auto" w:sz="4" w:space="0"/>
            </w:tcBorders>
            <w:tcMar>
              <w:top w:w="57" w:type="dxa"/>
              <w:left w:w="85" w:type="dxa"/>
              <w:bottom w:w="0" w:type="dxa"/>
              <w:right w:w="85" w:type="dxa"/>
            </w:tcMar>
          </w:tcPr>
          <w:p w14:paraId="5B94C811">
            <w:pPr>
              <w:pStyle w:val="34"/>
              <w:spacing w:line="360" w:lineRule="auto"/>
              <w:jc w:val="center"/>
              <w:rPr>
                <w:rFonts w:ascii="宋体" w:hAnsi="宋体" w:cs="Arial"/>
                <w:color w:val="auto"/>
                <w:szCs w:val="21"/>
                <w:highlight w:val="none"/>
              </w:rPr>
            </w:pPr>
          </w:p>
        </w:tc>
      </w:tr>
    </w:tbl>
    <w:p w14:paraId="01B7FB61">
      <w:pPr>
        <w:pStyle w:val="34"/>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要求：</w:t>
      </w:r>
    </w:p>
    <w:p w14:paraId="689E33E8">
      <w:pPr>
        <w:pStyle w:val="34"/>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1.填写</w:t>
      </w:r>
      <w:r>
        <w:rPr>
          <w:rFonts w:hint="eastAsia" w:ascii="宋体" w:hAnsi="宋体"/>
          <w:color w:val="auto"/>
          <w:szCs w:val="21"/>
          <w:highlight w:val="none"/>
          <w:lang w:eastAsia="zh-CN"/>
        </w:rPr>
        <w:t>供应商</w:t>
      </w:r>
      <w:r>
        <w:rPr>
          <w:rFonts w:hint="eastAsia" w:ascii="宋体" w:hAnsi="宋体"/>
          <w:color w:val="auto"/>
          <w:szCs w:val="21"/>
          <w:highlight w:val="none"/>
        </w:rPr>
        <w:t>获得资质、认证或企业信誉证书。</w:t>
      </w:r>
    </w:p>
    <w:p w14:paraId="118EAD42">
      <w:pPr>
        <w:pStyle w:val="34"/>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2.附所列证书或其他证明材料。</w:t>
      </w:r>
    </w:p>
    <w:p w14:paraId="4231B107">
      <w:pPr>
        <w:pStyle w:val="34"/>
        <w:tabs>
          <w:tab w:val="left" w:pos="1050"/>
        </w:tabs>
        <w:spacing w:line="360" w:lineRule="auto"/>
        <w:rPr>
          <w:rFonts w:ascii="仿宋_GB2312" w:hAnsi="宋体" w:eastAsia="仿宋_GB2312"/>
          <w:color w:val="auto"/>
          <w:sz w:val="24"/>
          <w:highlight w:val="none"/>
        </w:rPr>
      </w:pPr>
    </w:p>
    <w:p w14:paraId="40C25861">
      <w:pPr>
        <w:pStyle w:val="34"/>
        <w:tabs>
          <w:tab w:val="left" w:pos="1050"/>
        </w:tabs>
        <w:spacing w:line="360" w:lineRule="auto"/>
        <w:ind w:firstLine="720" w:firstLineChars="300"/>
        <w:rPr>
          <w:rFonts w:ascii="仿宋_GB2312" w:hAnsi="宋体" w:eastAsia="仿宋_GB2312"/>
          <w:color w:val="auto"/>
          <w:sz w:val="24"/>
          <w:highlight w:val="none"/>
        </w:rPr>
      </w:pPr>
    </w:p>
    <w:p w14:paraId="1BA92026">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lang w:eastAsia="zh-CN"/>
        </w:rPr>
        <w:t>供应商</w:t>
      </w:r>
      <w:r>
        <w:rPr>
          <w:rFonts w:hint="eastAsia" w:ascii="宋体" w:hAnsi="宋体"/>
          <w:color w:val="auto"/>
          <w:sz w:val="24"/>
          <w:highlight w:val="none"/>
        </w:rPr>
        <w:t>名称（</w:t>
      </w:r>
      <w:r>
        <w:rPr>
          <w:rFonts w:hint="eastAsia" w:ascii="宋体" w:hAnsi="宋体"/>
          <w:color w:val="auto"/>
          <w:sz w:val="24"/>
          <w:highlight w:val="none"/>
        </w:rPr>
        <w:t>公章/电子章</w:t>
      </w:r>
      <w:r>
        <w:rPr>
          <w:rFonts w:hint="eastAsia" w:ascii="宋体" w:hAnsi="宋体"/>
          <w:color w:val="auto"/>
          <w:sz w:val="24"/>
          <w:highlight w:val="none"/>
        </w:rPr>
        <w:t>）：</w:t>
      </w:r>
    </w:p>
    <w:p w14:paraId="443A5218">
      <w:pPr>
        <w:spacing w:line="360" w:lineRule="auto"/>
        <w:ind w:left="420"/>
        <w:rPr>
          <w:rFonts w:ascii="宋体" w:hAnsi="宋体"/>
          <w:color w:val="auto"/>
          <w:sz w:val="24"/>
          <w:highlight w:val="none"/>
        </w:rPr>
      </w:pPr>
    </w:p>
    <w:p w14:paraId="1F83D029">
      <w:pPr>
        <w:spacing w:line="360" w:lineRule="auto"/>
        <w:ind w:firstLine="424" w:firstLineChars="177"/>
        <w:rPr>
          <w:rFonts w:ascii="宋体" w:hAnsi="宋体"/>
          <w:color w:val="auto"/>
          <w:sz w:val="24"/>
          <w:highlight w:val="none"/>
        </w:rPr>
      </w:pPr>
      <w:r>
        <w:rPr>
          <w:rFonts w:hint="eastAsia" w:ascii="宋体" w:hAnsi="宋体"/>
          <w:color w:val="auto"/>
          <w:sz w:val="24"/>
          <w:highlight w:val="none"/>
          <w:lang w:val="zh-CN"/>
        </w:rPr>
        <w:t>法定代表人或授权委托人签字</w:t>
      </w:r>
      <w:r>
        <w:rPr>
          <w:rFonts w:hint="eastAsia" w:ascii="宋体" w:hAnsi="宋体"/>
          <w:color w:val="auto"/>
          <w:sz w:val="24"/>
          <w:highlight w:val="none"/>
        </w:rPr>
        <w:t>：</w:t>
      </w:r>
    </w:p>
    <w:p w14:paraId="6044E264">
      <w:pPr>
        <w:spacing w:line="360" w:lineRule="auto"/>
        <w:ind w:firstLine="435"/>
        <w:rPr>
          <w:rFonts w:ascii="宋体" w:hAnsi="宋体"/>
          <w:color w:val="auto"/>
          <w:sz w:val="24"/>
          <w:highlight w:val="none"/>
        </w:rPr>
      </w:pPr>
    </w:p>
    <w:p w14:paraId="194FFFCB">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17DA654C">
      <w:pPr>
        <w:spacing w:line="360" w:lineRule="auto"/>
        <w:rPr>
          <w:rFonts w:ascii="宋体" w:hAnsi="宋体"/>
          <w:color w:val="auto"/>
          <w:sz w:val="24"/>
          <w:highlight w:val="none"/>
        </w:rPr>
      </w:pPr>
    </w:p>
    <w:p w14:paraId="7ECDB500">
      <w:pPr>
        <w:pStyle w:val="30"/>
        <w:shd w:val="clear" w:color="auto" w:fill="FFFFFF"/>
        <w:spacing w:before="0" w:beforeAutospacing="0" w:after="0" w:afterAutospacing="0" w:line="360" w:lineRule="auto"/>
        <w:ind w:firstLine="424" w:firstLineChars="177"/>
        <w:rPr>
          <w:b/>
          <w:bCs/>
          <w:color w:val="auto"/>
          <w:highlight w:val="none"/>
        </w:rPr>
      </w:pPr>
      <w:r>
        <w:rPr>
          <w:rFonts w:hint="eastAsia"/>
          <w:color w:val="auto"/>
          <w:highlight w:val="none"/>
        </w:rPr>
        <w:t>日        期：：</w:t>
      </w:r>
    </w:p>
    <w:p w14:paraId="0CC9E719">
      <w:pPr>
        <w:spacing w:line="360" w:lineRule="auto"/>
        <w:rPr>
          <w:rFonts w:ascii="宋体" w:hAnsi="宋体"/>
          <w:b/>
          <w:color w:val="auto"/>
          <w:sz w:val="28"/>
          <w:highlight w:val="none"/>
        </w:rPr>
      </w:pPr>
    </w:p>
    <w:p w14:paraId="138F2F64">
      <w:pPr>
        <w:spacing w:line="360" w:lineRule="auto"/>
        <w:rPr>
          <w:rFonts w:ascii="宋体" w:hAnsi="宋体"/>
          <w:b/>
          <w:color w:val="auto"/>
          <w:sz w:val="28"/>
          <w:highlight w:val="none"/>
        </w:rPr>
      </w:pPr>
    </w:p>
    <w:p w14:paraId="67313FF1">
      <w:pPr>
        <w:spacing w:line="360" w:lineRule="auto"/>
        <w:rPr>
          <w:rFonts w:ascii="宋体" w:hAnsi="宋体"/>
          <w:b/>
          <w:color w:val="auto"/>
          <w:sz w:val="28"/>
          <w:highlight w:val="none"/>
        </w:rPr>
      </w:pPr>
    </w:p>
    <w:p w14:paraId="23BA3292">
      <w:pPr>
        <w:pStyle w:val="20"/>
        <w:ind w:left="0" w:leftChars="0" w:firstLine="0" w:firstLineChars="0"/>
        <w:rPr>
          <w:rFonts w:ascii="宋体" w:hAnsi="宋体"/>
          <w:b/>
          <w:color w:val="auto"/>
          <w:sz w:val="28"/>
          <w:highlight w:val="none"/>
        </w:rPr>
      </w:pPr>
    </w:p>
    <w:p w14:paraId="0C902FB3">
      <w:pPr>
        <w:spacing w:line="360" w:lineRule="auto"/>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13</w:t>
      </w:r>
    </w:p>
    <w:p w14:paraId="392BEBB7">
      <w:pPr>
        <w:spacing w:line="360" w:lineRule="auto"/>
        <w:jc w:val="center"/>
        <w:rPr>
          <w:rFonts w:ascii="宋体" w:hAnsi="宋体"/>
          <w:b/>
          <w:bCs/>
          <w:color w:val="auto"/>
          <w:kern w:val="0"/>
          <w:sz w:val="32"/>
          <w:szCs w:val="32"/>
          <w:highlight w:val="none"/>
        </w:rPr>
      </w:pPr>
      <w:r>
        <w:rPr>
          <w:rFonts w:hint="eastAsia" w:ascii="宋体" w:hAnsi="宋体"/>
          <w:b/>
          <w:bCs/>
          <w:color w:val="auto"/>
          <w:kern w:val="0"/>
          <w:sz w:val="32"/>
          <w:szCs w:val="32"/>
          <w:highlight w:val="none"/>
        </w:rPr>
        <w:t>同类业绩证明</w:t>
      </w:r>
    </w:p>
    <w:tbl>
      <w:tblPr>
        <w:tblStyle w:val="21"/>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14:paraId="17A7DD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004F79D9">
            <w:pPr>
              <w:pStyle w:val="33"/>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40B093EF">
            <w:pPr>
              <w:pStyle w:val="33"/>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F63F98C">
            <w:pPr>
              <w:pStyle w:val="33"/>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712CAAE">
            <w:pPr>
              <w:pStyle w:val="33"/>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00A512C">
            <w:pPr>
              <w:pStyle w:val="33"/>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1EDA322A">
            <w:pPr>
              <w:pStyle w:val="33"/>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4FC26C9A">
            <w:pPr>
              <w:pStyle w:val="33"/>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项目单位名称及其联系人电话</w:t>
            </w:r>
          </w:p>
        </w:tc>
      </w:tr>
      <w:tr w14:paraId="069B73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04874FB">
            <w:pPr>
              <w:pStyle w:val="33"/>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70E5DA7">
            <w:pPr>
              <w:pStyle w:val="33"/>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09B9DAD">
            <w:pPr>
              <w:pStyle w:val="33"/>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4CBE3F4">
            <w:pPr>
              <w:pStyle w:val="33"/>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991F3D0">
            <w:pPr>
              <w:pStyle w:val="33"/>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1F0E3A3">
            <w:pPr>
              <w:pStyle w:val="33"/>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419BACB">
            <w:pPr>
              <w:pStyle w:val="33"/>
              <w:spacing w:line="360" w:lineRule="auto"/>
              <w:rPr>
                <w:rFonts w:asciiTheme="minorEastAsia" w:hAnsiTheme="minorEastAsia" w:eastAsiaTheme="minorEastAsia" w:cstheme="minorEastAsia"/>
                <w:color w:val="auto"/>
                <w:szCs w:val="21"/>
                <w:highlight w:val="none"/>
              </w:rPr>
            </w:pPr>
          </w:p>
        </w:tc>
      </w:tr>
      <w:tr w14:paraId="022AA6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9030D9E">
            <w:pPr>
              <w:pStyle w:val="33"/>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63A08DF">
            <w:pPr>
              <w:pStyle w:val="33"/>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345D3FF">
            <w:pPr>
              <w:pStyle w:val="33"/>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4DE5530">
            <w:pPr>
              <w:pStyle w:val="33"/>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F26930E">
            <w:pPr>
              <w:pStyle w:val="33"/>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7AE15AE">
            <w:pPr>
              <w:pStyle w:val="33"/>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8E60C69">
            <w:pPr>
              <w:pStyle w:val="33"/>
              <w:spacing w:line="360" w:lineRule="auto"/>
              <w:rPr>
                <w:rFonts w:asciiTheme="minorEastAsia" w:hAnsiTheme="minorEastAsia" w:eastAsiaTheme="minorEastAsia" w:cstheme="minorEastAsia"/>
                <w:color w:val="auto"/>
                <w:szCs w:val="21"/>
                <w:highlight w:val="none"/>
              </w:rPr>
            </w:pPr>
          </w:p>
        </w:tc>
      </w:tr>
      <w:tr w14:paraId="6FA2D3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8C1532F">
            <w:pPr>
              <w:pStyle w:val="33"/>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EC54E20">
            <w:pPr>
              <w:pStyle w:val="33"/>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51B51DF">
            <w:pPr>
              <w:pStyle w:val="33"/>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0026547">
            <w:pPr>
              <w:pStyle w:val="33"/>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65422F8">
            <w:pPr>
              <w:pStyle w:val="33"/>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4553DEF">
            <w:pPr>
              <w:pStyle w:val="33"/>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B4F0DBC">
            <w:pPr>
              <w:pStyle w:val="33"/>
              <w:spacing w:line="360" w:lineRule="auto"/>
              <w:rPr>
                <w:rFonts w:asciiTheme="minorEastAsia" w:hAnsiTheme="minorEastAsia" w:eastAsiaTheme="minorEastAsia" w:cstheme="minorEastAsia"/>
                <w:color w:val="auto"/>
                <w:szCs w:val="21"/>
                <w:highlight w:val="none"/>
              </w:rPr>
            </w:pPr>
          </w:p>
        </w:tc>
      </w:tr>
      <w:tr w14:paraId="049A5B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586A272">
            <w:pPr>
              <w:pStyle w:val="33"/>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2ACBABD">
            <w:pPr>
              <w:pStyle w:val="33"/>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10B2690">
            <w:pPr>
              <w:pStyle w:val="33"/>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D7662AD">
            <w:pPr>
              <w:pStyle w:val="33"/>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A4CFE8D">
            <w:pPr>
              <w:pStyle w:val="33"/>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9413E6C">
            <w:pPr>
              <w:pStyle w:val="33"/>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28FBD6F">
            <w:pPr>
              <w:pStyle w:val="33"/>
              <w:spacing w:line="360" w:lineRule="auto"/>
              <w:rPr>
                <w:rFonts w:asciiTheme="minorEastAsia" w:hAnsiTheme="minorEastAsia" w:eastAsiaTheme="minorEastAsia" w:cstheme="minorEastAsia"/>
                <w:color w:val="auto"/>
                <w:szCs w:val="21"/>
                <w:highlight w:val="none"/>
              </w:rPr>
            </w:pPr>
          </w:p>
        </w:tc>
      </w:tr>
      <w:tr w14:paraId="08CB2F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1A51190">
            <w:pPr>
              <w:pStyle w:val="33"/>
              <w:spacing w:line="360" w:lineRule="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BCA1A32">
            <w:pPr>
              <w:pStyle w:val="33"/>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B3CFEA6">
            <w:pPr>
              <w:pStyle w:val="33"/>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F35F219">
            <w:pPr>
              <w:pStyle w:val="33"/>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3F9AA96">
            <w:pPr>
              <w:pStyle w:val="33"/>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39207FA">
            <w:pPr>
              <w:pStyle w:val="33"/>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9C82236">
            <w:pPr>
              <w:pStyle w:val="33"/>
              <w:spacing w:line="360" w:lineRule="auto"/>
              <w:rPr>
                <w:rFonts w:asciiTheme="minorEastAsia" w:hAnsiTheme="minorEastAsia" w:eastAsiaTheme="minorEastAsia" w:cstheme="minorEastAsia"/>
                <w:color w:val="auto"/>
                <w:szCs w:val="21"/>
                <w:highlight w:val="none"/>
              </w:rPr>
            </w:pPr>
          </w:p>
        </w:tc>
      </w:tr>
      <w:tr w14:paraId="052E2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26BF839">
            <w:pPr>
              <w:pStyle w:val="33"/>
              <w:spacing w:line="360" w:lineRule="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D9AF8B4">
            <w:pPr>
              <w:pStyle w:val="33"/>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45A640A">
            <w:pPr>
              <w:pStyle w:val="33"/>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67B8343">
            <w:pPr>
              <w:pStyle w:val="33"/>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9607EED">
            <w:pPr>
              <w:pStyle w:val="33"/>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AC0F950">
            <w:pPr>
              <w:pStyle w:val="33"/>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3BFBC38">
            <w:pPr>
              <w:pStyle w:val="33"/>
              <w:spacing w:line="360" w:lineRule="auto"/>
              <w:rPr>
                <w:rFonts w:asciiTheme="minorEastAsia" w:hAnsiTheme="minorEastAsia" w:eastAsiaTheme="minorEastAsia" w:cstheme="minorEastAsia"/>
                <w:color w:val="auto"/>
                <w:szCs w:val="21"/>
                <w:highlight w:val="none"/>
              </w:rPr>
            </w:pPr>
          </w:p>
        </w:tc>
      </w:tr>
      <w:tr w14:paraId="7D8717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ADF4C59">
            <w:pPr>
              <w:pStyle w:val="33"/>
              <w:spacing w:line="360" w:lineRule="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B434907">
            <w:pPr>
              <w:pStyle w:val="33"/>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4406C0D">
            <w:pPr>
              <w:pStyle w:val="33"/>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E66480D">
            <w:pPr>
              <w:pStyle w:val="33"/>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AFBC9B4">
            <w:pPr>
              <w:pStyle w:val="33"/>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67EA5AA">
            <w:pPr>
              <w:pStyle w:val="33"/>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F99A0DE">
            <w:pPr>
              <w:pStyle w:val="33"/>
              <w:spacing w:line="360" w:lineRule="auto"/>
              <w:rPr>
                <w:rFonts w:asciiTheme="minorEastAsia" w:hAnsiTheme="minorEastAsia" w:eastAsiaTheme="minorEastAsia" w:cstheme="minorEastAsia"/>
                <w:color w:val="auto"/>
                <w:szCs w:val="21"/>
                <w:highlight w:val="none"/>
              </w:rPr>
            </w:pPr>
          </w:p>
        </w:tc>
      </w:tr>
    </w:tbl>
    <w:p w14:paraId="0D9B9593">
      <w:pPr>
        <w:autoSpaceDE w:val="0"/>
        <w:autoSpaceDN w:val="0"/>
        <w:adjustRightInd w:val="0"/>
        <w:spacing w:before="120" w:beforeLines="50" w:line="360" w:lineRule="auto"/>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14:paraId="295C5D62">
      <w:pPr>
        <w:autoSpaceDE w:val="0"/>
        <w:autoSpaceDN w:val="0"/>
        <w:adjustRightInd w:val="0"/>
        <w:spacing w:before="120" w:beforeLines="50" w:line="360" w:lineRule="auto"/>
        <w:ind w:firstLine="420" w:firstLineChars="200"/>
        <w:rPr>
          <w:rFonts w:ascii="宋体" w:hAnsi="宋体" w:cs="Arial"/>
          <w:b/>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业绩证明应提供证明材料（合同</w:t>
      </w:r>
      <w:r>
        <w:rPr>
          <w:rFonts w:hint="eastAsia" w:ascii="宋体" w:hAnsi="宋体" w:cs="Arial"/>
          <w:color w:val="auto"/>
          <w:szCs w:val="21"/>
          <w:highlight w:val="none"/>
        </w:rPr>
        <w:t>可只提供首页、含金额页、盖章页</w:t>
      </w:r>
      <w:r>
        <w:rPr>
          <w:rFonts w:ascii="宋体" w:hAnsi="宋体" w:cs="Arial"/>
          <w:color w:val="auto"/>
          <w:szCs w:val="21"/>
          <w:highlight w:val="none"/>
        </w:rPr>
        <w:t>）</w:t>
      </w:r>
      <w:r>
        <w:rPr>
          <w:rFonts w:hint="eastAsia" w:ascii="宋体" w:hAnsi="宋体" w:cs="Arial"/>
          <w:color w:val="auto"/>
          <w:szCs w:val="21"/>
          <w:highlight w:val="none"/>
        </w:rPr>
        <w:t>。</w:t>
      </w:r>
    </w:p>
    <w:p w14:paraId="44F3807D">
      <w:pPr>
        <w:spacing w:line="360" w:lineRule="auto"/>
        <w:ind w:firstLine="424" w:firstLineChars="202"/>
        <w:jc w:val="left"/>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w:t>
      </w:r>
      <w:r>
        <w:rPr>
          <w:rFonts w:hint="eastAsia" w:ascii="宋体" w:hAnsi="宋体" w:cs="Arial"/>
          <w:color w:val="auto"/>
          <w:szCs w:val="21"/>
          <w:highlight w:val="none"/>
          <w:lang w:eastAsia="zh-CN"/>
        </w:rPr>
        <w:t>供应商</w:t>
      </w:r>
      <w:r>
        <w:rPr>
          <w:rFonts w:ascii="宋体" w:hAnsi="宋体" w:cs="Arial"/>
          <w:color w:val="auto"/>
          <w:szCs w:val="21"/>
          <w:highlight w:val="none"/>
        </w:rPr>
        <w:t>可按此表格式复制</w:t>
      </w:r>
      <w:r>
        <w:rPr>
          <w:rFonts w:hint="eastAsia" w:ascii="宋体" w:hAnsi="宋体" w:cs="Arial"/>
          <w:color w:val="auto"/>
          <w:szCs w:val="21"/>
          <w:highlight w:val="none"/>
        </w:rPr>
        <w:t>。</w:t>
      </w:r>
    </w:p>
    <w:p w14:paraId="5CC43CB8">
      <w:pPr>
        <w:spacing w:line="360" w:lineRule="auto"/>
        <w:rPr>
          <w:rFonts w:ascii="宋体" w:hAnsi="宋体"/>
          <w:color w:val="auto"/>
          <w:sz w:val="22"/>
          <w:szCs w:val="22"/>
          <w:highlight w:val="none"/>
        </w:rPr>
      </w:pPr>
    </w:p>
    <w:p w14:paraId="56C9B634">
      <w:pPr>
        <w:pStyle w:val="20"/>
        <w:rPr>
          <w:color w:val="auto"/>
          <w:highlight w:val="none"/>
        </w:rPr>
      </w:pPr>
    </w:p>
    <w:p w14:paraId="3EF6F5D4">
      <w:pPr>
        <w:spacing w:line="360" w:lineRule="auto"/>
        <w:ind w:left="420"/>
        <w:rPr>
          <w:rFonts w:ascii="宋体" w:hAnsi="宋体"/>
          <w:color w:val="auto"/>
          <w:sz w:val="24"/>
          <w:highlight w:val="none"/>
          <w:u w:val="single"/>
        </w:rPr>
      </w:pPr>
      <w:r>
        <w:rPr>
          <w:rFonts w:hint="eastAsia" w:ascii="宋体" w:hAnsi="宋体"/>
          <w:color w:val="auto"/>
          <w:sz w:val="24"/>
          <w:highlight w:val="none"/>
          <w:lang w:eastAsia="zh-CN"/>
        </w:rPr>
        <w:t>供应商</w:t>
      </w:r>
      <w:r>
        <w:rPr>
          <w:rFonts w:hint="eastAsia" w:ascii="宋体" w:hAnsi="宋体"/>
          <w:color w:val="auto"/>
          <w:sz w:val="24"/>
          <w:highlight w:val="none"/>
        </w:rPr>
        <w:t>名称（</w:t>
      </w:r>
      <w:r>
        <w:rPr>
          <w:rFonts w:hint="eastAsia" w:ascii="宋体" w:hAnsi="宋体"/>
          <w:color w:val="auto"/>
          <w:sz w:val="24"/>
          <w:highlight w:val="none"/>
        </w:rPr>
        <w:t>公章/电子章</w:t>
      </w:r>
      <w:r>
        <w:rPr>
          <w:rFonts w:hint="eastAsia" w:ascii="宋体" w:hAnsi="宋体"/>
          <w:color w:val="auto"/>
          <w:sz w:val="24"/>
          <w:highlight w:val="none"/>
        </w:rPr>
        <w:t>）：</w:t>
      </w:r>
    </w:p>
    <w:p w14:paraId="2503C197">
      <w:pPr>
        <w:spacing w:line="360" w:lineRule="auto"/>
        <w:ind w:left="420"/>
        <w:rPr>
          <w:rFonts w:ascii="宋体" w:hAnsi="宋体"/>
          <w:color w:val="auto"/>
          <w:sz w:val="24"/>
          <w:highlight w:val="none"/>
        </w:rPr>
      </w:pPr>
    </w:p>
    <w:p w14:paraId="6AE4E0EC">
      <w:pPr>
        <w:spacing w:line="360" w:lineRule="auto"/>
        <w:ind w:firstLine="435"/>
        <w:rPr>
          <w:rFonts w:ascii="宋体" w:hAnsi="宋体"/>
          <w:color w:val="auto"/>
          <w:sz w:val="24"/>
          <w:highlight w:val="none"/>
        </w:rPr>
      </w:pPr>
      <w:r>
        <w:rPr>
          <w:rFonts w:hint="eastAsia" w:ascii="宋体" w:hAnsi="宋体"/>
          <w:color w:val="auto"/>
          <w:sz w:val="24"/>
          <w:highlight w:val="none"/>
          <w:lang w:val="zh-CN"/>
        </w:rPr>
        <w:t>法定代表人或授权委托人签字</w:t>
      </w:r>
      <w:r>
        <w:rPr>
          <w:rFonts w:hint="eastAsia" w:ascii="宋体" w:hAnsi="宋体"/>
          <w:color w:val="auto"/>
          <w:sz w:val="24"/>
          <w:highlight w:val="none"/>
        </w:rPr>
        <w:t>：</w:t>
      </w:r>
    </w:p>
    <w:p w14:paraId="09910C72">
      <w:pPr>
        <w:spacing w:line="360" w:lineRule="auto"/>
        <w:ind w:firstLine="435"/>
        <w:rPr>
          <w:rFonts w:ascii="宋体" w:hAnsi="宋体"/>
          <w:color w:val="auto"/>
          <w:sz w:val="24"/>
          <w:highlight w:val="none"/>
        </w:rPr>
      </w:pPr>
    </w:p>
    <w:p w14:paraId="0783FF00">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14:paraId="549166CF">
      <w:pPr>
        <w:spacing w:line="360" w:lineRule="auto"/>
        <w:rPr>
          <w:rFonts w:ascii="宋体" w:hAnsi="宋体"/>
          <w:color w:val="auto"/>
          <w:sz w:val="24"/>
          <w:highlight w:val="none"/>
        </w:rPr>
      </w:pPr>
    </w:p>
    <w:p w14:paraId="2CE84D63">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380A6C46">
      <w:pPr>
        <w:jc w:val="both"/>
        <w:rPr>
          <w:color w:val="auto"/>
          <w:sz w:val="52"/>
          <w:szCs w:val="52"/>
          <w:highlight w:val="none"/>
        </w:rPr>
        <w:sectPr>
          <w:pgSz w:w="11906" w:h="16838"/>
          <w:pgMar w:top="1440" w:right="1800" w:bottom="1440" w:left="1800" w:header="851" w:footer="992" w:gutter="0"/>
          <w:pgNumType w:fmt="numberInDash"/>
          <w:cols w:space="425" w:num="1"/>
          <w:docGrid w:type="lines" w:linePitch="312" w:charSpace="0"/>
        </w:sectPr>
      </w:pPr>
      <w:bookmarkStart w:id="60" w:name="_Toc21322_WPSOffice_Level1"/>
      <w:bookmarkStart w:id="61" w:name="_Toc30468_WPSOffice_Level1"/>
      <w:bookmarkStart w:id="62" w:name="_Toc4615_WPSOffice_Level1"/>
    </w:p>
    <w:p w14:paraId="3CA63786">
      <w:pPr>
        <w:bidi w:val="0"/>
        <w:rPr>
          <w:color w:val="auto"/>
          <w:highlight w:val="none"/>
        </w:rPr>
      </w:pPr>
    </w:p>
    <w:p w14:paraId="5F344CEA">
      <w:pPr>
        <w:jc w:val="center"/>
        <w:rPr>
          <w:color w:val="auto"/>
          <w:sz w:val="52"/>
          <w:szCs w:val="52"/>
          <w:highlight w:val="none"/>
        </w:rPr>
      </w:pPr>
      <w:r>
        <w:rPr>
          <w:rFonts w:hint="eastAsia"/>
          <w:color w:val="auto"/>
          <w:sz w:val="52"/>
          <w:szCs w:val="52"/>
          <w:highlight w:val="none"/>
        </w:rPr>
        <w:t>项目名称</w:t>
      </w:r>
      <w:bookmarkEnd w:id="60"/>
      <w:bookmarkEnd w:id="61"/>
      <w:bookmarkEnd w:id="62"/>
    </w:p>
    <w:p w14:paraId="686DBBF4">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r>
        <w:rPr>
          <w:rFonts w:hint="eastAsia" w:ascii="宋体" w:hAnsi="宋体"/>
          <w:color w:val="auto"/>
          <w:sz w:val="36"/>
          <w:szCs w:val="36"/>
          <w:highlight w:val="none"/>
          <w:lang w:val="en-US" w:eastAsia="zh-CN"/>
        </w:rPr>
        <w:t xml:space="preserve">  </w:t>
      </w:r>
      <w:r>
        <w:rPr>
          <w:rFonts w:hint="eastAsia" w:ascii="宋体" w:hAnsi="宋体"/>
          <w:color w:val="auto"/>
          <w:sz w:val="36"/>
          <w:szCs w:val="36"/>
          <w:highlight w:val="none"/>
        </w:rPr>
        <w:t>）</w:t>
      </w:r>
    </w:p>
    <w:p w14:paraId="1F2994E6">
      <w:pPr>
        <w:pStyle w:val="20"/>
        <w:rPr>
          <w:color w:val="auto"/>
          <w:highlight w:val="none"/>
        </w:rPr>
      </w:pPr>
    </w:p>
    <w:p w14:paraId="229F7BC4">
      <w:pPr>
        <w:jc w:val="center"/>
        <w:rPr>
          <w:color w:val="auto"/>
          <w:sz w:val="84"/>
          <w:szCs w:val="84"/>
          <w:highlight w:val="none"/>
        </w:rPr>
      </w:pPr>
      <w:bookmarkStart w:id="63" w:name="_Toc9453_WPSOffice_Level1"/>
      <w:bookmarkStart w:id="64" w:name="_Toc8885_WPSOffice_Level1"/>
      <w:r>
        <w:rPr>
          <w:rFonts w:hint="eastAsia"/>
          <w:color w:val="auto"/>
          <w:sz w:val="84"/>
          <w:szCs w:val="84"/>
          <w:highlight w:val="none"/>
        </w:rPr>
        <w:t>报</w:t>
      </w:r>
      <w:bookmarkEnd w:id="63"/>
      <w:bookmarkEnd w:id="64"/>
    </w:p>
    <w:p w14:paraId="59C23E92">
      <w:pPr>
        <w:jc w:val="center"/>
        <w:rPr>
          <w:color w:val="auto"/>
          <w:sz w:val="84"/>
          <w:szCs w:val="84"/>
          <w:highlight w:val="none"/>
        </w:rPr>
      </w:pPr>
      <w:bookmarkStart w:id="65" w:name="_Toc10910_WPSOffice_Level1"/>
      <w:bookmarkStart w:id="66" w:name="_Toc7485_WPSOffice_Level1"/>
      <w:r>
        <w:rPr>
          <w:rFonts w:hint="eastAsia"/>
          <w:color w:val="auto"/>
          <w:sz w:val="84"/>
          <w:szCs w:val="84"/>
          <w:highlight w:val="none"/>
        </w:rPr>
        <w:t>价</w:t>
      </w:r>
      <w:bookmarkEnd w:id="65"/>
      <w:bookmarkEnd w:id="66"/>
    </w:p>
    <w:p w14:paraId="061B7C4F">
      <w:pPr>
        <w:jc w:val="center"/>
        <w:rPr>
          <w:color w:val="auto"/>
          <w:sz w:val="84"/>
          <w:szCs w:val="84"/>
          <w:highlight w:val="none"/>
        </w:rPr>
      </w:pPr>
      <w:bookmarkStart w:id="67" w:name="_Toc14572_WPSOffice_Level1"/>
      <w:bookmarkStart w:id="68" w:name="_Toc3932_WPSOffice_Level1"/>
      <w:r>
        <w:rPr>
          <w:rFonts w:hint="eastAsia"/>
          <w:color w:val="auto"/>
          <w:sz w:val="84"/>
          <w:szCs w:val="84"/>
          <w:highlight w:val="none"/>
        </w:rPr>
        <w:t>文</w:t>
      </w:r>
      <w:bookmarkEnd w:id="67"/>
      <w:bookmarkEnd w:id="68"/>
    </w:p>
    <w:p w14:paraId="51FAF7EF">
      <w:pPr>
        <w:jc w:val="center"/>
        <w:rPr>
          <w:color w:val="auto"/>
          <w:sz w:val="84"/>
          <w:szCs w:val="84"/>
          <w:highlight w:val="none"/>
        </w:rPr>
      </w:pPr>
      <w:bookmarkStart w:id="69" w:name="_Toc16973_WPSOffice_Level1"/>
      <w:bookmarkStart w:id="70" w:name="_Toc7562_WPSOffice_Level1"/>
      <w:r>
        <w:rPr>
          <w:rFonts w:hint="eastAsia"/>
          <w:color w:val="auto"/>
          <w:sz w:val="84"/>
          <w:szCs w:val="84"/>
          <w:highlight w:val="none"/>
        </w:rPr>
        <w:t>件</w:t>
      </w:r>
      <w:bookmarkEnd w:id="69"/>
      <w:bookmarkEnd w:id="70"/>
    </w:p>
    <w:p w14:paraId="59E8B061">
      <w:pPr>
        <w:spacing w:line="360" w:lineRule="auto"/>
        <w:ind w:right="532"/>
        <w:rPr>
          <w:rFonts w:ascii="宋体" w:hAnsi="宋体"/>
          <w:color w:val="auto"/>
          <w:sz w:val="36"/>
          <w:szCs w:val="36"/>
          <w:highlight w:val="none"/>
        </w:rPr>
      </w:pPr>
    </w:p>
    <w:p w14:paraId="2EE11F62">
      <w:pPr>
        <w:spacing w:line="360" w:lineRule="auto"/>
        <w:ind w:right="532"/>
        <w:jc w:val="center"/>
        <w:rPr>
          <w:rFonts w:ascii="宋体" w:hAnsi="宋体"/>
          <w:color w:val="auto"/>
          <w:sz w:val="36"/>
          <w:szCs w:val="36"/>
          <w:highlight w:val="none"/>
        </w:rPr>
      </w:pPr>
    </w:p>
    <w:p w14:paraId="2023FA2F">
      <w:pPr>
        <w:spacing w:line="360" w:lineRule="auto"/>
        <w:ind w:right="532" w:firstLine="720" w:firstLineChars="200"/>
        <w:rPr>
          <w:rFonts w:ascii="宋体" w:hAnsi="宋体"/>
          <w:color w:val="auto"/>
          <w:sz w:val="36"/>
          <w:szCs w:val="36"/>
          <w:highlight w:val="none"/>
        </w:rPr>
      </w:pPr>
      <w:bookmarkStart w:id="71" w:name="_Toc4603_WPSOffice_Level1"/>
      <w:bookmarkStart w:id="72" w:name="_Toc26700_WPSOffice_Level1"/>
      <w:r>
        <w:rPr>
          <w:rFonts w:hint="eastAsia" w:ascii="宋体" w:hAnsi="宋体"/>
          <w:color w:val="auto"/>
          <w:sz w:val="36"/>
          <w:szCs w:val="36"/>
          <w:highlight w:val="none"/>
          <w:lang w:eastAsia="zh-CN"/>
        </w:rPr>
        <w:t>供应商</w:t>
      </w:r>
      <w:r>
        <w:rPr>
          <w:rFonts w:hint="eastAsia" w:ascii="宋体" w:hAnsi="宋体"/>
          <w:color w:val="auto"/>
          <w:sz w:val="36"/>
          <w:szCs w:val="36"/>
          <w:highlight w:val="none"/>
        </w:rPr>
        <w:t>全称（公章）：</w:t>
      </w:r>
      <w:bookmarkEnd w:id="71"/>
      <w:bookmarkEnd w:id="72"/>
    </w:p>
    <w:p w14:paraId="7BC0CA27">
      <w:pPr>
        <w:spacing w:line="360" w:lineRule="auto"/>
        <w:ind w:right="-108" w:firstLine="720" w:firstLineChars="200"/>
        <w:rPr>
          <w:rFonts w:ascii="宋体" w:hAnsi="宋体"/>
          <w:color w:val="auto"/>
          <w:sz w:val="36"/>
          <w:szCs w:val="36"/>
          <w:highlight w:val="none"/>
        </w:rPr>
      </w:pPr>
      <w:bookmarkStart w:id="73" w:name="_Toc32593_WPSOffice_Level1"/>
      <w:bookmarkStart w:id="74" w:name="_Toc1391_WPSOffice_Level1"/>
      <w:r>
        <w:rPr>
          <w:rFonts w:hint="eastAsia" w:ascii="宋体" w:hAnsi="宋体"/>
          <w:color w:val="auto"/>
          <w:sz w:val="36"/>
          <w:szCs w:val="36"/>
          <w:highlight w:val="none"/>
        </w:rPr>
        <w:t>地    址：</w:t>
      </w:r>
      <w:bookmarkEnd w:id="73"/>
      <w:bookmarkEnd w:id="74"/>
    </w:p>
    <w:p w14:paraId="5252C9DD">
      <w:pPr>
        <w:spacing w:line="360" w:lineRule="auto"/>
        <w:ind w:right="-108" w:firstLine="720" w:firstLineChars="200"/>
        <w:rPr>
          <w:rFonts w:ascii="宋体" w:hAnsi="宋体"/>
          <w:color w:val="auto"/>
          <w:sz w:val="36"/>
          <w:szCs w:val="36"/>
          <w:highlight w:val="none"/>
        </w:rPr>
      </w:pPr>
      <w:bookmarkStart w:id="75" w:name="_Toc20938_WPSOffice_Level1"/>
      <w:bookmarkStart w:id="76" w:name="_Toc3791_WPSOffice_Level1"/>
      <w:r>
        <w:rPr>
          <w:rFonts w:hint="eastAsia" w:ascii="宋体" w:hAnsi="宋体"/>
          <w:color w:val="auto"/>
          <w:sz w:val="36"/>
          <w:szCs w:val="36"/>
          <w:highlight w:val="none"/>
        </w:rPr>
        <w:t>时    间：</w:t>
      </w:r>
      <w:bookmarkEnd w:id="75"/>
      <w:bookmarkEnd w:id="76"/>
    </w:p>
    <w:p w14:paraId="53A4193B">
      <w:pPr>
        <w:pStyle w:val="9"/>
        <w:ind w:left="0" w:leftChars="0" w:firstLine="0" w:firstLineChars="0"/>
        <w:rPr>
          <w:rFonts w:ascii="仿宋_GB2312" w:hAnsi="宋体" w:eastAsia="仿宋_GB2312"/>
          <w:b/>
          <w:color w:val="auto"/>
          <w:sz w:val="36"/>
          <w:szCs w:val="36"/>
          <w:highlight w:val="none"/>
        </w:rPr>
        <w:sectPr>
          <w:pgSz w:w="11906" w:h="16838"/>
          <w:pgMar w:top="1440" w:right="1800" w:bottom="1440" w:left="1800" w:header="851" w:footer="992" w:gutter="0"/>
          <w:pgNumType w:fmt="numberInDash"/>
          <w:cols w:space="425" w:num="1"/>
          <w:docGrid w:type="lines" w:linePitch="312" w:charSpace="0"/>
        </w:sectPr>
      </w:pPr>
    </w:p>
    <w:p w14:paraId="340BF02A">
      <w:pPr>
        <w:spacing w:line="480" w:lineRule="auto"/>
        <w:jc w:val="center"/>
        <w:rPr>
          <w:rFonts w:ascii="宋体" w:hAnsi="宋体"/>
          <w:b/>
          <w:bCs/>
          <w:color w:val="auto"/>
          <w:sz w:val="36"/>
          <w:szCs w:val="36"/>
          <w:highlight w:val="none"/>
        </w:rPr>
      </w:pPr>
      <w:bookmarkStart w:id="77" w:name="_Toc19972_WPSOffice_Level1"/>
      <w:bookmarkStart w:id="78" w:name="_Toc29537_WPSOffice_Level1"/>
      <w:r>
        <w:rPr>
          <w:rFonts w:hint="eastAsia" w:ascii="宋体" w:hAnsi="宋体"/>
          <w:b/>
          <w:bCs/>
          <w:color w:val="auto"/>
          <w:sz w:val="36"/>
          <w:szCs w:val="36"/>
          <w:highlight w:val="none"/>
        </w:rPr>
        <w:t>报价文件目录</w:t>
      </w:r>
      <w:bookmarkEnd w:id="77"/>
      <w:bookmarkEnd w:id="78"/>
    </w:p>
    <w:p w14:paraId="5AEF28CB">
      <w:pPr>
        <w:pStyle w:val="20"/>
        <w:ind w:left="0" w:leftChars="0" w:firstLine="0" w:firstLineChars="0"/>
        <w:rPr>
          <w:color w:val="auto"/>
          <w:highlight w:val="none"/>
        </w:rPr>
      </w:pPr>
    </w:p>
    <w:p w14:paraId="1B7CC7D4">
      <w:pPr>
        <w:rPr>
          <w:rFonts w:asciiTheme="minorEastAsia" w:hAnsiTheme="minorEastAsia" w:eastAsiaTheme="minorEastAsia" w:cstheme="minorEastAsia"/>
          <w:color w:val="auto"/>
          <w:sz w:val="28"/>
          <w:szCs w:val="28"/>
          <w:highlight w:val="none"/>
        </w:rPr>
      </w:pPr>
    </w:p>
    <w:p w14:paraId="045836C1">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bookmarkStart w:id="79" w:name="_Toc29988_WPSOffice_Level1"/>
      <w:bookmarkStart w:id="80" w:name="_Toc6778_WPSOffice_Level1"/>
      <w:r>
        <w:rPr>
          <w:rFonts w:hint="eastAsia" w:asciiTheme="minorEastAsia" w:hAnsiTheme="minorEastAsia" w:eastAsiaTheme="minorEastAsia"/>
          <w:color w:val="auto"/>
          <w:kern w:val="0"/>
          <w:sz w:val="24"/>
          <w:highlight w:val="none"/>
        </w:rPr>
        <w:t>（1）开标一览表（附件</w:t>
      </w:r>
      <w:r>
        <w:rPr>
          <w:rFonts w:hint="eastAsia" w:asciiTheme="minorEastAsia" w:hAnsiTheme="minorEastAsia" w:eastAsiaTheme="minorEastAsia"/>
          <w:color w:val="auto"/>
          <w:kern w:val="0"/>
          <w:sz w:val="24"/>
          <w:highlight w:val="none"/>
          <w:lang w:val="en-US" w:eastAsia="zh-CN"/>
        </w:rPr>
        <w:t>14</w:t>
      </w:r>
      <w:r>
        <w:rPr>
          <w:rFonts w:hint="eastAsia" w:asciiTheme="minorEastAsia" w:hAnsiTheme="minorEastAsia" w:eastAsiaTheme="minorEastAsia"/>
          <w:color w:val="auto"/>
          <w:kern w:val="0"/>
          <w:sz w:val="24"/>
          <w:highlight w:val="none"/>
        </w:rPr>
        <w:t>）；</w:t>
      </w:r>
    </w:p>
    <w:p w14:paraId="430B8257">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lang w:val="en-US" w:eastAsia="zh-CN"/>
        </w:rPr>
        <w:t>2</w:t>
      </w:r>
      <w:r>
        <w:rPr>
          <w:rFonts w:hint="eastAsia" w:asciiTheme="minorEastAsia" w:hAnsiTheme="minorEastAsia" w:eastAsiaTheme="minorEastAsia"/>
          <w:color w:val="auto"/>
          <w:kern w:val="0"/>
          <w:sz w:val="24"/>
          <w:highlight w:val="none"/>
        </w:rPr>
        <w:t>）针对报价</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kern w:val="0"/>
          <w:sz w:val="24"/>
          <w:highlight w:val="none"/>
        </w:rPr>
        <w:t>认为其他需要说明的。</w:t>
      </w:r>
    </w:p>
    <w:bookmarkEnd w:id="79"/>
    <w:bookmarkEnd w:id="80"/>
    <w:p w14:paraId="3A52DEE3">
      <w:pPr>
        <w:spacing w:line="360" w:lineRule="auto"/>
        <w:rPr>
          <w:color w:val="auto"/>
          <w:sz w:val="24"/>
          <w:highlight w:val="none"/>
        </w:rPr>
      </w:pPr>
    </w:p>
    <w:p w14:paraId="17E4DA68">
      <w:pPr>
        <w:spacing w:line="360" w:lineRule="auto"/>
        <w:rPr>
          <w:rFonts w:ascii="宋体" w:hAnsi="宋体"/>
          <w:b/>
          <w:color w:val="auto"/>
          <w:sz w:val="24"/>
          <w:highlight w:val="none"/>
        </w:rPr>
      </w:pPr>
    </w:p>
    <w:p w14:paraId="2B8BF8A7">
      <w:pPr>
        <w:spacing w:line="360" w:lineRule="auto"/>
        <w:rPr>
          <w:rFonts w:ascii="宋体" w:hAnsi="宋体"/>
          <w:b/>
          <w:color w:val="auto"/>
          <w:sz w:val="28"/>
          <w:highlight w:val="none"/>
        </w:rPr>
      </w:pPr>
    </w:p>
    <w:p w14:paraId="7498973A">
      <w:pPr>
        <w:spacing w:line="360" w:lineRule="auto"/>
        <w:rPr>
          <w:rFonts w:ascii="宋体" w:hAnsi="宋体"/>
          <w:b/>
          <w:color w:val="auto"/>
          <w:sz w:val="28"/>
          <w:highlight w:val="none"/>
        </w:rPr>
      </w:pPr>
    </w:p>
    <w:p w14:paraId="1D4AC9D6">
      <w:pPr>
        <w:spacing w:line="360" w:lineRule="auto"/>
        <w:rPr>
          <w:rFonts w:ascii="宋体" w:hAnsi="宋体"/>
          <w:b/>
          <w:color w:val="auto"/>
          <w:sz w:val="28"/>
          <w:highlight w:val="none"/>
        </w:rPr>
      </w:pPr>
    </w:p>
    <w:p w14:paraId="5559284D">
      <w:pPr>
        <w:rPr>
          <w:rFonts w:ascii="宋体" w:hAnsi="宋体"/>
          <w:b/>
          <w:color w:val="auto"/>
          <w:sz w:val="28"/>
          <w:highlight w:val="none"/>
        </w:rPr>
      </w:pPr>
      <w:r>
        <w:rPr>
          <w:rFonts w:hint="eastAsia" w:ascii="宋体" w:hAnsi="宋体"/>
          <w:b/>
          <w:color w:val="auto"/>
          <w:sz w:val="28"/>
          <w:highlight w:val="none"/>
        </w:rPr>
        <w:br w:type="page"/>
      </w:r>
    </w:p>
    <w:p w14:paraId="1884903F">
      <w:pPr>
        <w:spacing w:line="360" w:lineRule="auto"/>
        <w:rPr>
          <w:rFonts w:hint="eastAsia" w:ascii="宋体" w:hAnsi="宋体" w:eastAsia="宋体"/>
          <w:b/>
          <w:color w:val="auto"/>
          <w:sz w:val="28"/>
          <w:highlight w:val="none"/>
          <w:lang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4</w:t>
      </w:r>
    </w:p>
    <w:p w14:paraId="20B7100C">
      <w:pPr>
        <w:spacing w:line="360" w:lineRule="auto"/>
        <w:ind w:left="-2" w:hanging="2"/>
        <w:jc w:val="center"/>
        <w:rPr>
          <w:rFonts w:ascii="宋体" w:hAnsi="宋体"/>
          <w:b/>
          <w:color w:val="auto"/>
          <w:sz w:val="32"/>
          <w:szCs w:val="32"/>
          <w:highlight w:val="none"/>
        </w:rPr>
      </w:pPr>
      <w:bookmarkStart w:id="81" w:name="_Toc30363_WPSOffice_Level1"/>
      <w:bookmarkStart w:id="82" w:name="_Toc16144_WPSOffice_Level1"/>
      <w:r>
        <w:rPr>
          <w:rFonts w:hint="eastAsia" w:ascii="宋体" w:hAnsi="宋体"/>
          <w:b/>
          <w:color w:val="auto"/>
          <w:sz w:val="32"/>
          <w:szCs w:val="32"/>
          <w:highlight w:val="none"/>
        </w:rPr>
        <w:t xml:space="preserve">开标一览表 </w:t>
      </w:r>
      <w:bookmarkEnd w:id="81"/>
      <w:bookmarkEnd w:id="82"/>
    </w:p>
    <w:p w14:paraId="6365C03A">
      <w:pPr>
        <w:spacing w:line="360" w:lineRule="auto"/>
        <w:ind w:left="-2" w:hanging="2"/>
        <w:jc w:val="center"/>
        <w:rPr>
          <w:rFonts w:ascii="宋体" w:hAnsi="宋体"/>
          <w:b/>
          <w:color w:val="auto"/>
          <w:sz w:val="32"/>
          <w:szCs w:val="32"/>
          <w:highlight w:val="none"/>
        </w:rPr>
      </w:pPr>
    </w:p>
    <w:p w14:paraId="0DA22F96">
      <w:pPr>
        <w:pStyle w:val="12"/>
        <w:spacing w:line="360" w:lineRule="auto"/>
        <w:ind w:firstLine="482" w:firstLineChars="200"/>
        <w:rPr>
          <w:rFonts w:hAnsi="宋体"/>
          <w:b/>
          <w:color w:val="auto"/>
          <w:sz w:val="24"/>
          <w:highlight w:val="none"/>
        </w:rPr>
      </w:pPr>
      <w:r>
        <w:rPr>
          <w:rFonts w:hAnsi="宋体"/>
          <w:b/>
          <w:color w:val="auto"/>
          <w:sz w:val="24"/>
          <w:highlight w:val="none"/>
        </w:rPr>
        <w:t>项目编号：</w:t>
      </w:r>
      <w:r>
        <w:rPr>
          <w:rFonts w:hint="eastAsia" w:hAnsi="宋体"/>
          <w:b/>
          <w:color w:val="auto"/>
          <w:sz w:val="24"/>
          <w:highlight w:val="none"/>
          <w:lang w:val="en-US" w:eastAsia="zh-CN"/>
        </w:rPr>
        <w:t>台财采确临[2025]4736号、4735号</w:t>
      </w:r>
    </w:p>
    <w:p w14:paraId="74B05A5A">
      <w:pPr>
        <w:pStyle w:val="39"/>
        <w:spacing w:line="360" w:lineRule="auto"/>
        <w:ind w:right="480" w:firstLine="482" w:firstLineChars="200"/>
        <w:jc w:val="left"/>
        <w:rPr>
          <w:rFonts w:hAnsi="宋体"/>
          <w:color w:val="auto"/>
          <w:sz w:val="24"/>
          <w:highlight w:val="none"/>
        </w:rPr>
      </w:pPr>
      <w:r>
        <w:rPr>
          <w:rFonts w:hAnsi="宋体"/>
          <w:b/>
          <w:color w:val="auto"/>
          <w:sz w:val="24"/>
          <w:highlight w:val="none"/>
        </w:rPr>
        <w:t>项目名称：</w:t>
      </w:r>
      <w:r>
        <w:rPr>
          <w:rFonts w:hint="eastAsia" w:hAnsi="宋体"/>
          <w:b/>
          <w:color w:val="auto"/>
          <w:sz w:val="24"/>
          <w:highlight w:val="none"/>
          <w:lang w:eastAsia="zh-CN"/>
        </w:rPr>
        <w:t>台州市低效用地再开发试点项目（</w:t>
      </w:r>
      <w:r>
        <w:rPr>
          <w:rFonts w:hint="eastAsia" w:hAnsi="宋体"/>
          <w:b/>
          <w:color w:val="auto"/>
          <w:sz w:val="24"/>
          <w:highlight w:val="none"/>
          <w:lang w:val="en-US" w:eastAsia="zh-CN"/>
        </w:rPr>
        <w:t>标项</w:t>
      </w:r>
      <w:r>
        <w:rPr>
          <w:rFonts w:hint="eastAsia" w:hAnsi="宋体"/>
          <w:b/>
          <w:color w:val="auto"/>
          <w:sz w:val="24"/>
          <w:highlight w:val="none"/>
          <w:u w:val="single"/>
          <w:lang w:val="en-US" w:eastAsia="zh-CN"/>
        </w:rPr>
        <w:t xml:space="preserve">   </w:t>
      </w:r>
      <w:r>
        <w:rPr>
          <w:rFonts w:hint="eastAsia" w:hAnsi="宋体"/>
          <w:b/>
          <w:color w:val="auto"/>
          <w:sz w:val="24"/>
          <w:highlight w:val="none"/>
          <w:lang w:eastAsia="zh-CN"/>
        </w:rPr>
        <w:t>）</w:t>
      </w:r>
      <w:r>
        <w:rPr>
          <w:rFonts w:hint="eastAsia" w:ascii="宋体" w:hAnsi="宋体"/>
          <w:color w:val="auto"/>
          <w:sz w:val="24"/>
          <w:highlight w:val="none"/>
        </w:rPr>
        <w:t>[货币单位：人民币元]</w:t>
      </w:r>
    </w:p>
    <w:tbl>
      <w:tblPr>
        <w:tblStyle w:val="21"/>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24F1772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312ECE92">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投标总报价</w:t>
            </w:r>
          </w:p>
        </w:tc>
        <w:tc>
          <w:tcPr>
            <w:tcW w:w="1349" w:type="dxa"/>
            <w:tcBorders>
              <w:top w:val="single" w:color="auto" w:sz="12" w:space="0"/>
              <w:left w:val="single" w:color="auto" w:sz="4" w:space="0"/>
              <w:bottom w:val="single" w:color="auto" w:sz="4" w:space="0"/>
              <w:right w:val="single" w:color="auto" w:sz="4" w:space="0"/>
            </w:tcBorders>
            <w:vAlign w:val="center"/>
          </w:tcPr>
          <w:p w14:paraId="585E112D">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6426FB3F">
            <w:pPr>
              <w:autoSpaceDE w:val="0"/>
              <w:autoSpaceDN w:val="0"/>
              <w:spacing w:line="450" w:lineRule="exact"/>
              <w:jc w:val="center"/>
              <w:textAlignment w:val="bottom"/>
              <w:rPr>
                <w:rFonts w:ascii="宋体" w:hAnsi="宋体"/>
                <w:color w:val="auto"/>
                <w:szCs w:val="21"/>
                <w:highlight w:val="none"/>
              </w:rPr>
            </w:pPr>
          </w:p>
        </w:tc>
      </w:tr>
      <w:tr w14:paraId="0CB1A59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3779E518">
            <w:pPr>
              <w:rPr>
                <w:rFonts w:ascii="宋体" w:hAnsi="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6C78068D">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0F5C76B8">
            <w:pPr>
              <w:autoSpaceDE w:val="0"/>
              <w:autoSpaceDN w:val="0"/>
              <w:spacing w:line="450" w:lineRule="exact"/>
              <w:jc w:val="center"/>
              <w:textAlignment w:val="bottom"/>
              <w:rPr>
                <w:rFonts w:ascii="宋体" w:hAnsi="宋体"/>
                <w:color w:val="auto"/>
                <w:szCs w:val="21"/>
                <w:highlight w:val="none"/>
              </w:rPr>
            </w:pPr>
          </w:p>
        </w:tc>
      </w:tr>
    </w:tbl>
    <w:p w14:paraId="50DA651D">
      <w:pPr>
        <w:spacing w:line="360" w:lineRule="auto"/>
        <w:ind w:firstLine="422" w:firstLineChars="200"/>
        <w:rPr>
          <w:rFonts w:ascii="宋体" w:hAnsi="宋体"/>
          <w:color w:val="auto"/>
          <w:sz w:val="24"/>
          <w:highlight w:val="none"/>
        </w:rPr>
      </w:pPr>
      <w:r>
        <w:rPr>
          <w:rFonts w:hint="eastAsia" w:ascii="宋体" w:hAnsi="宋体"/>
          <w:b/>
          <w:color w:val="auto"/>
          <w:szCs w:val="21"/>
          <w:highlight w:val="none"/>
        </w:rPr>
        <w:t>填报要求：</w:t>
      </w:r>
      <w:r>
        <w:rPr>
          <w:rFonts w:hint="eastAsia" w:ascii="宋体" w:hAnsi="宋体"/>
          <w:color w:val="auto"/>
          <w:szCs w:val="21"/>
          <w:highlight w:val="none"/>
        </w:rPr>
        <w:t>投标报价包括本项目采购需求和投入使用的所有费用，包括但不限于检查验收服务</w:t>
      </w:r>
      <w:r>
        <w:rPr>
          <w:rFonts w:hint="eastAsia" w:ascii="宋体" w:hAnsi="宋体"/>
          <w:color w:val="auto"/>
          <w:szCs w:val="21"/>
          <w:highlight w:val="none"/>
          <w:lang w:val="en-US" w:eastAsia="zh-CN"/>
        </w:rPr>
        <w:t>费</w:t>
      </w:r>
      <w:r>
        <w:rPr>
          <w:rFonts w:hint="eastAsia" w:ascii="宋体" w:hAnsi="宋体"/>
          <w:color w:val="auto"/>
          <w:szCs w:val="21"/>
          <w:highlight w:val="none"/>
        </w:rPr>
        <w:t>、劳务、</w:t>
      </w:r>
      <w:r>
        <w:rPr>
          <w:rFonts w:hint="eastAsia" w:ascii="宋体" w:hAnsi="宋体"/>
          <w:color w:val="auto"/>
          <w:szCs w:val="21"/>
          <w:highlight w:val="none"/>
          <w:lang w:val="en-US" w:eastAsia="zh-CN"/>
        </w:rPr>
        <w:t>交通住宿费、</w:t>
      </w:r>
      <w:r>
        <w:rPr>
          <w:rFonts w:hint="eastAsia" w:ascii="宋体" w:hAnsi="宋体"/>
          <w:color w:val="auto"/>
          <w:szCs w:val="21"/>
          <w:highlight w:val="none"/>
        </w:rPr>
        <w:t>管理、材料、安全文明、风险费、保险、利润、税金、工伤保险费、</w:t>
      </w:r>
      <w:r>
        <w:rPr>
          <w:rFonts w:hint="eastAsia" w:ascii="宋体" w:hAnsi="宋体"/>
          <w:color w:val="auto"/>
          <w:szCs w:val="21"/>
          <w:highlight w:val="none"/>
          <w:lang w:val="en-US" w:eastAsia="zh-CN"/>
        </w:rPr>
        <w:t>招标代理费、</w:t>
      </w:r>
      <w:r>
        <w:rPr>
          <w:rFonts w:hint="eastAsia" w:ascii="宋体" w:hAnsi="宋体"/>
          <w:color w:val="auto"/>
          <w:szCs w:val="21"/>
          <w:highlight w:val="none"/>
        </w:rPr>
        <w:t>政策性文件规定、及合同包含的所有风险、责任等所有费用。各</w:t>
      </w:r>
      <w:r>
        <w:rPr>
          <w:rFonts w:hint="eastAsia" w:ascii="宋体" w:hAnsi="宋体"/>
          <w:color w:val="auto"/>
          <w:szCs w:val="21"/>
          <w:highlight w:val="none"/>
          <w:lang w:eastAsia="zh-CN"/>
        </w:rPr>
        <w:t>供应商</w:t>
      </w:r>
      <w:r>
        <w:rPr>
          <w:rFonts w:hint="eastAsia" w:ascii="宋体" w:hAnsi="宋体"/>
          <w:color w:val="auto"/>
          <w:szCs w:val="21"/>
          <w:highlight w:val="none"/>
        </w:rPr>
        <w:t>应根据招标人提供的招标需求，以及本项目实际情况和自身的综合实力，竞报投标报价。总报价以人民币元计。</w:t>
      </w:r>
      <w:r>
        <w:rPr>
          <w:rFonts w:hint="eastAsia" w:ascii="宋体" w:hAnsi="宋体"/>
          <w:color w:val="auto"/>
          <w:szCs w:val="21"/>
          <w:highlight w:val="none"/>
          <w:lang w:eastAsia="zh-CN"/>
        </w:rPr>
        <w:t>供应商</w:t>
      </w:r>
      <w:r>
        <w:rPr>
          <w:rFonts w:hint="eastAsia" w:ascii="宋体" w:hAnsi="宋体"/>
          <w:color w:val="auto"/>
          <w:szCs w:val="21"/>
          <w:highlight w:val="none"/>
        </w:rPr>
        <w:t>在投标报价时综合考虑，以后不作任何调整。</w:t>
      </w:r>
    </w:p>
    <w:p w14:paraId="42E781BB">
      <w:pPr>
        <w:pStyle w:val="20"/>
        <w:ind w:left="0" w:leftChars="0" w:firstLine="0"/>
        <w:rPr>
          <w:rFonts w:ascii="宋体" w:hAnsi="宋体"/>
          <w:color w:val="auto"/>
          <w:sz w:val="24"/>
          <w:highlight w:val="none"/>
        </w:rPr>
      </w:pPr>
    </w:p>
    <w:p w14:paraId="2B0D6E93">
      <w:pPr>
        <w:pStyle w:val="20"/>
        <w:ind w:left="0" w:leftChars="0" w:firstLine="0"/>
        <w:rPr>
          <w:rFonts w:ascii="宋体" w:hAnsi="宋体"/>
          <w:color w:val="auto"/>
          <w:sz w:val="24"/>
          <w:highlight w:val="none"/>
        </w:rPr>
      </w:pPr>
    </w:p>
    <w:p w14:paraId="29140C31">
      <w:pPr>
        <w:spacing w:line="360" w:lineRule="auto"/>
        <w:ind w:left="420"/>
        <w:rPr>
          <w:rFonts w:ascii="宋体" w:hAnsi="宋体"/>
          <w:color w:val="auto"/>
          <w:sz w:val="24"/>
          <w:highlight w:val="none"/>
          <w:u w:val="single"/>
        </w:rPr>
      </w:pPr>
      <w:r>
        <w:rPr>
          <w:rFonts w:hint="eastAsia" w:asciiTheme="minorEastAsia" w:hAnsiTheme="minorEastAsia" w:eastAsiaTheme="minorEastAsia"/>
          <w:color w:val="auto"/>
          <w:sz w:val="24"/>
          <w:highlight w:val="none"/>
          <w:lang w:eastAsia="zh-CN"/>
        </w:rPr>
        <w:t>供应商</w:t>
      </w:r>
      <w:r>
        <w:rPr>
          <w:rFonts w:hint="eastAsia" w:ascii="宋体" w:hAnsi="宋体"/>
          <w:color w:val="auto"/>
          <w:sz w:val="24"/>
          <w:highlight w:val="none"/>
        </w:rPr>
        <w:t>名称（</w:t>
      </w:r>
      <w:r>
        <w:rPr>
          <w:rFonts w:hint="eastAsia" w:ascii="宋体" w:hAnsi="宋体"/>
          <w:color w:val="auto"/>
          <w:sz w:val="24"/>
          <w:highlight w:val="none"/>
        </w:rPr>
        <w:t>公章/电子章</w:t>
      </w:r>
      <w:r>
        <w:rPr>
          <w:rFonts w:hint="eastAsia" w:ascii="宋体" w:hAnsi="宋体"/>
          <w:color w:val="auto"/>
          <w:sz w:val="24"/>
          <w:highlight w:val="none"/>
        </w:rPr>
        <w:t>）：</w:t>
      </w:r>
    </w:p>
    <w:p w14:paraId="6408A3F4">
      <w:pPr>
        <w:spacing w:line="360" w:lineRule="auto"/>
        <w:ind w:left="420"/>
        <w:rPr>
          <w:rFonts w:ascii="宋体" w:hAnsi="宋体"/>
          <w:color w:val="auto"/>
          <w:sz w:val="24"/>
          <w:highlight w:val="none"/>
        </w:rPr>
      </w:pPr>
    </w:p>
    <w:p w14:paraId="4CBA8CFF">
      <w:pPr>
        <w:spacing w:line="360" w:lineRule="auto"/>
        <w:ind w:firstLine="435"/>
        <w:rPr>
          <w:rFonts w:ascii="宋体" w:hAnsi="宋体"/>
          <w:color w:val="auto"/>
          <w:sz w:val="24"/>
          <w:highlight w:val="none"/>
        </w:rPr>
      </w:pPr>
      <w:r>
        <w:rPr>
          <w:rFonts w:hint="eastAsia" w:ascii="宋体" w:hAnsi="宋体"/>
          <w:color w:val="auto"/>
          <w:sz w:val="24"/>
          <w:highlight w:val="none"/>
          <w:lang w:val="zh-CN"/>
        </w:rPr>
        <w:t>法定代表人或授权委托人签字</w:t>
      </w:r>
      <w:r>
        <w:rPr>
          <w:rFonts w:hint="eastAsia" w:ascii="宋体" w:hAnsi="宋体"/>
          <w:color w:val="auto"/>
          <w:sz w:val="24"/>
          <w:highlight w:val="none"/>
        </w:rPr>
        <w:t>：</w:t>
      </w:r>
    </w:p>
    <w:p w14:paraId="04CC9256">
      <w:pPr>
        <w:spacing w:line="360" w:lineRule="auto"/>
        <w:ind w:firstLine="435"/>
        <w:rPr>
          <w:rFonts w:ascii="宋体" w:hAnsi="宋体"/>
          <w:color w:val="auto"/>
          <w:sz w:val="24"/>
          <w:highlight w:val="none"/>
        </w:rPr>
      </w:pPr>
    </w:p>
    <w:p w14:paraId="47786744">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0A5B1127">
      <w:pPr>
        <w:spacing w:line="360" w:lineRule="auto"/>
        <w:rPr>
          <w:rFonts w:ascii="宋体" w:hAnsi="宋体"/>
          <w:color w:val="auto"/>
          <w:sz w:val="24"/>
          <w:highlight w:val="none"/>
        </w:rPr>
      </w:pPr>
    </w:p>
    <w:p w14:paraId="0B41FF9C">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79D97CB6">
      <w:pPr>
        <w:spacing w:line="360" w:lineRule="auto"/>
        <w:rPr>
          <w:rFonts w:ascii="宋体" w:hAnsi="宋体"/>
          <w:b/>
          <w:color w:val="auto"/>
          <w:sz w:val="28"/>
          <w:highlight w:val="none"/>
        </w:rPr>
      </w:pPr>
    </w:p>
    <w:p w14:paraId="11347832">
      <w:pPr>
        <w:spacing w:line="360" w:lineRule="auto"/>
        <w:rPr>
          <w:rFonts w:ascii="宋体" w:hAnsi="宋体"/>
          <w:b/>
          <w:color w:val="auto"/>
          <w:sz w:val="28"/>
          <w:highlight w:val="none"/>
        </w:rPr>
      </w:pPr>
    </w:p>
    <w:p w14:paraId="2650F2F5">
      <w:pPr>
        <w:spacing w:line="360" w:lineRule="auto"/>
        <w:rPr>
          <w:rFonts w:ascii="宋体" w:hAnsi="宋体"/>
          <w:b/>
          <w:color w:val="auto"/>
          <w:sz w:val="28"/>
          <w:highlight w:val="none"/>
        </w:rPr>
      </w:pPr>
    </w:p>
    <w:p w14:paraId="57B44CE5">
      <w:pPr>
        <w:spacing w:line="360" w:lineRule="auto"/>
        <w:rPr>
          <w:color w:val="auto"/>
          <w:highlight w:val="none"/>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Regular">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03804">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C9ACA">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1B7B45">
                          <w:pPr>
                            <w:pStyle w:val="1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01B7B45">
                    <w:pPr>
                      <w:pStyle w:val="1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CEBE6">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0334C1D">
                          <w:pPr>
                            <w:pStyle w:val="15"/>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20334C1D">
                    <w:pPr>
                      <w:pStyle w:val="15"/>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C32B6">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017557">
                          <w:pPr>
                            <w:pStyle w:val="15"/>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30017557">
                    <w:pPr>
                      <w:pStyle w:val="15"/>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A2D24">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0A390">
    <w:pPr>
      <w:pStyle w:val="16"/>
    </w:pPr>
    <w:r>
      <w:rPr>
        <w:rFonts w:hint="eastAsia" w:ascii="仿宋_GB2312" w:eastAsia="仿宋_GB2312"/>
        <w:sz w:val="24"/>
      </w:rPr>
      <w:t>丽水市政府采购中心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68154">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48CB86"/>
    <w:multiLevelType w:val="singleLevel"/>
    <w:tmpl w:val="DF48CB86"/>
    <w:lvl w:ilvl="0" w:tentative="0">
      <w:start w:val="1"/>
      <w:numFmt w:val="chineseCounting"/>
      <w:suff w:val="nothing"/>
      <w:lvlText w:val="（%1）"/>
      <w:lvlJc w:val="left"/>
      <w:rPr>
        <w:rFonts w:hint="eastAsia"/>
      </w:rPr>
    </w:lvl>
  </w:abstractNum>
  <w:abstractNum w:abstractNumId="1">
    <w:nsid w:val="E6B5D36C"/>
    <w:multiLevelType w:val="singleLevel"/>
    <w:tmpl w:val="E6B5D36C"/>
    <w:lvl w:ilvl="0" w:tentative="0">
      <w:start w:val="1"/>
      <w:numFmt w:val="chineseCounting"/>
      <w:suff w:val="nothing"/>
      <w:lvlText w:val="%1、"/>
      <w:lvlJc w:val="left"/>
      <w:rPr>
        <w:rFonts w:hint="eastAsia"/>
      </w:rPr>
    </w:lvl>
  </w:abstractNum>
  <w:abstractNum w:abstractNumId="2">
    <w:nsid w:val="0ED2C79B"/>
    <w:multiLevelType w:val="singleLevel"/>
    <w:tmpl w:val="0ED2C79B"/>
    <w:lvl w:ilvl="0" w:tentative="0">
      <w:start w:val="1"/>
      <w:numFmt w:val="decimal"/>
      <w:pStyle w:val="8"/>
      <w:lvlText w:val="%1."/>
      <w:lvlJc w:val="left"/>
      <w:pPr>
        <w:tabs>
          <w:tab w:val="left" w:pos="360"/>
        </w:tabs>
        <w:ind w:left="360" w:hanging="360"/>
      </w:pPr>
    </w:lvl>
  </w:abstractNum>
  <w:abstractNum w:abstractNumId="3">
    <w:nsid w:val="3CEB21C5"/>
    <w:multiLevelType w:val="singleLevel"/>
    <w:tmpl w:val="3CEB21C5"/>
    <w:lvl w:ilvl="0" w:tentative="0">
      <w:start w:val="1"/>
      <w:numFmt w:val="decimal"/>
      <w:lvlText w:val="%1."/>
      <w:lvlJc w:val="left"/>
      <w:pPr>
        <w:tabs>
          <w:tab w:val="left" w:pos="312"/>
        </w:tabs>
      </w:pPr>
    </w:lvl>
  </w:abstractNum>
  <w:abstractNum w:abstractNumId="4">
    <w:nsid w:val="3F6B3A8C"/>
    <w:multiLevelType w:val="multilevel"/>
    <w:tmpl w:val="3F6B3A8C"/>
    <w:lvl w:ilvl="0" w:tentative="0">
      <w:start w:val="1"/>
      <w:numFmt w:val="japaneseCounting"/>
      <w:lvlText w:val="%1、"/>
      <w:lvlJc w:val="left"/>
      <w:pPr>
        <w:ind w:left="510" w:hanging="510"/>
      </w:pPr>
      <w:rPr>
        <w:rFonts w:hint="default"/>
        <w:color w:val="0D0D0D"/>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61E5E94"/>
    <w:multiLevelType w:val="singleLevel"/>
    <w:tmpl w:val="461E5E94"/>
    <w:lvl w:ilvl="0" w:tentative="0">
      <w:start w:val="2"/>
      <w:numFmt w:val="chineseCounting"/>
      <w:suff w:val="space"/>
      <w:lvlText w:val="第%1章"/>
      <w:lvlJc w:val="left"/>
      <w:rPr>
        <w:rFonts w:hint="eastAsia"/>
      </w:rPr>
    </w:lvl>
  </w:abstractNum>
  <w:abstractNum w:abstractNumId="6">
    <w:nsid w:val="53F985B4"/>
    <w:multiLevelType w:val="singleLevel"/>
    <w:tmpl w:val="53F985B4"/>
    <w:lvl w:ilvl="0" w:tentative="0">
      <w:start w:val="1"/>
      <w:numFmt w:val="decimal"/>
      <w:lvlText w:val="%1."/>
      <w:lvlJc w:val="left"/>
      <w:pPr>
        <w:tabs>
          <w:tab w:val="left" w:pos="312"/>
        </w:tabs>
      </w:pPr>
    </w:lvl>
  </w:abstractNum>
  <w:abstractNum w:abstractNumId="7">
    <w:nsid w:val="5BE338C7"/>
    <w:multiLevelType w:val="singleLevel"/>
    <w:tmpl w:val="5BE338C7"/>
    <w:lvl w:ilvl="0" w:tentative="0">
      <w:start w:val="1"/>
      <w:numFmt w:val="decimal"/>
      <w:lvlText w:val="%1."/>
      <w:lvlJc w:val="left"/>
      <w:pPr>
        <w:ind w:left="425" w:hanging="425"/>
      </w:pPr>
      <w:rPr>
        <w:rFonts w:hint="default"/>
      </w:rPr>
    </w:lvl>
  </w:abstractNum>
  <w:abstractNum w:abstractNumId="8">
    <w:nsid w:val="636567A2"/>
    <w:multiLevelType w:val="multilevel"/>
    <w:tmpl w:val="636567A2"/>
    <w:lvl w:ilvl="0" w:tentative="0">
      <w:start w:val="1"/>
      <w:numFmt w:val="decimal"/>
      <w:pStyle w:val="4"/>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9">
    <w:nsid w:val="66DDD653"/>
    <w:multiLevelType w:val="singleLevel"/>
    <w:tmpl w:val="66DDD653"/>
    <w:lvl w:ilvl="0" w:tentative="0">
      <w:start w:val="1"/>
      <w:numFmt w:val="chineseCounting"/>
      <w:suff w:val="space"/>
      <w:lvlText w:val="第%1章"/>
      <w:lvlJc w:val="left"/>
      <w:rPr>
        <w:rFonts w:hint="eastAsia"/>
      </w:rPr>
    </w:lvl>
  </w:abstractNum>
  <w:abstractNum w:abstractNumId="10">
    <w:nsid w:val="677FE7A5"/>
    <w:multiLevelType w:val="singleLevel"/>
    <w:tmpl w:val="677FE7A5"/>
    <w:lvl w:ilvl="0" w:tentative="0">
      <w:start w:val="1"/>
      <w:numFmt w:val="decimal"/>
      <w:suff w:val="nothing"/>
      <w:lvlText w:val="（%1）"/>
      <w:lvlJc w:val="left"/>
    </w:lvl>
  </w:abstractNum>
  <w:abstractNum w:abstractNumId="11">
    <w:nsid w:val="678CFB24"/>
    <w:multiLevelType w:val="singleLevel"/>
    <w:tmpl w:val="678CFB24"/>
    <w:lvl w:ilvl="0" w:tentative="0">
      <w:start w:val="1"/>
      <w:numFmt w:val="chineseCounting"/>
      <w:suff w:val="nothing"/>
      <w:lvlText w:val="%1、"/>
      <w:lvlJc w:val="left"/>
      <w:rPr>
        <w:rFonts w:hint="eastAsia"/>
      </w:rPr>
    </w:lvl>
  </w:abstractNum>
  <w:num w:numId="1">
    <w:abstractNumId w:val="8"/>
  </w:num>
  <w:num w:numId="2">
    <w:abstractNumId w:val="2"/>
  </w:num>
  <w:num w:numId="3">
    <w:abstractNumId w:val="9"/>
  </w:num>
  <w:num w:numId="4">
    <w:abstractNumId w:val="5"/>
  </w:num>
  <w:num w:numId="5">
    <w:abstractNumId w:val="11"/>
  </w:num>
  <w:num w:numId="6">
    <w:abstractNumId w:val="0"/>
  </w:num>
  <w:num w:numId="7">
    <w:abstractNumId w:val="3"/>
  </w:num>
  <w:num w:numId="8">
    <w:abstractNumId w:val="10"/>
  </w:num>
  <w:num w:numId="9">
    <w:abstractNumId w:val="4"/>
  </w:num>
  <w:num w:numId="10">
    <w:abstractNumId w:val="7"/>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1MTg5OGFmOTZiYzg0NzI4NzIzNmNjMzkxOTQ3NjAifQ=="/>
  </w:docVars>
  <w:rsids>
    <w:rsidRoot w:val="685F2B0C"/>
    <w:rsid w:val="00030D77"/>
    <w:rsid w:val="00063432"/>
    <w:rsid w:val="00071BA1"/>
    <w:rsid w:val="000A2B60"/>
    <w:rsid w:val="001146EF"/>
    <w:rsid w:val="00165EE9"/>
    <w:rsid w:val="00186236"/>
    <w:rsid w:val="00291503"/>
    <w:rsid w:val="002A3D6E"/>
    <w:rsid w:val="00315916"/>
    <w:rsid w:val="0049548B"/>
    <w:rsid w:val="004D1BD8"/>
    <w:rsid w:val="005D0DD1"/>
    <w:rsid w:val="00667357"/>
    <w:rsid w:val="006D5C96"/>
    <w:rsid w:val="00736F7D"/>
    <w:rsid w:val="007477AD"/>
    <w:rsid w:val="008248FA"/>
    <w:rsid w:val="0084456F"/>
    <w:rsid w:val="00905DA1"/>
    <w:rsid w:val="00987EDA"/>
    <w:rsid w:val="009D46C4"/>
    <w:rsid w:val="009D6A9E"/>
    <w:rsid w:val="00A5256C"/>
    <w:rsid w:val="00A85AC9"/>
    <w:rsid w:val="00A921FD"/>
    <w:rsid w:val="00AA503A"/>
    <w:rsid w:val="00AB072A"/>
    <w:rsid w:val="00AB49B7"/>
    <w:rsid w:val="00B34B47"/>
    <w:rsid w:val="00C061A0"/>
    <w:rsid w:val="00C50B60"/>
    <w:rsid w:val="00C52A0D"/>
    <w:rsid w:val="00CA2C6C"/>
    <w:rsid w:val="00D0009A"/>
    <w:rsid w:val="00D14AD5"/>
    <w:rsid w:val="00D325EC"/>
    <w:rsid w:val="00D40771"/>
    <w:rsid w:val="00D81728"/>
    <w:rsid w:val="00DB1553"/>
    <w:rsid w:val="00E42018"/>
    <w:rsid w:val="00FC1E7F"/>
    <w:rsid w:val="00FC5C25"/>
    <w:rsid w:val="00FF7A94"/>
    <w:rsid w:val="010742D5"/>
    <w:rsid w:val="010F7B98"/>
    <w:rsid w:val="01270A4D"/>
    <w:rsid w:val="017D5390"/>
    <w:rsid w:val="017E2A82"/>
    <w:rsid w:val="01851778"/>
    <w:rsid w:val="01A729ED"/>
    <w:rsid w:val="01AE11E6"/>
    <w:rsid w:val="01B729F0"/>
    <w:rsid w:val="01E96BCD"/>
    <w:rsid w:val="01F53A09"/>
    <w:rsid w:val="02222883"/>
    <w:rsid w:val="02A01370"/>
    <w:rsid w:val="02C62BA9"/>
    <w:rsid w:val="030A7540"/>
    <w:rsid w:val="034C79A8"/>
    <w:rsid w:val="035E327D"/>
    <w:rsid w:val="03624C71"/>
    <w:rsid w:val="037171B2"/>
    <w:rsid w:val="03723D7D"/>
    <w:rsid w:val="03A55E37"/>
    <w:rsid w:val="03B82066"/>
    <w:rsid w:val="03F63D80"/>
    <w:rsid w:val="04071573"/>
    <w:rsid w:val="04357EE7"/>
    <w:rsid w:val="043E0AAC"/>
    <w:rsid w:val="044F2C90"/>
    <w:rsid w:val="04604D98"/>
    <w:rsid w:val="046B3792"/>
    <w:rsid w:val="04762FE4"/>
    <w:rsid w:val="048361AE"/>
    <w:rsid w:val="048962DE"/>
    <w:rsid w:val="04C403D8"/>
    <w:rsid w:val="04CF18B3"/>
    <w:rsid w:val="04DA625A"/>
    <w:rsid w:val="04EF476C"/>
    <w:rsid w:val="0528054A"/>
    <w:rsid w:val="05287815"/>
    <w:rsid w:val="052D2D41"/>
    <w:rsid w:val="0538232A"/>
    <w:rsid w:val="0552233D"/>
    <w:rsid w:val="05782C43"/>
    <w:rsid w:val="05903056"/>
    <w:rsid w:val="05B01B1D"/>
    <w:rsid w:val="05E17C80"/>
    <w:rsid w:val="05E55725"/>
    <w:rsid w:val="05E5760D"/>
    <w:rsid w:val="06066F04"/>
    <w:rsid w:val="06134407"/>
    <w:rsid w:val="0639353C"/>
    <w:rsid w:val="06474E34"/>
    <w:rsid w:val="06484055"/>
    <w:rsid w:val="065949DD"/>
    <w:rsid w:val="06653EC4"/>
    <w:rsid w:val="0699402C"/>
    <w:rsid w:val="069C64C8"/>
    <w:rsid w:val="06A0112C"/>
    <w:rsid w:val="06A81BEC"/>
    <w:rsid w:val="06DC60DB"/>
    <w:rsid w:val="06F44F8B"/>
    <w:rsid w:val="06F84851"/>
    <w:rsid w:val="06FB0045"/>
    <w:rsid w:val="077B362D"/>
    <w:rsid w:val="0793478A"/>
    <w:rsid w:val="079A6E72"/>
    <w:rsid w:val="079F3EE7"/>
    <w:rsid w:val="07AA1AB7"/>
    <w:rsid w:val="07DF5164"/>
    <w:rsid w:val="07E50580"/>
    <w:rsid w:val="07EE133F"/>
    <w:rsid w:val="08065B86"/>
    <w:rsid w:val="08274ACF"/>
    <w:rsid w:val="08310251"/>
    <w:rsid w:val="084703F0"/>
    <w:rsid w:val="086230FE"/>
    <w:rsid w:val="08696EDC"/>
    <w:rsid w:val="08705B4A"/>
    <w:rsid w:val="087A7753"/>
    <w:rsid w:val="08814CE3"/>
    <w:rsid w:val="08884C10"/>
    <w:rsid w:val="08986544"/>
    <w:rsid w:val="08BB6846"/>
    <w:rsid w:val="08D55A74"/>
    <w:rsid w:val="08DC3175"/>
    <w:rsid w:val="08E052CE"/>
    <w:rsid w:val="08FD3C48"/>
    <w:rsid w:val="08FF6B9F"/>
    <w:rsid w:val="09161D47"/>
    <w:rsid w:val="09273A00"/>
    <w:rsid w:val="093D3ABC"/>
    <w:rsid w:val="09CE19BC"/>
    <w:rsid w:val="09E70A54"/>
    <w:rsid w:val="09E84CCD"/>
    <w:rsid w:val="0A051115"/>
    <w:rsid w:val="0A2A1DE6"/>
    <w:rsid w:val="0A3A5C5D"/>
    <w:rsid w:val="0A8528D5"/>
    <w:rsid w:val="0A8A0A3A"/>
    <w:rsid w:val="0AB52BD8"/>
    <w:rsid w:val="0AD56F1F"/>
    <w:rsid w:val="0AEA3C8C"/>
    <w:rsid w:val="0B1E0CF0"/>
    <w:rsid w:val="0B1E2894"/>
    <w:rsid w:val="0B3A637F"/>
    <w:rsid w:val="0BCE1370"/>
    <w:rsid w:val="0BCF240A"/>
    <w:rsid w:val="0BD84E5C"/>
    <w:rsid w:val="0BE34CD8"/>
    <w:rsid w:val="0BE83010"/>
    <w:rsid w:val="0BF47D4E"/>
    <w:rsid w:val="0BF86799"/>
    <w:rsid w:val="0C377F1F"/>
    <w:rsid w:val="0C516743"/>
    <w:rsid w:val="0C5D1BDB"/>
    <w:rsid w:val="0C7E2237"/>
    <w:rsid w:val="0CA34118"/>
    <w:rsid w:val="0CA758F8"/>
    <w:rsid w:val="0CCD457A"/>
    <w:rsid w:val="0CDD2D53"/>
    <w:rsid w:val="0CED2959"/>
    <w:rsid w:val="0CEF3BF8"/>
    <w:rsid w:val="0D000761"/>
    <w:rsid w:val="0D3F7F2E"/>
    <w:rsid w:val="0D6344EC"/>
    <w:rsid w:val="0D705EC6"/>
    <w:rsid w:val="0D7446FA"/>
    <w:rsid w:val="0D870C14"/>
    <w:rsid w:val="0DB14507"/>
    <w:rsid w:val="0DB757B9"/>
    <w:rsid w:val="0DC14C7C"/>
    <w:rsid w:val="0DE545F3"/>
    <w:rsid w:val="0DE7555E"/>
    <w:rsid w:val="0E0316BF"/>
    <w:rsid w:val="0E072513"/>
    <w:rsid w:val="0E777972"/>
    <w:rsid w:val="0F0D0D2C"/>
    <w:rsid w:val="0F385060"/>
    <w:rsid w:val="0F58781F"/>
    <w:rsid w:val="0F5D7625"/>
    <w:rsid w:val="0F6147A2"/>
    <w:rsid w:val="0F86061B"/>
    <w:rsid w:val="0FAF454A"/>
    <w:rsid w:val="0FC27645"/>
    <w:rsid w:val="0FD4645C"/>
    <w:rsid w:val="1007199F"/>
    <w:rsid w:val="101A3630"/>
    <w:rsid w:val="102C199B"/>
    <w:rsid w:val="105576A8"/>
    <w:rsid w:val="10BE1B05"/>
    <w:rsid w:val="10C64B9C"/>
    <w:rsid w:val="10CB7C05"/>
    <w:rsid w:val="10CF3933"/>
    <w:rsid w:val="10FD1FE7"/>
    <w:rsid w:val="11250FB2"/>
    <w:rsid w:val="11344EBE"/>
    <w:rsid w:val="115B5C4F"/>
    <w:rsid w:val="117C20D6"/>
    <w:rsid w:val="118A244C"/>
    <w:rsid w:val="11A2124C"/>
    <w:rsid w:val="11C20C82"/>
    <w:rsid w:val="11C8536C"/>
    <w:rsid w:val="11D0460B"/>
    <w:rsid w:val="11DE5C79"/>
    <w:rsid w:val="12101447"/>
    <w:rsid w:val="12215961"/>
    <w:rsid w:val="123A1261"/>
    <w:rsid w:val="125F1817"/>
    <w:rsid w:val="128D04EC"/>
    <w:rsid w:val="12AA2320"/>
    <w:rsid w:val="12DB53B1"/>
    <w:rsid w:val="12E81B94"/>
    <w:rsid w:val="13257C63"/>
    <w:rsid w:val="133707C2"/>
    <w:rsid w:val="13441C72"/>
    <w:rsid w:val="134C77A5"/>
    <w:rsid w:val="13731B39"/>
    <w:rsid w:val="13732205"/>
    <w:rsid w:val="137F0CE3"/>
    <w:rsid w:val="13C30E6E"/>
    <w:rsid w:val="141B13D5"/>
    <w:rsid w:val="141C741E"/>
    <w:rsid w:val="14234B06"/>
    <w:rsid w:val="14340091"/>
    <w:rsid w:val="145558C5"/>
    <w:rsid w:val="149D3DC9"/>
    <w:rsid w:val="149E1778"/>
    <w:rsid w:val="14AD4839"/>
    <w:rsid w:val="14C33176"/>
    <w:rsid w:val="14E27541"/>
    <w:rsid w:val="14EA3450"/>
    <w:rsid w:val="14F767B6"/>
    <w:rsid w:val="14F905C9"/>
    <w:rsid w:val="15287486"/>
    <w:rsid w:val="15840A84"/>
    <w:rsid w:val="15AF033B"/>
    <w:rsid w:val="15C012BB"/>
    <w:rsid w:val="16031113"/>
    <w:rsid w:val="160C1329"/>
    <w:rsid w:val="16332D75"/>
    <w:rsid w:val="16502A53"/>
    <w:rsid w:val="16725D01"/>
    <w:rsid w:val="16777B9F"/>
    <w:rsid w:val="168F227C"/>
    <w:rsid w:val="169A575C"/>
    <w:rsid w:val="16AD5C51"/>
    <w:rsid w:val="16C11894"/>
    <w:rsid w:val="16C377D3"/>
    <w:rsid w:val="171F0861"/>
    <w:rsid w:val="1731374B"/>
    <w:rsid w:val="173B1F0E"/>
    <w:rsid w:val="173D243C"/>
    <w:rsid w:val="17534ECF"/>
    <w:rsid w:val="17DC7BF0"/>
    <w:rsid w:val="180053F0"/>
    <w:rsid w:val="181011F1"/>
    <w:rsid w:val="185F5F75"/>
    <w:rsid w:val="188227EF"/>
    <w:rsid w:val="189220EE"/>
    <w:rsid w:val="189E4B47"/>
    <w:rsid w:val="18E36CFC"/>
    <w:rsid w:val="19000C71"/>
    <w:rsid w:val="192A06DB"/>
    <w:rsid w:val="193028F8"/>
    <w:rsid w:val="19800DAF"/>
    <w:rsid w:val="198218DD"/>
    <w:rsid w:val="198D1B84"/>
    <w:rsid w:val="198E4D52"/>
    <w:rsid w:val="19923F06"/>
    <w:rsid w:val="19AF2729"/>
    <w:rsid w:val="19E51688"/>
    <w:rsid w:val="19EE2A8B"/>
    <w:rsid w:val="19EE41FA"/>
    <w:rsid w:val="1A1830B1"/>
    <w:rsid w:val="1A2F4589"/>
    <w:rsid w:val="1A4C1D4A"/>
    <w:rsid w:val="1A587B66"/>
    <w:rsid w:val="1A5918C9"/>
    <w:rsid w:val="1A5A6066"/>
    <w:rsid w:val="1A5B78E2"/>
    <w:rsid w:val="1A647FAE"/>
    <w:rsid w:val="1A777345"/>
    <w:rsid w:val="1A813E1F"/>
    <w:rsid w:val="1A8357FC"/>
    <w:rsid w:val="1A9F2503"/>
    <w:rsid w:val="1AA3486A"/>
    <w:rsid w:val="1ACE692C"/>
    <w:rsid w:val="1AE33064"/>
    <w:rsid w:val="1AF357C2"/>
    <w:rsid w:val="1B0012DA"/>
    <w:rsid w:val="1B3B15AA"/>
    <w:rsid w:val="1B6A3FBF"/>
    <w:rsid w:val="1B8C6B7B"/>
    <w:rsid w:val="1B9E29B4"/>
    <w:rsid w:val="1BBF65FB"/>
    <w:rsid w:val="1BC2281C"/>
    <w:rsid w:val="1BF657FB"/>
    <w:rsid w:val="1C374515"/>
    <w:rsid w:val="1C4235A6"/>
    <w:rsid w:val="1C4F222F"/>
    <w:rsid w:val="1CA4277D"/>
    <w:rsid w:val="1CA86A15"/>
    <w:rsid w:val="1CBB4247"/>
    <w:rsid w:val="1CFA7EEF"/>
    <w:rsid w:val="1CFB1146"/>
    <w:rsid w:val="1D1338EC"/>
    <w:rsid w:val="1D37062D"/>
    <w:rsid w:val="1D3B199E"/>
    <w:rsid w:val="1D5B6D2E"/>
    <w:rsid w:val="1DC84F72"/>
    <w:rsid w:val="1DEC270F"/>
    <w:rsid w:val="1DF10281"/>
    <w:rsid w:val="1E0672A1"/>
    <w:rsid w:val="1E0D3D46"/>
    <w:rsid w:val="1E3129D6"/>
    <w:rsid w:val="1E331E3B"/>
    <w:rsid w:val="1E370C0B"/>
    <w:rsid w:val="1E4E212D"/>
    <w:rsid w:val="1E561B49"/>
    <w:rsid w:val="1E5A2895"/>
    <w:rsid w:val="1E5B5B74"/>
    <w:rsid w:val="1E847B39"/>
    <w:rsid w:val="1E860C88"/>
    <w:rsid w:val="1EAD27E8"/>
    <w:rsid w:val="1EBC3110"/>
    <w:rsid w:val="1ED462A6"/>
    <w:rsid w:val="1ED734FA"/>
    <w:rsid w:val="1EDB21B2"/>
    <w:rsid w:val="1EE21D29"/>
    <w:rsid w:val="1EE72005"/>
    <w:rsid w:val="1F2F246F"/>
    <w:rsid w:val="1F3E1D5D"/>
    <w:rsid w:val="1F6E3177"/>
    <w:rsid w:val="1F6F04BA"/>
    <w:rsid w:val="1F8129BD"/>
    <w:rsid w:val="20027E74"/>
    <w:rsid w:val="2024650C"/>
    <w:rsid w:val="204663FA"/>
    <w:rsid w:val="20624FA2"/>
    <w:rsid w:val="206A1137"/>
    <w:rsid w:val="20835E3C"/>
    <w:rsid w:val="20AA1825"/>
    <w:rsid w:val="20BB1EB1"/>
    <w:rsid w:val="21144C23"/>
    <w:rsid w:val="212A75E7"/>
    <w:rsid w:val="214E67BA"/>
    <w:rsid w:val="21593740"/>
    <w:rsid w:val="215C6880"/>
    <w:rsid w:val="2163612C"/>
    <w:rsid w:val="217039C6"/>
    <w:rsid w:val="21754AF5"/>
    <w:rsid w:val="217E7700"/>
    <w:rsid w:val="218158E0"/>
    <w:rsid w:val="218F0080"/>
    <w:rsid w:val="21BA53F5"/>
    <w:rsid w:val="21E169EA"/>
    <w:rsid w:val="220B781D"/>
    <w:rsid w:val="2220525E"/>
    <w:rsid w:val="22401962"/>
    <w:rsid w:val="224449F5"/>
    <w:rsid w:val="225D16C1"/>
    <w:rsid w:val="2266010D"/>
    <w:rsid w:val="226E674C"/>
    <w:rsid w:val="22712A0D"/>
    <w:rsid w:val="22734646"/>
    <w:rsid w:val="22804455"/>
    <w:rsid w:val="22B609EC"/>
    <w:rsid w:val="22C23296"/>
    <w:rsid w:val="22CF4727"/>
    <w:rsid w:val="22E35CB6"/>
    <w:rsid w:val="23280561"/>
    <w:rsid w:val="2330019D"/>
    <w:rsid w:val="235E2799"/>
    <w:rsid w:val="23666663"/>
    <w:rsid w:val="23693289"/>
    <w:rsid w:val="23795972"/>
    <w:rsid w:val="239147E1"/>
    <w:rsid w:val="23BB34F7"/>
    <w:rsid w:val="23CB333E"/>
    <w:rsid w:val="23F91B39"/>
    <w:rsid w:val="242E5E97"/>
    <w:rsid w:val="243A5F83"/>
    <w:rsid w:val="244702BD"/>
    <w:rsid w:val="247E0687"/>
    <w:rsid w:val="24A20628"/>
    <w:rsid w:val="24B45D14"/>
    <w:rsid w:val="24FE0E05"/>
    <w:rsid w:val="25171BA0"/>
    <w:rsid w:val="251B18C1"/>
    <w:rsid w:val="25222461"/>
    <w:rsid w:val="25501E67"/>
    <w:rsid w:val="25524FA6"/>
    <w:rsid w:val="25532EC3"/>
    <w:rsid w:val="25925077"/>
    <w:rsid w:val="25AF3989"/>
    <w:rsid w:val="25B24E51"/>
    <w:rsid w:val="25C73339"/>
    <w:rsid w:val="25C86149"/>
    <w:rsid w:val="25D62822"/>
    <w:rsid w:val="25F16B68"/>
    <w:rsid w:val="260663DB"/>
    <w:rsid w:val="26546373"/>
    <w:rsid w:val="26841C6E"/>
    <w:rsid w:val="26934343"/>
    <w:rsid w:val="26A46BEC"/>
    <w:rsid w:val="26B424FB"/>
    <w:rsid w:val="26B73D93"/>
    <w:rsid w:val="26E62133"/>
    <w:rsid w:val="277F68D2"/>
    <w:rsid w:val="27870FB2"/>
    <w:rsid w:val="278F0AAA"/>
    <w:rsid w:val="27B84345"/>
    <w:rsid w:val="27CB7A47"/>
    <w:rsid w:val="27CF31D6"/>
    <w:rsid w:val="27E53B63"/>
    <w:rsid w:val="27F52A10"/>
    <w:rsid w:val="280E4470"/>
    <w:rsid w:val="283E405F"/>
    <w:rsid w:val="28D9203E"/>
    <w:rsid w:val="295E1181"/>
    <w:rsid w:val="298330BD"/>
    <w:rsid w:val="29B00B02"/>
    <w:rsid w:val="29B661A7"/>
    <w:rsid w:val="29DB1483"/>
    <w:rsid w:val="29DC3277"/>
    <w:rsid w:val="29FA460F"/>
    <w:rsid w:val="2A0B6D48"/>
    <w:rsid w:val="2A397DF9"/>
    <w:rsid w:val="2A7C5019"/>
    <w:rsid w:val="2A8E3410"/>
    <w:rsid w:val="2AC017A8"/>
    <w:rsid w:val="2B127E2F"/>
    <w:rsid w:val="2B3677A4"/>
    <w:rsid w:val="2B7F5D7B"/>
    <w:rsid w:val="2B9073EB"/>
    <w:rsid w:val="2BAD682D"/>
    <w:rsid w:val="2BC41873"/>
    <w:rsid w:val="2BEE5A9C"/>
    <w:rsid w:val="2BF67E03"/>
    <w:rsid w:val="2C6B41B7"/>
    <w:rsid w:val="2CAF7AE9"/>
    <w:rsid w:val="2CB550EC"/>
    <w:rsid w:val="2CF947D9"/>
    <w:rsid w:val="2CFA06CC"/>
    <w:rsid w:val="2D3F090C"/>
    <w:rsid w:val="2D473273"/>
    <w:rsid w:val="2D8167C0"/>
    <w:rsid w:val="2D9C1D44"/>
    <w:rsid w:val="2DAB174B"/>
    <w:rsid w:val="2DAC3053"/>
    <w:rsid w:val="2DB40F04"/>
    <w:rsid w:val="2DB55317"/>
    <w:rsid w:val="2DD04A2C"/>
    <w:rsid w:val="2E073EDF"/>
    <w:rsid w:val="2E1A2D69"/>
    <w:rsid w:val="2E1C2312"/>
    <w:rsid w:val="2E617376"/>
    <w:rsid w:val="2ED13170"/>
    <w:rsid w:val="2EF60337"/>
    <w:rsid w:val="2EF706CF"/>
    <w:rsid w:val="2F011E82"/>
    <w:rsid w:val="2F415E64"/>
    <w:rsid w:val="2F60404A"/>
    <w:rsid w:val="2F6858EF"/>
    <w:rsid w:val="2F7674B4"/>
    <w:rsid w:val="2FC51659"/>
    <w:rsid w:val="2FCB2DE8"/>
    <w:rsid w:val="30082C17"/>
    <w:rsid w:val="301A6B35"/>
    <w:rsid w:val="30385048"/>
    <w:rsid w:val="30400DE6"/>
    <w:rsid w:val="3046030C"/>
    <w:rsid w:val="30577166"/>
    <w:rsid w:val="30A8450A"/>
    <w:rsid w:val="30B147B2"/>
    <w:rsid w:val="30FE64F4"/>
    <w:rsid w:val="310570DC"/>
    <w:rsid w:val="310D00D7"/>
    <w:rsid w:val="314A5A0E"/>
    <w:rsid w:val="31682139"/>
    <w:rsid w:val="319957F6"/>
    <w:rsid w:val="31C036D0"/>
    <w:rsid w:val="31C90302"/>
    <w:rsid w:val="31D953B1"/>
    <w:rsid w:val="31EC1741"/>
    <w:rsid w:val="31EF6CF0"/>
    <w:rsid w:val="31F7619B"/>
    <w:rsid w:val="321F0CAE"/>
    <w:rsid w:val="321F3505"/>
    <w:rsid w:val="322B0318"/>
    <w:rsid w:val="32494369"/>
    <w:rsid w:val="324C0B81"/>
    <w:rsid w:val="32517D1E"/>
    <w:rsid w:val="329B0438"/>
    <w:rsid w:val="32B63AAA"/>
    <w:rsid w:val="32DC6B74"/>
    <w:rsid w:val="32F84ABA"/>
    <w:rsid w:val="33091096"/>
    <w:rsid w:val="33232830"/>
    <w:rsid w:val="3341533E"/>
    <w:rsid w:val="33843CA1"/>
    <w:rsid w:val="33CB00ED"/>
    <w:rsid w:val="342E0BC8"/>
    <w:rsid w:val="3443530F"/>
    <w:rsid w:val="344D764F"/>
    <w:rsid w:val="34690455"/>
    <w:rsid w:val="34AA1765"/>
    <w:rsid w:val="34D7618A"/>
    <w:rsid w:val="34FE589B"/>
    <w:rsid w:val="3529493E"/>
    <w:rsid w:val="35330B48"/>
    <w:rsid w:val="353B29E7"/>
    <w:rsid w:val="355D4407"/>
    <w:rsid w:val="3562042D"/>
    <w:rsid w:val="35850AE6"/>
    <w:rsid w:val="35A74497"/>
    <w:rsid w:val="35A74E2B"/>
    <w:rsid w:val="35A94199"/>
    <w:rsid w:val="35B05630"/>
    <w:rsid w:val="35C33EC5"/>
    <w:rsid w:val="35C81BD5"/>
    <w:rsid w:val="35CF6801"/>
    <w:rsid w:val="35DE1818"/>
    <w:rsid w:val="35ED404E"/>
    <w:rsid w:val="36243C2B"/>
    <w:rsid w:val="36475152"/>
    <w:rsid w:val="365674EF"/>
    <w:rsid w:val="366E5884"/>
    <w:rsid w:val="367134DE"/>
    <w:rsid w:val="36787E34"/>
    <w:rsid w:val="3692435D"/>
    <w:rsid w:val="36D16DB7"/>
    <w:rsid w:val="36FC06E4"/>
    <w:rsid w:val="370B0055"/>
    <w:rsid w:val="374976F8"/>
    <w:rsid w:val="37533A9C"/>
    <w:rsid w:val="37821544"/>
    <w:rsid w:val="3787676D"/>
    <w:rsid w:val="37953793"/>
    <w:rsid w:val="37977E1F"/>
    <w:rsid w:val="37A53093"/>
    <w:rsid w:val="37E702EC"/>
    <w:rsid w:val="37F01E9A"/>
    <w:rsid w:val="386C34AF"/>
    <w:rsid w:val="38727414"/>
    <w:rsid w:val="38AF4648"/>
    <w:rsid w:val="38B3392D"/>
    <w:rsid w:val="38B37C06"/>
    <w:rsid w:val="38CF5396"/>
    <w:rsid w:val="38E50A97"/>
    <w:rsid w:val="391E370A"/>
    <w:rsid w:val="392F5095"/>
    <w:rsid w:val="393C7ED6"/>
    <w:rsid w:val="39465433"/>
    <w:rsid w:val="39581B4E"/>
    <w:rsid w:val="395B6912"/>
    <w:rsid w:val="396271DB"/>
    <w:rsid w:val="39A56F77"/>
    <w:rsid w:val="39BE4A11"/>
    <w:rsid w:val="3A27520A"/>
    <w:rsid w:val="3A307378"/>
    <w:rsid w:val="3A3F6C87"/>
    <w:rsid w:val="3A40527C"/>
    <w:rsid w:val="3A465FD4"/>
    <w:rsid w:val="3A956A72"/>
    <w:rsid w:val="3AD70862"/>
    <w:rsid w:val="3AE76311"/>
    <w:rsid w:val="3B1109C9"/>
    <w:rsid w:val="3B2552D7"/>
    <w:rsid w:val="3B3F7D03"/>
    <w:rsid w:val="3B970D6B"/>
    <w:rsid w:val="3BE51125"/>
    <w:rsid w:val="3BE90506"/>
    <w:rsid w:val="3BEB6832"/>
    <w:rsid w:val="3BF178CC"/>
    <w:rsid w:val="3BFA2E9E"/>
    <w:rsid w:val="3C40766B"/>
    <w:rsid w:val="3C476B61"/>
    <w:rsid w:val="3C583A62"/>
    <w:rsid w:val="3C813EBD"/>
    <w:rsid w:val="3C925C0E"/>
    <w:rsid w:val="3CA24375"/>
    <w:rsid w:val="3CA52FDE"/>
    <w:rsid w:val="3CB702EA"/>
    <w:rsid w:val="3CBD35C8"/>
    <w:rsid w:val="3CC24029"/>
    <w:rsid w:val="3CCF0F73"/>
    <w:rsid w:val="3CE437F4"/>
    <w:rsid w:val="3CEB717E"/>
    <w:rsid w:val="3D386985"/>
    <w:rsid w:val="3D3906B1"/>
    <w:rsid w:val="3D584E9B"/>
    <w:rsid w:val="3D880E45"/>
    <w:rsid w:val="3D9C69C1"/>
    <w:rsid w:val="3DA0424A"/>
    <w:rsid w:val="3DA419D7"/>
    <w:rsid w:val="3DDA6370"/>
    <w:rsid w:val="3DDD2C1B"/>
    <w:rsid w:val="3DFF5060"/>
    <w:rsid w:val="3E136870"/>
    <w:rsid w:val="3E5D5F3B"/>
    <w:rsid w:val="3E615282"/>
    <w:rsid w:val="3E8153C2"/>
    <w:rsid w:val="3E8429B9"/>
    <w:rsid w:val="3E886F46"/>
    <w:rsid w:val="3EBE7D18"/>
    <w:rsid w:val="3ECC547A"/>
    <w:rsid w:val="3EE01AD6"/>
    <w:rsid w:val="3F1A1718"/>
    <w:rsid w:val="3F4E5041"/>
    <w:rsid w:val="3F506818"/>
    <w:rsid w:val="3F8C2023"/>
    <w:rsid w:val="3FE36C1C"/>
    <w:rsid w:val="3FEB19D5"/>
    <w:rsid w:val="3FF15ABF"/>
    <w:rsid w:val="402C6935"/>
    <w:rsid w:val="40340044"/>
    <w:rsid w:val="40661E5E"/>
    <w:rsid w:val="406E45AD"/>
    <w:rsid w:val="407C0CAD"/>
    <w:rsid w:val="40924D64"/>
    <w:rsid w:val="40963A57"/>
    <w:rsid w:val="40D16C5D"/>
    <w:rsid w:val="4105404B"/>
    <w:rsid w:val="410A3110"/>
    <w:rsid w:val="41310CA2"/>
    <w:rsid w:val="41487663"/>
    <w:rsid w:val="417E2272"/>
    <w:rsid w:val="41893506"/>
    <w:rsid w:val="419915A4"/>
    <w:rsid w:val="41A82FD1"/>
    <w:rsid w:val="41C35995"/>
    <w:rsid w:val="41CF7D38"/>
    <w:rsid w:val="41D3411D"/>
    <w:rsid w:val="41FC4A89"/>
    <w:rsid w:val="420F1D94"/>
    <w:rsid w:val="422C362E"/>
    <w:rsid w:val="423E5ED2"/>
    <w:rsid w:val="424441F1"/>
    <w:rsid w:val="425E0F00"/>
    <w:rsid w:val="426D5149"/>
    <w:rsid w:val="427E3E3A"/>
    <w:rsid w:val="428917B7"/>
    <w:rsid w:val="42F1595A"/>
    <w:rsid w:val="430B7DA4"/>
    <w:rsid w:val="430D4AC0"/>
    <w:rsid w:val="431E047F"/>
    <w:rsid w:val="431E65EF"/>
    <w:rsid w:val="435A4BBF"/>
    <w:rsid w:val="436A6565"/>
    <w:rsid w:val="437A019F"/>
    <w:rsid w:val="43891F34"/>
    <w:rsid w:val="43996CCD"/>
    <w:rsid w:val="43B21221"/>
    <w:rsid w:val="43C63987"/>
    <w:rsid w:val="43FB7AE7"/>
    <w:rsid w:val="4400649E"/>
    <w:rsid w:val="441426C6"/>
    <w:rsid w:val="441466E5"/>
    <w:rsid w:val="441E3A5B"/>
    <w:rsid w:val="4421734C"/>
    <w:rsid w:val="44437D45"/>
    <w:rsid w:val="44460A9F"/>
    <w:rsid w:val="4478624B"/>
    <w:rsid w:val="4493367B"/>
    <w:rsid w:val="44A72843"/>
    <w:rsid w:val="44AB74B4"/>
    <w:rsid w:val="44B2771E"/>
    <w:rsid w:val="44B8368E"/>
    <w:rsid w:val="44D14607"/>
    <w:rsid w:val="452905F3"/>
    <w:rsid w:val="4531085A"/>
    <w:rsid w:val="453C315F"/>
    <w:rsid w:val="456A35B3"/>
    <w:rsid w:val="45A45439"/>
    <w:rsid w:val="45CA7348"/>
    <w:rsid w:val="45CB72CE"/>
    <w:rsid w:val="45FB47EE"/>
    <w:rsid w:val="461F4864"/>
    <w:rsid w:val="462B6DAB"/>
    <w:rsid w:val="46646D3E"/>
    <w:rsid w:val="46977D08"/>
    <w:rsid w:val="469B5592"/>
    <w:rsid w:val="46A5400A"/>
    <w:rsid w:val="46C67C71"/>
    <w:rsid w:val="46D36999"/>
    <w:rsid w:val="46DB6342"/>
    <w:rsid w:val="46F207EA"/>
    <w:rsid w:val="46F40267"/>
    <w:rsid w:val="46F87058"/>
    <w:rsid w:val="47283388"/>
    <w:rsid w:val="4750618B"/>
    <w:rsid w:val="477A20CD"/>
    <w:rsid w:val="47C35102"/>
    <w:rsid w:val="47C90408"/>
    <w:rsid w:val="47CA3491"/>
    <w:rsid w:val="47DE0285"/>
    <w:rsid w:val="47EA0372"/>
    <w:rsid w:val="47F77566"/>
    <w:rsid w:val="48131737"/>
    <w:rsid w:val="481C1F20"/>
    <w:rsid w:val="482932B2"/>
    <w:rsid w:val="48353471"/>
    <w:rsid w:val="48452D6C"/>
    <w:rsid w:val="48490177"/>
    <w:rsid w:val="48547396"/>
    <w:rsid w:val="48734131"/>
    <w:rsid w:val="48801F0A"/>
    <w:rsid w:val="4890451C"/>
    <w:rsid w:val="489C4879"/>
    <w:rsid w:val="489C7EA5"/>
    <w:rsid w:val="49276E58"/>
    <w:rsid w:val="494B4338"/>
    <w:rsid w:val="497C5511"/>
    <w:rsid w:val="49876977"/>
    <w:rsid w:val="49B65DC9"/>
    <w:rsid w:val="49D55B75"/>
    <w:rsid w:val="4A131AB1"/>
    <w:rsid w:val="4A34760C"/>
    <w:rsid w:val="4A64259A"/>
    <w:rsid w:val="4AA4128B"/>
    <w:rsid w:val="4AA658AC"/>
    <w:rsid w:val="4AAA7028"/>
    <w:rsid w:val="4AD50D4A"/>
    <w:rsid w:val="4ADC75C4"/>
    <w:rsid w:val="4B190350"/>
    <w:rsid w:val="4B2977E3"/>
    <w:rsid w:val="4B3A3263"/>
    <w:rsid w:val="4B404F96"/>
    <w:rsid w:val="4B5F395F"/>
    <w:rsid w:val="4B66509A"/>
    <w:rsid w:val="4BB73A13"/>
    <w:rsid w:val="4BE22955"/>
    <w:rsid w:val="4C491FB6"/>
    <w:rsid w:val="4C60411D"/>
    <w:rsid w:val="4C9743B6"/>
    <w:rsid w:val="4CA56DBD"/>
    <w:rsid w:val="4CCD70EB"/>
    <w:rsid w:val="4CD15334"/>
    <w:rsid w:val="4CDC2AC2"/>
    <w:rsid w:val="4CEF194A"/>
    <w:rsid w:val="4D123D13"/>
    <w:rsid w:val="4D4473CA"/>
    <w:rsid w:val="4D594184"/>
    <w:rsid w:val="4D670A85"/>
    <w:rsid w:val="4D80617B"/>
    <w:rsid w:val="4D806473"/>
    <w:rsid w:val="4DB87F6B"/>
    <w:rsid w:val="4DC608A6"/>
    <w:rsid w:val="4DF85FC0"/>
    <w:rsid w:val="4E1074C8"/>
    <w:rsid w:val="4E2B1D2E"/>
    <w:rsid w:val="4E527CB0"/>
    <w:rsid w:val="4E6F1EF6"/>
    <w:rsid w:val="4E7B029B"/>
    <w:rsid w:val="4E9C2A45"/>
    <w:rsid w:val="4ECB07EA"/>
    <w:rsid w:val="4EDA18B9"/>
    <w:rsid w:val="4EE77206"/>
    <w:rsid w:val="4F216F20"/>
    <w:rsid w:val="4F573543"/>
    <w:rsid w:val="4F6D467A"/>
    <w:rsid w:val="4FED507D"/>
    <w:rsid w:val="4FFB62E9"/>
    <w:rsid w:val="501C4E89"/>
    <w:rsid w:val="502B325D"/>
    <w:rsid w:val="505D795E"/>
    <w:rsid w:val="50630959"/>
    <w:rsid w:val="50D37CC2"/>
    <w:rsid w:val="50D71BF9"/>
    <w:rsid w:val="50DD3BA3"/>
    <w:rsid w:val="50E61CAB"/>
    <w:rsid w:val="50E8074E"/>
    <w:rsid w:val="5132754D"/>
    <w:rsid w:val="513564CC"/>
    <w:rsid w:val="514E3A09"/>
    <w:rsid w:val="517C3AF1"/>
    <w:rsid w:val="51915B3D"/>
    <w:rsid w:val="519F5121"/>
    <w:rsid w:val="5229273F"/>
    <w:rsid w:val="52547228"/>
    <w:rsid w:val="529432E6"/>
    <w:rsid w:val="52A8026E"/>
    <w:rsid w:val="52EC7710"/>
    <w:rsid w:val="532C197B"/>
    <w:rsid w:val="532D4048"/>
    <w:rsid w:val="534C6115"/>
    <w:rsid w:val="53526154"/>
    <w:rsid w:val="53561F88"/>
    <w:rsid w:val="536B5C40"/>
    <w:rsid w:val="53A41C0C"/>
    <w:rsid w:val="53BC34C4"/>
    <w:rsid w:val="53CE29B7"/>
    <w:rsid w:val="53E93F16"/>
    <w:rsid w:val="53F04BF7"/>
    <w:rsid w:val="540337E7"/>
    <w:rsid w:val="5412240F"/>
    <w:rsid w:val="54142032"/>
    <w:rsid w:val="54143B82"/>
    <w:rsid w:val="542520B4"/>
    <w:rsid w:val="54451376"/>
    <w:rsid w:val="54776BE8"/>
    <w:rsid w:val="547B2C44"/>
    <w:rsid w:val="547F7066"/>
    <w:rsid w:val="548C0083"/>
    <w:rsid w:val="54AB5420"/>
    <w:rsid w:val="54BC10AE"/>
    <w:rsid w:val="54DE257B"/>
    <w:rsid w:val="54F82DE2"/>
    <w:rsid w:val="55091415"/>
    <w:rsid w:val="55124B31"/>
    <w:rsid w:val="5533415E"/>
    <w:rsid w:val="553D5A1E"/>
    <w:rsid w:val="555B4C1C"/>
    <w:rsid w:val="55665E4B"/>
    <w:rsid w:val="557564F8"/>
    <w:rsid w:val="557C6AE7"/>
    <w:rsid w:val="55A0704C"/>
    <w:rsid w:val="55A923B9"/>
    <w:rsid w:val="55CE05DD"/>
    <w:rsid w:val="55D37E92"/>
    <w:rsid w:val="55DD38ED"/>
    <w:rsid w:val="55E72D6A"/>
    <w:rsid w:val="561A3EA2"/>
    <w:rsid w:val="56284268"/>
    <w:rsid w:val="563E4280"/>
    <w:rsid w:val="56434C8D"/>
    <w:rsid w:val="568A68D9"/>
    <w:rsid w:val="56A438D4"/>
    <w:rsid w:val="56BA5C7F"/>
    <w:rsid w:val="56D50ABF"/>
    <w:rsid w:val="56EA1F97"/>
    <w:rsid w:val="570F0FFB"/>
    <w:rsid w:val="574E065D"/>
    <w:rsid w:val="575B7C13"/>
    <w:rsid w:val="576E7E03"/>
    <w:rsid w:val="578A5B09"/>
    <w:rsid w:val="579B0E0D"/>
    <w:rsid w:val="57AA49F3"/>
    <w:rsid w:val="57AA5D1A"/>
    <w:rsid w:val="57BE32DB"/>
    <w:rsid w:val="57D631F8"/>
    <w:rsid w:val="58082218"/>
    <w:rsid w:val="581028EA"/>
    <w:rsid w:val="58344161"/>
    <w:rsid w:val="585D0DF7"/>
    <w:rsid w:val="587316C8"/>
    <w:rsid w:val="58AD641D"/>
    <w:rsid w:val="58B420E4"/>
    <w:rsid w:val="58DC0572"/>
    <w:rsid w:val="58F92391"/>
    <w:rsid w:val="59135C67"/>
    <w:rsid w:val="593C1329"/>
    <w:rsid w:val="595A34E9"/>
    <w:rsid w:val="595B7937"/>
    <w:rsid w:val="597C7365"/>
    <w:rsid w:val="597F7369"/>
    <w:rsid w:val="59997155"/>
    <w:rsid w:val="59A2414B"/>
    <w:rsid w:val="59FE08FA"/>
    <w:rsid w:val="5A060D86"/>
    <w:rsid w:val="5A886394"/>
    <w:rsid w:val="5A9C7D6A"/>
    <w:rsid w:val="5A9F6060"/>
    <w:rsid w:val="5ACF7403"/>
    <w:rsid w:val="5B46719F"/>
    <w:rsid w:val="5B5437AD"/>
    <w:rsid w:val="5B737DCF"/>
    <w:rsid w:val="5BA42A14"/>
    <w:rsid w:val="5BB47CCC"/>
    <w:rsid w:val="5BCD355F"/>
    <w:rsid w:val="5BD05B9D"/>
    <w:rsid w:val="5BD343E6"/>
    <w:rsid w:val="5BE00F61"/>
    <w:rsid w:val="5BFB5206"/>
    <w:rsid w:val="5CB65A64"/>
    <w:rsid w:val="5CC60036"/>
    <w:rsid w:val="5CD26BB3"/>
    <w:rsid w:val="5CEB063E"/>
    <w:rsid w:val="5D0B0214"/>
    <w:rsid w:val="5D1A0A42"/>
    <w:rsid w:val="5D242E5C"/>
    <w:rsid w:val="5D4F1710"/>
    <w:rsid w:val="5D71045F"/>
    <w:rsid w:val="5D740167"/>
    <w:rsid w:val="5D7B7702"/>
    <w:rsid w:val="5DA55EAC"/>
    <w:rsid w:val="5DAC626B"/>
    <w:rsid w:val="5DC133FE"/>
    <w:rsid w:val="5E146811"/>
    <w:rsid w:val="5E3F1ED0"/>
    <w:rsid w:val="5E4A015A"/>
    <w:rsid w:val="5E4E1E2F"/>
    <w:rsid w:val="5E7E280E"/>
    <w:rsid w:val="5EA343F9"/>
    <w:rsid w:val="5F164D5E"/>
    <w:rsid w:val="5F2D2E3D"/>
    <w:rsid w:val="5F511649"/>
    <w:rsid w:val="5F741C71"/>
    <w:rsid w:val="5F884475"/>
    <w:rsid w:val="5F940261"/>
    <w:rsid w:val="5FAC17B4"/>
    <w:rsid w:val="5FBE713C"/>
    <w:rsid w:val="5FDA399F"/>
    <w:rsid w:val="5FFA79ED"/>
    <w:rsid w:val="60350249"/>
    <w:rsid w:val="606D0EF6"/>
    <w:rsid w:val="60806A99"/>
    <w:rsid w:val="60B442A8"/>
    <w:rsid w:val="60FD7810"/>
    <w:rsid w:val="61013040"/>
    <w:rsid w:val="610E310A"/>
    <w:rsid w:val="611C35B8"/>
    <w:rsid w:val="611D1C0E"/>
    <w:rsid w:val="614D09BF"/>
    <w:rsid w:val="61A25580"/>
    <w:rsid w:val="61AE7556"/>
    <w:rsid w:val="61C55F7F"/>
    <w:rsid w:val="61CA3612"/>
    <w:rsid w:val="61D41854"/>
    <w:rsid w:val="61F46458"/>
    <w:rsid w:val="620159F6"/>
    <w:rsid w:val="62282B27"/>
    <w:rsid w:val="625A6442"/>
    <w:rsid w:val="62C31135"/>
    <w:rsid w:val="62C76106"/>
    <w:rsid w:val="62CC474C"/>
    <w:rsid w:val="62FF72FE"/>
    <w:rsid w:val="637B0B27"/>
    <w:rsid w:val="63874046"/>
    <w:rsid w:val="638B4892"/>
    <w:rsid w:val="638F0E4C"/>
    <w:rsid w:val="63BB45AD"/>
    <w:rsid w:val="63C73E6D"/>
    <w:rsid w:val="63CD4370"/>
    <w:rsid w:val="63DD4529"/>
    <w:rsid w:val="63FC0611"/>
    <w:rsid w:val="64010633"/>
    <w:rsid w:val="641222ED"/>
    <w:rsid w:val="642B5582"/>
    <w:rsid w:val="644878A5"/>
    <w:rsid w:val="64516BFF"/>
    <w:rsid w:val="64643953"/>
    <w:rsid w:val="64963CFA"/>
    <w:rsid w:val="649A62D1"/>
    <w:rsid w:val="64B31A3E"/>
    <w:rsid w:val="64BB7086"/>
    <w:rsid w:val="64DF720B"/>
    <w:rsid w:val="64FB2F8F"/>
    <w:rsid w:val="6502750F"/>
    <w:rsid w:val="655769D7"/>
    <w:rsid w:val="658C66C4"/>
    <w:rsid w:val="65B76CC0"/>
    <w:rsid w:val="65C86337"/>
    <w:rsid w:val="65DC6542"/>
    <w:rsid w:val="65FE3124"/>
    <w:rsid w:val="66475BEE"/>
    <w:rsid w:val="66921396"/>
    <w:rsid w:val="669A00A1"/>
    <w:rsid w:val="669A0A1D"/>
    <w:rsid w:val="66C77EC3"/>
    <w:rsid w:val="66CD32EE"/>
    <w:rsid w:val="66EF31C1"/>
    <w:rsid w:val="66FD32D9"/>
    <w:rsid w:val="67286643"/>
    <w:rsid w:val="67340A1D"/>
    <w:rsid w:val="67415D12"/>
    <w:rsid w:val="67645CC5"/>
    <w:rsid w:val="679D0438"/>
    <w:rsid w:val="679F14A6"/>
    <w:rsid w:val="67A7594A"/>
    <w:rsid w:val="67DA14DE"/>
    <w:rsid w:val="67F71CAA"/>
    <w:rsid w:val="6833136E"/>
    <w:rsid w:val="68374646"/>
    <w:rsid w:val="6851003F"/>
    <w:rsid w:val="68532F31"/>
    <w:rsid w:val="685D1197"/>
    <w:rsid w:val="685F2B0C"/>
    <w:rsid w:val="686A5890"/>
    <w:rsid w:val="686E4CA0"/>
    <w:rsid w:val="6870598D"/>
    <w:rsid w:val="68CD56D6"/>
    <w:rsid w:val="68CE0878"/>
    <w:rsid w:val="68DF3F07"/>
    <w:rsid w:val="68E14DD2"/>
    <w:rsid w:val="68FF17F8"/>
    <w:rsid w:val="691F6273"/>
    <w:rsid w:val="6938799E"/>
    <w:rsid w:val="697221B5"/>
    <w:rsid w:val="69875626"/>
    <w:rsid w:val="69A773FE"/>
    <w:rsid w:val="69AC4EE2"/>
    <w:rsid w:val="69B15060"/>
    <w:rsid w:val="69B72806"/>
    <w:rsid w:val="69C21FC2"/>
    <w:rsid w:val="69CB7528"/>
    <w:rsid w:val="69CC031D"/>
    <w:rsid w:val="69CC5602"/>
    <w:rsid w:val="69DE1C53"/>
    <w:rsid w:val="69DF0F70"/>
    <w:rsid w:val="69F431E5"/>
    <w:rsid w:val="69FB05D9"/>
    <w:rsid w:val="6A21429B"/>
    <w:rsid w:val="6A317FEC"/>
    <w:rsid w:val="6A395739"/>
    <w:rsid w:val="6A5D1615"/>
    <w:rsid w:val="6A667351"/>
    <w:rsid w:val="6A690452"/>
    <w:rsid w:val="6A78502E"/>
    <w:rsid w:val="6AC86B5F"/>
    <w:rsid w:val="6AD5470C"/>
    <w:rsid w:val="6AF1512E"/>
    <w:rsid w:val="6B144A6A"/>
    <w:rsid w:val="6B372870"/>
    <w:rsid w:val="6B4C78DC"/>
    <w:rsid w:val="6B6D4BD4"/>
    <w:rsid w:val="6B736C65"/>
    <w:rsid w:val="6B884223"/>
    <w:rsid w:val="6BCC6A33"/>
    <w:rsid w:val="6BE94680"/>
    <w:rsid w:val="6C1648A2"/>
    <w:rsid w:val="6C2B5B56"/>
    <w:rsid w:val="6C405A24"/>
    <w:rsid w:val="6C4C1DDE"/>
    <w:rsid w:val="6C7360A2"/>
    <w:rsid w:val="6C98271E"/>
    <w:rsid w:val="6CAD76A3"/>
    <w:rsid w:val="6CB357D4"/>
    <w:rsid w:val="6CD6095A"/>
    <w:rsid w:val="6CF2784B"/>
    <w:rsid w:val="6D09664F"/>
    <w:rsid w:val="6D1A3ED2"/>
    <w:rsid w:val="6D1C5D45"/>
    <w:rsid w:val="6D2052F1"/>
    <w:rsid w:val="6D2A1AE4"/>
    <w:rsid w:val="6D2C0363"/>
    <w:rsid w:val="6D420584"/>
    <w:rsid w:val="6D4556BC"/>
    <w:rsid w:val="6D7C6B86"/>
    <w:rsid w:val="6D886D51"/>
    <w:rsid w:val="6D98425A"/>
    <w:rsid w:val="6D9C4CB2"/>
    <w:rsid w:val="6DAC52D8"/>
    <w:rsid w:val="6DCC4C0D"/>
    <w:rsid w:val="6DE52F24"/>
    <w:rsid w:val="6E0D5193"/>
    <w:rsid w:val="6E2B38B7"/>
    <w:rsid w:val="6E42100A"/>
    <w:rsid w:val="6E4341AC"/>
    <w:rsid w:val="6E47073B"/>
    <w:rsid w:val="6E763603"/>
    <w:rsid w:val="6E9D5BDB"/>
    <w:rsid w:val="6F171149"/>
    <w:rsid w:val="6F436F8F"/>
    <w:rsid w:val="6F4D5562"/>
    <w:rsid w:val="6F5B09A8"/>
    <w:rsid w:val="6F663712"/>
    <w:rsid w:val="6F6D69E8"/>
    <w:rsid w:val="6F8B29B5"/>
    <w:rsid w:val="6F9B0752"/>
    <w:rsid w:val="6FD156E3"/>
    <w:rsid w:val="6FED75FB"/>
    <w:rsid w:val="70041560"/>
    <w:rsid w:val="703467FC"/>
    <w:rsid w:val="7040732E"/>
    <w:rsid w:val="70731286"/>
    <w:rsid w:val="7086364B"/>
    <w:rsid w:val="70A42103"/>
    <w:rsid w:val="70BD374B"/>
    <w:rsid w:val="710B27AB"/>
    <w:rsid w:val="712C6F85"/>
    <w:rsid w:val="71320E55"/>
    <w:rsid w:val="71321C7C"/>
    <w:rsid w:val="71340B64"/>
    <w:rsid w:val="714D7437"/>
    <w:rsid w:val="71546F0E"/>
    <w:rsid w:val="715D431D"/>
    <w:rsid w:val="7170146E"/>
    <w:rsid w:val="717268C8"/>
    <w:rsid w:val="71802D0E"/>
    <w:rsid w:val="718F5890"/>
    <w:rsid w:val="719323BF"/>
    <w:rsid w:val="71BF5087"/>
    <w:rsid w:val="71C23C59"/>
    <w:rsid w:val="71C57971"/>
    <w:rsid w:val="71E05943"/>
    <w:rsid w:val="71EC11CD"/>
    <w:rsid w:val="71FA585C"/>
    <w:rsid w:val="720506A4"/>
    <w:rsid w:val="72143E26"/>
    <w:rsid w:val="722B6EAC"/>
    <w:rsid w:val="7235573F"/>
    <w:rsid w:val="723629FF"/>
    <w:rsid w:val="726C56B8"/>
    <w:rsid w:val="7288771C"/>
    <w:rsid w:val="728D4961"/>
    <w:rsid w:val="72911F34"/>
    <w:rsid w:val="729D380E"/>
    <w:rsid w:val="72A458E1"/>
    <w:rsid w:val="72CE592F"/>
    <w:rsid w:val="72F838AA"/>
    <w:rsid w:val="73134385"/>
    <w:rsid w:val="731726EC"/>
    <w:rsid w:val="73197AE0"/>
    <w:rsid w:val="73221860"/>
    <w:rsid w:val="7338174B"/>
    <w:rsid w:val="733A4EF6"/>
    <w:rsid w:val="733D0234"/>
    <w:rsid w:val="733E33D3"/>
    <w:rsid w:val="733F0360"/>
    <w:rsid w:val="73773239"/>
    <w:rsid w:val="73835DC4"/>
    <w:rsid w:val="73C761B5"/>
    <w:rsid w:val="73C97C37"/>
    <w:rsid w:val="73D872D7"/>
    <w:rsid w:val="73FA14E3"/>
    <w:rsid w:val="740A7F35"/>
    <w:rsid w:val="742D4CA1"/>
    <w:rsid w:val="74336AF3"/>
    <w:rsid w:val="74613585"/>
    <w:rsid w:val="747D3462"/>
    <w:rsid w:val="74812030"/>
    <w:rsid w:val="74886161"/>
    <w:rsid w:val="74A039B1"/>
    <w:rsid w:val="74E66F49"/>
    <w:rsid w:val="74EB245C"/>
    <w:rsid w:val="753C15BB"/>
    <w:rsid w:val="75585493"/>
    <w:rsid w:val="755E6626"/>
    <w:rsid w:val="75841DF5"/>
    <w:rsid w:val="758C4CA2"/>
    <w:rsid w:val="75C45800"/>
    <w:rsid w:val="75D40046"/>
    <w:rsid w:val="75D96E3B"/>
    <w:rsid w:val="762F29E5"/>
    <w:rsid w:val="764374F1"/>
    <w:rsid w:val="76944E76"/>
    <w:rsid w:val="769A26CA"/>
    <w:rsid w:val="76C34928"/>
    <w:rsid w:val="76D17FE1"/>
    <w:rsid w:val="76DF15B8"/>
    <w:rsid w:val="76FB601C"/>
    <w:rsid w:val="7708778F"/>
    <w:rsid w:val="770B7BD2"/>
    <w:rsid w:val="77443B06"/>
    <w:rsid w:val="778364BE"/>
    <w:rsid w:val="7799548D"/>
    <w:rsid w:val="77ED1FBE"/>
    <w:rsid w:val="787764A6"/>
    <w:rsid w:val="78867CFB"/>
    <w:rsid w:val="78AE1EE3"/>
    <w:rsid w:val="78D06FA5"/>
    <w:rsid w:val="78F044C0"/>
    <w:rsid w:val="793D3D59"/>
    <w:rsid w:val="795F47C4"/>
    <w:rsid w:val="795F4B87"/>
    <w:rsid w:val="7964594B"/>
    <w:rsid w:val="799447B2"/>
    <w:rsid w:val="79993DEC"/>
    <w:rsid w:val="79CD1CC3"/>
    <w:rsid w:val="79D33A4B"/>
    <w:rsid w:val="79E02F00"/>
    <w:rsid w:val="79EA1578"/>
    <w:rsid w:val="79F9227E"/>
    <w:rsid w:val="7A03141B"/>
    <w:rsid w:val="7A2F68CB"/>
    <w:rsid w:val="7A532F6D"/>
    <w:rsid w:val="7A9E603E"/>
    <w:rsid w:val="7AA163B3"/>
    <w:rsid w:val="7AB01F3D"/>
    <w:rsid w:val="7ACE4950"/>
    <w:rsid w:val="7ADB04CF"/>
    <w:rsid w:val="7ADD1DF2"/>
    <w:rsid w:val="7AFE0D18"/>
    <w:rsid w:val="7B2A08CC"/>
    <w:rsid w:val="7B4B5341"/>
    <w:rsid w:val="7B5B1A0B"/>
    <w:rsid w:val="7B6E674D"/>
    <w:rsid w:val="7B70050C"/>
    <w:rsid w:val="7B856E03"/>
    <w:rsid w:val="7BB31608"/>
    <w:rsid w:val="7BD95DD9"/>
    <w:rsid w:val="7BE50BC8"/>
    <w:rsid w:val="7BF9716D"/>
    <w:rsid w:val="7C077508"/>
    <w:rsid w:val="7C1F4334"/>
    <w:rsid w:val="7C42078B"/>
    <w:rsid w:val="7C5713BA"/>
    <w:rsid w:val="7C695398"/>
    <w:rsid w:val="7C6D2C5C"/>
    <w:rsid w:val="7C766D2D"/>
    <w:rsid w:val="7C825B18"/>
    <w:rsid w:val="7C867073"/>
    <w:rsid w:val="7C8D2D58"/>
    <w:rsid w:val="7CA503F5"/>
    <w:rsid w:val="7CB302CB"/>
    <w:rsid w:val="7CCA1F6A"/>
    <w:rsid w:val="7D1948FD"/>
    <w:rsid w:val="7D2C6F9F"/>
    <w:rsid w:val="7D543264"/>
    <w:rsid w:val="7D6D7156"/>
    <w:rsid w:val="7D7115AD"/>
    <w:rsid w:val="7DAE4568"/>
    <w:rsid w:val="7DC85A4E"/>
    <w:rsid w:val="7DF550BA"/>
    <w:rsid w:val="7E531FFF"/>
    <w:rsid w:val="7E5E764B"/>
    <w:rsid w:val="7ECB55B8"/>
    <w:rsid w:val="7EE626A2"/>
    <w:rsid w:val="7EEC63E7"/>
    <w:rsid w:val="7EF54C4F"/>
    <w:rsid w:val="7EFB3937"/>
    <w:rsid w:val="7F020EC4"/>
    <w:rsid w:val="7F381A2F"/>
    <w:rsid w:val="7F5957B0"/>
    <w:rsid w:val="7F693D46"/>
    <w:rsid w:val="7F9846AE"/>
    <w:rsid w:val="7F9A7F46"/>
    <w:rsid w:val="7FAD0277"/>
    <w:rsid w:val="7FBD28C5"/>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5">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paragraph" w:styleId="7">
    <w:name w:val="heading 5"/>
    <w:basedOn w:val="1"/>
    <w:next w:val="1"/>
    <w:qFormat/>
    <w:uiPriority w:val="0"/>
    <w:pPr>
      <w:keepNext/>
      <w:keepLines/>
      <w:spacing w:before="280" w:after="290" w:line="376" w:lineRule="auto"/>
      <w:outlineLvl w:val="4"/>
    </w:pPr>
    <w:rPr>
      <w:rFonts w:ascii="Calibri" w:hAnsi="Calibri" w:eastAsia="??"/>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exact"/>
    </w:pPr>
    <w:rPr>
      <w:sz w:val="24"/>
    </w:rPr>
  </w:style>
  <w:style w:type="paragraph" w:styleId="3">
    <w:name w:val="Body Text First Indent"/>
    <w:basedOn w:val="2"/>
    <w:next w:val="1"/>
    <w:qFormat/>
    <w:uiPriority w:val="0"/>
    <w:pPr>
      <w:ind w:firstLine="200" w:firstLineChars="200"/>
    </w:pPr>
  </w:style>
  <w:style w:type="paragraph" w:styleId="8">
    <w:name w:val="List Number"/>
    <w:basedOn w:val="1"/>
    <w:qFormat/>
    <w:uiPriority w:val="0"/>
    <w:pPr>
      <w:numPr>
        <w:ilvl w:val="0"/>
        <w:numId w:val="2"/>
      </w:numPr>
    </w:pPr>
  </w:style>
  <w:style w:type="paragraph" w:styleId="9">
    <w:name w:val="Normal Indent"/>
    <w:basedOn w:val="1"/>
    <w:qFormat/>
    <w:uiPriority w:val="0"/>
    <w:pPr>
      <w:ind w:firstLine="420"/>
    </w:pPr>
    <w:rPr>
      <w:szCs w:val="20"/>
    </w:rPr>
  </w:style>
  <w:style w:type="paragraph" w:styleId="10">
    <w:name w:val="annotation text"/>
    <w:basedOn w:val="1"/>
    <w:qFormat/>
    <w:uiPriority w:val="0"/>
    <w:pPr>
      <w:jc w:val="left"/>
    </w:pPr>
  </w:style>
  <w:style w:type="paragraph" w:styleId="11">
    <w:name w:val="Body Text Indent"/>
    <w:basedOn w:val="1"/>
    <w:next w:val="1"/>
    <w:qFormat/>
    <w:uiPriority w:val="0"/>
    <w:pPr>
      <w:spacing w:after="120"/>
      <w:ind w:left="420" w:leftChars="200"/>
    </w:pPr>
  </w:style>
  <w:style w:type="paragraph" w:styleId="12">
    <w:name w:val="Plain Text"/>
    <w:basedOn w:val="1"/>
    <w:next w:val="13"/>
    <w:qFormat/>
    <w:uiPriority w:val="0"/>
    <w:rPr>
      <w:rFonts w:ascii="宋体" w:hAnsi="Courier New" w:cstheme="minorBidi"/>
    </w:rPr>
  </w:style>
  <w:style w:type="paragraph" w:styleId="13">
    <w:name w:val="Date"/>
    <w:basedOn w:val="1"/>
    <w:next w:val="1"/>
    <w:qFormat/>
    <w:uiPriority w:val="0"/>
    <w:pPr>
      <w:ind w:left="2500" w:leftChars="2500"/>
    </w:pPr>
    <w:rPr>
      <w:rFonts w:eastAsia="楷体_GB2312" w:asciiTheme="minorHAnsi" w:hAnsiTheme="minorHAnsi" w:cstheme="minorBidi"/>
      <w:sz w:val="32"/>
      <w:szCs w:val="22"/>
    </w:rPr>
  </w:style>
  <w:style w:type="paragraph" w:styleId="14">
    <w:name w:val="Balloon Text"/>
    <w:basedOn w:val="1"/>
    <w:link w:val="49"/>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8">
    <w:name w:val="toc 6"/>
    <w:basedOn w:val="1"/>
    <w:next w:val="1"/>
    <w:qFormat/>
    <w:uiPriority w:val="39"/>
    <w:pPr>
      <w:widowControl/>
      <w:ind w:left="1000"/>
      <w:jc w:val="left"/>
    </w:pPr>
    <w:rPr>
      <w:kern w:val="0"/>
      <w:sz w:val="18"/>
      <w:szCs w:val="20"/>
    </w:rPr>
  </w:style>
  <w:style w:type="paragraph" w:styleId="19">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0">
    <w:name w:val="Body Text First Indent 2"/>
    <w:basedOn w:val="11"/>
    <w:qFormat/>
    <w:uiPriority w:val="0"/>
    <w:pPr>
      <w:ind w:firstLine="420"/>
    </w:pPr>
  </w:style>
  <w:style w:type="table" w:styleId="22">
    <w:name w:val="Table Grid"/>
    <w:basedOn w:val="21"/>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24">
    <w:name w:val="Hyperlink"/>
    <w:qFormat/>
    <w:uiPriority w:val="0"/>
    <w:rPr>
      <w:color w:val="0000FF"/>
      <w:u w:val="single"/>
    </w:rPr>
  </w:style>
  <w:style w:type="character" w:styleId="25">
    <w:name w:val="annotation reference"/>
    <w:basedOn w:val="23"/>
    <w:qFormat/>
    <w:uiPriority w:val="0"/>
    <w:rPr>
      <w:sz w:val="21"/>
      <w:szCs w:val="21"/>
    </w:rPr>
  </w:style>
  <w:style w:type="paragraph" w:customStyle="1" w:styleId="26">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27">
    <w:name w:val="List Paragraph"/>
    <w:basedOn w:val="1"/>
    <w:qFormat/>
    <w:uiPriority w:val="34"/>
    <w:pPr>
      <w:ind w:firstLine="420" w:firstLineChars="200"/>
    </w:pPr>
    <w:rPr>
      <w:rFonts w:ascii="Calibri" w:hAnsi="Calibri"/>
      <w:szCs w:val="22"/>
    </w:rPr>
  </w:style>
  <w:style w:type="paragraph" w:customStyle="1" w:styleId="28">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29">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1">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_14"/>
    <w:qFormat/>
    <w:uiPriority w:val="0"/>
    <w:rPr>
      <w:rFonts w:ascii="Times New Roman" w:hAnsi="Times New Roman" w:eastAsia="宋体" w:cs="Times New Roman"/>
      <w:sz w:val="21"/>
      <w:szCs w:val="22"/>
      <w:lang w:val="en-US" w:eastAsia="zh-CN" w:bidi="ar-SA"/>
    </w:rPr>
  </w:style>
  <w:style w:type="paragraph" w:customStyle="1" w:styleId="3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纯文本_3"/>
    <w:basedOn w:val="35"/>
    <w:qFormat/>
    <w:uiPriority w:val="0"/>
    <w:pPr>
      <w:widowControl/>
      <w:jc w:val="left"/>
    </w:pPr>
    <w:rPr>
      <w:rFonts w:ascii="宋体" w:hAnsi="Courier New" w:eastAsiaTheme="minorEastAsia" w:cstheme="minorBidi"/>
      <w:szCs w:val="21"/>
    </w:rPr>
  </w:style>
  <w:style w:type="paragraph" w:customStyle="1" w:styleId="37">
    <w:name w:val="纯文本_0_1"/>
    <w:basedOn w:val="1"/>
    <w:qFormat/>
    <w:uiPriority w:val="0"/>
    <w:pPr>
      <w:widowControl/>
      <w:jc w:val="left"/>
    </w:pPr>
    <w:rPr>
      <w:rFonts w:ascii="宋体" w:hAnsi="Courier New" w:eastAsiaTheme="minorEastAsia" w:cstheme="minorBidi"/>
      <w:szCs w:val="21"/>
    </w:rPr>
  </w:style>
  <w:style w:type="paragraph" w:customStyle="1" w:styleId="3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2">
    <w:name w:val="font21"/>
    <w:basedOn w:val="23"/>
    <w:qFormat/>
    <w:uiPriority w:val="0"/>
    <w:rPr>
      <w:rFonts w:hint="default" w:ascii="Arial" w:hAnsi="Arial" w:cs="Arial"/>
      <w:color w:val="000000"/>
      <w:sz w:val="20"/>
      <w:szCs w:val="20"/>
      <w:u w:val="none"/>
    </w:rPr>
  </w:style>
  <w:style w:type="character" w:customStyle="1" w:styleId="43">
    <w:name w:val="font01"/>
    <w:basedOn w:val="23"/>
    <w:qFormat/>
    <w:uiPriority w:val="0"/>
    <w:rPr>
      <w:rFonts w:hint="eastAsia" w:ascii="宋体" w:hAnsi="宋体" w:eastAsia="宋体" w:cs="宋体"/>
      <w:color w:val="000000"/>
      <w:sz w:val="20"/>
      <w:szCs w:val="20"/>
      <w:u w:val="none"/>
    </w:rPr>
  </w:style>
  <w:style w:type="paragraph" w:customStyle="1" w:styleId="44">
    <w:name w:val="纯文本1"/>
    <w:basedOn w:val="45"/>
    <w:qFormat/>
    <w:uiPriority w:val="0"/>
    <w:pPr>
      <w:widowControl/>
      <w:jc w:val="left"/>
    </w:pPr>
    <w:rPr>
      <w:rFonts w:ascii="宋体" w:hAnsi="Courier New"/>
    </w:rPr>
  </w:style>
  <w:style w:type="paragraph" w:customStyle="1" w:styleId="45">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6">
    <w:name w:val="Table Paragraph"/>
    <w:basedOn w:val="1"/>
    <w:qFormat/>
    <w:uiPriority w:val="1"/>
    <w:rPr>
      <w:rFonts w:ascii="宋体" w:hAnsi="宋体" w:cs="宋体"/>
    </w:rPr>
  </w:style>
  <w:style w:type="paragraph" w:customStyle="1" w:styleId="47">
    <w:name w:val="WPSOffice手动目录 1"/>
    <w:qFormat/>
    <w:uiPriority w:val="0"/>
    <w:rPr>
      <w:rFonts w:ascii="Times New Roman" w:hAnsi="Times New Roman" w:eastAsia="宋体" w:cs="Times New Roman"/>
      <w:lang w:val="en-US" w:eastAsia="zh-CN" w:bidi="ar-SA"/>
    </w:rPr>
  </w:style>
  <w:style w:type="paragraph" w:customStyle="1" w:styleId="48">
    <w:name w:val="默认段落字体 Para Char Char Char Char Char Char Char Char Char1 Char Char Char Char"/>
    <w:basedOn w:val="1"/>
    <w:qFormat/>
    <w:uiPriority w:val="0"/>
    <w:rPr>
      <w:rFonts w:ascii="Tahoma" w:hAnsi="Tahoma"/>
      <w:sz w:val="24"/>
      <w:szCs w:val="20"/>
    </w:rPr>
  </w:style>
  <w:style w:type="character" w:customStyle="1" w:styleId="49">
    <w:name w:val="批注框文本 字符"/>
    <w:basedOn w:val="23"/>
    <w:link w:val="14"/>
    <w:qFormat/>
    <w:uiPriority w:val="0"/>
    <w:rPr>
      <w:kern w:val="2"/>
      <w:sz w:val="18"/>
      <w:szCs w:val="18"/>
    </w:rPr>
  </w:style>
  <w:style w:type="paragraph" w:customStyle="1" w:styleId="50">
    <w:name w:val="英文"/>
    <w:basedOn w:val="1"/>
    <w:link w:val="52"/>
    <w:qFormat/>
    <w:uiPriority w:val="0"/>
    <w:pPr>
      <w:adjustRightInd w:val="0"/>
      <w:snapToGrid w:val="0"/>
      <w:spacing w:line="360" w:lineRule="auto"/>
      <w:ind w:firstLine="480" w:firstLineChars="200"/>
    </w:pPr>
    <w:rPr>
      <w:rFonts w:ascii="Arial" w:hAnsi="Arial" w:cs="Arial"/>
      <w:sz w:val="24"/>
    </w:rPr>
  </w:style>
  <w:style w:type="paragraph" w:customStyle="1" w:styleId="51">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52">
    <w:name w:val="英文 Char"/>
    <w:link w:val="50"/>
    <w:qFormat/>
    <w:uiPriority w:val="0"/>
    <w:rPr>
      <w:rFonts w:ascii="Arial" w:hAnsi="Arial" w:cs="Arial"/>
      <w:sz w:val="24"/>
    </w:rPr>
  </w:style>
  <w:style w:type="paragraph" w:customStyle="1" w:styleId="53">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54">
    <w:name w:val="正文段落"/>
    <w:basedOn w:val="1"/>
    <w:qFormat/>
    <w:uiPriority w:val="0"/>
    <w:pPr>
      <w:spacing w:line="360" w:lineRule="auto"/>
      <w:ind w:firstLine="200" w:firstLineChars="200"/>
    </w:pPr>
    <w:rPr>
      <w:rFonts w:eastAsia="仿宋"/>
      <w:sz w:val="28"/>
    </w:rPr>
  </w:style>
  <w:style w:type="paragraph" w:customStyle="1" w:styleId="55">
    <w:name w:val="Normal Indent1"/>
    <w:basedOn w:val="1"/>
    <w:qFormat/>
    <w:uiPriority w:val="0"/>
    <w:pPr>
      <w:ind w:firstLine="420" w:firstLineChars="200"/>
    </w:pPr>
  </w:style>
  <w:style w:type="paragraph" w:customStyle="1" w:styleId="56">
    <w:name w:val="表格文字"/>
    <w:basedOn w:val="1"/>
    <w:next w:val="2"/>
    <w:qFormat/>
    <w:uiPriority w:val="0"/>
    <w:pPr>
      <w:jc w:val="left"/>
      <w:textAlignment w:val="top"/>
    </w:pPr>
    <w:rPr>
      <w:sz w:val="18"/>
    </w:rPr>
  </w:style>
  <w:style w:type="paragraph" w:customStyle="1" w:styleId="5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59">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60">
    <w:name w:val="p15"/>
    <w:basedOn w:val="1"/>
    <w:qFormat/>
    <w:uiPriority w:val="0"/>
    <w:pPr>
      <w:widowControl/>
      <w:spacing w:line="360" w:lineRule="auto"/>
      <w:ind w:firstLine="403"/>
    </w:pPr>
    <w:rPr>
      <w:rFonts w:ascii="仿宋_GB2312" w:hAnsi="宋体" w:eastAsia="仿宋_GB2312" w:cs="宋体"/>
      <w:kern w:val="0"/>
      <w:szCs w:val="28"/>
    </w:rPr>
  </w:style>
  <w:style w:type="paragraph" w:customStyle="1" w:styleId="61">
    <w:name w:val="BodyText"/>
    <w:basedOn w:val="1"/>
    <w:qFormat/>
    <w:uiPriority w:val="0"/>
    <w:pPr>
      <w:spacing w:after="120"/>
    </w:pPr>
    <w:rPr>
      <w:sz w:val="24"/>
    </w:rPr>
  </w:style>
  <w:style w:type="paragraph" w:customStyle="1" w:styleId="62">
    <w:name w:val="4、正文"/>
    <w:basedOn w:val="1"/>
    <w:qFormat/>
    <w:uiPriority w:val="0"/>
    <w:pPr>
      <w:ind w:firstLine="200" w:firstLineChars="200"/>
    </w:pPr>
    <w:rPr>
      <w:rFonts w:ascii="宋体"/>
      <w:sz w:val="24"/>
      <w:szCs w:val="28"/>
    </w:rPr>
  </w:style>
  <w:style w:type="paragraph" w:customStyle="1" w:styleId="63">
    <w:name w:val="[Normal]"/>
    <w:autoRedefine/>
    <w:qFormat/>
    <w:uiPriority w:val="0"/>
    <w:pPr>
      <w:pBdr>
        <w:top w:val="none" w:color="000000" w:sz="0" w:space="0"/>
        <w:left w:val="none" w:color="000000" w:sz="0" w:space="0"/>
        <w:bottom w:val="none" w:color="000000" w:sz="0" w:space="0"/>
        <w:right w:val="none" w:color="000000" w:sz="0" w:space="0"/>
        <w:between w:val="none" w:color="000000" w:sz="0" w:space="0"/>
      </w:pBdr>
      <w:shd w:val="clear" w:color="auto" w:fill="FFFFFF"/>
    </w:pPr>
    <w:rPr>
      <w:rFonts w:ascii="宋体" w:hAnsi="宋体" w:eastAsia="宋体" w:cs="Times New Roman"/>
      <w:sz w:val="24"/>
      <w:szCs w:val="22"/>
      <w:lang w:val="zh-CN" w:eastAsia="zh-CN" w:bidi="ar-SA"/>
    </w:rPr>
  </w:style>
  <w:style w:type="paragraph" w:customStyle="1" w:styleId="64">
    <w:name w:val="bg"/>
    <w:basedOn w:val="1"/>
    <w:autoRedefine/>
    <w:qFormat/>
    <w:uiPriority w:val="0"/>
    <w:pPr>
      <w:spacing w:line="460" w:lineRule="exact"/>
      <w:jc w:val="center"/>
    </w:pPr>
    <w:rPr>
      <w:rFonts w:hAnsi="宋体"/>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223</Words>
  <Characters>240</Characters>
  <Lines>155</Lines>
  <Paragraphs>43</Paragraphs>
  <TotalTime>19</TotalTime>
  <ScaleCrop>false</ScaleCrop>
  <LinksUpToDate>false</LinksUpToDate>
  <CharactersWithSpaces>268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2022-03-07T06:17:00Z</dcterms:created>
  <dc:creator>Thorpe521</dc:creator>
  <cp:lastModifiedBy>建设咨询</cp:lastModifiedBy>
  <cp:lastPrinted>2025-08-15T01:15:00Z</cp:lastPrinted>
  <dcterms:modified xsi:type="dcterms:W3CDTF">2025-08-27T11:07:56Z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737386B56D9B40BEA7C9E1DDB12F3EFE_13</vt:lpwstr>
  </property>
  <property fmtid="{D5CDD505-2E9C-101B-9397-08002B2CF9AE}" pid="4" name="KSOTemplateDocerSaveRecord">
    <vt:lpwstr>eyJoZGlkIjoiOTUyOTRlNDQwN2RiMGI2ODUyYWJjZmU0NTlmYTYzZWEiLCJ1c2VySWQiOiIxNjU5NTM3NzAwIn0=</vt:lpwstr>
  </property>
</Properties>
</file>