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0351F">
      <w:pPr>
        <w:pStyle w:val="4"/>
        <w:jc w:val="center"/>
        <w:outlineLvl w:val="1"/>
      </w:pPr>
      <w:bookmarkStart w:id="0" w:name="_GoBack"/>
      <w:bookmarkEnd w:id="0"/>
      <w:r>
        <w:rPr>
          <w:rFonts w:ascii="仿宋_GB2312" w:hAnsi="仿宋_GB2312" w:eastAsia="仿宋_GB2312" w:cs="仿宋_GB2312"/>
          <w:b/>
          <w:sz w:val="36"/>
        </w:rPr>
        <w:t xml:space="preserve"> 技术、服务及其他要求</w:t>
      </w:r>
    </w:p>
    <w:p w14:paraId="3CC15AE5">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1540B6E8">
      <w:pPr>
        <w:pStyle w:val="4"/>
        <w:jc w:val="left"/>
        <w:outlineLvl w:val="2"/>
      </w:pPr>
      <w:r>
        <w:rPr>
          <w:rFonts w:ascii="仿宋_GB2312" w:hAnsi="仿宋_GB2312" w:eastAsia="仿宋_GB2312" w:cs="仿宋_GB2312"/>
          <w:b/>
          <w:sz w:val="28"/>
        </w:rPr>
        <w:t>3.1.采购内容</w:t>
      </w:r>
    </w:p>
    <w:p w14:paraId="1F758B37">
      <w:pPr>
        <w:pStyle w:val="4"/>
        <w:jc w:val="left"/>
      </w:pPr>
      <w:r>
        <w:rPr>
          <w:rFonts w:ascii="仿宋_GB2312" w:hAnsi="仿宋_GB2312" w:eastAsia="仿宋_GB2312" w:cs="仿宋_GB2312"/>
        </w:rPr>
        <w:t>采购包1：</w:t>
      </w:r>
    </w:p>
    <w:p w14:paraId="5CF76B27">
      <w:pPr>
        <w:pStyle w:val="4"/>
        <w:jc w:val="left"/>
      </w:pPr>
      <w:r>
        <w:rPr>
          <w:rFonts w:ascii="仿宋_GB2312" w:hAnsi="仿宋_GB2312" w:eastAsia="仿宋_GB2312" w:cs="仿宋_GB2312"/>
        </w:rPr>
        <w:t>采购包预算金额（元）: 400,000.00</w:t>
      </w:r>
    </w:p>
    <w:p w14:paraId="4144C848">
      <w:pPr>
        <w:pStyle w:val="4"/>
        <w:jc w:val="left"/>
      </w:pPr>
      <w:r>
        <w:rPr>
          <w:rFonts w:ascii="仿宋_GB2312" w:hAnsi="仿宋_GB2312" w:eastAsia="仿宋_GB2312" w:cs="仿宋_GB2312"/>
        </w:rPr>
        <w:t>采购包最高限价（元）: 400,000.00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7"/>
        <w:gridCol w:w="1116"/>
        <w:gridCol w:w="779"/>
        <w:gridCol w:w="820"/>
        <w:gridCol w:w="1216"/>
        <w:gridCol w:w="739"/>
        <w:gridCol w:w="739"/>
        <w:gridCol w:w="739"/>
        <w:gridCol w:w="739"/>
        <w:gridCol w:w="594"/>
        <w:gridCol w:w="594"/>
      </w:tblGrid>
      <w:tr w14:paraId="21D50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ABEF014">
            <w:pPr>
              <w:pStyle w:val="4"/>
              <w:jc w:val="center"/>
            </w:pPr>
            <w:r>
              <w:rPr>
                <w:rFonts w:ascii="仿宋_GB2312" w:hAnsi="仿宋_GB2312" w:eastAsia="仿宋_GB2312" w:cs="仿宋_GB2312"/>
              </w:rPr>
              <w:t>序号</w:t>
            </w:r>
          </w:p>
        </w:tc>
        <w:tc>
          <w:tcPr>
            <w:tcW w:w="821" w:type="dxa"/>
          </w:tcPr>
          <w:p w14:paraId="3FFF9AA0">
            <w:pPr>
              <w:pStyle w:val="4"/>
              <w:jc w:val="center"/>
            </w:pPr>
            <w:r>
              <w:rPr>
                <w:rFonts w:ascii="仿宋_GB2312" w:hAnsi="仿宋_GB2312" w:eastAsia="仿宋_GB2312" w:cs="仿宋_GB2312"/>
              </w:rPr>
              <w:t>采购品目名称</w:t>
            </w:r>
          </w:p>
        </w:tc>
        <w:tc>
          <w:tcPr>
            <w:tcW w:w="821" w:type="dxa"/>
          </w:tcPr>
          <w:p w14:paraId="43F7C0B6">
            <w:pPr>
              <w:pStyle w:val="4"/>
              <w:jc w:val="center"/>
            </w:pPr>
            <w:r>
              <w:rPr>
                <w:rFonts w:ascii="仿宋_GB2312" w:hAnsi="仿宋_GB2312" w:eastAsia="仿宋_GB2312" w:cs="仿宋_GB2312"/>
              </w:rPr>
              <w:t>标的名称</w:t>
            </w:r>
          </w:p>
        </w:tc>
        <w:tc>
          <w:tcPr>
            <w:tcW w:w="821" w:type="dxa"/>
          </w:tcPr>
          <w:p w14:paraId="3E1B7B4A">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4A4A441F">
            <w:pPr>
              <w:pStyle w:val="4"/>
              <w:jc w:val="center"/>
            </w:pPr>
            <w:r>
              <w:rPr>
                <w:rFonts w:ascii="仿宋_GB2312" w:hAnsi="仿宋_GB2312" w:eastAsia="仿宋_GB2312" w:cs="仿宋_GB2312"/>
              </w:rPr>
              <w:t>标的金额 （元）</w:t>
            </w:r>
          </w:p>
        </w:tc>
        <w:tc>
          <w:tcPr>
            <w:tcW w:w="821" w:type="dxa"/>
          </w:tcPr>
          <w:p w14:paraId="1BC445CA">
            <w:pPr>
              <w:pStyle w:val="4"/>
              <w:jc w:val="center"/>
            </w:pPr>
            <w:r>
              <w:rPr>
                <w:rFonts w:ascii="仿宋_GB2312" w:hAnsi="仿宋_GB2312" w:eastAsia="仿宋_GB2312" w:cs="仿宋_GB2312"/>
              </w:rPr>
              <w:t>所属行业</w:t>
            </w:r>
          </w:p>
        </w:tc>
        <w:tc>
          <w:tcPr>
            <w:tcW w:w="821" w:type="dxa"/>
          </w:tcPr>
          <w:p w14:paraId="76621F21">
            <w:pPr>
              <w:pStyle w:val="4"/>
              <w:jc w:val="center"/>
            </w:pPr>
            <w:r>
              <w:rPr>
                <w:rFonts w:ascii="仿宋_GB2312" w:hAnsi="仿宋_GB2312" w:eastAsia="仿宋_GB2312" w:cs="仿宋_GB2312"/>
              </w:rPr>
              <w:t>是否涉及核心产品</w:t>
            </w:r>
          </w:p>
        </w:tc>
        <w:tc>
          <w:tcPr>
            <w:tcW w:w="821" w:type="dxa"/>
          </w:tcPr>
          <w:p w14:paraId="3B01E17E">
            <w:pPr>
              <w:pStyle w:val="4"/>
              <w:jc w:val="center"/>
            </w:pPr>
            <w:r>
              <w:rPr>
                <w:rFonts w:ascii="仿宋_GB2312" w:hAnsi="仿宋_GB2312" w:eastAsia="仿宋_GB2312" w:cs="仿宋_GB2312"/>
              </w:rPr>
              <w:t>是否涉及采购进口产品</w:t>
            </w:r>
          </w:p>
        </w:tc>
        <w:tc>
          <w:tcPr>
            <w:tcW w:w="821" w:type="dxa"/>
          </w:tcPr>
          <w:p w14:paraId="41716CE6">
            <w:pPr>
              <w:pStyle w:val="4"/>
              <w:jc w:val="center"/>
            </w:pPr>
            <w:r>
              <w:rPr>
                <w:rFonts w:ascii="仿宋_GB2312" w:hAnsi="仿宋_GB2312" w:eastAsia="仿宋_GB2312" w:cs="仿宋_GB2312"/>
              </w:rPr>
              <w:t>是否涉及强制采购节能产品</w:t>
            </w:r>
          </w:p>
        </w:tc>
        <w:tc>
          <w:tcPr>
            <w:tcW w:w="639" w:type="dxa"/>
          </w:tcPr>
          <w:p w14:paraId="679B82FE">
            <w:pPr>
              <w:pStyle w:val="4"/>
              <w:jc w:val="center"/>
            </w:pPr>
            <w:r>
              <w:rPr>
                <w:rFonts w:ascii="仿宋_GB2312" w:hAnsi="仿宋_GB2312" w:eastAsia="仿宋_GB2312" w:cs="仿宋_GB2312"/>
              </w:rPr>
              <w:t>是否涉及优先采购节能产品</w:t>
            </w:r>
          </w:p>
        </w:tc>
        <w:tc>
          <w:tcPr>
            <w:tcW w:w="639" w:type="dxa"/>
          </w:tcPr>
          <w:p w14:paraId="3A8D4225">
            <w:pPr>
              <w:pStyle w:val="4"/>
              <w:jc w:val="center"/>
            </w:pPr>
            <w:r>
              <w:rPr>
                <w:rFonts w:ascii="仿宋_GB2312" w:hAnsi="仿宋_GB2312" w:eastAsia="仿宋_GB2312" w:cs="仿宋_GB2312"/>
              </w:rPr>
              <w:t>是否涉及优先采购环境标志产品</w:t>
            </w:r>
          </w:p>
        </w:tc>
      </w:tr>
      <w:tr w14:paraId="6AF03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D872961">
            <w:pPr>
              <w:pStyle w:val="4"/>
              <w:jc w:val="left"/>
            </w:pPr>
            <w:r>
              <w:rPr>
                <w:rFonts w:ascii="仿宋_GB2312" w:hAnsi="仿宋_GB2312" w:eastAsia="仿宋_GB2312" w:cs="仿宋_GB2312"/>
              </w:rPr>
              <w:t>1</w:t>
            </w:r>
          </w:p>
        </w:tc>
        <w:tc>
          <w:tcPr>
            <w:tcW w:w="821" w:type="dxa"/>
          </w:tcPr>
          <w:p w14:paraId="5B44A17F">
            <w:pPr>
              <w:pStyle w:val="4"/>
              <w:jc w:val="left"/>
            </w:pPr>
            <w:r>
              <w:rPr>
                <w:rFonts w:ascii="仿宋_GB2312" w:hAnsi="仿宋_GB2312" w:eastAsia="仿宋_GB2312" w:cs="仿宋_GB2312"/>
              </w:rPr>
              <w:t>C20030400 社会与管理咨询服务</w:t>
            </w:r>
          </w:p>
        </w:tc>
        <w:tc>
          <w:tcPr>
            <w:tcW w:w="821" w:type="dxa"/>
          </w:tcPr>
          <w:p w14:paraId="40BA9E50">
            <w:pPr>
              <w:pStyle w:val="4"/>
              <w:jc w:val="left"/>
            </w:pPr>
            <w:r>
              <w:rPr>
                <w:rFonts w:ascii="仿宋_GB2312" w:hAnsi="仿宋_GB2312" w:eastAsia="仿宋_GB2312" w:cs="仿宋_GB2312"/>
              </w:rPr>
              <w:t>成都市新都区发展和改革局新都区“十五五”绿色发展专项规划</w:t>
            </w:r>
          </w:p>
        </w:tc>
        <w:tc>
          <w:tcPr>
            <w:tcW w:w="821" w:type="dxa"/>
          </w:tcPr>
          <w:p w14:paraId="15A7979C">
            <w:pPr>
              <w:pStyle w:val="4"/>
              <w:jc w:val="right"/>
            </w:pPr>
            <w:r>
              <w:rPr>
                <w:rFonts w:ascii="仿宋_GB2312" w:hAnsi="仿宋_GB2312" w:eastAsia="仿宋_GB2312" w:cs="仿宋_GB2312"/>
              </w:rPr>
              <w:t>1.00（项）</w:t>
            </w:r>
          </w:p>
        </w:tc>
        <w:tc>
          <w:tcPr>
            <w:tcW w:w="821" w:type="dxa"/>
          </w:tcPr>
          <w:p w14:paraId="589C1DE3">
            <w:pPr>
              <w:pStyle w:val="4"/>
              <w:jc w:val="right"/>
            </w:pPr>
            <w:r>
              <w:rPr>
                <w:rFonts w:ascii="仿宋_GB2312" w:hAnsi="仿宋_GB2312" w:eastAsia="仿宋_GB2312" w:cs="仿宋_GB2312"/>
              </w:rPr>
              <w:t>400,000.00</w:t>
            </w:r>
          </w:p>
        </w:tc>
        <w:tc>
          <w:tcPr>
            <w:tcW w:w="821" w:type="dxa"/>
          </w:tcPr>
          <w:p w14:paraId="05D91369">
            <w:pPr>
              <w:pStyle w:val="4"/>
              <w:jc w:val="left"/>
            </w:pPr>
            <w:r>
              <w:rPr>
                <w:rFonts w:ascii="仿宋_GB2312" w:hAnsi="仿宋_GB2312" w:eastAsia="仿宋_GB2312" w:cs="仿宋_GB2312"/>
              </w:rPr>
              <w:t>租赁和商务服务业</w:t>
            </w:r>
          </w:p>
        </w:tc>
        <w:tc>
          <w:tcPr>
            <w:tcW w:w="821" w:type="dxa"/>
          </w:tcPr>
          <w:p w14:paraId="61BF183D">
            <w:pPr>
              <w:pStyle w:val="4"/>
              <w:jc w:val="left"/>
            </w:pPr>
            <w:r>
              <w:rPr>
                <w:rFonts w:ascii="仿宋_GB2312" w:hAnsi="仿宋_GB2312" w:eastAsia="仿宋_GB2312" w:cs="仿宋_GB2312"/>
              </w:rPr>
              <w:t>否</w:t>
            </w:r>
          </w:p>
        </w:tc>
        <w:tc>
          <w:tcPr>
            <w:tcW w:w="821" w:type="dxa"/>
          </w:tcPr>
          <w:p w14:paraId="71D12010">
            <w:pPr>
              <w:pStyle w:val="4"/>
              <w:jc w:val="left"/>
            </w:pPr>
            <w:r>
              <w:rPr>
                <w:rFonts w:ascii="仿宋_GB2312" w:hAnsi="仿宋_GB2312" w:eastAsia="仿宋_GB2312" w:cs="仿宋_GB2312"/>
              </w:rPr>
              <w:t>否</w:t>
            </w:r>
          </w:p>
        </w:tc>
        <w:tc>
          <w:tcPr>
            <w:tcW w:w="821" w:type="dxa"/>
          </w:tcPr>
          <w:p w14:paraId="5A8ADB0E">
            <w:pPr>
              <w:pStyle w:val="4"/>
              <w:jc w:val="left"/>
            </w:pPr>
            <w:r>
              <w:rPr>
                <w:rFonts w:ascii="仿宋_GB2312" w:hAnsi="仿宋_GB2312" w:eastAsia="仿宋_GB2312" w:cs="仿宋_GB2312"/>
              </w:rPr>
              <w:t>否</w:t>
            </w:r>
          </w:p>
        </w:tc>
        <w:tc>
          <w:tcPr>
            <w:tcW w:w="639" w:type="dxa"/>
          </w:tcPr>
          <w:p w14:paraId="336FC05D">
            <w:pPr>
              <w:pStyle w:val="4"/>
              <w:jc w:val="left"/>
            </w:pPr>
            <w:r>
              <w:rPr>
                <w:rFonts w:ascii="仿宋_GB2312" w:hAnsi="仿宋_GB2312" w:eastAsia="仿宋_GB2312" w:cs="仿宋_GB2312"/>
              </w:rPr>
              <w:t>否</w:t>
            </w:r>
          </w:p>
        </w:tc>
        <w:tc>
          <w:tcPr>
            <w:tcW w:w="639" w:type="dxa"/>
          </w:tcPr>
          <w:p w14:paraId="3B47B0E6">
            <w:pPr>
              <w:pStyle w:val="4"/>
              <w:jc w:val="left"/>
            </w:pPr>
            <w:r>
              <w:rPr>
                <w:rFonts w:ascii="仿宋_GB2312" w:hAnsi="仿宋_GB2312" w:eastAsia="仿宋_GB2312" w:cs="仿宋_GB2312"/>
              </w:rPr>
              <w:t>否</w:t>
            </w:r>
          </w:p>
        </w:tc>
      </w:tr>
    </w:tbl>
    <w:p w14:paraId="3C5CC3FC">
      <w:pPr>
        <w:pStyle w:val="4"/>
        <w:jc w:val="left"/>
        <w:outlineLvl w:val="3"/>
      </w:pPr>
      <w:r>
        <w:rPr>
          <w:rFonts w:ascii="仿宋_GB2312" w:hAnsi="仿宋_GB2312" w:eastAsia="仿宋_GB2312" w:cs="仿宋_GB2312"/>
          <w:b/>
          <w:sz w:val="24"/>
        </w:rPr>
        <w:t>报价要求</w:t>
      </w:r>
    </w:p>
    <w:p w14:paraId="114CC6D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298A2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6E998AE">
            <w:pPr>
              <w:pStyle w:val="4"/>
              <w:jc w:val="center"/>
            </w:pPr>
            <w:r>
              <w:rPr>
                <w:rFonts w:ascii="仿宋_GB2312" w:hAnsi="仿宋_GB2312" w:eastAsia="仿宋_GB2312" w:cs="仿宋_GB2312"/>
              </w:rPr>
              <w:t>序号</w:t>
            </w:r>
          </w:p>
        </w:tc>
        <w:tc>
          <w:tcPr>
            <w:tcW w:w="1707" w:type="dxa"/>
          </w:tcPr>
          <w:p w14:paraId="7745C2FA">
            <w:pPr>
              <w:pStyle w:val="4"/>
              <w:jc w:val="center"/>
            </w:pPr>
            <w:r>
              <w:rPr>
                <w:rFonts w:ascii="仿宋_GB2312" w:hAnsi="仿宋_GB2312" w:eastAsia="仿宋_GB2312" w:cs="仿宋_GB2312"/>
              </w:rPr>
              <w:t>报价内容</w:t>
            </w:r>
          </w:p>
        </w:tc>
        <w:tc>
          <w:tcPr>
            <w:tcW w:w="1138" w:type="dxa"/>
          </w:tcPr>
          <w:p w14:paraId="79CC63C8">
            <w:pPr>
              <w:pStyle w:val="4"/>
              <w:jc w:val="center"/>
            </w:pPr>
            <w:r>
              <w:rPr>
                <w:rFonts w:ascii="仿宋_GB2312" w:hAnsi="仿宋_GB2312" w:eastAsia="仿宋_GB2312" w:cs="仿宋_GB2312"/>
              </w:rPr>
              <w:t>数量（计量单位）</w:t>
            </w:r>
          </w:p>
        </w:tc>
        <w:tc>
          <w:tcPr>
            <w:tcW w:w="1365" w:type="dxa"/>
          </w:tcPr>
          <w:p w14:paraId="662F7514">
            <w:pPr>
              <w:pStyle w:val="4"/>
              <w:jc w:val="center"/>
            </w:pPr>
            <w:r>
              <w:rPr>
                <w:rFonts w:ascii="仿宋_GB2312" w:hAnsi="仿宋_GB2312" w:eastAsia="仿宋_GB2312" w:cs="仿宋_GB2312"/>
              </w:rPr>
              <w:t>最高限价</w:t>
            </w:r>
          </w:p>
        </w:tc>
        <w:tc>
          <w:tcPr>
            <w:tcW w:w="1138" w:type="dxa"/>
          </w:tcPr>
          <w:p w14:paraId="2CE2CC16">
            <w:pPr>
              <w:pStyle w:val="4"/>
              <w:jc w:val="center"/>
            </w:pPr>
            <w:r>
              <w:rPr>
                <w:rFonts w:ascii="仿宋_GB2312" w:hAnsi="仿宋_GB2312" w:eastAsia="仿宋_GB2312" w:cs="仿宋_GB2312"/>
              </w:rPr>
              <w:t>价款形式</w:t>
            </w:r>
          </w:p>
        </w:tc>
        <w:tc>
          <w:tcPr>
            <w:tcW w:w="1934" w:type="dxa"/>
          </w:tcPr>
          <w:p w14:paraId="75440A8D">
            <w:pPr>
              <w:pStyle w:val="4"/>
              <w:jc w:val="center"/>
            </w:pPr>
            <w:r>
              <w:rPr>
                <w:rFonts w:ascii="仿宋_GB2312" w:hAnsi="仿宋_GB2312" w:eastAsia="仿宋_GB2312" w:cs="仿宋_GB2312"/>
              </w:rPr>
              <w:t>报价说明</w:t>
            </w:r>
          </w:p>
        </w:tc>
      </w:tr>
      <w:tr w14:paraId="5E545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AE96B68">
            <w:pPr>
              <w:pStyle w:val="4"/>
              <w:jc w:val="center"/>
            </w:pPr>
            <w:r>
              <w:rPr>
                <w:rFonts w:ascii="仿宋_GB2312" w:hAnsi="仿宋_GB2312" w:eastAsia="仿宋_GB2312" w:cs="仿宋_GB2312"/>
              </w:rPr>
              <w:t>1</w:t>
            </w:r>
          </w:p>
        </w:tc>
        <w:tc>
          <w:tcPr>
            <w:tcW w:w="1707" w:type="dxa"/>
          </w:tcPr>
          <w:p w14:paraId="04A02097">
            <w:pPr>
              <w:pStyle w:val="4"/>
              <w:jc w:val="center"/>
            </w:pPr>
            <w:r>
              <w:rPr>
                <w:rFonts w:ascii="仿宋_GB2312" w:hAnsi="仿宋_GB2312" w:eastAsia="仿宋_GB2312" w:cs="仿宋_GB2312"/>
              </w:rPr>
              <w:t>成都市新都区发展和改革局新都区“十五五”绿色发展专项规划</w:t>
            </w:r>
          </w:p>
        </w:tc>
        <w:tc>
          <w:tcPr>
            <w:tcW w:w="1138" w:type="dxa"/>
          </w:tcPr>
          <w:p w14:paraId="2FD5177A">
            <w:pPr>
              <w:pStyle w:val="4"/>
              <w:jc w:val="center"/>
            </w:pPr>
            <w:r>
              <w:rPr>
                <w:rFonts w:ascii="仿宋_GB2312" w:hAnsi="仿宋_GB2312" w:eastAsia="仿宋_GB2312" w:cs="仿宋_GB2312"/>
              </w:rPr>
              <w:t>1.00（项）</w:t>
            </w:r>
          </w:p>
        </w:tc>
        <w:tc>
          <w:tcPr>
            <w:tcW w:w="1365" w:type="dxa"/>
          </w:tcPr>
          <w:p w14:paraId="14763351">
            <w:pPr>
              <w:pStyle w:val="4"/>
              <w:jc w:val="center"/>
            </w:pPr>
            <w:r>
              <w:rPr>
                <w:rFonts w:ascii="仿宋_GB2312" w:hAnsi="仿宋_GB2312" w:eastAsia="仿宋_GB2312" w:cs="仿宋_GB2312"/>
              </w:rPr>
              <w:t>400,000.00</w:t>
            </w:r>
          </w:p>
        </w:tc>
        <w:tc>
          <w:tcPr>
            <w:tcW w:w="1138" w:type="dxa"/>
          </w:tcPr>
          <w:p w14:paraId="5699A02E">
            <w:pPr>
              <w:pStyle w:val="4"/>
              <w:jc w:val="center"/>
            </w:pPr>
            <w:r>
              <w:rPr>
                <w:rFonts w:ascii="仿宋_GB2312" w:hAnsi="仿宋_GB2312" w:eastAsia="仿宋_GB2312" w:cs="仿宋_GB2312"/>
              </w:rPr>
              <w:t>总价</w:t>
            </w:r>
          </w:p>
        </w:tc>
        <w:tc>
          <w:tcPr>
            <w:tcW w:w="1934" w:type="dxa"/>
          </w:tcPr>
          <w:p w14:paraId="604CDDE7">
            <w:pPr>
              <w:pStyle w:val="4"/>
              <w:jc w:val="left"/>
            </w:pPr>
            <w:r>
              <w:rPr>
                <w:rFonts w:ascii="仿宋_GB2312" w:hAnsi="仿宋_GB2312" w:eastAsia="仿宋_GB2312" w:cs="仿宋_GB2312"/>
              </w:rPr>
              <w:t>应综合考虑人工费、管理费、物资投入费、风险费、利润、税金等完成本项目服务所需的全部费用后进行报价。</w:t>
            </w:r>
          </w:p>
        </w:tc>
      </w:tr>
    </w:tbl>
    <w:p w14:paraId="3911D4DA">
      <w:pPr>
        <w:pStyle w:val="4"/>
        <w:ind w:firstLine="480"/>
        <w:jc w:val="left"/>
      </w:pPr>
      <w:r>
        <w:rPr>
          <w:rFonts w:ascii="仿宋_GB2312" w:hAnsi="仿宋_GB2312" w:eastAsia="仿宋_GB2312" w:cs="仿宋_GB2312"/>
        </w:rPr>
        <w:t>★注：本采购包涉及采购货物的，供应商响应产品应当明确品牌和规格型号并指向唯一产品，不能指向唯一产品的，应通过报价表唯一产品说明栏补充说明。</w:t>
      </w:r>
    </w:p>
    <w:p w14:paraId="0307739A">
      <w:pPr>
        <w:pStyle w:val="4"/>
        <w:jc w:val="left"/>
        <w:outlineLvl w:val="3"/>
      </w:pPr>
      <w:r>
        <w:rPr>
          <w:rFonts w:ascii="仿宋_GB2312" w:hAnsi="仿宋_GB2312" w:eastAsia="仿宋_GB2312" w:cs="仿宋_GB2312"/>
          <w:b/>
          <w:sz w:val="24"/>
        </w:rPr>
        <w:t>本项目涉及核心产品：</w:t>
      </w:r>
    </w:p>
    <w:p w14:paraId="3E71948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1565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70CFD3">
            <w:pPr>
              <w:pStyle w:val="4"/>
              <w:jc w:val="center"/>
            </w:pPr>
            <w:r>
              <w:rPr>
                <w:rFonts w:ascii="仿宋_GB2312" w:hAnsi="仿宋_GB2312" w:eastAsia="仿宋_GB2312" w:cs="仿宋_GB2312"/>
              </w:rPr>
              <w:t>序号</w:t>
            </w:r>
          </w:p>
        </w:tc>
        <w:tc>
          <w:tcPr>
            <w:tcW w:w="2492" w:type="dxa"/>
          </w:tcPr>
          <w:p w14:paraId="0CDCBAC1">
            <w:pPr>
              <w:pStyle w:val="4"/>
              <w:jc w:val="center"/>
            </w:pPr>
            <w:r>
              <w:rPr>
                <w:rFonts w:ascii="仿宋_GB2312" w:hAnsi="仿宋_GB2312" w:eastAsia="仿宋_GB2312" w:cs="仿宋_GB2312"/>
              </w:rPr>
              <w:t>采购品目名称</w:t>
            </w:r>
          </w:p>
        </w:tc>
        <w:tc>
          <w:tcPr>
            <w:tcW w:w="2492" w:type="dxa"/>
          </w:tcPr>
          <w:p w14:paraId="3141EE0B">
            <w:pPr>
              <w:pStyle w:val="4"/>
              <w:jc w:val="center"/>
            </w:pPr>
            <w:r>
              <w:rPr>
                <w:rFonts w:ascii="仿宋_GB2312" w:hAnsi="仿宋_GB2312" w:eastAsia="仿宋_GB2312" w:cs="仿宋_GB2312"/>
              </w:rPr>
              <w:t>标的名称</w:t>
            </w:r>
          </w:p>
        </w:tc>
        <w:tc>
          <w:tcPr>
            <w:tcW w:w="2492" w:type="dxa"/>
          </w:tcPr>
          <w:p w14:paraId="580784D4">
            <w:pPr>
              <w:pStyle w:val="4"/>
              <w:jc w:val="center"/>
            </w:pPr>
            <w:r>
              <w:rPr>
                <w:rFonts w:ascii="仿宋_GB2312" w:hAnsi="仿宋_GB2312" w:eastAsia="仿宋_GB2312" w:cs="仿宋_GB2312"/>
              </w:rPr>
              <w:t>产品名称</w:t>
            </w:r>
          </w:p>
        </w:tc>
      </w:tr>
      <w:tr w14:paraId="7B276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AC0E356">
            <w:pPr>
              <w:pStyle w:val="4"/>
              <w:jc w:val="center"/>
            </w:pPr>
            <w:r>
              <w:rPr>
                <w:rFonts w:ascii="仿宋_GB2312" w:hAnsi="仿宋_GB2312" w:eastAsia="仿宋_GB2312" w:cs="仿宋_GB2312"/>
              </w:rPr>
              <w:t>不涉及</w:t>
            </w:r>
          </w:p>
        </w:tc>
      </w:tr>
    </w:tbl>
    <w:p w14:paraId="4C6C0B00">
      <w:pPr>
        <w:pStyle w:val="4"/>
        <w:ind w:firstLine="480"/>
        <w:jc w:val="left"/>
      </w:pPr>
      <w:r>
        <w:rPr>
          <w:rFonts w:ascii="仿宋_GB2312" w:hAnsi="仿宋_GB2312" w:eastAsia="仿宋_GB2312" w:cs="仿宋_GB2312"/>
        </w:rPr>
        <w:t>注：涉及核心产品的，具体评审规定见第五章。</w:t>
      </w:r>
    </w:p>
    <w:p w14:paraId="766BB9BC">
      <w:pPr>
        <w:pStyle w:val="4"/>
        <w:jc w:val="left"/>
        <w:outlineLvl w:val="3"/>
      </w:pPr>
      <w:r>
        <w:rPr>
          <w:rFonts w:ascii="仿宋_GB2312" w:hAnsi="仿宋_GB2312" w:eastAsia="仿宋_GB2312" w:cs="仿宋_GB2312"/>
          <w:b/>
          <w:sz w:val="24"/>
        </w:rPr>
        <w:t>本项目涉及采购进口产品：</w:t>
      </w:r>
    </w:p>
    <w:p w14:paraId="5138C3EE">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C349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011CFA">
            <w:pPr>
              <w:pStyle w:val="4"/>
              <w:jc w:val="center"/>
            </w:pPr>
            <w:r>
              <w:rPr>
                <w:rFonts w:ascii="仿宋_GB2312" w:hAnsi="仿宋_GB2312" w:eastAsia="仿宋_GB2312" w:cs="仿宋_GB2312"/>
              </w:rPr>
              <w:t>序号</w:t>
            </w:r>
          </w:p>
        </w:tc>
        <w:tc>
          <w:tcPr>
            <w:tcW w:w="2492" w:type="dxa"/>
          </w:tcPr>
          <w:p w14:paraId="7865B26C">
            <w:pPr>
              <w:pStyle w:val="4"/>
              <w:jc w:val="center"/>
            </w:pPr>
            <w:r>
              <w:rPr>
                <w:rFonts w:ascii="仿宋_GB2312" w:hAnsi="仿宋_GB2312" w:eastAsia="仿宋_GB2312" w:cs="仿宋_GB2312"/>
              </w:rPr>
              <w:t>采购品目名称</w:t>
            </w:r>
          </w:p>
        </w:tc>
        <w:tc>
          <w:tcPr>
            <w:tcW w:w="2492" w:type="dxa"/>
          </w:tcPr>
          <w:p w14:paraId="59A84277">
            <w:pPr>
              <w:pStyle w:val="4"/>
              <w:jc w:val="center"/>
            </w:pPr>
            <w:r>
              <w:rPr>
                <w:rFonts w:ascii="仿宋_GB2312" w:hAnsi="仿宋_GB2312" w:eastAsia="仿宋_GB2312" w:cs="仿宋_GB2312"/>
              </w:rPr>
              <w:t>标的名称</w:t>
            </w:r>
          </w:p>
        </w:tc>
        <w:tc>
          <w:tcPr>
            <w:tcW w:w="2492" w:type="dxa"/>
          </w:tcPr>
          <w:p w14:paraId="43DA21DB">
            <w:pPr>
              <w:pStyle w:val="4"/>
              <w:jc w:val="center"/>
            </w:pPr>
            <w:r>
              <w:rPr>
                <w:rFonts w:ascii="仿宋_GB2312" w:hAnsi="仿宋_GB2312" w:eastAsia="仿宋_GB2312" w:cs="仿宋_GB2312"/>
              </w:rPr>
              <w:t>产品名称</w:t>
            </w:r>
          </w:p>
        </w:tc>
      </w:tr>
      <w:tr w14:paraId="12B7B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5A6BB50">
            <w:pPr>
              <w:pStyle w:val="4"/>
              <w:jc w:val="center"/>
            </w:pPr>
            <w:r>
              <w:rPr>
                <w:rFonts w:ascii="仿宋_GB2312" w:hAnsi="仿宋_GB2312" w:eastAsia="仿宋_GB2312" w:cs="仿宋_GB2312"/>
              </w:rPr>
              <w:t>不涉及</w:t>
            </w:r>
          </w:p>
        </w:tc>
      </w:tr>
    </w:tbl>
    <w:p w14:paraId="73843926">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3F413EF6">
      <w:pPr>
        <w:pStyle w:val="4"/>
        <w:jc w:val="left"/>
        <w:outlineLvl w:val="3"/>
      </w:pPr>
      <w:r>
        <w:rPr>
          <w:rFonts w:ascii="仿宋_GB2312" w:hAnsi="仿宋_GB2312" w:eastAsia="仿宋_GB2312" w:cs="仿宋_GB2312"/>
          <w:b/>
          <w:sz w:val="24"/>
        </w:rPr>
        <w:t>本项目涉及强制采购节能产品：</w:t>
      </w:r>
    </w:p>
    <w:p w14:paraId="46CCF4E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9E28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8FB39E">
            <w:pPr>
              <w:pStyle w:val="4"/>
              <w:jc w:val="center"/>
            </w:pPr>
            <w:r>
              <w:rPr>
                <w:rFonts w:ascii="仿宋_GB2312" w:hAnsi="仿宋_GB2312" w:eastAsia="仿宋_GB2312" w:cs="仿宋_GB2312"/>
              </w:rPr>
              <w:t>序号</w:t>
            </w:r>
          </w:p>
        </w:tc>
        <w:tc>
          <w:tcPr>
            <w:tcW w:w="2492" w:type="dxa"/>
          </w:tcPr>
          <w:p w14:paraId="45F91031">
            <w:pPr>
              <w:pStyle w:val="4"/>
              <w:jc w:val="center"/>
            </w:pPr>
            <w:r>
              <w:rPr>
                <w:rFonts w:ascii="仿宋_GB2312" w:hAnsi="仿宋_GB2312" w:eastAsia="仿宋_GB2312" w:cs="仿宋_GB2312"/>
              </w:rPr>
              <w:t>采购品目名称</w:t>
            </w:r>
          </w:p>
        </w:tc>
        <w:tc>
          <w:tcPr>
            <w:tcW w:w="2492" w:type="dxa"/>
          </w:tcPr>
          <w:p w14:paraId="54B372C4">
            <w:pPr>
              <w:pStyle w:val="4"/>
              <w:jc w:val="center"/>
            </w:pPr>
            <w:r>
              <w:rPr>
                <w:rFonts w:ascii="仿宋_GB2312" w:hAnsi="仿宋_GB2312" w:eastAsia="仿宋_GB2312" w:cs="仿宋_GB2312"/>
              </w:rPr>
              <w:t>标的名称</w:t>
            </w:r>
          </w:p>
        </w:tc>
        <w:tc>
          <w:tcPr>
            <w:tcW w:w="2492" w:type="dxa"/>
          </w:tcPr>
          <w:p w14:paraId="15C9EF5D">
            <w:pPr>
              <w:pStyle w:val="4"/>
              <w:jc w:val="center"/>
            </w:pPr>
            <w:r>
              <w:rPr>
                <w:rFonts w:ascii="仿宋_GB2312" w:hAnsi="仿宋_GB2312" w:eastAsia="仿宋_GB2312" w:cs="仿宋_GB2312"/>
              </w:rPr>
              <w:t>产品名称</w:t>
            </w:r>
          </w:p>
        </w:tc>
      </w:tr>
      <w:tr w14:paraId="7F8DB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1C5FAF9">
            <w:pPr>
              <w:pStyle w:val="4"/>
              <w:jc w:val="center"/>
            </w:pPr>
            <w:r>
              <w:rPr>
                <w:rFonts w:ascii="仿宋_GB2312" w:hAnsi="仿宋_GB2312" w:eastAsia="仿宋_GB2312" w:cs="仿宋_GB2312"/>
              </w:rPr>
              <w:t>不涉及</w:t>
            </w:r>
          </w:p>
        </w:tc>
      </w:tr>
    </w:tbl>
    <w:p w14:paraId="08012899">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五章符合性审查表。</w:t>
      </w:r>
    </w:p>
    <w:p w14:paraId="56EB8C7A">
      <w:pPr>
        <w:pStyle w:val="4"/>
        <w:jc w:val="left"/>
      </w:pPr>
      <w:r>
        <w:rPr>
          <w:rFonts w:ascii="仿宋_GB2312" w:hAnsi="仿宋_GB2312" w:eastAsia="仿宋_GB2312" w:cs="仿宋_GB2312"/>
          <w:b/>
        </w:rPr>
        <w:t>本项目涉及优先采购节能产品：</w:t>
      </w:r>
    </w:p>
    <w:p w14:paraId="2126F5D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E3E4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ECCF4BA">
            <w:pPr>
              <w:pStyle w:val="4"/>
              <w:jc w:val="center"/>
            </w:pPr>
            <w:r>
              <w:rPr>
                <w:rFonts w:ascii="仿宋_GB2312" w:hAnsi="仿宋_GB2312" w:eastAsia="仿宋_GB2312" w:cs="仿宋_GB2312"/>
              </w:rPr>
              <w:t>序号</w:t>
            </w:r>
          </w:p>
        </w:tc>
        <w:tc>
          <w:tcPr>
            <w:tcW w:w="2492" w:type="dxa"/>
          </w:tcPr>
          <w:p w14:paraId="3469FA09">
            <w:pPr>
              <w:pStyle w:val="4"/>
              <w:jc w:val="center"/>
            </w:pPr>
            <w:r>
              <w:rPr>
                <w:rFonts w:ascii="仿宋_GB2312" w:hAnsi="仿宋_GB2312" w:eastAsia="仿宋_GB2312" w:cs="仿宋_GB2312"/>
              </w:rPr>
              <w:t>采购品目名称</w:t>
            </w:r>
          </w:p>
        </w:tc>
        <w:tc>
          <w:tcPr>
            <w:tcW w:w="2492" w:type="dxa"/>
          </w:tcPr>
          <w:p w14:paraId="322677D8">
            <w:pPr>
              <w:pStyle w:val="4"/>
              <w:jc w:val="center"/>
            </w:pPr>
            <w:r>
              <w:rPr>
                <w:rFonts w:ascii="仿宋_GB2312" w:hAnsi="仿宋_GB2312" w:eastAsia="仿宋_GB2312" w:cs="仿宋_GB2312"/>
              </w:rPr>
              <w:t>标的名称</w:t>
            </w:r>
          </w:p>
        </w:tc>
        <w:tc>
          <w:tcPr>
            <w:tcW w:w="2492" w:type="dxa"/>
          </w:tcPr>
          <w:p w14:paraId="671323DE">
            <w:pPr>
              <w:pStyle w:val="4"/>
              <w:jc w:val="center"/>
            </w:pPr>
            <w:r>
              <w:rPr>
                <w:rFonts w:ascii="仿宋_GB2312" w:hAnsi="仿宋_GB2312" w:eastAsia="仿宋_GB2312" w:cs="仿宋_GB2312"/>
              </w:rPr>
              <w:t>产品名称</w:t>
            </w:r>
          </w:p>
        </w:tc>
      </w:tr>
      <w:tr w14:paraId="130F1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6FC7CB43">
            <w:pPr>
              <w:pStyle w:val="4"/>
              <w:jc w:val="center"/>
            </w:pPr>
            <w:r>
              <w:rPr>
                <w:rFonts w:ascii="仿宋_GB2312" w:hAnsi="仿宋_GB2312" w:eastAsia="仿宋_GB2312" w:cs="仿宋_GB2312"/>
              </w:rPr>
              <w:t>不涉及</w:t>
            </w:r>
          </w:p>
        </w:tc>
      </w:tr>
    </w:tbl>
    <w:p w14:paraId="7700EF65">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五章规定。</w:t>
      </w:r>
    </w:p>
    <w:p w14:paraId="6747845C">
      <w:pPr>
        <w:pStyle w:val="4"/>
        <w:jc w:val="left"/>
        <w:outlineLvl w:val="3"/>
      </w:pPr>
      <w:r>
        <w:rPr>
          <w:rFonts w:ascii="仿宋_GB2312" w:hAnsi="仿宋_GB2312" w:eastAsia="仿宋_GB2312" w:cs="仿宋_GB2312"/>
          <w:b/>
          <w:sz w:val="24"/>
        </w:rPr>
        <w:t>本项目涉及优先采购环境标志产品：</w:t>
      </w:r>
    </w:p>
    <w:p w14:paraId="15F1289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75C3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DE378EA">
            <w:pPr>
              <w:pStyle w:val="4"/>
              <w:jc w:val="center"/>
            </w:pPr>
            <w:r>
              <w:rPr>
                <w:rFonts w:ascii="仿宋_GB2312" w:hAnsi="仿宋_GB2312" w:eastAsia="仿宋_GB2312" w:cs="仿宋_GB2312"/>
              </w:rPr>
              <w:t>序号</w:t>
            </w:r>
          </w:p>
        </w:tc>
        <w:tc>
          <w:tcPr>
            <w:tcW w:w="2492" w:type="dxa"/>
          </w:tcPr>
          <w:p w14:paraId="6D9502E9">
            <w:pPr>
              <w:pStyle w:val="4"/>
              <w:jc w:val="center"/>
            </w:pPr>
            <w:r>
              <w:rPr>
                <w:rFonts w:ascii="仿宋_GB2312" w:hAnsi="仿宋_GB2312" w:eastAsia="仿宋_GB2312" w:cs="仿宋_GB2312"/>
              </w:rPr>
              <w:t>采购品目名称</w:t>
            </w:r>
          </w:p>
        </w:tc>
        <w:tc>
          <w:tcPr>
            <w:tcW w:w="2492" w:type="dxa"/>
          </w:tcPr>
          <w:p w14:paraId="59B677F6">
            <w:pPr>
              <w:pStyle w:val="4"/>
              <w:jc w:val="center"/>
            </w:pPr>
            <w:r>
              <w:rPr>
                <w:rFonts w:ascii="仿宋_GB2312" w:hAnsi="仿宋_GB2312" w:eastAsia="仿宋_GB2312" w:cs="仿宋_GB2312"/>
              </w:rPr>
              <w:t>标的名称</w:t>
            </w:r>
          </w:p>
        </w:tc>
        <w:tc>
          <w:tcPr>
            <w:tcW w:w="2492" w:type="dxa"/>
          </w:tcPr>
          <w:p w14:paraId="6FE23570">
            <w:pPr>
              <w:pStyle w:val="4"/>
              <w:jc w:val="center"/>
            </w:pPr>
            <w:r>
              <w:rPr>
                <w:rFonts w:ascii="仿宋_GB2312" w:hAnsi="仿宋_GB2312" w:eastAsia="仿宋_GB2312" w:cs="仿宋_GB2312"/>
              </w:rPr>
              <w:t>产品名称</w:t>
            </w:r>
          </w:p>
        </w:tc>
      </w:tr>
      <w:tr w14:paraId="7C8A3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7B577A9">
            <w:pPr>
              <w:pStyle w:val="4"/>
              <w:jc w:val="center"/>
            </w:pPr>
            <w:r>
              <w:rPr>
                <w:rFonts w:ascii="仿宋_GB2312" w:hAnsi="仿宋_GB2312" w:eastAsia="仿宋_GB2312" w:cs="仿宋_GB2312"/>
              </w:rPr>
              <w:t>不涉及</w:t>
            </w:r>
          </w:p>
        </w:tc>
      </w:tr>
    </w:tbl>
    <w:p w14:paraId="5D3A4DF9">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五章规定。</w:t>
      </w:r>
    </w:p>
    <w:p w14:paraId="0132D8B9">
      <w:pPr>
        <w:pStyle w:val="4"/>
        <w:jc w:val="left"/>
        <w:outlineLvl w:val="2"/>
      </w:pPr>
      <w:r>
        <w:rPr>
          <w:rFonts w:ascii="仿宋_GB2312" w:hAnsi="仿宋_GB2312" w:eastAsia="仿宋_GB2312" w:cs="仿宋_GB2312"/>
          <w:b/>
          <w:sz w:val="28"/>
        </w:rPr>
        <w:t>3.2.技术要求</w:t>
      </w:r>
    </w:p>
    <w:p w14:paraId="235A46F8">
      <w:pPr>
        <w:pStyle w:val="4"/>
        <w:jc w:val="left"/>
      </w:pPr>
      <w:r>
        <w:rPr>
          <w:rFonts w:ascii="仿宋_GB2312" w:hAnsi="仿宋_GB2312" w:eastAsia="仿宋_GB2312" w:cs="仿宋_GB2312"/>
        </w:rPr>
        <w:t>采购包1：</w:t>
      </w:r>
    </w:p>
    <w:p w14:paraId="30055102">
      <w:pPr>
        <w:pStyle w:val="4"/>
        <w:jc w:val="left"/>
      </w:pPr>
      <w:r>
        <w:rPr>
          <w:rFonts w:ascii="仿宋_GB2312" w:hAnsi="仿宋_GB2312" w:eastAsia="仿宋_GB2312" w:cs="仿宋_GB2312"/>
        </w:rPr>
        <w:t>标的名称：成都市新都区发展和改革局新都区“十五五”绿色发展专项规划</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42CA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9BB98DE">
            <w:pPr>
              <w:pStyle w:val="4"/>
              <w:jc w:val="center"/>
            </w:pPr>
            <w:r>
              <w:rPr>
                <w:rFonts w:ascii="仿宋_GB2312" w:hAnsi="仿宋_GB2312" w:eastAsia="仿宋_GB2312" w:cs="仿宋_GB2312"/>
              </w:rPr>
              <w:t>序号</w:t>
            </w:r>
          </w:p>
        </w:tc>
        <w:tc>
          <w:tcPr>
            <w:tcW w:w="581" w:type="dxa"/>
          </w:tcPr>
          <w:p w14:paraId="48892456">
            <w:pPr>
              <w:pStyle w:val="4"/>
              <w:jc w:val="center"/>
            </w:pPr>
            <w:r>
              <w:rPr>
                <w:rFonts w:ascii="仿宋_GB2312" w:hAnsi="仿宋_GB2312" w:eastAsia="仿宋_GB2312" w:cs="仿宋_GB2312"/>
              </w:rPr>
              <w:t>符号标识</w:t>
            </w:r>
          </w:p>
        </w:tc>
        <w:tc>
          <w:tcPr>
            <w:tcW w:w="1495" w:type="dxa"/>
          </w:tcPr>
          <w:p w14:paraId="0E19F655">
            <w:pPr>
              <w:pStyle w:val="4"/>
              <w:jc w:val="center"/>
            </w:pPr>
            <w:r>
              <w:rPr>
                <w:rFonts w:ascii="仿宋_GB2312" w:hAnsi="仿宋_GB2312" w:eastAsia="仿宋_GB2312" w:cs="仿宋_GB2312"/>
              </w:rPr>
              <w:t>技术要求名称</w:t>
            </w:r>
          </w:p>
        </w:tc>
        <w:tc>
          <w:tcPr>
            <w:tcW w:w="5814" w:type="dxa"/>
          </w:tcPr>
          <w:p w14:paraId="34A37372">
            <w:pPr>
              <w:pStyle w:val="4"/>
              <w:jc w:val="center"/>
            </w:pPr>
            <w:r>
              <w:rPr>
                <w:rFonts w:ascii="仿宋_GB2312" w:hAnsi="仿宋_GB2312" w:eastAsia="仿宋_GB2312" w:cs="仿宋_GB2312"/>
              </w:rPr>
              <w:t>技术参数与性能指标</w:t>
            </w:r>
          </w:p>
        </w:tc>
      </w:tr>
      <w:tr w14:paraId="6D916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AFFD3DC">
            <w:pPr>
              <w:pStyle w:val="4"/>
              <w:jc w:val="center"/>
            </w:pPr>
            <w:r>
              <w:rPr>
                <w:rFonts w:ascii="仿宋_GB2312" w:hAnsi="仿宋_GB2312" w:eastAsia="仿宋_GB2312" w:cs="仿宋_GB2312"/>
              </w:rPr>
              <w:t>1</w:t>
            </w:r>
          </w:p>
        </w:tc>
        <w:tc>
          <w:tcPr>
            <w:tcW w:w="581" w:type="dxa"/>
          </w:tcPr>
          <w:p w14:paraId="6B85342A">
            <w:pPr>
              <w:pStyle w:val="4"/>
              <w:jc w:val="center"/>
            </w:pPr>
            <w:r>
              <w:rPr>
                <w:rFonts w:ascii="仿宋_GB2312" w:hAnsi="仿宋_GB2312" w:eastAsia="仿宋_GB2312" w:cs="仿宋_GB2312"/>
              </w:rPr>
              <w:t>★</w:t>
            </w:r>
          </w:p>
        </w:tc>
        <w:tc>
          <w:tcPr>
            <w:tcW w:w="1495" w:type="dxa"/>
          </w:tcPr>
          <w:p w14:paraId="7817E483">
            <w:pPr>
              <w:pStyle w:val="4"/>
              <w:jc w:val="left"/>
            </w:pPr>
            <w:r>
              <w:rPr>
                <w:rFonts w:ascii="仿宋_GB2312" w:hAnsi="仿宋_GB2312" w:eastAsia="仿宋_GB2312" w:cs="仿宋_GB2312"/>
              </w:rPr>
              <w:t>规划编制总体要求</w:t>
            </w:r>
          </w:p>
        </w:tc>
        <w:tc>
          <w:tcPr>
            <w:tcW w:w="5814" w:type="dxa"/>
          </w:tcPr>
          <w:p w14:paraId="594CC080">
            <w:pPr>
              <w:pStyle w:val="4"/>
              <w:ind w:firstLine="480"/>
              <w:jc w:val="both"/>
            </w:pPr>
            <w:r>
              <w:rPr>
                <w:rFonts w:ascii="仿宋_GB2312" w:hAnsi="仿宋_GB2312" w:eastAsia="仿宋_GB2312" w:cs="仿宋_GB2312"/>
                <w:sz w:val="24"/>
              </w:rPr>
              <w:t>系统梳理“十四五”时期成都市新都区绿色转型发展取得的成效，系统总结经验及不足，分析成都市新都区绿色转型发展面临的新形势、新要求。突出与国家、省、市战略部署衔接，对未来五年成都市新都区绿色转型发展进行谋篇布局，着重考虑发展与绿色转型、降碳与绿色转型、全面与突破、治标与治本的关系，从推进空间、产业、能源、交通、城乡建设五大领域和资源、消费、动力三大环节全面转型。提出成都市新都区“十五五”时期绿色转型发展的重点任务、重大工程，探索成都市新都区绿色转型发展路径。在框架结构上，要与市级专项规划基本保持一致，便于对标对表和对接上级安排的目标任务、工作要点；在标准设置上，整体按照不低于市级的原则，坚持积极稳妥、留有余地的原则，提出与成都市新都区实际情况和发展阶段相适应的工作目标。</w:t>
            </w:r>
          </w:p>
        </w:tc>
      </w:tr>
      <w:tr w14:paraId="5782D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41C346">
            <w:pPr>
              <w:pStyle w:val="4"/>
              <w:jc w:val="center"/>
            </w:pPr>
            <w:r>
              <w:rPr>
                <w:rFonts w:ascii="仿宋_GB2312" w:hAnsi="仿宋_GB2312" w:eastAsia="仿宋_GB2312" w:cs="仿宋_GB2312"/>
              </w:rPr>
              <w:t>2</w:t>
            </w:r>
          </w:p>
        </w:tc>
        <w:tc>
          <w:tcPr>
            <w:tcW w:w="581" w:type="dxa"/>
          </w:tcPr>
          <w:p w14:paraId="1EB9A805">
            <w:pPr>
              <w:pStyle w:val="4"/>
              <w:jc w:val="center"/>
            </w:pPr>
            <w:r>
              <w:rPr>
                <w:rFonts w:ascii="仿宋_GB2312" w:hAnsi="仿宋_GB2312" w:eastAsia="仿宋_GB2312" w:cs="仿宋_GB2312"/>
              </w:rPr>
              <w:t>★</w:t>
            </w:r>
          </w:p>
        </w:tc>
        <w:tc>
          <w:tcPr>
            <w:tcW w:w="1495" w:type="dxa"/>
          </w:tcPr>
          <w:p w14:paraId="46366B08">
            <w:pPr>
              <w:pStyle w:val="4"/>
              <w:jc w:val="left"/>
            </w:pPr>
            <w:r>
              <w:rPr>
                <w:rFonts w:ascii="仿宋_GB2312" w:hAnsi="仿宋_GB2312" w:eastAsia="仿宋_GB2312" w:cs="仿宋_GB2312"/>
              </w:rPr>
              <w:t>主要技术服务内容</w:t>
            </w:r>
          </w:p>
        </w:tc>
        <w:tc>
          <w:tcPr>
            <w:tcW w:w="5814" w:type="dxa"/>
          </w:tcPr>
          <w:p w14:paraId="1446E7DC">
            <w:pPr>
              <w:pStyle w:val="4"/>
              <w:ind w:firstLine="480"/>
              <w:jc w:val="both"/>
            </w:pPr>
            <w:r>
              <w:rPr>
                <w:rFonts w:ascii="仿宋_GB2312" w:hAnsi="仿宋_GB2312" w:eastAsia="仿宋_GB2312" w:cs="仿宋_GB2312"/>
                <w:sz w:val="24"/>
              </w:rPr>
              <w:t>1、锚定2035年远景目标，明确新都区在区域绿色发展中承担的功能定位。坚持全局谋划、重点突出。深入研究成都市新都区绿色转型发展阶段特征，全面统筹经济社会各领域、各方面，推动绿色转型工作整体发展、协调推动。注重突出重点工作，落实国家、四川省、成都市绿色转型部署要求，提出“十五五”时期，成都市新都区绿色转型发展的重点任务、重点工程和重点项目。</w:t>
            </w:r>
          </w:p>
          <w:p w14:paraId="0283AB2D">
            <w:pPr>
              <w:pStyle w:val="4"/>
              <w:ind w:firstLine="480"/>
              <w:jc w:val="both"/>
            </w:pPr>
            <w:r>
              <w:rPr>
                <w:rFonts w:ascii="仿宋_GB2312" w:hAnsi="仿宋_GB2312" w:eastAsia="仿宋_GB2312" w:cs="仿宋_GB2312"/>
                <w:sz w:val="24"/>
              </w:rPr>
              <w:t>2、梳理国内先进地区推动产业绿色转型、循环经济发展、城乡协同减污降碳、生态价值实现的创新举措，提炼新都区可借鉴的经验做法。充分借鉴先发地区绿色转型发展的先进经验，全面谋划中期和长期绿色转型发展的主要思路，结合成都市新都区实际，以重大关键问题为导向，提出推动绿色转型发展的可操作性的具体实现路径。</w:t>
            </w:r>
          </w:p>
          <w:p w14:paraId="75BAABF1">
            <w:pPr>
              <w:pStyle w:val="4"/>
              <w:ind w:firstLine="480"/>
              <w:jc w:val="both"/>
            </w:pPr>
            <w:r>
              <w:rPr>
                <w:rFonts w:ascii="仿宋_GB2312" w:hAnsi="仿宋_GB2312" w:eastAsia="仿宋_GB2312" w:cs="仿宋_GB2312"/>
                <w:sz w:val="24"/>
              </w:rPr>
              <w:t>3、坚持群策群力、共建共享。践行开门问策、集思广益的要求，通过网上征集或专家座谈或实地调研形式，切实把社会期盼、群众智慧、专家意见、基层经验充分运用到“十五五”绿色转型发展规划编制中。</w:t>
            </w:r>
          </w:p>
          <w:p w14:paraId="01693FF6">
            <w:pPr>
              <w:pStyle w:val="4"/>
              <w:ind w:firstLine="480"/>
              <w:jc w:val="both"/>
            </w:pPr>
          </w:p>
        </w:tc>
      </w:tr>
      <w:tr w14:paraId="0CE4C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9C1B3F9">
            <w:pPr>
              <w:pStyle w:val="4"/>
              <w:jc w:val="center"/>
            </w:pPr>
            <w:r>
              <w:rPr>
                <w:rFonts w:ascii="仿宋_GB2312" w:hAnsi="仿宋_GB2312" w:eastAsia="仿宋_GB2312" w:cs="仿宋_GB2312"/>
              </w:rPr>
              <w:t>3</w:t>
            </w:r>
          </w:p>
        </w:tc>
        <w:tc>
          <w:tcPr>
            <w:tcW w:w="581" w:type="dxa"/>
          </w:tcPr>
          <w:p w14:paraId="2861BD3A">
            <w:pPr>
              <w:pStyle w:val="4"/>
              <w:jc w:val="center"/>
            </w:pPr>
            <w:r>
              <w:rPr>
                <w:rFonts w:ascii="仿宋_GB2312" w:hAnsi="仿宋_GB2312" w:eastAsia="仿宋_GB2312" w:cs="仿宋_GB2312"/>
              </w:rPr>
              <w:t>★</w:t>
            </w:r>
          </w:p>
        </w:tc>
        <w:tc>
          <w:tcPr>
            <w:tcW w:w="1495" w:type="dxa"/>
          </w:tcPr>
          <w:p w14:paraId="5038B2E7">
            <w:pPr>
              <w:pStyle w:val="4"/>
              <w:jc w:val="left"/>
            </w:pPr>
            <w:r>
              <w:rPr>
                <w:rFonts w:ascii="仿宋_GB2312" w:hAnsi="仿宋_GB2312" w:eastAsia="仿宋_GB2312" w:cs="仿宋_GB2312"/>
              </w:rPr>
              <w:t>技术服务要求</w:t>
            </w:r>
          </w:p>
        </w:tc>
        <w:tc>
          <w:tcPr>
            <w:tcW w:w="5814" w:type="dxa"/>
          </w:tcPr>
          <w:p w14:paraId="3FC5560D">
            <w:pPr>
              <w:pStyle w:val="4"/>
              <w:ind w:firstLine="472"/>
              <w:jc w:val="both"/>
            </w:pPr>
            <w:r>
              <w:rPr>
                <w:rFonts w:ascii="仿宋_GB2312" w:hAnsi="仿宋_GB2312" w:eastAsia="仿宋_GB2312" w:cs="仿宋_GB2312"/>
                <w:sz w:val="24"/>
              </w:rPr>
              <w:t>1、供应商应采用科学的规划编制方法，全面深入地开展调研工作，保障资料准确详实、行文规范精练。规划编制应充分结合新都区绿色发展实际，提出具有战略性、前瞻性、针对性和可操作性的方向路径。</w:t>
            </w:r>
          </w:p>
          <w:p w14:paraId="5F8E5099">
            <w:pPr>
              <w:pStyle w:val="4"/>
              <w:ind w:firstLine="472"/>
              <w:jc w:val="both"/>
            </w:pPr>
            <w:r>
              <w:rPr>
                <w:rFonts w:ascii="仿宋_GB2312" w:hAnsi="仿宋_GB2312" w:eastAsia="仿宋_GB2312" w:cs="仿宋_GB2312"/>
                <w:sz w:val="24"/>
              </w:rPr>
              <w:t>2、项目服务团队要求：</w:t>
            </w:r>
          </w:p>
          <w:p w14:paraId="1DF73F4A">
            <w:pPr>
              <w:pStyle w:val="4"/>
              <w:ind w:firstLine="472"/>
              <w:jc w:val="both"/>
            </w:pPr>
            <w:r>
              <w:rPr>
                <w:rFonts w:ascii="仿宋_GB2312" w:hAnsi="仿宋_GB2312" w:eastAsia="仿宋_GB2312" w:cs="仿宋_GB2312"/>
                <w:sz w:val="24"/>
              </w:rPr>
              <w:t>（1）供应商需为本项目配备保障项目顺利实施的并具有完成项目相关技术能力、熟悉成都市及新都区经济社会发展情况、绿色转型情况的项目服务团队，团队中包括一名项目负责人（负责项目整体协调管理和技术指导工作），除项目负责人外，还需配备至少4名其他服务人员。供应商负责所配备的项目服务团队人员的安全，项目履约过程中服务人员发生的安全事故均由供应商自行承担责任。（注：针对本项目服务团队人员配备是否满足配备人数要求，供应商须自行提供项目服务团队人员配备情况表并加盖供应商电子章作为评审证明材料，本表格式自拟但内容至少包括团队人员姓名、身份证号码、同时明确谁任职项目负责人、谁任职其他服务人员。未按要求提供有效项目服务团队人员配备情况表视为不满足本实质性要求）</w:t>
            </w:r>
          </w:p>
          <w:p w14:paraId="57EFA8E3">
            <w:pPr>
              <w:pStyle w:val="4"/>
              <w:ind w:firstLine="472"/>
              <w:jc w:val="both"/>
            </w:pPr>
            <w:r>
              <w:rPr>
                <w:rFonts w:ascii="仿宋_GB2312" w:hAnsi="仿宋_GB2312" w:eastAsia="仿宋_GB2312" w:cs="仿宋_GB2312"/>
                <w:sz w:val="24"/>
              </w:rPr>
              <w:t>（2）项目执行过程中，供应商不得擅自替换或减少项目服务团队人员，若遇特殊情况确须更换人员，需至少提前五个工作日书面报采购人，经采购人书面同意后方可替换团队人员，同时不得降低标准替换人员。</w:t>
            </w:r>
          </w:p>
          <w:p w14:paraId="1DBC4C65">
            <w:pPr>
              <w:pStyle w:val="4"/>
              <w:ind w:firstLine="472"/>
              <w:jc w:val="both"/>
            </w:pPr>
            <w:r>
              <w:rPr>
                <w:rFonts w:ascii="仿宋_GB2312" w:hAnsi="仿宋_GB2312" w:eastAsia="仿宋_GB2312" w:cs="仿宋_GB2312"/>
                <w:sz w:val="24"/>
              </w:rPr>
              <w:t>（3）项目团队人员必须严格遵守工作纪律、履行工作职责，不得在工作中徇私舞弊、玩忽职守，确保服务工作的客观公正。</w:t>
            </w:r>
          </w:p>
          <w:p w14:paraId="4F000152">
            <w:pPr>
              <w:pStyle w:val="4"/>
              <w:ind w:firstLine="472"/>
              <w:jc w:val="both"/>
            </w:pPr>
            <w:r>
              <w:rPr>
                <w:rFonts w:ascii="仿宋_GB2312" w:hAnsi="仿宋_GB2312" w:eastAsia="仿宋_GB2312" w:cs="仿宋_GB2312"/>
                <w:sz w:val="24"/>
              </w:rPr>
              <w:t>3、服务过程中供应商及其配备的服务团队人员须对采购人提供的所有资料和信息予以保密。未经采购人书面许可，供应商及其配备的服务团队人员不得以任何形式向第三方透露采购人提供的任何资料和信息。如因资料信息泄露给他人造成损失的，由供应商承担全部责任。供应商需对团队人员开展保密教育工作。</w:t>
            </w:r>
          </w:p>
          <w:p w14:paraId="4067B034">
            <w:pPr>
              <w:pStyle w:val="4"/>
              <w:ind w:firstLine="472"/>
              <w:jc w:val="both"/>
            </w:pPr>
            <w:r>
              <w:rPr>
                <w:rFonts w:ascii="仿宋_GB2312" w:hAnsi="仿宋_GB2312" w:eastAsia="仿宋_GB2312" w:cs="仿宋_GB2312"/>
                <w:sz w:val="24"/>
              </w:rPr>
              <w:t>4、服务成果要求：</w:t>
            </w:r>
          </w:p>
          <w:p w14:paraId="6F68568B">
            <w:pPr>
              <w:pStyle w:val="4"/>
              <w:ind w:firstLine="472"/>
              <w:jc w:val="left"/>
            </w:pPr>
            <w:r>
              <w:rPr>
                <w:rFonts w:ascii="仿宋_GB2312" w:hAnsi="仿宋_GB2312" w:eastAsia="仿宋_GB2312" w:cs="仿宋_GB2312"/>
                <w:sz w:val="24"/>
              </w:rPr>
              <w:t>（1）供应商应编制并出具《成都市新都区“十五五”绿色转型发展规划》报告。向采购人交付的成果文件包括电子版1套和纸质版（装订成册）20份，电子版以WORD或PDF格式提交，电子版与纸质版的内容应保持一致，并对报告的合法性、有效性、客观性、科学性负责。</w:t>
            </w:r>
          </w:p>
          <w:p w14:paraId="4AF92237">
            <w:pPr>
              <w:pStyle w:val="4"/>
              <w:ind w:firstLine="472"/>
              <w:jc w:val="both"/>
            </w:pPr>
            <w:r>
              <w:rPr>
                <w:rFonts w:ascii="仿宋_GB2312" w:hAnsi="仿宋_GB2312" w:eastAsia="仿宋_GB2312" w:cs="仿宋_GB2312"/>
                <w:sz w:val="24"/>
              </w:rPr>
              <w:t>（2）本项目形成的成果均归采购人所有，未经采购人书面许可，供应商不得公开发表或对外提供，否则由此给采购人或相关人员造成的一切损失由供应商一方承担。本项目供应商提供的服务涉及的任何知识产权，采购人有权任意使用，供应商须保证不得有任何相关纠纷，如有纠纷供应商应承担全部责任。</w:t>
            </w:r>
          </w:p>
          <w:p w14:paraId="52AFC5BE">
            <w:pPr>
              <w:pStyle w:val="4"/>
              <w:ind w:firstLine="472"/>
              <w:jc w:val="both"/>
            </w:pPr>
            <w:r>
              <w:rPr>
                <w:rFonts w:ascii="仿宋_GB2312" w:hAnsi="仿宋_GB2312" w:eastAsia="仿宋_GB2312" w:cs="仿宋_GB2312"/>
                <w:sz w:val="24"/>
              </w:rPr>
              <w:t>5、供应商所提供的服务质量须达到采购人的要求，在保证服务期和服务质量的前提下为采购人提供服务，服务中的一切风险（包括供应商人员安全事故责任、与第三方的劳务纠纷、项目实施过程中的劳务纠纷及人员伤害等）均由供应商一方承担责任。</w:t>
            </w:r>
          </w:p>
          <w:p w14:paraId="61CDEFBB">
            <w:pPr>
              <w:pStyle w:val="4"/>
              <w:ind w:firstLine="472"/>
              <w:jc w:val="both"/>
            </w:pPr>
            <w:r>
              <w:rPr>
                <w:rFonts w:ascii="仿宋_GB2312" w:hAnsi="仿宋_GB2312" w:eastAsia="仿宋_GB2312" w:cs="仿宋_GB2312"/>
                <w:sz w:val="24"/>
              </w:rPr>
              <w:t>6、供应商在项目执行过程中定期向采购人通告本项目的重大事项及其进度。</w:t>
            </w:r>
          </w:p>
          <w:p w14:paraId="13CBDA55">
            <w:pPr>
              <w:pStyle w:val="4"/>
              <w:ind w:firstLine="472"/>
              <w:jc w:val="both"/>
            </w:pPr>
            <w:r>
              <w:rPr>
                <w:rFonts w:ascii="仿宋_GB2312" w:hAnsi="仿宋_GB2312" w:eastAsia="仿宋_GB2312" w:cs="仿宋_GB2312"/>
                <w:sz w:val="24"/>
              </w:rPr>
              <w:t>7、供应商须接受项目行业管理部门及政府有关部门的指导，接受采购人的监督。</w:t>
            </w:r>
          </w:p>
          <w:p w14:paraId="0087852B">
            <w:pPr>
              <w:pStyle w:val="4"/>
              <w:ind w:firstLine="472"/>
              <w:jc w:val="both"/>
            </w:pPr>
            <w:r>
              <w:rPr>
                <w:rFonts w:ascii="仿宋_GB2312" w:hAnsi="仿宋_GB2312" w:eastAsia="仿宋_GB2312" w:cs="仿宋_GB2312"/>
                <w:sz w:val="24"/>
              </w:rPr>
              <w:t>8、供应商应配合采购人完成向政府决策机构的汇报工作。</w:t>
            </w:r>
          </w:p>
          <w:p w14:paraId="5CAB93AF">
            <w:pPr>
              <w:pStyle w:val="4"/>
              <w:ind w:firstLine="472"/>
              <w:jc w:val="both"/>
            </w:pPr>
          </w:p>
        </w:tc>
      </w:tr>
    </w:tbl>
    <w:p w14:paraId="3EAF39C5">
      <w:pPr>
        <w:pStyle w:val="4"/>
        <w:jc w:val="left"/>
        <w:outlineLvl w:val="2"/>
      </w:pPr>
      <w:r>
        <w:rPr>
          <w:rFonts w:ascii="仿宋_GB2312" w:hAnsi="仿宋_GB2312" w:eastAsia="仿宋_GB2312" w:cs="仿宋_GB2312"/>
          <w:b/>
          <w:sz w:val="28"/>
        </w:rPr>
        <w:t>3.3.服务要求</w:t>
      </w:r>
    </w:p>
    <w:p w14:paraId="4BED6C1E">
      <w:pPr>
        <w:pStyle w:val="4"/>
        <w:jc w:val="left"/>
        <w:outlineLvl w:val="3"/>
      </w:pPr>
      <w:r>
        <w:rPr>
          <w:rFonts w:ascii="仿宋_GB2312" w:hAnsi="仿宋_GB2312" w:eastAsia="仿宋_GB2312" w:cs="仿宋_GB2312"/>
          <w:b/>
          <w:sz w:val="24"/>
        </w:rPr>
        <w:t>3.3.1服务内容要求</w:t>
      </w:r>
    </w:p>
    <w:p w14:paraId="2E49E65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3BCB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1C3AE6E">
            <w:pPr>
              <w:pStyle w:val="4"/>
              <w:jc w:val="center"/>
            </w:pPr>
            <w:r>
              <w:rPr>
                <w:rFonts w:ascii="仿宋_GB2312" w:hAnsi="仿宋_GB2312" w:eastAsia="仿宋_GB2312" w:cs="仿宋_GB2312"/>
              </w:rPr>
              <w:t xml:space="preserve"> 序号</w:t>
            </w:r>
          </w:p>
        </w:tc>
        <w:tc>
          <w:tcPr>
            <w:tcW w:w="581" w:type="dxa"/>
          </w:tcPr>
          <w:p w14:paraId="226701BE">
            <w:pPr>
              <w:pStyle w:val="4"/>
              <w:jc w:val="center"/>
            </w:pPr>
            <w:r>
              <w:rPr>
                <w:rFonts w:ascii="仿宋_GB2312" w:hAnsi="仿宋_GB2312" w:eastAsia="仿宋_GB2312" w:cs="仿宋_GB2312"/>
              </w:rPr>
              <w:t xml:space="preserve"> 符号标识</w:t>
            </w:r>
          </w:p>
        </w:tc>
        <w:tc>
          <w:tcPr>
            <w:tcW w:w="1495" w:type="dxa"/>
          </w:tcPr>
          <w:p w14:paraId="213EFE63">
            <w:pPr>
              <w:pStyle w:val="4"/>
              <w:jc w:val="center"/>
            </w:pPr>
            <w:r>
              <w:rPr>
                <w:rFonts w:ascii="仿宋_GB2312" w:hAnsi="仿宋_GB2312" w:eastAsia="仿宋_GB2312" w:cs="仿宋_GB2312"/>
              </w:rPr>
              <w:t xml:space="preserve"> 服务要求名称</w:t>
            </w:r>
          </w:p>
        </w:tc>
        <w:tc>
          <w:tcPr>
            <w:tcW w:w="5814" w:type="dxa"/>
          </w:tcPr>
          <w:p w14:paraId="127AA702">
            <w:pPr>
              <w:pStyle w:val="4"/>
              <w:jc w:val="center"/>
            </w:pPr>
            <w:r>
              <w:rPr>
                <w:rFonts w:ascii="仿宋_GB2312" w:hAnsi="仿宋_GB2312" w:eastAsia="仿宋_GB2312" w:cs="仿宋_GB2312"/>
              </w:rPr>
              <w:t xml:space="preserve"> 服务要求内容</w:t>
            </w:r>
          </w:p>
        </w:tc>
      </w:tr>
      <w:tr w14:paraId="5EF51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C2265CB">
            <w:pPr>
              <w:pStyle w:val="4"/>
              <w:jc w:val="center"/>
            </w:pPr>
            <w:r>
              <w:rPr>
                <w:rFonts w:ascii="仿宋_GB2312" w:hAnsi="仿宋_GB2312" w:eastAsia="仿宋_GB2312" w:cs="仿宋_GB2312"/>
              </w:rPr>
              <w:t>1</w:t>
            </w:r>
          </w:p>
        </w:tc>
        <w:tc>
          <w:tcPr>
            <w:tcW w:w="581" w:type="dxa"/>
          </w:tcPr>
          <w:p w14:paraId="7A5D7156"/>
        </w:tc>
        <w:tc>
          <w:tcPr>
            <w:tcW w:w="1495" w:type="dxa"/>
          </w:tcPr>
          <w:p w14:paraId="7B468274">
            <w:pPr>
              <w:pStyle w:val="4"/>
              <w:jc w:val="left"/>
            </w:pPr>
            <w:r>
              <w:rPr>
                <w:rFonts w:ascii="仿宋_GB2312" w:hAnsi="仿宋_GB2312" w:eastAsia="仿宋_GB2312" w:cs="仿宋_GB2312"/>
              </w:rPr>
              <w:t>其他要求</w:t>
            </w:r>
          </w:p>
        </w:tc>
        <w:tc>
          <w:tcPr>
            <w:tcW w:w="5814" w:type="dxa"/>
          </w:tcPr>
          <w:p w14:paraId="4207AFA2">
            <w:pPr>
              <w:pStyle w:val="4"/>
              <w:ind w:firstLine="472"/>
              <w:jc w:val="both"/>
            </w:pPr>
            <w:r>
              <w:rPr>
                <w:rFonts w:ascii="仿宋_GB2312" w:hAnsi="仿宋_GB2312" w:eastAsia="仿宋_GB2312" w:cs="仿宋_GB2312"/>
                <w:sz w:val="24"/>
              </w:rPr>
              <w:t>1、供应商需对国家、省、市有关“十五五”时期绿色发展的政策背景、规划要求进行剖析，对项目重难点进行分析，并提出项目难点的解决措施。选择适用于本项目的编制方法与技术支撑条件开展本项目所需的研究工作。</w:t>
            </w:r>
          </w:p>
          <w:p w14:paraId="36EF4A9A">
            <w:pPr>
              <w:pStyle w:val="4"/>
              <w:ind w:firstLine="472"/>
              <w:jc w:val="both"/>
            </w:pPr>
            <w:r>
              <w:rPr>
                <w:rFonts w:ascii="仿宋_GB2312" w:hAnsi="仿宋_GB2312" w:eastAsia="仿宋_GB2312" w:cs="仿宋_GB2312"/>
                <w:sz w:val="24"/>
              </w:rPr>
              <w:t>2、供应商需对项目服务团队人员技术水平、服务能力、行为规范进行内部监督管理，建立项目管理机构并对团队人员进行职责划分。需对项目质量进行管理，制定项目质量管理措施。需对项目实施进度进行管理，提出项目进度控制措施。</w:t>
            </w:r>
          </w:p>
          <w:p w14:paraId="64F8C007">
            <w:pPr>
              <w:pStyle w:val="4"/>
              <w:ind w:firstLine="472"/>
              <w:jc w:val="both"/>
            </w:pPr>
            <w:r>
              <w:rPr>
                <w:rFonts w:ascii="仿宋_GB2312" w:hAnsi="仿宋_GB2312" w:eastAsia="仿宋_GB2312" w:cs="仿宋_GB2312"/>
                <w:sz w:val="24"/>
              </w:rPr>
              <w:t>3、供应商需建立应急团队负责处理项目实施过程中可能发生的突发情况，需对突发情况进行分析梳理、对突发情况有相关的处理预案。</w:t>
            </w:r>
          </w:p>
          <w:p w14:paraId="07BBE5BA">
            <w:pPr>
              <w:pStyle w:val="4"/>
              <w:ind w:firstLine="472"/>
              <w:jc w:val="both"/>
            </w:pPr>
          </w:p>
        </w:tc>
      </w:tr>
      <w:tr w14:paraId="4E7CD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83B2408">
            <w:pPr>
              <w:pStyle w:val="4"/>
              <w:jc w:val="center"/>
            </w:pPr>
            <w:r>
              <w:rPr>
                <w:rFonts w:ascii="仿宋_GB2312" w:hAnsi="仿宋_GB2312" w:eastAsia="仿宋_GB2312" w:cs="仿宋_GB2312"/>
              </w:rPr>
              <w:t>2</w:t>
            </w:r>
          </w:p>
        </w:tc>
        <w:tc>
          <w:tcPr>
            <w:tcW w:w="581" w:type="dxa"/>
          </w:tcPr>
          <w:p w14:paraId="1DB8DF6D"/>
        </w:tc>
        <w:tc>
          <w:tcPr>
            <w:tcW w:w="1495" w:type="dxa"/>
          </w:tcPr>
          <w:p w14:paraId="6FC4462F">
            <w:pPr>
              <w:pStyle w:val="4"/>
              <w:jc w:val="left"/>
            </w:pPr>
            <w:r>
              <w:rPr>
                <w:rFonts w:ascii="仿宋_GB2312" w:hAnsi="仿宋_GB2312" w:eastAsia="仿宋_GB2312" w:cs="仿宋_GB2312"/>
              </w:rPr>
              <w:t>项目服务方案</w:t>
            </w:r>
          </w:p>
        </w:tc>
        <w:tc>
          <w:tcPr>
            <w:tcW w:w="5814" w:type="dxa"/>
          </w:tcPr>
          <w:p w14:paraId="3D587AA5">
            <w:pPr>
              <w:pStyle w:val="4"/>
              <w:ind w:firstLine="472"/>
              <w:jc w:val="both"/>
            </w:pPr>
            <w:r>
              <w:rPr>
                <w:rFonts w:ascii="仿宋_GB2312" w:hAnsi="仿宋_GB2312" w:eastAsia="仿宋_GB2312" w:cs="仿宋_GB2312"/>
                <w:sz w:val="24"/>
              </w:rPr>
              <w:t>供应商在响应文件中针对本项目提供项目服务方案，包括项目分析、实施方案、项目机构管理方案、应急方案。供应商提供的项目分析包括规划背景分析、项目重难点分析、项目难点解决措施；提供的实施方案包括规划内容设置、编制方法与技术支撑条件、规划编制总体思路及框架设计、项目质量管理措施、项目进度控制措施、项目保密管理措施；提供的项目机构管理方案包括项目管理机构设置、团队人员职责分工、团队内部监督管理方案；提供的应急方案包括突发情况分析梳理、突发情况处理措施。</w:t>
            </w:r>
          </w:p>
        </w:tc>
      </w:tr>
    </w:tbl>
    <w:p w14:paraId="301773A1">
      <w:pPr>
        <w:pStyle w:val="4"/>
        <w:jc w:val="left"/>
        <w:outlineLvl w:val="3"/>
      </w:pPr>
      <w:r>
        <w:rPr>
          <w:rFonts w:ascii="仿宋_GB2312" w:hAnsi="仿宋_GB2312" w:eastAsia="仿宋_GB2312" w:cs="仿宋_GB2312"/>
          <w:b/>
          <w:sz w:val="24"/>
        </w:rPr>
        <w:t>3.3.2.商务要求</w:t>
      </w:r>
    </w:p>
    <w:p w14:paraId="2AB1BD5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CC49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60D32E3">
            <w:pPr>
              <w:pStyle w:val="4"/>
              <w:jc w:val="center"/>
            </w:pPr>
            <w:r>
              <w:rPr>
                <w:rFonts w:ascii="仿宋_GB2312" w:hAnsi="仿宋_GB2312" w:eastAsia="仿宋_GB2312" w:cs="仿宋_GB2312"/>
              </w:rPr>
              <w:t>序号</w:t>
            </w:r>
          </w:p>
        </w:tc>
        <w:tc>
          <w:tcPr>
            <w:tcW w:w="581" w:type="dxa"/>
          </w:tcPr>
          <w:p w14:paraId="16955326">
            <w:pPr>
              <w:pStyle w:val="4"/>
              <w:jc w:val="center"/>
            </w:pPr>
            <w:r>
              <w:rPr>
                <w:rFonts w:ascii="仿宋_GB2312" w:hAnsi="仿宋_GB2312" w:eastAsia="仿宋_GB2312" w:cs="仿宋_GB2312"/>
              </w:rPr>
              <w:t>符号标识</w:t>
            </w:r>
          </w:p>
        </w:tc>
        <w:tc>
          <w:tcPr>
            <w:tcW w:w="1495" w:type="dxa"/>
          </w:tcPr>
          <w:p w14:paraId="13A08C40">
            <w:pPr>
              <w:pStyle w:val="4"/>
              <w:jc w:val="center"/>
            </w:pPr>
            <w:r>
              <w:rPr>
                <w:rFonts w:ascii="仿宋_GB2312" w:hAnsi="仿宋_GB2312" w:eastAsia="仿宋_GB2312" w:cs="仿宋_GB2312"/>
              </w:rPr>
              <w:t>商务要求名称</w:t>
            </w:r>
          </w:p>
        </w:tc>
        <w:tc>
          <w:tcPr>
            <w:tcW w:w="5814" w:type="dxa"/>
          </w:tcPr>
          <w:p w14:paraId="5663AB3A">
            <w:pPr>
              <w:pStyle w:val="4"/>
              <w:jc w:val="center"/>
            </w:pPr>
            <w:r>
              <w:rPr>
                <w:rFonts w:ascii="仿宋_GB2312" w:hAnsi="仿宋_GB2312" w:eastAsia="仿宋_GB2312" w:cs="仿宋_GB2312"/>
              </w:rPr>
              <w:t>商务要求内容</w:t>
            </w:r>
          </w:p>
        </w:tc>
      </w:tr>
      <w:tr w14:paraId="1BA60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EFEC425">
            <w:pPr>
              <w:pStyle w:val="4"/>
              <w:jc w:val="center"/>
            </w:pPr>
            <w:r>
              <w:rPr>
                <w:rFonts w:ascii="仿宋_GB2312" w:hAnsi="仿宋_GB2312" w:eastAsia="仿宋_GB2312" w:cs="仿宋_GB2312"/>
              </w:rPr>
              <w:t>1</w:t>
            </w:r>
          </w:p>
        </w:tc>
        <w:tc>
          <w:tcPr>
            <w:tcW w:w="581" w:type="dxa"/>
          </w:tcPr>
          <w:p w14:paraId="46A0F8F6">
            <w:pPr>
              <w:pStyle w:val="4"/>
              <w:jc w:val="center"/>
            </w:pPr>
            <w:r>
              <w:rPr>
                <w:rFonts w:ascii="仿宋_GB2312" w:hAnsi="仿宋_GB2312" w:eastAsia="仿宋_GB2312" w:cs="仿宋_GB2312"/>
              </w:rPr>
              <w:t>★</w:t>
            </w:r>
          </w:p>
        </w:tc>
        <w:tc>
          <w:tcPr>
            <w:tcW w:w="1495" w:type="dxa"/>
          </w:tcPr>
          <w:p w14:paraId="6596964E">
            <w:pPr>
              <w:pStyle w:val="4"/>
              <w:jc w:val="left"/>
            </w:pPr>
            <w:r>
              <w:rPr>
                <w:rFonts w:ascii="仿宋_GB2312" w:hAnsi="仿宋_GB2312" w:eastAsia="仿宋_GB2312" w:cs="仿宋_GB2312"/>
              </w:rPr>
              <w:t>服务期限</w:t>
            </w:r>
          </w:p>
        </w:tc>
        <w:tc>
          <w:tcPr>
            <w:tcW w:w="5814" w:type="dxa"/>
          </w:tcPr>
          <w:p w14:paraId="35395C0A">
            <w:pPr>
              <w:pStyle w:val="4"/>
              <w:jc w:val="left"/>
            </w:pPr>
            <w:r>
              <w:rPr>
                <w:rFonts w:ascii="仿宋_GB2312" w:hAnsi="仿宋_GB2312" w:eastAsia="仿宋_GB2312" w:cs="仿宋_GB2312"/>
              </w:rPr>
              <w:t>合同签订之日起开始实施本项目，2026年4月30日前完成《成都市新都区“十五五”绿色转型发展规划》报告初步成果并交采购人初步审核，2026年12月31日前提供通过评审的《成都市新都区“十五五”绿色转型发展规划》报告最终成果并交采购人验收。</w:t>
            </w:r>
          </w:p>
        </w:tc>
      </w:tr>
      <w:tr w14:paraId="190B6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008BA3F">
            <w:pPr>
              <w:pStyle w:val="4"/>
              <w:jc w:val="center"/>
            </w:pPr>
            <w:r>
              <w:rPr>
                <w:rFonts w:ascii="仿宋_GB2312" w:hAnsi="仿宋_GB2312" w:eastAsia="仿宋_GB2312" w:cs="仿宋_GB2312"/>
              </w:rPr>
              <w:t>2</w:t>
            </w:r>
          </w:p>
        </w:tc>
        <w:tc>
          <w:tcPr>
            <w:tcW w:w="581" w:type="dxa"/>
          </w:tcPr>
          <w:p w14:paraId="65E8C4B7">
            <w:pPr>
              <w:pStyle w:val="4"/>
              <w:jc w:val="center"/>
            </w:pPr>
            <w:r>
              <w:rPr>
                <w:rFonts w:ascii="仿宋_GB2312" w:hAnsi="仿宋_GB2312" w:eastAsia="仿宋_GB2312" w:cs="仿宋_GB2312"/>
              </w:rPr>
              <w:t>★</w:t>
            </w:r>
          </w:p>
        </w:tc>
        <w:tc>
          <w:tcPr>
            <w:tcW w:w="1495" w:type="dxa"/>
          </w:tcPr>
          <w:p w14:paraId="3FD9FA86">
            <w:pPr>
              <w:pStyle w:val="4"/>
              <w:jc w:val="left"/>
            </w:pPr>
            <w:r>
              <w:rPr>
                <w:rFonts w:ascii="仿宋_GB2312" w:hAnsi="仿宋_GB2312" w:eastAsia="仿宋_GB2312" w:cs="仿宋_GB2312"/>
              </w:rPr>
              <w:t>服务地点</w:t>
            </w:r>
          </w:p>
        </w:tc>
        <w:tc>
          <w:tcPr>
            <w:tcW w:w="5814" w:type="dxa"/>
          </w:tcPr>
          <w:p w14:paraId="4FAB2F69">
            <w:pPr>
              <w:pStyle w:val="4"/>
              <w:jc w:val="left"/>
            </w:pPr>
            <w:r>
              <w:rPr>
                <w:rFonts w:ascii="仿宋_GB2312" w:hAnsi="仿宋_GB2312" w:eastAsia="仿宋_GB2312" w:cs="仿宋_GB2312"/>
              </w:rPr>
              <w:t>成都市新都区范围内采购人指定地点。</w:t>
            </w:r>
          </w:p>
        </w:tc>
      </w:tr>
      <w:tr w14:paraId="3CDB8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728919">
            <w:pPr>
              <w:pStyle w:val="4"/>
              <w:jc w:val="center"/>
            </w:pPr>
            <w:r>
              <w:rPr>
                <w:rFonts w:ascii="仿宋_GB2312" w:hAnsi="仿宋_GB2312" w:eastAsia="仿宋_GB2312" w:cs="仿宋_GB2312"/>
              </w:rPr>
              <w:t>3</w:t>
            </w:r>
          </w:p>
        </w:tc>
        <w:tc>
          <w:tcPr>
            <w:tcW w:w="581" w:type="dxa"/>
          </w:tcPr>
          <w:p w14:paraId="69AB1C73">
            <w:pPr>
              <w:pStyle w:val="4"/>
              <w:jc w:val="center"/>
            </w:pPr>
            <w:r>
              <w:rPr>
                <w:rFonts w:ascii="仿宋_GB2312" w:hAnsi="仿宋_GB2312" w:eastAsia="仿宋_GB2312" w:cs="仿宋_GB2312"/>
              </w:rPr>
              <w:t>★</w:t>
            </w:r>
          </w:p>
        </w:tc>
        <w:tc>
          <w:tcPr>
            <w:tcW w:w="1495" w:type="dxa"/>
          </w:tcPr>
          <w:p w14:paraId="1FA5569D">
            <w:pPr>
              <w:pStyle w:val="4"/>
              <w:jc w:val="left"/>
            </w:pPr>
            <w:r>
              <w:rPr>
                <w:rFonts w:ascii="仿宋_GB2312" w:hAnsi="仿宋_GB2312" w:eastAsia="仿宋_GB2312" w:cs="仿宋_GB2312"/>
              </w:rPr>
              <w:t>验收、交付标准和方法</w:t>
            </w:r>
          </w:p>
        </w:tc>
        <w:tc>
          <w:tcPr>
            <w:tcW w:w="5814" w:type="dxa"/>
          </w:tcPr>
          <w:p w14:paraId="1DFA3648">
            <w:pPr>
              <w:pStyle w:val="4"/>
              <w:jc w:val="left"/>
            </w:pPr>
            <w:r>
              <w:rPr>
                <w:rFonts w:ascii="仿宋_GB2312" w:hAnsi="仿宋_GB2312" w:eastAsia="仿宋_GB2312" w:cs="仿宋_GB2312"/>
              </w:rPr>
              <w:t>（1）履约验收主体：成都市新都区发展和改革局。 （2）履约验收时间：项目履约完成且成交供应商向采购人提出验收申请后10日内，由采购人组织开展验收，一次性验收合同金额的100%。 （3）履约验收方式：自行验收。 （4）履约验收程序：一次性验收。 （5）履约验收内容和标准：成交供应商与采购人应按法律法规规定、磋商文件的项目技术服务及商务要求、成交供应商的响应文件应答以及合同约定进行验收。 （6）其他验收事项：其他未尽事宜按照《财政部关于进一步加强政府采购需求和履约验收管理的指导意见》（财库〔2016〕205号）进行。</w:t>
            </w:r>
          </w:p>
        </w:tc>
      </w:tr>
      <w:tr w14:paraId="56226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4F464EA">
            <w:pPr>
              <w:pStyle w:val="4"/>
              <w:jc w:val="center"/>
            </w:pPr>
            <w:r>
              <w:rPr>
                <w:rFonts w:ascii="仿宋_GB2312" w:hAnsi="仿宋_GB2312" w:eastAsia="仿宋_GB2312" w:cs="仿宋_GB2312"/>
              </w:rPr>
              <w:t>4</w:t>
            </w:r>
          </w:p>
        </w:tc>
        <w:tc>
          <w:tcPr>
            <w:tcW w:w="581" w:type="dxa"/>
          </w:tcPr>
          <w:p w14:paraId="3D9A0774">
            <w:pPr>
              <w:pStyle w:val="4"/>
              <w:jc w:val="center"/>
            </w:pPr>
            <w:r>
              <w:rPr>
                <w:rFonts w:ascii="仿宋_GB2312" w:hAnsi="仿宋_GB2312" w:eastAsia="仿宋_GB2312" w:cs="仿宋_GB2312"/>
              </w:rPr>
              <w:t>★</w:t>
            </w:r>
          </w:p>
        </w:tc>
        <w:tc>
          <w:tcPr>
            <w:tcW w:w="1495" w:type="dxa"/>
          </w:tcPr>
          <w:p w14:paraId="1641F1EB">
            <w:pPr>
              <w:pStyle w:val="4"/>
              <w:jc w:val="left"/>
            </w:pPr>
            <w:r>
              <w:rPr>
                <w:rFonts w:ascii="仿宋_GB2312" w:hAnsi="仿宋_GB2312" w:eastAsia="仿宋_GB2312" w:cs="仿宋_GB2312"/>
              </w:rPr>
              <w:t>支付方式</w:t>
            </w:r>
          </w:p>
        </w:tc>
        <w:tc>
          <w:tcPr>
            <w:tcW w:w="5814" w:type="dxa"/>
          </w:tcPr>
          <w:p w14:paraId="3CD03F28">
            <w:pPr>
              <w:pStyle w:val="4"/>
              <w:jc w:val="left"/>
            </w:pPr>
            <w:r>
              <w:rPr>
                <w:rFonts w:ascii="仿宋_GB2312" w:hAnsi="仿宋_GB2312" w:eastAsia="仿宋_GB2312" w:cs="仿宋_GB2312"/>
              </w:rPr>
              <w:t>分期付款</w:t>
            </w:r>
          </w:p>
        </w:tc>
      </w:tr>
      <w:tr w14:paraId="2C506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143E10">
            <w:pPr>
              <w:pStyle w:val="4"/>
              <w:jc w:val="center"/>
            </w:pPr>
            <w:r>
              <w:rPr>
                <w:rFonts w:ascii="仿宋_GB2312" w:hAnsi="仿宋_GB2312" w:eastAsia="仿宋_GB2312" w:cs="仿宋_GB2312"/>
              </w:rPr>
              <w:t>5</w:t>
            </w:r>
          </w:p>
        </w:tc>
        <w:tc>
          <w:tcPr>
            <w:tcW w:w="581" w:type="dxa"/>
          </w:tcPr>
          <w:p w14:paraId="0CF6FB41"/>
        </w:tc>
        <w:tc>
          <w:tcPr>
            <w:tcW w:w="1495" w:type="dxa"/>
          </w:tcPr>
          <w:p w14:paraId="6A652D6C">
            <w:pPr>
              <w:pStyle w:val="4"/>
              <w:jc w:val="left"/>
            </w:pPr>
            <w:r>
              <w:rPr>
                <w:rFonts w:ascii="仿宋_GB2312" w:hAnsi="仿宋_GB2312" w:eastAsia="仿宋_GB2312" w:cs="仿宋_GB2312"/>
              </w:rPr>
              <w:t>付款进度安排</w:t>
            </w:r>
          </w:p>
        </w:tc>
        <w:tc>
          <w:tcPr>
            <w:tcW w:w="5814" w:type="dxa"/>
          </w:tcPr>
          <w:p w14:paraId="3BCA9D3D">
            <w:pPr>
              <w:pStyle w:val="4"/>
              <w:jc w:val="left"/>
            </w:pPr>
            <w:r>
              <w:rPr>
                <w:rFonts w:ascii="仿宋_GB2312" w:hAnsi="仿宋_GB2312" w:eastAsia="仿宋_GB2312" w:cs="仿宋_GB2312"/>
              </w:rPr>
              <w:t>1、采购人在合同签订完成并收到成交供应商提供的有效足额发票后，达到付款条件起14日内，支付合同总金额的40.00%</w:t>
            </w:r>
          </w:p>
          <w:p w14:paraId="5221130A">
            <w:pPr>
              <w:pStyle w:val="4"/>
              <w:jc w:val="left"/>
            </w:pPr>
            <w:r>
              <w:rPr>
                <w:rFonts w:ascii="仿宋_GB2312" w:hAnsi="仿宋_GB2312" w:eastAsia="仿宋_GB2312" w:cs="仿宋_GB2312"/>
              </w:rPr>
              <w:t>2、成交供应商提供《成都市新都区“十五五”绿色转型发展规划》报告初步成果并交采购人初步审核通过，且采购人收到成交供应商提供的有效足额发票后，达到付款条件起14日内，支付合同总金额的30.00%</w:t>
            </w:r>
          </w:p>
          <w:p w14:paraId="44083DE2">
            <w:pPr>
              <w:pStyle w:val="4"/>
              <w:jc w:val="left"/>
            </w:pPr>
            <w:r>
              <w:rPr>
                <w:rFonts w:ascii="仿宋_GB2312" w:hAnsi="仿宋_GB2312" w:eastAsia="仿宋_GB2312" w:cs="仿宋_GB2312"/>
              </w:rPr>
              <w:t>3、成交供应商提供通过评审的《成都市新都区“十五五”绿色转型发展规划》报告最终成果并通过项目验收，且采购人收到成交供应商提供的有效足额发票后，达到付款条件起14日内，支付合同总金额的30.00%</w:t>
            </w:r>
          </w:p>
        </w:tc>
      </w:tr>
      <w:tr w14:paraId="08101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9DB70D7">
            <w:pPr>
              <w:pStyle w:val="4"/>
              <w:jc w:val="center"/>
            </w:pPr>
            <w:r>
              <w:rPr>
                <w:rFonts w:ascii="仿宋_GB2312" w:hAnsi="仿宋_GB2312" w:eastAsia="仿宋_GB2312" w:cs="仿宋_GB2312"/>
              </w:rPr>
              <w:t>6</w:t>
            </w:r>
          </w:p>
        </w:tc>
        <w:tc>
          <w:tcPr>
            <w:tcW w:w="581" w:type="dxa"/>
          </w:tcPr>
          <w:p w14:paraId="198C13C5">
            <w:pPr>
              <w:pStyle w:val="4"/>
              <w:jc w:val="center"/>
            </w:pPr>
            <w:r>
              <w:rPr>
                <w:rFonts w:ascii="仿宋_GB2312" w:hAnsi="仿宋_GB2312" w:eastAsia="仿宋_GB2312" w:cs="仿宋_GB2312"/>
              </w:rPr>
              <w:t>★</w:t>
            </w:r>
          </w:p>
        </w:tc>
        <w:tc>
          <w:tcPr>
            <w:tcW w:w="1495" w:type="dxa"/>
          </w:tcPr>
          <w:p w14:paraId="3DFEA451">
            <w:pPr>
              <w:pStyle w:val="4"/>
              <w:jc w:val="left"/>
            </w:pPr>
            <w:r>
              <w:rPr>
                <w:rFonts w:ascii="仿宋_GB2312" w:hAnsi="仿宋_GB2312" w:eastAsia="仿宋_GB2312" w:cs="仿宋_GB2312"/>
              </w:rPr>
              <w:t>违约责任与解决争议的方法</w:t>
            </w:r>
          </w:p>
        </w:tc>
        <w:tc>
          <w:tcPr>
            <w:tcW w:w="5814" w:type="dxa"/>
          </w:tcPr>
          <w:p w14:paraId="6F5E3C4B">
            <w:pPr>
              <w:pStyle w:val="4"/>
              <w:jc w:val="left"/>
            </w:pPr>
            <w:r>
              <w:rPr>
                <w:rFonts w:ascii="仿宋_GB2312" w:hAnsi="仿宋_GB2312" w:eastAsia="仿宋_GB2312" w:cs="仿宋_GB2312"/>
              </w:rPr>
              <w:t>（一）违约责任 1、甲乙双方必须遵守合同并执行合同中的各项规定，保证合同的正常履行。 2、签订合同后乙方不履行合同或不完全履行合同或履行合同不符合甲方要求的或单方面终止合同的，甲方要求乙方限期整改完善，如乙方拒不整改或者整改后仍不符合合同约定或甲方要求的，甲方有权单方解除合同，并要求乙方承担合同金额10%的违约金，并全额退还甲方已支付的合同款项。 3、甲方逾期付款，则以应付未付金额为基数按日万分之一的标准向乙方支付违约金。 4、违约方应赔偿守约方的经济损失，包括但不限于守约方直接遭受的经济损失、代违约方赔偿（或支付）第三方的全部款项，以及因合理维护权利所产生的诉讼费、仲裁费、律师费、鉴定费、公证费、保全费、执行费等全部费用。 5、如因乙方或乙方工作人员在履行合同义务过程中的的疏忽、失职、过错等故意或者过失原因给甲方造成损失或侵害，包括但不限于甲方本身的财产损失、由此而导致的甲方对任何第三方的法律责任等，乙方对此均应承担全部的赔偿责任。 （二）解决争议的方法 履行合同过程中，发生的与合同有关的争议，双方应通过友好协商解决，经协商不成的，双方均有权向甲方所在地成都市新都区人民法院提起诉讼。 注：甲方指采购人，乙方指成交供应商。</w:t>
            </w:r>
          </w:p>
        </w:tc>
      </w:tr>
    </w:tbl>
    <w:p w14:paraId="32989E7E">
      <w:pPr>
        <w:pStyle w:val="4"/>
        <w:jc w:val="left"/>
        <w:outlineLvl w:val="2"/>
      </w:pPr>
      <w:r>
        <w:rPr>
          <w:rFonts w:ascii="仿宋_GB2312" w:hAnsi="仿宋_GB2312" w:eastAsia="仿宋_GB2312" w:cs="仿宋_GB2312"/>
          <w:b/>
          <w:sz w:val="28"/>
        </w:rPr>
        <w:t>3.4.其他要求</w:t>
      </w:r>
    </w:p>
    <w:p w14:paraId="1A9A446E">
      <w:pPr>
        <w:pStyle w:val="4"/>
        <w:ind w:firstLine="480"/>
        <w:jc w:val="left"/>
      </w:pPr>
      <w:r>
        <w:rPr>
          <w:rFonts w:ascii="仿宋_GB2312" w:hAnsi="仿宋_GB2312" w:eastAsia="仿宋_GB2312" w:cs="仿宋_GB2312"/>
        </w:rPr>
        <w:t>采购包1：</w:t>
      </w:r>
    </w:p>
    <w:p w14:paraId="27F45E71">
      <w:pPr>
        <w:pStyle w:val="4"/>
        <w:jc w:val="left"/>
      </w:pPr>
      <w:r>
        <w:rPr>
          <w:rFonts w:ascii="仿宋_GB2312" w:hAnsi="仿宋_GB2312" w:eastAsia="仿宋_GB2312" w:cs="仿宋_GB2312"/>
        </w:rPr>
        <w:t>★一、商务要求：（1）采购人在合同签订完成并收到成交供应商提供的有效足额发票后的10个工作日内，向成交供应商支付合同金额的40%作为预付款； （2）成交供应商提供《成都市新都区“十五五”绿色转型发展规划》报告初步成果并交采购人初步审核通过，且采购人收到成交供应商提供的有效足额发票后的10个工作日内，向成交供应商支付合同金额的30%； （3）成交供应商提供通过评审的《成都市新都区“十五五”绿色转型发展规划》报告最终成果并通过项目验收，且采购人收到成交供应商提供的有效足额发票后的10个工作日内，向成交供应商支付合同金额的30%。（注：因系统填写格式受限，3.3.2.商务要求中第5项付款进度安排以本项付款进度安排要求为准）★二、供应商须在响应文件中按规定格式提供《技术、服务条款偏离表》《商务条款偏离表》《知识产权的声明函》。三、供应商自2022年1月1日（含）至今承接过类似项目业绩{类似项目指经济社会类（或环境保护类）课题研究项目或经济社会类（或环境保护类）规划编制项目或经济社会类（或环境保护类）实施方案编制项目）}，本项按照评标细则及标准中业绩评分项规定进行评分。</w:t>
      </w:r>
    </w:p>
    <w:p w14:paraId="38F2B2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477B82"/>
    <w:rsid w:val="79153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1514</Words>
  <Characters>1618</Characters>
  <Lines>0</Lines>
  <Paragraphs>0</Paragraphs>
  <TotalTime>0</TotalTime>
  <ScaleCrop>false</ScaleCrop>
  <LinksUpToDate>false</LinksUpToDate>
  <CharactersWithSpaces>1623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2025-08-29T07:28:00Z</dcterms:created>
  <dc:creator>lcj</dc:creator>
  <cp:lastModifiedBy>卡卡西</cp:lastModifiedBy>
  <dcterms:modified xsi:type="dcterms:W3CDTF">2025-08-29T07:30:08Z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eyJoZGlkIjoiNmUwYzI1NzhmYmY0MGY0MzU1MTlkM2I4NjJjNjllOTEiLCJ1c2VySWQiOiIxMjcxMjU0MTY1In0=</vt:lpwstr>
  </property>
  <property fmtid="{D5CDD505-2E9C-101B-9397-08002B2CF9AE}" pid="4" name="ICV">
    <vt:lpwstr>F4674EC31AEA42478037CFC105CA2730_12</vt:lpwstr>
  </property>
</Properties>
</file>