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autoSpaceDE w:val="0"/>
        <w:autoSpaceDN w:val="0"/>
        <w:adjustRightInd w:val="0"/>
        <w:snapToGrid w:val="0"/>
        <w:spacing w:line="576" w:lineRule="exact"/>
        <w:jc w:val="center"/>
        <w:rPr>
          <w:rFonts w:ascii="方正小标宋简体" w:hAnsi="仿宋_GB2312" w:eastAsia="方正小标宋简体" w:cs="仿宋_GB2312"/>
          <w:sz w:val="36"/>
          <w:szCs w:val="36"/>
        </w:rPr>
      </w:pPr>
      <w:r>
        <w:rPr>
          <w:rFonts w:hint="eastAsia" w:ascii="方正小标宋简体" w:hAnsi="仿宋_GB2312" w:eastAsia="方正小标宋简体" w:cs="仿宋_GB2312"/>
          <w:sz w:val="36"/>
          <w:szCs w:val="36"/>
        </w:rPr>
        <w:t>供应商响应文件评选规则</w:t>
      </w:r>
    </w:p>
    <w:tbl>
      <w:tblPr>
        <w:tblStyle w:val="5"/>
        <w:tblW w:w="928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2216"/>
        <w:gridCol w:w="632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Times New Roman"/>
                <w:kern w:val="0"/>
                <w:sz w:val="24"/>
                <w:szCs w:val="24"/>
                <w:lang w:val="ru-RU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序号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宋体" w:hAnsi="宋体"/>
                <w:kern w:val="0"/>
                <w:sz w:val="24"/>
                <w:szCs w:val="24"/>
                <w:lang w:val="ru-RU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评审内容</w:t>
            </w:r>
          </w:p>
        </w:tc>
        <w:tc>
          <w:tcPr>
            <w:tcW w:w="6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宋体" w:hAnsi="宋体"/>
                <w:kern w:val="0"/>
                <w:sz w:val="24"/>
                <w:szCs w:val="24"/>
                <w:lang w:val="ru-RU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评审标准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74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  <w:lang w:val="ru-RU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宋体" w:hAnsi="宋体"/>
                <w:kern w:val="0"/>
                <w:sz w:val="24"/>
                <w:szCs w:val="24"/>
                <w:lang w:val="ru-RU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营业执照</w:t>
            </w:r>
          </w:p>
        </w:tc>
        <w:tc>
          <w:tcPr>
            <w:tcW w:w="632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76" w:lineRule="auto"/>
              <w:jc w:val="left"/>
              <w:rPr>
                <w:rFonts w:ascii="宋体" w:hAnsi="宋体"/>
                <w:kern w:val="0"/>
                <w:sz w:val="24"/>
                <w:szCs w:val="24"/>
                <w:lang w:val="ru-RU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具有独立承担民事责任的能力（有效的营业执照）；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</w:trPr>
        <w:tc>
          <w:tcPr>
            <w:tcW w:w="74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  <w:lang w:val="ru-RU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2216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spacing w:line="276" w:lineRule="auto"/>
              <w:ind w:left="1" w:leftChars="-3" w:hanging="7" w:hangingChars="3"/>
              <w:jc w:val="center"/>
              <w:rPr>
                <w:rFonts w:ascii="宋体" w:hAnsi="宋体"/>
                <w:kern w:val="0"/>
                <w:sz w:val="24"/>
                <w:szCs w:val="24"/>
                <w:lang w:val="ru-RU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具有良好的商业信誉和健全的财务会计制度</w:t>
            </w:r>
          </w:p>
        </w:tc>
        <w:tc>
          <w:tcPr>
            <w:tcW w:w="6321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76" w:lineRule="auto"/>
              <w:rPr>
                <w:rFonts w:ascii="宋体" w:hAnsi="宋体"/>
                <w:kern w:val="0"/>
                <w:sz w:val="24"/>
                <w:szCs w:val="24"/>
                <w:highlight w:val="none"/>
                <w:lang w:val="ru-RU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highlight w:val="none"/>
                <w:lang w:val="ru-RU"/>
              </w:rPr>
              <w:t>提供（20</w:t>
            </w:r>
            <w:r>
              <w:rPr>
                <w:rFonts w:hint="eastAsia" w:ascii="宋体" w:hAnsi="宋体"/>
                <w:kern w:val="0"/>
                <w:sz w:val="24"/>
                <w:szCs w:val="24"/>
                <w:highlight w:val="none"/>
              </w:rPr>
              <w:t>2</w:t>
            </w:r>
            <w:r>
              <w:rPr>
                <w:rFonts w:hint="eastAsia" w:ascii="宋体" w:hAnsi="宋体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/>
                <w:kern w:val="0"/>
                <w:sz w:val="24"/>
                <w:szCs w:val="24"/>
                <w:highlight w:val="none"/>
                <w:lang w:val="ru-RU"/>
              </w:rPr>
              <w:t>年</w:t>
            </w:r>
            <w:r>
              <w:rPr>
                <w:rFonts w:hint="eastAsia" w:ascii="宋体" w:hAnsi="宋体"/>
                <w:kern w:val="0"/>
                <w:sz w:val="24"/>
                <w:szCs w:val="24"/>
                <w:highlight w:val="none"/>
              </w:rPr>
              <w:t>或</w:t>
            </w:r>
            <w:r>
              <w:rPr>
                <w:rFonts w:hint="eastAsia" w:ascii="宋体" w:hAnsi="宋体"/>
                <w:kern w:val="0"/>
                <w:sz w:val="24"/>
                <w:szCs w:val="24"/>
                <w:highlight w:val="none"/>
                <w:lang w:val="ru-RU"/>
              </w:rPr>
              <w:t>202</w:t>
            </w:r>
            <w:r>
              <w:rPr>
                <w:rFonts w:hint="eastAsia" w:ascii="宋体" w:hAnsi="宋体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/>
                <w:kern w:val="0"/>
                <w:sz w:val="24"/>
                <w:szCs w:val="24"/>
                <w:highlight w:val="none"/>
                <w:lang w:val="ru-RU"/>
              </w:rPr>
              <w:t>年）经会计师事务所出具的</w:t>
            </w:r>
            <w:r>
              <w:rPr>
                <w:rFonts w:hint="eastAsia" w:ascii="宋体" w:hAnsi="宋体"/>
                <w:kern w:val="0"/>
                <w:sz w:val="24"/>
                <w:szCs w:val="24"/>
                <w:highlight w:val="none"/>
              </w:rPr>
              <w:t>任意</w:t>
            </w:r>
            <w:r>
              <w:rPr>
                <w:rFonts w:hint="eastAsia" w:ascii="宋体" w:hAnsi="宋体"/>
                <w:kern w:val="0"/>
                <w:sz w:val="24"/>
                <w:szCs w:val="24"/>
                <w:highlight w:val="none"/>
                <w:lang w:val="ru-RU"/>
              </w:rPr>
              <w:t>一年</w:t>
            </w:r>
            <w:r>
              <w:rPr>
                <w:rFonts w:hint="eastAsia" w:ascii="宋体" w:hAnsi="宋体"/>
                <w:kern w:val="0"/>
                <w:sz w:val="24"/>
                <w:szCs w:val="24"/>
                <w:highlight w:val="none"/>
              </w:rPr>
              <w:t>的</w:t>
            </w:r>
            <w:r>
              <w:rPr>
                <w:rFonts w:hint="eastAsia" w:ascii="宋体" w:hAnsi="宋体"/>
                <w:kern w:val="0"/>
                <w:sz w:val="24"/>
                <w:szCs w:val="24"/>
                <w:highlight w:val="none"/>
                <w:lang w:val="ru-RU"/>
              </w:rPr>
              <w:t>财务审计</w:t>
            </w:r>
            <w:r>
              <w:rPr>
                <w:rFonts w:hint="eastAsia" w:ascii="宋体" w:hAnsi="宋体"/>
                <w:kern w:val="0"/>
                <w:sz w:val="24"/>
                <w:szCs w:val="24"/>
                <w:highlight w:val="none"/>
                <w:lang w:val="en-US" w:eastAsia="zh-CN"/>
              </w:rPr>
              <w:t>报表</w:t>
            </w:r>
            <w:r>
              <w:rPr>
                <w:rFonts w:hint="eastAsia" w:ascii="宋体" w:hAnsi="宋体"/>
                <w:kern w:val="0"/>
                <w:sz w:val="24"/>
                <w:szCs w:val="24"/>
                <w:highlight w:val="none"/>
                <w:lang w:val="ru-RU"/>
              </w:rPr>
              <w:t>（成立不足一年的公司提供成立以来本公司的财务报表）；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6" w:hRule="atLeast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  <w:lang w:val="ru-RU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3</w:t>
            </w:r>
          </w:p>
        </w:tc>
        <w:tc>
          <w:tcPr>
            <w:tcW w:w="2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Theme="majorEastAsia" w:hAnsiTheme="majorEastAsia" w:eastAsiaTheme="majorEastAsia" w:cstheme="majorEastAsia"/>
                <w:kern w:val="0"/>
                <w:sz w:val="24"/>
                <w:szCs w:val="24"/>
                <w:lang w:val="ru-RU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ru-RU"/>
              </w:rPr>
              <w:t>具有依法缴纳税收和社会保障资金的良好记录</w:t>
            </w:r>
          </w:p>
        </w:tc>
        <w:tc>
          <w:tcPr>
            <w:tcW w:w="6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76" w:lineRule="auto"/>
              <w:jc w:val="left"/>
              <w:rPr>
                <w:rFonts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ru-RU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ru-RU"/>
              </w:rPr>
              <w:t>1.提供近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</w:rPr>
              <w:t>202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</w:rPr>
              <w:t>年任意一个月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zh-CN"/>
              </w:rPr>
              <w:t>的依法纳税证明（纳税发票、银行纳税转账凭证、税务局出具的纳税证明，提供任一种均可）；</w:t>
            </w:r>
          </w:p>
          <w:p>
            <w:pPr>
              <w:spacing w:line="276" w:lineRule="auto"/>
              <w:jc w:val="left"/>
              <w:rPr>
                <w:rFonts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ru-RU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ru-RU"/>
              </w:rPr>
              <w:t>2.提供近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</w:rPr>
              <w:t>202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</w:rPr>
              <w:t>年任意一个月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zh-CN"/>
              </w:rPr>
              <w:t>缴纳社会保障资金的证明（社保缴费发票、交纳社保费用的银行转账凭证、社保局出具的正常缴纳社保证明，提供任一种均可。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4" w:hRule="atLeast"/>
        </w:trPr>
        <w:tc>
          <w:tcPr>
            <w:tcW w:w="74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Times New Roman"/>
                <w:kern w:val="0"/>
                <w:sz w:val="24"/>
                <w:szCs w:val="24"/>
                <w:lang w:val="ru-RU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2216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Theme="majorEastAsia" w:hAnsiTheme="majorEastAsia" w:eastAsiaTheme="majorEastAsia" w:cstheme="majorEastAsia"/>
                <w:kern w:val="0"/>
                <w:sz w:val="24"/>
                <w:szCs w:val="24"/>
                <w:lang w:val="ru-RU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lang w:val="ru-RU"/>
              </w:rPr>
              <w:t>网站截图</w:t>
            </w:r>
          </w:p>
        </w:tc>
        <w:tc>
          <w:tcPr>
            <w:tcW w:w="6321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76" w:lineRule="auto"/>
              <w:jc w:val="left"/>
              <w:rPr>
                <w:rFonts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en-US" w:eastAsia="zh-CN"/>
              </w:rPr>
              <w:t>1.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zh-CN"/>
              </w:rPr>
              <w:t>未被《中国政府采购网》和《信用中国》列入政府采购严重违法失信行为记录名单中：提供上述网站信息截图；</w:t>
            </w:r>
          </w:p>
          <w:p>
            <w:pPr>
              <w:spacing w:line="276" w:lineRule="auto"/>
              <w:jc w:val="left"/>
              <w:rPr>
                <w:rFonts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ru-RU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</w:rPr>
              <w:t>2.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zh-CN"/>
              </w:rPr>
              <w:t xml:space="preserve">参加本次政府采购活动前三年内，在经营活动中没有重大违法记录（提供声明书）；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74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Times New Roman"/>
                <w:kern w:val="0"/>
                <w:sz w:val="24"/>
                <w:szCs w:val="24"/>
                <w:lang w:val="ru-RU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5</w:t>
            </w:r>
          </w:p>
        </w:tc>
        <w:tc>
          <w:tcPr>
            <w:tcW w:w="2216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>
            <w:pPr>
              <w:spacing w:line="276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响应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申请文件上传</w:t>
            </w:r>
          </w:p>
        </w:tc>
        <w:tc>
          <w:tcPr>
            <w:tcW w:w="6321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76" w:lineRule="auto"/>
              <w:jc w:val="left"/>
              <w:rPr>
                <w:rFonts w:ascii="宋体" w:hAnsi="宋体"/>
                <w:kern w:val="0"/>
                <w:sz w:val="24"/>
                <w:szCs w:val="24"/>
                <w:lang w:val="ru-RU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是否符合要求的时间前上传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4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2216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>
            <w:pPr>
              <w:spacing w:line="276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响应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申请文件签字和加盖供应商公司鲜章</w:t>
            </w:r>
          </w:p>
        </w:tc>
        <w:tc>
          <w:tcPr>
            <w:tcW w:w="6321" w:type="dxa"/>
            <w:tcBorders>
              <w:top w:val="nil"/>
              <w:left w:val="single" w:color="000000" w:sz="4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line="276" w:lineRule="auto"/>
              <w:jc w:val="left"/>
              <w:rPr>
                <w:rFonts w:ascii="宋体" w:hAnsi="宋体"/>
                <w:kern w:val="0"/>
                <w:sz w:val="24"/>
                <w:szCs w:val="24"/>
                <w:lang w:val="ru-RU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是否按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响应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文件要求签字和加盖供应商公司鲜章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743" w:type="dxa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7</w:t>
            </w:r>
          </w:p>
        </w:tc>
        <w:tc>
          <w:tcPr>
            <w:tcW w:w="2216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响应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申请书内容</w:t>
            </w:r>
          </w:p>
        </w:tc>
        <w:tc>
          <w:tcPr>
            <w:tcW w:w="6321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spacing w:line="276" w:lineRule="auto"/>
              <w:jc w:val="left"/>
              <w:rPr>
                <w:rFonts w:ascii="宋体" w:hAnsi="宋体"/>
                <w:kern w:val="0"/>
                <w:sz w:val="24"/>
                <w:szCs w:val="24"/>
                <w:lang w:val="ru-RU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ru-RU"/>
              </w:rPr>
              <w:t>比选申请书内容是否完整响应比选文件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743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221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拟安排服务人员情况</w:t>
            </w:r>
          </w:p>
        </w:tc>
        <w:tc>
          <w:tcPr>
            <w:tcW w:w="632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spacing w:line="276" w:lineRule="auto"/>
              <w:jc w:val="left"/>
              <w:rPr>
                <w:rFonts w:ascii="宋体" w:hAnsi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highlight w:val="none"/>
              </w:rPr>
              <w:t>响应文件中是否明确拟安排服务人员情况及人员职称资历等情况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743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9</w:t>
            </w:r>
          </w:p>
        </w:tc>
        <w:tc>
          <w:tcPr>
            <w:tcW w:w="2216" w:type="dxa"/>
            <w:tcBorders>
              <w:top w:val="single" w:color="auto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报价</w:t>
            </w:r>
          </w:p>
        </w:tc>
        <w:tc>
          <w:tcPr>
            <w:tcW w:w="6321" w:type="dxa"/>
            <w:tcBorders>
              <w:top w:val="single" w:color="auto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line="276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是否符合国家相关项目取价标准，是否有违背法律法规行为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928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说明：</w:t>
            </w:r>
          </w:p>
          <w:p>
            <w:pPr>
              <w:widowControl/>
              <w:ind w:firstLine="480" w:firstLineChars="200"/>
              <w:jc w:val="left"/>
              <w:textAlignment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1.合格打“√”, 不合格打“×”。</w:t>
            </w:r>
          </w:p>
          <w:p>
            <w:pPr>
              <w:spacing w:line="276" w:lineRule="auto"/>
              <w:ind w:firstLine="420"/>
              <w:jc w:val="left"/>
              <w:rPr>
                <w:rFonts w:ascii="宋体" w:hAnsi="宋体" w:cs="Times New Roman"/>
                <w:kern w:val="0"/>
                <w:sz w:val="24"/>
                <w:szCs w:val="24"/>
                <w:lang w:val="ru-RU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2.供应商提供的响应文件有一项内容不合格，综合评定为不合格。响应文件即没有实质性响应询比采购文件的要求，即初步审查不通过，不能进入下一阶段评审。</w:t>
            </w:r>
          </w:p>
        </w:tc>
      </w:tr>
    </w:tbl>
    <w:p>
      <w:pPr>
        <w:rPr>
          <w:rFonts w:ascii="宋体" w:hAnsi="宋体" w:cs="宋体"/>
          <w:sz w:val="24"/>
          <w:szCs w:val="24"/>
        </w:rPr>
        <w:sectPr>
          <w:footerReference r:id="rId3" w:type="default"/>
          <w:pgSz w:w="11906" w:h="16838"/>
          <w:pgMar w:top="2041" w:right="1474" w:bottom="1757" w:left="1587" w:header="851" w:footer="992" w:gutter="0"/>
          <w:pgNumType w:fmt="numberInDash"/>
          <w:cols w:space="425" w:num="1"/>
          <w:docGrid w:type="lines" w:linePitch="312" w:charSpace="0"/>
        </w:sectPr>
      </w:pPr>
    </w:p>
    <w:tbl>
      <w:tblPr>
        <w:tblStyle w:val="5"/>
        <w:tblpPr w:leftFromText="180" w:rightFromText="180" w:vertAnchor="text" w:horzAnchor="page" w:tblpX="1420" w:tblpY="308"/>
        <w:tblOverlap w:val="never"/>
        <w:tblW w:w="97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1384"/>
        <w:gridCol w:w="862"/>
        <w:gridCol w:w="5329"/>
        <w:gridCol w:w="533"/>
        <w:gridCol w:w="10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974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br w:type="page"/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比选评分办法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ind w:right="-67" w:rightChars="-32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评分因素</w:t>
            </w:r>
          </w:p>
          <w:p>
            <w:pPr>
              <w:spacing w:before="31" w:beforeLines="10" w:after="31" w:afterLines="10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及权重</w:t>
            </w: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分值</w:t>
            </w:r>
          </w:p>
        </w:tc>
        <w:tc>
          <w:tcPr>
            <w:tcW w:w="5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ind w:right="231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评分标准</w:t>
            </w:r>
          </w:p>
        </w:tc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得分</w:t>
            </w:r>
          </w:p>
        </w:tc>
        <w:tc>
          <w:tcPr>
            <w:tcW w:w="1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974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一、资质及服务方案情况（</w:t>
            </w:r>
            <w:r>
              <w:rPr>
                <w:rFonts w:ascii="宋体" w:hAnsi="宋体" w:cs="宋体"/>
                <w:b/>
                <w:bCs/>
                <w:sz w:val="24"/>
                <w:szCs w:val="24"/>
              </w:rPr>
              <w:t>3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4" w:hRule="atLeast"/>
        </w:trPr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pStyle w:val="8"/>
              <w:framePr w:hSpace="0" w:wrap="auto" w:vAnchor="margin" w:hAnchor="text" w:xAlign="left" w:yAlign="inline"/>
            </w:pPr>
            <w:r>
              <w:rPr>
                <w:rFonts w:hint="eastAsia"/>
              </w:rPr>
              <w:t>资质及服务方案</w:t>
            </w: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30</w:t>
            </w:r>
          </w:p>
        </w:tc>
        <w:tc>
          <w:tcPr>
            <w:tcW w:w="5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9"/>
              <w:widowControl w:val="0"/>
              <w:autoSpaceDE w:val="0"/>
              <w:autoSpaceDN w:val="0"/>
              <w:adjustRightInd w:val="0"/>
              <w:spacing w:before="0" w:after="0"/>
              <w:rPr>
                <w:rFonts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根据招标代理机构提供的资质及服务方案进行评审：</w:t>
            </w:r>
          </w:p>
          <w:p>
            <w:pPr>
              <w:pStyle w:val="10"/>
              <w:widowControl/>
              <w:numPr>
                <w:ilvl w:val="0"/>
                <w:numId w:val="1"/>
              </w:numPr>
              <w:spacing w:line="300" w:lineRule="exact"/>
              <w:ind w:firstLineChars="0"/>
              <w:outlineLvl w:val="2"/>
              <w:rPr>
                <w:rFonts w:ascii="宋体" w:hAnsi="宋体" w:cs="Times New Roman"/>
                <w:color w:val="000000" w:themeColor="text1"/>
                <w:sz w:val="24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Times New Roman"/>
                <w:color w:val="000000" w:themeColor="text1"/>
                <w:sz w:val="24"/>
                <w:szCs w:val="20"/>
                <w14:textFill>
                  <w14:solidFill>
                    <w14:schemeClr w14:val="tx1"/>
                  </w14:solidFill>
                </w14:textFill>
              </w:rPr>
              <w:t>提供完整资质</w:t>
            </w:r>
            <w:r>
              <w:rPr>
                <w:rFonts w:hint="eastAsia" w:ascii="宋体" w:hAnsi="宋体" w:cs="Times New Roman"/>
                <w:color w:val="000000" w:themeColor="text1"/>
                <w:sz w:val="24"/>
                <w:szCs w:val="20"/>
                <w14:textFill>
                  <w14:solidFill>
                    <w14:schemeClr w14:val="tx1"/>
                  </w14:solidFill>
                </w14:textFill>
              </w:rPr>
              <w:t>，符合招标中介服务机构要求，得</w:t>
            </w:r>
            <w:r>
              <w:rPr>
                <w:rFonts w:ascii="宋体" w:hAnsi="宋体" w:cs="Times New Roman"/>
                <w:color w:val="000000" w:themeColor="text1"/>
                <w:sz w:val="24"/>
                <w:szCs w:val="20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宋体" w:hAnsi="宋体" w:cs="Times New Roman"/>
                <w:color w:val="000000" w:themeColor="text1"/>
                <w:sz w:val="24"/>
                <w:szCs w:val="20"/>
                <w14:textFill>
                  <w14:solidFill>
                    <w14:schemeClr w14:val="tx1"/>
                  </w14:solidFill>
                </w14:textFill>
              </w:rPr>
              <w:t>分；</w:t>
            </w:r>
          </w:p>
          <w:p>
            <w:pPr>
              <w:pStyle w:val="10"/>
              <w:widowControl/>
              <w:numPr>
                <w:ilvl w:val="0"/>
                <w:numId w:val="1"/>
              </w:numPr>
              <w:spacing w:line="300" w:lineRule="exact"/>
              <w:ind w:firstLineChars="0"/>
              <w:outlineLvl w:val="2"/>
              <w:rPr>
                <w:rFonts w:ascii="宋体" w:hAnsi="宋体" w:cs="Times New Roman"/>
                <w:color w:val="000000" w:themeColor="text1"/>
                <w:sz w:val="24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方案详尽、完整、易于理解、具有建设性，得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5-10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分；</w:t>
            </w:r>
          </w:p>
          <w:p>
            <w:pPr>
              <w:pStyle w:val="10"/>
              <w:widowControl/>
              <w:numPr>
                <w:ilvl w:val="0"/>
                <w:numId w:val="1"/>
              </w:numPr>
              <w:spacing w:line="300" w:lineRule="exact"/>
              <w:ind w:firstLineChars="0"/>
              <w:outlineLvl w:val="2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方案基本完整、内容详细、无明显不准确、不合理问题，得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5-10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分；</w:t>
            </w:r>
          </w:p>
          <w:p>
            <w:pPr>
              <w:pStyle w:val="10"/>
              <w:widowControl/>
              <w:numPr>
                <w:ilvl w:val="0"/>
                <w:numId w:val="1"/>
              </w:numPr>
              <w:spacing w:line="300" w:lineRule="exact"/>
              <w:ind w:firstLineChars="0"/>
              <w:outlineLvl w:val="2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方案基本完整，但内容简单、操作性差，得1-</w:t>
            </w: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分；</w:t>
            </w:r>
          </w:p>
          <w:p>
            <w:pPr>
              <w:pStyle w:val="10"/>
              <w:widowControl/>
              <w:numPr>
                <w:ilvl w:val="0"/>
                <w:numId w:val="1"/>
              </w:numPr>
              <w:spacing w:line="300" w:lineRule="exact"/>
              <w:ind w:firstLineChars="0"/>
              <w:outlineLvl w:val="2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所提方案不完整、有明显不准确、不合理，得0分。</w:t>
            </w:r>
          </w:p>
          <w:p>
            <w:pPr>
              <w:pStyle w:val="10"/>
              <w:widowControl/>
              <w:numPr>
                <w:ilvl w:val="0"/>
                <w:numId w:val="1"/>
              </w:numPr>
              <w:spacing w:line="300" w:lineRule="exact"/>
              <w:ind w:firstLineChars="0"/>
              <w:outlineLvl w:val="2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提供资质不全、存在征信问题（企业及法人），一票否决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9" w:hRule="atLeast"/>
        </w:trPr>
        <w:tc>
          <w:tcPr>
            <w:tcW w:w="974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highlight w:val="none"/>
              </w:rPr>
              <w:t>二、业绩情况（</w:t>
            </w:r>
            <w:r>
              <w:rPr>
                <w:rFonts w:ascii="宋体" w:hAnsi="宋体" w:cs="宋体"/>
                <w:b/>
                <w:bCs/>
                <w:sz w:val="24"/>
                <w:szCs w:val="24"/>
                <w:highlight w:val="none"/>
              </w:rPr>
              <w:t>2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highlight w:val="none"/>
              </w:rPr>
              <w:t>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4" w:hRule="atLeast"/>
        </w:trPr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业绩证明</w:t>
            </w: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2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5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提供近三年承担过同类型采购项目业绩的，每个业绩得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分，最高得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25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分，</w:t>
            </w:r>
          </w:p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注：业绩证明材料以中标通知书或合同为准，未提供不得分。</w:t>
            </w:r>
          </w:p>
        </w:tc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  <w:highlight w:val="none"/>
              </w:rPr>
            </w:pPr>
          </w:p>
        </w:tc>
        <w:tc>
          <w:tcPr>
            <w:tcW w:w="1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</w:trPr>
        <w:tc>
          <w:tcPr>
            <w:tcW w:w="9743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b/>
                <w:sz w:val="24"/>
                <w:szCs w:val="24"/>
                <w:highlight w:val="none"/>
              </w:rPr>
            </w:pPr>
            <w:r>
              <w:rPr>
                <w:rFonts w:ascii="宋体" w:hAnsi="宋体" w:cs="宋体"/>
                <w:b/>
                <w:sz w:val="24"/>
                <w:szCs w:val="24"/>
                <w:highlight w:val="none"/>
              </w:rPr>
              <w:t>三</w:t>
            </w:r>
            <w:r>
              <w:rPr>
                <w:rFonts w:hint="eastAsia" w:ascii="宋体" w:hAnsi="宋体" w:cs="宋体"/>
                <w:b/>
                <w:sz w:val="24"/>
                <w:szCs w:val="24"/>
                <w:highlight w:val="none"/>
              </w:rPr>
              <w:t>、</w:t>
            </w:r>
            <w:r>
              <w:rPr>
                <w:rFonts w:ascii="宋体" w:hAnsi="宋体" w:cs="宋体"/>
                <w:b/>
                <w:sz w:val="24"/>
                <w:szCs w:val="24"/>
                <w:highlight w:val="none"/>
              </w:rPr>
              <w:t>人员安排情况</w:t>
            </w:r>
            <w:r>
              <w:rPr>
                <w:rFonts w:hint="eastAsia" w:ascii="宋体" w:hAnsi="宋体" w:cs="宋体"/>
                <w:b/>
                <w:sz w:val="24"/>
                <w:szCs w:val="24"/>
                <w:highlight w:val="none"/>
              </w:rPr>
              <w:t>（</w:t>
            </w:r>
            <w:r>
              <w:rPr>
                <w:rFonts w:hint="eastAsia" w:ascii="宋体" w:hAnsi="宋体" w:cs="宋体"/>
                <w:b/>
                <w:sz w:val="24"/>
                <w:szCs w:val="24"/>
                <w:highlight w:val="none"/>
                <w:lang w:val="en-US" w:eastAsia="zh-CN"/>
              </w:rPr>
              <w:t>15</w:t>
            </w:r>
            <w:r>
              <w:rPr>
                <w:rFonts w:ascii="宋体" w:hAnsi="宋体" w:cs="宋体"/>
                <w:b/>
                <w:sz w:val="24"/>
                <w:szCs w:val="24"/>
                <w:highlight w:val="none"/>
              </w:rPr>
              <w:t>分</w:t>
            </w:r>
            <w:r>
              <w:rPr>
                <w:rFonts w:hint="eastAsia" w:ascii="宋体" w:hAnsi="宋体" w:cs="宋体"/>
                <w:b/>
                <w:sz w:val="24"/>
                <w:szCs w:val="24"/>
                <w:highlight w:val="none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3" w:hRule="atLeast"/>
        </w:trPr>
        <w:tc>
          <w:tcPr>
            <w:tcW w:w="5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3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人员安排</w:t>
            </w:r>
          </w:p>
        </w:tc>
        <w:tc>
          <w:tcPr>
            <w:tcW w:w="8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15</w:t>
            </w:r>
          </w:p>
        </w:tc>
        <w:tc>
          <w:tcPr>
            <w:tcW w:w="53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提供针对采购项目，拟安排服务专业人员情况，根据人员数量、对口专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业、职称资历等情况进行评分，每项内容5分，最高得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分。</w:t>
            </w:r>
          </w:p>
        </w:tc>
        <w:tc>
          <w:tcPr>
            <w:tcW w:w="53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  <w:highlight w:val="none"/>
              </w:rPr>
            </w:pPr>
          </w:p>
        </w:tc>
        <w:tc>
          <w:tcPr>
            <w:tcW w:w="10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7" w:hRule="atLeast"/>
        </w:trPr>
        <w:tc>
          <w:tcPr>
            <w:tcW w:w="974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highlight w:val="none"/>
              </w:rPr>
              <w:t>四、报价情况（</w:t>
            </w:r>
            <w:r>
              <w:rPr>
                <w:rFonts w:ascii="宋体" w:hAnsi="宋体" w:cs="宋体"/>
                <w:b/>
                <w:bCs/>
                <w:sz w:val="24"/>
                <w:szCs w:val="24"/>
                <w:highlight w:val="none"/>
              </w:rPr>
              <w:t>30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highlight w:val="none"/>
              </w:rPr>
              <w:t>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72" w:hRule="atLeast"/>
        </w:trPr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jc w:val="center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报价</w:t>
            </w: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ascii="宋体" w:hAnsi="宋体" w:cs="宋体"/>
                <w:sz w:val="24"/>
                <w:szCs w:val="24"/>
                <w:highlight w:val="none"/>
              </w:rPr>
              <w:t>30</w:t>
            </w:r>
          </w:p>
        </w:tc>
        <w:tc>
          <w:tcPr>
            <w:tcW w:w="5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rPr>
                <w:rFonts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zh-CN"/>
              </w:rPr>
              <w:t>综合评分法中的价格分统一采用低价优先法计算，即满足采购文件要求且投标价格最低的投标报价为评标基准价，其价格分为满分。</w:t>
            </w:r>
          </w:p>
          <w:p>
            <w:pPr>
              <w:spacing w:line="276" w:lineRule="auto"/>
              <w:rPr>
                <w:rFonts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zh-CN"/>
              </w:rPr>
              <w:t>其他供应商的价格分统一按照下列公式计算：</w:t>
            </w:r>
          </w:p>
          <w:p>
            <w:pPr>
              <w:widowControl/>
              <w:spacing w:line="300" w:lineRule="exact"/>
              <w:outlineLvl w:val="2"/>
              <w:rPr>
                <w:rFonts w:ascii="Times New Roman" w:hAnsi="Times New Roman" w:cs="Times New Roman"/>
                <w:sz w:val="28"/>
                <w:szCs w:val="20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zh-CN"/>
              </w:rPr>
              <w:t>投标报价得分=(评标基准价／投标报价)×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Theme="majorEastAsia" w:hAnsiTheme="majorEastAsia" w:eastAsiaTheme="majorEastAsia" w:cstheme="majorEastAsia"/>
                <w:kern w:val="0"/>
                <w:sz w:val="24"/>
                <w:szCs w:val="24"/>
                <w:highlight w:val="none"/>
                <w:lang w:val="zh-CN"/>
              </w:rPr>
              <w:t>0%×100；</w:t>
            </w:r>
          </w:p>
        </w:tc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宋体" w:hAnsi="宋体" w:cs="方正仿宋_GBK"/>
                <w:sz w:val="24"/>
                <w:szCs w:val="24"/>
                <w:highlight w:val="none"/>
              </w:rPr>
            </w:pPr>
          </w:p>
        </w:tc>
        <w:tc>
          <w:tcPr>
            <w:tcW w:w="1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31" w:beforeLines="10" w:after="31" w:afterLines="10"/>
              <w:rPr>
                <w:rFonts w:ascii="宋体" w:hAnsi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</w:rPr>
              <w:t>高于预算价（或控制价）为无效报价</w:t>
            </w:r>
          </w:p>
        </w:tc>
      </w:tr>
    </w:tbl>
    <w:p>
      <w:pPr>
        <w:overflowPunct w:val="0"/>
        <w:autoSpaceDE w:val="0"/>
        <w:autoSpaceDN w:val="0"/>
        <w:adjustRightInd w:val="0"/>
        <w:snapToGrid w:val="0"/>
        <w:spacing w:line="576" w:lineRule="exact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</w:p>
    <w:sectPr>
      <w:pgSz w:w="11906" w:h="16838"/>
      <w:pgMar w:top="2041" w:right="1474" w:bottom="1757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- 4 -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BYAAABkcnMvUEsBAhQAFAAAAAgAh07iQLNJ&#10;WO7QAAAABQEAAA8AAAAAAAAAAQAgAAAAOAAAAGRycy9kb3ducmV2LnhtbFBLAQIUABQAAAAIAIdO&#10;4kCgF26zFQIAABkEAAAOAAAAAAAAAAEAIAAAADU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eastAsiaTheme="minorEastAsia" w:cstheme="minorEastAsia"/>
                        <w:sz w:val="28"/>
                        <w:szCs w:val="28"/>
                      </w:rPr>
                      <w:t>- 4 -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90710B"/>
    <w:multiLevelType w:val="multilevel"/>
    <w:tmpl w:val="1190710B"/>
    <w:lvl w:ilvl="0" w:tentative="0">
      <w:start w:val="1"/>
      <w:numFmt w:val="decimalEnclosedCircle"/>
      <w:lvlText w:val="%1"/>
      <w:lvlJc w:val="left"/>
      <w:pPr>
        <w:ind w:left="360" w:hanging="360"/>
      </w:pPr>
      <w:rPr>
        <w:rFonts w:hint="default" w:cs="Arial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zOGZiMjE0MDI1YTA3ZWFjMzU0ZWQ4YmNmYmE5YWYifQ=="/>
  </w:docVars>
  <w:rsids>
    <w:rsidRoot w:val="055B5DEE"/>
    <w:rsid w:val="0004405F"/>
    <w:rsid w:val="000A31A8"/>
    <w:rsid w:val="000F2A8D"/>
    <w:rsid w:val="001371D1"/>
    <w:rsid w:val="00147D9D"/>
    <w:rsid w:val="0033539C"/>
    <w:rsid w:val="004A4A1E"/>
    <w:rsid w:val="004E3D67"/>
    <w:rsid w:val="0054164F"/>
    <w:rsid w:val="005D1495"/>
    <w:rsid w:val="00652211"/>
    <w:rsid w:val="00654DE1"/>
    <w:rsid w:val="00716168"/>
    <w:rsid w:val="0075704F"/>
    <w:rsid w:val="00770051"/>
    <w:rsid w:val="00905686"/>
    <w:rsid w:val="00954E69"/>
    <w:rsid w:val="009821ED"/>
    <w:rsid w:val="009A59A5"/>
    <w:rsid w:val="00BE792D"/>
    <w:rsid w:val="00C07A55"/>
    <w:rsid w:val="00D86C08"/>
    <w:rsid w:val="00E64DA7"/>
    <w:rsid w:val="00FC633F"/>
    <w:rsid w:val="010E28A1"/>
    <w:rsid w:val="019F0C4B"/>
    <w:rsid w:val="01EC120E"/>
    <w:rsid w:val="01F0607C"/>
    <w:rsid w:val="01F94152"/>
    <w:rsid w:val="027863BE"/>
    <w:rsid w:val="02E75F7B"/>
    <w:rsid w:val="031973EF"/>
    <w:rsid w:val="037613F5"/>
    <w:rsid w:val="037C0A7C"/>
    <w:rsid w:val="03B65CD0"/>
    <w:rsid w:val="03CA7741"/>
    <w:rsid w:val="04051D8D"/>
    <w:rsid w:val="04800814"/>
    <w:rsid w:val="04F119E6"/>
    <w:rsid w:val="050B08B7"/>
    <w:rsid w:val="05156CCD"/>
    <w:rsid w:val="05581A13"/>
    <w:rsid w:val="055B5DEE"/>
    <w:rsid w:val="05AB63A0"/>
    <w:rsid w:val="05CF4890"/>
    <w:rsid w:val="06054090"/>
    <w:rsid w:val="062B2DD1"/>
    <w:rsid w:val="07056943"/>
    <w:rsid w:val="07282228"/>
    <w:rsid w:val="074D0C01"/>
    <w:rsid w:val="07647EB8"/>
    <w:rsid w:val="079D128A"/>
    <w:rsid w:val="07E50AA3"/>
    <w:rsid w:val="07FB4199"/>
    <w:rsid w:val="08BB41F4"/>
    <w:rsid w:val="08E200B7"/>
    <w:rsid w:val="08FC2F3F"/>
    <w:rsid w:val="09171910"/>
    <w:rsid w:val="096C162E"/>
    <w:rsid w:val="09DD1815"/>
    <w:rsid w:val="0A243610"/>
    <w:rsid w:val="0AC72192"/>
    <w:rsid w:val="0AF81CD9"/>
    <w:rsid w:val="0B0A506B"/>
    <w:rsid w:val="0BE50281"/>
    <w:rsid w:val="0BFD2D3B"/>
    <w:rsid w:val="0C0E496C"/>
    <w:rsid w:val="0C4B04A3"/>
    <w:rsid w:val="0C880BA6"/>
    <w:rsid w:val="0CE923D6"/>
    <w:rsid w:val="0CFA4C6C"/>
    <w:rsid w:val="0D6A20B5"/>
    <w:rsid w:val="0D9873CC"/>
    <w:rsid w:val="0DD30581"/>
    <w:rsid w:val="0DD81C27"/>
    <w:rsid w:val="0DFE38AF"/>
    <w:rsid w:val="0ED8430F"/>
    <w:rsid w:val="0EF52A28"/>
    <w:rsid w:val="0F6145C5"/>
    <w:rsid w:val="0F653453"/>
    <w:rsid w:val="106D0070"/>
    <w:rsid w:val="109F4099"/>
    <w:rsid w:val="10B77E18"/>
    <w:rsid w:val="11537730"/>
    <w:rsid w:val="118A1CFF"/>
    <w:rsid w:val="1197539C"/>
    <w:rsid w:val="11D47342"/>
    <w:rsid w:val="11D8052D"/>
    <w:rsid w:val="120C60E3"/>
    <w:rsid w:val="12733694"/>
    <w:rsid w:val="12BB6945"/>
    <w:rsid w:val="12EA45EE"/>
    <w:rsid w:val="13665215"/>
    <w:rsid w:val="139F5FD3"/>
    <w:rsid w:val="13F21D43"/>
    <w:rsid w:val="14030E5E"/>
    <w:rsid w:val="14953EF0"/>
    <w:rsid w:val="150D6A39"/>
    <w:rsid w:val="15570698"/>
    <w:rsid w:val="15614CC4"/>
    <w:rsid w:val="156B2323"/>
    <w:rsid w:val="15C54593"/>
    <w:rsid w:val="16326DB9"/>
    <w:rsid w:val="16FC1F8A"/>
    <w:rsid w:val="171D2E36"/>
    <w:rsid w:val="17AE1A53"/>
    <w:rsid w:val="18A51DC7"/>
    <w:rsid w:val="18B11DD3"/>
    <w:rsid w:val="19583736"/>
    <w:rsid w:val="19641E30"/>
    <w:rsid w:val="19F97277"/>
    <w:rsid w:val="1AA50202"/>
    <w:rsid w:val="1AEB4BF1"/>
    <w:rsid w:val="1B133A22"/>
    <w:rsid w:val="1B2176CC"/>
    <w:rsid w:val="1B257CAC"/>
    <w:rsid w:val="1B3C72C2"/>
    <w:rsid w:val="1BBD2605"/>
    <w:rsid w:val="1C194E16"/>
    <w:rsid w:val="1C920018"/>
    <w:rsid w:val="1C9F2817"/>
    <w:rsid w:val="1CB76462"/>
    <w:rsid w:val="1D5375BB"/>
    <w:rsid w:val="1D80665F"/>
    <w:rsid w:val="1DF378AF"/>
    <w:rsid w:val="1E136733"/>
    <w:rsid w:val="1E6043B1"/>
    <w:rsid w:val="1E726861"/>
    <w:rsid w:val="1E872C02"/>
    <w:rsid w:val="1E911099"/>
    <w:rsid w:val="1EA75718"/>
    <w:rsid w:val="1ECF4D4A"/>
    <w:rsid w:val="1ED752EB"/>
    <w:rsid w:val="1F0E6ACC"/>
    <w:rsid w:val="1FAE7D4C"/>
    <w:rsid w:val="20085C23"/>
    <w:rsid w:val="201E7925"/>
    <w:rsid w:val="20626D06"/>
    <w:rsid w:val="20706265"/>
    <w:rsid w:val="20AE7C35"/>
    <w:rsid w:val="20B92EDD"/>
    <w:rsid w:val="211F12CA"/>
    <w:rsid w:val="21965207"/>
    <w:rsid w:val="21FD7D04"/>
    <w:rsid w:val="2272274A"/>
    <w:rsid w:val="22983FE4"/>
    <w:rsid w:val="22A92C8D"/>
    <w:rsid w:val="22BB2B5C"/>
    <w:rsid w:val="22BC5430"/>
    <w:rsid w:val="23BB60DF"/>
    <w:rsid w:val="23D12DE7"/>
    <w:rsid w:val="24CF2E1C"/>
    <w:rsid w:val="250315E5"/>
    <w:rsid w:val="252501DB"/>
    <w:rsid w:val="255A2E0B"/>
    <w:rsid w:val="256B1AB6"/>
    <w:rsid w:val="25C00586"/>
    <w:rsid w:val="262F10AB"/>
    <w:rsid w:val="263829B0"/>
    <w:rsid w:val="26580632"/>
    <w:rsid w:val="26832C2C"/>
    <w:rsid w:val="26A417A8"/>
    <w:rsid w:val="26BA4E2C"/>
    <w:rsid w:val="27276E3C"/>
    <w:rsid w:val="27726B2F"/>
    <w:rsid w:val="278D2CCC"/>
    <w:rsid w:val="279F4C59"/>
    <w:rsid w:val="27E9376E"/>
    <w:rsid w:val="28222606"/>
    <w:rsid w:val="2851712C"/>
    <w:rsid w:val="29193E16"/>
    <w:rsid w:val="295759F5"/>
    <w:rsid w:val="299D7498"/>
    <w:rsid w:val="29AF248E"/>
    <w:rsid w:val="29ED4D97"/>
    <w:rsid w:val="2AD66AA1"/>
    <w:rsid w:val="2B093B1C"/>
    <w:rsid w:val="2B1A38C4"/>
    <w:rsid w:val="2BCA1C90"/>
    <w:rsid w:val="2BCB53B1"/>
    <w:rsid w:val="2BFF4E3C"/>
    <w:rsid w:val="2C4A477F"/>
    <w:rsid w:val="2CE60E41"/>
    <w:rsid w:val="2D5D55DD"/>
    <w:rsid w:val="2D863FE7"/>
    <w:rsid w:val="2DE329D9"/>
    <w:rsid w:val="2E2C25BF"/>
    <w:rsid w:val="2E5C3E94"/>
    <w:rsid w:val="2E6D3684"/>
    <w:rsid w:val="2E6D3B80"/>
    <w:rsid w:val="2ED07330"/>
    <w:rsid w:val="2EDE7422"/>
    <w:rsid w:val="2F177436"/>
    <w:rsid w:val="2F2A0D44"/>
    <w:rsid w:val="2F2A7CDE"/>
    <w:rsid w:val="2F41567D"/>
    <w:rsid w:val="2F45140C"/>
    <w:rsid w:val="2F636952"/>
    <w:rsid w:val="2F895EB0"/>
    <w:rsid w:val="2FAD21D7"/>
    <w:rsid w:val="300404B5"/>
    <w:rsid w:val="303F6658"/>
    <w:rsid w:val="30A866B4"/>
    <w:rsid w:val="30F556C4"/>
    <w:rsid w:val="31232F57"/>
    <w:rsid w:val="313E59CD"/>
    <w:rsid w:val="315D0BDF"/>
    <w:rsid w:val="31611827"/>
    <w:rsid w:val="31877457"/>
    <w:rsid w:val="31A359FC"/>
    <w:rsid w:val="31D60757"/>
    <w:rsid w:val="31ED5E65"/>
    <w:rsid w:val="321A3D23"/>
    <w:rsid w:val="323E16AF"/>
    <w:rsid w:val="327D531A"/>
    <w:rsid w:val="32B04D56"/>
    <w:rsid w:val="32C33FA3"/>
    <w:rsid w:val="33036000"/>
    <w:rsid w:val="333D49E8"/>
    <w:rsid w:val="3354184E"/>
    <w:rsid w:val="335F3300"/>
    <w:rsid w:val="33BE6FC7"/>
    <w:rsid w:val="33CD1F8B"/>
    <w:rsid w:val="34282E51"/>
    <w:rsid w:val="34362695"/>
    <w:rsid w:val="34C1339B"/>
    <w:rsid w:val="35A73C56"/>
    <w:rsid w:val="35F01453"/>
    <w:rsid w:val="3634441D"/>
    <w:rsid w:val="363F395C"/>
    <w:rsid w:val="36A93C24"/>
    <w:rsid w:val="37AE473A"/>
    <w:rsid w:val="37D144CC"/>
    <w:rsid w:val="37F4709E"/>
    <w:rsid w:val="389571B0"/>
    <w:rsid w:val="38F576D9"/>
    <w:rsid w:val="392072DB"/>
    <w:rsid w:val="39415728"/>
    <w:rsid w:val="394E06F4"/>
    <w:rsid w:val="39BB3D92"/>
    <w:rsid w:val="3A14705E"/>
    <w:rsid w:val="3A9C5817"/>
    <w:rsid w:val="3B685A36"/>
    <w:rsid w:val="3C180266"/>
    <w:rsid w:val="3C35100F"/>
    <w:rsid w:val="3D98135D"/>
    <w:rsid w:val="3DE7730B"/>
    <w:rsid w:val="3E9300F7"/>
    <w:rsid w:val="3EA92A2E"/>
    <w:rsid w:val="3EE77E4F"/>
    <w:rsid w:val="3F085FFF"/>
    <w:rsid w:val="3F367941"/>
    <w:rsid w:val="3F5B0E51"/>
    <w:rsid w:val="3FD446B8"/>
    <w:rsid w:val="408306DC"/>
    <w:rsid w:val="408646DC"/>
    <w:rsid w:val="40A77D27"/>
    <w:rsid w:val="40BC420F"/>
    <w:rsid w:val="40BE6505"/>
    <w:rsid w:val="40F83AAF"/>
    <w:rsid w:val="4116168D"/>
    <w:rsid w:val="412E3526"/>
    <w:rsid w:val="414241B1"/>
    <w:rsid w:val="41432643"/>
    <w:rsid w:val="41BF1764"/>
    <w:rsid w:val="420C6DE0"/>
    <w:rsid w:val="42841220"/>
    <w:rsid w:val="43106CD7"/>
    <w:rsid w:val="43197EEF"/>
    <w:rsid w:val="433018FD"/>
    <w:rsid w:val="43560097"/>
    <w:rsid w:val="43836AE7"/>
    <w:rsid w:val="438E7E55"/>
    <w:rsid w:val="43FC6FDB"/>
    <w:rsid w:val="444F4015"/>
    <w:rsid w:val="45433397"/>
    <w:rsid w:val="45EA6A1D"/>
    <w:rsid w:val="45EB62CE"/>
    <w:rsid w:val="460A75A7"/>
    <w:rsid w:val="461E5A4D"/>
    <w:rsid w:val="463B07B9"/>
    <w:rsid w:val="46441D04"/>
    <w:rsid w:val="4702002B"/>
    <w:rsid w:val="473876AF"/>
    <w:rsid w:val="47984C8E"/>
    <w:rsid w:val="479E0B8E"/>
    <w:rsid w:val="47B64E72"/>
    <w:rsid w:val="480B7B6E"/>
    <w:rsid w:val="48586DEF"/>
    <w:rsid w:val="48E136D3"/>
    <w:rsid w:val="49182FE8"/>
    <w:rsid w:val="49A95C5E"/>
    <w:rsid w:val="49C1670D"/>
    <w:rsid w:val="49D95ED6"/>
    <w:rsid w:val="49F65447"/>
    <w:rsid w:val="4A2B1F16"/>
    <w:rsid w:val="4A3C0589"/>
    <w:rsid w:val="4B0F11B2"/>
    <w:rsid w:val="4B6064BC"/>
    <w:rsid w:val="4BFA101C"/>
    <w:rsid w:val="4C2A6A7C"/>
    <w:rsid w:val="4C6A1B1E"/>
    <w:rsid w:val="4C8F52FF"/>
    <w:rsid w:val="4E347378"/>
    <w:rsid w:val="4E5D7933"/>
    <w:rsid w:val="4F3B4E75"/>
    <w:rsid w:val="4F9F4AA4"/>
    <w:rsid w:val="4FB55598"/>
    <w:rsid w:val="4FD15268"/>
    <w:rsid w:val="5012408F"/>
    <w:rsid w:val="50813035"/>
    <w:rsid w:val="512E660F"/>
    <w:rsid w:val="513A20CA"/>
    <w:rsid w:val="514E422D"/>
    <w:rsid w:val="51BA62F1"/>
    <w:rsid w:val="51C17D83"/>
    <w:rsid w:val="525365B1"/>
    <w:rsid w:val="5254087D"/>
    <w:rsid w:val="526F2B74"/>
    <w:rsid w:val="53380FA1"/>
    <w:rsid w:val="536070F0"/>
    <w:rsid w:val="53B5520D"/>
    <w:rsid w:val="54722F57"/>
    <w:rsid w:val="54EE24FA"/>
    <w:rsid w:val="54FB409F"/>
    <w:rsid w:val="55597D90"/>
    <w:rsid w:val="56693809"/>
    <w:rsid w:val="56872D4A"/>
    <w:rsid w:val="57245C1E"/>
    <w:rsid w:val="57F37207"/>
    <w:rsid w:val="58157471"/>
    <w:rsid w:val="5894395C"/>
    <w:rsid w:val="58FA0BF4"/>
    <w:rsid w:val="595F3661"/>
    <w:rsid w:val="597B2DF8"/>
    <w:rsid w:val="59AF41CE"/>
    <w:rsid w:val="59D1207D"/>
    <w:rsid w:val="5A2938EC"/>
    <w:rsid w:val="5A746AD7"/>
    <w:rsid w:val="5ADF636D"/>
    <w:rsid w:val="5BB11C16"/>
    <w:rsid w:val="5BD606DA"/>
    <w:rsid w:val="5BF062E2"/>
    <w:rsid w:val="5C00728A"/>
    <w:rsid w:val="5C83396A"/>
    <w:rsid w:val="5D207343"/>
    <w:rsid w:val="5DC679AB"/>
    <w:rsid w:val="5DD605C8"/>
    <w:rsid w:val="5E3A7BDA"/>
    <w:rsid w:val="5E3C6720"/>
    <w:rsid w:val="5E72224C"/>
    <w:rsid w:val="60CA4511"/>
    <w:rsid w:val="60CD14FF"/>
    <w:rsid w:val="60ED0D18"/>
    <w:rsid w:val="620631D2"/>
    <w:rsid w:val="62351ABB"/>
    <w:rsid w:val="625B2697"/>
    <w:rsid w:val="62A32A4C"/>
    <w:rsid w:val="63913CE0"/>
    <w:rsid w:val="63B3271B"/>
    <w:rsid w:val="63D632AD"/>
    <w:rsid w:val="63DE2F40"/>
    <w:rsid w:val="64444561"/>
    <w:rsid w:val="64E7218B"/>
    <w:rsid w:val="650A3743"/>
    <w:rsid w:val="65327C69"/>
    <w:rsid w:val="656F7D79"/>
    <w:rsid w:val="65995D68"/>
    <w:rsid w:val="65CD7EBD"/>
    <w:rsid w:val="6629524A"/>
    <w:rsid w:val="66450745"/>
    <w:rsid w:val="66B46924"/>
    <w:rsid w:val="670A7F23"/>
    <w:rsid w:val="677F23D8"/>
    <w:rsid w:val="681D7EC8"/>
    <w:rsid w:val="68B84254"/>
    <w:rsid w:val="68C7756A"/>
    <w:rsid w:val="69167406"/>
    <w:rsid w:val="69A2295E"/>
    <w:rsid w:val="69B759BC"/>
    <w:rsid w:val="69E14A13"/>
    <w:rsid w:val="6A274645"/>
    <w:rsid w:val="6B431BB5"/>
    <w:rsid w:val="6B480321"/>
    <w:rsid w:val="6B9E0403"/>
    <w:rsid w:val="6BA451D1"/>
    <w:rsid w:val="6C0562FD"/>
    <w:rsid w:val="6C0E35E6"/>
    <w:rsid w:val="6C18309D"/>
    <w:rsid w:val="6C5B724A"/>
    <w:rsid w:val="6C750C90"/>
    <w:rsid w:val="6C9F6CE5"/>
    <w:rsid w:val="6CAA5438"/>
    <w:rsid w:val="6CB63FD5"/>
    <w:rsid w:val="6CBE79D9"/>
    <w:rsid w:val="6CC34EED"/>
    <w:rsid w:val="6CF8796B"/>
    <w:rsid w:val="6D20696D"/>
    <w:rsid w:val="6D895432"/>
    <w:rsid w:val="6E573D2E"/>
    <w:rsid w:val="6E813BF7"/>
    <w:rsid w:val="6EC12ED4"/>
    <w:rsid w:val="6EF429EE"/>
    <w:rsid w:val="70AE429C"/>
    <w:rsid w:val="714C030C"/>
    <w:rsid w:val="71DD06BA"/>
    <w:rsid w:val="71FA6685"/>
    <w:rsid w:val="72592950"/>
    <w:rsid w:val="726610FC"/>
    <w:rsid w:val="729716C2"/>
    <w:rsid w:val="7312139A"/>
    <w:rsid w:val="734A610F"/>
    <w:rsid w:val="734F4B45"/>
    <w:rsid w:val="73861598"/>
    <w:rsid w:val="73E5717A"/>
    <w:rsid w:val="74C05F86"/>
    <w:rsid w:val="75125278"/>
    <w:rsid w:val="751E096A"/>
    <w:rsid w:val="752E1745"/>
    <w:rsid w:val="75534AEE"/>
    <w:rsid w:val="758140CF"/>
    <w:rsid w:val="75EE1976"/>
    <w:rsid w:val="760110A3"/>
    <w:rsid w:val="76BA7CA8"/>
    <w:rsid w:val="77A559E6"/>
    <w:rsid w:val="77D344BB"/>
    <w:rsid w:val="78236DE0"/>
    <w:rsid w:val="78661C81"/>
    <w:rsid w:val="792A73E4"/>
    <w:rsid w:val="79E02608"/>
    <w:rsid w:val="7A321016"/>
    <w:rsid w:val="7A7974CE"/>
    <w:rsid w:val="7A827D63"/>
    <w:rsid w:val="7AEF5793"/>
    <w:rsid w:val="7BFE2EED"/>
    <w:rsid w:val="7C286CE4"/>
    <w:rsid w:val="7C7705AE"/>
    <w:rsid w:val="7C9A26B7"/>
    <w:rsid w:val="7D1078FC"/>
    <w:rsid w:val="7D8054BB"/>
    <w:rsid w:val="7D91535F"/>
    <w:rsid w:val="7DCE19BA"/>
    <w:rsid w:val="7DDA04C9"/>
    <w:rsid w:val="7DFE62E5"/>
    <w:rsid w:val="7F005BBD"/>
    <w:rsid w:val="7FC5179F"/>
    <w:rsid w:val="EF6F2BE5"/>
    <w:rsid w:val="FD5BB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kern w:val="0"/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8">
    <w:name w:val="Default"/>
    <w:qFormat/>
    <w:uiPriority w:val="0"/>
    <w:pPr>
      <w:framePr w:hSpace="180" w:wrap="around" w:vAnchor="text" w:hAnchor="page" w:x="1682" w:y="308"/>
      <w:widowControl w:val="0"/>
      <w:autoSpaceDE w:val="0"/>
      <w:autoSpaceDN w:val="0"/>
      <w:adjustRightInd w:val="0"/>
      <w:jc w:val="center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customStyle="1" w:styleId="9">
    <w:name w:val="Normal_39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styleId="10">
    <w:name w:val="List Paragraph"/>
    <w:basedOn w:val="1"/>
    <w:qFormat/>
    <w:uiPriority w:val="99"/>
    <w:pPr>
      <w:ind w:firstLine="420" w:firstLineChars="200"/>
    </w:pPr>
  </w:style>
  <w:style w:type="character" w:customStyle="1" w:styleId="11">
    <w:name w:val="批注框文本 Char"/>
    <w:basedOn w:val="6"/>
    <w:link w:val="2"/>
    <w:qFormat/>
    <w:uiPriority w:val="0"/>
    <w:rPr>
      <w:rFonts w:cs="Arial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492</Words>
  <Characters>2807</Characters>
  <Lines>23</Lines>
  <Paragraphs>6</Paragraphs>
  <TotalTime>1436</TotalTime>
  <ScaleCrop>false</ScaleCrop>
  <LinksUpToDate>false</LinksUpToDate>
  <CharactersWithSpaces>3293</CharactersWithSpaces>
  <Application>WPS Office_11.8.2.10183_F1E327BC-269C-435d-A152-05C5408002CA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2024-02-26T17:40:00Z</dcterms:created>
  <dc:creator>Administrator</dc:creator>
  <cp:lastModifiedBy>user</cp:lastModifiedBy>
  <cp:lastPrinted>2024-05-09T11:14:54Z</cp:lastPrinted>
  <dcterms:modified xsi:type="dcterms:W3CDTF">2024-05-09T11:14:57Z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2052-11.8.2.10183</vt:lpwstr>
  </property>
  <property fmtid="{D5CDD505-2E9C-101B-9397-08002B2CF9AE}" pid="3" name="ICV">
    <vt:lpwstr>332C535E4A0941D58D591079F98B768E_12</vt:lpwstr>
  </property>
</Properties>
</file>