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asciiTheme="minorEastAsia" w:hAnsiTheme="minorEastAsia" w:eastAsiaTheme="minorEastAsia"/>
          <w:szCs w:val="21"/>
        </w:rPr>
        <w:t>受</w:t>
      </w:r>
      <w:r>
        <w:rPr>
          <w:rFonts w:asciiTheme="minorEastAsia" w:hAnsiTheme="minorEastAsia" w:eastAsiaTheme="minorEastAsia"/>
          <w:szCs w:val="21"/>
          <w:u w:val="none"/>
        </w:rPr>
        <w:t>让</w:t>
      </w:r>
      <w:r>
        <w:rPr>
          <w:rFonts w:hint="eastAsia" w:asciiTheme="minorEastAsia" w:hAnsiTheme="minorEastAsia"/>
          <w:szCs w:val="21"/>
          <w:highlight w:val="none"/>
          <w:u w:val="single"/>
          <w:lang w:val="en-US" w:eastAsia="zh-CN"/>
        </w:rPr>
        <w:t>云锦城15幢1单元201室等77套房产</w:t>
      </w:r>
      <w:r>
        <w:rPr>
          <w:rFonts w:hint="eastAsia" w:asciiTheme="minorEastAsia" w:hAnsiTheme="minorEastAsia"/>
          <w:szCs w:val="21"/>
          <w:highlight w:val="none"/>
          <w:u w:val="none"/>
          <w:lang w:val="en-US" w:eastAsia="zh-CN"/>
        </w:rPr>
        <w:t>项目</w:t>
      </w:r>
      <w:r>
        <w:rPr>
          <w:rFonts w:hint="eastAsia" w:asciiTheme="minorEastAsia" w:hAnsiTheme="minorEastAsia" w:eastAsiaTheme="minorEastAsia"/>
          <w:szCs w:val="21"/>
          <w:u w:val="none"/>
        </w:rPr>
        <w:t>，现做</w:t>
      </w:r>
      <w:r>
        <w:rPr>
          <w:rFonts w:asciiTheme="minorEastAsia" w:hAnsiTheme="minorEastAsia" w:eastAsiaTheme="minorEastAsia"/>
          <w:szCs w:val="21"/>
          <w:u w:val="none"/>
        </w:rPr>
        <w:t>如下承诺：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bookmarkStart w:id="0" w:name="_GoBack"/>
      <w:bookmarkEnd w:id="0"/>
    </w:p>
    <w:p>
      <w:pPr>
        <w:keepNext w:val="0"/>
        <w:keepLines w:val="0"/>
        <w:pageBreakBefore w:val="0"/>
        <w:widowControl/>
        <w:tabs>
          <w:tab w:val="left" w:pos="6975"/>
        </w:tabs>
        <w:kinsoku/>
        <w:wordWrap/>
        <w:overflowPunct/>
        <w:topLinePunct w:val="0"/>
        <w:autoSpaceDE/>
        <w:autoSpaceDN/>
        <w:bidi w:val="0"/>
        <w:adjustRightInd/>
        <w:snapToGrid/>
        <w:spacing w:line="37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pPr>
        <w:keepNext w:val="0"/>
        <w:keepLines w:val="0"/>
        <w:pageBreakBefore w:val="0"/>
        <w:kinsoku/>
        <w:wordWrap/>
        <w:overflowPunct/>
        <w:topLinePunct w:val="0"/>
        <w:autoSpaceDE/>
        <w:autoSpaceDN/>
        <w:bidi w:val="0"/>
        <w:adjustRightInd/>
        <w:snapToGrid/>
        <w:spacing w:line="400" w:lineRule="exact"/>
        <w:ind w:firstLine="42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1）同意在被确定为受让方之日起5个工作日内，携带受让申请材料原件到杭交所完成现场确认并签署交易记录、《成交通知书》、《资产交易合同》；并在《成交通知书》、《资产交易合同》签署之日起20个工作日内向杭交所指定账户一次性支付</w:t>
      </w:r>
      <w:r>
        <w:rPr>
          <w:rFonts w:hint="eastAsia" w:asciiTheme="minorEastAsia" w:hAnsiTheme="minorEastAsia" w:eastAsiaTheme="minorEastAsia" w:cstheme="minorEastAsia"/>
          <w:b/>
          <w:bCs/>
          <w:sz w:val="21"/>
          <w:szCs w:val="21"/>
          <w:u w:val="none"/>
          <w:lang w:val="en-US" w:eastAsia="zh-CN"/>
        </w:rPr>
        <w:t>交易价款</w:t>
      </w:r>
      <w:r>
        <w:rPr>
          <w:rFonts w:hint="eastAsia" w:asciiTheme="minorEastAsia" w:hAnsiTheme="minorEastAsia" w:eastAsiaTheme="minorEastAsia" w:cstheme="minorEastAsia"/>
          <w:sz w:val="21"/>
          <w:szCs w:val="21"/>
          <w:u w:val="none"/>
          <w:lang w:val="en-US" w:eastAsia="zh-CN"/>
        </w:rPr>
        <w:t>等交易资金（《资产交易合同》签署当日，其交纳的对应标的的交易保证金转为履约保证金，待应支付的剩余款项全部到账后，履约保证金再转为交易价款的一部分）（以到账时间为准）。</w:t>
      </w:r>
    </w:p>
    <w:p>
      <w:pPr>
        <w:keepNext w:val="0"/>
        <w:keepLines w:val="0"/>
        <w:pageBreakBefore w:val="0"/>
        <w:kinsoku/>
        <w:wordWrap/>
        <w:overflowPunct/>
        <w:topLinePunct w:val="0"/>
        <w:autoSpaceDE/>
        <w:autoSpaceDN/>
        <w:bidi w:val="0"/>
        <w:adjustRightInd/>
        <w:snapToGrid/>
        <w:spacing w:line="400" w:lineRule="exact"/>
        <w:ind w:firstLine="42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若受让方需要委托杭州企业产权交易中心有限公司（以下简称经纪会员）或经纪会员指定的第三方办理权证过户手续的，经纪会员或经纪会员指定的第三方可提供有偿的权证过户服务，同时受让方还应自《成交通知书》、《资产交易合同》签署之日起20个工作日内支付预付款（房屋建筑面积140㎡以下的预付款按成交价1.5%计收，140㎡以上的预付款按成交价2.5%计收）（多退少补）。</w:t>
      </w:r>
    </w:p>
    <w:p>
      <w:pPr>
        <w:keepNext w:val="0"/>
        <w:keepLines w:val="0"/>
        <w:pageBreakBefore w:val="0"/>
        <w:kinsoku/>
        <w:wordWrap/>
        <w:overflowPunct/>
        <w:topLinePunct w:val="0"/>
        <w:autoSpaceDE/>
        <w:autoSpaceDN/>
        <w:bidi w:val="0"/>
        <w:adjustRightInd/>
        <w:snapToGrid/>
        <w:spacing w:line="400" w:lineRule="exact"/>
        <w:ind w:firstLine="42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对符合按揭政策的受让方申请用杭交所指定银行按揭贷款支付成交款项并获得银行核准的，须在《成交通知书》、《资产交易合同》签署之日起5个工作日内付清首付款、预付款（房屋建筑面积140㎡以下的预付款按成交价1.5%计收，140㎡以上的预付款按成交价2.5%计收）（多退少补）和权证过户服务费，余款用按揭贷款支付【《资产交易合同》签署当日，受让方交纳的对应标的的交易保证金转为履约保证金，待应支付的剩余首付款全部到账后，履约保证金再转为首付款的一部分】。</w:t>
      </w:r>
    </w:p>
    <w:p>
      <w:pPr>
        <w:keepNext w:val="0"/>
        <w:keepLines w:val="0"/>
        <w:pageBreakBefore w:val="0"/>
        <w:kinsoku/>
        <w:wordWrap/>
        <w:overflowPunct/>
        <w:topLinePunct w:val="0"/>
        <w:autoSpaceDE/>
        <w:autoSpaceDN/>
        <w:bidi w:val="0"/>
        <w:adjustRightInd/>
        <w:snapToGrid/>
        <w:spacing w:line="400" w:lineRule="exact"/>
        <w:ind w:firstLine="42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若受让方按揭贷款审批未通过的，受让方应自按揭贷款审核不通过之日起10个工作日内向杭交所指定账户一次性付清全部交易价款（原交易保证金转为履约保证金）。</w:t>
      </w:r>
    </w:p>
    <w:p>
      <w:pPr>
        <w:keepNext w:val="0"/>
        <w:keepLines w:val="0"/>
        <w:pageBreakBefore w:val="0"/>
        <w:kinsoku/>
        <w:wordWrap/>
        <w:overflowPunct/>
        <w:topLinePunct w:val="0"/>
        <w:autoSpaceDE/>
        <w:autoSpaceDN/>
        <w:bidi w:val="0"/>
        <w:adjustRightInd/>
        <w:snapToGrid/>
        <w:spacing w:line="400" w:lineRule="exact"/>
        <w:ind w:firstLine="42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（2）</w:t>
      </w:r>
      <w:r>
        <w:rPr>
          <w:rFonts w:hint="eastAsia" w:ascii="宋体" w:hAnsi="宋体" w:eastAsia="宋体" w:cs="Times New Roman"/>
          <w:highlight w:val="none"/>
        </w:rPr>
        <w:t>同意自行了解并完全符合国家及房地产所在市规定的购房条件。若因</w:t>
      </w:r>
      <w:r>
        <w:rPr>
          <w:rFonts w:hint="eastAsia" w:ascii="宋体" w:hAnsi="宋体" w:eastAsia="宋体" w:cs="Times New Roman"/>
          <w:highlight w:val="none"/>
          <w:lang w:val="en-US" w:eastAsia="zh-CN"/>
        </w:rPr>
        <w:t>受让方</w:t>
      </w:r>
      <w:r>
        <w:rPr>
          <w:rFonts w:hint="eastAsia" w:ascii="宋体" w:hAnsi="宋体" w:eastAsia="宋体" w:cs="Times New Roman"/>
          <w:highlight w:val="none"/>
        </w:rPr>
        <w:t>原因（包括</w:t>
      </w:r>
      <w:r>
        <w:rPr>
          <w:rFonts w:hint="eastAsia" w:ascii="宋体" w:hAnsi="宋体" w:eastAsia="宋体" w:cs="Times New Roman"/>
          <w:highlight w:val="none"/>
          <w:lang w:val="en-US" w:eastAsia="zh-CN"/>
        </w:rPr>
        <w:t>受让方</w:t>
      </w:r>
      <w:r>
        <w:rPr>
          <w:rFonts w:hint="eastAsia" w:ascii="宋体" w:hAnsi="宋体" w:eastAsia="宋体" w:cs="Times New Roman"/>
          <w:highlight w:val="none"/>
        </w:rPr>
        <w:t>未足额付款或单方解约）造成所受让房屋无法过户，</w:t>
      </w:r>
      <w:r>
        <w:rPr>
          <w:rFonts w:hint="eastAsia" w:ascii="宋体" w:hAnsi="宋体" w:eastAsia="宋体" w:cs="Times New Roman"/>
          <w:highlight w:val="none"/>
          <w:lang w:val="en-US" w:eastAsia="zh-CN"/>
        </w:rPr>
        <w:t>受让方</w:t>
      </w:r>
      <w:r>
        <w:rPr>
          <w:rFonts w:hint="eastAsia" w:ascii="宋体" w:hAnsi="宋体" w:eastAsia="宋体" w:cs="Times New Roman"/>
          <w:highlight w:val="none"/>
        </w:rPr>
        <w:t>所缴纳的购房款损失及其他经济损失均由</w:t>
      </w:r>
      <w:r>
        <w:rPr>
          <w:rFonts w:hint="eastAsia" w:ascii="宋体" w:hAnsi="宋体" w:eastAsia="宋体" w:cs="Times New Roman"/>
          <w:highlight w:val="none"/>
          <w:lang w:val="en-US" w:eastAsia="zh-CN"/>
        </w:rPr>
        <w:t>受让方</w:t>
      </w:r>
      <w:r>
        <w:rPr>
          <w:rFonts w:hint="eastAsia" w:ascii="宋体" w:hAnsi="宋体" w:eastAsia="宋体" w:cs="Times New Roman"/>
          <w:highlight w:val="none"/>
        </w:rPr>
        <w:t>承担，与</w:t>
      </w:r>
      <w:r>
        <w:rPr>
          <w:rFonts w:hint="eastAsia" w:ascii="宋体" w:hAnsi="宋体" w:eastAsia="宋体" w:cs="Times New Roman"/>
          <w:highlight w:val="none"/>
          <w:lang w:val="en-US" w:eastAsia="zh-CN"/>
        </w:rPr>
        <w:t>转让方</w:t>
      </w:r>
      <w:r>
        <w:rPr>
          <w:rFonts w:hint="eastAsia" w:ascii="宋体" w:hAnsi="宋体" w:eastAsia="宋体" w:cs="Times New Roman"/>
          <w:highlight w:val="none"/>
        </w:rPr>
        <w:t>及经纪会员无关，</w:t>
      </w:r>
      <w:r>
        <w:rPr>
          <w:rFonts w:hint="eastAsia" w:ascii="宋体" w:hAnsi="宋体" w:eastAsia="宋体" w:cs="Times New Roman"/>
          <w:highlight w:val="none"/>
          <w:lang w:val="en-US" w:eastAsia="zh-CN"/>
        </w:rPr>
        <w:t>受让方</w:t>
      </w:r>
      <w:r>
        <w:rPr>
          <w:rFonts w:hint="eastAsia" w:ascii="宋体" w:hAnsi="宋体" w:eastAsia="宋体" w:cs="Times New Roman"/>
          <w:highlight w:val="none"/>
        </w:rPr>
        <w:t>已付履约保证金（或已转为交易价款的履约保证金等额部分）不予返还。</w:t>
      </w:r>
    </w:p>
    <w:p>
      <w:pPr>
        <w:keepNext w:val="0"/>
        <w:keepLines w:val="0"/>
        <w:pageBreakBefore w:val="0"/>
        <w:kinsoku/>
        <w:wordWrap/>
        <w:overflowPunct/>
        <w:topLinePunct w:val="0"/>
        <w:autoSpaceDE/>
        <w:autoSpaceDN/>
        <w:bidi w:val="0"/>
        <w:adjustRightInd/>
        <w:snapToGrid/>
        <w:spacing w:line="400" w:lineRule="exact"/>
        <w:ind w:firstLine="42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3）同意在办理不动产权证变更登记手续时，有关职能部门要求提供文本合同的，转让方和受让方双方应按照相关规定签订文本合同。但双方一致确认，该等新签订的文本合同仅作为办理登记手续之用，不作为双方的实际履行依据，双方权利义务关系均以《资产交易合同》样本为准。</w:t>
      </w:r>
    </w:p>
    <w:p>
      <w:pPr>
        <w:keepNext w:val="0"/>
        <w:keepLines w:val="0"/>
        <w:pageBreakBefore w:val="0"/>
        <w:kinsoku/>
        <w:wordWrap/>
        <w:overflowPunct/>
        <w:topLinePunct w:val="0"/>
        <w:autoSpaceDE/>
        <w:autoSpaceDN/>
        <w:bidi w:val="0"/>
        <w:adjustRightInd/>
        <w:snapToGrid/>
        <w:spacing w:line="400" w:lineRule="exact"/>
        <w:ind w:firstLine="42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（4）</w:t>
      </w:r>
      <w:r>
        <w:rPr>
          <w:rFonts w:hint="eastAsia" w:ascii="宋体" w:hAnsi="宋体" w:eastAsia="宋体" w:cs="Times New Roman"/>
          <w:highlight w:val="none"/>
        </w:rPr>
        <w:t>同意</w:t>
      </w:r>
      <w:r>
        <w:rPr>
          <w:rFonts w:hint="eastAsia" w:ascii="宋体" w:hAnsi="宋体" w:eastAsia="宋体" w:cs="Times New Roman"/>
          <w:highlight w:val="none"/>
          <w:lang w:val="en-US" w:eastAsia="zh-CN"/>
        </w:rPr>
        <w:t>转让</w:t>
      </w:r>
      <w:r>
        <w:rPr>
          <w:rFonts w:hint="eastAsia" w:ascii="宋体" w:hAnsi="宋体" w:eastAsia="宋体" w:cs="Times New Roman"/>
          <w:highlight w:val="none"/>
        </w:rPr>
        <w:t>标的各种使用费用（不限于物业管理费、水、电费等）在不动产权证转移登记完成当月及之前由</w:t>
      </w:r>
      <w:r>
        <w:rPr>
          <w:rFonts w:hint="eastAsia" w:ascii="宋体" w:hAnsi="宋体" w:eastAsia="宋体" w:cs="Times New Roman"/>
          <w:highlight w:val="none"/>
          <w:lang w:val="en-US" w:eastAsia="zh-CN"/>
        </w:rPr>
        <w:t>转让方</w:t>
      </w:r>
      <w:r>
        <w:rPr>
          <w:rFonts w:hint="eastAsia" w:ascii="宋体" w:hAnsi="宋体" w:eastAsia="宋体" w:cs="Times New Roman"/>
          <w:highlight w:val="none"/>
        </w:rPr>
        <w:t>承担，不动产权证转移登记完成次月1日起由</w:t>
      </w:r>
      <w:r>
        <w:rPr>
          <w:rFonts w:hint="eastAsia" w:ascii="宋体" w:hAnsi="宋体" w:eastAsia="宋体" w:cs="Times New Roman"/>
          <w:highlight w:val="none"/>
          <w:lang w:val="en-US" w:eastAsia="zh-CN"/>
        </w:rPr>
        <w:t>受让方</w:t>
      </w:r>
      <w:r>
        <w:rPr>
          <w:rFonts w:hint="eastAsia" w:ascii="宋体" w:hAnsi="宋体" w:eastAsia="宋体" w:cs="Times New Roman"/>
          <w:highlight w:val="none"/>
        </w:rPr>
        <w:t>承担，水、电可以重新开户的，相关手续及费用由</w:t>
      </w:r>
      <w:r>
        <w:rPr>
          <w:rFonts w:hint="eastAsia" w:ascii="宋体" w:hAnsi="宋体" w:eastAsia="宋体" w:cs="Times New Roman"/>
          <w:highlight w:val="none"/>
          <w:lang w:val="en-US" w:eastAsia="zh-CN"/>
        </w:rPr>
        <w:t>受让方</w:t>
      </w:r>
      <w:r>
        <w:rPr>
          <w:rFonts w:hint="eastAsia" w:ascii="宋体" w:hAnsi="宋体" w:eastAsia="宋体" w:cs="Times New Roman"/>
          <w:highlight w:val="none"/>
        </w:rPr>
        <w:t>自理，但是否可以重新开户不在</w:t>
      </w:r>
      <w:r>
        <w:rPr>
          <w:rFonts w:hint="eastAsia" w:ascii="宋体" w:hAnsi="宋体" w:eastAsia="宋体" w:cs="Times New Roman"/>
          <w:highlight w:val="none"/>
          <w:lang w:val="en-US" w:eastAsia="zh-CN"/>
        </w:rPr>
        <w:t>转让方</w:t>
      </w:r>
      <w:r>
        <w:rPr>
          <w:rFonts w:hint="eastAsia" w:ascii="宋体" w:hAnsi="宋体" w:eastAsia="宋体" w:cs="Times New Roman"/>
          <w:highlight w:val="none"/>
        </w:rPr>
        <w:t>合同义务范围内，具体按照</w:t>
      </w:r>
      <w:r>
        <w:rPr>
          <w:rFonts w:hint="eastAsia" w:ascii="宋体" w:hAnsi="宋体" w:eastAsia="宋体" w:cs="Times New Roman"/>
          <w:highlight w:val="none"/>
          <w:lang w:val="en-US" w:eastAsia="zh-CN"/>
        </w:rPr>
        <w:t>转让</w:t>
      </w:r>
      <w:r>
        <w:rPr>
          <w:rFonts w:hint="eastAsia" w:ascii="宋体" w:hAnsi="宋体" w:eastAsia="宋体" w:cs="Times New Roman"/>
          <w:highlight w:val="none"/>
        </w:rPr>
        <w:t>标的情况和政府相关管理规定执行。</w:t>
      </w:r>
    </w:p>
    <w:p>
      <w:pPr>
        <w:keepNext w:val="0"/>
        <w:keepLines w:val="0"/>
        <w:pageBreakBefore w:val="0"/>
        <w:kinsoku/>
        <w:wordWrap/>
        <w:overflowPunct/>
        <w:topLinePunct w:val="0"/>
        <w:autoSpaceDE/>
        <w:autoSpaceDN/>
        <w:bidi w:val="0"/>
        <w:adjustRightInd/>
        <w:snapToGrid/>
        <w:spacing w:line="400" w:lineRule="exact"/>
        <w:ind w:firstLine="42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（5）已知悉并同意：如有户口未迁出的情况发生，转让方通知原户主把户口迁出，但有关学区房孩子能否就读的情况请意向受让方自行查证，对此转让方、经纪会员、杭交所不做承诺。</w:t>
      </w:r>
    </w:p>
    <w:p>
      <w:pPr>
        <w:keepNext w:val="0"/>
        <w:keepLines w:val="0"/>
        <w:pageBreakBefore w:val="0"/>
        <w:kinsoku/>
        <w:wordWrap/>
        <w:overflowPunct/>
        <w:topLinePunct w:val="0"/>
        <w:autoSpaceDE/>
        <w:autoSpaceDN/>
        <w:bidi w:val="0"/>
        <w:adjustRightInd/>
        <w:snapToGrid/>
        <w:spacing w:line="400" w:lineRule="exact"/>
        <w:ind w:firstLine="420"/>
        <w:jc w:val="left"/>
        <w:textAlignment w:val="auto"/>
        <w:rPr>
          <w:rFonts w:hint="eastAsia" w:asciiTheme="minorEastAsia" w:hAnsiTheme="minorEastAsia" w:eastAsiaTheme="minorEastAsia" w:cstheme="minorEastAsia"/>
          <w:b/>
          <w:bCs/>
          <w:sz w:val="21"/>
          <w:szCs w:val="21"/>
          <w:u w:val="none"/>
          <w:lang w:val="en-US" w:eastAsia="zh-CN"/>
        </w:rPr>
      </w:pPr>
      <w:r>
        <w:rPr>
          <w:rFonts w:hint="eastAsia" w:asciiTheme="minorEastAsia" w:hAnsiTheme="minorEastAsia" w:eastAsiaTheme="minorEastAsia" w:cstheme="minorEastAsia"/>
          <w:sz w:val="21"/>
          <w:szCs w:val="21"/>
          <w:u w:val="none"/>
          <w:lang w:val="en-US" w:eastAsia="zh-CN"/>
        </w:rPr>
        <w:t>（6）已知悉并同意：本次交易标的只限于权证核定的面积范围内。</w:t>
      </w:r>
      <w:r>
        <w:rPr>
          <w:rFonts w:hint="eastAsia" w:asciiTheme="minorEastAsia" w:hAnsiTheme="minorEastAsia" w:eastAsiaTheme="minorEastAsia" w:cstheme="minorEastAsia"/>
          <w:b/>
          <w:bCs/>
          <w:sz w:val="21"/>
          <w:szCs w:val="21"/>
          <w:u w:val="none"/>
          <w:lang w:val="en-US" w:eastAsia="zh-CN"/>
        </w:rPr>
        <w:t>标的房屋如有漏水或需维修的情况，均由受让方自理,转让方不承担任何费用和责任。</w:t>
      </w:r>
    </w:p>
    <w:p>
      <w:pPr>
        <w:keepNext w:val="0"/>
        <w:keepLines w:val="0"/>
        <w:pageBreakBefore w:val="0"/>
        <w:kinsoku/>
        <w:wordWrap/>
        <w:overflowPunct/>
        <w:topLinePunct w:val="0"/>
        <w:autoSpaceDE/>
        <w:autoSpaceDN/>
        <w:bidi w:val="0"/>
        <w:adjustRightInd/>
        <w:snapToGrid/>
        <w:spacing w:line="400" w:lineRule="exact"/>
        <w:ind w:firstLine="420"/>
        <w:jc w:val="left"/>
        <w:textAlignment w:val="auto"/>
        <w:rPr>
          <w:rFonts w:hint="eastAsia" w:asciiTheme="minorEastAsia" w:hAnsiTheme="minorEastAsia" w:eastAsiaTheme="minorEastAsia" w:cstheme="minorEastAsia"/>
          <w:b w:val="0"/>
          <w:bCs w:val="0"/>
          <w:sz w:val="21"/>
          <w:szCs w:val="21"/>
          <w:u w:val="none"/>
          <w:lang w:val="en-US" w:eastAsia="zh-CN"/>
        </w:rPr>
      </w:pPr>
      <w:r>
        <w:rPr>
          <w:rFonts w:hint="eastAsia" w:asciiTheme="minorEastAsia" w:hAnsiTheme="minorEastAsia" w:eastAsiaTheme="minorEastAsia" w:cstheme="minorEastAsia"/>
          <w:b w:val="0"/>
          <w:bCs w:val="0"/>
          <w:sz w:val="21"/>
          <w:szCs w:val="21"/>
          <w:u w:val="none"/>
          <w:lang w:val="en-US" w:eastAsia="zh-CN"/>
        </w:rPr>
        <w:t>（7）已知悉并同意：被确认为受让方后如果选择银行贷款支付交易价款的，同意由杭交所对受让方支付到杭交所指定账户“个人中心-未使用资金”的首付款进行扣除。</w:t>
      </w:r>
    </w:p>
    <w:p>
      <w:pPr>
        <w:keepNext w:val="0"/>
        <w:keepLines w:val="0"/>
        <w:pageBreakBefore w:val="0"/>
        <w:kinsoku/>
        <w:wordWrap/>
        <w:overflowPunct/>
        <w:topLinePunct w:val="0"/>
        <w:autoSpaceDE/>
        <w:autoSpaceDN/>
        <w:bidi w:val="0"/>
        <w:adjustRightInd/>
        <w:snapToGrid/>
        <w:spacing w:line="400" w:lineRule="exact"/>
        <w:ind w:firstLine="42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（8）我方已知悉：本次转让方与受让方的权利义务以及房屋的交接，最终以转让方提供的《资产交易合同》为准。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9</w:t>
      </w:r>
      <w:r>
        <w:rPr>
          <w:rFonts w:hint="eastAsia" w:ascii="宋体" w:hAnsi="宋体" w:cs="宋体"/>
          <w:szCs w:val="21"/>
          <w:lang w:eastAsia="zh-CN"/>
        </w:rPr>
        <w:t>）</w:t>
      </w:r>
      <w:r>
        <w:rPr>
          <w:rFonts w:hint="eastAsia" w:ascii="宋体" w:hAnsi="宋体" w:cs="宋体"/>
          <w:szCs w:val="21"/>
        </w:rPr>
        <w:t>若非转让方原因，出现以下任一情况时，意向受让方交纳的保证金不予退还，先用于补偿杭交所</w:t>
      </w:r>
      <w:r>
        <w:rPr>
          <w:rFonts w:hint="eastAsia" w:ascii="宋体" w:hAnsi="宋体" w:cs="宋体"/>
          <w:szCs w:val="21"/>
          <w:lang w:eastAsia="zh-CN"/>
        </w:rPr>
        <w:t>、</w:t>
      </w:r>
      <w:r>
        <w:rPr>
          <w:rFonts w:hint="eastAsia" w:ascii="宋体" w:hAnsi="宋体" w:cs="宋体"/>
          <w:szCs w:val="21"/>
          <w:lang w:val="en-US" w:eastAsia="zh-CN"/>
        </w:rPr>
        <w:t>经纪会员</w:t>
      </w:r>
      <w:r>
        <w:rPr>
          <w:rFonts w:hint="eastAsia" w:ascii="宋体" w:hAnsi="宋体" w:cs="宋体"/>
          <w:szCs w:val="21"/>
        </w:rPr>
        <w:t xml:space="preserve">的各项服务费，剩余部分作为对转让方的经济补偿金，保证金不足以补偿的，相关方有权按照实际损失继续追诉：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①</w:t>
      </w:r>
      <w:r>
        <w:rPr>
          <w:rFonts w:hint="eastAsia" w:ascii="宋体" w:hAnsi="宋体" w:cs="宋体"/>
          <w:szCs w:val="21"/>
        </w:rPr>
        <w:t>意向受让方提交受让申请材料并交纳交易保证金后单方撤回受让申请的；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②</w:t>
      </w:r>
      <w:r>
        <w:rPr>
          <w:rFonts w:hint="eastAsia" w:ascii="宋体" w:hAnsi="宋体" w:cs="宋体"/>
          <w:szCs w:val="21"/>
        </w:rPr>
        <w:t>在被确定为受让方后未按约定签署《资产交易合同》的或未按约定支付交易价款、交易服务费的；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③</w:t>
      </w:r>
      <w:r>
        <w:rPr>
          <w:rFonts w:hint="eastAsia" w:ascii="宋体" w:hAnsi="宋体" w:cs="宋体"/>
          <w:szCs w:val="21"/>
        </w:rPr>
        <w:t>意向受让方未履行书面承诺事项的；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④</w:t>
      </w:r>
      <w:r>
        <w:rPr>
          <w:rFonts w:hint="eastAsia" w:ascii="宋体" w:hAnsi="宋体" w:cs="宋体"/>
          <w:szCs w:val="21"/>
        </w:rPr>
        <w:t>存在其他违反交易规则情形的。</w:t>
      </w:r>
    </w:p>
    <w:p>
      <w:pPr>
        <w:keepNext w:val="0"/>
        <w:keepLines w:val="0"/>
        <w:pageBreakBefore w:val="0"/>
        <w:kinsoku/>
        <w:wordWrap/>
        <w:overflowPunct/>
        <w:topLinePunct w:val="0"/>
        <w:autoSpaceDE/>
        <w:autoSpaceDN/>
        <w:bidi w:val="0"/>
        <w:adjustRightInd/>
        <w:snapToGrid/>
        <w:spacing w:line="370" w:lineRule="exact"/>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p>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477349A"/>
    <w:rsid w:val="04D37214"/>
    <w:rsid w:val="087315C5"/>
    <w:rsid w:val="0CCA5698"/>
    <w:rsid w:val="0D136513"/>
    <w:rsid w:val="0E134225"/>
    <w:rsid w:val="108C4856"/>
    <w:rsid w:val="11431063"/>
    <w:rsid w:val="12312C66"/>
    <w:rsid w:val="168F5C99"/>
    <w:rsid w:val="1A4D26DA"/>
    <w:rsid w:val="21A71F2F"/>
    <w:rsid w:val="244C7748"/>
    <w:rsid w:val="25EF35A9"/>
    <w:rsid w:val="26851B4D"/>
    <w:rsid w:val="26CE05E2"/>
    <w:rsid w:val="29563AA0"/>
    <w:rsid w:val="2AE67843"/>
    <w:rsid w:val="2C444127"/>
    <w:rsid w:val="2C4634B4"/>
    <w:rsid w:val="2E064EEA"/>
    <w:rsid w:val="2E71508E"/>
    <w:rsid w:val="30873003"/>
    <w:rsid w:val="30BD3CBE"/>
    <w:rsid w:val="310A7869"/>
    <w:rsid w:val="3617545F"/>
    <w:rsid w:val="381E3097"/>
    <w:rsid w:val="38746213"/>
    <w:rsid w:val="393C566E"/>
    <w:rsid w:val="3DF85820"/>
    <w:rsid w:val="3F1C0717"/>
    <w:rsid w:val="412C0193"/>
    <w:rsid w:val="43D31E0E"/>
    <w:rsid w:val="45C32B75"/>
    <w:rsid w:val="48BB3081"/>
    <w:rsid w:val="4CB033F0"/>
    <w:rsid w:val="4D4E2129"/>
    <w:rsid w:val="517C315B"/>
    <w:rsid w:val="51B53AC1"/>
    <w:rsid w:val="52C04869"/>
    <w:rsid w:val="550F2213"/>
    <w:rsid w:val="552600D9"/>
    <w:rsid w:val="590B26FF"/>
    <w:rsid w:val="59597257"/>
    <w:rsid w:val="5AB50C32"/>
    <w:rsid w:val="610339B9"/>
    <w:rsid w:val="64127BB2"/>
    <w:rsid w:val="646972B1"/>
    <w:rsid w:val="67FE4DC6"/>
    <w:rsid w:val="6B0965FB"/>
    <w:rsid w:val="6BF86C61"/>
    <w:rsid w:val="729C34D0"/>
    <w:rsid w:val="75F95F98"/>
    <w:rsid w:val="77CC171C"/>
    <w:rsid w:val="7831152F"/>
    <w:rsid w:val="7A0905C7"/>
    <w:rsid w:val="7A361A0D"/>
    <w:rsid w:val="7A476BE2"/>
    <w:rsid w:val="7C1E312B"/>
    <w:rsid w:val="7C454301"/>
    <w:rsid w:val="7C633D37"/>
    <w:rsid w:val="7D3D2165"/>
    <w:rsid w:val="7E643B7C"/>
    <w:rsid w:val="7E7C275C"/>
    <w:rsid w:val="7E874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ormalIndent"/>
    <w:basedOn w:val="1"/>
    <w:qFormat/>
    <w:uiPriority w:val="0"/>
    <w:pPr>
      <w:ind w:firstLine="420"/>
    </w:pPr>
  </w:style>
  <w:style w:type="paragraph" w:customStyle="1" w:styleId="11">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character" w:customStyle="1" w:styleId="12">
    <w:name w:val="页眉 字符"/>
    <w:basedOn w:val="9"/>
    <w:link w:val="5"/>
    <w:semiHidden/>
    <w:qFormat/>
    <w:uiPriority w:val="99"/>
    <w:rPr>
      <w:rFonts w:ascii="Times New Roman" w:hAnsi="Times New Roman" w:eastAsia="宋体" w:cs="Times New Roman"/>
      <w:sz w:val="18"/>
      <w:szCs w:val="18"/>
    </w:rPr>
  </w:style>
  <w:style w:type="character" w:customStyle="1" w:styleId="13">
    <w:name w:val="页脚 字符"/>
    <w:basedOn w:val="9"/>
    <w:link w:val="4"/>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paragraph" w:customStyle="1" w:styleId="15">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332</Words>
  <Characters>1893</Characters>
  <Lines>15</Lines>
  <Paragraphs>4</Paragraphs>
  <TotalTime>1</TotalTime>
  <ScaleCrop>false</ScaleCrop>
  <LinksUpToDate>false</LinksUpToDate>
  <CharactersWithSpaces>2221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YWX</cp:lastModifiedBy>
  <dcterms:modified xsi:type="dcterms:W3CDTF">2025-10-20T02:40:05Z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216A459F1CA44FC5971BDD080A80C5E3</vt:lpwstr>
  </property>
</Properties>
</file>