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E5A1C">
      <w:pPr>
        <w:adjustRightInd w:val="0"/>
        <w:spacing w:line="360" w:lineRule="auto"/>
        <w:rPr>
          <w:rFonts w:ascii="黑体" w:hAnsi="黑体" w:eastAsia="黑体" w:cs="黑体"/>
          <w:sz w:val="32"/>
          <w:szCs w:val="32"/>
        </w:rPr>
      </w:pPr>
      <w:r>
        <w:rPr>
          <w:rFonts w:hint="eastAsia" w:ascii="黑体" w:hAnsi="黑体" w:eastAsia="黑体" w:cs="黑体"/>
          <w:sz w:val="32"/>
          <w:szCs w:val="32"/>
        </w:rPr>
        <w:t>附件2：</w:t>
      </w:r>
    </w:p>
    <w:p w14:paraId="70F3D875">
      <w:pPr>
        <w:adjustRightInd w:val="0"/>
        <w:spacing w:line="360" w:lineRule="auto"/>
        <w:jc w:val="center"/>
        <w:rPr>
          <w:rFonts w:ascii="黑体" w:hAnsi="黑体" w:eastAsia="黑体" w:cs="黑体"/>
          <w:sz w:val="36"/>
          <w:szCs w:val="36"/>
        </w:rPr>
      </w:pPr>
      <w:r>
        <w:rPr>
          <w:rFonts w:hint="eastAsia" w:ascii="黑体" w:hAnsi="黑体" w:eastAsia="黑体" w:cs="黑体"/>
          <w:sz w:val="36"/>
          <w:szCs w:val="36"/>
        </w:rPr>
        <w:t>专用资格其他要求</w:t>
      </w:r>
    </w:p>
    <w:p w14:paraId="5AD1F7B5">
      <w:pPr>
        <w:adjustRightInd w:val="0"/>
        <w:spacing w:line="360" w:lineRule="auto"/>
        <w:ind w:firstLine="422" w:firstLineChars="200"/>
        <w:rPr>
          <w:rFonts w:asciiTheme="minorEastAsia" w:hAnsiTheme="minorEastAsia" w:eastAsiaTheme="minorEastAsia"/>
          <w:b/>
          <w:bCs/>
          <w:sz w:val="21"/>
          <w:szCs w:val="21"/>
        </w:rPr>
      </w:pPr>
    </w:p>
    <w:p w14:paraId="4418C11B">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一、安全质量要求：</w:t>
      </w:r>
    </w:p>
    <w:p w14:paraId="04B5074C">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1）不得存在：自开标日前三年内发生因应答人原因负同等及以上责任造成的重大质量事故（二级及以上质量事件）；一年内发生因应答人负同等及以上责任造成的较大及以上人身死亡事故（三级及以上人身安全事件）、较大及以上电网、设备事故（三级及以上电网、设备安全事件）；六个月内发生因应答人负同等及以上责任造成的一般人身死亡事故（四级人身安全事件）、一般电网、设备事故（四级电网、设备安全事件）或较大质量事故（三级质量事件）；三个月内发生因应答人负同等及以上责任造成的一般质量事故（四级质量事件）。</w:t>
      </w:r>
      <w:r>
        <w:rPr>
          <w:rFonts w:asciiTheme="minorEastAsia" w:hAnsiTheme="minorEastAsia" w:eastAsiaTheme="minorEastAsia"/>
          <w:sz w:val="21"/>
          <w:szCs w:val="21"/>
        </w:rPr>
        <w:t xml:space="preserve"> </w:t>
      </w:r>
    </w:p>
    <w:p w14:paraId="2FE5A3F6">
      <w:pPr>
        <w:adjustRightIn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（2）不得在国家电网有限公司“安全黑名单”</w:t>
      </w:r>
      <w:bookmarkStart w:id="0" w:name="_GoBack"/>
      <w:bookmarkEnd w:id="0"/>
      <w:r>
        <w:rPr>
          <w:rFonts w:hint="eastAsia" w:asciiTheme="minorEastAsia" w:hAnsiTheme="minorEastAsia" w:eastAsiaTheme="minorEastAsia"/>
          <w:sz w:val="21"/>
          <w:szCs w:val="21"/>
        </w:rPr>
        <w:t>或国网江苏省电力有限公司Ⅰ级“安全负面清单”限入期限内。</w:t>
      </w:r>
    </w:p>
    <w:p w14:paraId="17CFD46F">
      <w:pPr>
        <w:adjustRightIn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3）施工类标段：建筑施工企业主要负责人具有《建筑施工企业主要负责人安全生产知识考核合格证书》（安全A证），并提供安全A证持证人的社保证明（缴纳时间至少包括公告发布日前一个月或公告发布当月）或劳动合同关系证明（法定代表人可不提供社保证明及劳动合同关系证明）。</w:t>
      </w:r>
    </w:p>
    <w:p w14:paraId="1B15656B">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二、业绩要求：</w:t>
      </w:r>
    </w:p>
    <w:p w14:paraId="1EE06B1A">
      <w:pPr>
        <w:adjustRightInd w:val="0"/>
        <w:spacing w:line="360" w:lineRule="auto"/>
        <w:ind w:firstLine="420" w:firstLineChars="200"/>
        <w:rPr>
          <w:rFonts w:ascii="宋体" w:hAnsi="宋体"/>
          <w:sz w:val="21"/>
          <w:szCs w:val="21"/>
        </w:rPr>
      </w:pPr>
      <w:r>
        <w:rPr>
          <w:rFonts w:hint="eastAsia" w:ascii="宋体" w:hAnsi="宋体"/>
          <w:sz w:val="21"/>
          <w:szCs w:val="21"/>
        </w:rPr>
        <w:t>见采购需求一览表</w:t>
      </w:r>
    </w:p>
    <w:p w14:paraId="227984E3">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（1）类似工程是指与招标项目在结构形式、使用功能、建设规模相同或相近的项目；</w:t>
      </w:r>
    </w:p>
    <w:p w14:paraId="2AEBB409">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2）施工类标段项目业绩认定时间以竣工验收证书（送变电工程启动竣工验收证书或交接证书或验收证书等）签署时间为准；设计、可研设计一体化、监理、服务类标段业绩认定时间以合同签订时间为准，若合同无签署日期，且无其他可以证明合同签署日期的文件，则该项业绩无效。若合同上存在多个签署日期的，以最后一方签署的时间为准；</w:t>
      </w:r>
    </w:p>
    <w:p w14:paraId="2F668042">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（3）工程业绩电压等级序列：1000（直流±1100、直流±800）千伏、750（直流±660）千伏、500（直流±500、直流±400）千伏、330（220、直流±320）千伏、110（66）千伏、35千伏、10千伏等；</w:t>
      </w:r>
    </w:p>
    <w:p w14:paraId="0A53264B">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（4）转包及违法分包（</w:t>
      </w:r>
      <w:r>
        <w:rPr>
          <w:rFonts w:hint="eastAsia"/>
        </w:rPr>
        <w:t>采购文件中允许外购外协的除外）</w:t>
      </w:r>
      <w:r>
        <w:rPr>
          <w:rFonts w:hint="eastAsia" w:asciiTheme="minorEastAsia" w:hAnsiTheme="minorEastAsia" w:eastAsiaTheme="minorEastAsia"/>
          <w:sz w:val="21"/>
          <w:szCs w:val="21"/>
        </w:rPr>
        <w:t>业绩视为无效业绩；</w:t>
      </w:r>
    </w:p>
    <w:p w14:paraId="32F0B535">
      <w:pPr>
        <w:adjustRightInd w:val="0"/>
        <w:snapToGrid w:val="0"/>
        <w:spacing w:line="360" w:lineRule="auto"/>
        <w:ind w:firstLine="420"/>
        <w:rPr>
          <w:rFonts w:asciiTheme="minorEastAsia" w:hAnsiTheme="minorEastAsia" w:eastAsiaTheme="minorEastAsia"/>
          <w:sz w:val="21"/>
          <w:szCs w:val="21"/>
        </w:rPr>
      </w:pPr>
      <w:r>
        <w:rPr>
          <w:rFonts w:hint="eastAsia" w:asciiTheme="minorEastAsia" w:hAnsiTheme="minorEastAsia" w:eastAsiaTheme="minorEastAsia"/>
          <w:sz w:val="21"/>
          <w:szCs w:val="21"/>
        </w:rPr>
        <w:t>（5）收购其他企业，被收购企业注销的，收购方可承继被收购方的业绩; 重组改制中涉及企业合并、分立、名称变更的，须提供充足的证明材料，方可承继原企业的业绩；</w:t>
      </w:r>
    </w:p>
    <w:p w14:paraId="5764814D">
      <w:pPr>
        <w:adjustRightInd w:val="0"/>
        <w:snapToGrid w:val="0"/>
        <w:spacing w:line="360" w:lineRule="auto"/>
        <w:ind w:firstLine="420"/>
        <w:rPr>
          <w:rFonts w:asciiTheme="minorEastAsia" w:hAnsiTheme="minorEastAsia" w:eastAsiaTheme="minorEastAsia"/>
          <w:sz w:val="21"/>
          <w:szCs w:val="21"/>
          <w:highlight w:val="yellow"/>
        </w:rPr>
      </w:pPr>
      <w:r>
        <w:rPr>
          <w:rFonts w:hint="eastAsia" w:asciiTheme="minorEastAsia" w:hAnsiTheme="minorEastAsia" w:eastAsiaTheme="minorEastAsia"/>
          <w:sz w:val="21"/>
          <w:szCs w:val="21"/>
        </w:rPr>
        <w:t>（6）近3年指：</w:t>
      </w:r>
      <w:r>
        <w:rPr>
          <w:rFonts w:hint="eastAsia" w:asciiTheme="minorEastAsia" w:hAnsiTheme="minorEastAsia" w:eastAsiaTheme="minorEastAsia"/>
          <w:b/>
          <w:bCs/>
          <w:sz w:val="21"/>
          <w:szCs w:val="21"/>
        </w:rPr>
        <w:t>202</w:t>
      </w:r>
      <w:r>
        <w:rPr>
          <w:rFonts w:hint="eastAsia" w:asciiTheme="minorEastAsia" w:hAnsiTheme="minorEastAsia" w:eastAsiaTheme="minorEastAsia"/>
          <w:b/>
          <w:bCs/>
          <w:sz w:val="21"/>
          <w:szCs w:val="21"/>
          <w:lang w:val="en-US" w:eastAsia="zh-CN"/>
        </w:rPr>
        <w:t>2</w:t>
      </w:r>
      <w:r>
        <w:rPr>
          <w:rFonts w:hint="eastAsia" w:asciiTheme="minorEastAsia" w:hAnsiTheme="minorEastAsia" w:eastAsiaTheme="minorEastAsia"/>
          <w:sz w:val="21"/>
          <w:szCs w:val="21"/>
        </w:rPr>
        <w:t>年1月1日至</w:t>
      </w:r>
      <w:r>
        <w:rPr>
          <w:rFonts w:hint="eastAsia" w:asciiTheme="minorEastAsia" w:hAnsiTheme="minorEastAsia" w:eastAsiaTheme="minorEastAsia"/>
          <w:b/>
          <w:bCs/>
          <w:sz w:val="21"/>
          <w:szCs w:val="21"/>
        </w:rPr>
        <w:t>2024</w:t>
      </w:r>
      <w:r>
        <w:rPr>
          <w:rFonts w:hint="eastAsia" w:asciiTheme="minorEastAsia" w:hAnsiTheme="minorEastAsia" w:eastAsiaTheme="minorEastAsia"/>
          <w:sz w:val="21"/>
          <w:szCs w:val="21"/>
        </w:rPr>
        <w:t>年</w:t>
      </w:r>
      <w:r>
        <w:rPr>
          <w:rFonts w:hint="eastAsia" w:asciiTheme="minorEastAsia" w:hAnsiTheme="minorEastAsia" w:eastAsiaTheme="minorEastAsia"/>
          <w:b/>
          <w:bCs/>
          <w:sz w:val="21"/>
          <w:szCs w:val="21"/>
          <w:lang w:val="en-US" w:eastAsia="zh-CN"/>
        </w:rPr>
        <w:t>12</w:t>
      </w:r>
      <w:r>
        <w:rPr>
          <w:rFonts w:hint="eastAsia" w:asciiTheme="minorEastAsia" w:hAnsiTheme="minorEastAsia" w:eastAsiaTheme="minorEastAsia"/>
          <w:sz w:val="21"/>
          <w:szCs w:val="21"/>
        </w:rPr>
        <w:t>月</w:t>
      </w:r>
      <w:r>
        <w:rPr>
          <w:rFonts w:hint="eastAsia" w:asciiTheme="minorEastAsia" w:hAnsiTheme="minorEastAsia" w:eastAsiaTheme="minorEastAsia"/>
          <w:b/>
          <w:bCs/>
          <w:sz w:val="21"/>
          <w:szCs w:val="21"/>
          <w:lang w:val="en-US" w:eastAsia="zh-CN"/>
        </w:rPr>
        <w:t>31</w:t>
      </w:r>
      <w:r>
        <w:rPr>
          <w:rFonts w:hint="eastAsia" w:asciiTheme="minorEastAsia" w:hAnsiTheme="minorEastAsia" w:eastAsiaTheme="minorEastAsia"/>
          <w:sz w:val="21"/>
          <w:szCs w:val="21"/>
        </w:rPr>
        <w:t>日；近5年指：</w:t>
      </w:r>
      <w:r>
        <w:rPr>
          <w:rFonts w:hint="eastAsia" w:asciiTheme="minorEastAsia" w:hAnsiTheme="minorEastAsia" w:eastAsiaTheme="minorEastAsia"/>
          <w:b/>
          <w:bCs/>
          <w:sz w:val="21"/>
          <w:szCs w:val="21"/>
        </w:rPr>
        <w:t>20</w:t>
      </w:r>
      <w:r>
        <w:rPr>
          <w:rFonts w:hint="eastAsia" w:asciiTheme="minorEastAsia" w:hAnsiTheme="minorEastAsia" w:eastAsiaTheme="minorEastAsia"/>
          <w:b/>
          <w:bCs/>
          <w:sz w:val="21"/>
          <w:szCs w:val="21"/>
          <w:lang w:val="en-US" w:eastAsia="zh-CN"/>
        </w:rPr>
        <w:t>20</w:t>
      </w:r>
      <w:r>
        <w:rPr>
          <w:rFonts w:hint="eastAsia" w:asciiTheme="minorEastAsia" w:hAnsiTheme="minorEastAsia" w:eastAsiaTheme="minorEastAsia"/>
          <w:sz w:val="21"/>
          <w:szCs w:val="21"/>
        </w:rPr>
        <w:t>年1月1日至</w:t>
      </w:r>
      <w:r>
        <w:rPr>
          <w:rFonts w:hint="eastAsia" w:asciiTheme="minorEastAsia" w:hAnsiTheme="minorEastAsia" w:eastAsiaTheme="minorEastAsia"/>
          <w:b/>
          <w:bCs/>
          <w:sz w:val="21"/>
          <w:szCs w:val="21"/>
        </w:rPr>
        <w:t>2024</w:t>
      </w:r>
      <w:r>
        <w:rPr>
          <w:rFonts w:hint="eastAsia" w:asciiTheme="minorEastAsia" w:hAnsiTheme="minorEastAsia" w:eastAsiaTheme="minorEastAsia"/>
          <w:sz w:val="21"/>
          <w:szCs w:val="21"/>
        </w:rPr>
        <w:t>年</w:t>
      </w:r>
      <w:r>
        <w:rPr>
          <w:rFonts w:hint="eastAsia" w:asciiTheme="minorEastAsia" w:hAnsiTheme="minorEastAsia" w:eastAsiaTheme="minorEastAsia"/>
          <w:b/>
          <w:bCs/>
          <w:sz w:val="21"/>
          <w:szCs w:val="21"/>
          <w:lang w:val="en-US" w:eastAsia="zh-CN"/>
        </w:rPr>
        <w:t>12</w:t>
      </w:r>
      <w:r>
        <w:rPr>
          <w:rFonts w:hint="eastAsia" w:asciiTheme="minorEastAsia" w:hAnsiTheme="minorEastAsia" w:eastAsiaTheme="minorEastAsia"/>
          <w:sz w:val="21"/>
          <w:szCs w:val="21"/>
        </w:rPr>
        <w:t>月</w:t>
      </w:r>
      <w:r>
        <w:rPr>
          <w:rFonts w:hint="eastAsia" w:asciiTheme="minorEastAsia" w:hAnsiTheme="minorEastAsia" w:eastAsiaTheme="minorEastAsia"/>
          <w:b/>
          <w:bCs/>
          <w:sz w:val="21"/>
          <w:szCs w:val="21"/>
          <w:lang w:val="en-US" w:eastAsia="zh-CN"/>
        </w:rPr>
        <w:t>31</w:t>
      </w:r>
      <w:r>
        <w:rPr>
          <w:rFonts w:hint="eastAsia" w:asciiTheme="minorEastAsia" w:hAnsiTheme="minorEastAsia" w:eastAsiaTheme="minorEastAsia"/>
          <w:sz w:val="21"/>
          <w:szCs w:val="21"/>
        </w:rPr>
        <w:t>日；</w:t>
      </w:r>
    </w:p>
    <w:p w14:paraId="45C15903">
      <w:pPr>
        <w:pStyle w:val="8"/>
        <w:adjustRightInd w:val="0"/>
        <w:spacing w:line="360" w:lineRule="auto"/>
        <w:rPr>
          <w:rFonts w:ascii="宋体" w:hAnsi="宋体"/>
          <w:szCs w:val="21"/>
        </w:rPr>
      </w:pPr>
      <w:r>
        <w:rPr>
          <w:rFonts w:hint="eastAsia" w:ascii="宋体" w:hAnsi="宋体"/>
          <w:szCs w:val="21"/>
        </w:rPr>
        <w:t>（7）业绩上传要求：</w:t>
      </w:r>
    </w:p>
    <w:p w14:paraId="2580B377">
      <w:pPr>
        <w:pStyle w:val="8"/>
        <w:adjustRightInd w:val="0"/>
        <w:spacing w:line="360" w:lineRule="auto"/>
        <w:rPr>
          <w:rFonts w:ascii="宋体" w:hAnsi="宋体"/>
          <w:szCs w:val="21"/>
        </w:rPr>
      </w:pPr>
      <w:r>
        <w:rPr>
          <w:rFonts w:hint="eastAsia" w:ascii="宋体" w:hAnsi="宋体"/>
          <w:szCs w:val="21"/>
        </w:rPr>
        <w:t>所有业绩证明材料原件应在</w:t>
      </w:r>
      <w:r>
        <w:rPr>
          <w:rFonts w:hint="eastAsia" w:asciiTheme="minorEastAsia" w:hAnsiTheme="minorEastAsia" w:eastAsiaTheme="minorEastAsia"/>
          <w:b/>
          <w:bCs/>
          <w:szCs w:val="21"/>
        </w:rPr>
        <w:t>202</w:t>
      </w:r>
      <w:r>
        <w:rPr>
          <w:rFonts w:hint="eastAsia" w:asciiTheme="minorEastAsia" w:hAnsiTheme="minorEastAsia" w:eastAsiaTheme="minorEastAsia"/>
          <w:b/>
          <w:bCs/>
          <w:szCs w:val="21"/>
          <w:lang w:val="en-US" w:eastAsia="zh-CN"/>
        </w:rPr>
        <w:t>2</w:t>
      </w:r>
      <w:r>
        <w:rPr>
          <w:rFonts w:hint="eastAsia" w:asciiTheme="minorEastAsia" w:hAnsiTheme="minorEastAsia" w:eastAsiaTheme="minorEastAsia"/>
          <w:szCs w:val="21"/>
        </w:rPr>
        <w:t>年</w:t>
      </w:r>
      <w:r>
        <w:rPr>
          <w:rFonts w:hint="eastAsia" w:asciiTheme="minorEastAsia" w:hAnsiTheme="minorEastAsia" w:eastAsiaTheme="minorEastAsia"/>
          <w:b/>
          <w:bCs/>
          <w:szCs w:val="21"/>
          <w:lang w:val="en-US" w:eastAsia="zh-CN"/>
        </w:rPr>
        <w:t>12</w:t>
      </w:r>
      <w:r>
        <w:rPr>
          <w:rFonts w:hint="eastAsia" w:asciiTheme="minorEastAsia" w:hAnsiTheme="minorEastAsia" w:eastAsiaTheme="minorEastAsia"/>
          <w:szCs w:val="21"/>
        </w:rPr>
        <w:t>月</w:t>
      </w:r>
      <w:r>
        <w:rPr>
          <w:rFonts w:hint="eastAsia" w:asciiTheme="minorEastAsia" w:hAnsiTheme="minorEastAsia" w:eastAsiaTheme="minorEastAsia"/>
          <w:b/>
          <w:bCs/>
          <w:szCs w:val="21"/>
          <w:lang w:val="en-US" w:eastAsia="zh-CN"/>
        </w:rPr>
        <w:t>31</w:t>
      </w:r>
      <w:r>
        <w:rPr>
          <w:rFonts w:hint="eastAsia" w:asciiTheme="minorEastAsia" w:hAnsiTheme="minorEastAsia" w:eastAsiaTheme="minorEastAsia"/>
          <w:szCs w:val="21"/>
        </w:rPr>
        <w:t>日及之</w:t>
      </w:r>
      <w:r>
        <w:rPr>
          <w:rFonts w:hint="eastAsia" w:ascii="宋体" w:hAnsi="宋体"/>
          <w:szCs w:val="21"/>
        </w:rPr>
        <w:t>前生成，并提供用户信息备查，必要时要求应答人提供原件核实。</w:t>
      </w:r>
    </w:p>
    <w:p w14:paraId="55719ADF">
      <w:pPr>
        <w:pStyle w:val="8"/>
        <w:adjustRightInd w:val="0"/>
        <w:spacing w:line="360" w:lineRule="auto"/>
        <w:rPr>
          <w:rFonts w:ascii="宋体" w:hAnsi="宋体"/>
          <w:szCs w:val="21"/>
        </w:rPr>
      </w:pPr>
      <w:r>
        <w:rPr>
          <w:rFonts w:hint="eastAsia" w:ascii="宋体" w:hAnsi="宋体"/>
          <w:szCs w:val="21"/>
        </w:rPr>
        <w:t>1.提供的项目业绩应与应答人所投标包在本批采购需求一览表中“企业业绩要求”列要求的业绩</w:t>
      </w:r>
      <w:r>
        <w:rPr>
          <w:rFonts w:hint="eastAsia" w:ascii="宋体" w:hAnsi="宋体"/>
          <w:b/>
          <w:szCs w:val="21"/>
        </w:rPr>
        <w:t>类型一致</w:t>
      </w:r>
      <w:r>
        <w:rPr>
          <w:rFonts w:hint="eastAsia" w:ascii="宋体" w:hAnsi="宋体"/>
          <w:szCs w:val="21"/>
        </w:rPr>
        <w:t>。</w:t>
      </w:r>
    </w:p>
    <w:p w14:paraId="024F3129">
      <w:pPr>
        <w:pStyle w:val="8"/>
        <w:adjustRightInd w:val="0"/>
        <w:spacing w:line="360" w:lineRule="auto"/>
        <w:rPr>
          <w:rFonts w:ascii="宋体" w:hAnsi="宋体"/>
          <w:szCs w:val="21"/>
        </w:rPr>
      </w:pPr>
      <w:r>
        <w:rPr>
          <w:rFonts w:hint="eastAsia" w:ascii="宋体" w:hAnsi="宋体"/>
          <w:szCs w:val="21"/>
        </w:rPr>
        <w:t>2.提供的项目业绩均应出具相关</w:t>
      </w:r>
      <w:r>
        <w:rPr>
          <w:rFonts w:hint="eastAsia" w:ascii="宋体" w:hAnsi="宋体"/>
          <w:b/>
          <w:szCs w:val="21"/>
        </w:rPr>
        <w:t>合同原件</w:t>
      </w:r>
      <w:r>
        <w:rPr>
          <w:rFonts w:hint="eastAsia" w:ascii="宋体" w:hAnsi="宋体"/>
          <w:szCs w:val="21"/>
        </w:rPr>
        <w:t>的关键部分（包括封面、合同协议书、签署页、关键条款等）和</w:t>
      </w:r>
      <w:r>
        <w:rPr>
          <w:rFonts w:hint="eastAsia" w:ascii="宋体" w:hAnsi="宋体"/>
          <w:b/>
          <w:szCs w:val="21"/>
        </w:rPr>
        <w:t>发票信息</w:t>
      </w:r>
      <w:r>
        <w:rPr>
          <w:rFonts w:hint="eastAsia" w:ascii="宋体" w:hAnsi="宋体"/>
          <w:szCs w:val="21"/>
        </w:rPr>
        <w:t>（提供预付款、进度款、结算款三种发票中的一种，</w:t>
      </w:r>
      <w:r>
        <w:rPr>
          <w:rFonts w:ascii="Times New Roman" w:hAnsi="Times New Roman"/>
          <w:szCs w:val="21"/>
        </w:rPr>
        <w:t>如因</w:t>
      </w:r>
      <w:r>
        <w:rPr>
          <w:rFonts w:hint="eastAsia"/>
          <w:szCs w:val="21"/>
        </w:rPr>
        <w:t>发票信息提供有误</w:t>
      </w:r>
      <w:r>
        <w:rPr>
          <w:rFonts w:ascii="Times New Roman" w:hAnsi="Times New Roman"/>
          <w:szCs w:val="21"/>
        </w:rPr>
        <w:t>无法查验的，该业绩</w:t>
      </w:r>
      <w:r>
        <w:rPr>
          <w:rFonts w:hint="eastAsia"/>
          <w:szCs w:val="21"/>
        </w:rPr>
        <w:t>将</w:t>
      </w:r>
      <w:r>
        <w:rPr>
          <w:rFonts w:ascii="Times New Roman" w:hAnsi="Times New Roman"/>
          <w:szCs w:val="21"/>
        </w:rPr>
        <w:t>不被认可</w:t>
      </w:r>
      <w:r>
        <w:rPr>
          <w:rFonts w:hint="eastAsia" w:ascii="宋体" w:hAnsi="宋体"/>
          <w:szCs w:val="21"/>
        </w:rPr>
        <w:t>）作为支撑材料（</w:t>
      </w:r>
      <w:r>
        <w:rPr>
          <w:rFonts w:hint="eastAsia" w:ascii="宋体" w:hAnsi="宋体"/>
          <w:b/>
          <w:bCs/>
          <w:szCs w:val="21"/>
        </w:rPr>
        <w:t>特别提醒：投标人可在国家税务总局全国增值税发票查验平台查询投标发票状态</w:t>
      </w:r>
      <w:r>
        <w:rPr>
          <w:rFonts w:hint="eastAsia" w:ascii="宋体" w:hAnsi="宋体"/>
          <w:szCs w:val="21"/>
        </w:rPr>
        <w:t>）；</w:t>
      </w:r>
      <w:r>
        <w:rPr>
          <w:rFonts w:hint="eastAsia" w:ascii="宋体" w:hAnsi="宋体"/>
          <w:b/>
          <w:szCs w:val="21"/>
        </w:rPr>
        <w:t>施工类标段</w:t>
      </w:r>
      <w:r>
        <w:rPr>
          <w:rFonts w:hint="eastAsia" w:ascii="宋体" w:hAnsi="宋体"/>
          <w:szCs w:val="21"/>
        </w:rPr>
        <w:t>项目还需同时提供</w:t>
      </w:r>
      <w:r>
        <w:rPr>
          <w:rFonts w:hint="eastAsia" w:ascii="宋体" w:hAnsi="宋体"/>
          <w:b/>
          <w:szCs w:val="21"/>
        </w:rPr>
        <w:t>竣工验收证书</w:t>
      </w:r>
      <w:r>
        <w:rPr>
          <w:rFonts w:hint="eastAsia" w:ascii="宋体" w:hAnsi="宋体"/>
          <w:szCs w:val="21"/>
        </w:rPr>
        <w:t>（送变电工程启动竣工验收证书或交接证书或验收证书等）影印件作为业绩支撑材料；</w:t>
      </w:r>
    </w:p>
    <w:p w14:paraId="331DA4B2">
      <w:pPr>
        <w:pStyle w:val="8"/>
        <w:adjustRightInd w:val="0"/>
        <w:spacing w:line="360" w:lineRule="auto"/>
        <w:rPr>
          <w:rFonts w:ascii="宋体" w:hAnsi="宋体"/>
          <w:szCs w:val="21"/>
        </w:rPr>
      </w:pPr>
      <w:r>
        <w:rPr>
          <w:rFonts w:hint="eastAsia" w:ascii="宋体" w:hAnsi="宋体"/>
          <w:szCs w:val="21"/>
        </w:rPr>
        <w:t>（8）框架协议项目业绩按框架协议合同数量计算。</w:t>
      </w:r>
    </w:p>
    <w:p w14:paraId="1344205A">
      <w:pPr>
        <w:adjustRightInd w:val="0"/>
        <w:spacing w:line="360" w:lineRule="auto"/>
        <w:ind w:firstLine="422" w:firstLineChars="200"/>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三、主要人员要求：</w:t>
      </w:r>
    </w:p>
    <w:p w14:paraId="3799E574">
      <w:pPr>
        <w:pStyle w:val="8"/>
        <w:adjustRightInd w:val="0"/>
        <w:spacing w:line="360" w:lineRule="auto"/>
        <w:rPr>
          <w:rFonts w:ascii="宋体" w:hAnsi="宋体"/>
          <w:b/>
          <w:szCs w:val="21"/>
        </w:rPr>
      </w:pPr>
      <w:r>
        <w:rPr>
          <w:rFonts w:hint="eastAsia" w:ascii="宋体" w:hAnsi="宋体"/>
          <w:szCs w:val="21"/>
        </w:rPr>
        <w:t>见采购需求一览表，上传要求详见下表。</w:t>
      </w:r>
      <w:r>
        <w:rPr>
          <w:rFonts w:hint="eastAsia" w:ascii="宋体" w:hAnsi="宋体"/>
          <w:b/>
          <w:szCs w:val="21"/>
        </w:rPr>
        <w:t>提示：所有标包均需响应项目负责人（或项目经理）。</w:t>
      </w:r>
    </w:p>
    <w:tbl>
      <w:tblPr>
        <w:tblStyle w:val="5"/>
        <w:tblW w:w="8522" w:type="dxa"/>
        <w:tblInd w:w="0" w:type="dxa"/>
        <w:tblLayout w:type="fixed"/>
        <w:tblCellMar>
          <w:top w:w="0" w:type="dxa"/>
          <w:left w:w="108" w:type="dxa"/>
          <w:bottom w:w="0" w:type="dxa"/>
          <w:right w:w="108" w:type="dxa"/>
        </w:tblCellMar>
      </w:tblPr>
      <w:tblGrid>
        <w:gridCol w:w="1908"/>
        <w:gridCol w:w="1366"/>
        <w:gridCol w:w="1629"/>
        <w:gridCol w:w="1810"/>
        <w:gridCol w:w="1809"/>
      </w:tblGrid>
      <w:tr w14:paraId="54DD488F">
        <w:tblPrEx>
          <w:tblCellMar>
            <w:top w:w="0" w:type="dxa"/>
            <w:left w:w="108" w:type="dxa"/>
            <w:bottom w:w="0" w:type="dxa"/>
            <w:right w:w="108" w:type="dxa"/>
          </w:tblCellMar>
        </w:tblPrEx>
        <w:trPr>
          <w:trHeight w:val="1040" w:hRule="atLeast"/>
          <w:tblHeader/>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454EE">
            <w:pPr>
              <w:jc w:val="center"/>
              <w:rPr>
                <w:rFonts w:ascii="宋体" w:hAnsi="宋体" w:cs="宋体"/>
                <w:b/>
                <w:bCs/>
                <w:color w:val="000000"/>
              </w:rPr>
            </w:pPr>
            <w:r>
              <w:rPr>
                <w:rFonts w:hint="eastAsia" w:ascii="宋体" w:hAnsi="宋体" w:cs="宋体"/>
                <w:b/>
                <w:bCs/>
                <w:color w:val="000000"/>
              </w:rPr>
              <w:t>主要人员证明材料</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AF45F">
            <w:pPr>
              <w:jc w:val="center"/>
              <w:rPr>
                <w:rFonts w:ascii="宋体" w:hAnsi="宋体" w:cs="宋体"/>
                <w:b/>
                <w:bCs/>
                <w:color w:val="000000"/>
              </w:rPr>
            </w:pPr>
            <w:r>
              <w:rPr>
                <w:rFonts w:hint="eastAsia" w:ascii="宋体" w:hAnsi="宋体" w:cs="宋体"/>
                <w:b/>
                <w:bCs/>
                <w:color w:val="000000"/>
              </w:rPr>
              <w:t>项目经理（适用于施工类分标）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A60B">
            <w:pPr>
              <w:jc w:val="center"/>
              <w:rPr>
                <w:rFonts w:ascii="宋体" w:hAnsi="宋体" w:cs="宋体"/>
                <w:b/>
                <w:bCs/>
                <w:color w:val="000000"/>
              </w:rPr>
            </w:pPr>
            <w:r>
              <w:rPr>
                <w:rFonts w:hint="eastAsia" w:ascii="宋体" w:hAnsi="宋体" w:cs="宋体"/>
                <w:b/>
                <w:bCs/>
                <w:color w:val="000000"/>
              </w:rPr>
              <w:t>项目负责人（适用于设计类、可研设计一体化类、监理类、服务类分标）</w:t>
            </w:r>
          </w:p>
        </w:tc>
        <w:tc>
          <w:tcPr>
            <w:tcW w:w="1810" w:type="dxa"/>
            <w:tcBorders>
              <w:top w:val="single" w:color="000000" w:sz="4" w:space="0"/>
              <w:left w:val="single" w:color="000000" w:sz="4" w:space="0"/>
              <w:bottom w:val="single" w:color="000000" w:sz="4" w:space="0"/>
              <w:right w:val="single" w:color="000000" w:sz="4" w:space="0"/>
            </w:tcBorders>
            <w:vAlign w:val="center"/>
          </w:tcPr>
          <w:p w14:paraId="7D97E369">
            <w:pPr>
              <w:jc w:val="center"/>
              <w:rPr>
                <w:rFonts w:ascii="宋体" w:hAnsi="宋体" w:cs="宋体"/>
                <w:b/>
                <w:bCs/>
                <w:color w:val="000000"/>
              </w:rPr>
            </w:pPr>
            <w:r>
              <w:rPr>
                <w:rFonts w:hint="eastAsia" w:ascii="宋体" w:hAnsi="宋体" w:cs="宋体"/>
                <w:b/>
                <w:bCs/>
                <w:color w:val="000000"/>
              </w:rPr>
              <w:t>公告采购需求一览表“主要人员要求”列要求的其他人员（如有，适用于所有分标）</w:t>
            </w:r>
          </w:p>
        </w:tc>
        <w:tc>
          <w:tcPr>
            <w:tcW w:w="1809" w:type="dxa"/>
            <w:tcBorders>
              <w:top w:val="single" w:color="000000" w:sz="4" w:space="0"/>
              <w:left w:val="single" w:color="000000" w:sz="4" w:space="0"/>
              <w:bottom w:val="single" w:color="000000" w:sz="4" w:space="0"/>
              <w:right w:val="single" w:color="000000" w:sz="4" w:space="0"/>
            </w:tcBorders>
            <w:vAlign w:val="center"/>
          </w:tcPr>
          <w:p w14:paraId="46FC372B">
            <w:pPr>
              <w:jc w:val="center"/>
              <w:rPr>
                <w:rFonts w:ascii="宋体" w:hAnsi="宋体" w:cs="宋体"/>
                <w:b/>
                <w:color w:val="000000"/>
              </w:rPr>
            </w:pPr>
            <w:r>
              <w:rPr>
                <w:rFonts w:hint="eastAsia" w:ascii="宋体" w:hAnsi="宋体" w:cs="宋体"/>
                <w:b/>
                <w:color w:val="000000"/>
              </w:rPr>
              <w:t>招标文件中要求的其他人员（如有）</w:t>
            </w:r>
          </w:p>
        </w:tc>
      </w:tr>
      <w:tr w14:paraId="5841CE18">
        <w:tblPrEx>
          <w:tblCellMar>
            <w:top w:w="0" w:type="dxa"/>
            <w:left w:w="108" w:type="dxa"/>
            <w:bottom w:w="0" w:type="dxa"/>
            <w:right w:w="108" w:type="dxa"/>
          </w:tblCellMar>
        </w:tblPrEx>
        <w:trPr>
          <w:trHeight w:val="48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6AEB">
            <w:pPr>
              <w:jc w:val="center"/>
              <w:rPr>
                <w:rFonts w:ascii="宋体" w:hAnsi="宋体" w:cs="宋体"/>
                <w:color w:val="000000"/>
              </w:rPr>
            </w:pPr>
            <w:r>
              <w:rPr>
                <w:rFonts w:hint="eastAsia" w:ascii="宋体" w:hAnsi="宋体" w:cs="宋体"/>
                <w:color w:val="000000"/>
              </w:rPr>
              <w:t>项目经理安全生产考核证书（安全B证）</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9276">
            <w:pPr>
              <w:jc w:val="center"/>
              <w:rPr>
                <w:rFonts w:ascii="宋体" w:hAnsi="宋体" w:cs="宋体"/>
                <w:color w:val="000000"/>
              </w:rPr>
            </w:pPr>
            <w:r>
              <w:rPr>
                <w:rFonts w:hint="eastAsia" w:ascii="宋体" w:hAnsi="宋体" w:cs="宋体"/>
                <w:color w:val="000000"/>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69195">
            <w:pPr>
              <w:jc w:val="center"/>
              <w:rPr>
                <w:rFonts w:ascii="宋体" w:hAnsi="宋体" w:cs="宋体"/>
                <w:color w:val="000000"/>
              </w:rPr>
            </w:pPr>
            <w:r>
              <w:rPr>
                <w:rFonts w:hint="eastAsia" w:ascii="宋体" w:hAnsi="宋体" w:cs="宋体"/>
                <w:color w:val="000000"/>
              </w:rPr>
              <w:t>×</w:t>
            </w:r>
          </w:p>
        </w:tc>
        <w:tc>
          <w:tcPr>
            <w:tcW w:w="1810" w:type="dxa"/>
            <w:tcBorders>
              <w:top w:val="single" w:color="000000" w:sz="4" w:space="0"/>
              <w:left w:val="single" w:color="000000" w:sz="4" w:space="0"/>
              <w:bottom w:val="single" w:color="000000" w:sz="4" w:space="0"/>
              <w:right w:val="single" w:color="000000" w:sz="4" w:space="0"/>
            </w:tcBorders>
            <w:vAlign w:val="center"/>
          </w:tcPr>
          <w:p w14:paraId="43ABDD5E">
            <w:pPr>
              <w:jc w:val="center"/>
              <w:rPr>
                <w:rFonts w:ascii="宋体" w:hAnsi="宋体" w:cs="宋体"/>
                <w:color w:val="000000"/>
              </w:rPr>
            </w:pPr>
            <w:r>
              <w:rPr>
                <w:rFonts w:hint="eastAsia" w:ascii="宋体" w:hAnsi="宋体" w:cs="宋体"/>
                <w:color w:val="000000"/>
              </w:rPr>
              <w:t>×</w:t>
            </w:r>
          </w:p>
        </w:tc>
        <w:tc>
          <w:tcPr>
            <w:tcW w:w="1809" w:type="dxa"/>
            <w:tcBorders>
              <w:top w:val="single" w:color="000000" w:sz="4" w:space="0"/>
              <w:left w:val="single" w:color="000000" w:sz="4" w:space="0"/>
              <w:bottom w:val="single" w:color="000000" w:sz="4" w:space="0"/>
              <w:right w:val="single" w:color="000000" w:sz="4" w:space="0"/>
            </w:tcBorders>
            <w:vAlign w:val="center"/>
          </w:tcPr>
          <w:p w14:paraId="335829A1">
            <w:pPr>
              <w:jc w:val="center"/>
              <w:rPr>
                <w:rFonts w:ascii="宋体" w:hAnsi="宋体" w:cs="宋体"/>
                <w:color w:val="000000"/>
              </w:rPr>
            </w:pPr>
            <w:r>
              <w:rPr>
                <w:rFonts w:hint="eastAsia" w:ascii="宋体" w:hAnsi="宋体" w:cs="宋体"/>
                <w:color w:val="000000"/>
              </w:rPr>
              <w:t>×</w:t>
            </w:r>
          </w:p>
        </w:tc>
      </w:tr>
      <w:tr w14:paraId="23482E05">
        <w:tblPrEx>
          <w:tblCellMar>
            <w:top w:w="0" w:type="dxa"/>
            <w:left w:w="108" w:type="dxa"/>
            <w:bottom w:w="0" w:type="dxa"/>
            <w:right w:w="108" w:type="dxa"/>
          </w:tblCellMar>
        </w:tblPrEx>
        <w:trPr>
          <w:trHeight w:val="72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48EE">
            <w:pPr>
              <w:jc w:val="center"/>
              <w:rPr>
                <w:rFonts w:ascii="宋体" w:hAnsi="宋体" w:cs="宋体"/>
                <w:color w:val="000000"/>
              </w:rPr>
            </w:pPr>
            <w:r>
              <w:rPr>
                <w:rFonts w:hint="eastAsia" w:ascii="宋体" w:hAnsi="宋体" w:cs="宋体"/>
                <w:color w:val="000000"/>
              </w:rPr>
              <w:t>资格证书（按公告采购需求一览表“主要人员要求”列提供）</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C6F9">
            <w:pPr>
              <w:jc w:val="center"/>
              <w:rPr>
                <w:rFonts w:ascii="宋体" w:hAnsi="宋体" w:cs="宋体"/>
                <w:color w:val="000000"/>
              </w:rPr>
            </w:pPr>
            <w:r>
              <w:rPr>
                <w:rFonts w:hint="eastAsia" w:ascii="宋体" w:hAnsi="宋体" w:cs="宋体"/>
                <w:color w:val="000000"/>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29AF">
            <w:pPr>
              <w:jc w:val="center"/>
              <w:rPr>
                <w:rFonts w:ascii="宋体" w:hAnsi="宋体" w:cs="宋体"/>
                <w:color w:val="000000"/>
              </w:rPr>
            </w:pPr>
            <w:r>
              <w:rPr>
                <w:rFonts w:hint="eastAsia" w:ascii="宋体" w:hAnsi="宋体" w:cs="宋体"/>
                <w:color w:val="000000"/>
              </w:rPr>
              <w:t>√（如有要求）</w:t>
            </w:r>
          </w:p>
        </w:tc>
        <w:tc>
          <w:tcPr>
            <w:tcW w:w="1810" w:type="dxa"/>
            <w:tcBorders>
              <w:top w:val="single" w:color="000000" w:sz="4" w:space="0"/>
              <w:left w:val="single" w:color="000000" w:sz="4" w:space="0"/>
              <w:bottom w:val="single" w:color="000000" w:sz="4" w:space="0"/>
              <w:right w:val="single" w:color="000000" w:sz="4" w:space="0"/>
            </w:tcBorders>
            <w:vAlign w:val="center"/>
          </w:tcPr>
          <w:p w14:paraId="2EF7CF5B">
            <w:pPr>
              <w:jc w:val="center"/>
              <w:rPr>
                <w:rFonts w:ascii="宋体" w:hAnsi="宋体" w:cs="宋体"/>
                <w:color w:val="000000"/>
              </w:rPr>
            </w:pPr>
            <w:r>
              <w:rPr>
                <w:rFonts w:hint="eastAsia" w:ascii="宋体" w:hAnsi="宋体" w:cs="宋体"/>
                <w:color w:val="000000"/>
              </w:rPr>
              <w:t>√（如有要求）</w:t>
            </w:r>
          </w:p>
        </w:tc>
        <w:tc>
          <w:tcPr>
            <w:tcW w:w="1809" w:type="dxa"/>
            <w:tcBorders>
              <w:top w:val="single" w:color="000000" w:sz="4" w:space="0"/>
              <w:left w:val="single" w:color="000000" w:sz="4" w:space="0"/>
              <w:bottom w:val="single" w:color="000000" w:sz="4" w:space="0"/>
              <w:right w:val="single" w:color="000000" w:sz="4" w:space="0"/>
            </w:tcBorders>
            <w:vAlign w:val="center"/>
          </w:tcPr>
          <w:p w14:paraId="73DA930C">
            <w:pPr>
              <w:jc w:val="center"/>
              <w:rPr>
                <w:rFonts w:ascii="宋体" w:hAnsi="宋体" w:cs="宋体"/>
                <w:color w:val="000000"/>
              </w:rPr>
            </w:pPr>
            <w:r>
              <w:rPr>
                <w:rFonts w:hint="eastAsia" w:ascii="宋体" w:hAnsi="宋体" w:cs="宋体"/>
                <w:color w:val="000000"/>
              </w:rPr>
              <w:t>√（如有要求）</w:t>
            </w:r>
          </w:p>
        </w:tc>
      </w:tr>
      <w:tr w14:paraId="05FBC8CA">
        <w:tblPrEx>
          <w:tblCellMar>
            <w:top w:w="0" w:type="dxa"/>
            <w:left w:w="108" w:type="dxa"/>
            <w:bottom w:w="0" w:type="dxa"/>
            <w:right w:w="108" w:type="dxa"/>
          </w:tblCellMar>
        </w:tblPrEx>
        <w:trPr>
          <w:trHeight w:val="27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A36A2">
            <w:pPr>
              <w:jc w:val="center"/>
              <w:rPr>
                <w:rFonts w:ascii="宋体" w:hAnsi="宋体" w:cs="宋体"/>
                <w:color w:val="000000"/>
              </w:rPr>
            </w:pPr>
            <w:r>
              <w:rPr>
                <w:rFonts w:hint="eastAsia" w:ascii="宋体" w:hAnsi="宋体" w:cs="宋体"/>
                <w:color w:val="000000"/>
              </w:rPr>
              <w:t>职称证</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9CE6">
            <w:pPr>
              <w:jc w:val="center"/>
              <w:rPr>
                <w:rFonts w:ascii="宋体" w:hAnsi="宋体" w:cs="宋体"/>
                <w:color w:val="000000"/>
              </w:rPr>
            </w:pPr>
            <w:r>
              <w:rPr>
                <w:rFonts w:hint="eastAsia" w:ascii="宋体" w:hAnsi="宋体" w:cs="宋体"/>
                <w:color w:val="000000"/>
              </w:rPr>
              <w:t>√（如有要求）</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5F84D">
            <w:pPr>
              <w:jc w:val="center"/>
              <w:rPr>
                <w:rFonts w:ascii="宋体" w:hAnsi="宋体" w:cs="宋体"/>
                <w:color w:val="000000"/>
              </w:rPr>
            </w:pPr>
            <w:r>
              <w:rPr>
                <w:rFonts w:hint="eastAsia" w:ascii="宋体" w:hAnsi="宋体" w:cs="宋体"/>
                <w:color w:val="000000"/>
              </w:rPr>
              <w:t>√（如有要求）</w:t>
            </w:r>
          </w:p>
        </w:tc>
        <w:tc>
          <w:tcPr>
            <w:tcW w:w="1810" w:type="dxa"/>
            <w:tcBorders>
              <w:top w:val="single" w:color="000000" w:sz="4" w:space="0"/>
              <w:left w:val="single" w:color="000000" w:sz="4" w:space="0"/>
              <w:bottom w:val="single" w:color="000000" w:sz="4" w:space="0"/>
              <w:right w:val="single" w:color="000000" w:sz="4" w:space="0"/>
            </w:tcBorders>
            <w:vAlign w:val="center"/>
          </w:tcPr>
          <w:p w14:paraId="4DD36628">
            <w:pPr>
              <w:jc w:val="center"/>
              <w:rPr>
                <w:rFonts w:ascii="宋体" w:hAnsi="宋体" w:cs="宋体"/>
                <w:color w:val="000000"/>
              </w:rPr>
            </w:pPr>
            <w:r>
              <w:rPr>
                <w:rFonts w:hint="eastAsia" w:ascii="宋体" w:hAnsi="宋体" w:cs="宋体"/>
                <w:color w:val="000000"/>
              </w:rPr>
              <w:t>√（如有要求）</w:t>
            </w:r>
          </w:p>
        </w:tc>
        <w:tc>
          <w:tcPr>
            <w:tcW w:w="1809" w:type="dxa"/>
            <w:tcBorders>
              <w:top w:val="single" w:color="000000" w:sz="4" w:space="0"/>
              <w:left w:val="single" w:color="000000" w:sz="4" w:space="0"/>
              <w:bottom w:val="single" w:color="000000" w:sz="4" w:space="0"/>
              <w:right w:val="single" w:color="000000" w:sz="4" w:space="0"/>
            </w:tcBorders>
            <w:vAlign w:val="center"/>
          </w:tcPr>
          <w:p w14:paraId="4202F19C">
            <w:pPr>
              <w:jc w:val="center"/>
              <w:rPr>
                <w:rFonts w:ascii="宋体" w:hAnsi="宋体" w:cs="宋体"/>
                <w:color w:val="000000"/>
              </w:rPr>
            </w:pPr>
            <w:r>
              <w:rPr>
                <w:rFonts w:hint="eastAsia" w:ascii="宋体" w:hAnsi="宋体" w:cs="宋体"/>
                <w:color w:val="000000"/>
              </w:rPr>
              <w:t>√（如有要求）</w:t>
            </w:r>
          </w:p>
        </w:tc>
      </w:tr>
      <w:tr w14:paraId="0AF3B6AB">
        <w:tblPrEx>
          <w:tblCellMar>
            <w:top w:w="0" w:type="dxa"/>
            <w:left w:w="108" w:type="dxa"/>
            <w:bottom w:w="0" w:type="dxa"/>
            <w:right w:w="108" w:type="dxa"/>
          </w:tblCellMar>
        </w:tblPrEx>
        <w:trPr>
          <w:trHeight w:val="27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9C11">
            <w:pPr>
              <w:jc w:val="center"/>
              <w:rPr>
                <w:rFonts w:ascii="宋体" w:hAnsi="宋体" w:cs="宋体"/>
                <w:color w:val="000000"/>
              </w:rPr>
            </w:pPr>
            <w:r>
              <w:rPr>
                <w:rFonts w:hint="eastAsia" w:ascii="宋体" w:hAnsi="宋体" w:cs="宋体"/>
                <w:color w:val="000000"/>
              </w:rPr>
              <w:t>学历证明</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F1DF">
            <w:pPr>
              <w:jc w:val="center"/>
              <w:rPr>
                <w:rFonts w:ascii="宋体" w:hAnsi="宋体" w:cs="宋体"/>
                <w:color w:val="000000"/>
              </w:rPr>
            </w:pPr>
            <w:r>
              <w:rPr>
                <w:rFonts w:hint="eastAsia" w:ascii="宋体" w:hAnsi="宋体" w:cs="宋体"/>
                <w:color w:val="000000"/>
              </w:rPr>
              <w:t>√（如有要求）</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0CC9A">
            <w:pPr>
              <w:jc w:val="center"/>
              <w:rPr>
                <w:rFonts w:ascii="宋体" w:hAnsi="宋体" w:cs="宋体"/>
                <w:color w:val="000000"/>
              </w:rPr>
            </w:pPr>
            <w:r>
              <w:rPr>
                <w:rFonts w:hint="eastAsia" w:ascii="宋体" w:hAnsi="宋体" w:cs="宋体"/>
                <w:color w:val="000000"/>
              </w:rPr>
              <w:t>√（如有要求）</w:t>
            </w:r>
          </w:p>
        </w:tc>
        <w:tc>
          <w:tcPr>
            <w:tcW w:w="1810" w:type="dxa"/>
            <w:tcBorders>
              <w:top w:val="single" w:color="000000" w:sz="4" w:space="0"/>
              <w:left w:val="single" w:color="000000" w:sz="4" w:space="0"/>
              <w:bottom w:val="single" w:color="000000" w:sz="4" w:space="0"/>
              <w:right w:val="single" w:color="000000" w:sz="4" w:space="0"/>
            </w:tcBorders>
            <w:vAlign w:val="center"/>
          </w:tcPr>
          <w:p w14:paraId="3AB632EC">
            <w:pPr>
              <w:jc w:val="center"/>
              <w:rPr>
                <w:rFonts w:ascii="宋体" w:hAnsi="宋体" w:cs="宋体"/>
                <w:color w:val="000000"/>
              </w:rPr>
            </w:pPr>
            <w:r>
              <w:rPr>
                <w:rFonts w:hint="eastAsia" w:ascii="宋体" w:hAnsi="宋体" w:cs="宋体"/>
                <w:color w:val="000000"/>
              </w:rPr>
              <w:t>√（如有要求）</w:t>
            </w:r>
          </w:p>
        </w:tc>
        <w:tc>
          <w:tcPr>
            <w:tcW w:w="1809" w:type="dxa"/>
            <w:tcBorders>
              <w:top w:val="single" w:color="000000" w:sz="4" w:space="0"/>
              <w:left w:val="single" w:color="000000" w:sz="4" w:space="0"/>
              <w:bottom w:val="single" w:color="000000" w:sz="4" w:space="0"/>
              <w:right w:val="single" w:color="000000" w:sz="4" w:space="0"/>
            </w:tcBorders>
            <w:vAlign w:val="center"/>
          </w:tcPr>
          <w:p w14:paraId="7ACC4EB0">
            <w:pPr>
              <w:jc w:val="center"/>
              <w:rPr>
                <w:rFonts w:ascii="宋体" w:hAnsi="宋体" w:cs="宋体"/>
                <w:color w:val="000000"/>
              </w:rPr>
            </w:pPr>
            <w:r>
              <w:rPr>
                <w:rFonts w:hint="eastAsia" w:ascii="宋体" w:hAnsi="宋体" w:cs="宋体"/>
                <w:color w:val="000000"/>
              </w:rPr>
              <w:t>√（如有要求）</w:t>
            </w:r>
          </w:p>
        </w:tc>
      </w:tr>
      <w:tr w14:paraId="5206C568">
        <w:tblPrEx>
          <w:tblCellMar>
            <w:top w:w="0" w:type="dxa"/>
            <w:left w:w="108" w:type="dxa"/>
            <w:bottom w:w="0" w:type="dxa"/>
            <w:right w:w="108" w:type="dxa"/>
          </w:tblCellMar>
        </w:tblPrEx>
        <w:trPr>
          <w:trHeight w:val="480" w:hRule="atLeast"/>
        </w:trPr>
        <w:tc>
          <w:tcPr>
            <w:tcW w:w="19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73FF">
            <w:pPr>
              <w:jc w:val="center"/>
              <w:rPr>
                <w:rFonts w:ascii="宋体" w:hAnsi="宋体" w:cs="宋体"/>
                <w:color w:val="000000"/>
              </w:rPr>
            </w:pPr>
            <w:r>
              <w:rPr>
                <w:rFonts w:hint="eastAsia" w:ascii="宋体" w:hAnsi="宋体" w:cs="宋体"/>
                <w:color w:val="000000"/>
              </w:rPr>
              <w:t>应答单位缴纳的社保证明（缴纳时间至少包括公告发布日前一个月或公告发布当月）或与应答单位的劳动合同关系证明</w:t>
            </w:r>
          </w:p>
          <w:p w14:paraId="7975C81D">
            <w:pPr>
              <w:jc w:val="center"/>
              <w:rPr>
                <w:rFonts w:ascii="宋体" w:hAnsi="宋体" w:cs="宋体"/>
                <w:color w:val="000000"/>
              </w:rPr>
            </w:pPr>
            <w:r>
              <w:rPr>
                <w:rFonts w:hint="eastAsia" w:ascii="宋体" w:hAnsi="宋体" w:cs="宋体"/>
                <w:color w:val="000000"/>
              </w:rPr>
              <w:t>（法定代表人可不提供）</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AEF81">
            <w:pPr>
              <w:jc w:val="center"/>
              <w:rPr>
                <w:rFonts w:ascii="宋体" w:hAnsi="宋体" w:cs="宋体"/>
                <w:color w:val="000000"/>
              </w:rPr>
            </w:pPr>
            <w:r>
              <w:rPr>
                <w:rFonts w:hint="eastAsia" w:ascii="宋体" w:hAnsi="宋体" w:cs="宋体"/>
                <w:color w:val="000000"/>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30228">
            <w:pPr>
              <w:jc w:val="center"/>
              <w:rPr>
                <w:rFonts w:ascii="宋体" w:hAnsi="宋体" w:cs="宋体"/>
                <w:color w:val="000000"/>
              </w:rPr>
            </w:pPr>
            <w:r>
              <w:rPr>
                <w:rFonts w:hint="eastAsia" w:ascii="宋体" w:hAnsi="宋体" w:cs="宋体"/>
                <w:color w:val="000000"/>
              </w:rPr>
              <w:t>√</w:t>
            </w:r>
          </w:p>
        </w:tc>
        <w:tc>
          <w:tcPr>
            <w:tcW w:w="1810" w:type="dxa"/>
            <w:tcBorders>
              <w:top w:val="single" w:color="000000" w:sz="4" w:space="0"/>
              <w:left w:val="single" w:color="000000" w:sz="4" w:space="0"/>
              <w:bottom w:val="single" w:color="000000" w:sz="4" w:space="0"/>
              <w:right w:val="single" w:color="000000" w:sz="4" w:space="0"/>
            </w:tcBorders>
            <w:vAlign w:val="center"/>
          </w:tcPr>
          <w:p w14:paraId="73466749">
            <w:pPr>
              <w:jc w:val="center"/>
              <w:rPr>
                <w:rFonts w:ascii="宋体" w:hAnsi="宋体" w:cs="宋体"/>
                <w:color w:val="000000"/>
              </w:rPr>
            </w:pPr>
            <w:r>
              <w:rPr>
                <w:rFonts w:hint="eastAsia" w:ascii="宋体" w:hAnsi="宋体" w:cs="宋体"/>
                <w:color w:val="000000"/>
              </w:rPr>
              <w:t>√</w:t>
            </w:r>
          </w:p>
        </w:tc>
        <w:tc>
          <w:tcPr>
            <w:tcW w:w="1809" w:type="dxa"/>
            <w:tcBorders>
              <w:top w:val="single" w:color="000000" w:sz="4" w:space="0"/>
              <w:left w:val="single" w:color="000000" w:sz="4" w:space="0"/>
              <w:bottom w:val="single" w:color="000000" w:sz="4" w:space="0"/>
              <w:right w:val="single" w:color="000000" w:sz="4" w:space="0"/>
            </w:tcBorders>
            <w:vAlign w:val="center"/>
          </w:tcPr>
          <w:p w14:paraId="6EF5428B">
            <w:pPr>
              <w:jc w:val="center"/>
              <w:rPr>
                <w:rFonts w:ascii="宋体" w:hAnsi="宋体" w:cs="宋体"/>
                <w:color w:val="000000"/>
              </w:rPr>
            </w:pPr>
            <w:r>
              <w:rPr>
                <w:rFonts w:hint="eastAsia" w:ascii="宋体" w:hAnsi="宋体" w:cs="宋体"/>
                <w:color w:val="000000"/>
              </w:rPr>
              <w:t>√</w:t>
            </w:r>
          </w:p>
        </w:tc>
      </w:tr>
    </w:tbl>
    <w:p w14:paraId="68D00ACF">
      <w:pPr>
        <w:adjustRightInd w:val="0"/>
        <w:spacing w:line="360" w:lineRule="auto"/>
        <w:ind w:firstLine="422" w:firstLineChars="200"/>
        <w:rPr>
          <w:rFonts w:asciiTheme="minorEastAsia" w:hAnsiTheme="minorEastAsia" w:eastAsiaTheme="minorEastAsia"/>
          <w:b/>
          <w:bCs/>
          <w:sz w:val="21"/>
          <w:szCs w:val="21"/>
        </w:rPr>
      </w:pPr>
    </w:p>
    <w:p w14:paraId="67C6D77A">
      <w:pPr>
        <w:adjustRightInd w:val="0"/>
        <w:spacing w:line="360" w:lineRule="auto"/>
        <w:ind w:firstLine="402" w:firstLineChars="200"/>
        <w:rPr>
          <w:rFonts w:asciiTheme="minorEastAsia" w:hAnsiTheme="minorEastAsia"/>
          <w:b/>
          <w:bCs/>
          <w:szCs w:val="21"/>
        </w:rPr>
      </w:pPr>
      <w:r>
        <w:rPr>
          <w:rFonts w:hint="eastAsia" w:asciiTheme="minorEastAsia" w:hAnsiTheme="minorEastAsia"/>
          <w:b/>
          <w:bCs/>
          <w:szCs w:val="21"/>
        </w:rPr>
        <w:t>四、施工类标段分包要求</w:t>
      </w:r>
    </w:p>
    <w:p w14:paraId="52455CC7">
      <w:pPr>
        <w:pStyle w:val="2"/>
        <w:spacing w:line="360" w:lineRule="auto"/>
        <w:ind w:left="102" w:firstLine="420" w:firstLineChars="200"/>
        <w:rPr>
          <w:lang w:eastAsia="zh-CN"/>
        </w:rPr>
      </w:pPr>
      <w:r>
        <w:rPr>
          <w:rFonts w:hint="eastAsia"/>
          <w:lang w:eastAsia="zh-CN"/>
        </w:rPr>
        <w:t>应符合国家电网公司关于分包的相关规定，具体为：</w:t>
      </w:r>
    </w:p>
    <w:p w14:paraId="4A0528FE">
      <w:pPr>
        <w:pStyle w:val="2"/>
        <w:spacing w:line="360" w:lineRule="auto"/>
        <w:ind w:left="102" w:firstLine="420" w:firstLineChars="200"/>
        <w:rPr>
          <w:lang w:eastAsia="zh-CN"/>
        </w:rPr>
      </w:pPr>
      <w:r>
        <w:rPr>
          <w:rFonts w:hint="eastAsia"/>
          <w:lang w:eastAsia="zh-CN"/>
        </w:rPr>
        <w:t>（1）不得将工程主体、关键性工作，包括但不限于：①变电（包括换流站、开关站）工程的房屋建筑主体结构部分、构支架组立和一次、二次等电气设备安装工程；②输电线路（包括直流换流站的接地极线路）工程的组塔、架线和附件安装；③电缆线路工程的电缆安装（含敷设、连接）和试验等进行专业分包。</w:t>
      </w:r>
    </w:p>
    <w:p w14:paraId="430264ED">
      <w:pPr>
        <w:pStyle w:val="2"/>
        <w:spacing w:line="360" w:lineRule="auto"/>
        <w:ind w:left="102" w:firstLine="420" w:firstLineChars="200"/>
        <w:rPr>
          <w:lang w:eastAsia="zh-CN"/>
        </w:rPr>
      </w:pPr>
      <w:r>
        <w:rPr>
          <w:rFonts w:hint="eastAsia"/>
          <w:lang w:eastAsia="zh-CN"/>
        </w:rPr>
        <w:t>（2）除合同另有约定外，未经发包人同意，承包人不得将工程的其他部分或工作专业分包给第三人。</w:t>
      </w:r>
    </w:p>
    <w:p w14:paraId="4DE6AAF8">
      <w:pPr>
        <w:pStyle w:val="2"/>
        <w:spacing w:line="360" w:lineRule="auto"/>
        <w:ind w:left="102" w:firstLine="420" w:firstLineChars="200"/>
        <w:rPr>
          <w:lang w:eastAsia="zh-CN"/>
        </w:rPr>
      </w:pPr>
      <w:r>
        <w:rPr>
          <w:rFonts w:hint="eastAsia"/>
          <w:lang w:eastAsia="zh-CN"/>
        </w:rPr>
        <w:t>（3）应答人应在应答文件中提出具体分包计划。</w:t>
      </w:r>
    </w:p>
    <w:p w14:paraId="2539C1E3">
      <w:pPr>
        <w:pStyle w:val="2"/>
        <w:spacing w:line="360" w:lineRule="auto"/>
        <w:ind w:left="102" w:firstLine="420" w:firstLineChars="200"/>
        <w:rPr>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M2ZjY2JlMWY1NTA1MzQwYWViZDI5MGIzYTQ5OTMifQ=="/>
  </w:docVars>
  <w:rsids>
    <w:rsidRoot w:val="00392450"/>
    <w:rsid w:val="00392450"/>
    <w:rsid w:val="006E76C5"/>
    <w:rsid w:val="007006AF"/>
    <w:rsid w:val="00871886"/>
    <w:rsid w:val="00970C01"/>
    <w:rsid w:val="00CF4CC8"/>
    <w:rsid w:val="02CC791F"/>
    <w:rsid w:val="0397327E"/>
    <w:rsid w:val="04C277A1"/>
    <w:rsid w:val="055D5C3B"/>
    <w:rsid w:val="058B5636"/>
    <w:rsid w:val="059B0EF5"/>
    <w:rsid w:val="07927AFE"/>
    <w:rsid w:val="07E259C2"/>
    <w:rsid w:val="091845FF"/>
    <w:rsid w:val="094E147C"/>
    <w:rsid w:val="09F01E63"/>
    <w:rsid w:val="0B1553E4"/>
    <w:rsid w:val="0C3B1F86"/>
    <w:rsid w:val="0C4D0B3C"/>
    <w:rsid w:val="0D301D58"/>
    <w:rsid w:val="0DA1560F"/>
    <w:rsid w:val="119651AF"/>
    <w:rsid w:val="13170181"/>
    <w:rsid w:val="138E24DD"/>
    <w:rsid w:val="169B176E"/>
    <w:rsid w:val="16AE219D"/>
    <w:rsid w:val="19A579FE"/>
    <w:rsid w:val="1C070D09"/>
    <w:rsid w:val="1F612AED"/>
    <w:rsid w:val="2129628E"/>
    <w:rsid w:val="223C3D32"/>
    <w:rsid w:val="24065D00"/>
    <w:rsid w:val="25147A1C"/>
    <w:rsid w:val="25C7167D"/>
    <w:rsid w:val="29D85278"/>
    <w:rsid w:val="2C460828"/>
    <w:rsid w:val="2C6D0C68"/>
    <w:rsid w:val="2D294A9C"/>
    <w:rsid w:val="337C7596"/>
    <w:rsid w:val="34846116"/>
    <w:rsid w:val="36E3445E"/>
    <w:rsid w:val="37E676A9"/>
    <w:rsid w:val="388F099D"/>
    <w:rsid w:val="38EA088E"/>
    <w:rsid w:val="393C3EC2"/>
    <w:rsid w:val="3A146EA7"/>
    <w:rsid w:val="3BAB12CA"/>
    <w:rsid w:val="3C20149A"/>
    <w:rsid w:val="3CF116AB"/>
    <w:rsid w:val="3CFC4F0F"/>
    <w:rsid w:val="3E4C1EAE"/>
    <w:rsid w:val="3FF63721"/>
    <w:rsid w:val="407B4117"/>
    <w:rsid w:val="415A7149"/>
    <w:rsid w:val="42A4090E"/>
    <w:rsid w:val="456F4A0D"/>
    <w:rsid w:val="45F939C1"/>
    <w:rsid w:val="45FF17A8"/>
    <w:rsid w:val="46686687"/>
    <w:rsid w:val="477063AC"/>
    <w:rsid w:val="486C28A1"/>
    <w:rsid w:val="48C63AAB"/>
    <w:rsid w:val="49354A14"/>
    <w:rsid w:val="49D6492F"/>
    <w:rsid w:val="49F44EF8"/>
    <w:rsid w:val="4C5516AD"/>
    <w:rsid w:val="4C7D423B"/>
    <w:rsid w:val="4D5F341A"/>
    <w:rsid w:val="4E3526AF"/>
    <w:rsid w:val="4EBD70E6"/>
    <w:rsid w:val="550A39FD"/>
    <w:rsid w:val="551507B2"/>
    <w:rsid w:val="578C1C53"/>
    <w:rsid w:val="57965E59"/>
    <w:rsid w:val="58FC6927"/>
    <w:rsid w:val="595E62B8"/>
    <w:rsid w:val="598469A6"/>
    <w:rsid w:val="5A856674"/>
    <w:rsid w:val="5B630F6E"/>
    <w:rsid w:val="5DA25460"/>
    <w:rsid w:val="5EDC76A6"/>
    <w:rsid w:val="5EF7234F"/>
    <w:rsid w:val="60B100E6"/>
    <w:rsid w:val="613416B3"/>
    <w:rsid w:val="614F3216"/>
    <w:rsid w:val="6233731A"/>
    <w:rsid w:val="6274112E"/>
    <w:rsid w:val="62BD6BF2"/>
    <w:rsid w:val="62C83FB2"/>
    <w:rsid w:val="63A365BC"/>
    <w:rsid w:val="645D165D"/>
    <w:rsid w:val="676D7267"/>
    <w:rsid w:val="678617F5"/>
    <w:rsid w:val="68CE5407"/>
    <w:rsid w:val="69C62B7F"/>
    <w:rsid w:val="6A622CEA"/>
    <w:rsid w:val="6DDB6CC8"/>
    <w:rsid w:val="6EA82728"/>
    <w:rsid w:val="723230E8"/>
    <w:rsid w:val="726F3FC4"/>
    <w:rsid w:val="731549D2"/>
    <w:rsid w:val="73EE248A"/>
    <w:rsid w:val="74584922"/>
    <w:rsid w:val="75AA1FFC"/>
    <w:rsid w:val="75D30613"/>
    <w:rsid w:val="765964CF"/>
    <w:rsid w:val="769B37CF"/>
    <w:rsid w:val="76A53569"/>
    <w:rsid w:val="77243B42"/>
    <w:rsid w:val="77561579"/>
    <w:rsid w:val="77DE0E99"/>
    <w:rsid w:val="785F626A"/>
    <w:rsid w:val="787B183C"/>
    <w:rsid w:val="78C66AC0"/>
    <w:rsid w:val="7940662B"/>
    <w:rsid w:val="7A0725A9"/>
    <w:rsid w:val="7A457886"/>
    <w:rsid w:val="7AB56F55"/>
    <w:rsid w:val="7BA4753B"/>
    <w:rsid w:val="7C0040C8"/>
    <w:rsid w:val="7E334BE8"/>
    <w:rsid w:val="7E526293"/>
    <w:rsid w:val="7F462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widowControl w:val="0"/>
      <w:ind w:left="100"/>
    </w:pPr>
    <w:rPr>
      <w:rFonts w:ascii="宋体" w:hAnsi="宋体"/>
      <w:sz w:val="21"/>
      <w:szCs w:val="21"/>
      <w:lang w:eastAsia="en-US"/>
    </w:rPr>
  </w:style>
  <w:style w:type="paragraph" w:styleId="3">
    <w:name w:val="annotation text"/>
    <w:basedOn w:val="1"/>
    <w:qFormat/>
    <w:uiPriority w:val="0"/>
  </w:style>
  <w:style w:type="paragraph" w:styleId="4">
    <w:name w:val="Balloon Text"/>
    <w:basedOn w:val="1"/>
    <w:link w:val="9"/>
    <w:qFormat/>
    <w:uiPriority w:val="0"/>
    <w:rPr>
      <w:sz w:val="18"/>
      <w:szCs w:val="18"/>
    </w:rPr>
  </w:style>
  <w:style w:type="character" w:styleId="7">
    <w:name w:val="annotation reference"/>
    <w:basedOn w:val="6"/>
    <w:uiPriority w:val="0"/>
    <w:rPr>
      <w:sz w:val="21"/>
      <w:szCs w:val="21"/>
    </w:rPr>
  </w:style>
  <w:style w:type="paragraph" w:styleId="8">
    <w:name w:val="List Paragraph"/>
    <w:basedOn w:val="1"/>
    <w:qFormat/>
    <w:uiPriority w:val="34"/>
    <w:pPr>
      <w:widowControl w:val="0"/>
      <w:ind w:firstLine="420" w:firstLineChars="200"/>
      <w:jc w:val="both"/>
    </w:pPr>
    <w:rPr>
      <w:rFonts w:ascii="Calibri" w:hAnsi="Calibri"/>
      <w:kern w:val="2"/>
      <w:sz w:val="21"/>
      <w:szCs w:val="22"/>
    </w:rPr>
  </w:style>
  <w:style w:type="character" w:customStyle="1" w:styleId="9">
    <w:name w:val="批注框文本 Char"/>
    <w:basedOn w:val="6"/>
    <w:link w:val="4"/>
    <w:uiPriority w:val="0"/>
    <w:rPr>
      <w:rFonts w:ascii="Times New Roman" w:hAnsi="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1806</Words>
  <Characters>1858</Characters>
  <Lines>15</Lines>
  <Paragraphs>4</Paragraphs>
  <TotalTime>9</TotalTime>
  <ScaleCrop>false</ScaleCrop>
  <LinksUpToDate>false</LinksUpToDate>
  <CharactersWithSpaces>1860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2023-04-30T04:23:00Z</dcterms:created>
  <dc:creator>朱昆</dc:creator>
  <cp:lastModifiedBy>是谁......</cp:lastModifiedBy>
  <dcterms:modified xsi:type="dcterms:W3CDTF">2025-01-15T07:04:30Z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A8EB4AABA77944ECBAA5C2D4A93B4F1A</vt:lpwstr>
  </property>
  <property fmtid="{D5CDD505-2E9C-101B-9397-08002B2CF9AE}" pid="4" name="KSOTemplateDocerSaveRecord">
    <vt:lpwstr>eyJoZGlkIjoiMjY4M2ZjY2JlMWY1NTA1MzQwYWViZDI5MGIzYTQ5OTMiLCJ1c2VySWQiOiI1Njk0NzI1OTQifQ==</vt:lpwstr>
  </property>
</Properties>
</file>