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441623-2026-00404</w:t>
      </w:r>
    </w:p>
    <w:p>
      <w:pPr>
        <w:pStyle w:val="null3"/>
        <w:jc w:val="center"/>
        <w:outlineLvl w:val="3"/>
      </w:pPr>
      <w:r>
        <w:rPr>
          <w:sz w:val="24"/>
          <w:b/>
        </w:rPr>
        <w:t>采购项目编号：</w:t>
      </w:r>
      <w:r>
        <w:rPr>
          <w:sz w:val="24"/>
          <w:b/>
        </w:rPr>
        <w:t>HYMQ2026011</w:t>
      </w:r>
    </w:p>
    <w:p>
      <w:pPr>
        <w:pStyle w:val="null3"/>
        <w:jc w:val="center"/>
        <w:outlineLvl w:val="3"/>
      </w:pPr>
      <w:r>
        <w:rPr>
          <w:sz w:val="24"/>
          <w:b/>
        </w:rPr>
        <w:t>项目名称：</w:t>
      </w:r>
      <w:r>
        <w:rPr>
          <w:sz w:val="24"/>
          <w:b/>
        </w:rPr>
        <w:t>连平县2025年乡村人居环境整治提升重点区域绿化美化建设项目</w:t>
      </w:r>
    </w:p>
    <w:p>
      <w:pPr>
        <w:pStyle w:val="null3"/>
        <w:jc w:val="center"/>
        <w:outlineLvl w:val="3"/>
      </w:pPr>
      <w:r>
        <w:rPr>
          <w:sz w:val="24"/>
          <w:b/>
        </w:rPr>
        <w:t>采购人：</w:t>
      </w:r>
      <w:r>
        <w:rPr>
          <w:sz w:val="24"/>
          <w:b/>
        </w:rPr>
        <w:t>连平县林业局</w:t>
      </w:r>
    </w:p>
    <w:p>
      <w:pPr>
        <w:pStyle w:val="null3"/>
        <w:jc w:val="center"/>
        <w:outlineLvl w:val="3"/>
      </w:pPr>
      <w:r>
        <w:rPr>
          <w:sz w:val="24"/>
          <w:b/>
        </w:rPr>
        <w:t>采购代理机构：</w:t>
      </w:r>
      <w:r>
        <w:rPr>
          <w:sz w:val="24"/>
          <w:b/>
        </w:rPr>
        <w:t>河源市名企项目管理有限责任公司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河源市名企项目管理有限责任公司</w:t>
      </w:r>
      <w:r>
        <w:rPr/>
        <w:t>受</w:t>
      </w:r>
      <w:r>
        <w:rPr/>
        <w:t>连平县林业局</w:t>
      </w:r>
      <w:r>
        <w:rPr/>
        <w:t>的委托，采用</w:t>
      </w:r>
      <w:r>
        <w:rPr/>
        <w:t>公开招标</w:t>
      </w:r>
      <w:r>
        <w:rPr/>
        <w:t>方式组织采购</w:t>
      </w:r>
      <w:r>
        <w:rPr/>
        <w:t>连平县2025年乡村人居环境整治提升重点区域绿化美化建设项目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连平县2025年乡村人居环境整治提升重点区域绿化美化建设项目</w:t>
      </w:r>
    </w:p>
    <w:p>
      <w:pPr>
        <w:pStyle w:val="null3"/>
        <w:ind w:firstLine="480"/>
      </w:pPr>
      <w:r>
        <w:rPr/>
        <w:t>采购计划编号：</w:t>
      </w:r>
      <w:r>
        <w:rPr/>
        <w:t>441623-2026-00404</w:t>
      </w:r>
    </w:p>
    <w:p>
      <w:pPr>
        <w:pStyle w:val="null3"/>
        <w:ind w:firstLine="480"/>
      </w:pPr>
      <w:r>
        <w:rPr/>
        <w:t>采购项目编号：</w:t>
      </w:r>
      <w:r>
        <w:rPr/>
        <w:t>HYMQ2026011</w:t>
      </w:r>
    </w:p>
    <w:p>
      <w:pPr>
        <w:pStyle w:val="null3"/>
        <w:ind w:firstLine="480"/>
      </w:pPr>
      <w:r>
        <w:rPr/>
        <w:t>采购方式：</w:t>
      </w:r>
      <w:r>
        <w:rPr/>
        <w:t>公开招标</w:t>
      </w:r>
    </w:p>
    <w:p>
      <w:pPr>
        <w:pStyle w:val="null3"/>
        <w:ind w:firstLine="480"/>
      </w:pPr>
      <w:r>
        <w:rPr/>
        <w:t>预算金额：</w:t>
      </w:r>
      <w:r>
        <w:rPr/>
        <w:t>5,685,675.20</w:t>
      </w:r>
      <w:r>
        <w:rPr/>
        <w:t>元</w:t>
      </w:r>
    </w:p>
    <w:p>
      <w:pPr>
        <w:pStyle w:val="null3"/>
        <w:outlineLvl w:val="3"/>
      </w:pPr>
      <w:r>
        <w:rPr>
          <w:sz w:val="24"/>
          <w:b/>
        </w:rPr>
        <w:t>2.项目内容及需求情况（采购项目技术规格、参数及要求）</w:t>
      </w:r>
    </w:p>
    <w:p>
      <w:pPr>
        <w:pStyle w:val="null3"/>
      </w:pPr>
      <w:r>
        <w:rPr/>
        <w:t>采购包1(连平县2025年乡村人居环境整治提升重点区域绿化美化建设项目):</w:t>
      </w:r>
    </w:p>
    <w:p>
      <w:pPr>
        <w:pStyle w:val="null3"/>
      </w:pPr>
      <w:r>
        <w:rPr/>
        <w:t>采购包预算金额：5,685,675.20元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造林服务</w:t>
            </w:r>
          </w:p>
        </w:tc>
        <w:tc>
          <w:tcPr>
            <w:tcW w:type="dxa" w:w="2136"/>
          </w:tcPr>
          <w:p>
            <w:pPr>
              <w:pStyle w:val="null3"/>
            </w:pPr>
            <w:r>
              <w:rPr/>
              <w:t>连平县2025年乡村人居环境整治提升重点区域绿化美化建设项目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合同履行期限：合同签订后30日历天内完成苗木种植工作，2026年6月30日前完成当年抚育等全部工作。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2）具有良好的商业信誉和健全的财务会计制度：具有良好的商业信誉和健全的财务会计制度（提供承诺函）</w:t>
      </w:r>
    </w:p>
    <w:p>
      <w:pPr>
        <w:pStyle w:val="null3"/>
      </w:pPr>
      <w:r>
        <w:rPr/>
        <w:t>3）有依法缴纳税收和社会保障资金的良好记录：有依法缴纳税收和社会保障资金的良好记录（提供承诺函）</w:t>
      </w:r>
    </w:p>
    <w:p>
      <w:pPr>
        <w:pStyle w:val="null3"/>
      </w:pPr>
      <w:r>
        <w:rPr/>
        <w:t>4）履行合同所必需的设备和专业技术能力：具有履行合同所必需的设备和专业技术能力（提供承诺函）</w:t>
      </w:r>
    </w:p>
    <w:p>
      <w:pPr>
        <w:pStyle w:val="null3"/>
      </w:pPr>
      <w:r>
        <w:rPr/>
        <w:t>5）参加采购活动前3年内，在经营活动中没有重大违法记录：提供参加政府采购活动前3年内，在经营活动中没有重大违法记录（提供承诺函）</w:t>
      </w:r>
    </w:p>
    <w:p>
      <w:pPr>
        <w:pStyle w:val="null3"/>
        <w:outlineLvl w:val="3"/>
      </w:pPr>
      <w:r>
        <w:rPr>
          <w:sz w:val="24"/>
          <w:b/>
        </w:rPr>
        <w:t>2.落实政府采购政策需满足的资格要求：</w:t>
      </w:r>
    </w:p>
    <w:p>
      <w:pPr>
        <w:pStyle w:val="null3"/>
        <w:jc w:val="left"/>
      </w:pPr>
      <w:r>
        <w:rPr/>
        <w:t>采购包1（连平县2025年乡村人居环境整治提升重点区域绿化美化建设项目）：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采购包1（连平县2025年乡村人居环境整治提升重点区域绿化美化建设项目）：</w:t>
      </w:r>
    </w:p>
    <w:p>
      <w:pPr>
        <w:pStyle w:val="null3"/>
      </w:pPr>
      <w:r>
        <w:rPr/>
        <w:t>1)投标人须具备有效期内的造林绿化施工丙级或以上资质</w:t>
      </w:r>
    </w:p>
    <w:p>
      <w:pPr>
        <w:pStyle w:val="null3"/>
      </w:pPr>
      <w:r>
        <w:rPr/>
        <w:t>2)为采购项目提供整体设计、规范编制或者项目管理、监理、检测等服务的供应商，不得再参加该采购项目的其他采购活动；单位负责人为同一人或者存在直接控股、管理关系的不同供应商，不得参加同一合同项下的政府采购活动（提供承诺函）。</w:t>
      </w:r>
    </w:p>
    <w:p>
      <w:pPr>
        <w:pStyle w:val="null3"/>
      </w:pPr>
      <w:r>
        <w:rPr/>
        <w:t>3)供应商未被列入“信用中国”网站(www.creditchina.gov.cn)“记录失信被执行人或重大税收违法失信主体”记录名单；不处于中国政府采购网(www.ccgp.gov.cn)“政府采购严重违法失信行为信息记录”中的禁止参加政府采购活动期间。如相关失信记录已过期，供应商需提供最新相关证明资料加盖公章放入投标文件正本中。（以采购代理机构于投标（响应）截止时间当天在“信用中国”网站（www.creditchina.gov.cn）及中国政府采购（http://www.ccgp.gov.cn/）查询结果为准，如相关失信记录已失效，供应商需提供相关证明资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连平县林业局</w:t>
      </w:r>
    </w:p>
    <w:p>
      <w:pPr>
        <w:pStyle w:val="null3"/>
        <w:ind w:firstLine="480"/>
      </w:pPr>
      <w:r>
        <w:rPr/>
        <w:t xml:space="preserve"> 地址：</w:t>
      </w:r>
      <w:r>
        <w:rPr/>
        <w:t>连平县环城西路10号</w:t>
      </w:r>
    </w:p>
    <w:p>
      <w:pPr>
        <w:pStyle w:val="null3"/>
        <w:ind w:firstLine="480"/>
      </w:pPr>
      <w:r>
        <w:rPr/>
        <w:t xml:space="preserve"> 联系方式：</w:t>
      </w:r>
      <w:r>
        <w:rPr/>
        <w:t>0762-4332335</w:t>
      </w:r>
    </w:p>
    <w:p>
      <w:pPr>
        <w:pStyle w:val="null3"/>
        <w:outlineLvl w:val="3"/>
      </w:pPr>
      <w:r>
        <w:rPr>
          <w:sz w:val="24"/>
          <w:b/>
        </w:rPr>
        <w:t xml:space="preserve"> 2.采购代理机构信息</w:t>
      </w:r>
    </w:p>
    <w:p>
      <w:pPr>
        <w:pStyle w:val="null3"/>
        <w:ind w:firstLine="480"/>
      </w:pPr>
      <w:r>
        <w:rPr/>
        <w:t xml:space="preserve"> 名称：</w:t>
      </w:r>
      <w:r>
        <w:rPr/>
        <w:t>河源市名企项目管理有限责任公司</w:t>
      </w:r>
    </w:p>
    <w:p>
      <w:pPr>
        <w:pStyle w:val="null3"/>
        <w:ind w:firstLine="480"/>
      </w:pPr>
      <w:r>
        <w:rPr/>
        <w:t xml:space="preserve"> 地址：</w:t>
      </w:r>
      <w:r>
        <w:rPr/>
        <w:t>河源市东源县扶贫工业区木京村生产生活用地A16、A17两卡联诚楼第二层</w:t>
      </w:r>
    </w:p>
    <w:p>
      <w:pPr>
        <w:pStyle w:val="null3"/>
        <w:ind w:firstLine="480"/>
      </w:pPr>
      <w:r>
        <w:rPr/>
        <w:t xml:space="preserve"> 联系方式：</w:t>
      </w:r>
      <w:r>
        <w:rPr/>
        <w:t>0762-3666919</w:t>
      </w:r>
    </w:p>
    <w:p>
      <w:pPr>
        <w:pStyle w:val="null3"/>
        <w:outlineLvl w:val="3"/>
      </w:pPr>
      <w:r>
        <w:rPr>
          <w:sz w:val="24"/>
          <w:b/>
        </w:rPr>
        <w:t xml:space="preserve"> 3.项目联系方式</w:t>
      </w:r>
    </w:p>
    <w:p>
      <w:pPr>
        <w:pStyle w:val="null3"/>
        <w:ind w:firstLine="480"/>
      </w:pPr>
      <w:r>
        <w:rPr/>
        <w:t xml:space="preserve"> 项目联系人：</w:t>
      </w:r>
      <w:r>
        <w:rPr/>
        <w:t>王磊</w:t>
      </w:r>
    </w:p>
    <w:p>
      <w:pPr>
        <w:pStyle w:val="null3"/>
        <w:ind w:firstLine="480"/>
      </w:pPr>
      <w:r>
        <w:rPr/>
        <w:t xml:space="preserve"> 电话：</w:t>
      </w:r>
      <w:r>
        <w:rPr/>
        <w:t>0762-3666919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河源市名企项目管理有限责任公司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1.项目名称：</w:t>
      </w:r>
      <w:r>
        <w:rPr>
          <w:sz w:val="24"/>
          <w:color w:val="000000"/>
        </w:rPr>
        <w:t>连平县</w:t>
      </w:r>
      <w:r>
        <w:rPr>
          <w:sz w:val="24"/>
          <w:color w:val="000000"/>
        </w:rPr>
        <w:t>2025年乡村人居环境整治提升重点区域绿化美化建设项目</w:t>
      </w:r>
      <w:r>
        <w:rPr>
          <w:sz w:val="24"/>
          <w:color w:val="000000"/>
        </w:rPr>
        <w:t>。</w:t>
      </w:r>
    </w:p>
    <w:p>
      <w:pPr>
        <w:pStyle w:val="null3"/>
        <w:ind w:firstLine="480"/>
      </w:pPr>
      <w:r>
        <w:rPr>
          <w:sz w:val="24"/>
          <w:color w:val="000000"/>
        </w:rPr>
        <w:t>2</w:t>
      </w:r>
      <w:r>
        <w:rPr>
          <w:sz w:val="24"/>
          <w:color w:val="000000"/>
        </w:rPr>
        <w:t>.项目预算：</w:t>
      </w:r>
      <w:r>
        <w:rPr>
          <w:sz w:val="24"/>
        </w:rPr>
        <w:t>5,685,675.2</w:t>
      </w:r>
      <w:r>
        <w:rPr>
          <w:sz w:val="24"/>
          <w:color w:val="000000"/>
        </w:rPr>
        <w:t>元。</w:t>
      </w:r>
    </w:p>
    <w:p>
      <w:pPr>
        <w:pStyle w:val="null3"/>
        <w:ind w:firstLine="480"/>
      </w:pPr>
      <w:r>
        <w:rPr>
          <w:sz w:val="24"/>
          <w:color w:val="000000"/>
        </w:rPr>
        <w:t>3</w:t>
      </w:r>
      <w:r>
        <w:rPr>
          <w:sz w:val="24"/>
          <w:color w:val="000000"/>
        </w:rPr>
        <w:t>.</w:t>
      </w:r>
      <w:r>
        <w:rPr>
          <w:sz w:val="24"/>
          <w:color w:val="000000"/>
        </w:rPr>
        <w:t>采购</w:t>
      </w:r>
      <w:r>
        <w:rPr>
          <w:sz w:val="24"/>
          <w:color w:val="000000"/>
        </w:rPr>
        <w:t>单位：</w:t>
      </w:r>
      <w:r>
        <w:rPr>
          <w:sz w:val="24"/>
          <w:color w:val="000000"/>
        </w:rPr>
        <w:t>连平</w:t>
      </w:r>
      <w:r>
        <w:rPr>
          <w:sz w:val="24"/>
          <w:color w:val="000000"/>
        </w:rPr>
        <w:t>县林业局</w:t>
      </w:r>
      <w:r>
        <w:rPr>
          <w:sz w:val="24"/>
          <w:color w:val="000000"/>
        </w:rPr>
        <w:t>。</w:t>
      </w:r>
    </w:p>
    <w:p>
      <w:pPr>
        <w:pStyle w:val="null3"/>
        <w:ind w:firstLine="480"/>
        <w:jc w:val="left"/>
      </w:pPr>
      <w:r>
        <w:rPr>
          <w:sz w:val="24"/>
          <w:color w:val="000000"/>
        </w:rPr>
        <w:t>4</w:t>
      </w:r>
      <w:r>
        <w:rPr>
          <w:sz w:val="24"/>
          <w:color w:val="000000"/>
        </w:rPr>
        <w:t>.</w:t>
      </w:r>
      <w:r>
        <w:rPr>
          <w:sz w:val="24"/>
          <w:color w:val="000000"/>
        </w:rPr>
        <w:t>项目建设规模及内容</w:t>
      </w:r>
      <w:r>
        <w:rPr>
          <w:sz w:val="24"/>
          <w:color w:val="000000"/>
        </w:rPr>
        <w:t>：</w:t>
      </w:r>
      <w:r>
        <w:rPr>
          <w:sz w:val="24"/>
        </w:rPr>
        <w:t>对连平境内汕昆高速</w:t>
      </w:r>
      <w:r>
        <w:rPr>
          <w:sz w:val="24"/>
        </w:rPr>
        <w:t>G75、龙河高速G4511和大广高速G45等“快行系统”进行绿化品质提升，通过高速通道绿美提升、火烧迹地更新造林、幼林抚育补植提升、补植套种提升等形式植绿增绿，因地制宜地打造绿美森林景观带，提升高速通道及引线两侧带状生态空间及出入口、服务区周边可绿化范围的绿化景观品质，有机串联沿线各类自然人文景观节点，形成互联互通的带状生态空间绿美生态网络；另一方面兼顾群众意愿，通过采购木荷、枫香、火力楠、铁冬青、观赏性桃、阴香、紫玉兰、油茶、三角梅等乔灌木造林绿化苗木及杨梅、黄皮、山楂、龙眼等果苗发放至相关镇村，由镇村组织对辖区内乡村人居环境整治提升重点区域开展绿化美化提升，详见表1</w:t>
      </w:r>
      <w:r>
        <w:rPr>
          <w:sz w:val="24"/>
        </w:rPr>
        <w:t>工程量统计表</w:t>
      </w:r>
      <w:r>
        <w:rPr>
          <w:sz w:val="24"/>
        </w:rPr>
        <w:t>、表</w:t>
      </w:r>
      <w:r>
        <w:rPr>
          <w:sz w:val="24"/>
        </w:rPr>
        <w:t>2项目发放至村镇种植的绿美提升苗木。</w:t>
      </w:r>
    </w:p>
    <w:p>
      <w:pPr>
        <w:pStyle w:val="null3"/>
        <w:ind w:firstLine="480"/>
        <w:jc w:val="center"/>
      </w:pPr>
      <w:r>
        <w:rPr>
          <w:sz w:val="24"/>
        </w:rPr>
        <w:t>表</w:t>
      </w:r>
      <w:r>
        <w:rPr>
          <w:sz w:val="24"/>
        </w:rPr>
        <w:t>1工程量统计表</w:t>
      </w:r>
    </w:p>
    <w:tbl>
      <w:tblPr>
        <w:tblW w:w="0" w:type="auto"/>
        <w:tblBorders>
          <w:top w:val="none" w:color="000000" w:sz="4"/>
          <w:left w:val="none" w:color="000000" w:sz="4"/>
          <w:bottom w:val="none" w:color="000000" w:sz="4"/>
          <w:right w:val="none" w:color="000000" w:sz="4"/>
          <w:insideH w:val="none"/>
          <w:insideV w:val="none"/>
        </w:tblBorders>
      </w:tblPr>
      <w:tblGrid>
        <w:gridCol w:w="1438"/>
        <w:gridCol w:w="3656"/>
        <w:gridCol w:w="3212"/>
      </w:tblGrid>
      <w:tr>
        <w:tc>
          <w:tcPr>
            <w:tcW w:type="dxa" w:w="143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实施镇</w:t>
            </w:r>
          </w:p>
        </w:tc>
        <w:tc>
          <w:tcPr>
            <w:tcW w:type="dxa" w:w="36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提升类型</w:t>
            </w:r>
          </w:p>
        </w:tc>
        <w:tc>
          <w:tcPr>
            <w:tcW w:type="dxa" w:w="321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提升面积（亩）</w:t>
            </w:r>
          </w:p>
        </w:tc>
      </w:tr>
      <w:tr>
        <w:tc>
          <w:tcPr>
            <w:tcW w:type="dxa" w:w="14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大湖镇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93.0</w:t>
            </w:r>
          </w:p>
        </w:tc>
      </w:tr>
      <w:tr>
        <w:tc>
          <w:tcPr>
            <w:tcW w:type="dxa" w:w="14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三角镇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227.9</w:t>
            </w:r>
          </w:p>
        </w:tc>
      </w:tr>
      <w:tr>
        <w:tc>
          <w:tcPr>
            <w:tcW w:type="dxa" w:w="14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忠信镇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120.9</w:t>
            </w:r>
          </w:p>
        </w:tc>
      </w:tr>
      <w:tr>
        <w:tc>
          <w:tcPr>
            <w:tcW w:type="dxa" w:w="14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油溪镇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203.6</w:t>
            </w:r>
          </w:p>
        </w:tc>
      </w:tr>
      <w:tr>
        <w:tc>
          <w:tcPr>
            <w:tcW w:type="dxa" w:w="1438"/>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元善镇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40.8</w:t>
            </w:r>
          </w:p>
        </w:tc>
      </w:tr>
      <w:tr>
        <w:tc>
          <w:tcPr>
            <w:tcW w:type="dxa" w:w="1438"/>
            <w:vMerge/>
            <w:tcBorders>
              <w:top w:val="none" w:color="000000" w:sz="4"/>
              <w:left w:val="single" w:color="000000" w:sz="4"/>
              <w:bottom w:val="single" w:color="000000" w:sz="4"/>
              <w:right w:val="single" w:color="000000" w:sz="4"/>
            </w:tcBorders>
          </w:tcP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幼林抚育补植提升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277.9</w:t>
            </w:r>
          </w:p>
        </w:tc>
      </w:tr>
      <w:tr>
        <w:tc>
          <w:tcPr>
            <w:tcW w:type="dxa" w:w="1438"/>
            <w:vMerge/>
            <w:tcBorders>
              <w:top w:val="none" w:color="000000" w:sz="4"/>
              <w:left w:val="single" w:color="000000" w:sz="4"/>
              <w:bottom w:val="single" w:color="000000" w:sz="4"/>
              <w:right w:val="single" w:color="000000" w:sz="4"/>
            </w:tcBorders>
          </w:tcP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火烧迹地更新造林</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93.0</w:t>
            </w:r>
          </w:p>
        </w:tc>
      </w:tr>
      <w:tr>
        <w:tc>
          <w:tcPr>
            <w:tcW w:type="dxa" w:w="14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上坪镇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54.1</w:t>
            </w:r>
          </w:p>
        </w:tc>
      </w:tr>
      <w:tr>
        <w:tc>
          <w:tcPr>
            <w:tcW w:type="dxa" w:w="14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溪山镇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154.3</w:t>
            </w:r>
          </w:p>
        </w:tc>
      </w:tr>
      <w:tr>
        <w:tc>
          <w:tcPr>
            <w:tcW w:type="dxa" w:w="1438"/>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隆街镇</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高速通道绿美提升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2.6</w:t>
            </w:r>
          </w:p>
        </w:tc>
      </w:tr>
      <w:tr>
        <w:tc>
          <w:tcPr>
            <w:tcW w:type="dxa" w:w="1438"/>
            <w:vMerge/>
            <w:tcBorders>
              <w:top w:val="none" w:color="000000" w:sz="4"/>
              <w:left w:val="single" w:color="000000" w:sz="4"/>
              <w:bottom w:val="single" w:color="000000" w:sz="4"/>
              <w:right w:val="single" w:color="000000" w:sz="4"/>
            </w:tcBorders>
          </w:tcP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补植套种提升</w:t>
            </w: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47.0</w:t>
            </w:r>
          </w:p>
        </w:tc>
      </w:tr>
      <w:tr>
        <w:tc>
          <w:tcPr>
            <w:tcW w:type="dxa" w:w="14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w:t>
            </w:r>
          </w:p>
        </w:tc>
        <w:tc>
          <w:tcPr>
            <w:tcW w:type="dxa" w:w="36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32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1315.1</w:t>
            </w:r>
          </w:p>
        </w:tc>
      </w:tr>
    </w:tbl>
    <w:p>
      <w:pPr>
        <w:pStyle w:val="null3"/>
        <w:ind w:firstLine="480"/>
        <w:jc w:val="center"/>
      </w:pPr>
      <w:r>
        <w:rPr>
          <w:sz w:val="24"/>
        </w:rPr>
        <w:t>表</w:t>
      </w:r>
      <w:r>
        <w:rPr>
          <w:sz w:val="24"/>
        </w:rPr>
        <w:t>2发放至村镇种植的绿美提升苗木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05"/>
        <w:gridCol w:w="1320"/>
        <w:gridCol w:w="2260"/>
        <w:gridCol w:w="1494"/>
        <w:gridCol w:w="1506"/>
        <w:gridCol w:w="721"/>
      </w:tblGrid>
      <w:tr>
        <w:tc>
          <w:tcPr>
            <w:tcW w:type="dxa" w:w="1005"/>
            <w:vMerge w:val="restart"/>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镇</w:t>
            </w:r>
          </w:p>
        </w:tc>
        <w:tc>
          <w:tcPr>
            <w:tcW w:type="dxa" w:w="1320"/>
            <w:vMerge w:val="restart"/>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树种</w:t>
            </w:r>
          </w:p>
        </w:tc>
        <w:tc>
          <w:tcPr>
            <w:tcW w:type="dxa" w:w="5260"/>
            <w:gridSpan w:val="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苗木规格</w:t>
            </w:r>
          </w:p>
        </w:tc>
        <w:tc>
          <w:tcPr>
            <w:tcW w:type="dxa" w:w="721"/>
            <w:vMerge w:val="restart"/>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数量</w:t>
            </w:r>
          </w:p>
        </w:tc>
      </w:tr>
      <w:tr>
        <w:tc>
          <w:tcPr>
            <w:tcW w:type="dxa" w:w="1005"/>
            <w:vMerge/>
            <w:tcBorders>
              <w:top w:val="single" w:color="000000" w:sz="4"/>
              <w:left w:val="single" w:color="000000" w:sz="4"/>
              <w:bottom w:val="single" w:color="000000" w:sz="4"/>
              <w:right w:val="single" w:color="000000" w:sz="4"/>
            </w:tcBorders>
          </w:tcPr>
          <w:p/>
        </w:tc>
        <w:tc>
          <w:tcPr>
            <w:tcW w:type="dxa" w:w="1320"/>
            <w:vMerge/>
            <w:tcBorders>
              <w:top w:val="single" w:color="000000" w:sz="4"/>
              <w:left w:val="none" w:color="000000" w:sz="4"/>
              <w:bottom w:val="single" w:color="000000" w:sz="4"/>
              <w:right w:val="single" w:color="000000" w:sz="4"/>
            </w:tcBorders>
          </w:tcP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苗径</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苗高</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冠幅</w:t>
            </w:r>
          </w:p>
        </w:tc>
        <w:tc>
          <w:tcPr>
            <w:tcW w:type="dxa" w:w="721"/>
            <w:vMerge/>
            <w:tcBorders>
              <w:top w:val="single" w:color="000000" w:sz="4"/>
              <w:left w:val="none" w:color="000000" w:sz="4"/>
              <w:bottom w:val="single" w:color="000000" w:sz="4"/>
              <w:right w:val="single" w:color="000000" w:sz="4"/>
            </w:tcBorders>
          </w:tcPr>
          <w:p/>
        </w:tc>
      </w:tr>
      <w:tr>
        <w:tc>
          <w:tcPr>
            <w:tcW w:type="dxa" w:w="232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合计</w:t>
            </w:r>
          </w:p>
        </w:tc>
        <w:tc>
          <w:tcPr>
            <w:tcW w:type="dxa" w:w="5260"/>
            <w:gridSpan w:val="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10602</w:t>
            </w:r>
          </w:p>
        </w:tc>
      </w:tr>
      <w:tr>
        <w:tc>
          <w:tcPr>
            <w:tcW w:type="dxa" w:w="1005"/>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上坪镇</w:t>
            </w: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小计</w:t>
            </w:r>
          </w:p>
        </w:tc>
        <w:tc>
          <w:tcPr>
            <w:tcW w:type="dxa" w:w="5260"/>
            <w:gridSpan w:val="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1000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观赏性桃</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5cm以上</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150-200cm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1000</w:t>
            </w:r>
          </w:p>
        </w:tc>
      </w:tr>
      <w:tr>
        <w:tc>
          <w:tcPr>
            <w:tcW w:type="dxa" w:w="1005"/>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元善镇</w:t>
            </w:r>
          </w:p>
          <w:p>
            <w:pPr>
              <w:pStyle w:val="null3"/>
            </w:pPr>
            <w:r>
              <w:rPr>
                <w:sz w:val="24"/>
                <w:b/>
              </w:rPr>
              <w:t>（含消防中队）</w:t>
            </w: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小计</w:t>
            </w:r>
          </w:p>
        </w:tc>
        <w:tc>
          <w:tcPr>
            <w:tcW w:type="dxa" w:w="5260"/>
            <w:gridSpan w:val="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3442</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木荷</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0.8cm</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80cm以上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2696</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枫香</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0.8cm</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80cm以上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696</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铁冬青</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3cm以上</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200-250cm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木棉树</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5cm以上</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200-250cm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10</w:t>
            </w:r>
          </w:p>
        </w:tc>
      </w:tr>
      <w:tr>
        <w:tc>
          <w:tcPr>
            <w:tcW w:type="dxa" w:w="1005"/>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油溪镇</w:t>
            </w: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小计</w:t>
            </w:r>
          </w:p>
        </w:tc>
        <w:tc>
          <w:tcPr>
            <w:tcW w:type="dxa" w:w="5260"/>
            <w:gridSpan w:val="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2030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杨梅</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800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黄皮</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50-60cm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50-60cm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700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山楂</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龙眼</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阴香</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米径</w:t>
            </w:r>
            <w:r>
              <w:rPr>
                <w:sz w:val="24"/>
              </w:rPr>
              <w:t>5-6cm</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2.5m以上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w:t>
            </w:r>
          </w:p>
        </w:tc>
      </w:tr>
      <w:tr>
        <w:tc>
          <w:tcPr>
            <w:tcW w:type="dxa" w:w="1005"/>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三角镇</w:t>
            </w:r>
          </w:p>
          <w:p>
            <w:pPr>
              <w:pStyle w:val="null3"/>
              <w:jc w:val="center"/>
            </w:pPr>
            <w:r>
              <w:rPr>
                <w:sz w:val="24"/>
                <w:b/>
              </w:rPr>
              <w:t>（含部队）</w:t>
            </w: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小计</w:t>
            </w:r>
          </w:p>
        </w:tc>
        <w:tc>
          <w:tcPr>
            <w:tcW w:type="dxa" w:w="5260"/>
            <w:gridSpan w:val="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482</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阴香</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米径</w:t>
            </w:r>
            <w:r>
              <w:rPr>
                <w:sz w:val="24"/>
              </w:rPr>
              <w:t>5-6cm</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2.5m以上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22</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紫玉兰</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米径</w:t>
            </w:r>
            <w:r>
              <w:rPr>
                <w:sz w:val="24"/>
              </w:rPr>
              <w:t>5cm以上</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2.5m以上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22</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红继木</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33</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红叶石楠</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亮金女贞</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三角梅</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桅子花</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30-40cm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米兰</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24</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吊兰</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150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绿萝</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红继木</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70-80cm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70-80cm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黄杨</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40-50cm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8</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黄杨</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20-30cm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20-30cm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150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福建茶</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w:t>
            </w:r>
          </w:p>
        </w:tc>
      </w:tr>
      <w:tr>
        <w:tc>
          <w:tcPr>
            <w:tcW w:type="dxa" w:w="1005"/>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忠信镇</w:t>
            </w: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小计</w:t>
            </w:r>
          </w:p>
        </w:tc>
        <w:tc>
          <w:tcPr>
            <w:tcW w:type="dxa" w:w="5260"/>
            <w:gridSpan w:val="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328</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三角梅</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150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紫玉兰</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米径</w:t>
            </w:r>
            <w:r>
              <w:rPr>
                <w:sz w:val="24"/>
              </w:rPr>
              <w:t>5-6cm</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300-350cm</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200-250cm</w:t>
            </w: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178</w:t>
            </w:r>
          </w:p>
        </w:tc>
      </w:tr>
      <w:tr>
        <w:tc>
          <w:tcPr>
            <w:tcW w:type="dxa" w:w="1005"/>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隆街镇</w:t>
            </w: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小计</w:t>
            </w:r>
          </w:p>
        </w:tc>
        <w:tc>
          <w:tcPr>
            <w:tcW w:type="dxa" w:w="5260"/>
            <w:gridSpan w:val="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b/>
              </w:rPr>
              <w:t>3320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紫玉兰</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米径</w:t>
            </w:r>
            <w:r>
              <w:rPr>
                <w:sz w:val="24"/>
              </w:rPr>
              <w:t>5-6cm</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2.5m以上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油茶</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0.6cm以上</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50cm以上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3000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火力楠</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0.8cm以上</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80cm以上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200</w:t>
            </w:r>
          </w:p>
        </w:tc>
      </w:tr>
      <w:tr>
        <w:tc>
          <w:tcPr>
            <w:tcW w:type="dxa" w:w="100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铁冬青</w:t>
            </w:r>
          </w:p>
        </w:tc>
        <w:tc>
          <w:tcPr>
            <w:tcW w:type="dxa" w:w="22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地径</w:t>
            </w:r>
            <w:r>
              <w:rPr>
                <w:sz w:val="24"/>
              </w:rPr>
              <w:t>0.8cm以上</w:t>
            </w:r>
          </w:p>
        </w:tc>
        <w:tc>
          <w:tcPr>
            <w:tcW w:type="dxa" w:w="149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80cm以上</w:t>
            </w:r>
          </w:p>
        </w:tc>
        <w:tc>
          <w:tcPr>
            <w:tcW w:type="dxa" w:w="15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rPr>
              <w:t>100</w:t>
            </w:r>
          </w:p>
        </w:tc>
      </w:tr>
    </w:tbl>
    <w:p>
      <w:pPr>
        <w:pStyle w:val="null3"/>
      </w:pPr>
      <w:r>
        <w:rPr/>
        <w:t>采购包1（连平县2025年乡村人居环境整治提升重点区域绿化美化建设项目）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合同签订后30日历天内完成苗木种植工作，2026年6月30日前完成当年抚育等全部工作。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1期：支付比例30%,成交供应商在签订施工合同并正式开工后预付30%工程款；</w:t>
            </w:r>
          </w:p>
          <w:p>
            <w:pPr>
              <w:pStyle w:val="null3"/>
            </w:pPr>
            <w:r>
              <w:rPr/>
              <w:t>2期：支付比例70%,完成项目全部施工工序后经甲方和监理确认达到质量要求后，经业主单位核验后再付清剩余70%工程款。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当年造林和抚育结束后，采购人组织验收，验收内容包括造林地点、面积、树种、初植密度、种苗质量合格率、保留株数、种植成活（保存）率、林木长势、抚育管护率等，确保种植当年抚育后成活率达90%以上，林木长势良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包括投标人为完成采购内容所产生的各种人力成本、肥料、保险费、各项税费及合同实施过程中的应预见和不可预见费用等完成合同规定责任和义务、达到合同目的的一切费用等，采购人将不予支付除投标文件及承包合同约定的由投标人承担的风险因素之外的任何补偿。</w:t>
            </w:r>
          </w:p>
        </w:tc>
      </w:tr>
      <w:tr>
        <w:tc>
          <w:tcPr>
            <w:tcW w:type="dxa" w:w="2076"/>
          </w:tcPr>
          <w:p/>
        </w:tc>
        <w:tc>
          <w:tcPr>
            <w:tcW w:type="dxa" w:w="2076"/>
          </w:tcPr>
          <w:p>
            <w:pPr>
              <w:pStyle w:val="null3"/>
              <w:jc w:val="center"/>
            </w:pPr>
            <w:r>
              <w:rPr/>
              <w:t>2</w:t>
            </w:r>
          </w:p>
        </w:tc>
        <w:tc>
          <w:tcPr>
            <w:tcW w:type="dxa" w:w="2076"/>
          </w:tcPr>
          <w:p>
            <w:pPr>
              <w:pStyle w:val="null3"/>
              <w:jc w:val="left"/>
            </w:pPr>
            <w:r>
              <w:rPr/>
              <w:t>施工要求和现场管理</w:t>
            </w:r>
          </w:p>
        </w:tc>
        <w:tc>
          <w:tcPr>
            <w:tcW w:type="dxa" w:w="2076"/>
          </w:tcPr>
          <w:p>
            <w:pPr>
              <w:pStyle w:val="null3"/>
              <w:jc w:val="left"/>
            </w:pPr>
            <w:r>
              <w:rPr/>
              <w:t>（1）做好森林防火工作。要求施工单位加强森林防火宣传，落实防火责任制，提高施工人员森林防火意识，禁止在林内用火，杜绝人为森林火灾的发生； （2）防止工伤事故发生。作业环境复杂，植被中蛇、虫、蜂较多，部分地段山坡陡峭，泥土疏松或石头较多。要注意防止滑倒，预防蛇、虫、蜂伤人或滚石伤人。需对野外作业人员配备必要的救生、救护设备和工具； （3）严格执行安全操作规程和防治操作技术，严防安全事故发生。机械使用必须严格遵守其使用手册，按照使用方法进行施工作业； （4）施工过程中要有明确施工负责人，施工人员因施工不当造成的损失及安全事故，由施工单位负责。</w:t>
            </w:r>
          </w:p>
        </w:tc>
      </w:tr>
      <w:tr>
        <w:tc>
          <w:tcPr>
            <w:tcW w:type="dxa" w:w="2076"/>
          </w:tcPr>
          <w:p/>
        </w:tc>
        <w:tc>
          <w:tcPr>
            <w:tcW w:type="dxa" w:w="2076"/>
          </w:tcPr>
          <w:p>
            <w:pPr>
              <w:pStyle w:val="null3"/>
              <w:jc w:val="center"/>
            </w:pPr>
            <w:r>
              <w:rPr/>
              <w:t>3</w:t>
            </w:r>
          </w:p>
        </w:tc>
        <w:tc>
          <w:tcPr>
            <w:tcW w:type="dxa" w:w="2076"/>
          </w:tcPr>
          <w:p>
            <w:pPr>
              <w:pStyle w:val="null3"/>
              <w:jc w:val="left"/>
            </w:pPr>
            <w:r>
              <w:rPr/>
              <w:t>技术资料</w:t>
            </w:r>
          </w:p>
        </w:tc>
        <w:tc>
          <w:tcPr>
            <w:tcW w:type="dxa" w:w="2076"/>
          </w:tcPr>
          <w:p>
            <w:pPr>
              <w:pStyle w:val="null3"/>
              <w:jc w:val="left"/>
            </w:pPr>
            <w:r>
              <w:rPr/>
              <w:t>（1）成交供应商应向采购人提供所有有关本项目执行的技术文件； （2）成交供应商提供的技术文件的全部费用已包含在本项目中标金额内。</w:t>
            </w:r>
          </w:p>
        </w:tc>
      </w:tr>
      <w:tr>
        <w:tc>
          <w:tcPr>
            <w:tcW w:type="dxa" w:w="2076"/>
          </w:tcPr>
          <w:p/>
        </w:tc>
        <w:tc>
          <w:tcPr>
            <w:tcW w:type="dxa" w:w="2076"/>
          </w:tcPr>
          <w:p>
            <w:pPr>
              <w:pStyle w:val="null3"/>
              <w:jc w:val="center"/>
            </w:pPr>
            <w:r>
              <w:rPr/>
              <w:t>4</w:t>
            </w:r>
          </w:p>
        </w:tc>
        <w:tc>
          <w:tcPr>
            <w:tcW w:type="dxa" w:w="2076"/>
          </w:tcPr>
          <w:p>
            <w:pPr>
              <w:pStyle w:val="null3"/>
              <w:jc w:val="left"/>
            </w:pPr>
            <w:r>
              <w:rPr/>
              <w:t>付款方式</w:t>
            </w:r>
          </w:p>
        </w:tc>
        <w:tc>
          <w:tcPr>
            <w:tcW w:type="dxa" w:w="2076"/>
          </w:tcPr>
          <w:p>
            <w:pPr>
              <w:pStyle w:val="null3"/>
              <w:jc w:val="left"/>
            </w:pPr>
            <w:r>
              <w:rPr/>
              <w:t>(1)成交供应商在签订施工合同并正式开工后预付30%工程款；完成项目全部施工工序后经甲方和监理确认达到质量要求后，经业主单位核验后再付清剩余70%工程款。 （2）成交供应商凭以下有效文件与采购人结算： a.合同； b.成交供应商开具的正式发票； c.验收报告（加盖采购人公章）； d.成交通知书。 （3）如采购人使用的是财政资金，采购人在上述规定的付款时间为向政府采购支付部门提出办理财政支付申请手续的时间（不含政府财政支付部门审核的时间），在规定时间内提出支付申请手续后即视为采购人已经按期支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造林服务</w:t>
            </w:r>
          </w:p>
        </w:tc>
        <w:tc>
          <w:tcPr>
            <w:tcW w:type="dxa" w:w="933"/>
          </w:tcPr>
          <w:p>
            <w:pPr>
              <w:pStyle w:val="null3"/>
              <w:jc w:val="left"/>
            </w:pPr>
            <w:r>
              <w:rPr/>
              <w:t>连平县2025年乡村人居环境整治提升重点区域绿化美化建设项目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5,685,675.20</w:t>
            </w:r>
          </w:p>
        </w:tc>
        <w:tc>
          <w:tcPr>
            <w:tcW w:type="dxa" w:w="933"/>
          </w:tcPr>
          <w:p>
            <w:pPr>
              <w:pStyle w:val="null3"/>
              <w:jc w:val="right"/>
            </w:pPr>
            <w:r>
              <w:rPr/>
              <w:t>5,685,675.20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连平县2025年乡村人居环境整治提升重点区域绿化美化建设项目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pPr>
            <w:r>
              <w:rPr>
                <w:sz w:val="24"/>
                <w:b/>
              </w:rPr>
              <w:t>1.林地（场地）清理</w:t>
            </w:r>
          </w:p>
          <w:p>
            <w:pPr>
              <w:pStyle w:val="null3"/>
              <w:ind w:firstLine="480"/>
            </w:pPr>
            <w:r>
              <w:rPr>
                <w:sz w:val="24"/>
              </w:rPr>
              <w:t>为减少水土流失和保护生物多样性，严禁炼山和全垦整地。</w:t>
            </w:r>
            <w:r>
              <w:rPr>
                <w:sz w:val="24"/>
              </w:rPr>
              <w:t>林地清理要加强对造林地原有乡土阔叶树种的保护保留，打穴的位置刚好有乔木和灌木时，应将穴位置前移或后移。林地清理宜尽早完成。</w:t>
            </w:r>
          </w:p>
          <w:p>
            <w:pPr>
              <w:pStyle w:val="null3"/>
              <w:ind w:firstLine="408"/>
            </w:pPr>
            <w:r>
              <w:rPr>
                <w:sz w:val="21"/>
              </w:rPr>
              <w:t>（</w:t>
            </w:r>
            <w:r>
              <w:rPr>
                <w:sz w:val="24"/>
              </w:rPr>
              <w:t>1）高速通道绿美提升</w:t>
            </w:r>
            <w:r>
              <w:rPr>
                <w:sz w:val="24"/>
              </w:rPr>
              <w:t>要求全面清理高速沿线防护网外（局部路段防护网内可绿化提升空间）及高速防护网内遮挡视线的所有杂草、灌木、藤本植物及现有无培育前途林木，各类伐桩高度不超过</w:t>
            </w:r>
            <w:r>
              <w:rPr>
                <w:sz w:val="24"/>
              </w:rPr>
              <w:t>10cm，并将伐除物清理出场地。</w:t>
            </w:r>
          </w:p>
          <w:p>
            <w:pPr>
              <w:pStyle w:val="null3"/>
              <w:ind w:firstLine="480"/>
            </w:pPr>
            <w:r>
              <w:rPr>
                <w:sz w:val="24"/>
              </w:rPr>
              <w:t>（</w:t>
            </w:r>
            <w:r>
              <w:rPr>
                <w:sz w:val="24"/>
              </w:rPr>
              <w:t>2）</w:t>
            </w:r>
            <w:r>
              <w:rPr>
                <w:sz w:val="24"/>
              </w:rPr>
              <w:t>火烧迹地更新造林要求将火烧迹地上影响整地挖穴和栽植的火烧残余物清理到种植行间堆沤。</w:t>
            </w:r>
          </w:p>
          <w:p>
            <w:pPr>
              <w:pStyle w:val="null3"/>
              <w:ind w:firstLine="480"/>
            </w:pPr>
            <w:r>
              <w:rPr>
                <w:sz w:val="24"/>
              </w:rPr>
              <w:t>（</w:t>
            </w:r>
            <w:r>
              <w:rPr>
                <w:sz w:val="24"/>
              </w:rPr>
              <w:t>3）</w:t>
            </w:r>
            <w:r>
              <w:rPr>
                <w:sz w:val="24"/>
              </w:rPr>
              <w:t>幼林抚育补植提升要求带状清理原种植行</w:t>
            </w:r>
            <w:r>
              <w:rPr>
                <w:sz w:val="24"/>
              </w:rPr>
              <w:t>1.5m范围内所有杂草、灌木和藤本，伐桩高度不超过10cm，清理的杂草灌木块状或长条状堆沤。</w:t>
            </w:r>
          </w:p>
          <w:p>
            <w:pPr>
              <w:pStyle w:val="null3"/>
              <w:ind w:firstLine="480"/>
            </w:pPr>
            <w:r>
              <w:rPr>
                <w:sz w:val="24"/>
              </w:rPr>
              <w:t>（</w:t>
            </w:r>
            <w:r>
              <w:rPr>
                <w:sz w:val="24"/>
              </w:rPr>
              <w:t>4）</w:t>
            </w:r>
            <w:r>
              <w:rPr>
                <w:sz w:val="24"/>
              </w:rPr>
              <w:t>补植套种提升要求块状清理可补植位置</w:t>
            </w:r>
            <w:r>
              <w:rPr>
                <w:sz w:val="24"/>
              </w:rPr>
              <w:t>1.5㎡内所有杂草、灌木和藤本，伐桩高度不超过10cm，清理的杂草灌木块状或长条状堆沤。</w:t>
            </w:r>
          </w:p>
          <w:p>
            <w:pPr>
              <w:pStyle w:val="null3"/>
              <w:ind w:firstLine="482"/>
            </w:pPr>
            <w:r>
              <w:rPr>
                <w:sz w:val="24"/>
                <w:b/>
              </w:rPr>
              <w:t>2.整地</w:t>
            </w:r>
            <w:r>
              <w:rPr>
                <w:sz w:val="24"/>
                <w:b/>
              </w:rPr>
              <w:t>挖穴</w:t>
            </w:r>
          </w:p>
          <w:p>
            <w:pPr>
              <w:pStyle w:val="null3"/>
              <w:ind w:firstLine="480"/>
            </w:pPr>
            <w:r>
              <w:rPr>
                <w:sz w:val="24"/>
              </w:rPr>
              <w:t>植穴大小要求能满足苗木生长，以提高苗木成活率，确保造林成效。为了不破坏原有生态环境和有利于水土保持，本项目采用明穴整地，挖穴时将表土置于植穴的两旁，将心土放于植穴的下坡处。整地挖穴宜早不宜迟，让穴土有一段风化、熟化时间，有利于改善土壤的理化状况、清除土壤中的病虫害、提高土壤肥效和保水能力。陡坡和易水土流失地段整地时要限制清林和减少整地作业面积。所有类型植穴规格均为</w:t>
            </w:r>
            <w:r>
              <w:rPr>
                <w:sz w:val="24"/>
              </w:rPr>
              <w:t>50cm×50cm×40cm。</w:t>
            </w:r>
          </w:p>
          <w:p>
            <w:pPr>
              <w:pStyle w:val="null3"/>
              <w:ind w:firstLine="480"/>
            </w:pPr>
            <w:r>
              <w:rPr>
                <w:sz w:val="24"/>
              </w:rPr>
              <w:t>（</w:t>
            </w:r>
            <w:r>
              <w:rPr>
                <w:sz w:val="24"/>
              </w:rPr>
              <w:t>1）高速通道绿美提升的种植穴原则上与高速平行布设</w:t>
            </w:r>
            <w:r>
              <w:rPr>
                <w:sz w:val="24"/>
              </w:rPr>
              <w:t>（引线两侧、出入口及服务区周边原有绿化带补植根据死、缺株情况确定）</w:t>
            </w:r>
            <w:r>
              <w:rPr>
                <w:sz w:val="24"/>
              </w:rPr>
              <w:t>，相邻两行植穴呈</w:t>
            </w:r>
            <w:r>
              <w:rPr>
                <w:sz w:val="24"/>
              </w:rPr>
              <w:t>“品”字形分布，部分地段可根据实际情况（如避开伐桩、石头等）局部位移，采取不规则式随机布设，不强调严格的横直成行，但要求保证单位面积密度和适当的株行距。</w:t>
            </w:r>
          </w:p>
          <w:p>
            <w:pPr>
              <w:pStyle w:val="null3"/>
              <w:ind w:firstLine="480"/>
            </w:pPr>
            <w:r>
              <w:rPr>
                <w:sz w:val="24"/>
              </w:rPr>
              <w:t>（</w:t>
            </w:r>
            <w:r>
              <w:rPr>
                <w:sz w:val="24"/>
              </w:rPr>
              <w:t>2）火烧迹地更新造林的种植穴原则上沿等高线水平布设，相邻两行植穴呈“品”字形分布，部分地段可根据实际情况（如避开伐桩、石头等）局部位移，采取不规则式随机布设，不强调严格的横直成行，但要求保证单位面积密度和适当的</w:t>
            </w:r>
            <w:r>
              <w:rPr>
                <w:sz w:val="24"/>
              </w:rPr>
              <w:t>株行距</w:t>
            </w:r>
            <w:r>
              <w:rPr>
                <w:sz w:val="24"/>
              </w:rPr>
              <w:t>。</w:t>
            </w:r>
          </w:p>
          <w:p>
            <w:pPr>
              <w:pStyle w:val="null3"/>
              <w:ind w:firstLine="480"/>
            </w:pPr>
            <w:r>
              <w:rPr>
                <w:sz w:val="24"/>
              </w:rPr>
              <w:t>（</w:t>
            </w:r>
            <w:r>
              <w:rPr>
                <w:sz w:val="24"/>
              </w:rPr>
              <w:t>3）</w:t>
            </w:r>
            <w:r>
              <w:rPr>
                <w:sz w:val="24"/>
              </w:rPr>
              <w:t>幼林抚育补植提升</w:t>
            </w:r>
            <w:r>
              <w:rPr>
                <w:sz w:val="24"/>
              </w:rPr>
              <w:t>的种植穴根据抚育提升幼林的死、缺株情况确定，不强调严格的横直成行</w:t>
            </w:r>
            <w:r>
              <w:rPr>
                <w:sz w:val="24"/>
              </w:rPr>
              <w:t>，但要求保证单位面积密度</w:t>
            </w:r>
            <w:r>
              <w:rPr>
                <w:sz w:val="24"/>
              </w:rPr>
              <w:t>。</w:t>
            </w:r>
          </w:p>
          <w:p>
            <w:pPr>
              <w:pStyle w:val="null3"/>
              <w:ind w:firstLine="480"/>
            </w:pPr>
            <w:r>
              <w:rPr>
                <w:sz w:val="24"/>
              </w:rPr>
              <w:t>（</w:t>
            </w:r>
            <w:r>
              <w:rPr>
                <w:sz w:val="24"/>
              </w:rPr>
              <w:t>4）</w:t>
            </w:r>
            <w:r>
              <w:rPr>
                <w:sz w:val="24"/>
              </w:rPr>
              <w:t>补植套种提升</w:t>
            </w:r>
            <w:r>
              <w:rPr>
                <w:sz w:val="24"/>
              </w:rPr>
              <w:t>的种植穴根据抚育提升幼林的死、缺株情况确定，不强调严格的横直成行，但要求保证单位面积密度。</w:t>
            </w:r>
          </w:p>
          <w:p>
            <w:pPr>
              <w:pStyle w:val="null3"/>
              <w:ind w:firstLine="482"/>
            </w:pPr>
            <w:r>
              <w:rPr>
                <w:sz w:val="24"/>
                <w:b/>
              </w:rPr>
              <w:t>3.种植密度</w:t>
            </w:r>
          </w:p>
          <w:p>
            <w:pPr>
              <w:pStyle w:val="null3"/>
              <w:ind w:firstLine="480"/>
            </w:pPr>
            <w:r>
              <w:rPr>
                <w:sz w:val="24"/>
              </w:rPr>
              <w:t>根据培育目标、立地条件、树种选择科学确定合理的造林密度。</w:t>
            </w:r>
          </w:p>
          <w:p>
            <w:pPr>
              <w:pStyle w:val="null3"/>
              <w:ind w:firstLine="480"/>
            </w:pPr>
            <w:r>
              <w:rPr>
                <w:sz w:val="24"/>
              </w:rPr>
              <w:t>（</w:t>
            </w:r>
            <w:r>
              <w:rPr>
                <w:sz w:val="24"/>
              </w:rPr>
              <w:t>1）为</w:t>
            </w:r>
            <w:r>
              <w:rPr>
                <w:sz w:val="24"/>
              </w:rPr>
              <w:t>尽快达到绿美提升效果</w:t>
            </w:r>
            <w:r>
              <w:rPr>
                <w:sz w:val="24"/>
              </w:rPr>
              <w:t>，高速通道绿美提升适当密植，种植密度视林地现状从</w:t>
            </w:r>
            <w:r>
              <w:rPr>
                <w:sz w:val="24"/>
              </w:rPr>
              <w:t>133株/亩到243株/亩不等（详见附表1.作业设计表），高速引线两侧、出入口及服务区周边原有绿化带补植根据死、缺株情况确定。</w:t>
            </w:r>
          </w:p>
          <w:p>
            <w:pPr>
              <w:pStyle w:val="null3"/>
              <w:ind w:firstLine="480"/>
            </w:pPr>
            <w:r>
              <w:rPr>
                <w:sz w:val="24"/>
              </w:rPr>
              <w:t>（</w:t>
            </w:r>
            <w:r>
              <w:rPr>
                <w:sz w:val="24"/>
              </w:rPr>
              <w:t>2）火烧迹地更新造林设计株行距3.0m×2.5m，种植密度89株/亩。</w:t>
            </w:r>
          </w:p>
          <w:p>
            <w:pPr>
              <w:pStyle w:val="null3"/>
              <w:ind w:firstLine="480"/>
            </w:pPr>
            <w:r>
              <w:rPr>
                <w:sz w:val="24"/>
              </w:rPr>
              <w:t>（</w:t>
            </w:r>
            <w:r>
              <w:rPr>
                <w:sz w:val="24"/>
              </w:rPr>
              <w:t>3）</w:t>
            </w:r>
            <w:r>
              <w:rPr>
                <w:sz w:val="24"/>
              </w:rPr>
              <w:t>幼林抚育补植提升设计</w:t>
            </w:r>
            <w:r>
              <w:rPr>
                <w:sz w:val="24"/>
              </w:rPr>
              <w:t>平均补植密度</w:t>
            </w:r>
            <w:r>
              <w:rPr>
                <w:sz w:val="24"/>
              </w:rPr>
              <w:t>15株/亩，</w:t>
            </w:r>
            <w:r>
              <w:rPr>
                <w:sz w:val="24"/>
              </w:rPr>
              <w:t>不严格强调株行距，</w:t>
            </w:r>
            <w:r>
              <w:rPr>
                <w:sz w:val="24"/>
              </w:rPr>
              <w:t>但要求保证单位面积密度</w:t>
            </w:r>
            <w:r>
              <w:rPr>
                <w:sz w:val="24"/>
              </w:rPr>
              <w:t>。</w:t>
            </w:r>
          </w:p>
          <w:p>
            <w:pPr>
              <w:pStyle w:val="null3"/>
              <w:ind w:firstLine="480"/>
            </w:pPr>
            <w:r>
              <w:rPr>
                <w:sz w:val="24"/>
              </w:rPr>
              <w:t>（</w:t>
            </w:r>
            <w:r>
              <w:rPr>
                <w:sz w:val="24"/>
              </w:rPr>
              <w:t>4）</w:t>
            </w:r>
            <w:r>
              <w:rPr>
                <w:sz w:val="24"/>
              </w:rPr>
              <w:t>补植套种提升</w:t>
            </w:r>
            <w:r>
              <w:rPr>
                <w:sz w:val="24"/>
              </w:rPr>
              <w:t>设计平均补植密度</w:t>
            </w:r>
            <w:r>
              <w:rPr>
                <w:sz w:val="24"/>
              </w:rPr>
              <w:t>46株/亩，</w:t>
            </w:r>
            <w:r>
              <w:rPr>
                <w:sz w:val="24"/>
              </w:rPr>
              <w:t>不严格强调株行距，</w:t>
            </w:r>
            <w:r>
              <w:rPr>
                <w:sz w:val="24"/>
              </w:rPr>
              <w:t>但要求保证单位面积密度</w:t>
            </w:r>
            <w:r>
              <w:rPr>
                <w:sz w:val="24"/>
              </w:rPr>
              <w:t>。</w:t>
            </w:r>
          </w:p>
          <w:p>
            <w:pPr>
              <w:pStyle w:val="null3"/>
              <w:ind w:firstLine="482"/>
            </w:pPr>
            <w:r>
              <w:rPr>
                <w:sz w:val="24"/>
                <w:b/>
              </w:rPr>
              <w:t>4.回土与基肥</w:t>
            </w:r>
          </w:p>
          <w:p>
            <w:pPr>
              <w:pStyle w:val="null3"/>
              <w:ind w:firstLine="480"/>
            </w:pPr>
            <w:r>
              <w:rPr>
                <w:sz w:val="24"/>
              </w:rPr>
              <w:t>穴土经过风化后，在春季造林前一个月即要回填穴土。回土时要打碎土块并清除石块、树根和草皮，回土时先从植穴上方及左右两边深锄表土回填，然后再回心土，当回土至</w:t>
            </w:r>
            <w:r>
              <w:rPr>
                <w:sz w:val="24"/>
              </w:rPr>
              <w:t>1/2穴至1/3穴时施放基肥，并与底土充分混匀，然后回土至满穴，等基肥发酵后再栽植，以防基肥发酵伤根，并充分发挥的基肥作用。本项目各类型均选用N、P、K总含量≥45%的复合肥，基肥量均为0.5kg/穴。施肥时应注意与穴土充分混匀后放入穴内，防止肥料受雨水冲刷流失，造成碳泄漏和水体污染。对肥料种类、施肥数量、次数等具体情况进行记录，并归档保存。</w:t>
            </w:r>
          </w:p>
          <w:p>
            <w:pPr>
              <w:pStyle w:val="null3"/>
              <w:ind w:firstLine="480"/>
            </w:pPr>
            <w:r>
              <w:rPr>
                <w:sz w:val="24"/>
              </w:rPr>
              <w:t>5. 树种选择与配比</w:t>
            </w:r>
          </w:p>
          <w:p>
            <w:pPr>
              <w:pStyle w:val="null3"/>
              <w:ind w:firstLine="480"/>
            </w:pPr>
            <w:r>
              <w:rPr>
                <w:sz w:val="24"/>
              </w:rPr>
              <w:t>树种选择是造林成败的关键。树种选择坚持因地制宜、适地适树的原则，并根据本项目特点及林地的立地条件、生态区位、经营目的等，结合连平县近年来的造林经验，因地制宜、适地适树地选择适合当地生长、具有较强抗旱性和耐贫瘠性、抗逆性强、生长速度较快、生态景观效益好、经济价值较高的乡土阔叶树种。</w:t>
            </w:r>
            <w:r>
              <w:rPr>
                <w:sz w:val="24"/>
              </w:rPr>
              <w:t>其中：</w:t>
            </w:r>
            <w:r>
              <w:rPr>
                <w:sz w:val="24"/>
              </w:rPr>
              <w:t>高速通道绿美提升</w:t>
            </w:r>
            <w:r>
              <w:rPr>
                <w:sz w:val="24"/>
              </w:rPr>
              <w:t>选择马占相思（大湖、三角、忠信、油溪、溪山、隆街</w:t>
            </w:r>
            <w:r>
              <w:rPr>
                <w:sz w:val="24"/>
              </w:rPr>
              <w:t>6镇）、黑木相思（上坪、元善2镇）为主要造林树种，高速引线两侧</w:t>
            </w:r>
            <w:r>
              <w:rPr>
                <w:sz w:val="24"/>
              </w:rPr>
              <w:t>、出入口及服务区周边视情况使用与原有绿化带相同的乔灌木树种进行补植</w:t>
            </w:r>
            <w:r>
              <w:rPr>
                <w:sz w:val="24"/>
              </w:rPr>
              <w:t>；</w:t>
            </w:r>
            <w:r>
              <w:rPr>
                <w:sz w:val="24"/>
              </w:rPr>
              <w:t>火烧迹地更新造林</w:t>
            </w:r>
            <w:r>
              <w:rPr>
                <w:sz w:val="24"/>
              </w:rPr>
              <w:t>选择木荷、枫香等乡土阔叶树种为造林树种，营造多树种混交林；</w:t>
            </w:r>
            <w:r>
              <w:rPr>
                <w:sz w:val="24"/>
              </w:rPr>
              <w:t>幼林抚育补植提升</w:t>
            </w:r>
            <w:r>
              <w:rPr>
                <w:sz w:val="24"/>
              </w:rPr>
              <w:t>选择黑木相思为补植树种</w:t>
            </w:r>
            <w:r>
              <w:rPr>
                <w:sz w:val="24"/>
              </w:rPr>
              <w:t>，</w:t>
            </w:r>
            <w:r>
              <w:rPr>
                <w:sz w:val="24"/>
              </w:rPr>
              <w:t>补植套种提升</w:t>
            </w:r>
            <w:r>
              <w:rPr>
                <w:sz w:val="24"/>
              </w:rPr>
              <w:t>选择马占相思为补植树种。</w:t>
            </w:r>
          </w:p>
          <w:p>
            <w:pPr>
              <w:pStyle w:val="null3"/>
              <w:numPr>
                <w:ilvl w:val="0"/>
                <w:numId w:val="1"/>
              </w:numPr>
            </w:pPr>
            <w:r>
              <w:rPr>
                <w:sz w:val="24"/>
              </w:rPr>
              <w:t>马占相思</w:t>
            </w:r>
          </w:p>
          <w:p>
            <w:pPr>
              <w:pStyle w:val="null3"/>
              <w:ind w:firstLine="480"/>
            </w:pPr>
            <w:r>
              <w:rPr>
                <w:sz w:val="24"/>
              </w:rPr>
              <w:t>含羞草科金合欢属常绿乔木；树高可达</w:t>
            </w:r>
            <w:r>
              <w:rPr>
                <w:sz w:val="24"/>
              </w:rPr>
              <w:t>30m，胸径可达50-60cm；树皮粗糙，通直主干，树形整齐，通常超过树高的一半；但在差的立地条件下容易形成小老头树，呈小乔木或大灌木状，高7-10m。原产于澳大利亚东北部、巴布亚新几内亚和印度尼西亚等湿润热带地区，在我国广东、海南均有分布。马占相思是强喜光树种，喜温暖多雨气候，不耐持续低温及重霜害，抗风力弱，不耐盐碱和干旱；宜在土层疏松，排水良好的地方栽植，适宜地域为海拔200m以下的温暖湿润地区。马占相思是世界上速生丰产的树种之一，树形忧美，是有优良的行道树和公路绿化树种。生长迅速，也是绿化荒山、营造水土保持、防风固沙和薪炭林的优良树种。木质坚硬，木材可作纸浆材、人造板、家具，树皮可提取烤胶，树叶可制作饲料，是用材、薪材、遮阳优良速生固氮树种。马占相思是《国家林业和草原局世行中心（速丰办）关于印发〈国家储备林树种目录〉（2019版）的通知》（林丰管字〔2020〕4号）推荐的华东南部和华南地区以中短周期用材为主的，推荐优先级为B级（指价值较高、栽培技术较成熟的树种）。</w:t>
            </w:r>
          </w:p>
          <w:p>
            <w:pPr>
              <w:pStyle w:val="null3"/>
              <w:ind w:firstLine="480"/>
            </w:pPr>
            <w:r>
              <w:rPr>
                <w:sz w:val="24"/>
              </w:rPr>
              <w:t>（</w:t>
            </w:r>
            <w:r>
              <w:rPr>
                <w:sz w:val="24"/>
              </w:rPr>
              <w:t>2）黑木相思</w:t>
            </w:r>
          </w:p>
          <w:p>
            <w:pPr>
              <w:pStyle w:val="null3"/>
              <w:ind w:firstLine="480"/>
            </w:pPr>
            <w:r>
              <w:rPr>
                <w:sz w:val="24"/>
              </w:rPr>
              <w:t>豆科金合欢属常绿乔木，相思类最高大乔木之一；树高可达</w:t>
            </w:r>
            <w:r>
              <w:rPr>
                <w:sz w:val="24"/>
              </w:rPr>
              <w:t>25m，胸径60cm；原产澳大利亚，我国人工引种和培育，目前在全省各地均有示范种植。黑木相思属强阳性树种，生长于低谷、丘陵、山坡甚至裸露山巅；抗逆性和适应性均较强，强喜光、耐干旱、耐瘠薄，能耐-6℃低温；生长迅速，中等立地条件和中上水平经营管理条件下，13～15年可主伐。黑木相思根系较浅，侧根发达，具有固氮根瘤，枯落物丰富，改土和涵养水源性能良好，在酸性且土层深度30cm以上的土壤中生长良好，并能长成大径材；对土壤要求不高，可种植于沙壤、灰壤、褐土、矿渣土、森林灰壤等土壤中，是荒山、“四旁”、园林、公路的优良绿化树种，也可作为桉树林改造的目标树种之一；因其对氟化氢、二氧化硫、氯气抗性强，可作污染区的绿化树种，还是良好的蜜源植物和绿肥资源；其木材材质好，心材木纹美丽，呈棕色至黑棕色，兼有红色条纹，是高档家具和优质贴面板用材，且木材的声学性能优异，常作为优质的小提琴等乐器背板。黑木相思是《国家林业和草原局世行中心（速丰办）关于印发〈国家储备林树种目录〉（2019版）的通知》（林丰管字〔2020〕4号）推荐的华南地区以长周期用材为主的乡土珍稀大径级树种（推荐优先级为B级），也是《广东省林业局关于印发〈广东省乡村绿化树种选择指引（试行）〉的通知》（粵林函〔2025〕20号）推荐的适宜于村旁片林、废弃闲置地等绿化的珍贵树种。</w:t>
            </w:r>
          </w:p>
          <w:p>
            <w:pPr>
              <w:pStyle w:val="null3"/>
              <w:ind w:firstLine="480"/>
            </w:pPr>
            <w:r>
              <w:rPr>
                <w:sz w:val="24"/>
              </w:rPr>
              <w:t>（</w:t>
            </w:r>
            <w:r>
              <w:rPr>
                <w:sz w:val="24"/>
              </w:rPr>
              <w:t>3）荷木</w:t>
            </w:r>
          </w:p>
          <w:p>
            <w:pPr>
              <w:pStyle w:val="null3"/>
              <w:ind w:firstLine="480"/>
            </w:pPr>
            <w:r>
              <w:rPr>
                <w:sz w:val="24"/>
              </w:rPr>
              <w:t>荷木又名木荷、荷树，山茶科木荷属常绿乔木，高可达</w:t>
            </w:r>
            <w:r>
              <w:rPr>
                <w:sz w:val="24"/>
              </w:rPr>
              <w:t>30m，胸径达1m。亚热带树种，好生于气候温暖湿润，土壤肥沃，排水良好之酸性土类，在碱性土质中生长不良。荷木中性偏阴树种，幼年耐荫，成年喜光。荷木适应性强，是广东重要的用材、防火树种，也是营造混交林的理想伴生树种。荷木是用来营造防火林带的理想树种选择。</w:t>
            </w:r>
          </w:p>
          <w:p>
            <w:pPr>
              <w:pStyle w:val="null3"/>
              <w:ind w:firstLine="480"/>
            </w:pPr>
            <w:r>
              <w:rPr>
                <w:sz w:val="24"/>
              </w:rPr>
              <w:t>（</w:t>
            </w:r>
            <w:r>
              <w:rPr>
                <w:sz w:val="24"/>
              </w:rPr>
              <w:t>4）枫香</w:t>
            </w:r>
          </w:p>
          <w:p>
            <w:pPr>
              <w:pStyle w:val="null3"/>
              <w:ind w:firstLine="480"/>
            </w:pPr>
            <w:r>
              <w:rPr>
                <w:sz w:val="24"/>
              </w:rPr>
              <w:t>金缕梅科枫香树属植物落叶乔木，高达</w:t>
            </w:r>
            <w:r>
              <w:rPr>
                <w:sz w:val="24"/>
              </w:rPr>
              <w:t>30m，胸径最大可达1m。喜温暖湿润气候，性喜阳，幼树稍耐阴，耐干旱瘠薄土壤，不耐水涝。多生于平地，村落附近，及低山的次生林。树脂供药用，能解毒止痛，止血生肌；根、叶及果实亦入药，有祛风除湿，通络活血功效。木材稍坚硬，可制家具及贵重商品的装箱。枫香树在环保方面也有很大的意义，它可以改善生长地的土地质量，保证水土不会过度流失，净化当地的空气质量，保障生态环境的稳定。而且枫香树具有很强的观赏性，在城市规划中也可以起到美化环境的作用。</w:t>
            </w:r>
          </w:p>
          <w:p>
            <w:pPr>
              <w:pStyle w:val="null3"/>
              <w:ind w:firstLine="482"/>
            </w:pPr>
            <w:r>
              <w:rPr>
                <w:sz w:val="24"/>
                <w:b/>
              </w:rPr>
              <w:t>6.苗木要求</w:t>
            </w:r>
          </w:p>
          <w:p>
            <w:pPr>
              <w:pStyle w:val="null3"/>
              <w:ind w:firstLine="480"/>
            </w:pPr>
            <w:r>
              <w:rPr>
                <w:sz w:val="24"/>
              </w:rPr>
              <w:t>（</w:t>
            </w:r>
            <w:r>
              <w:rPr>
                <w:sz w:val="24"/>
              </w:rPr>
              <w:t>1）</w:t>
            </w:r>
            <w:r>
              <w:rPr>
                <w:sz w:val="24"/>
              </w:rPr>
              <w:t>马占相思</w:t>
            </w:r>
            <w:r>
              <w:rPr>
                <w:sz w:val="24"/>
              </w:rPr>
              <w:t>选用</w:t>
            </w:r>
            <w:r>
              <w:rPr>
                <w:sz w:val="24"/>
              </w:rPr>
              <w:t>3年生以上、苗高180-300cm、地径1.8cm以上，顶芽饱满、生长健壮、无病虫害和机械损伤且主根不穿袋的全冠容器壮苗；高速引线两侧、出入口及服务区周边原有绿化带补植用苗尽可能使用相同树种和规格。</w:t>
            </w:r>
          </w:p>
          <w:p>
            <w:pPr>
              <w:pStyle w:val="null3"/>
              <w:ind w:firstLine="480"/>
            </w:pPr>
            <w:r>
              <w:rPr>
                <w:sz w:val="24"/>
              </w:rPr>
              <w:t>（</w:t>
            </w:r>
            <w:r>
              <w:rPr>
                <w:sz w:val="24"/>
              </w:rPr>
              <w:t>2）</w:t>
            </w:r>
            <w:r>
              <w:rPr>
                <w:sz w:val="24"/>
              </w:rPr>
              <w:t>黑木相思</w:t>
            </w:r>
            <w:r>
              <w:rPr>
                <w:sz w:val="24"/>
              </w:rPr>
              <w:t>选用</w:t>
            </w:r>
            <w:r>
              <w:rPr>
                <w:sz w:val="24"/>
              </w:rPr>
              <w:t>3年生以上、</w:t>
            </w:r>
            <w:r>
              <w:rPr>
                <w:sz w:val="24"/>
              </w:rPr>
              <w:t>苗高</w:t>
            </w:r>
            <w:r>
              <w:rPr>
                <w:sz w:val="24"/>
              </w:rPr>
              <w:t>150-200cm、地径1.5cm以上</w:t>
            </w:r>
            <w:r>
              <w:rPr>
                <w:sz w:val="24"/>
              </w:rPr>
              <w:t>，顶芽饱满、生长健壮、无病虫害和机械损伤且主根不穿袋的全冠容器壮苗。</w:t>
            </w:r>
          </w:p>
          <w:p>
            <w:pPr>
              <w:pStyle w:val="null3"/>
              <w:ind w:firstLine="480"/>
            </w:pPr>
            <w:r>
              <w:rPr>
                <w:sz w:val="24"/>
              </w:rPr>
              <w:t>（</w:t>
            </w:r>
            <w:r>
              <w:rPr>
                <w:sz w:val="24"/>
              </w:rPr>
              <w:t>3）木荷、枫香等选用1.5年生以上、苗高80cm以上、地径0.8cm以上</w:t>
            </w:r>
            <w:r>
              <w:rPr>
                <w:sz w:val="24"/>
              </w:rPr>
              <w:t>，顶芽饱满、生长健壮、无病虫害和机械损伤且主根不穿袋的全冠容器壮苗。</w:t>
            </w:r>
          </w:p>
          <w:p>
            <w:pPr>
              <w:pStyle w:val="null3"/>
              <w:ind w:firstLine="480"/>
            </w:pPr>
            <w:r>
              <w:rPr>
                <w:sz w:val="24"/>
              </w:rPr>
              <w:t>所用苗木必须具有</w:t>
            </w:r>
            <w:r>
              <w:rPr>
                <w:sz w:val="24"/>
              </w:rPr>
              <w:t>“两证一签一说明”（即林木种子生产经营许可证、植物检疫证、种苗标签和使用说明），严禁使用无证、来源不清、带病虫害的不合格的苗木，原则上要求采用保障性苗圃订单育苗、定向供种苗，确保苗木来源清晰、供应有保障。</w:t>
            </w:r>
          </w:p>
          <w:p>
            <w:pPr>
              <w:pStyle w:val="null3"/>
              <w:ind w:firstLine="482"/>
            </w:pPr>
            <w:r>
              <w:rPr>
                <w:sz w:val="24"/>
                <w:b/>
              </w:rPr>
              <w:t>7.混交方式</w:t>
            </w:r>
          </w:p>
          <w:p>
            <w:pPr>
              <w:pStyle w:val="null3"/>
              <w:ind w:firstLine="480"/>
            </w:pPr>
            <w:r>
              <w:rPr>
                <w:sz w:val="24"/>
              </w:rPr>
              <w:t>（</w:t>
            </w:r>
            <w:r>
              <w:rPr>
                <w:sz w:val="24"/>
              </w:rPr>
              <w:t>1）</w:t>
            </w:r>
            <w:r>
              <w:rPr>
                <w:sz w:val="24"/>
              </w:rPr>
              <w:t>高速通道绿美提升</w:t>
            </w:r>
            <w:r>
              <w:rPr>
                <w:sz w:val="24"/>
              </w:rPr>
              <w:t>绿化树种为</w:t>
            </w:r>
            <w:r>
              <w:rPr>
                <w:sz w:val="24"/>
              </w:rPr>
              <w:t>马占相思（大湖、三角、忠信、油溪、溪山、隆街</w:t>
            </w:r>
            <w:r>
              <w:rPr>
                <w:sz w:val="24"/>
              </w:rPr>
              <w:t>6镇）、黑木相思（上坪、元善2镇）</w:t>
            </w:r>
            <w:r>
              <w:rPr>
                <w:sz w:val="24"/>
              </w:rPr>
              <w:t>，不存在混交种植；高速引线两侧、出入口及服务区周边视情况使用与原有绿化带相同的乔灌木树种进行补植。</w:t>
            </w:r>
          </w:p>
          <w:p>
            <w:pPr>
              <w:pStyle w:val="null3"/>
              <w:ind w:firstLine="480"/>
            </w:pPr>
            <w:r>
              <w:rPr>
                <w:sz w:val="24"/>
              </w:rPr>
              <w:t>（</w:t>
            </w:r>
            <w:r>
              <w:rPr>
                <w:sz w:val="24"/>
              </w:rPr>
              <w:t>2）</w:t>
            </w:r>
            <w:r>
              <w:rPr>
                <w:sz w:val="24"/>
              </w:rPr>
              <w:t>火烧迹地更新造林绿化树种为</w:t>
            </w:r>
            <w:r>
              <w:rPr>
                <w:sz w:val="24"/>
              </w:rPr>
              <w:t>木荷、枫香</w:t>
            </w:r>
            <w:r>
              <w:rPr>
                <w:sz w:val="24"/>
              </w:rPr>
              <w:t>，</w:t>
            </w:r>
            <w:r>
              <w:rPr>
                <w:sz w:val="24"/>
              </w:rPr>
              <w:t>采用行间或株间混交方式等比例混交，原则上同一树种不得连续超过</w:t>
            </w:r>
            <w:r>
              <w:rPr>
                <w:sz w:val="24"/>
              </w:rPr>
              <w:t>3株。</w:t>
            </w:r>
          </w:p>
          <w:p>
            <w:pPr>
              <w:pStyle w:val="null3"/>
              <w:ind w:firstLine="480"/>
            </w:pPr>
            <w:r>
              <w:rPr>
                <w:sz w:val="24"/>
              </w:rPr>
              <w:t>（</w:t>
            </w:r>
            <w:r>
              <w:rPr>
                <w:sz w:val="24"/>
              </w:rPr>
              <w:t>3）幼林抚育补植提升结合幼林保存率见空补绿补植黑木相思。</w:t>
            </w:r>
          </w:p>
          <w:p>
            <w:pPr>
              <w:pStyle w:val="null3"/>
              <w:ind w:firstLine="480"/>
            </w:pPr>
            <w:r>
              <w:rPr>
                <w:sz w:val="24"/>
              </w:rPr>
              <w:t>（</w:t>
            </w:r>
            <w:r>
              <w:rPr>
                <w:sz w:val="24"/>
              </w:rPr>
              <w:t>4）</w:t>
            </w:r>
            <w:r>
              <w:rPr>
                <w:sz w:val="24"/>
              </w:rPr>
              <w:t>补植套种提升</w:t>
            </w:r>
            <w:r>
              <w:rPr>
                <w:sz w:val="24"/>
              </w:rPr>
              <w:t>结合幼林保存率见空补绿补植马占相思</w:t>
            </w:r>
            <w:r>
              <w:rPr>
                <w:sz w:val="24"/>
              </w:rPr>
              <w:t>。</w:t>
            </w:r>
          </w:p>
          <w:p>
            <w:pPr>
              <w:pStyle w:val="null3"/>
              <w:ind w:firstLine="482"/>
            </w:pPr>
            <w:r>
              <w:rPr>
                <w:sz w:val="24"/>
                <w:b/>
              </w:rPr>
              <w:t>8.栽植</w:t>
            </w:r>
          </w:p>
          <w:p>
            <w:pPr>
              <w:pStyle w:val="null3"/>
              <w:ind w:firstLine="480"/>
            </w:pPr>
            <w:r>
              <w:rPr>
                <w:sz w:val="24"/>
              </w:rPr>
              <w:t>栽植应在早春一、二场透雨后的阴雨天进行。苗木栽植前需将营养土浸水</w:t>
            </w:r>
            <w:r>
              <w:rPr>
                <w:sz w:val="24"/>
              </w:rPr>
              <w:t>1分钟左右。栽植时，先在植穴中央挖一个比苗木泥头稍大稍深的栽植孔，剥去苗木的包扎材料或营养袋后，带土轻放于栽植孔中，扶正苗木并在苗木四周回细土，轻提苗后用手把回填土压实，使苗木与原土紧密接触，继续回土至穴面，压实后再回松土成“馒头”状，以减少水分蒸发。做到苗要扶正、根系要舒展，适当深栽（栽植深度要求比原苗圃深3～5cm为宜），回土要细。苗木栽植要求当天起苗、当天栽植，确保造林质量。施工期间技术人员应到现场进行技术指导，加强质量检查，确保栽植质量。栽植15天左右全面检查成活情况，发现死株、缺株应及时补植，确保造林成活率达到95%以上。</w:t>
            </w:r>
          </w:p>
          <w:p>
            <w:pPr>
              <w:pStyle w:val="null3"/>
              <w:ind w:firstLine="482"/>
            </w:pPr>
            <w:r>
              <w:rPr>
                <w:sz w:val="24"/>
                <w:b/>
              </w:rPr>
              <w:t>9.抚育与追肥</w:t>
            </w:r>
          </w:p>
          <w:p>
            <w:pPr>
              <w:pStyle w:val="null3"/>
              <w:ind w:firstLine="480"/>
            </w:pPr>
            <w:r>
              <w:rPr>
                <w:sz w:val="24"/>
              </w:rPr>
              <w:t>抚育是促进苗木生长，提高造林成效和林木保存率的关键和重要措施，</w:t>
            </w:r>
            <w:r>
              <w:rPr>
                <w:sz w:val="24"/>
              </w:rPr>
              <w:t>本项目所有类型均</w:t>
            </w:r>
            <w:r>
              <w:rPr>
                <w:sz w:val="24"/>
              </w:rPr>
              <w:t>设计造林当年秋季抚育</w:t>
            </w:r>
            <w:r>
              <w:rPr>
                <w:sz w:val="24"/>
              </w:rPr>
              <w:t>1次，抚育工作主要内容均为割灌除草、松土扩穴、培土、追肥和补植。其中幼林抚育补植提升统一对幼林（包括现有和补植幼树）进行抚育。具体如下：</w:t>
            </w:r>
          </w:p>
          <w:p>
            <w:pPr>
              <w:pStyle w:val="null3"/>
              <w:ind w:firstLine="480"/>
            </w:pPr>
            <w:r>
              <w:rPr>
                <w:sz w:val="24"/>
              </w:rPr>
              <w:t>（</w:t>
            </w:r>
            <w:r>
              <w:rPr>
                <w:sz w:val="24"/>
              </w:rPr>
              <w:t>1）割灌除草</w:t>
            </w:r>
          </w:p>
          <w:p>
            <w:pPr>
              <w:pStyle w:val="null3"/>
              <w:ind w:firstLine="480"/>
            </w:pPr>
            <w:r>
              <w:rPr>
                <w:sz w:val="24"/>
              </w:rPr>
              <w:t>采用人工割灌除草的方式，高速通道绿美提升全面割除林地内所有杂灌杂草和藤本植物，</w:t>
            </w:r>
            <w:r>
              <w:rPr>
                <w:sz w:val="24"/>
              </w:rPr>
              <w:t>火烧迹地更新造林、</w:t>
            </w:r>
            <w:r>
              <w:rPr>
                <w:sz w:val="24"/>
              </w:rPr>
              <w:t>幼林抚育补植提升和</w:t>
            </w:r>
            <w:r>
              <w:rPr>
                <w:sz w:val="24"/>
              </w:rPr>
              <w:t>补植套种提升</w:t>
            </w:r>
            <w:r>
              <w:rPr>
                <w:sz w:val="24"/>
              </w:rPr>
              <w:t>块状或沿种植行带状割除林地内所有杂灌杂草和藤本植物。经割除后的杂草、杂灌头不高于</w:t>
            </w:r>
            <w:r>
              <w:rPr>
                <w:sz w:val="24"/>
              </w:rPr>
              <w:t>10cm，砍断的灌木、杂草等平铺于林间。割灌除草时应注重保护天然更新、有生长潜力的幼树幼苗。</w:t>
            </w:r>
          </w:p>
          <w:p>
            <w:pPr>
              <w:pStyle w:val="null3"/>
              <w:ind w:firstLine="480"/>
            </w:pPr>
            <w:r>
              <w:rPr>
                <w:sz w:val="24"/>
              </w:rPr>
              <w:t>（</w:t>
            </w:r>
            <w:r>
              <w:rPr>
                <w:sz w:val="24"/>
              </w:rPr>
              <w:t>2）松土扩穴</w:t>
            </w:r>
          </w:p>
          <w:p>
            <w:pPr>
              <w:pStyle w:val="null3"/>
              <w:ind w:firstLine="480"/>
            </w:pPr>
            <w:r>
              <w:rPr>
                <w:sz w:val="24"/>
              </w:rPr>
              <w:t>割灌除草后，以植株为中心松土扩穴半径不小于</w:t>
            </w:r>
            <w:r>
              <w:rPr>
                <w:sz w:val="24"/>
              </w:rPr>
              <w:t>0.5m；然后在离幼树30cm上坡处开一条长50cm、宽20cm、深20cm的施肥沟。</w:t>
            </w:r>
          </w:p>
          <w:p>
            <w:pPr>
              <w:pStyle w:val="null3"/>
              <w:ind w:firstLine="480"/>
            </w:pPr>
            <w:r>
              <w:rPr>
                <w:sz w:val="24"/>
              </w:rPr>
              <w:t>（</w:t>
            </w:r>
            <w:r>
              <w:rPr>
                <w:sz w:val="24"/>
              </w:rPr>
              <w:t>3）追肥</w:t>
            </w:r>
          </w:p>
          <w:p>
            <w:pPr>
              <w:pStyle w:val="null3"/>
              <w:ind w:firstLine="480"/>
            </w:pPr>
            <w:r>
              <w:rPr>
                <w:sz w:val="24"/>
              </w:rPr>
              <w:t>松土、扩穴后，将肥料追施于施肥沟内，然后用土覆盖，以防肥料流失，提高肥料使用效率，确保抚育效果；各类型追肥均选用</w:t>
            </w:r>
            <w:r>
              <w:rPr>
                <w:sz w:val="24"/>
              </w:rPr>
              <w:t>N、P、K总含量≥45%的复合肥，追肥量均为0.50kg/株。</w:t>
            </w:r>
          </w:p>
          <w:p>
            <w:pPr>
              <w:pStyle w:val="null3"/>
              <w:ind w:firstLine="480"/>
            </w:pPr>
            <w:r>
              <w:rPr>
                <w:sz w:val="24"/>
              </w:rPr>
              <w:t>（</w:t>
            </w:r>
            <w:r>
              <w:rPr>
                <w:sz w:val="24"/>
              </w:rPr>
              <w:t>4）培土</w:t>
            </w:r>
          </w:p>
          <w:p>
            <w:pPr>
              <w:pStyle w:val="null3"/>
              <w:ind w:firstLine="480"/>
            </w:pPr>
            <w:r>
              <w:rPr>
                <w:sz w:val="24"/>
              </w:rPr>
              <w:t>追肥后进行培土，将幼树周边土壤回覆形成半径</w:t>
            </w:r>
            <w:r>
              <w:rPr>
                <w:sz w:val="24"/>
              </w:rPr>
              <w:t>0.5m的圆形平台。</w:t>
            </w:r>
          </w:p>
          <w:p>
            <w:pPr>
              <w:pStyle w:val="null3"/>
              <w:ind w:firstLine="480"/>
            </w:pPr>
            <w:r>
              <w:rPr>
                <w:sz w:val="24"/>
              </w:rPr>
              <w:t>（</w:t>
            </w:r>
            <w:r>
              <w:rPr>
                <w:sz w:val="24"/>
              </w:rPr>
              <w:t>5）补植</w:t>
            </w:r>
          </w:p>
          <w:p>
            <w:pPr>
              <w:pStyle w:val="null3"/>
              <w:ind w:firstLine="480"/>
            </w:pPr>
            <w:r>
              <w:rPr>
                <w:sz w:val="24"/>
              </w:rPr>
              <w:t>抚育时发现缺株、死株，应及时进行补植，</w:t>
            </w:r>
            <w:r>
              <w:rPr>
                <w:sz w:val="24"/>
              </w:rPr>
              <w:t>确保种植当年抚育后成活率达</w:t>
            </w:r>
            <w:r>
              <w:rPr>
                <w:sz w:val="24"/>
              </w:rPr>
              <w:t>90%以上，林木长势良好</w:t>
            </w:r>
            <w:r>
              <w:rPr>
                <w:sz w:val="24"/>
              </w:rPr>
              <w:t>。</w:t>
            </w:r>
          </w:p>
          <w:p>
            <w:pPr>
              <w:pStyle w:val="null3"/>
              <w:ind w:firstLine="482"/>
            </w:pPr>
            <w:r>
              <w:rPr>
                <w:sz w:val="24"/>
                <w:b/>
              </w:rPr>
              <w:t>10.管护</w:t>
            </w:r>
          </w:p>
          <w:p>
            <w:pPr>
              <w:pStyle w:val="null3"/>
              <w:ind w:firstLine="480"/>
            </w:pPr>
            <w:r>
              <w:rPr>
                <w:sz w:val="24"/>
              </w:rPr>
              <w:t>（</w:t>
            </w:r>
            <w:r>
              <w:rPr>
                <w:sz w:val="24"/>
              </w:rPr>
              <w:t>1）建立森林保护责任制，将森林保护落实到人。指定专职护林员护林，防止乱砍滥伐和人畜破坏。</w:t>
            </w:r>
          </w:p>
          <w:p>
            <w:pPr>
              <w:pStyle w:val="null3"/>
              <w:ind w:firstLine="480"/>
            </w:pPr>
            <w:r>
              <w:rPr>
                <w:sz w:val="24"/>
              </w:rPr>
              <w:t>（</w:t>
            </w:r>
            <w:r>
              <w:rPr>
                <w:sz w:val="24"/>
              </w:rPr>
              <w:t>2）预防森林火灾，将森林防火纳入连平县森林资源保护与发展目标责任制中，统一步署，统一管护，统一检查，统一验收。</w:t>
            </w:r>
          </w:p>
          <w:p>
            <w:pPr>
              <w:pStyle w:val="null3"/>
              <w:ind w:firstLine="480"/>
            </w:pPr>
            <w:r>
              <w:rPr>
                <w:sz w:val="24"/>
              </w:rPr>
              <w:t>（</w:t>
            </w:r>
            <w:r>
              <w:rPr>
                <w:sz w:val="24"/>
              </w:rPr>
              <w:t>3）加强森林病虫害预测预报，按照“预防为主，综合防治”的综合管理方针，掌握病害虫发生发展规律，做好林木病情、虫情监测，采取正确的病虫害防治措施，做到及早、及时、有效防治，治点保面，控制病源木、虫源地，把病虫害的危害控制到最低限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1.采购代理机构：本项目是指河源市名企项目管理有限责任公司，负责整个采购活动的组织，依法负责编制和发布招标文件，对招标文件拥有最终的解释权，不以任何身份出任评标委员会成员。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连平县林业局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计划委员会颁发的〔2002〕1980号文《招标代理服务收费管理暂行办法》及〔2011〕534号文《国家发改委关于降低部分建设项目收费标准规范收费行为等有关问题的通知》的有关规定进行收取。 注：1.中标人应按本招标文件中的要求和规定的金额在领取中标通知书前一次性以银行转账或现金形式向采购代理机构交纳采购机构代理服务费。2.采购机构代理服务费银行缴纳账户：(收款人)河源市名企项目管理有限责任公司，(开户银行)中国建设银行股份有限公司河源市分行，(账号)44050174830100003519，用途：“备注项目编号”采购机构代理服务费。3.采购代理机构服务费不在投标报价中单列。4.项目类型：服务类。5.不足人民币5000元，则按人民币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河源市名企项目管理有限责任公司</w:t>
      </w:r>
      <w:r>
        <w:rPr/>
        <w:t>代收。具体操作要求详见</w:t>
      </w:r>
      <w:r>
        <w:rPr/>
        <w:t>河源市名企项目管理有限责任公司</w:t>
      </w:r>
      <w:r>
        <w:rPr/>
        <w:t>有关指引，递交事宜请自行咨询</w:t>
      </w:r>
      <w:r>
        <w:rPr/>
        <w:t>河源市名企项目管理有限责任公司</w:t>
      </w:r>
      <w:r>
        <w:rPr/>
        <w:t>；请各投标人在投标文件递交截止时间前按须知前附表规定的金额递交至</w:t>
      </w:r>
      <w:r>
        <w:rPr/>
        <w:t>河源市名企项目管理有限责任公司</w:t>
      </w:r>
      <w:r>
        <w:rPr/>
        <w:t>，到账情况以开标时</w:t>
      </w:r>
      <w:r>
        <w:rPr/>
        <w:t>河源市名企项目管理有限责任公司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袁先生</w:t>
      </w:r>
    </w:p>
    <w:p>
      <w:pPr>
        <w:pStyle w:val="null3"/>
        <w:ind w:firstLine="480"/>
      </w:pPr>
      <w:r>
        <w:rPr/>
        <w:t>电话：</w:t>
      </w:r>
      <w:r>
        <w:rPr/>
        <w:t>袁先生</w:t>
      </w:r>
    </w:p>
    <w:p>
      <w:pPr>
        <w:pStyle w:val="null3"/>
        <w:ind w:firstLine="480"/>
      </w:pPr>
      <w:r>
        <w:rPr/>
        <w:t>传真：</w:t>
      </w:r>
      <w:r>
        <w:rPr/>
        <w:t>/</w:t>
      </w:r>
    </w:p>
    <w:p>
      <w:pPr>
        <w:pStyle w:val="null3"/>
        <w:ind w:firstLine="480"/>
      </w:pPr>
      <w:r>
        <w:rPr/>
        <w:t>邮箱：</w:t>
      </w:r>
      <w:r>
        <w:rPr/>
        <w:t>hymq1818@126.com</w:t>
      </w:r>
    </w:p>
    <w:p>
      <w:pPr>
        <w:pStyle w:val="null3"/>
        <w:ind w:firstLine="480"/>
      </w:pPr>
      <w:r>
        <w:rPr/>
        <w:t>地址：</w:t>
      </w:r>
      <w:r>
        <w:rPr/>
        <w:t>河源市东源县扶贫工业区木京村生产生活用地A16、A17两卡联诚楼第二层</w:t>
      </w:r>
    </w:p>
    <w:p>
      <w:pPr>
        <w:pStyle w:val="null3"/>
        <w:ind w:firstLine="480"/>
      </w:pPr>
      <w:r>
        <w:rPr/>
        <w:t>邮编：</w:t>
      </w:r>
      <w:r>
        <w:rPr/>
        <w:t>517000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政府采购监督管理机构名称：连平县财政局政府采购监管股</w:t>
      </w:r>
    </w:p>
    <w:p>
      <w:pPr>
        <w:pStyle w:val="null3"/>
      </w:pPr>
      <w:r>
        <w:rPr/>
        <w:t>地 址：河源市连平县新城大道</w:t>
      </w:r>
    </w:p>
    <w:p>
      <w:pPr>
        <w:pStyle w:val="null3"/>
      </w:pPr>
      <w:r>
        <w:rPr/>
        <w:t>电 话：0762-4322035</w:t>
      </w:r>
    </w:p>
    <w:p>
      <w:pPr>
        <w:pStyle w:val="null3"/>
      </w:pPr>
      <w:r>
        <w:rPr/>
        <w:t>邮 编：517100</w:t>
      </w:r>
    </w:p>
    <w:p>
      <w:pPr>
        <w:pStyle w:val="null3"/>
      </w:pPr>
      <w:r>
        <w:rPr/>
        <w:t>传 真：0762-4322035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连平县2025年乡村人居环境整治提升重点区域绿化美化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河源市名企项目管理有限责任公司</w:t>
      </w:r>
      <w:r>
        <w:rPr/>
        <w:t>统一对外发布。</w:t>
      </w:r>
    </w:p>
    <w:p>
      <w:pPr>
        <w:pStyle w:val="null3"/>
        <w:ind w:firstLine="480"/>
      </w:pPr>
      <w:r>
        <w:rPr/>
        <w:t>（2）对</w:t>
      </w:r>
      <w:r>
        <w:rPr/>
        <w:t>河源市名企项目管理有限责任公司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采购包1（连平县2025年乡村人居环境整治提升重点区域绿化美化建设项目）：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采购包1（连平县2025年乡村人居环境整治提升重点区域绿化美化建设项目）：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提供参加政府采购活动前3年内，在经营活动中没有重大违法记录（提供承诺函）</w:t>
            </w:r>
          </w:p>
        </w:tc>
      </w:tr>
      <w:tr>
        <w:tc>
          <w:tcPr>
            <w:tcW w:type="dxa" w:w="890"/>
          </w:tcPr>
          <w:p>
            <w:pPr>
              <w:pStyle w:val="null3"/>
            </w:pPr>
            <w:r>
              <w:rPr/>
              <w:t>6</w:t>
            </w:r>
          </w:p>
        </w:tc>
        <w:tc>
          <w:tcPr>
            <w:tcW w:type="dxa" w:w="3178"/>
          </w:tcPr>
          <w:p>
            <w:pPr>
              <w:pStyle w:val="null3"/>
            </w:pPr>
            <w:r>
              <w:rPr/>
              <w:t>资质要求</w:t>
            </w:r>
          </w:p>
        </w:tc>
        <w:tc>
          <w:tcPr>
            <w:tcW w:type="dxa" w:w="4238"/>
          </w:tcPr>
          <w:p>
            <w:pPr>
              <w:pStyle w:val="null3"/>
            </w:pPr>
            <w:r>
              <w:rPr/>
              <w:t>投标人须具备有效期内的造林绿化施工丙级或以上资质</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供应商，不得再参加该采购项目的其他采购活动；单位负责人为同一人或者存在直接控股、管理关系的不同供应商，不得参加同一合同项下的政府采购活动（提供承诺函）。</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如相关失信记录已过期，供应商需提供最新相关证明资料加盖公章放入投标文件正本中。（以采购代理机构于投标（响应）截止时间当天在“信用中国”网站（www.creditchina.gov.cn）及中国政府采购（http://www.ccgp.gov.cn/）查询结果为准，如相关失信记录已失效，供应商需提供相关证明资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采购包1（连平县2025年乡村人居环境整治提升重点区域绿化美化建设项目）：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投标有效期是否符合采购文件的要求</w:t>
            </w:r>
          </w:p>
        </w:tc>
        <w:tc>
          <w:tcPr>
            <w:tcW w:type="dxa" w:w="4238"/>
          </w:tcPr>
          <w:p>
            <w:pPr>
              <w:pStyle w:val="null3"/>
            </w:pPr>
            <w:r>
              <w:rPr/>
              <w:t>投标有效期是否符合采购文件的要求</w:t>
            </w:r>
          </w:p>
        </w:tc>
      </w:tr>
      <w:tr>
        <w:tc>
          <w:tcPr>
            <w:tcW w:type="dxa" w:w="890"/>
          </w:tcPr>
          <w:p>
            <w:pPr>
              <w:pStyle w:val="null3"/>
            </w:pPr>
            <w:r>
              <w:rPr/>
              <w:t>2</w:t>
            </w:r>
          </w:p>
        </w:tc>
        <w:tc>
          <w:tcPr>
            <w:tcW w:type="dxa" w:w="3178"/>
          </w:tcPr>
          <w:p>
            <w:pPr>
              <w:pStyle w:val="null3"/>
            </w:pPr>
            <w:r>
              <w:rPr/>
              <w:t>投标文件符合招标文件的格式和签署要求</w:t>
            </w:r>
          </w:p>
        </w:tc>
        <w:tc>
          <w:tcPr>
            <w:tcW w:type="dxa" w:w="4238"/>
          </w:tcPr>
          <w:p>
            <w:pPr>
              <w:pStyle w:val="null3"/>
            </w:pPr>
            <w:r>
              <w:rPr/>
              <w:t>投标文件符合采购文件的格式和签署要求</w:t>
            </w:r>
          </w:p>
        </w:tc>
      </w:tr>
      <w:tr>
        <w:tc>
          <w:tcPr>
            <w:tcW w:type="dxa" w:w="890"/>
          </w:tcPr>
          <w:p>
            <w:pPr>
              <w:pStyle w:val="null3"/>
            </w:pPr>
            <w:r>
              <w:rPr/>
              <w:t>3</w:t>
            </w:r>
          </w:p>
        </w:tc>
        <w:tc>
          <w:tcPr>
            <w:tcW w:type="dxa" w:w="3178"/>
          </w:tcPr>
          <w:p>
            <w:pPr>
              <w:pStyle w:val="null3"/>
            </w:pPr>
            <w:r>
              <w:rPr/>
              <w:t>投标报价未超出本项目预算金额或最高限价范围</w:t>
            </w:r>
          </w:p>
        </w:tc>
        <w:tc>
          <w:tcPr>
            <w:tcW w:type="dxa" w:w="4238"/>
          </w:tcPr>
          <w:p>
            <w:pPr>
              <w:pStyle w:val="null3"/>
            </w:pPr>
            <w:r>
              <w:rPr/>
              <w:t>投标报价未超出本项目预算金额或最高限价范围</w:t>
            </w:r>
          </w:p>
        </w:tc>
      </w:tr>
      <w:tr>
        <w:tc>
          <w:tcPr>
            <w:tcW w:type="dxa" w:w="890"/>
          </w:tcPr>
          <w:p>
            <w:pPr>
              <w:pStyle w:val="null3"/>
            </w:pPr>
            <w:r>
              <w:rPr/>
              <w:t>4</w:t>
            </w:r>
          </w:p>
        </w:tc>
        <w:tc>
          <w:tcPr>
            <w:tcW w:type="dxa" w:w="3178"/>
          </w:tcPr>
          <w:p>
            <w:pPr>
              <w:pStyle w:val="null3"/>
            </w:pPr>
            <w:r>
              <w:rPr/>
              <w:t>投标文件未出现法律、法规和采购文件中规定的其他无效投标的情形</w:t>
            </w:r>
          </w:p>
        </w:tc>
        <w:tc>
          <w:tcPr>
            <w:tcW w:type="dxa" w:w="4238"/>
          </w:tcPr>
          <w:p>
            <w:pPr>
              <w:pStyle w:val="null3"/>
            </w:pPr>
            <w:r>
              <w:rPr/>
              <w:t>投标文件未出现法律、法规和采购文件中规定的其他无效投标的情形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采购包1(连平县2025年乡村人居环境整治提升重点区域绿化美化建设项目):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(6.0分)</w:t>
            </w:r>
          </w:p>
        </w:tc>
        <w:tc>
          <w:tcPr>
            <w:tcW w:type="dxa" w:w="5076"/>
          </w:tcPr>
          <w:p>
            <w:pPr>
              <w:pStyle w:val="null3"/>
              <w:jc w:val="left"/>
            </w:pPr>
            <w:r>
              <w:rPr/>
              <w:t>根据投标人提供的项目实施方案包含①林地（场地）清理；②整地挖穴；③回土与基肥；④苗木；⑤栽植；⑥抚育与追肥等内容，以上每项得1.0分，最高得6.0分。</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提供的以上项目实施方案总体思路、措施是否完整、全面、实用，可操作性等进行评审：①.实施方案全面完整，作业安排高效可行，可操作性非常强：得9.0分；②.实施方案完整，作业安排可行，可操作性强：得7.0分；③.实施方案基本完整，作业安排可行，可操作性较强：得5.0分；④.实施方案粗略，作业安排差，可操作性差：得3.0分；⑤.未提供相关方案不得分。</w:t>
            </w:r>
          </w:p>
        </w:tc>
      </w:tr>
      <w:tr>
        <w:tc>
          <w:tcPr>
            <w:tcW w:type="dxa" w:w="922"/>
            <w:gridSpan w:val="2"/>
            <w:vMerge/>
          </w:tcPr>
          <w:p/>
        </w:tc>
        <w:tc>
          <w:tcPr>
            <w:tcW w:type="dxa" w:w="2307"/>
          </w:tcPr>
          <w:p>
            <w:pPr>
              <w:pStyle w:val="null3"/>
              <w:jc w:val="left"/>
            </w:pPr>
            <w:r>
              <w:rPr/>
              <w:t>质量保障措施 (3.0分)</w:t>
            </w:r>
          </w:p>
        </w:tc>
        <w:tc>
          <w:tcPr>
            <w:tcW w:type="dxa" w:w="5076"/>
          </w:tcPr>
          <w:p>
            <w:pPr>
              <w:pStyle w:val="null3"/>
              <w:jc w:val="left"/>
            </w:pPr>
            <w:r>
              <w:rPr/>
              <w:t>根据投标人提供的质量保障措施包含：①质量管理制度；②工序流程方案；③质量承诺及保障措施等内容，以上每项得1.0分，最高得3.0分。</w:t>
            </w:r>
          </w:p>
        </w:tc>
      </w:tr>
      <w:tr>
        <w:tc>
          <w:tcPr>
            <w:tcW w:type="dxa" w:w="922"/>
            <w:gridSpan w:val="2"/>
            <w:vMerge/>
          </w:tcPr>
          <w:p/>
        </w:tc>
        <w:tc>
          <w:tcPr>
            <w:tcW w:type="dxa" w:w="2307"/>
          </w:tcPr>
          <w:p>
            <w:pPr>
              <w:pStyle w:val="null3"/>
              <w:jc w:val="left"/>
            </w:pPr>
            <w:r>
              <w:rPr/>
              <w:t>质量保障措施 (9.0分)</w:t>
            </w:r>
          </w:p>
        </w:tc>
        <w:tc>
          <w:tcPr>
            <w:tcW w:type="dxa" w:w="5076"/>
          </w:tcPr>
          <w:p>
            <w:pPr>
              <w:pStyle w:val="null3"/>
              <w:jc w:val="left"/>
            </w:pPr>
            <w:r>
              <w:rPr/>
              <w:t>根据投标人针对本项目提供的以上质量保障措施进行评审：①.提供的质量保障措施非常详细有力，对项目关键技术、工艺有非常深入的表述的，得9.0分；②.提供的质量保障措施详细有力，对项目关键技术、工艺有比较深入的：得7.0分；③.提供的质量保障措施一般详细，对项目关键技术、工艺有基本的表述的，得5.0分； 4.提供的质量保障措施粗略，对项目关键技术、工艺表述粗略的，得3.0分；⑤.未提供相关方案不得分。</w:t>
            </w:r>
          </w:p>
        </w:tc>
      </w:tr>
      <w:tr>
        <w:tc>
          <w:tcPr>
            <w:tcW w:type="dxa" w:w="922"/>
            <w:gridSpan w:val="2"/>
            <w:vMerge/>
          </w:tcPr>
          <w:p/>
        </w:tc>
        <w:tc>
          <w:tcPr>
            <w:tcW w:type="dxa" w:w="2307"/>
          </w:tcPr>
          <w:p>
            <w:pPr>
              <w:pStyle w:val="null3"/>
              <w:jc w:val="left"/>
            </w:pPr>
            <w:r>
              <w:rPr/>
              <w:t>安全文明施工保障措施 (4.0分)</w:t>
            </w:r>
          </w:p>
        </w:tc>
        <w:tc>
          <w:tcPr>
            <w:tcW w:type="dxa" w:w="5076"/>
          </w:tcPr>
          <w:p>
            <w:pPr>
              <w:pStyle w:val="null3"/>
              <w:jc w:val="left"/>
            </w:pPr>
            <w:r>
              <w:rPr/>
              <w:t>根据投标人提供的安全文明施工措施方案包含：①人员安全；②安全隐患点排查；③安全生产施工措施；④文明施工措施等内容；以上每项得1.0分，最高得4.0分。</w:t>
            </w:r>
          </w:p>
        </w:tc>
      </w:tr>
      <w:tr>
        <w:tc>
          <w:tcPr>
            <w:tcW w:type="dxa" w:w="922"/>
            <w:gridSpan w:val="2"/>
            <w:vMerge/>
          </w:tcPr>
          <w:p/>
        </w:tc>
        <w:tc>
          <w:tcPr>
            <w:tcW w:type="dxa" w:w="2307"/>
          </w:tcPr>
          <w:p>
            <w:pPr>
              <w:pStyle w:val="null3"/>
              <w:jc w:val="left"/>
            </w:pPr>
            <w:r>
              <w:rPr/>
              <w:t>安全文明施工保障措施 (9.0分)</w:t>
            </w:r>
          </w:p>
        </w:tc>
        <w:tc>
          <w:tcPr>
            <w:tcW w:type="dxa" w:w="5076"/>
          </w:tcPr>
          <w:p>
            <w:pPr>
              <w:pStyle w:val="null3"/>
              <w:jc w:val="left"/>
            </w:pPr>
            <w:r>
              <w:rPr/>
              <w:t>根据投标人针对本项目提供以上安全文明施工保障措施方案等进行评审：①.措施方案全面完整，安排合理，可操作性非常强的，得9.0分；②.措施方案完整，安排合理，可操作性强的，得7.0分；③.措施方案基本完整，合理性一般，可操作性较强的，得5.0分；④.措施方案粗略，合理性差，可操作性差的，得3.0分；⑤.未提供相关方案不得分。</w:t>
            </w:r>
          </w:p>
        </w:tc>
      </w:tr>
      <w:tr>
        <w:tc>
          <w:tcPr>
            <w:tcW w:type="dxa" w:w="922"/>
            <w:gridSpan w:val="2"/>
            <w:vMerge/>
          </w:tcPr>
          <w:p/>
        </w:tc>
        <w:tc>
          <w:tcPr>
            <w:tcW w:type="dxa" w:w="2307"/>
          </w:tcPr>
          <w:p>
            <w:pPr>
              <w:pStyle w:val="null3"/>
              <w:jc w:val="left"/>
            </w:pPr>
            <w:r>
              <w:rPr/>
              <w:t>应急措施方案 (2.0分)</w:t>
            </w:r>
          </w:p>
        </w:tc>
        <w:tc>
          <w:tcPr>
            <w:tcW w:type="dxa" w:w="5076"/>
          </w:tcPr>
          <w:p>
            <w:pPr>
              <w:pStyle w:val="null3"/>
              <w:jc w:val="left"/>
            </w:pPr>
            <w:r>
              <w:rPr/>
              <w:t>根据投标人提供的应急措施方案包含：①安全生产管理（事故处理）方案；②应急措施等内容，以上每项得1.0分，最高得2.0分。</w:t>
            </w:r>
          </w:p>
        </w:tc>
      </w:tr>
      <w:tr>
        <w:tc>
          <w:tcPr>
            <w:tcW w:type="dxa" w:w="922"/>
            <w:gridSpan w:val="2"/>
            <w:vMerge/>
          </w:tcPr>
          <w:p/>
        </w:tc>
        <w:tc>
          <w:tcPr>
            <w:tcW w:type="dxa" w:w="2307"/>
          </w:tcPr>
          <w:p>
            <w:pPr>
              <w:pStyle w:val="null3"/>
              <w:jc w:val="left"/>
            </w:pPr>
            <w:r>
              <w:rPr/>
              <w:t>应急措施方案 (8.0分)</w:t>
            </w:r>
          </w:p>
        </w:tc>
        <w:tc>
          <w:tcPr>
            <w:tcW w:type="dxa" w:w="5076"/>
          </w:tcPr>
          <w:p>
            <w:pPr>
              <w:pStyle w:val="null3"/>
              <w:jc w:val="left"/>
            </w:pPr>
            <w:r>
              <w:rPr/>
              <w:t>根据投标人针对本项目提供以上应急措施方案等进行评审：①.措施方案全面完整，安排合理，可操作性非常强的，得8.0分；②.措施方案完整，安排合理，可操作性强的，得6.0分；③.措施方案基本完整，合理性一般，可操作性较强的，得4.0分；④.措施方案粗略，合理性差，可操作性差的，得2.0分；⑤.未提供相关方案不得分。</w:t>
            </w:r>
          </w:p>
        </w:tc>
      </w:tr>
      <w:tr>
        <w:tc>
          <w:tcPr>
            <w:tcW w:type="dxa" w:w="922"/>
            <w:gridSpan w:val="2"/>
            <w:vMerge/>
          </w:tcPr>
          <w:p/>
        </w:tc>
        <w:tc>
          <w:tcPr>
            <w:tcW w:type="dxa" w:w="2307"/>
          </w:tcPr>
          <w:p>
            <w:pPr>
              <w:pStyle w:val="null3"/>
              <w:jc w:val="left"/>
            </w:pPr>
            <w:r>
              <w:rPr/>
              <w:t>工期保障措施方案 (2.0分)</w:t>
            </w:r>
          </w:p>
        </w:tc>
        <w:tc>
          <w:tcPr>
            <w:tcW w:type="dxa" w:w="5076"/>
          </w:tcPr>
          <w:p>
            <w:pPr>
              <w:pStyle w:val="null3"/>
              <w:jc w:val="left"/>
            </w:pPr>
            <w:r>
              <w:rPr/>
              <w:t>根据投标人提供的工期保障措施方案包含：①工期安排表；②工期承诺及保障措施等内容，以上每项得1.0分，最高得2.0分。</w:t>
            </w:r>
          </w:p>
        </w:tc>
      </w:tr>
      <w:tr>
        <w:tc>
          <w:tcPr>
            <w:tcW w:type="dxa" w:w="922"/>
            <w:gridSpan w:val="2"/>
            <w:vMerge/>
          </w:tcPr>
          <w:p/>
        </w:tc>
        <w:tc>
          <w:tcPr>
            <w:tcW w:type="dxa" w:w="2307"/>
          </w:tcPr>
          <w:p>
            <w:pPr>
              <w:pStyle w:val="null3"/>
              <w:jc w:val="left"/>
            </w:pPr>
            <w:r>
              <w:rPr/>
              <w:t>工期保障措施方案 (8.0分)</w:t>
            </w:r>
          </w:p>
        </w:tc>
        <w:tc>
          <w:tcPr>
            <w:tcW w:type="dxa" w:w="5076"/>
          </w:tcPr>
          <w:p>
            <w:pPr>
              <w:pStyle w:val="null3"/>
              <w:jc w:val="left"/>
            </w:pPr>
            <w:r>
              <w:rPr/>
              <w:t>根据投标人针对本项目提供的以上工期保障措施方案进行评审：①.措施方案全面完整，进度安排合理高效，可操作性非常强的，得8.0分；②.措施方案完整，进度安排合理，可操作性强的，得6.0分；③.措施方案基本完整，进度安排一般，可操作性较强的，得4.0分； ④.措施方案粗略，进度安排差，可操作性差的，得2.0分；⑤.未提供相关方案不得分。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技术团队 (12.0分)</w:t>
            </w:r>
          </w:p>
        </w:tc>
        <w:tc>
          <w:tcPr>
            <w:tcW w:type="dxa" w:w="5076"/>
          </w:tcPr>
          <w:p>
            <w:pPr>
              <w:pStyle w:val="null3"/>
              <w:jc w:val="left"/>
            </w:pPr>
            <w:r>
              <w:rPr/>
              <w:t>1、拟派项目负责人具有林业专业职称进行评审：中级或以上的得4分，初级职称得2分，没有不得分； 2、拟派技术团队中（项目负责人除外）每提供一名具有林业专业中级（含中级）以上职称证书的得3分，初级得1分，最高得8分； 注：本项满分12分，以上人员一人一岗，一人多证只计算一次得分；须提供以上人员证书及投标截止前6个月内任意一个月的社保在投标人单位购买社保证明（退休人员无须提供社保证明，须提供劳动合同和退休证明且年龄不得超过65周岁）复印件（扫描件）加盖投标人公章；未提供或提供的材料无法判断的不得分。</w:t>
            </w:r>
          </w:p>
        </w:tc>
      </w:tr>
      <w:tr>
        <w:tc>
          <w:tcPr>
            <w:tcW w:type="dxa" w:w="922"/>
            <w:gridSpan w:val="2"/>
            <w:vMerge/>
          </w:tcPr>
          <w:p/>
        </w:tc>
        <w:tc>
          <w:tcPr>
            <w:tcW w:type="dxa" w:w="2307"/>
          </w:tcPr>
          <w:p>
            <w:pPr>
              <w:pStyle w:val="null3"/>
              <w:jc w:val="left"/>
            </w:pPr>
            <w:r>
              <w:rPr/>
              <w:t>类似业绩 (10.0分)</w:t>
            </w:r>
          </w:p>
        </w:tc>
        <w:tc>
          <w:tcPr>
            <w:tcW w:type="dxa" w:w="5076"/>
          </w:tcPr>
          <w:p>
            <w:pPr>
              <w:pStyle w:val="null3"/>
              <w:jc w:val="left"/>
            </w:pPr>
            <w:r>
              <w:rPr/>
              <w:t>根据投标人自2022年01月01日（以合同签订时间为准）以来承接过的同类项目业绩，每提供1份得2分，本项最高得10分。 注：同时提供中标通知书和合同关键页复印件，未提供或提供的材料无法判断的不得分。</w:t>
            </w:r>
          </w:p>
        </w:tc>
      </w:tr>
      <w:tr>
        <w:tc>
          <w:tcPr>
            <w:tcW w:type="dxa" w:w="922"/>
            <w:gridSpan w:val="2"/>
            <w:vMerge/>
          </w:tcPr>
          <w:p/>
        </w:tc>
        <w:tc>
          <w:tcPr>
            <w:tcW w:type="dxa" w:w="2307"/>
          </w:tcPr>
          <w:p>
            <w:pPr>
              <w:pStyle w:val="null3"/>
              <w:jc w:val="left"/>
            </w:pPr>
            <w:r>
              <w:rPr/>
              <w:t>安全保险保障情况 (8.0分)</w:t>
            </w:r>
          </w:p>
        </w:tc>
        <w:tc>
          <w:tcPr>
            <w:tcW w:type="dxa" w:w="5076"/>
          </w:tcPr>
          <w:p>
            <w:pPr>
              <w:pStyle w:val="null3"/>
              <w:jc w:val="left"/>
            </w:pPr>
            <w:r>
              <w:rPr/>
              <w:t>根据投标供应商自2022年1月1日（以合同签订时间为准）以来实施的项目安全保险保障情况进行评审：为项目实施的实施人员购买团体保险的，每提供1份保单得2分，本项最高8分。 注：提供采购公告发布当月前（不含发布当月）投标供应商购买的团体意外保险单、发票复印件，无或未提供不得分。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441623-2026-00404</w:t>
      </w:r>
    </w:p>
    <w:p>
      <w:pPr>
        <w:pStyle w:val="null3"/>
        <w:jc w:val="center"/>
        <w:outlineLvl w:val="3"/>
      </w:pPr>
      <w:r>
        <w:rPr>
          <w:sz w:val="24"/>
          <w:b/>
        </w:rPr>
        <w:t>采购项目编号：</w:t>
      </w:r>
      <w:r>
        <w:rPr>
          <w:sz w:val="24"/>
          <w:b/>
        </w:rPr>
        <w:t>HYMQ2026011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河源市名企项目管理有限责任公司</w:t>
      </w:r>
    </w:p>
    <w:p>
      <w:pPr>
        <w:pStyle w:val="null3"/>
        <w:ind w:firstLine="480"/>
      </w:pPr>
      <w:r>
        <w:rPr/>
        <w:t xml:space="preserve"> 你方组织的</w:t>
      </w:r>
      <w:r>
        <w:rPr>
          <w:u w:val="single"/>
        </w:rPr>
        <w:t>“</w:t>
      </w:r>
      <w:r>
        <w:rPr>
          <w:u w:val="single"/>
        </w:rPr>
        <w:t>连平县2025年乡村人居环境整治提升重点区域绿化美化建设项目</w:t>
      </w:r>
      <w:r>
        <w:rPr>
          <w:u w:val="single"/>
        </w:rPr>
        <w:t>”</w:t>
      </w:r>
      <w:r>
        <w:rPr/>
        <w:t>项目的招标[采购项目编号为：</w:t>
      </w:r>
      <w:r>
        <w:rPr>
          <w:u w:val="single"/>
        </w:rPr>
        <w:t>HYMQ2026011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连平县2025年乡村人居环境整治提升重点区域绿化美化建设项目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河源市名企项目管理有限责任公司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连平县2025年乡村人居环境整治提升重点区域绿化美化建设项目</w:t>
      </w:r>
      <w:r>
        <w:rPr/>
        <w:t>”项目采购[采购项目编号为</w:t>
      </w:r>
      <w:r>
        <w:rPr/>
        <w:t>HYMQ2026011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连平县林业局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河源市名企项目管理有限责任公司</w:t>
      </w:r>
    </w:p>
    <w:p>
      <w:pPr>
        <w:pStyle w:val="null3"/>
        <w:ind w:firstLine="480"/>
      </w:pPr>
      <w:r>
        <w:rPr/>
        <w:t xml:space="preserve"> 如果我方在贵采购代理机构组织的</w:t>
      </w:r>
      <w:r>
        <w:rPr/>
        <w:t>连平县2025年乡村人居环境整治提升重点区域绿化美化建设项目</w:t>
      </w:r>
      <w:r>
        <w:rPr/>
        <w:t>招标中获中标（采购项目编号：</w:t>
      </w:r>
      <w:r>
        <w:rPr/>
        <w:t>HYMQ2026011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河源市名企项目管理有限责任公司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河源市名企项目管理有限责任公司</w:t>
      </w:r>
    </w:p>
    <w:p>
      <w:pPr>
        <w:pStyle w:val="null3"/>
        <w:ind w:firstLine="480"/>
      </w:pPr>
      <w:r>
        <w:rPr/>
        <w:t>我单位已登记并准备参与“</w:t>
      </w:r>
      <w:r>
        <w:rPr/>
        <w:t>连平县2025年乡村人居环境整治提升重点区域绿化美化建设项目</w:t>
      </w:r>
      <w:r>
        <w:rPr/>
        <w:t>”项目（采购项目编号：</w:t>
      </w:r>
      <w:r>
        <w:rPr/>
        <w:t>HYMQ2026011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