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00" w:lineRule="atLeast"/>
        <w:rPr>
          <w:b/>
          <w:color w:val="000000"/>
          <w:sz w:val="22"/>
          <w:szCs w:val="21"/>
        </w:rPr>
      </w:pPr>
      <w:r>
        <w:rPr>
          <w:b/>
          <w:color w:val="000000"/>
          <w:sz w:val="22"/>
          <w:szCs w:val="21"/>
        </w:rPr>
        <w:t>1.工程量清单说明</w:t>
      </w:r>
    </w:p>
    <w:p>
      <w:pPr>
        <w:adjustRightInd w:val="0"/>
        <w:snapToGrid w:val="0"/>
        <w:spacing w:line="500" w:lineRule="atLeast"/>
        <w:ind w:firstLine="440" w:firstLineChars="200"/>
        <w:rPr>
          <w:color w:val="000000"/>
          <w:sz w:val="22"/>
          <w:szCs w:val="21"/>
        </w:rPr>
      </w:pPr>
      <w:r>
        <w:rPr>
          <w:color w:val="000000"/>
          <w:sz w:val="22"/>
          <w:szCs w:val="21"/>
        </w:rPr>
        <w:t>1.1本工程量清单是根据招标文件中包括的、有合同约束力的图纸以及有关工程量清章的国家标准、行业标准、合同条款中约定的工程量计算规则编制。约定计量规则中没有的子目，其工程量按照有合同约束力的图纸所标示尺寸的理论净量计算。计量采用中华人民共和国法定计量单位。</w:t>
      </w:r>
    </w:p>
    <w:p>
      <w:pPr>
        <w:adjustRightInd w:val="0"/>
        <w:snapToGrid w:val="0"/>
        <w:spacing w:line="500" w:lineRule="atLeast"/>
        <w:ind w:firstLine="440" w:firstLineChars="200"/>
        <w:rPr>
          <w:color w:val="000000"/>
          <w:sz w:val="22"/>
          <w:szCs w:val="21"/>
        </w:rPr>
      </w:pPr>
      <w:r>
        <w:rPr>
          <w:color w:val="000000"/>
          <w:sz w:val="22"/>
          <w:szCs w:val="21"/>
        </w:rPr>
        <w:t>1.2本工程量清单应与招标文件中的投标人须知、通用合同条款、专用合同条款、技术规范及图纸等一起阅读和理解。</w:t>
      </w:r>
    </w:p>
    <w:p>
      <w:pPr>
        <w:adjustRightInd w:val="0"/>
        <w:snapToGrid w:val="0"/>
        <w:spacing w:line="500" w:lineRule="atLeast"/>
        <w:ind w:firstLine="440" w:firstLineChars="200"/>
        <w:rPr>
          <w:color w:val="000000"/>
          <w:sz w:val="22"/>
          <w:szCs w:val="21"/>
        </w:rPr>
      </w:pPr>
      <w:r>
        <w:rPr>
          <w:color w:val="000000"/>
          <w:sz w:val="22"/>
          <w:szCs w:val="21"/>
        </w:rPr>
        <w:t>1.3本工程量清单中所列工程数量（除土、石方开挖及土石比例，路基填筑土石方、预（土）压土石方的总数量执行第七章技术规范专用条款的规定外）是估算的或设计的预计数量，仅作为投标报价的共同基础，不能作为最终结算与支付的依据。实际支付应按实际完成的工程量，由承包人按技术规范规定的计量方法，以监理人认可的尺寸、断面计量，按本工程量清单的单价和总额价计算支付金额；或者，根据具体情况，按合同条款第15.4条的规定，由监理人确定的单价或总额价计算支付额。</w:t>
      </w:r>
    </w:p>
    <w:p>
      <w:pPr>
        <w:autoSpaceDE w:val="0"/>
        <w:autoSpaceDN w:val="0"/>
        <w:adjustRightInd w:val="0"/>
        <w:snapToGrid w:val="0"/>
        <w:spacing w:line="500" w:lineRule="atLeast"/>
        <w:ind w:firstLine="440" w:firstLineChars="200"/>
        <w:rPr>
          <w:color w:val="000000"/>
          <w:kern w:val="0"/>
          <w:sz w:val="22"/>
          <w:szCs w:val="21"/>
        </w:rPr>
      </w:pPr>
      <w:r>
        <w:rPr>
          <w:color w:val="000000"/>
          <w:sz w:val="22"/>
          <w:szCs w:val="21"/>
        </w:rPr>
        <w:t>1.4工程量清单各章是按第七章</w:t>
      </w:r>
      <w:r>
        <w:rPr>
          <w:rFonts w:hint="eastAsia"/>
          <w:color w:val="000000"/>
          <w:sz w:val="22"/>
          <w:szCs w:val="21"/>
        </w:rPr>
        <w:t>“</w:t>
      </w:r>
      <w:r>
        <w:rPr>
          <w:color w:val="000000"/>
          <w:sz w:val="22"/>
          <w:szCs w:val="21"/>
        </w:rPr>
        <w:t>技术规范</w:t>
      </w:r>
      <w:r>
        <w:rPr>
          <w:rFonts w:hint="eastAsia"/>
          <w:color w:val="000000"/>
          <w:sz w:val="22"/>
          <w:szCs w:val="21"/>
        </w:rPr>
        <w:t>”</w:t>
      </w:r>
      <w:r>
        <w:rPr>
          <w:color w:val="000000"/>
          <w:sz w:val="22"/>
          <w:szCs w:val="21"/>
        </w:rPr>
        <w:t>的相应章次编</w:t>
      </w:r>
      <w:r>
        <w:rPr>
          <w:rFonts w:hint="eastAsia"/>
          <w:color w:val="000000"/>
          <w:sz w:val="22"/>
          <w:szCs w:val="21"/>
        </w:rPr>
        <w:t>”</w:t>
      </w:r>
      <w:r>
        <w:rPr>
          <w:color w:val="000000"/>
          <w:sz w:val="22"/>
          <w:szCs w:val="21"/>
        </w:rPr>
        <w:t>号的，因此，工程量清单中各章的工程子目的范围与计量等应与</w:t>
      </w:r>
      <w:r>
        <w:rPr>
          <w:rFonts w:hint="eastAsia"/>
          <w:color w:val="000000"/>
          <w:sz w:val="22"/>
          <w:szCs w:val="21"/>
        </w:rPr>
        <w:t>“</w:t>
      </w:r>
      <w:r>
        <w:rPr>
          <w:color w:val="000000"/>
          <w:sz w:val="22"/>
          <w:szCs w:val="21"/>
        </w:rPr>
        <w:t>技术规范</w:t>
      </w:r>
      <w:r>
        <w:rPr>
          <w:rFonts w:hint="eastAsia"/>
          <w:color w:val="000000"/>
          <w:sz w:val="22"/>
          <w:szCs w:val="21"/>
        </w:rPr>
        <w:t>”</w:t>
      </w:r>
      <w:r>
        <w:rPr>
          <w:color w:val="000000"/>
          <w:sz w:val="22"/>
          <w:szCs w:val="21"/>
        </w:rPr>
        <w:t>相应章节的范围、计量与支付条款结合起来理解或解释。</w:t>
      </w:r>
    </w:p>
    <w:p>
      <w:pPr>
        <w:adjustRightInd w:val="0"/>
        <w:snapToGrid w:val="0"/>
        <w:spacing w:line="500" w:lineRule="atLeast"/>
        <w:ind w:firstLine="440" w:firstLineChars="200"/>
        <w:rPr>
          <w:color w:val="000000"/>
          <w:sz w:val="22"/>
          <w:szCs w:val="21"/>
        </w:rPr>
      </w:pPr>
      <w:r>
        <w:rPr>
          <w:color w:val="000000"/>
          <w:sz w:val="22"/>
          <w:szCs w:val="21"/>
        </w:rPr>
        <w:t>1.5对作业和材料的一般说明或规定，未重复写入工程量清单内，在给工程量清单各子目标价前，应参阅第七章</w:t>
      </w:r>
      <w:r>
        <w:rPr>
          <w:rFonts w:hint="eastAsia"/>
          <w:color w:val="000000"/>
          <w:sz w:val="22"/>
          <w:szCs w:val="21"/>
        </w:rPr>
        <w:t>“</w:t>
      </w:r>
      <w:r>
        <w:rPr>
          <w:color w:val="000000"/>
          <w:sz w:val="22"/>
          <w:szCs w:val="21"/>
        </w:rPr>
        <w:t>技术规范</w:t>
      </w:r>
      <w:r>
        <w:rPr>
          <w:rFonts w:hint="eastAsia"/>
          <w:color w:val="000000"/>
          <w:sz w:val="22"/>
          <w:szCs w:val="21"/>
        </w:rPr>
        <w:t>”</w:t>
      </w:r>
      <w:r>
        <w:rPr>
          <w:color w:val="000000"/>
          <w:sz w:val="22"/>
          <w:szCs w:val="21"/>
        </w:rPr>
        <w:t>的有关内容。</w:t>
      </w:r>
    </w:p>
    <w:p>
      <w:pPr>
        <w:adjustRightInd w:val="0"/>
        <w:snapToGrid w:val="0"/>
        <w:spacing w:line="500" w:lineRule="atLeast"/>
        <w:ind w:firstLine="440" w:firstLineChars="200"/>
        <w:rPr>
          <w:color w:val="000000"/>
          <w:sz w:val="22"/>
          <w:szCs w:val="21"/>
        </w:rPr>
      </w:pPr>
      <w:r>
        <w:rPr>
          <w:color w:val="000000"/>
          <w:sz w:val="22"/>
          <w:szCs w:val="21"/>
        </w:rPr>
        <w:t>1.6工程量清单中所列工程量的变动，丝毫不会降低或影响合同条款的效力，也不免除承包人按规定的标准进行施工和修复的责任。</w:t>
      </w:r>
    </w:p>
    <w:p>
      <w:pPr>
        <w:adjustRightInd w:val="0"/>
        <w:snapToGrid w:val="0"/>
        <w:spacing w:line="500" w:lineRule="atLeast"/>
        <w:ind w:firstLine="440" w:firstLineChars="200"/>
        <w:rPr>
          <w:color w:val="000000"/>
          <w:sz w:val="22"/>
          <w:szCs w:val="21"/>
        </w:rPr>
      </w:pPr>
      <w:r>
        <w:rPr>
          <w:color w:val="000000"/>
          <w:sz w:val="22"/>
          <w:szCs w:val="21"/>
        </w:rPr>
        <w:t>1.7图纸中所列的工程数量表及数量汇总表仅是提供资料，不是工程量清单的外延。当图纸与工程量清单所列数量不一致时，以工程量清单所列数量作为报价的依据。</w:t>
      </w:r>
    </w:p>
    <w:p>
      <w:pPr>
        <w:adjustRightInd w:val="0"/>
        <w:snapToGrid w:val="0"/>
        <w:spacing w:line="500" w:lineRule="atLeast"/>
        <w:rPr>
          <w:b/>
          <w:color w:val="000000"/>
          <w:sz w:val="22"/>
          <w:szCs w:val="21"/>
        </w:rPr>
      </w:pPr>
      <w:r>
        <w:rPr>
          <w:b/>
          <w:color w:val="000000"/>
          <w:sz w:val="22"/>
          <w:szCs w:val="21"/>
        </w:rPr>
        <w:t>2.投标报价说明</w:t>
      </w:r>
    </w:p>
    <w:p>
      <w:pPr>
        <w:adjustRightInd w:val="0"/>
        <w:snapToGrid w:val="0"/>
        <w:spacing w:line="500" w:lineRule="atLeast"/>
        <w:ind w:firstLine="440" w:firstLineChars="200"/>
        <w:rPr>
          <w:color w:val="000000"/>
          <w:sz w:val="22"/>
          <w:szCs w:val="21"/>
        </w:rPr>
      </w:pPr>
      <w:r>
        <w:rPr>
          <w:color w:val="000000"/>
          <w:sz w:val="22"/>
          <w:szCs w:val="21"/>
        </w:rPr>
        <w:t>2.1工程量清单中所列数量的每一子目须填入单价或价格，且只允许有一个报价（清单无数量的子目不需填写）。</w:t>
      </w:r>
    </w:p>
    <w:p>
      <w:pPr>
        <w:adjustRightInd w:val="0"/>
        <w:snapToGrid w:val="0"/>
        <w:spacing w:line="500" w:lineRule="atLeast"/>
        <w:ind w:firstLine="440" w:firstLineChars="200"/>
        <w:rPr>
          <w:color w:val="000000"/>
          <w:sz w:val="22"/>
          <w:szCs w:val="21"/>
        </w:rPr>
      </w:pPr>
      <w:r>
        <w:rPr>
          <w:color w:val="000000"/>
          <w:sz w:val="22"/>
          <w:szCs w:val="21"/>
        </w:rPr>
        <w:t>2.2除非合同另有规定，工程量清单中有标价的单价和总额价均已包括了为实施和完成合同工程所需的劳务、材料、机械、质检（自检）、安装、缺陷修复、管理、保险（工程一切险和第三方责任险除外）、税费、利润等费用，以及合同明示或暗示的所有责任、义务和一般风险。</w:t>
      </w:r>
    </w:p>
    <w:p>
      <w:pPr>
        <w:adjustRightInd w:val="0"/>
        <w:snapToGrid w:val="0"/>
        <w:spacing w:line="500" w:lineRule="atLeast"/>
        <w:ind w:firstLine="440" w:firstLineChars="200"/>
        <w:rPr>
          <w:color w:val="000000"/>
          <w:sz w:val="22"/>
          <w:szCs w:val="21"/>
        </w:rPr>
      </w:pPr>
      <w:r>
        <w:rPr>
          <w:color w:val="000000"/>
          <w:sz w:val="22"/>
          <w:szCs w:val="21"/>
        </w:rPr>
        <w:t>2.3工程量清单中所列数量而投标人没有填入单价或价格的子目，其费用视为已分摊在工程量清单中其他相关子目的单价或价格之中。承包人必须按监理人指令完成工程量清单中未填入单价或价格的子目，但不能得到结算与支付。</w:t>
      </w:r>
    </w:p>
    <w:p>
      <w:pPr>
        <w:adjustRightInd w:val="0"/>
        <w:snapToGrid w:val="0"/>
        <w:spacing w:line="500" w:lineRule="atLeast"/>
        <w:ind w:firstLine="440" w:firstLineChars="200"/>
        <w:rPr>
          <w:color w:val="000000"/>
          <w:sz w:val="22"/>
          <w:szCs w:val="21"/>
        </w:rPr>
      </w:pPr>
      <w:r>
        <w:rPr>
          <w:color w:val="000000"/>
          <w:sz w:val="22"/>
          <w:szCs w:val="21"/>
        </w:rPr>
        <w:t>2.4符合合同条款规定的全部费用应认为已被计入有标价的工程量清单所列各子目之中，未列子目不予计量的工作，其费用应视为已分摊在本合同工程的有关子目的单价或总额价之中。</w:t>
      </w:r>
    </w:p>
    <w:p>
      <w:pPr>
        <w:adjustRightInd w:val="0"/>
        <w:snapToGrid w:val="0"/>
        <w:spacing w:line="500" w:lineRule="atLeast"/>
        <w:ind w:firstLine="440" w:firstLineChars="200"/>
        <w:rPr>
          <w:color w:val="000000"/>
          <w:sz w:val="22"/>
          <w:szCs w:val="21"/>
        </w:rPr>
      </w:pPr>
      <w:r>
        <w:rPr>
          <w:color w:val="000000"/>
          <w:sz w:val="22"/>
          <w:szCs w:val="21"/>
        </w:rPr>
        <w:t>2.5承包人用于本合同工程的各类装备的提供、运输、维护、拆卸、拼装等支付的费用，已包括在工程量清单的单价与总额价之中。</w:t>
      </w:r>
    </w:p>
    <w:p>
      <w:pPr>
        <w:adjustRightInd w:val="0"/>
        <w:snapToGrid w:val="0"/>
        <w:spacing w:line="500" w:lineRule="atLeast"/>
        <w:ind w:firstLine="440" w:firstLineChars="200"/>
        <w:rPr>
          <w:color w:val="000000"/>
          <w:sz w:val="22"/>
          <w:szCs w:val="21"/>
        </w:rPr>
      </w:pPr>
      <w:r>
        <w:rPr>
          <w:color w:val="000000"/>
          <w:sz w:val="22"/>
          <w:szCs w:val="21"/>
        </w:rPr>
        <w:t>2.6工程量清单中各项金额均以人民币（元）结算。清单细目单价数值精确至小数二位，清单合价数值取整至金额元。</w:t>
      </w:r>
    </w:p>
    <w:p>
      <w:pPr>
        <w:adjustRightInd w:val="0"/>
        <w:snapToGrid w:val="0"/>
        <w:spacing w:line="500" w:lineRule="atLeast"/>
        <w:ind w:firstLine="440" w:firstLineChars="200"/>
        <w:rPr>
          <w:color w:val="000000"/>
          <w:sz w:val="22"/>
          <w:szCs w:val="21"/>
        </w:rPr>
      </w:pPr>
      <w:r>
        <w:rPr>
          <w:color w:val="000000"/>
          <w:sz w:val="22"/>
          <w:szCs w:val="21"/>
        </w:rPr>
        <w:t>2.7保险费</w:t>
      </w:r>
      <w:r>
        <w:rPr>
          <w:rFonts w:hint="eastAsia"/>
          <w:color w:val="000000"/>
          <w:sz w:val="22"/>
          <w:szCs w:val="21"/>
        </w:rPr>
        <w:t>，本款不适应。</w:t>
      </w:r>
    </w:p>
    <w:p>
      <w:pPr>
        <w:adjustRightInd w:val="0"/>
        <w:snapToGrid w:val="0"/>
        <w:spacing w:line="500" w:lineRule="atLeast"/>
        <w:ind w:firstLine="440" w:firstLineChars="200"/>
        <w:rPr>
          <w:sz w:val="22"/>
          <w:szCs w:val="21"/>
        </w:rPr>
      </w:pPr>
      <w:r>
        <w:rPr>
          <w:color w:val="000000"/>
          <w:sz w:val="22"/>
          <w:szCs w:val="21"/>
        </w:rPr>
        <w:t>2.</w:t>
      </w:r>
      <w:r>
        <w:rPr>
          <w:sz w:val="22"/>
          <w:szCs w:val="21"/>
        </w:rPr>
        <w:t>8该项目按规定缴纳的所有税费均由承包人承担并支付，包含在单价或总额价中。</w:t>
      </w:r>
    </w:p>
    <w:p>
      <w:pPr>
        <w:adjustRightInd w:val="0"/>
        <w:snapToGrid w:val="0"/>
        <w:spacing w:after="156" w:afterLines="50" w:line="500" w:lineRule="atLeast"/>
        <w:ind w:firstLine="440" w:firstLineChars="200"/>
        <w:rPr>
          <w:sz w:val="22"/>
          <w:szCs w:val="21"/>
        </w:rPr>
      </w:pPr>
      <w:r>
        <w:rPr>
          <w:sz w:val="22"/>
          <w:szCs w:val="21"/>
        </w:rPr>
        <w:t>2.9</w:t>
      </w:r>
      <w:r>
        <w:rPr>
          <w:rFonts w:hint="eastAsia"/>
          <w:sz w:val="22"/>
          <w:szCs w:val="21"/>
        </w:rPr>
        <w:t>本项目分为</w:t>
      </w:r>
      <w:r>
        <w:rPr>
          <w:rFonts w:hint="eastAsia"/>
          <w:sz w:val="22"/>
          <w:szCs w:val="21"/>
          <w:lang w:val="en-US" w:eastAsia="zh-CN"/>
        </w:rPr>
        <w:t>1</w:t>
      </w:r>
      <w:r>
        <w:rPr>
          <w:rFonts w:hint="eastAsia"/>
          <w:sz w:val="22"/>
          <w:szCs w:val="21"/>
        </w:rPr>
        <w:t>条</w:t>
      </w:r>
      <w:r>
        <w:rPr>
          <w:sz w:val="22"/>
          <w:szCs w:val="21"/>
        </w:rPr>
        <w:t>线路</w:t>
      </w:r>
      <w:r>
        <w:rPr>
          <w:rFonts w:hint="eastAsia"/>
          <w:sz w:val="22"/>
          <w:szCs w:val="21"/>
          <w:lang w:val="en-US" w:eastAsia="zh-CN"/>
        </w:rPr>
        <w:t>灾后恢复重建</w:t>
      </w:r>
      <w:r>
        <w:rPr>
          <w:sz w:val="22"/>
          <w:szCs w:val="21"/>
        </w:rPr>
        <w:t>，安全生产费</w:t>
      </w:r>
      <w:r>
        <w:rPr>
          <w:rFonts w:hint="eastAsia"/>
          <w:sz w:val="22"/>
          <w:szCs w:val="21"/>
        </w:rPr>
        <w:t>及</w:t>
      </w:r>
      <w:r>
        <w:rPr>
          <w:sz w:val="22"/>
          <w:szCs w:val="21"/>
        </w:rPr>
        <w:t>最高投标限价如下</w:t>
      </w:r>
      <w:r>
        <w:rPr>
          <w:rFonts w:hint="eastAsia"/>
          <w:sz w:val="22"/>
          <w:szCs w:val="21"/>
        </w:rPr>
        <w:t>：</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
        <w:gridCol w:w="5350"/>
        <w:gridCol w:w="1559"/>
        <w:gridCol w:w="1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1" w:type="dxa"/>
            <w:vAlign w:val="center"/>
          </w:tcPr>
          <w:p>
            <w:pPr>
              <w:adjustRightInd w:val="0"/>
              <w:snapToGrid w:val="0"/>
              <w:jc w:val="center"/>
              <w:rPr>
                <w:b/>
                <w:sz w:val="22"/>
                <w:szCs w:val="21"/>
              </w:rPr>
            </w:pPr>
            <w:r>
              <w:rPr>
                <w:rFonts w:hint="eastAsia"/>
                <w:b/>
                <w:sz w:val="22"/>
                <w:szCs w:val="21"/>
              </w:rPr>
              <w:t>序号</w:t>
            </w:r>
          </w:p>
        </w:tc>
        <w:tc>
          <w:tcPr>
            <w:tcW w:w="5350" w:type="dxa"/>
            <w:vAlign w:val="center"/>
          </w:tcPr>
          <w:p>
            <w:pPr>
              <w:adjustRightInd w:val="0"/>
              <w:snapToGrid w:val="0"/>
              <w:jc w:val="center"/>
              <w:rPr>
                <w:b/>
                <w:sz w:val="22"/>
                <w:szCs w:val="21"/>
              </w:rPr>
            </w:pPr>
            <w:r>
              <w:rPr>
                <w:rFonts w:hint="eastAsia"/>
                <w:b/>
                <w:sz w:val="22"/>
                <w:szCs w:val="21"/>
              </w:rPr>
              <w:t>路线</w:t>
            </w:r>
            <w:r>
              <w:rPr>
                <w:b/>
                <w:sz w:val="22"/>
                <w:szCs w:val="21"/>
              </w:rPr>
              <w:t>名称</w:t>
            </w:r>
          </w:p>
        </w:tc>
        <w:tc>
          <w:tcPr>
            <w:tcW w:w="1559" w:type="dxa"/>
            <w:vAlign w:val="center"/>
          </w:tcPr>
          <w:p>
            <w:pPr>
              <w:adjustRightInd w:val="0"/>
              <w:snapToGrid w:val="0"/>
              <w:jc w:val="center"/>
              <w:rPr>
                <w:b/>
                <w:sz w:val="22"/>
                <w:szCs w:val="21"/>
              </w:rPr>
            </w:pPr>
            <w:r>
              <w:rPr>
                <w:rFonts w:hint="eastAsia"/>
                <w:b/>
                <w:sz w:val="22"/>
                <w:szCs w:val="21"/>
              </w:rPr>
              <w:t>安全</w:t>
            </w:r>
            <w:r>
              <w:rPr>
                <w:b/>
                <w:sz w:val="22"/>
                <w:szCs w:val="21"/>
              </w:rPr>
              <w:t>生产费</w:t>
            </w:r>
          </w:p>
          <w:p>
            <w:pPr>
              <w:adjustRightInd w:val="0"/>
              <w:snapToGrid w:val="0"/>
              <w:jc w:val="center"/>
              <w:rPr>
                <w:b/>
                <w:sz w:val="22"/>
                <w:szCs w:val="21"/>
              </w:rPr>
            </w:pPr>
            <w:r>
              <w:rPr>
                <w:rFonts w:hint="eastAsia"/>
                <w:b/>
                <w:sz w:val="22"/>
                <w:szCs w:val="21"/>
              </w:rPr>
              <w:t>（元）</w:t>
            </w:r>
          </w:p>
        </w:tc>
        <w:tc>
          <w:tcPr>
            <w:tcW w:w="1638" w:type="dxa"/>
            <w:vAlign w:val="center"/>
          </w:tcPr>
          <w:p>
            <w:pPr>
              <w:adjustRightInd w:val="0"/>
              <w:snapToGrid w:val="0"/>
              <w:jc w:val="center"/>
              <w:rPr>
                <w:b/>
                <w:sz w:val="22"/>
                <w:szCs w:val="21"/>
              </w:rPr>
            </w:pPr>
            <w:r>
              <w:rPr>
                <w:rFonts w:hint="eastAsia"/>
                <w:b/>
                <w:sz w:val="22"/>
                <w:szCs w:val="21"/>
              </w:rPr>
              <w:t>最高投标</w:t>
            </w:r>
            <w:r>
              <w:rPr>
                <w:b/>
                <w:sz w:val="22"/>
                <w:szCs w:val="21"/>
              </w:rPr>
              <w:t>限价</w:t>
            </w:r>
          </w:p>
          <w:p>
            <w:pPr>
              <w:adjustRightInd w:val="0"/>
              <w:snapToGrid w:val="0"/>
              <w:jc w:val="center"/>
              <w:rPr>
                <w:b/>
                <w:sz w:val="22"/>
                <w:szCs w:val="21"/>
              </w:rPr>
            </w:pPr>
            <w:r>
              <w:rPr>
                <w:rFonts w:hint="eastAsia"/>
                <w:b/>
                <w:sz w:val="22"/>
                <w:szCs w:val="21"/>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41" w:type="dxa"/>
            <w:vAlign w:val="center"/>
          </w:tcPr>
          <w:p>
            <w:pPr>
              <w:adjustRightInd w:val="0"/>
              <w:snapToGrid w:val="0"/>
              <w:jc w:val="center"/>
            </w:pPr>
            <w:bookmarkStart w:id="0" w:name="_Hlk195369601"/>
            <w:bookmarkStart w:id="1" w:name="_Hlk191979158"/>
            <w:r>
              <w:rPr>
                <w:rFonts w:hint="eastAsia"/>
              </w:rPr>
              <w:t>1</w:t>
            </w:r>
          </w:p>
        </w:tc>
        <w:tc>
          <w:tcPr>
            <w:tcW w:w="5350" w:type="dxa"/>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雷州市国道G207线K4105+700-K4107+100(阿里山路面)、K4112+230-K4113+230(亿年路口)灾后恢复重建项目</w:t>
            </w:r>
          </w:p>
        </w:tc>
        <w:tc>
          <w:tcPr>
            <w:tcW w:w="1559"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186851 </w:t>
            </w:r>
          </w:p>
        </w:tc>
        <w:tc>
          <w:tcPr>
            <w:tcW w:w="1638" w:type="dxa"/>
            <w:vAlign w:val="center"/>
          </w:tcPr>
          <w:p>
            <w:pPr>
              <w:widowControl/>
              <w:jc w:val="center"/>
              <w:textAlignment w:val="center"/>
            </w:pPr>
            <w:r>
              <w:rPr>
                <w:rFonts w:hint="eastAsia" w:ascii="宋体" w:hAnsi="宋体" w:eastAsia="宋体" w:cs="宋体"/>
                <w:i w:val="0"/>
                <w:iCs w:val="0"/>
                <w:color w:val="000000"/>
                <w:kern w:val="0"/>
                <w:sz w:val="20"/>
                <w:szCs w:val="20"/>
                <w:u w:val="none"/>
                <w:lang w:val="en-US" w:eastAsia="zh-CN" w:bidi="ar"/>
              </w:rPr>
              <w:t xml:space="preserve">186851 </w:t>
            </w:r>
          </w:p>
        </w:tc>
      </w:tr>
      <w:bookmarkEnd w:id="0"/>
      <w:bookmarkEnd w:id="1"/>
    </w:tbl>
    <w:p>
      <w:pPr>
        <w:adjustRightInd w:val="0"/>
        <w:snapToGrid w:val="0"/>
        <w:spacing w:line="500" w:lineRule="atLeast"/>
        <w:ind w:firstLine="440" w:firstLineChars="200"/>
        <w:rPr>
          <w:color w:val="000000"/>
          <w:sz w:val="22"/>
          <w:szCs w:val="21"/>
        </w:rPr>
      </w:pPr>
      <w:r>
        <w:rPr>
          <w:sz w:val="22"/>
          <w:szCs w:val="21"/>
        </w:rPr>
        <w:t>线路安全生产费</w:t>
      </w:r>
      <w:r>
        <w:rPr>
          <w:color w:val="000000"/>
          <w:sz w:val="22"/>
          <w:szCs w:val="21"/>
        </w:rPr>
        <w:t>在清单中单列，该金额不随合同总价的变化而调整</w:t>
      </w:r>
      <w:r>
        <w:rPr>
          <w:rFonts w:hint="eastAsia"/>
          <w:color w:val="000000"/>
          <w:sz w:val="22"/>
          <w:szCs w:val="21"/>
        </w:rPr>
        <w:t>，</w:t>
      </w:r>
      <w:r>
        <w:rPr>
          <w:color w:val="000000"/>
          <w:sz w:val="22"/>
          <w:szCs w:val="21"/>
        </w:rPr>
        <w:t>同时线路投标报价不得超过线路的最高投标限价。</w:t>
      </w:r>
    </w:p>
    <w:p>
      <w:pPr>
        <w:adjustRightInd w:val="0"/>
        <w:snapToGrid w:val="0"/>
        <w:spacing w:line="500" w:lineRule="atLeast"/>
        <w:rPr>
          <w:b/>
          <w:color w:val="000000"/>
          <w:sz w:val="22"/>
          <w:szCs w:val="21"/>
        </w:rPr>
      </w:pPr>
      <w:r>
        <w:rPr>
          <w:b/>
          <w:color w:val="000000"/>
          <w:sz w:val="22"/>
          <w:szCs w:val="21"/>
        </w:rPr>
        <w:t>3.计日工说明</w:t>
      </w:r>
    </w:p>
    <w:p>
      <w:pPr>
        <w:adjustRightInd w:val="0"/>
        <w:snapToGrid w:val="0"/>
        <w:spacing w:line="500" w:lineRule="atLeast"/>
        <w:ind w:firstLine="440" w:firstLineChars="200"/>
        <w:rPr>
          <w:color w:val="000000"/>
          <w:sz w:val="22"/>
          <w:szCs w:val="21"/>
        </w:rPr>
      </w:pPr>
      <w:r>
        <w:rPr>
          <w:color w:val="000000"/>
          <w:sz w:val="22"/>
          <w:szCs w:val="21"/>
        </w:rPr>
        <w:t>本款不适用。</w:t>
      </w:r>
    </w:p>
    <w:p>
      <w:pPr>
        <w:adjustRightInd w:val="0"/>
        <w:snapToGrid w:val="0"/>
        <w:spacing w:line="500" w:lineRule="atLeast"/>
        <w:rPr>
          <w:b/>
          <w:color w:val="000000"/>
          <w:sz w:val="22"/>
          <w:szCs w:val="21"/>
        </w:rPr>
      </w:pPr>
      <w:r>
        <w:rPr>
          <w:b/>
          <w:color w:val="000000"/>
          <w:sz w:val="22"/>
          <w:szCs w:val="21"/>
        </w:rPr>
        <w:t>4.其他说明</w:t>
      </w:r>
    </w:p>
    <w:p>
      <w:pPr>
        <w:adjustRightInd w:val="0"/>
        <w:snapToGrid w:val="0"/>
        <w:spacing w:line="500" w:lineRule="atLeast"/>
        <w:ind w:firstLine="440" w:firstLineChars="200"/>
      </w:pPr>
      <w:r>
        <w:rPr>
          <w:color w:val="000000"/>
          <w:sz w:val="22"/>
          <w:szCs w:val="21"/>
        </w:rPr>
        <w:t>工程量清单中各个项目的报价与计量支付原则，详见招标文件第七章技术规范的工程量计量与支付规则。</w:t>
      </w:r>
    </w:p>
    <w:sectPr>
      <w:headerReference r:id="rId3" w:type="default"/>
      <w:footerReference r:id="rId4" w:type="default"/>
      <w:pgSz w:w="11906" w:h="16838"/>
      <w:pgMar w:top="1440" w:right="1304" w:bottom="1440" w:left="1304"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41037729"/>
    </w:sdtPr>
    <w:sdtContent>
      <w:p>
        <w:pPr>
          <w:pStyle w:val="3"/>
          <w:jc w:val="center"/>
        </w:pPr>
        <w:r>
          <w:fldChar w:fldCharType="begin"/>
        </w:r>
        <w:r>
          <w:instrText xml:space="preserve">PAGE   \* MERGEFORMAT</w:instrText>
        </w:r>
        <w:r>
          <w:fldChar w:fldCharType="separate"/>
        </w:r>
        <w:r>
          <w:rPr>
            <w:lang w:val="zh-CN"/>
          </w:rPr>
          <w:t>3</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3OGZiMzFiMDYxY2YzMGRjNTQwM2M1YTQ2NzcxNDAifQ=="/>
  </w:docVars>
  <w:rsids>
    <w:rsidRoot w:val="00FF6B93"/>
    <w:rsid w:val="00011B3C"/>
    <w:rsid w:val="00013606"/>
    <w:rsid w:val="00013B96"/>
    <w:rsid w:val="00035869"/>
    <w:rsid w:val="00040DD4"/>
    <w:rsid w:val="0004169F"/>
    <w:rsid w:val="00070FBF"/>
    <w:rsid w:val="00073ED8"/>
    <w:rsid w:val="000809F1"/>
    <w:rsid w:val="000B7A5F"/>
    <w:rsid w:val="000E7F9A"/>
    <w:rsid w:val="00100F14"/>
    <w:rsid w:val="001067C5"/>
    <w:rsid w:val="00107897"/>
    <w:rsid w:val="001123FB"/>
    <w:rsid w:val="001207F0"/>
    <w:rsid w:val="00120F5C"/>
    <w:rsid w:val="001220AB"/>
    <w:rsid w:val="00130677"/>
    <w:rsid w:val="00131919"/>
    <w:rsid w:val="00137CEE"/>
    <w:rsid w:val="00144173"/>
    <w:rsid w:val="00144D4F"/>
    <w:rsid w:val="0016590B"/>
    <w:rsid w:val="00166C1D"/>
    <w:rsid w:val="00171726"/>
    <w:rsid w:val="001926F8"/>
    <w:rsid w:val="001A5922"/>
    <w:rsid w:val="001A73EC"/>
    <w:rsid w:val="001B23DA"/>
    <w:rsid w:val="001C71B5"/>
    <w:rsid w:val="00206D06"/>
    <w:rsid w:val="00214C9E"/>
    <w:rsid w:val="00262657"/>
    <w:rsid w:val="00274D18"/>
    <w:rsid w:val="0027718E"/>
    <w:rsid w:val="002F71F2"/>
    <w:rsid w:val="00302E88"/>
    <w:rsid w:val="003125E9"/>
    <w:rsid w:val="003233E2"/>
    <w:rsid w:val="00325057"/>
    <w:rsid w:val="0033604D"/>
    <w:rsid w:val="00354A84"/>
    <w:rsid w:val="00361AE5"/>
    <w:rsid w:val="00371446"/>
    <w:rsid w:val="00383ED3"/>
    <w:rsid w:val="003A608A"/>
    <w:rsid w:val="003D0357"/>
    <w:rsid w:val="003E6692"/>
    <w:rsid w:val="003F00CA"/>
    <w:rsid w:val="003F5218"/>
    <w:rsid w:val="00411D9D"/>
    <w:rsid w:val="004274CA"/>
    <w:rsid w:val="00433E6A"/>
    <w:rsid w:val="00435D1E"/>
    <w:rsid w:val="00460DA2"/>
    <w:rsid w:val="00461C79"/>
    <w:rsid w:val="00480897"/>
    <w:rsid w:val="004875FA"/>
    <w:rsid w:val="0049179F"/>
    <w:rsid w:val="004935C9"/>
    <w:rsid w:val="004940AB"/>
    <w:rsid w:val="004E01CA"/>
    <w:rsid w:val="004F11E2"/>
    <w:rsid w:val="0053234B"/>
    <w:rsid w:val="0053553E"/>
    <w:rsid w:val="0054598D"/>
    <w:rsid w:val="005472D9"/>
    <w:rsid w:val="00583C6D"/>
    <w:rsid w:val="00590CB8"/>
    <w:rsid w:val="005958EB"/>
    <w:rsid w:val="005B3C79"/>
    <w:rsid w:val="005C1BDC"/>
    <w:rsid w:val="005C2B63"/>
    <w:rsid w:val="005D1E72"/>
    <w:rsid w:val="005D6111"/>
    <w:rsid w:val="005F5841"/>
    <w:rsid w:val="0062631E"/>
    <w:rsid w:val="006335FC"/>
    <w:rsid w:val="00694AEB"/>
    <w:rsid w:val="006A2B01"/>
    <w:rsid w:val="006C20E4"/>
    <w:rsid w:val="006F26DE"/>
    <w:rsid w:val="00722445"/>
    <w:rsid w:val="00725010"/>
    <w:rsid w:val="0072704B"/>
    <w:rsid w:val="00750B3E"/>
    <w:rsid w:val="00752902"/>
    <w:rsid w:val="007553ED"/>
    <w:rsid w:val="00762DF0"/>
    <w:rsid w:val="0076535E"/>
    <w:rsid w:val="007815E5"/>
    <w:rsid w:val="007917EF"/>
    <w:rsid w:val="00794F64"/>
    <w:rsid w:val="007C03FC"/>
    <w:rsid w:val="007C3509"/>
    <w:rsid w:val="007F143B"/>
    <w:rsid w:val="008170CC"/>
    <w:rsid w:val="008500ED"/>
    <w:rsid w:val="008533B0"/>
    <w:rsid w:val="0086096B"/>
    <w:rsid w:val="008671EC"/>
    <w:rsid w:val="008803E3"/>
    <w:rsid w:val="008F41EE"/>
    <w:rsid w:val="00907759"/>
    <w:rsid w:val="0091263A"/>
    <w:rsid w:val="00921B70"/>
    <w:rsid w:val="0093308C"/>
    <w:rsid w:val="009442E4"/>
    <w:rsid w:val="00944C02"/>
    <w:rsid w:val="00955775"/>
    <w:rsid w:val="0095679B"/>
    <w:rsid w:val="00991415"/>
    <w:rsid w:val="009958AF"/>
    <w:rsid w:val="009C018A"/>
    <w:rsid w:val="009C5B6C"/>
    <w:rsid w:val="009E489D"/>
    <w:rsid w:val="009F09E2"/>
    <w:rsid w:val="009F2909"/>
    <w:rsid w:val="009F56C2"/>
    <w:rsid w:val="009F6651"/>
    <w:rsid w:val="009F7EAB"/>
    <w:rsid w:val="00A01B2B"/>
    <w:rsid w:val="00A13857"/>
    <w:rsid w:val="00A22B45"/>
    <w:rsid w:val="00A34B61"/>
    <w:rsid w:val="00A34D68"/>
    <w:rsid w:val="00A37ED7"/>
    <w:rsid w:val="00A42EDC"/>
    <w:rsid w:val="00A47439"/>
    <w:rsid w:val="00A54DCA"/>
    <w:rsid w:val="00A611EB"/>
    <w:rsid w:val="00A668C4"/>
    <w:rsid w:val="00A90FE6"/>
    <w:rsid w:val="00AA705B"/>
    <w:rsid w:val="00AA749C"/>
    <w:rsid w:val="00AB7B93"/>
    <w:rsid w:val="00AC56DA"/>
    <w:rsid w:val="00AD79C6"/>
    <w:rsid w:val="00AE2702"/>
    <w:rsid w:val="00B2671D"/>
    <w:rsid w:val="00B46CD8"/>
    <w:rsid w:val="00B470EF"/>
    <w:rsid w:val="00B551C5"/>
    <w:rsid w:val="00B725D7"/>
    <w:rsid w:val="00B84C37"/>
    <w:rsid w:val="00B864C5"/>
    <w:rsid w:val="00B90B16"/>
    <w:rsid w:val="00B95B26"/>
    <w:rsid w:val="00BB4E48"/>
    <w:rsid w:val="00BC4A00"/>
    <w:rsid w:val="00C030EE"/>
    <w:rsid w:val="00C06977"/>
    <w:rsid w:val="00C158D4"/>
    <w:rsid w:val="00C21E84"/>
    <w:rsid w:val="00C34D1D"/>
    <w:rsid w:val="00C42DC7"/>
    <w:rsid w:val="00C450E4"/>
    <w:rsid w:val="00C55C71"/>
    <w:rsid w:val="00C6019D"/>
    <w:rsid w:val="00C75806"/>
    <w:rsid w:val="00C8600F"/>
    <w:rsid w:val="00C937FD"/>
    <w:rsid w:val="00C9494F"/>
    <w:rsid w:val="00C964C7"/>
    <w:rsid w:val="00CA36EA"/>
    <w:rsid w:val="00CB29A4"/>
    <w:rsid w:val="00CC0969"/>
    <w:rsid w:val="00CC208F"/>
    <w:rsid w:val="00CC23E4"/>
    <w:rsid w:val="00CC49B3"/>
    <w:rsid w:val="00CD79C9"/>
    <w:rsid w:val="00CE1B90"/>
    <w:rsid w:val="00CE327D"/>
    <w:rsid w:val="00CE4CB6"/>
    <w:rsid w:val="00D06C86"/>
    <w:rsid w:val="00D310AE"/>
    <w:rsid w:val="00D44EFD"/>
    <w:rsid w:val="00D5357F"/>
    <w:rsid w:val="00D65882"/>
    <w:rsid w:val="00D67AB1"/>
    <w:rsid w:val="00D67C24"/>
    <w:rsid w:val="00D7507F"/>
    <w:rsid w:val="00D81CB1"/>
    <w:rsid w:val="00D83CFD"/>
    <w:rsid w:val="00D87742"/>
    <w:rsid w:val="00DB688C"/>
    <w:rsid w:val="00DB7713"/>
    <w:rsid w:val="00DC1565"/>
    <w:rsid w:val="00DD2010"/>
    <w:rsid w:val="00DE39FB"/>
    <w:rsid w:val="00DF3E20"/>
    <w:rsid w:val="00DF58C1"/>
    <w:rsid w:val="00E02AB8"/>
    <w:rsid w:val="00E03627"/>
    <w:rsid w:val="00E10A03"/>
    <w:rsid w:val="00E118F8"/>
    <w:rsid w:val="00E164B0"/>
    <w:rsid w:val="00E16DAA"/>
    <w:rsid w:val="00E374DA"/>
    <w:rsid w:val="00E52304"/>
    <w:rsid w:val="00E570F9"/>
    <w:rsid w:val="00E655B6"/>
    <w:rsid w:val="00E673A0"/>
    <w:rsid w:val="00E755CA"/>
    <w:rsid w:val="00E76D0C"/>
    <w:rsid w:val="00E82AE7"/>
    <w:rsid w:val="00E86074"/>
    <w:rsid w:val="00E97C8A"/>
    <w:rsid w:val="00EC1225"/>
    <w:rsid w:val="00EC310F"/>
    <w:rsid w:val="00EC316C"/>
    <w:rsid w:val="00ED29E0"/>
    <w:rsid w:val="00ED4D10"/>
    <w:rsid w:val="00ED69FF"/>
    <w:rsid w:val="00EE0DFB"/>
    <w:rsid w:val="00EE102F"/>
    <w:rsid w:val="00EE2B9C"/>
    <w:rsid w:val="00EE7BCB"/>
    <w:rsid w:val="00EF26D5"/>
    <w:rsid w:val="00F133A5"/>
    <w:rsid w:val="00F25A16"/>
    <w:rsid w:val="00F31485"/>
    <w:rsid w:val="00F44B08"/>
    <w:rsid w:val="00F51413"/>
    <w:rsid w:val="00F6295E"/>
    <w:rsid w:val="00F67135"/>
    <w:rsid w:val="00F73886"/>
    <w:rsid w:val="00F74211"/>
    <w:rsid w:val="00F80E1E"/>
    <w:rsid w:val="00FB1641"/>
    <w:rsid w:val="00FB33A9"/>
    <w:rsid w:val="00FC06C1"/>
    <w:rsid w:val="00FD6B15"/>
    <w:rsid w:val="00FE1F98"/>
    <w:rsid w:val="00FE6403"/>
    <w:rsid w:val="00FF6B93"/>
    <w:rsid w:val="0117507C"/>
    <w:rsid w:val="01B666C0"/>
    <w:rsid w:val="02306473"/>
    <w:rsid w:val="03BD5AE4"/>
    <w:rsid w:val="05C55124"/>
    <w:rsid w:val="075449B1"/>
    <w:rsid w:val="07832BA1"/>
    <w:rsid w:val="07D63618"/>
    <w:rsid w:val="09767F02"/>
    <w:rsid w:val="0C594818"/>
    <w:rsid w:val="0EBB3568"/>
    <w:rsid w:val="100260C2"/>
    <w:rsid w:val="1068327B"/>
    <w:rsid w:val="11902A8A"/>
    <w:rsid w:val="11A14801"/>
    <w:rsid w:val="13467951"/>
    <w:rsid w:val="14540766"/>
    <w:rsid w:val="17EE050A"/>
    <w:rsid w:val="17FF44C5"/>
    <w:rsid w:val="1E830C89"/>
    <w:rsid w:val="1EB83620"/>
    <w:rsid w:val="20765541"/>
    <w:rsid w:val="234C5F36"/>
    <w:rsid w:val="26487037"/>
    <w:rsid w:val="26F31699"/>
    <w:rsid w:val="276E51C4"/>
    <w:rsid w:val="283261F1"/>
    <w:rsid w:val="2A2E0C3A"/>
    <w:rsid w:val="2A524929"/>
    <w:rsid w:val="2A701253"/>
    <w:rsid w:val="2AC670C5"/>
    <w:rsid w:val="2DDF2977"/>
    <w:rsid w:val="2E422F06"/>
    <w:rsid w:val="2E913546"/>
    <w:rsid w:val="2EBD0698"/>
    <w:rsid w:val="2F2D7712"/>
    <w:rsid w:val="36407D2B"/>
    <w:rsid w:val="394418E0"/>
    <w:rsid w:val="3ACC7DDF"/>
    <w:rsid w:val="3B362893"/>
    <w:rsid w:val="3CB74ABF"/>
    <w:rsid w:val="3DDB2122"/>
    <w:rsid w:val="407F3B46"/>
    <w:rsid w:val="41D61543"/>
    <w:rsid w:val="41EA1493"/>
    <w:rsid w:val="46B03C08"/>
    <w:rsid w:val="48050DD4"/>
    <w:rsid w:val="48CE7418"/>
    <w:rsid w:val="4AC84CEF"/>
    <w:rsid w:val="4E6A1991"/>
    <w:rsid w:val="4FEC63D6"/>
    <w:rsid w:val="52EF709E"/>
    <w:rsid w:val="536D782E"/>
    <w:rsid w:val="53A613F0"/>
    <w:rsid w:val="54106B37"/>
    <w:rsid w:val="54D44008"/>
    <w:rsid w:val="550A5376"/>
    <w:rsid w:val="55AE2AAB"/>
    <w:rsid w:val="58694A68"/>
    <w:rsid w:val="59741916"/>
    <w:rsid w:val="5A153E97"/>
    <w:rsid w:val="5AC10B8B"/>
    <w:rsid w:val="5C5F065B"/>
    <w:rsid w:val="5D553791"/>
    <w:rsid w:val="5E736640"/>
    <w:rsid w:val="5E9F5687"/>
    <w:rsid w:val="5F1474B7"/>
    <w:rsid w:val="60433DF0"/>
    <w:rsid w:val="60F35816"/>
    <w:rsid w:val="613A1697"/>
    <w:rsid w:val="63FD1CA8"/>
    <w:rsid w:val="64540CC2"/>
    <w:rsid w:val="65336B29"/>
    <w:rsid w:val="65D26342"/>
    <w:rsid w:val="66501015"/>
    <w:rsid w:val="6784366C"/>
    <w:rsid w:val="67B657F0"/>
    <w:rsid w:val="693B72FA"/>
    <w:rsid w:val="6B985938"/>
    <w:rsid w:val="6BFF03E4"/>
    <w:rsid w:val="6EB20ABF"/>
    <w:rsid w:val="70877D29"/>
    <w:rsid w:val="70B825D8"/>
    <w:rsid w:val="78FE6611"/>
    <w:rsid w:val="796C1558"/>
    <w:rsid w:val="79AC1990"/>
    <w:rsid w:val="7C8F0691"/>
    <w:rsid w:val="7FA02B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9"/>
    <w:autoRedefine/>
    <w:qFormat/>
    <w:uiPriority w:val="0"/>
    <w:rPr>
      <w:sz w:val="18"/>
      <w:szCs w:val="18"/>
    </w:rPr>
  </w:style>
  <w:style w:type="paragraph" w:styleId="3">
    <w:name w:val="footer"/>
    <w:basedOn w:val="1"/>
    <w:link w:val="10"/>
    <w:autoRedefine/>
    <w:qFormat/>
    <w:uiPriority w:val="99"/>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qFormat/>
    <w:uiPriority w:val="99"/>
    <w:pPr>
      <w:spacing w:before="100" w:beforeAutospacing="1" w:after="100" w:afterAutospacing="1"/>
      <w:jc w:val="left"/>
    </w:pPr>
    <w:rPr>
      <w:rFonts w:ascii="Arial Unicode MS" w:hAnsi="Arial Unicode MS" w:cs="Arial Unicode MS"/>
      <w:kern w:val="0"/>
      <w:sz w:val="24"/>
    </w:rPr>
  </w:style>
  <w:style w:type="table" w:styleId="7">
    <w:name w:val="Table Grid"/>
    <w:basedOn w:val="6"/>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批注框文本 字符"/>
    <w:link w:val="2"/>
    <w:qFormat/>
    <w:uiPriority w:val="0"/>
    <w:rPr>
      <w:kern w:val="2"/>
      <w:sz w:val="18"/>
      <w:szCs w:val="18"/>
    </w:rPr>
  </w:style>
  <w:style w:type="character" w:customStyle="1" w:styleId="10">
    <w:name w:val="页脚 字符"/>
    <w:basedOn w:val="8"/>
    <w:link w:val="3"/>
    <w:autoRedefine/>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深圳市招商工程项目管理有限公司</Company>
  <Pages>2</Pages>
  <Words>1391</Words>
  <Characters>1478</Characters>
  <Lines>16</Lines>
  <Paragraphs>4</Paragraphs>
  <TotalTime>26</TotalTime>
  <ScaleCrop>false</ScaleCrop>
  <LinksUpToDate>false</LinksUpToDate>
  <CharactersWithSpaces>1479</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2023-11-27T03:39:00Z</dcterms:created>
  <dc:creator>伊西亚</dc:creator>
  <cp:lastModifiedBy>love live</cp:lastModifiedBy>
  <cp:lastPrinted>2023-09-21T09:45:00Z</cp:lastPrinted>
  <dcterms:modified xsi:type="dcterms:W3CDTF">2025-07-25T02:38:33Z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34E078B2682F4D15975CA4F8110AD31F_13</vt:lpwstr>
  </property>
  <property fmtid="{D5CDD505-2E9C-101B-9397-08002B2CF9AE}" pid="4" name="KSOTemplateDocerSaveRecord">
    <vt:lpwstr>eyJoZGlkIjoiNzE0ZjJkZjE4YjBmYmMyYWRjZWEwYzY2Yjg1M2IwMjkiLCJ1c2VySWQiOiI2OTU4MDg3MDAifQ==</vt:lpwstr>
  </property>
</Properties>
</file>