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="小标宋" w:hAnsi="小标宋" w:eastAsia="小标宋" w:cs="小标宋"/>
          <w:kern w:val="0"/>
          <w:sz w:val="36"/>
          <w:szCs w:val="36"/>
        </w:rPr>
      </w:pPr>
      <w:r>
        <w:rPr>
          <w:rFonts w:hint="eastAsia" w:ascii="小标宋" w:hAnsi="小标宋" w:eastAsia="小标宋" w:cs="小标宋"/>
          <w:kern w:val="0"/>
          <w:sz w:val="36"/>
          <w:szCs w:val="36"/>
        </w:rPr>
        <w:t>常年法律顾问竞争性磋商评审表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单位名称：</w:t>
      </w:r>
    </w:p>
    <w:tbl>
      <w:tblPr>
        <w:tblStyle w:val="4"/>
        <w:tblW w:w="0" w:type="auto"/>
        <w:tblCellSpacing w:w="7" w:type="dxa"/>
        <w:tblInd w:w="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478"/>
        <w:gridCol w:w="2868"/>
        <w:gridCol w:w="3965"/>
        <w:gridCol w:w="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细则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综合能力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事务所规模、律师构成情况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（优，10分；良，8分；一般，6分）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团队律师近三年担任过行政机关常年法律顾问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一个得3分（总分不超过15分）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文件响应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具有丰富的房产立法、重大决策等行政法律事务经验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提供服务合同、工作开展信息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（优，20分；良，16分；一般，12分）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具备5年以上专门从事法律职业工作经验律师2名，常驻法律服务律师1名（每周5个工作日）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律师简介、法律服务方案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（优，10分；良，8分；一般，6分）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具有丰富的房产类行政诉讼复议事务经验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住房保障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住房租赁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领域复议、诉讼案例（10分，每个2分）；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其他房产领域复议、诉讼案例（10分，每个2分）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服务响应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及保密措施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咨询答复及时、根据要求参与论证；法律服务情况报告完整；工作台账清晰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保密措施完善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等（优，10分；良，8分；一般，7分）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报价唯一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分值= 最低价/报价*15分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A0BA4"/>
    <w:rsid w:val="3DC71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tabs>
        <w:tab w:val="left" w:pos="900"/>
      </w:tabs>
      <w:ind w:firstLine="42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0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</w:rPr>
  </w:style>
  <w:style w:type="paragraph" w:customStyle="1" w:styleId="6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徐露露</cp:lastModifiedBy>
  <dcterms:modified xsi:type="dcterms:W3CDTF">2023-08-28T09:29:53Z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