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6762354">
      <w:pPr>
        <w:spacing w:line="560" w:lineRule="exact"/>
        <w:rPr>
          <w:rFonts w:ascii="仿宋_GB2312" w:eastAsia="仿宋_GB2312"/>
          <w:sz w:val="32"/>
          <w:szCs w:val="32"/>
          <w:highlight w:val="none"/>
        </w:rPr>
      </w:pPr>
      <w:bookmarkStart w:id="482" w:name="_GoBack"/>
      <w:bookmarkEnd w:id="482"/>
    </w:p>
    <w:p w14:paraId="1D3614ED">
      <w:pPr>
        <w:spacing w:line="560" w:lineRule="exact"/>
        <w:rPr>
          <w:rFonts w:ascii="仿宋_GB2312" w:eastAsia="仿宋_GB2312"/>
          <w:sz w:val="32"/>
          <w:szCs w:val="32"/>
          <w:highlight w:val="none"/>
        </w:rPr>
      </w:pPr>
    </w:p>
    <w:p w14:paraId="3ECD7F8C">
      <w:pPr>
        <w:jc w:val="center"/>
        <w:rPr>
          <w:rFonts w:hint="eastAsia" w:ascii="仿宋_GB2312" w:hAnsi="仿宋_GB2312" w:eastAsia="仿宋_GB2312" w:cs="仿宋_GB2312"/>
          <w:b/>
          <w:bCs/>
          <w:sz w:val="44"/>
          <w:szCs w:val="44"/>
          <w:highlight w:val="none"/>
        </w:rPr>
      </w:pPr>
      <w:bookmarkStart w:id="0" w:name="_Toc5076"/>
      <w:bookmarkStart w:id="1" w:name="_Toc6837"/>
      <w:bookmarkStart w:id="2" w:name="_Toc22313"/>
      <w:bookmarkStart w:id="3" w:name="_Toc31059"/>
      <w:r>
        <w:rPr>
          <w:rFonts w:hint="eastAsia" w:ascii="仿宋_GB2312" w:hAnsi="仿宋_GB2312" w:eastAsia="仿宋_GB2312" w:cs="仿宋_GB2312"/>
          <w:b/>
          <w:bCs/>
          <w:sz w:val="44"/>
          <w:szCs w:val="44"/>
          <w:highlight w:val="none"/>
        </w:rPr>
        <w:t>福路通城乡发展（福建）集团有限公司</w:t>
      </w:r>
      <w:bookmarkEnd w:id="0"/>
      <w:bookmarkEnd w:id="1"/>
      <w:bookmarkEnd w:id="2"/>
      <w:bookmarkEnd w:id="3"/>
    </w:p>
    <w:p w14:paraId="6CA2E138">
      <w:pPr>
        <w:jc w:val="center"/>
        <w:rPr>
          <w:rFonts w:hint="eastAsia" w:ascii="仿宋_GB2312" w:hAnsi="仿宋_GB2312" w:eastAsia="仿宋_GB2312" w:cs="仿宋_GB2312"/>
          <w:b/>
          <w:bCs/>
          <w:sz w:val="44"/>
          <w:szCs w:val="44"/>
          <w:highlight w:val="none"/>
        </w:rPr>
      </w:pPr>
      <w:bookmarkStart w:id="4" w:name="_Toc3601"/>
      <w:bookmarkStart w:id="5" w:name="_Toc20933"/>
      <w:bookmarkStart w:id="6" w:name="_Toc22591"/>
      <w:bookmarkStart w:id="7" w:name="_Toc24385"/>
    </w:p>
    <w:p w14:paraId="3FA7067F">
      <w:pPr>
        <w:jc w:val="center"/>
        <w:rPr>
          <w:rFonts w:hint="eastAsia" w:ascii="仿宋_GB2312" w:hAnsi="仿宋_GB2312" w:eastAsia="仿宋_GB2312" w:cs="仿宋_GB2312"/>
          <w:b/>
          <w:bCs/>
          <w:sz w:val="44"/>
          <w:szCs w:val="44"/>
          <w:highlight w:val="none"/>
        </w:rPr>
      </w:pPr>
      <w:r>
        <w:rPr>
          <w:rFonts w:hint="eastAsia" w:ascii="仿宋_GB2312" w:hAnsi="仿宋_GB2312" w:eastAsia="仿宋_GB2312" w:cs="仿宋_GB2312"/>
          <w:b/>
          <w:bCs/>
          <w:sz w:val="44"/>
          <w:szCs w:val="44"/>
          <w:highlight w:val="none"/>
        </w:rPr>
        <w:t>宁上高速路面</w:t>
      </w:r>
      <w:r>
        <w:rPr>
          <w:rFonts w:hint="eastAsia" w:ascii="仿宋_GB2312" w:hAnsi="仿宋_GB2312" w:eastAsia="仿宋_GB2312" w:cs="仿宋_GB2312"/>
          <w:b/>
          <w:bCs/>
          <w:sz w:val="44"/>
          <w:szCs w:val="44"/>
          <w:highlight w:val="none"/>
          <w:lang w:val="en-US" w:eastAsia="zh-CN"/>
        </w:rPr>
        <w:t>交安设施安装服务</w:t>
      </w:r>
      <w:r>
        <w:rPr>
          <w:rFonts w:hint="eastAsia" w:ascii="仿宋_GB2312" w:hAnsi="仿宋_GB2312" w:eastAsia="仿宋_GB2312" w:cs="仿宋_GB2312"/>
          <w:b/>
          <w:bCs/>
          <w:sz w:val="44"/>
          <w:szCs w:val="44"/>
          <w:highlight w:val="none"/>
        </w:rPr>
        <w:t>询价采购文件</w:t>
      </w:r>
      <w:bookmarkEnd w:id="4"/>
      <w:bookmarkEnd w:id="5"/>
      <w:bookmarkEnd w:id="6"/>
      <w:bookmarkEnd w:id="7"/>
    </w:p>
    <w:p w14:paraId="05B1185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44"/>
          <w:szCs w:val="44"/>
          <w:highlight w:val="none"/>
        </w:rPr>
      </w:pPr>
    </w:p>
    <w:p w14:paraId="7600AD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44"/>
          <w:szCs w:val="44"/>
          <w:highlight w:val="none"/>
        </w:rPr>
      </w:pPr>
    </w:p>
    <w:p w14:paraId="12F9FD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44"/>
          <w:szCs w:val="44"/>
          <w:highlight w:val="none"/>
        </w:rPr>
      </w:pPr>
    </w:p>
    <w:p w14:paraId="1B8EF24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44"/>
          <w:szCs w:val="44"/>
          <w:highlight w:val="none"/>
        </w:rPr>
      </w:pPr>
    </w:p>
    <w:p w14:paraId="1AF306D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仿宋_GB2312" w:eastAsia="仿宋_GB2312"/>
          <w:sz w:val="44"/>
          <w:szCs w:val="44"/>
          <w:highlight w:val="none"/>
        </w:rPr>
      </w:pPr>
    </w:p>
    <w:p w14:paraId="785B19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44"/>
          <w:szCs w:val="44"/>
          <w:highlight w:val="none"/>
        </w:rPr>
      </w:pPr>
    </w:p>
    <w:p w14:paraId="59E121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44"/>
          <w:szCs w:val="44"/>
          <w:highlight w:val="none"/>
        </w:rPr>
      </w:pPr>
    </w:p>
    <w:p w14:paraId="2CD58C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44"/>
          <w:szCs w:val="44"/>
          <w:highlight w:val="none"/>
        </w:rPr>
      </w:pPr>
    </w:p>
    <w:p w14:paraId="178EA7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44"/>
          <w:szCs w:val="44"/>
          <w:highlight w:val="none"/>
        </w:rPr>
      </w:pPr>
    </w:p>
    <w:p w14:paraId="56AA2D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44"/>
          <w:szCs w:val="44"/>
          <w:highlight w:val="none"/>
        </w:rPr>
      </w:pPr>
    </w:p>
    <w:p w14:paraId="59AEDA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44"/>
          <w:szCs w:val="44"/>
          <w:highlight w:val="none"/>
        </w:rPr>
      </w:pPr>
    </w:p>
    <w:p w14:paraId="23EEBE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44"/>
          <w:szCs w:val="44"/>
          <w:highlight w:val="none"/>
        </w:rPr>
      </w:pPr>
    </w:p>
    <w:p w14:paraId="18FC95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36"/>
          <w:szCs w:val="36"/>
          <w:highlight w:val="none"/>
        </w:rPr>
      </w:pPr>
      <w:r>
        <w:rPr>
          <w:rFonts w:hint="eastAsia" w:ascii="仿宋_GB2312" w:eastAsia="仿宋_GB2312"/>
          <w:sz w:val="36"/>
          <w:szCs w:val="36"/>
          <w:highlight w:val="none"/>
        </w:rPr>
        <w:t>询价采购人：福路通城乡发展（福建）集团有限公司</w:t>
      </w:r>
    </w:p>
    <w:p w14:paraId="2CF633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36"/>
          <w:szCs w:val="36"/>
          <w:highlight w:val="none"/>
        </w:rPr>
      </w:pPr>
    </w:p>
    <w:p w14:paraId="7C2970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仿宋_GB2312" w:eastAsia="仿宋_GB2312"/>
          <w:sz w:val="36"/>
          <w:szCs w:val="36"/>
          <w:highlight w:val="none"/>
        </w:rPr>
      </w:pPr>
      <w:r>
        <w:rPr>
          <w:rFonts w:hint="eastAsia" w:ascii="仿宋_GB2312" w:eastAsia="仿宋_GB2312"/>
          <w:sz w:val="36"/>
          <w:szCs w:val="36"/>
          <w:highlight w:val="none"/>
        </w:rPr>
        <w:t>日  期：2025年</w:t>
      </w:r>
      <w:r>
        <w:rPr>
          <w:rFonts w:hint="eastAsia" w:ascii="仿宋_GB2312" w:eastAsia="仿宋_GB2312"/>
          <w:sz w:val="36"/>
          <w:szCs w:val="36"/>
          <w:highlight w:val="none"/>
          <w:lang w:val="en-US" w:eastAsia="zh-CN"/>
        </w:rPr>
        <w:t>5</w:t>
      </w:r>
      <w:r>
        <w:rPr>
          <w:rFonts w:hint="eastAsia" w:ascii="仿宋_GB2312" w:eastAsia="仿宋_GB2312"/>
          <w:sz w:val="36"/>
          <w:szCs w:val="36"/>
          <w:highlight w:val="none"/>
        </w:rPr>
        <w:t>月</w:t>
      </w:r>
      <w:r>
        <w:rPr>
          <w:rFonts w:hint="eastAsia" w:ascii="仿宋_GB2312" w:eastAsia="仿宋_GB2312"/>
          <w:sz w:val="36"/>
          <w:szCs w:val="36"/>
          <w:highlight w:val="none"/>
          <w:lang w:val="en-US" w:eastAsia="zh-CN"/>
        </w:rPr>
        <w:t>16</w:t>
      </w:r>
      <w:r>
        <w:rPr>
          <w:rFonts w:hint="eastAsia" w:ascii="仿宋_GB2312" w:eastAsia="仿宋_GB2312"/>
          <w:sz w:val="36"/>
          <w:szCs w:val="36"/>
          <w:highlight w:val="none"/>
        </w:rPr>
        <w:t>日</w:t>
      </w:r>
    </w:p>
    <w:p w14:paraId="5CE00DB2">
      <w:pPr>
        <w:spacing w:line="560" w:lineRule="exact"/>
        <w:rPr>
          <w:rFonts w:ascii="仿宋_GB2312" w:eastAsia="仿宋_GB2312"/>
          <w:b/>
          <w:sz w:val="32"/>
          <w:szCs w:val="32"/>
          <w:highlight w:val="none"/>
        </w:rPr>
      </w:pPr>
    </w:p>
    <w:p w14:paraId="59B78A14">
      <w:pPr>
        <w:rPr>
          <w:highlight w:val="none"/>
        </w:rPr>
      </w:pPr>
    </w:p>
    <w:p w14:paraId="1C3E8393">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hint="eastAsia"/>
          <w:highlight w:val="none"/>
        </w:rPr>
      </w:pPr>
      <w:bookmarkStart w:id="8" w:name="_Toc15660"/>
      <w:bookmarkStart w:id="9" w:name="_Toc10711"/>
      <w:bookmarkStart w:id="10" w:name="_Toc17350"/>
      <w:bookmarkStart w:id="11" w:name="_Toc15082"/>
      <w:bookmarkStart w:id="12" w:name="_Toc9421"/>
      <w:r>
        <w:rPr>
          <w:rFonts w:hint="eastAsia" w:ascii="黑体" w:hAnsi="黑体" w:eastAsia="黑体" w:cs="黑体"/>
          <w:sz w:val="44"/>
          <w:szCs w:val="44"/>
          <w:highlight w:val="none"/>
        </w:rPr>
        <w:t>目  录</w:t>
      </w:r>
      <w:bookmarkEnd w:id="8"/>
      <w:bookmarkEnd w:id="9"/>
      <w:bookmarkEnd w:id="10"/>
      <w:bookmarkEnd w:id="11"/>
    </w:p>
    <w:bookmarkEnd w:id="12"/>
    <w:sdt>
      <w:sdtPr>
        <w:rPr>
          <w:rFonts w:ascii="宋体" w:hAnsi="宋体" w:eastAsia="宋体" w:cs="Times New Roman"/>
          <w:kern w:val="2"/>
          <w:sz w:val="21"/>
          <w:highlight w:val="none"/>
          <w:lang w:val="en-US" w:eastAsia="zh-CN" w:bidi="ar-SA"/>
        </w:rPr>
        <w:id w:val="147464670"/>
        <w15:color w:val="DBDBDB"/>
        <w:docPartObj>
          <w:docPartGallery w:val="Table of Contents"/>
          <w:docPartUnique/>
        </w:docPartObj>
      </w:sdtPr>
      <w:sdtEndPr>
        <w:rPr>
          <w:rFonts w:hint="eastAsia" w:ascii="仿宋_GB2312" w:hAnsi="仿宋_GB2312" w:eastAsia="仿宋_GB2312" w:cs="仿宋_GB2312"/>
          <w:b w:val="0"/>
          <w:bCs w:val="0"/>
          <w:kern w:val="2"/>
          <w:sz w:val="32"/>
          <w:szCs w:val="32"/>
          <w:highlight w:val="none"/>
          <w:lang w:val="en-US" w:eastAsia="zh-CN" w:bidi="ar-SA"/>
        </w:rPr>
      </w:sdtEndPr>
      <w:sdtContent>
        <w:p w14:paraId="2F9DF669">
          <w:pPr>
            <w:pStyle w:val="13"/>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TOC \o "1-1" \h \u </w:instrText>
          </w:r>
          <w:r>
            <w:rPr>
              <w:rFonts w:hint="eastAsia" w:ascii="仿宋_GB2312" w:hAnsi="仿宋_GB2312" w:eastAsia="仿宋_GB2312" w:cs="仿宋_GB2312"/>
              <w:b w:val="0"/>
              <w:bCs w:val="0"/>
              <w:sz w:val="32"/>
              <w:szCs w:val="32"/>
              <w:highlight w:val="none"/>
            </w:rPr>
            <w:fldChar w:fldCharType="separate"/>
          </w:r>
        </w:p>
        <w:p w14:paraId="056F1BA8">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_Toc16324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第一篇  询价采购公告</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_Toc16324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3</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0942CC61">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_Toc7861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第二篇  项目采购规格、最高限价及质量要求</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_Toc7861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7</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18D8FCE7">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_Toc25767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第三篇  供应商须知</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_Toc25767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10</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74D496B8">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_Toc26033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第四篇  响应文件要求</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_Toc26033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13</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5AF145F5">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_Toc14432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第五篇  评审办法</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_Toc14432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16</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53782B5F">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_Toc5020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第六篇  合同主要条款、合同格式</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_Toc5020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23</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423F7BFB">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_Toc18943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第七篇  响应文件格式</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_Toc18943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31</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23D63A64">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_Toc14403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kern w:val="44"/>
              <w:sz w:val="32"/>
              <w:szCs w:val="32"/>
              <w:highlight w:val="none"/>
            </w:rPr>
            <w:t>一、报 价 函</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_Toc14403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35</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737C1E46">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_Toc29219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kern w:val="44"/>
              <w:sz w:val="32"/>
              <w:szCs w:val="32"/>
              <w:highlight w:val="none"/>
              <w:lang w:val="en-US" w:eastAsia="zh-CN" w:bidi="ar-SA"/>
            </w:rPr>
            <w:t>二、</w:t>
          </w:r>
          <w:r>
            <w:rPr>
              <w:rFonts w:hint="eastAsia" w:ascii="仿宋_GB2312" w:hAnsi="仿宋_GB2312" w:eastAsia="仿宋_GB2312" w:cs="仿宋_GB2312"/>
              <w:b w:val="0"/>
              <w:bCs w:val="0"/>
              <w:kern w:val="44"/>
              <w:sz w:val="32"/>
              <w:szCs w:val="32"/>
              <w:highlight w:val="none"/>
            </w:rPr>
            <w:t>报 价 表</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_Toc29219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36</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67AD87DE">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_Toc9369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kern w:val="44"/>
              <w:sz w:val="32"/>
              <w:szCs w:val="32"/>
              <w:highlight w:val="none"/>
            </w:rPr>
            <w:t>三、供应商法定代表人身份证明书</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_Toc9369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37</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21BA1C3B">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_Toc30813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kern w:val="44"/>
              <w:sz w:val="32"/>
              <w:szCs w:val="32"/>
              <w:highlight w:val="none"/>
            </w:rPr>
            <w:t>四、供应商法定代表人授权委托书</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_Toc30813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39</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7EB22855">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_Toc29705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kern w:val="44"/>
              <w:sz w:val="32"/>
              <w:szCs w:val="32"/>
              <w:highlight w:val="none"/>
            </w:rPr>
            <w:t>五、资质文件</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_Toc29705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41</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6626C563">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_Toc1035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kern w:val="44"/>
              <w:sz w:val="32"/>
              <w:szCs w:val="32"/>
              <w:highlight w:val="none"/>
              <w:lang w:val="en-US" w:eastAsia="zh-CN"/>
            </w:rPr>
            <w:t>六、业绩证明文件</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_Toc1035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42</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20B85B3C">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_Toc21288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kern w:val="44"/>
              <w:sz w:val="32"/>
              <w:szCs w:val="32"/>
              <w:highlight w:val="none"/>
              <w:lang w:val="en-US" w:eastAsia="zh-CN"/>
            </w:rPr>
            <w:t>七</w:t>
          </w:r>
          <w:r>
            <w:rPr>
              <w:rFonts w:hint="eastAsia" w:ascii="仿宋_GB2312" w:hAnsi="仿宋_GB2312" w:eastAsia="仿宋_GB2312" w:cs="仿宋_GB2312"/>
              <w:b w:val="0"/>
              <w:bCs w:val="0"/>
              <w:kern w:val="44"/>
              <w:sz w:val="32"/>
              <w:szCs w:val="32"/>
              <w:highlight w:val="none"/>
            </w:rPr>
            <w:t>、拟投入本项目劳务协作的车辆、设备一览表</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_Toc21288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43</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59853BEE">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_Toc4054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kern w:val="44"/>
              <w:sz w:val="32"/>
              <w:szCs w:val="32"/>
              <w:highlight w:val="none"/>
              <w:lang w:val="en-US" w:eastAsia="zh-CN"/>
            </w:rPr>
            <w:t>八、拟投入本项目协作人员名单</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_Toc4054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44</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3C655AA7">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_Toc9576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kern w:val="44"/>
              <w:sz w:val="32"/>
              <w:szCs w:val="32"/>
              <w:highlight w:val="none"/>
              <w:lang w:val="en-US" w:eastAsia="zh-CN"/>
            </w:rPr>
            <w:t>九</w:t>
          </w:r>
          <w:r>
            <w:rPr>
              <w:rFonts w:hint="eastAsia" w:ascii="仿宋_GB2312" w:hAnsi="仿宋_GB2312" w:eastAsia="仿宋_GB2312" w:cs="仿宋_GB2312"/>
              <w:b w:val="0"/>
              <w:bCs w:val="0"/>
              <w:kern w:val="44"/>
              <w:sz w:val="32"/>
              <w:szCs w:val="32"/>
              <w:highlight w:val="none"/>
            </w:rPr>
            <w:t>、其他文件</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_Toc9576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45</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45C54D94">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_Toc25805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kern w:val="44"/>
              <w:sz w:val="32"/>
              <w:szCs w:val="32"/>
              <w:highlight w:val="none"/>
              <w:lang w:val="en-US" w:eastAsia="zh-CN"/>
            </w:rPr>
            <w:t>十、承诺函</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_Toc25805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46</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58DF5F17">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HYPERLINK \l _Toc15738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kern w:val="44"/>
              <w:sz w:val="32"/>
              <w:szCs w:val="32"/>
              <w:highlight w:val="none"/>
              <w:lang w:val="en-US" w:eastAsia="zh-CN"/>
            </w:rPr>
            <w:t>十一</w:t>
          </w:r>
          <w:r>
            <w:rPr>
              <w:rFonts w:hint="eastAsia" w:ascii="仿宋_GB2312" w:hAnsi="仿宋_GB2312" w:eastAsia="仿宋_GB2312" w:cs="仿宋_GB2312"/>
              <w:b w:val="0"/>
              <w:bCs w:val="0"/>
              <w:kern w:val="44"/>
              <w:sz w:val="32"/>
              <w:szCs w:val="32"/>
              <w:highlight w:val="none"/>
            </w:rPr>
            <w:t>、供应商廉政保证书</w:t>
          </w:r>
          <w:r>
            <w:rPr>
              <w:rFonts w:hint="eastAsia" w:ascii="仿宋_GB2312" w:hAnsi="仿宋_GB2312" w:eastAsia="仿宋_GB2312" w:cs="仿宋_GB2312"/>
              <w:b w:val="0"/>
              <w:bCs w:val="0"/>
              <w:sz w:val="32"/>
              <w:szCs w:val="32"/>
              <w:highlight w:val="none"/>
            </w:rPr>
            <w:tab/>
          </w:r>
          <w:r>
            <w:rPr>
              <w:rFonts w:hint="eastAsia" w:ascii="仿宋_GB2312" w:hAnsi="仿宋_GB2312" w:eastAsia="仿宋_GB2312" w:cs="仿宋_GB2312"/>
              <w:b w:val="0"/>
              <w:bCs w:val="0"/>
              <w:sz w:val="32"/>
              <w:szCs w:val="32"/>
              <w:highlight w:val="none"/>
            </w:rPr>
            <w:fldChar w:fldCharType="begin"/>
          </w:r>
          <w:r>
            <w:rPr>
              <w:rFonts w:hint="eastAsia" w:ascii="仿宋_GB2312" w:hAnsi="仿宋_GB2312" w:eastAsia="仿宋_GB2312" w:cs="仿宋_GB2312"/>
              <w:b w:val="0"/>
              <w:bCs w:val="0"/>
              <w:sz w:val="32"/>
              <w:szCs w:val="32"/>
              <w:highlight w:val="none"/>
            </w:rPr>
            <w:instrText xml:space="preserve"> PAGEREF _Toc15738 \h </w:instrText>
          </w:r>
          <w:r>
            <w:rPr>
              <w:rFonts w:hint="eastAsia" w:ascii="仿宋_GB2312" w:hAnsi="仿宋_GB2312" w:eastAsia="仿宋_GB2312" w:cs="仿宋_GB2312"/>
              <w:b w:val="0"/>
              <w:bCs w:val="0"/>
              <w:sz w:val="32"/>
              <w:szCs w:val="32"/>
              <w:highlight w:val="none"/>
            </w:rPr>
            <w:fldChar w:fldCharType="separate"/>
          </w:r>
          <w:r>
            <w:rPr>
              <w:rFonts w:hint="eastAsia" w:ascii="仿宋_GB2312" w:hAnsi="仿宋_GB2312" w:eastAsia="仿宋_GB2312" w:cs="仿宋_GB2312"/>
              <w:b w:val="0"/>
              <w:bCs w:val="0"/>
              <w:sz w:val="32"/>
              <w:szCs w:val="32"/>
              <w:highlight w:val="none"/>
            </w:rPr>
            <w:t>47</w:t>
          </w:r>
          <w:r>
            <w:rPr>
              <w:rFonts w:hint="eastAsia" w:ascii="仿宋_GB2312" w:hAnsi="仿宋_GB2312" w:eastAsia="仿宋_GB2312" w:cs="仿宋_GB2312"/>
              <w:b w:val="0"/>
              <w:bCs w:val="0"/>
              <w:sz w:val="32"/>
              <w:szCs w:val="32"/>
              <w:highlight w:val="none"/>
            </w:rPr>
            <w:fldChar w:fldCharType="end"/>
          </w:r>
          <w:r>
            <w:rPr>
              <w:rFonts w:hint="eastAsia" w:ascii="仿宋_GB2312" w:hAnsi="仿宋_GB2312" w:eastAsia="仿宋_GB2312" w:cs="仿宋_GB2312"/>
              <w:b w:val="0"/>
              <w:bCs w:val="0"/>
              <w:sz w:val="32"/>
              <w:szCs w:val="32"/>
              <w:highlight w:val="none"/>
            </w:rPr>
            <w:fldChar w:fldCharType="end"/>
          </w:r>
        </w:p>
        <w:p w14:paraId="46B7D1B7">
          <w:pPr>
            <w:pStyle w:val="22"/>
            <w:keepNext w:val="0"/>
            <w:keepLines w:val="0"/>
            <w:pageBreakBefore w:val="0"/>
            <w:widowControl w:val="0"/>
            <w:tabs>
              <w:tab w:val="right" w:leader="dot" w:pos="8902"/>
              <w:tab w:val="clear" w:pos="8505"/>
            </w:tabs>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sz w:val="32"/>
              <w:szCs w:val="32"/>
              <w:highlight w:val="none"/>
            </w:rPr>
            <w:fldChar w:fldCharType="end"/>
          </w:r>
        </w:p>
      </w:sdtContent>
    </w:sdt>
    <w:p w14:paraId="72547C8C">
      <w:pPr>
        <w:pStyle w:val="14"/>
        <w:keepNext w:val="0"/>
        <w:keepLines w:val="0"/>
        <w:widowControl w:val="0"/>
        <w:kinsoku/>
        <w:wordWrap/>
        <w:overflowPunct/>
        <w:topLinePunct w:val="0"/>
        <w:autoSpaceDE/>
        <w:autoSpaceDN/>
        <w:bidi w:val="0"/>
        <w:adjustRightInd/>
        <w:snapToGrid/>
        <w:spacing w:line="560" w:lineRule="exact"/>
        <w:textAlignment w:val="auto"/>
        <w:rPr>
          <w:rFonts w:hint="eastAsia"/>
          <w:highlight w:val="none"/>
        </w:rPr>
      </w:pPr>
    </w:p>
    <w:p w14:paraId="7D5470A0">
      <w:pPr>
        <w:spacing w:line="560" w:lineRule="exact"/>
        <w:ind w:firstLine="640" w:firstLineChars="200"/>
        <w:rPr>
          <w:rFonts w:hint="eastAsia" w:ascii="仿宋_GB2312" w:hAnsi="仿宋_GB2312" w:eastAsia="仿宋_GB2312" w:cs="仿宋_GB2312"/>
          <w:sz w:val="32"/>
          <w:szCs w:val="32"/>
          <w:highlight w:val="none"/>
        </w:rPr>
      </w:pPr>
    </w:p>
    <w:p w14:paraId="2B71A0F6">
      <w:pPr>
        <w:keepNext w:val="0"/>
        <w:keepLines w:val="0"/>
        <w:pageBreakBefore/>
        <w:widowControl w:val="0"/>
        <w:kinsoku/>
        <w:overflowPunct/>
        <w:topLinePunct w:val="0"/>
        <w:autoSpaceDE/>
        <w:autoSpaceDN/>
        <w:bidi w:val="0"/>
        <w:adjustRightInd/>
        <w:snapToGrid/>
        <w:spacing w:line="560" w:lineRule="exact"/>
        <w:jc w:val="center"/>
        <w:textAlignment w:val="auto"/>
        <w:outlineLvl w:val="0"/>
        <w:rPr>
          <w:rFonts w:hint="eastAsia" w:ascii="黑体" w:hAnsi="黑体" w:eastAsia="黑体" w:cs="黑体"/>
          <w:sz w:val="44"/>
          <w:szCs w:val="44"/>
          <w:highlight w:val="none"/>
        </w:rPr>
      </w:pPr>
      <w:bookmarkStart w:id="13" w:name="_Toc32144"/>
      <w:bookmarkStart w:id="14" w:name="_Toc16324"/>
      <w:bookmarkStart w:id="15" w:name="_Toc31528"/>
      <w:r>
        <w:rPr>
          <w:rFonts w:hint="eastAsia" w:ascii="黑体" w:hAnsi="黑体" w:eastAsia="黑体" w:cs="黑体"/>
          <w:sz w:val="44"/>
          <w:szCs w:val="44"/>
          <w:highlight w:val="none"/>
        </w:rPr>
        <w:t>第一篇  询价采购公告</w:t>
      </w:r>
      <w:bookmarkEnd w:id="13"/>
      <w:bookmarkEnd w:id="14"/>
      <w:bookmarkEnd w:id="15"/>
    </w:p>
    <w:p w14:paraId="4138DA81">
      <w:pPr>
        <w:keepNext w:val="0"/>
        <w:keepLines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p>
    <w:p w14:paraId="3D23583C">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福路通城乡发展（福建）集团有限公司对</w:t>
      </w:r>
      <w:r>
        <w:rPr>
          <w:rFonts w:hint="eastAsia" w:ascii="仿宋_GB2312" w:hAnsi="仿宋_GB2312" w:eastAsia="仿宋_GB2312" w:cs="仿宋_GB2312"/>
          <w:sz w:val="32"/>
          <w:szCs w:val="32"/>
          <w:highlight w:val="none"/>
          <w:lang w:val="en-US" w:eastAsia="zh-CN"/>
        </w:rPr>
        <w:t>宁上高速路面交安设施安装服务</w:t>
      </w:r>
      <w:r>
        <w:rPr>
          <w:rFonts w:hint="eastAsia" w:ascii="仿宋_GB2312" w:hAnsi="仿宋_GB2312" w:eastAsia="仿宋_GB2312" w:cs="仿宋_GB2312"/>
          <w:sz w:val="32"/>
          <w:szCs w:val="32"/>
          <w:highlight w:val="none"/>
        </w:rPr>
        <w:t>进行询价采购，现欢迎中国境内具备资质能力的合格供应商参与本项目询价活动。</w:t>
      </w:r>
    </w:p>
    <w:p w14:paraId="0FFCD9AE">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sz w:val="32"/>
          <w:szCs w:val="32"/>
          <w:highlight w:val="none"/>
        </w:rPr>
      </w:pPr>
      <w:bookmarkStart w:id="16" w:name="_Toc11987"/>
      <w:bookmarkStart w:id="17" w:name="_Toc8192"/>
      <w:bookmarkStart w:id="18" w:name="_Toc7329"/>
      <w:bookmarkStart w:id="19" w:name="_Toc359"/>
      <w:bookmarkStart w:id="20" w:name="_Toc409439663"/>
      <w:bookmarkStart w:id="21" w:name="_Toc508286650"/>
      <w:bookmarkStart w:id="22" w:name="_Toc257911916"/>
      <w:r>
        <w:rPr>
          <w:rFonts w:hint="eastAsia" w:ascii="仿宋_GB2312" w:hAnsi="仿宋_GB2312" w:eastAsia="仿宋_GB2312" w:cs="仿宋_GB2312"/>
          <w:b/>
          <w:sz w:val="32"/>
          <w:szCs w:val="32"/>
          <w:highlight w:val="none"/>
        </w:rPr>
        <w:t>一、项目基本情况</w:t>
      </w:r>
      <w:bookmarkEnd w:id="16"/>
      <w:bookmarkEnd w:id="17"/>
      <w:bookmarkEnd w:id="18"/>
      <w:bookmarkEnd w:id="19"/>
    </w:p>
    <w:p w14:paraId="7237A08E">
      <w:pPr>
        <w:keepNext w:val="0"/>
        <w:keepLines w:val="0"/>
        <w:widowControl w:val="0"/>
        <w:kinsoku/>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rPr>
        <w:t>项目名称：</w:t>
      </w:r>
      <w:r>
        <w:rPr>
          <w:rFonts w:hint="eastAsia" w:ascii="仿宋_GB2312" w:hAnsi="仿宋_GB2312" w:eastAsia="仿宋_GB2312" w:cs="仿宋_GB2312"/>
          <w:sz w:val="32"/>
          <w:szCs w:val="32"/>
          <w:highlight w:val="none"/>
          <w:lang w:val="en-US" w:eastAsia="zh-CN"/>
        </w:rPr>
        <w:t>宁上高速路面交安设施安装服务</w:t>
      </w:r>
    </w:p>
    <w:p w14:paraId="5B175834">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采购方式：公开询价采购</w:t>
      </w:r>
    </w:p>
    <w:p w14:paraId="299F9D08">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采购需求：</w:t>
      </w:r>
      <w:r>
        <w:rPr>
          <w:rFonts w:hint="eastAsia" w:ascii="仿宋_GB2312" w:hAnsi="仿宋_GB2312" w:eastAsia="仿宋_GB2312" w:cs="仿宋_GB2312"/>
          <w:sz w:val="32"/>
          <w:szCs w:val="32"/>
          <w:highlight w:val="none"/>
          <w:lang w:val="en-US" w:eastAsia="zh-CN"/>
        </w:rPr>
        <w:t>劳务协作服务</w:t>
      </w:r>
      <w:r>
        <w:rPr>
          <w:rFonts w:hint="eastAsia" w:ascii="仿宋_GB2312" w:hAnsi="仿宋_GB2312" w:eastAsia="仿宋_GB2312" w:cs="仿宋_GB2312"/>
          <w:sz w:val="32"/>
          <w:szCs w:val="32"/>
          <w:highlight w:val="none"/>
        </w:rPr>
        <w:t>，具体要求详见采购文件第二篇。</w:t>
      </w:r>
    </w:p>
    <w:p w14:paraId="6B580316">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项目含税最高限价：</w:t>
      </w:r>
      <w:r>
        <w:rPr>
          <w:rFonts w:hint="eastAsia" w:ascii="仿宋_GB2312" w:hAnsi="仿宋_GB2312" w:eastAsia="仿宋_GB2312" w:cs="仿宋_GB2312"/>
          <w:sz w:val="32"/>
          <w:szCs w:val="32"/>
          <w:highlight w:val="none"/>
          <w:lang w:val="en-US" w:eastAsia="zh-CN" w:bidi="ar"/>
        </w:rPr>
        <w:t>425970</w:t>
      </w:r>
      <w:r>
        <w:rPr>
          <w:rFonts w:hint="eastAsia" w:ascii="仿宋_GB2312" w:hAnsi="仿宋_GB2312" w:eastAsia="仿宋_GB2312" w:cs="仿宋_GB2312"/>
          <w:sz w:val="32"/>
          <w:szCs w:val="32"/>
          <w:highlight w:val="none"/>
          <w:lang w:bidi="ar"/>
        </w:rPr>
        <w:t>元，</w:t>
      </w:r>
      <w:r>
        <w:rPr>
          <w:rFonts w:hint="eastAsia" w:ascii="仿宋_GB2312" w:hAnsi="仿宋_GB2312" w:eastAsia="仿宋_GB2312" w:cs="仿宋_GB2312"/>
          <w:sz w:val="32"/>
          <w:szCs w:val="32"/>
          <w:highlight w:val="none"/>
          <w:lang w:val="en-US" w:eastAsia="zh-CN" w:bidi="ar"/>
        </w:rPr>
        <w:t>其中，</w:t>
      </w:r>
      <w:r>
        <w:rPr>
          <w:rFonts w:hint="eastAsia" w:ascii="仿宋_GB2312" w:hAnsi="仿宋_GB2312" w:eastAsia="仿宋_GB2312" w:cs="仿宋_GB2312"/>
          <w:color w:val="000000"/>
          <w:kern w:val="0"/>
          <w:sz w:val="32"/>
          <w:szCs w:val="32"/>
          <w:highlight w:val="none"/>
          <w:lang w:bidi="ar"/>
        </w:rPr>
        <w:t>TS级可导向防撞垫</w:t>
      </w:r>
      <w:r>
        <w:rPr>
          <w:rFonts w:hint="eastAsia" w:ascii="仿宋_GB2312" w:hAnsi="仿宋_GB2312" w:eastAsia="仿宋_GB2312" w:cs="仿宋_GB2312"/>
          <w:sz w:val="32"/>
          <w:szCs w:val="32"/>
          <w:highlight w:val="none"/>
          <w:lang w:val="en-US" w:eastAsia="zh-CN"/>
        </w:rPr>
        <w:t>劳务协作服务的最高限价为</w:t>
      </w:r>
      <w:r>
        <w:rPr>
          <w:rFonts w:hint="eastAsia" w:ascii="仿宋_GB2312" w:hAnsi="仿宋_GB2312" w:eastAsia="仿宋_GB2312" w:cs="仿宋_GB2312"/>
          <w:color w:val="000000"/>
          <w:sz w:val="32"/>
          <w:szCs w:val="32"/>
          <w:highlight w:val="none"/>
          <w:lang w:val="en-US" w:eastAsia="zh-CN"/>
        </w:rPr>
        <w:t>30720元，</w:t>
      </w:r>
      <w:r>
        <w:rPr>
          <w:rFonts w:hint="eastAsia" w:ascii="仿宋_GB2312" w:hAnsi="仿宋_GB2312" w:eastAsia="仿宋_GB2312" w:cs="仿宋_GB2312"/>
          <w:color w:val="000000"/>
          <w:kern w:val="0"/>
          <w:sz w:val="32"/>
          <w:szCs w:val="32"/>
          <w:highlight w:val="none"/>
          <w:lang w:bidi="ar"/>
        </w:rPr>
        <w:t>SB级中分带开口活动护栏</w:t>
      </w:r>
      <w:r>
        <w:rPr>
          <w:rFonts w:hint="eastAsia" w:ascii="仿宋_GB2312" w:hAnsi="仿宋_GB2312" w:eastAsia="仿宋_GB2312" w:cs="仿宋_GB2312"/>
          <w:sz w:val="32"/>
          <w:szCs w:val="32"/>
          <w:highlight w:val="none"/>
          <w:lang w:val="en-US" w:eastAsia="zh-CN"/>
        </w:rPr>
        <w:t>劳务协作服务的最高限价为</w:t>
      </w:r>
      <w:r>
        <w:rPr>
          <w:rFonts w:hint="eastAsia" w:ascii="仿宋_GB2312" w:hAnsi="仿宋_GB2312" w:eastAsia="仿宋_GB2312" w:cs="仿宋_GB2312"/>
          <w:color w:val="000000"/>
          <w:sz w:val="32"/>
          <w:szCs w:val="32"/>
          <w:highlight w:val="none"/>
          <w:lang w:val="en-US" w:eastAsia="zh-CN"/>
        </w:rPr>
        <w:t>395250元。</w:t>
      </w:r>
      <w:r>
        <w:rPr>
          <w:rFonts w:hint="eastAsia" w:ascii="仿宋_GB2312" w:hAnsi="仿宋_GB2312" w:eastAsia="仿宋_GB2312" w:cs="仿宋_GB2312"/>
          <w:sz w:val="32"/>
          <w:szCs w:val="32"/>
          <w:highlight w:val="none"/>
          <w:lang w:bidi="ar"/>
        </w:rPr>
        <w:t>本项目设置响应最高限价，供应商响应报价不得超出最高限价。</w:t>
      </w:r>
    </w:p>
    <w:p w14:paraId="2A7B5243">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合同履行期限：自合同签订之日起一年内</w:t>
      </w:r>
    </w:p>
    <w:p w14:paraId="580FA423">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供货地点：</w:t>
      </w:r>
      <w:r>
        <w:rPr>
          <w:rFonts w:hint="eastAsia" w:ascii="仿宋_GB2312" w:hAnsi="仿宋_GB2312" w:eastAsia="仿宋_GB2312" w:cs="仿宋_GB2312"/>
          <w:bCs/>
          <w:sz w:val="32"/>
          <w:szCs w:val="32"/>
          <w:highlight w:val="none"/>
        </w:rPr>
        <w:t>福建省内采购人指定地点</w:t>
      </w:r>
    </w:p>
    <w:p w14:paraId="2F32D7A5">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sz w:val="32"/>
          <w:szCs w:val="32"/>
          <w:highlight w:val="none"/>
        </w:rPr>
      </w:pPr>
      <w:bookmarkStart w:id="23" w:name="_Toc26096"/>
      <w:bookmarkStart w:id="24" w:name="_Toc5762"/>
      <w:bookmarkStart w:id="25" w:name="_Toc27157"/>
      <w:bookmarkStart w:id="26" w:name="_Toc12322"/>
      <w:r>
        <w:rPr>
          <w:rFonts w:hint="eastAsia" w:ascii="仿宋_GB2312" w:hAnsi="仿宋_GB2312" w:eastAsia="仿宋_GB2312" w:cs="仿宋_GB2312"/>
          <w:b/>
          <w:sz w:val="32"/>
          <w:szCs w:val="32"/>
          <w:highlight w:val="none"/>
        </w:rPr>
        <w:t>二、供应商资格条件</w:t>
      </w:r>
      <w:bookmarkEnd w:id="23"/>
      <w:bookmarkEnd w:id="24"/>
      <w:bookmarkEnd w:id="25"/>
      <w:bookmarkEnd w:id="26"/>
    </w:p>
    <w:p w14:paraId="4C879767">
      <w:pPr>
        <w:keepNext w:val="0"/>
        <w:keepLines w:val="0"/>
        <w:widowControl w:val="0"/>
        <w:kinsoku/>
        <w:wordWrap w:val="0"/>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bookmarkStart w:id="27" w:name="_Toc21706"/>
      <w:bookmarkStart w:id="28" w:name="_Toc19788"/>
      <w:bookmarkStart w:id="29" w:name="OLE_LINK2"/>
      <w:r>
        <w:rPr>
          <w:rFonts w:hint="eastAsia" w:ascii="仿宋_GB2312" w:hAnsi="仿宋_GB2312" w:eastAsia="仿宋_GB2312" w:cs="仿宋_GB2312"/>
          <w:sz w:val="32"/>
          <w:szCs w:val="32"/>
          <w:highlight w:val="none"/>
        </w:rPr>
        <w:t>（一）在中华人民共和国境内注册且合法存续的企业法人。</w:t>
      </w:r>
      <w:bookmarkEnd w:id="27"/>
      <w:bookmarkEnd w:id="28"/>
    </w:p>
    <w:p w14:paraId="55CC2EE2">
      <w:pPr>
        <w:keepNext w:val="0"/>
        <w:keepLines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lang w:eastAsia="zh-CN"/>
        </w:rPr>
        <w:t>）</w:t>
      </w:r>
      <w:bookmarkStart w:id="30" w:name="OLE_LINK20"/>
      <w:r>
        <w:rPr>
          <w:rFonts w:hint="eastAsia" w:ascii="仿宋_GB2312" w:hAnsi="仿宋_GB2312" w:eastAsia="仿宋_GB2312" w:cs="仿宋_GB2312"/>
          <w:sz w:val="32"/>
          <w:szCs w:val="32"/>
          <w:highlight w:val="none"/>
        </w:rPr>
        <w:t>具有公路交通工程(公路安全设施分项) 专业承包贰级及以上</w:t>
      </w:r>
      <w:r>
        <w:rPr>
          <w:rFonts w:hint="eastAsia" w:ascii="仿宋_GB2312" w:hAnsi="仿宋_GB2312" w:eastAsia="仿宋_GB2312" w:cs="仿宋_GB2312"/>
          <w:sz w:val="32"/>
          <w:szCs w:val="32"/>
          <w:highlight w:val="none"/>
          <w:lang w:val="en-US" w:eastAsia="zh-CN"/>
        </w:rPr>
        <w:t>或公路工程施工总承包贰级及以上</w:t>
      </w:r>
      <w:r>
        <w:rPr>
          <w:rFonts w:hint="eastAsia" w:ascii="仿宋_GB2312" w:hAnsi="仿宋_GB2312" w:eastAsia="仿宋_GB2312" w:cs="仿宋_GB2312"/>
          <w:sz w:val="32"/>
          <w:szCs w:val="32"/>
          <w:highlight w:val="none"/>
        </w:rPr>
        <w:t>资质</w:t>
      </w:r>
      <w:bookmarkEnd w:id="30"/>
      <w:r>
        <w:rPr>
          <w:rFonts w:hint="eastAsia" w:ascii="仿宋_GB2312" w:hAnsi="仿宋_GB2312" w:eastAsia="仿宋_GB2312" w:cs="仿宋_GB2312"/>
          <w:sz w:val="32"/>
          <w:szCs w:val="32"/>
          <w:highlight w:val="none"/>
        </w:rPr>
        <w:t>。</w:t>
      </w:r>
    </w:p>
    <w:p w14:paraId="5F134BD6">
      <w:pPr>
        <w:keepNext w:val="0"/>
        <w:keepLines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具备建设行政主管部门核发的企业安全生产许可证。</w:t>
      </w:r>
    </w:p>
    <w:p w14:paraId="7CD034BA">
      <w:pPr>
        <w:keepNext w:val="0"/>
        <w:keepLines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color w:val="000000"/>
          <w:sz w:val="32"/>
          <w:szCs w:val="32"/>
          <w:highlight w:val="none"/>
        </w:rPr>
        <w:t>近2年内未被国家企业信用信息公示系统列入经营异常名录或者严重违法失信名单的（应提供企业在国家企业信用信息公示系统http://www.gsxt.gov.cn中公示的“企业信用信息”之“基础信息”“列入经营异常名录”“列入严重违法失信企业名单（黑名单）信息”（网页截图））</w:t>
      </w:r>
      <w:r>
        <w:rPr>
          <w:rFonts w:hint="eastAsia" w:ascii="仿宋_GB2312" w:hAnsi="仿宋_GB2312" w:eastAsia="仿宋_GB2312" w:cs="仿宋_GB2312"/>
          <w:sz w:val="32"/>
          <w:szCs w:val="32"/>
          <w:highlight w:val="none"/>
        </w:rPr>
        <w:t>。</w:t>
      </w:r>
    </w:p>
    <w:p w14:paraId="01CD6206">
      <w:pPr>
        <w:keepNext w:val="0"/>
        <w:keepLines w:val="0"/>
        <w:widowControl w:val="0"/>
        <w:kinsoku/>
        <w:wordWrap w:val="0"/>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）企业、法定代表人未被列入失信被执行人名单（应提供企业、企业法定代表人在中国执行信息公开网http://zxgk.court.gov.cn中“综合查询被执行人-全国法院”查询的信息（网页截图））。</w:t>
      </w:r>
    </w:p>
    <w:p w14:paraId="1B65FCDB">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六</w:t>
      </w:r>
      <w:r>
        <w:rPr>
          <w:rFonts w:hint="eastAsia" w:ascii="仿宋_GB2312" w:hAnsi="仿宋_GB2312" w:eastAsia="仿宋_GB2312" w:cs="仿宋_GB2312"/>
          <w:sz w:val="32"/>
          <w:szCs w:val="32"/>
          <w:highlight w:val="none"/>
        </w:rPr>
        <w:t>）符合国家法律、行政法规规定的其他条件。</w:t>
      </w:r>
    </w:p>
    <w:p w14:paraId="32A2305B">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七</w:t>
      </w:r>
      <w:r>
        <w:rPr>
          <w:rFonts w:hint="eastAsia" w:ascii="仿宋_GB2312" w:hAnsi="仿宋_GB2312" w:eastAsia="仿宋_GB2312" w:cs="仿宋_GB2312"/>
          <w:sz w:val="32"/>
          <w:szCs w:val="32"/>
          <w:highlight w:val="none"/>
        </w:rPr>
        <w:t>）本项目不接受联合体竞</w:t>
      </w:r>
      <w:r>
        <w:rPr>
          <w:rFonts w:hint="eastAsia" w:ascii="仿宋_GB2312" w:hAnsi="仿宋_GB2312" w:eastAsia="仿宋_GB2312" w:cs="仿宋_GB2312"/>
          <w:sz w:val="32"/>
          <w:szCs w:val="32"/>
          <w:highlight w:val="none"/>
          <w:lang w:val="en-US" w:eastAsia="zh-CN"/>
        </w:rPr>
        <w:t>价</w:t>
      </w:r>
      <w:r>
        <w:rPr>
          <w:rFonts w:hint="eastAsia" w:ascii="仿宋_GB2312" w:hAnsi="仿宋_GB2312" w:eastAsia="仿宋_GB2312" w:cs="仿宋_GB2312"/>
          <w:sz w:val="32"/>
          <w:szCs w:val="32"/>
          <w:highlight w:val="none"/>
        </w:rPr>
        <w:t>，不得转租、转让。</w:t>
      </w:r>
    </w:p>
    <w:p w14:paraId="1325E1E3">
      <w:pPr>
        <w:keepNext w:val="0"/>
        <w:keepLines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八</w:t>
      </w:r>
      <w:r>
        <w:rPr>
          <w:rFonts w:hint="eastAsia" w:ascii="仿宋_GB2312" w:hAnsi="仿宋_GB2312" w:eastAsia="仿宋_GB2312" w:cs="仿宋_GB2312"/>
          <w:sz w:val="32"/>
          <w:szCs w:val="32"/>
          <w:highlight w:val="none"/>
        </w:rPr>
        <w:t>）法定代表人为同一个人的两个及两个以上法人，母公司、全资子公司及其控股公司，存在资产关联关系的单位，不得在本次招商活动中同时提交竞价申请。</w:t>
      </w:r>
    </w:p>
    <w:bookmarkEnd w:id="29"/>
    <w:p w14:paraId="2F57783D">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
          <w:sz w:val="32"/>
          <w:szCs w:val="32"/>
          <w:highlight w:val="none"/>
        </w:rPr>
      </w:pPr>
      <w:bookmarkStart w:id="31" w:name="_Toc23288"/>
      <w:bookmarkStart w:id="32" w:name="_Toc13870"/>
      <w:bookmarkStart w:id="33" w:name="_Toc24219"/>
      <w:bookmarkStart w:id="34" w:name="_Toc1301"/>
      <w:r>
        <w:rPr>
          <w:rFonts w:hint="eastAsia" w:ascii="仿宋_GB2312" w:hAnsi="仿宋_GB2312" w:eastAsia="仿宋_GB2312" w:cs="仿宋_GB2312"/>
          <w:b/>
          <w:sz w:val="32"/>
          <w:szCs w:val="32"/>
          <w:highlight w:val="none"/>
        </w:rPr>
        <w:t>三、采购文件获取方式</w:t>
      </w:r>
      <w:bookmarkEnd w:id="31"/>
      <w:bookmarkEnd w:id="32"/>
      <w:bookmarkEnd w:id="33"/>
      <w:bookmarkEnd w:id="34"/>
    </w:p>
    <w:p w14:paraId="49AC8D88">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凡有意参加本项目的供应商采用以下两种方式获取采购文件：</w:t>
      </w:r>
    </w:p>
    <w:p w14:paraId="7BBE7E48">
      <w:pPr>
        <w:keepNext w:val="0"/>
        <w:keepLines w:val="0"/>
        <w:widowControl w:val="0"/>
        <w:kinsoku/>
        <w:wordWrap w:val="0"/>
        <w:overflowPunct/>
        <w:topLinePunct w:val="0"/>
        <w:autoSpaceDE/>
        <w:autoSpaceDN/>
        <w:bidi w:val="0"/>
        <w:adjustRightInd/>
        <w:snapToGrid/>
        <w:spacing w:line="560" w:lineRule="exact"/>
        <w:ind w:firstLine="640" w:firstLineChars="200"/>
        <w:textAlignment w:val="auto"/>
        <w:rPr>
          <w:rStyle w:val="37"/>
          <w:rFonts w:ascii="仿宋_GB2312" w:hAnsi="仿宋_GB2312" w:eastAsia="仿宋_GB2312" w:cs="仿宋_GB2312"/>
          <w:color w:val="auto"/>
          <w:sz w:val="32"/>
          <w:szCs w:val="32"/>
          <w:highlight w:val="none"/>
          <w:u w:val="none"/>
        </w:rPr>
      </w:pPr>
      <w:r>
        <w:rPr>
          <w:rFonts w:hint="eastAsia" w:ascii="仿宋_GB2312" w:hAnsi="仿宋_GB2312" w:eastAsia="仿宋_GB2312" w:cs="仿宋_GB2312"/>
          <w:sz w:val="32"/>
          <w:szCs w:val="32"/>
          <w:highlight w:val="none"/>
        </w:rPr>
        <w:t>（一）意向参与本项目的供应商自行在本项目响应文件递交截止时间前访问福建省高速公路集团有限公司官网（</w:t>
      </w:r>
      <w:r>
        <w:rPr>
          <w:rStyle w:val="37"/>
          <w:rFonts w:hint="eastAsia" w:ascii="仿宋_GB2312" w:hAnsi="仿宋_GB2312" w:eastAsia="仿宋_GB2312" w:cs="仿宋_GB2312"/>
          <w:color w:val="auto"/>
          <w:sz w:val="32"/>
          <w:szCs w:val="32"/>
          <w:highlight w:val="none"/>
          <w:u w:val="none"/>
        </w:rPr>
        <w:fldChar w:fldCharType="begin"/>
      </w:r>
      <w:r>
        <w:rPr>
          <w:rStyle w:val="37"/>
          <w:rFonts w:hint="eastAsia" w:ascii="仿宋_GB2312" w:hAnsi="仿宋_GB2312" w:eastAsia="仿宋_GB2312" w:cs="仿宋_GB2312"/>
          <w:color w:val="auto"/>
          <w:sz w:val="32"/>
          <w:szCs w:val="32"/>
          <w:highlight w:val="none"/>
          <w:u w:val="none"/>
        </w:rPr>
        <w:instrText xml:space="preserve"> HYPERLINK "http://www.fjgsgl.com）自行下载,或请于2020年5月" </w:instrText>
      </w:r>
      <w:r>
        <w:rPr>
          <w:rStyle w:val="37"/>
          <w:rFonts w:hint="eastAsia" w:ascii="仿宋_GB2312" w:hAnsi="仿宋_GB2312" w:eastAsia="仿宋_GB2312" w:cs="仿宋_GB2312"/>
          <w:color w:val="auto"/>
          <w:sz w:val="32"/>
          <w:szCs w:val="32"/>
          <w:highlight w:val="none"/>
          <w:u w:val="none"/>
        </w:rPr>
        <w:fldChar w:fldCharType="separate"/>
      </w:r>
      <w:r>
        <w:rPr>
          <w:rStyle w:val="37"/>
          <w:rFonts w:hint="eastAsia" w:ascii="仿宋_GB2312" w:hAnsi="仿宋_GB2312" w:eastAsia="仿宋_GB2312" w:cs="仿宋_GB2312"/>
          <w:color w:val="auto"/>
          <w:sz w:val="32"/>
          <w:szCs w:val="32"/>
          <w:highlight w:val="none"/>
          <w:u w:val="none"/>
        </w:rPr>
        <w:t>www.fjgsgl.com）、</w:t>
      </w:r>
      <w:r>
        <w:rPr>
          <w:rStyle w:val="37"/>
          <w:rFonts w:hint="eastAsia" w:ascii="仿宋_GB2312" w:hAnsi="仿宋_GB2312" w:eastAsia="仿宋_GB2312" w:cs="仿宋_GB2312"/>
          <w:color w:val="auto"/>
          <w:sz w:val="32"/>
          <w:szCs w:val="32"/>
          <w:highlight w:val="none"/>
          <w:u w:val="none"/>
          <w:lang w:val="en-US" w:eastAsia="zh-CN"/>
        </w:rPr>
        <w:t>中国</w:t>
      </w:r>
      <w:r>
        <w:rPr>
          <w:rStyle w:val="37"/>
          <w:rFonts w:hint="eastAsia" w:ascii="仿宋_GB2312" w:hAnsi="仿宋_GB2312" w:eastAsia="仿宋_GB2312" w:cs="仿宋_GB2312"/>
          <w:color w:val="auto"/>
          <w:sz w:val="32"/>
          <w:szCs w:val="32"/>
          <w:highlight w:val="none"/>
          <w:u w:val="none"/>
        </w:rPr>
        <w:t>采购与招标网（http://www.chinabidding.com.cn/)、福建高速集采平台（https://gsjc.fjetc.com/)下载采购文件。</w:t>
      </w:r>
    </w:p>
    <w:p w14:paraId="55FF953A">
      <w:pPr>
        <w:keepNext w:val="0"/>
        <w:keepLines w:val="0"/>
        <w:widowControl w:val="0"/>
        <w:kinsoku/>
        <w:wordWrap w:val="0"/>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Style w:val="37"/>
          <w:rFonts w:hint="eastAsia" w:ascii="仿宋_GB2312" w:hAnsi="仿宋_GB2312" w:eastAsia="仿宋_GB2312" w:cs="仿宋_GB2312"/>
          <w:color w:val="auto"/>
          <w:sz w:val="32"/>
          <w:szCs w:val="32"/>
          <w:highlight w:val="none"/>
          <w:u w:val="none"/>
        </w:rPr>
        <w:t>（二）意向参与本项目的供应商于2025年</w:t>
      </w:r>
      <w:r>
        <w:rPr>
          <w:rStyle w:val="37"/>
          <w:rFonts w:hint="eastAsia" w:ascii="仿宋_GB2312" w:hAnsi="仿宋_GB2312" w:eastAsia="仿宋_GB2312" w:cs="仿宋_GB2312"/>
          <w:color w:val="auto"/>
          <w:sz w:val="32"/>
          <w:szCs w:val="32"/>
          <w:highlight w:val="none"/>
          <w:u w:val="none"/>
          <w:lang w:val="en-US" w:eastAsia="zh-CN"/>
        </w:rPr>
        <w:t>5</w:t>
      </w:r>
      <w:r>
        <w:rPr>
          <w:rStyle w:val="37"/>
          <w:rFonts w:hint="eastAsia" w:ascii="仿宋_GB2312" w:hAnsi="仿宋_GB2312" w:eastAsia="仿宋_GB2312" w:cs="仿宋_GB2312"/>
          <w:color w:val="auto"/>
          <w:sz w:val="32"/>
          <w:szCs w:val="32"/>
          <w:highlight w:val="none"/>
          <w:u w:val="none"/>
        </w:rPr>
        <w:t>月</w:t>
      </w:r>
      <w:r>
        <w:rPr>
          <w:rStyle w:val="37"/>
          <w:rFonts w:hint="eastAsia" w:ascii="仿宋_GB2312" w:hAnsi="仿宋_GB2312" w:eastAsia="仿宋_GB2312" w:cs="仿宋_GB2312"/>
          <w:color w:val="auto"/>
          <w:sz w:val="32"/>
          <w:szCs w:val="32"/>
          <w:highlight w:val="none"/>
          <w:u w:val="none"/>
        </w:rPr>
        <w:fldChar w:fldCharType="end"/>
      </w:r>
      <w:r>
        <w:rPr>
          <w:rStyle w:val="37"/>
          <w:rFonts w:hint="eastAsia" w:ascii="仿宋_GB2312" w:hAnsi="仿宋_GB2312" w:eastAsia="仿宋_GB2312" w:cs="仿宋_GB2312"/>
          <w:color w:val="auto"/>
          <w:sz w:val="32"/>
          <w:szCs w:val="32"/>
          <w:highlight w:val="none"/>
          <w:u w:val="none"/>
          <w:lang w:val="en-US" w:eastAsia="zh-CN"/>
        </w:rPr>
        <w:t>17</w:t>
      </w:r>
      <w:r>
        <w:rPr>
          <w:rStyle w:val="37"/>
          <w:rFonts w:hint="eastAsia" w:ascii="仿宋_GB2312" w:hAnsi="仿宋_GB2312" w:eastAsia="仿宋_GB2312" w:cs="仿宋_GB2312"/>
          <w:color w:val="auto"/>
          <w:sz w:val="32"/>
          <w:szCs w:val="32"/>
          <w:highlight w:val="none"/>
          <w:u w:val="none"/>
        </w:rPr>
        <w:t>日至</w:t>
      </w:r>
      <w:r>
        <w:rPr>
          <w:rStyle w:val="37"/>
          <w:rFonts w:hint="eastAsia" w:ascii="仿宋_GB2312" w:hAnsi="仿宋_GB2312" w:eastAsia="仿宋_GB2312" w:cs="仿宋_GB2312"/>
          <w:color w:val="auto"/>
          <w:sz w:val="32"/>
          <w:szCs w:val="32"/>
          <w:highlight w:val="none"/>
          <w:u w:val="none"/>
          <w:lang w:val="en-US" w:eastAsia="zh-CN"/>
        </w:rPr>
        <w:t>5</w:t>
      </w:r>
      <w:r>
        <w:rPr>
          <w:rStyle w:val="37"/>
          <w:rFonts w:hint="eastAsia" w:ascii="仿宋_GB2312" w:hAnsi="仿宋_GB2312" w:eastAsia="仿宋_GB2312" w:cs="仿宋_GB2312"/>
          <w:color w:val="auto"/>
          <w:sz w:val="32"/>
          <w:szCs w:val="32"/>
          <w:highlight w:val="none"/>
          <w:u w:val="none"/>
        </w:rPr>
        <w:t>月</w:t>
      </w:r>
      <w:r>
        <w:rPr>
          <w:rStyle w:val="37"/>
          <w:rFonts w:hint="eastAsia" w:ascii="仿宋_GB2312" w:hAnsi="仿宋_GB2312" w:eastAsia="仿宋_GB2312" w:cs="仿宋_GB2312"/>
          <w:color w:val="auto"/>
          <w:sz w:val="32"/>
          <w:szCs w:val="32"/>
          <w:highlight w:val="none"/>
          <w:u w:val="none"/>
          <w:lang w:val="en-US" w:eastAsia="zh-CN"/>
        </w:rPr>
        <w:t>21</w:t>
      </w:r>
      <w:r>
        <w:rPr>
          <w:rFonts w:hint="eastAsia" w:ascii="仿宋_GB2312" w:hAnsi="仿宋_GB2312" w:eastAsia="仿宋_GB2312" w:cs="仿宋_GB2312"/>
          <w:sz w:val="32"/>
          <w:szCs w:val="32"/>
          <w:highlight w:val="none"/>
        </w:rPr>
        <w:t>日（法定公休日及法定节假日除外）每天</w:t>
      </w:r>
      <w:r>
        <w:rPr>
          <w:rFonts w:ascii="仿宋_GB2312" w:hAnsi="仿宋_GB2312" w:eastAsia="仿宋_GB2312" w:cs="仿宋_GB2312"/>
          <w:sz w:val="32"/>
          <w:szCs w:val="32"/>
          <w:highlight w:val="none"/>
        </w:rPr>
        <w:t>9:00</w:t>
      </w:r>
      <w:r>
        <w:rPr>
          <w:rFonts w:hint="eastAsia" w:ascii="仿宋_GB2312" w:hAnsi="仿宋_GB2312" w:eastAsia="仿宋_GB2312" w:cs="仿宋_GB2312"/>
          <w:sz w:val="32"/>
          <w:szCs w:val="32"/>
          <w:highlight w:val="none"/>
        </w:rPr>
        <w:t>—17:00，到福路通城乡发展（福建）集团有限公司（福建省福州市鼓楼区东水路18号交通运输厅26楼）领取询价采购文件</w:t>
      </w:r>
      <w:r>
        <w:rPr>
          <w:rFonts w:hint="eastAsia" w:ascii="仿宋_GB2312" w:hAnsi="仿宋_GB2312" w:eastAsia="仿宋_GB2312" w:cs="仿宋_GB2312"/>
          <w:sz w:val="32"/>
          <w:szCs w:val="32"/>
          <w:highlight w:val="none"/>
          <w:lang w:val="en-US" w:eastAsia="zh-CN"/>
        </w:rPr>
        <w:t>或自行从官网下载</w:t>
      </w:r>
      <w:r>
        <w:rPr>
          <w:rFonts w:hint="eastAsia" w:ascii="仿宋_GB2312" w:hAnsi="仿宋_GB2312" w:eastAsia="仿宋_GB2312" w:cs="仿宋_GB2312"/>
          <w:sz w:val="32"/>
          <w:szCs w:val="32"/>
          <w:highlight w:val="none"/>
        </w:rPr>
        <w:t>。</w:t>
      </w:r>
    </w:p>
    <w:p w14:paraId="0995B401">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bookmarkStart w:id="35" w:name="_Toc19478"/>
      <w:bookmarkStart w:id="36" w:name="_Toc20987"/>
      <w:bookmarkStart w:id="37" w:name="_Toc4696"/>
      <w:bookmarkStart w:id="38" w:name="_Toc26131"/>
      <w:r>
        <w:rPr>
          <w:rFonts w:hint="eastAsia" w:ascii="仿宋_GB2312" w:hAnsi="仿宋_GB2312" w:eastAsia="仿宋_GB2312" w:cs="仿宋_GB2312"/>
          <w:b/>
          <w:sz w:val="32"/>
          <w:szCs w:val="32"/>
          <w:highlight w:val="none"/>
        </w:rPr>
        <w:t>四、响应文件递交方式及递交截止时间</w:t>
      </w:r>
      <w:bookmarkEnd w:id="35"/>
      <w:bookmarkEnd w:id="36"/>
      <w:bookmarkEnd w:id="37"/>
      <w:bookmarkEnd w:id="38"/>
    </w:p>
    <w:p w14:paraId="4F274A94">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highlight w:val="none"/>
        </w:rPr>
      </w:pPr>
      <w:bookmarkStart w:id="39" w:name="_Toc31488"/>
      <w:bookmarkStart w:id="40" w:name="_Toc6177"/>
      <w:r>
        <w:rPr>
          <w:rFonts w:hint="eastAsia" w:ascii="仿宋_GB2312" w:hAnsi="仿宋_GB2312" w:eastAsia="仿宋_GB2312" w:cs="仿宋_GB2312"/>
          <w:bCs/>
          <w:sz w:val="32"/>
          <w:szCs w:val="32"/>
          <w:highlight w:val="none"/>
        </w:rPr>
        <w:t>（一）响应文件递交方式</w:t>
      </w:r>
      <w:bookmarkEnd w:id="39"/>
      <w:bookmarkEnd w:id="40"/>
    </w:p>
    <w:p w14:paraId="3164DCCB">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本项目可采用以下两种方式送达响应文件：</w:t>
      </w:r>
    </w:p>
    <w:p w14:paraId="05772719">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highlight w:val="none"/>
        </w:rPr>
      </w:pPr>
      <w:r>
        <w:rPr>
          <w:rFonts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rPr>
        <w:t>邮寄递交：供应商应在响应递交截止时间前将响应文件按照询价采购文件规定包封后快递送达福州市鼓楼区东水路18号交通综合大楼26层，采购人以签收响应文件时间确定为递交时间。</w:t>
      </w:r>
    </w:p>
    <w:p w14:paraId="4723AB45">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收件信息如下：</w:t>
      </w:r>
    </w:p>
    <w:p w14:paraId="3E6E50F4">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邮寄地址：福州市鼓楼区东水路18号交通综合大楼26层福路通城乡发展（福建）集团有限公司</w:t>
      </w:r>
    </w:p>
    <w:p w14:paraId="29248725">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收件人：</w:t>
      </w:r>
      <w:r>
        <w:rPr>
          <w:rFonts w:hint="eastAsia" w:ascii="仿宋_GB2312" w:hAnsi="仿宋_GB2312" w:eastAsia="仿宋_GB2312" w:cs="仿宋_GB2312"/>
          <w:bCs/>
          <w:sz w:val="32"/>
          <w:szCs w:val="32"/>
          <w:highlight w:val="none"/>
          <w:lang w:val="en-US" w:eastAsia="zh-CN"/>
        </w:rPr>
        <w:t>蔡女士</w:t>
      </w:r>
    </w:p>
    <w:p w14:paraId="79615C7F">
      <w:pPr>
        <w:keepNext w:val="0"/>
        <w:keepLines w:val="0"/>
        <w:widowControl w:val="0"/>
        <w:kinsoku/>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rPr>
        <w:t>联系电话：</w:t>
      </w:r>
      <w:r>
        <w:rPr>
          <w:rFonts w:hint="eastAsia" w:ascii="仿宋_GB2312" w:hAnsi="仿宋_GB2312" w:eastAsia="仿宋_GB2312" w:cs="仿宋_GB2312"/>
          <w:bCs/>
          <w:sz w:val="32"/>
          <w:szCs w:val="32"/>
          <w:highlight w:val="none"/>
          <w:lang w:val="en-US" w:eastAsia="zh-CN"/>
        </w:rPr>
        <w:t>13705066192</w:t>
      </w:r>
    </w:p>
    <w:p w14:paraId="27266DF9">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ascii="仿宋_GB2312" w:hAnsi="仿宋_GB2312" w:eastAsia="仿宋_GB2312" w:cs="仿宋_GB2312"/>
          <w:bCs/>
          <w:sz w:val="32"/>
          <w:szCs w:val="32"/>
          <w:highlight w:val="none"/>
        </w:rPr>
        <w:t>2.</w:t>
      </w:r>
      <w:r>
        <w:rPr>
          <w:rFonts w:hint="eastAsia" w:ascii="仿宋_GB2312" w:hAnsi="仿宋_GB2312" w:eastAsia="仿宋_GB2312" w:cs="仿宋_GB2312"/>
          <w:bCs/>
          <w:sz w:val="32"/>
          <w:szCs w:val="32"/>
          <w:highlight w:val="none"/>
        </w:rPr>
        <w:t>现场递交：供应商应在响应文件递交截止时间前由供应商法定代表人或其授权代表将纸质响应文件按照询价采购文件规定包封后递交</w:t>
      </w:r>
      <w:r>
        <w:rPr>
          <w:rFonts w:hint="eastAsia" w:ascii="仿宋_GB2312" w:hAnsi="仿宋_GB2312" w:eastAsia="仿宋_GB2312" w:cs="仿宋_GB2312"/>
          <w:sz w:val="32"/>
          <w:szCs w:val="32"/>
          <w:highlight w:val="none"/>
        </w:rPr>
        <w:t>至</w:t>
      </w:r>
      <w:bookmarkStart w:id="41" w:name="OLE_LINK1"/>
      <w:r>
        <w:rPr>
          <w:rFonts w:hint="eastAsia" w:ascii="仿宋_GB2312" w:hAnsi="仿宋_GB2312" w:eastAsia="仿宋_GB2312" w:cs="仿宋_GB2312"/>
          <w:sz w:val="32"/>
          <w:szCs w:val="32"/>
          <w:highlight w:val="none"/>
          <w:u w:val="none"/>
        </w:rPr>
        <w:t>福</w:t>
      </w:r>
      <w:r>
        <w:rPr>
          <w:rFonts w:hint="eastAsia" w:ascii="仿宋_GB2312" w:hAnsi="仿宋_GB2312" w:eastAsia="仿宋_GB2312" w:cs="仿宋_GB2312"/>
          <w:sz w:val="32"/>
          <w:szCs w:val="32"/>
          <w:highlight w:val="none"/>
        </w:rPr>
        <w:t>建省福州市鼓楼区东水路18号交通运输厅26楼福路通城乡发展（福建）集团有限公司</w:t>
      </w:r>
      <w:bookmarkEnd w:id="41"/>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u w:val="single"/>
        </w:rPr>
        <w:t>出席代表需携带法人代表证明或法人授权委托书、身份证原件及盖有单位公章的上述资料复印件</w:t>
      </w:r>
      <w:r>
        <w:rPr>
          <w:rFonts w:hint="eastAsia" w:ascii="仿宋_GB2312" w:hAnsi="仿宋_GB2312" w:eastAsia="仿宋_GB2312" w:cs="仿宋_GB2312"/>
          <w:sz w:val="32"/>
          <w:szCs w:val="32"/>
          <w:highlight w:val="none"/>
        </w:rPr>
        <w:t>以供审查，未按要求提交投标文件将被拒绝。</w:t>
      </w:r>
    </w:p>
    <w:p w14:paraId="0855AA6C">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bookmarkStart w:id="42" w:name="_Toc19577"/>
      <w:r>
        <w:rPr>
          <w:rFonts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rPr>
        <w:t>响应文件递交截止时间</w:t>
      </w:r>
      <w:bookmarkEnd w:id="42"/>
    </w:p>
    <w:p w14:paraId="5977B737">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u w:val="single"/>
        </w:rPr>
        <w:t>2025</w:t>
      </w:r>
      <w:r>
        <w:rPr>
          <w:rFonts w:hint="eastAsia" w:ascii="仿宋_GB2312" w:hAnsi="仿宋_GB2312" w:eastAsia="仿宋_GB2312" w:cs="仿宋_GB2312"/>
          <w:sz w:val="32"/>
          <w:szCs w:val="32"/>
          <w:highlight w:val="none"/>
          <w:u w:val="single"/>
        </w:rPr>
        <w:t>年</w:t>
      </w:r>
      <w:r>
        <w:rPr>
          <w:rFonts w:hint="eastAsia" w:ascii="仿宋_GB2312" w:hAnsi="仿宋_GB2312" w:eastAsia="仿宋_GB2312" w:cs="仿宋_GB2312"/>
          <w:sz w:val="32"/>
          <w:szCs w:val="32"/>
          <w:highlight w:val="none"/>
          <w:u w:val="single"/>
          <w:lang w:val="en-US" w:eastAsia="zh-CN"/>
        </w:rPr>
        <w:t>5</w:t>
      </w:r>
      <w:r>
        <w:rPr>
          <w:rFonts w:hint="eastAsia" w:ascii="仿宋_GB2312" w:hAnsi="仿宋_GB2312" w:eastAsia="仿宋_GB2312" w:cs="仿宋_GB2312"/>
          <w:sz w:val="32"/>
          <w:szCs w:val="32"/>
          <w:highlight w:val="none"/>
          <w:u w:val="single"/>
        </w:rPr>
        <w:t>月</w:t>
      </w:r>
      <w:r>
        <w:rPr>
          <w:rFonts w:hint="eastAsia" w:ascii="仿宋_GB2312" w:hAnsi="仿宋_GB2312" w:eastAsia="仿宋_GB2312" w:cs="仿宋_GB2312"/>
          <w:sz w:val="32"/>
          <w:szCs w:val="32"/>
          <w:highlight w:val="none"/>
          <w:u w:val="single"/>
          <w:lang w:val="en-US" w:eastAsia="zh-CN"/>
        </w:rPr>
        <w:t>22</w:t>
      </w:r>
      <w:r>
        <w:rPr>
          <w:rFonts w:hint="eastAsia" w:ascii="仿宋_GB2312" w:hAnsi="仿宋_GB2312" w:eastAsia="仿宋_GB2312" w:cs="仿宋_GB2312"/>
          <w:sz w:val="32"/>
          <w:szCs w:val="32"/>
          <w:highlight w:val="none"/>
          <w:u w:val="single"/>
        </w:rPr>
        <w:t>日上午</w:t>
      </w:r>
      <w:r>
        <w:rPr>
          <w:rFonts w:ascii="仿宋_GB2312" w:hAnsi="仿宋_GB2312" w:eastAsia="仿宋_GB2312" w:cs="仿宋_GB2312"/>
          <w:sz w:val="32"/>
          <w:szCs w:val="32"/>
          <w:highlight w:val="none"/>
          <w:u w:val="single"/>
        </w:rPr>
        <w:t>9:30</w:t>
      </w:r>
      <w:r>
        <w:rPr>
          <w:rFonts w:hint="eastAsia" w:ascii="仿宋_GB2312" w:hAnsi="仿宋_GB2312" w:eastAsia="仿宋_GB2312" w:cs="仿宋_GB2312"/>
          <w:sz w:val="32"/>
          <w:szCs w:val="32"/>
          <w:highlight w:val="none"/>
        </w:rPr>
        <w:t>（北京时间），逾期送达的或不符合采购文件规定的响应文件将被拒绝。</w:t>
      </w:r>
    </w:p>
    <w:p w14:paraId="60BCABD8">
      <w:pPr>
        <w:keepNext w:val="0"/>
        <w:keepLines w:val="0"/>
        <w:widowControl w:val="0"/>
        <w:kinsoku/>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Cs/>
          <w:sz w:val="32"/>
          <w:szCs w:val="32"/>
          <w:highlight w:val="none"/>
        </w:rPr>
      </w:pPr>
      <w:bookmarkStart w:id="43" w:name="_Toc5555"/>
      <w:bookmarkStart w:id="44" w:name="_Toc17721"/>
      <w:bookmarkStart w:id="45" w:name="_Toc9269"/>
      <w:bookmarkStart w:id="46" w:name="_Toc30636"/>
      <w:r>
        <w:rPr>
          <w:rFonts w:hint="eastAsia" w:ascii="仿宋_GB2312" w:hAnsi="仿宋_GB2312" w:eastAsia="仿宋_GB2312" w:cs="仿宋_GB2312"/>
          <w:b/>
          <w:sz w:val="32"/>
          <w:szCs w:val="32"/>
          <w:highlight w:val="none"/>
        </w:rPr>
        <w:t>五、开标评审时间及地点</w:t>
      </w:r>
      <w:bookmarkEnd w:id="43"/>
      <w:bookmarkEnd w:id="44"/>
      <w:bookmarkEnd w:id="45"/>
      <w:bookmarkEnd w:id="46"/>
      <w:bookmarkStart w:id="47" w:name="OLE_LINK3"/>
    </w:p>
    <w:p w14:paraId="06D5053E">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u w:val="single"/>
        </w:rPr>
        <w:t>2025</w:t>
      </w:r>
      <w:r>
        <w:rPr>
          <w:rFonts w:hint="eastAsia" w:ascii="仿宋_GB2312" w:hAnsi="仿宋_GB2312" w:eastAsia="仿宋_GB2312" w:cs="仿宋_GB2312"/>
          <w:sz w:val="32"/>
          <w:szCs w:val="32"/>
          <w:highlight w:val="none"/>
          <w:u w:val="single"/>
        </w:rPr>
        <w:t>年</w:t>
      </w:r>
      <w:bookmarkEnd w:id="47"/>
      <w:r>
        <w:rPr>
          <w:rFonts w:hint="eastAsia" w:ascii="仿宋_GB2312" w:hAnsi="仿宋_GB2312" w:eastAsia="仿宋_GB2312" w:cs="仿宋_GB2312"/>
          <w:sz w:val="32"/>
          <w:szCs w:val="32"/>
          <w:highlight w:val="none"/>
          <w:u w:val="single"/>
          <w:lang w:val="en-US" w:eastAsia="zh-CN"/>
        </w:rPr>
        <w:t>5</w:t>
      </w:r>
      <w:r>
        <w:rPr>
          <w:rFonts w:hint="eastAsia" w:ascii="仿宋_GB2312" w:hAnsi="仿宋_GB2312" w:eastAsia="仿宋_GB2312" w:cs="仿宋_GB2312"/>
          <w:sz w:val="32"/>
          <w:szCs w:val="32"/>
          <w:highlight w:val="none"/>
          <w:u w:val="single"/>
        </w:rPr>
        <w:t>月</w:t>
      </w:r>
      <w:r>
        <w:rPr>
          <w:rFonts w:hint="eastAsia" w:ascii="仿宋_GB2312" w:hAnsi="仿宋_GB2312" w:eastAsia="仿宋_GB2312" w:cs="仿宋_GB2312"/>
          <w:sz w:val="32"/>
          <w:szCs w:val="32"/>
          <w:highlight w:val="none"/>
          <w:u w:val="single"/>
          <w:lang w:val="en-US" w:eastAsia="zh-CN"/>
        </w:rPr>
        <w:t>22</w:t>
      </w:r>
      <w:r>
        <w:rPr>
          <w:rFonts w:hint="eastAsia" w:ascii="仿宋_GB2312" w:hAnsi="仿宋_GB2312" w:eastAsia="仿宋_GB2312" w:cs="仿宋_GB2312"/>
          <w:sz w:val="32"/>
          <w:szCs w:val="32"/>
          <w:highlight w:val="none"/>
          <w:u w:val="single"/>
        </w:rPr>
        <w:t>日上午</w:t>
      </w:r>
      <w:r>
        <w:rPr>
          <w:rFonts w:ascii="仿宋_GB2312" w:hAnsi="仿宋_GB2312" w:eastAsia="仿宋_GB2312" w:cs="仿宋_GB2312"/>
          <w:sz w:val="32"/>
          <w:szCs w:val="32"/>
          <w:highlight w:val="none"/>
          <w:u w:val="single"/>
        </w:rPr>
        <w:t>9:30</w:t>
      </w:r>
      <w:r>
        <w:rPr>
          <w:rFonts w:hint="eastAsia" w:ascii="仿宋_GB2312" w:hAnsi="仿宋_GB2312" w:eastAsia="仿宋_GB2312" w:cs="仿宋_GB2312"/>
          <w:sz w:val="32"/>
          <w:szCs w:val="32"/>
          <w:highlight w:val="none"/>
        </w:rPr>
        <w:t>（北京时间），福建省福州市鼓楼区东水路18号交通运输厅26楼福路通城乡发展（福建）集团有限公司。</w:t>
      </w:r>
    </w:p>
    <w:p w14:paraId="3536CD6D">
      <w:pPr>
        <w:keepNext w:val="0"/>
        <w:keepLines w:val="0"/>
        <w:widowControl w:val="0"/>
        <w:kinsoku/>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六、凡对本次竞价提出咨询澄清或疑问，请在响应文件递交截止时间之前三日以书面形</w:t>
      </w:r>
      <w:r>
        <w:rPr>
          <w:rFonts w:hint="eastAsia" w:ascii="仿宋_GB2312" w:hAnsi="仿宋_GB2312" w:eastAsia="仿宋_GB2312" w:cs="仿宋_GB2312"/>
          <w:b/>
          <w:bCs w:val="0"/>
          <w:sz w:val="32"/>
          <w:szCs w:val="32"/>
          <w:highlight w:val="none"/>
        </w:rPr>
        <w:t>式与福路通城乡发展（福建）集团有限公司</w:t>
      </w:r>
      <w:r>
        <w:rPr>
          <w:rFonts w:hint="eastAsia" w:ascii="仿宋_GB2312" w:hAnsi="仿宋_GB2312" w:eastAsia="仿宋_GB2312" w:cs="仿宋_GB2312"/>
          <w:b/>
          <w:sz w:val="32"/>
          <w:szCs w:val="32"/>
          <w:highlight w:val="none"/>
        </w:rPr>
        <w:t>联系。</w:t>
      </w:r>
      <w:r>
        <w:rPr>
          <w:rFonts w:ascii="仿宋_GB2312" w:hAnsi="仿宋_GB2312" w:eastAsia="仿宋_GB2312" w:cs="仿宋_GB2312"/>
          <w:b/>
          <w:sz w:val="32"/>
          <w:szCs w:val="32"/>
          <w:highlight w:val="none"/>
        </w:rPr>
        <w:t xml:space="preserve"> </w:t>
      </w:r>
    </w:p>
    <w:p w14:paraId="1273A764">
      <w:pPr>
        <w:keepNext w:val="0"/>
        <w:keepLines w:val="0"/>
        <w:widowControl w:val="0"/>
        <w:kinsoku/>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七、竞价文件和要求如有补充修改，采购人将通过福建省高速公路集团有限公司官网（</w:t>
      </w:r>
      <w:r>
        <w:rPr>
          <w:highlight w:val="none"/>
        </w:rPr>
        <w:fldChar w:fldCharType="begin"/>
      </w:r>
      <w:r>
        <w:rPr>
          <w:highlight w:val="none"/>
        </w:rPr>
        <w:instrText xml:space="preserve"> HYPERLINK "http://www.fjgsgl.com）自行下载,或请于2020年5月" </w:instrText>
      </w:r>
      <w:r>
        <w:rPr>
          <w:highlight w:val="none"/>
        </w:rPr>
        <w:fldChar w:fldCharType="separate"/>
      </w:r>
      <w:r>
        <w:rPr>
          <w:rFonts w:hint="eastAsia" w:ascii="仿宋_GB2312" w:hAnsi="仿宋_GB2312" w:eastAsia="仿宋_GB2312" w:cs="仿宋_GB2312"/>
          <w:b/>
          <w:sz w:val="32"/>
          <w:szCs w:val="32"/>
          <w:highlight w:val="none"/>
        </w:rPr>
        <w:t>www.fjgsgl.com）、</w:t>
      </w:r>
      <w:r>
        <w:rPr>
          <w:rFonts w:hint="eastAsia" w:ascii="仿宋_GB2312" w:hAnsi="仿宋_GB2312" w:eastAsia="仿宋_GB2312" w:cs="仿宋_GB2312"/>
          <w:b/>
          <w:sz w:val="32"/>
          <w:szCs w:val="32"/>
          <w:highlight w:val="none"/>
          <w:lang w:val="en-US" w:eastAsia="zh-CN"/>
        </w:rPr>
        <w:t>中国</w:t>
      </w:r>
      <w:r>
        <w:rPr>
          <w:rFonts w:hint="eastAsia" w:ascii="仿宋_GB2312" w:hAnsi="仿宋_GB2312" w:eastAsia="仿宋_GB2312" w:cs="仿宋_GB2312"/>
          <w:b/>
          <w:sz w:val="32"/>
          <w:szCs w:val="32"/>
          <w:highlight w:val="none"/>
        </w:rPr>
        <w:t>采购与招标网（http://www.chinabidding.com.cn/)、福建高速集采平台（https://gsjc.fjetc.com/)</w:t>
      </w:r>
      <w:r>
        <w:rPr>
          <w:rFonts w:hint="eastAsia" w:ascii="仿宋_GB2312" w:hAnsi="仿宋_GB2312" w:eastAsia="仿宋_GB2312" w:cs="仿宋_GB2312"/>
          <w:b/>
          <w:sz w:val="32"/>
          <w:szCs w:val="32"/>
          <w:highlight w:val="none"/>
        </w:rPr>
        <w:fldChar w:fldCharType="end"/>
      </w:r>
      <w:r>
        <w:rPr>
          <w:rFonts w:hint="eastAsia" w:ascii="仿宋_GB2312" w:hAnsi="仿宋_GB2312" w:eastAsia="仿宋_GB2312" w:cs="仿宋_GB2312"/>
          <w:b/>
          <w:sz w:val="32"/>
          <w:szCs w:val="32"/>
          <w:highlight w:val="none"/>
        </w:rPr>
        <w:t>通知，请供应商自行关注。</w:t>
      </w:r>
    </w:p>
    <w:p w14:paraId="79E9642B">
      <w:pPr>
        <w:keepNext w:val="0"/>
        <w:keepLines w:val="0"/>
        <w:widowControl w:val="0"/>
        <w:kinsoku/>
        <w:overflowPunct/>
        <w:topLinePunct w:val="0"/>
        <w:autoSpaceDE/>
        <w:autoSpaceDN/>
        <w:bidi w:val="0"/>
        <w:adjustRightInd/>
        <w:snapToGrid/>
        <w:spacing w:line="560" w:lineRule="exact"/>
        <w:ind w:firstLine="640" w:firstLineChars="200"/>
        <w:jc w:val="left"/>
        <w:textAlignment w:val="auto"/>
        <w:rPr>
          <w:rFonts w:ascii="仿宋_GB2312" w:hAnsi="仿宋_GB2312" w:eastAsia="仿宋_GB2312" w:cs="仿宋_GB2312"/>
          <w:b/>
          <w:sz w:val="32"/>
          <w:szCs w:val="32"/>
          <w:highlight w:val="none"/>
        </w:rPr>
      </w:pPr>
      <w:bookmarkStart w:id="48" w:name="_Toc31861"/>
      <w:bookmarkStart w:id="49" w:name="_Toc17450"/>
      <w:bookmarkStart w:id="50" w:name="_Toc1155"/>
      <w:bookmarkStart w:id="51" w:name="_Toc30926"/>
      <w:r>
        <w:rPr>
          <w:rFonts w:hint="eastAsia" w:ascii="仿宋_GB2312" w:hAnsi="仿宋_GB2312" w:eastAsia="仿宋_GB2312" w:cs="仿宋_GB2312"/>
          <w:b/>
          <w:sz w:val="32"/>
          <w:szCs w:val="32"/>
          <w:highlight w:val="none"/>
        </w:rPr>
        <w:t>八、评审办法</w:t>
      </w:r>
      <w:bookmarkEnd w:id="48"/>
      <w:bookmarkEnd w:id="49"/>
      <w:bookmarkEnd w:id="50"/>
      <w:bookmarkEnd w:id="51"/>
    </w:p>
    <w:p w14:paraId="0B1CF1B9">
      <w:pPr>
        <w:keepNext w:val="0"/>
        <w:keepLines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highlight w:val="none"/>
        </w:rPr>
      </w:pPr>
      <w:bookmarkStart w:id="52" w:name="OLE_LINK19"/>
      <w:r>
        <w:rPr>
          <w:rFonts w:hint="eastAsia" w:ascii="仿宋_GB2312" w:hAnsi="仿宋_GB2312" w:eastAsia="仿宋_GB2312" w:cs="仿宋_GB2312"/>
          <w:b/>
          <w:bCs w:val="0"/>
          <w:sz w:val="32"/>
          <w:szCs w:val="32"/>
          <w:highlight w:val="none"/>
          <w:lang w:val="en-US" w:eastAsia="zh-CN"/>
        </w:rPr>
        <w:t>评审</w:t>
      </w:r>
      <w:r>
        <w:rPr>
          <w:rFonts w:hint="eastAsia" w:ascii="仿宋_GB2312" w:hAnsi="仿宋_GB2312" w:eastAsia="仿宋_GB2312" w:cs="仿宋_GB2312"/>
          <w:b/>
          <w:bCs w:val="0"/>
          <w:sz w:val="32"/>
          <w:szCs w:val="32"/>
          <w:highlight w:val="none"/>
        </w:rPr>
        <w:t>采用</w:t>
      </w:r>
      <w:r>
        <w:rPr>
          <w:rFonts w:hint="eastAsia" w:ascii="仿宋_GB2312" w:hAnsi="仿宋_GB2312" w:eastAsia="仿宋_GB2312" w:cs="仿宋_GB2312"/>
          <w:b/>
          <w:bCs w:val="0"/>
          <w:sz w:val="32"/>
          <w:szCs w:val="32"/>
          <w:highlight w:val="none"/>
          <w:lang w:val="en-US" w:eastAsia="zh-CN"/>
        </w:rPr>
        <w:t>综合评分法</w:t>
      </w:r>
      <w:bookmarkEnd w:id="52"/>
      <w:r>
        <w:rPr>
          <w:rFonts w:hint="eastAsia" w:ascii="仿宋_GB2312" w:hAnsi="仿宋_GB2312" w:eastAsia="仿宋_GB2312" w:cs="仿宋_GB2312"/>
          <w:b/>
          <w:bCs w:val="0"/>
          <w:sz w:val="32"/>
          <w:szCs w:val="32"/>
          <w:highlight w:val="none"/>
          <w:lang w:val="en-US" w:eastAsia="zh-CN"/>
        </w:rPr>
        <w:t>，</w:t>
      </w:r>
      <w:r>
        <w:rPr>
          <w:rFonts w:hint="eastAsia" w:ascii="仿宋_GB2312" w:hAnsi="仿宋_GB2312" w:eastAsia="仿宋_GB2312" w:cs="仿宋_GB2312"/>
          <w:bCs/>
          <w:sz w:val="32"/>
          <w:szCs w:val="32"/>
          <w:highlight w:val="none"/>
        </w:rPr>
        <w:t>具体详见</w:t>
      </w:r>
      <w:r>
        <w:rPr>
          <w:rFonts w:hint="eastAsia" w:ascii="仿宋_GB2312" w:hAnsi="仿宋_GB2312" w:eastAsia="仿宋_GB2312" w:cs="仿宋_GB2312"/>
          <w:bCs/>
          <w:sz w:val="32"/>
          <w:szCs w:val="32"/>
          <w:highlight w:val="none"/>
          <w:lang w:val="en-US" w:eastAsia="zh-CN"/>
        </w:rPr>
        <w:t>询</w:t>
      </w:r>
      <w:r>
        <w:rPr>
          <w:rFonts w:hint="eastAsia" w:ascii="仿宋_GB2312" w:hAnsi="仿宋_GB2312" w:eastAsia="仿宋_GB2312" w:cs="仿宋_GB2312"/>
          <w:bCs/>
          <w:sz w:val="32"/>
          <w:szCs w:val="32"/>
          <w:highlight w:val="none"/>
        </w:rPr>
        <w:t>价文件。</w:t>
      </w:r>
    </w:p>
    <w:p w14:paraId="615229D4">
      <w:pPr>
        <w:pStyle w:val="23"/>
        <w:keepNext w:val="0"/>
        <w:keepLines w:val="0"/>
        <w:widowControl w:val="0"/>
        <w:kinsoku/>
        <w:overflowPunct/>
        <w:topLinePunct w:val="0"/>
        <w:autoSpaceDE/>
        <w:autoSpaceDN/>
        <w:bidi w:val="0"/>
        <w:adjustRightInd/>
        <w:snapToGrid/>
        <w:spacing w:line="560" w:lineRule="exact"/>
        <w:textAlignment w:val="auto"/>
        <w:rPr>
          <w:rFonts w:hint="eastAsia" w:ascii="仿宋_GB2312" w:hAnsi="仿宋_GB2312" w:eastAsia="仿宋_GB2312" w:cs="仿宋_GB2312"/>
          <w:bCs/>
          <w:sz w:val="32"/>
          <w:szCs w:val="32"/>
          <w:highlight w:val="none"/>
        </w:rPr>
      </w:pPr>
    </w:p>
    <w:p w14:paraId="04901787">
      <w:pPr>
        <w:pStyle w:val="24"/>
        <w:keepNext w:val="0"/>
        <w:keepLines w:val="0"/>
        <w:widowControl w:val="0"/>
        <w:kinsoku/>
        <w:overflowPunct/>
        <w:topLinePunct w:val="0"/>
        <w:autoSpaceDE/>
        <w:autoSpaceDN/>
        <w:bidi w:val="0"/>
        <w:adjustRightInd/>
        <w:snapToGrid/>
        <w:spacing w:line="560" w:lineRule="exact"/>
        <w:textAlignment w:val="auto"/>
        <w:rPr>
          <w:rFonts w:hint="eastAsia"/>
          <w:highlight w:val="none"/>
        </w:rPr>
      </w:pPr>
    </w:p>
    <w:p w14:paraId="22BCFAD8">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采购人：</w:t>
      </w:r>
      <w:r>
        <w:rPr>
          <w:rFonts w:hint="eastAsia" w:ascii="仿宋_GB2312" w:hAnsi="仿宋_GB2312" w:eastAsia="仿宋_GB2312" w:cs="仿宋_GB2312"/>
          <w:sz w:val="32"/>
          <w:szCs w:val="32"/>
          <w:highlight w:val="none"/>
        </w:rPr>
        <w:t>福路通城乡发展（福建）集团有限公司</w:t>
      </w:r>
    </w:p>
    <w:p w14:paraId="46EFE60B">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地址：福建省福州市鼓楼区东水路18号交通运输厅26楼福路通城乡发展（福建）集团有限公司</w:t>
      </w:r>
    </w:p>
    <w:p w14:paraId="7EB9C4D1">
      <w:pPr>
        <w:keepNext w:val="0"/>
        <w:keepLines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蔡女士</w:t>
      </w:r>
    </w:p>
    <w:p w14:paraId="37C08514">
      <w:pPr>
        <w:keepNext w:val="0"/>
        <w:keepLines w:val="0"/>
        <w:widowControl w:val="0"/>
        <w:kinsoku/>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联系电话：</w:t>
      </w:r>
      <w:r>
        <w:rPr>
          <w:rFonts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3705066192</w:t>
      </w:r>
    </w:p>
    <w:p w14:paraId="6FBE338B">
      <w:pPr>
        <w:pStyle w:val="95"/>
        <w:keepNext w:val="0"/>
        <w:keepLines w:val="0"/>
        <w:widowControl w:val="0"/>
        <w:kinsoku/>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竞价保证金汇入账号：</w:t>
      </w:r>
    </w:p>
    <w:p w14:paraId="6ECC4F2F">
      <w:pPr>
        <w:pStyle w:val="95"/>
        <w:keepNext w:val="0"/>
        <w:keepLines w:val="0"/>
        <w:widowControl w:val="0"/>
        <w:kinsoku/>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户名：福路通城乡发展（福建）集团有限公司</w:t>
      </w:r>
    </w:p>
    <w:p w14:paraId="2F06A94C">
      <w:pPr>
        <w:pStyle w:val="95"/>
        <w:keepNext w:val="0"/>
        <w:keepLines w:val="0"/>
        <w:widowControl w:val="0"/>
        <w:kinsoku/>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开户行：中国建设银行股份有限公司福建省分行营业部</w:t>
      </w:r>
    </w:p>
    <w:p w14:paraId="2D999FC1">
      <w:pPr>
        <w:pStyle w:val="95"/>
        <w:keepNext w:val="0"/>
        <w:keepLines w:val="0"/>
        <w:widowControl w:val="0"/>
        <w:kinsoku/>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账号：35050100240600003626</w:t>
      </w:r>
    </w:p>
    <w:p w14:paraId="79926C1A">
      <w:pPr>
        <w:pStyle w:val="95"/>
        <w:keepNext w:val="0"/>
        <w:keepLines w:val="0"/>
        <w:widowControl w:val="0"/>
        <w:kinsoku/>
        <w:overflowPunct/>
        <w:topLinePunct w:val="0"/>
        <w:autoSpaceDE/>
        <w:autoSpaceDN/>
        <w:bidi w:val="0"/>
        <w:adjustRightInd/>
        <w:snapToGrid/>
        <w:spacing w:line="560" w:lineRule="exact"/>
        <w:ind w:firstLine="640"/>
        <w:textAlignment w:val="auto"/>
        <w:rPr>
          <w:rFonts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rPr>
        <w:t>注明用途：</w:t>
      </w:r>
      <w:bookmarkStart w:id="53" w:name="OLE_LINK18"/>
      <w:r>
        <w:rPr>
          <w:rFonts w:hint="eastAsia" w:ascii="仿宋_GB2312" w:hAnsi="仿宋_GB2312" w:eastAsia="仿宋_GB2312" w:cs="仿宋_GB2312"/>
          <w:sz w:val="32"/>
          <w:szCs w:val="32"/>
          <w:highlight w:val="none"/>
          <w:lang w:val="en-US" w:eastAsia="zh-CN"/>
        </w:rPr>
        <w:t>交安设施安装服务项目</w:t>
      </w:r>
      <w:r>
        <w:rPr>
          <w:rFonts w:hint="eastAsia" w:ascii="仿宋_GB2312" w:hAnsi="仿宋_GB2312" w:eastAsia="仿宋_GB2312" w:cs="仿宋_GB2312"/>
          <w:sz w:val="32"/>
          <w:szCs w:val="32"/>
          <w:highlight w:val="none"/>
          <w:lang w:val="en-US"/>
        </w:rPr>
        <w:t>保证金</w:t>
      </w:r>
    </w:p>
    <w:bookmarkEnd w:id="53"/>
    <w:p w14:paraId="44F2DA3B">
      <w:pPr>
        <w:pStyle w:val="95"/>
        <w:keepNext w:val="0"/>
        <w:keepLines w:val="0"/>
        <w:widowControl w:val="0"/>
        <w:kinsoku/>
        <w:overflowPunct/>
        <w:topLinePunct w:val="0"/>
        <w:autoSpaceDE/>
        <w:autoSpaceDN/>
        <w:bidi w:val="0"/>
        <w:adjustRightInd/>
        <w:snapToGrid/>
        <w:spacing w:line="560" w:lineRule="exact"/>
        <w:ind w:left="0" w:leftChars="0" w:firstLine="0" w:firstLineChars="0"/>
        <w:textAlignment w:val="auto"/>
        <w:rPr>
          <w:rFonts w:ascii="仿宋_GB2312" w:hAnsi="仿宋_GB2312" w:eastAsia="仿宋_GB2312" w:cs="仿宋_GB2312"/>
          <w:sz w:val="32"/>
          <w:szCs w:val="32"/>
          <w:highlight w:val="none"/>
          <w:lang w:val="en-US"/>
        </w:rPr>
      </w:pPr>
    </w:p>
    <w:bookmarkEnd w:id="20"/>
    <w:bookmarkEnd w:id="21"/>
    <w:bookmarkEnd w:id="22"/>
    <w:p w14:paraId="5342CA56">
      <w:pPr>
        <w:keepNext w:val="0"/>
        <w:keepLines w:val="0"/>
        <w:widowControl w:val="0"/>
        <w:kinsoku/>
        <w:overflowPunct/>
        <w:topLinePunct w:val="0"/>
        <w:autoSpaceDE/>
        <w:autoSpaceDN/>
        <w:bidi w:val="0"/>
        <w:adjustRightInd/>
        <w:snapToGrid/>
        <w:spacing w:line="560" w:lineRule="exact"/>
        <w:ind w:firstLine="3520" w:firstLineChars="11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福路通城乡发展（福建）集团有限公司</w:t>
      </w:r>
    </w:p>
    <w:p w14:paraId="2AB6B28B">
      <w:pPr>
        <w:keepNext w:val="0"/>
        <w:keepLines w:val="0"/>
        <w:widowControl w:val="0"/>
        <w:kinsoku/>
        <w:overflowPunct/>
        <w:topLinePunct w:val="0"/>
        <w:autoSpaceDE/>
        <w:autoSpaceDN/>
        <w:bidi w:val="0"/>
        <w:adjustRightInd/>
        <w:snapToGrid/>
        <w:spacing w:line="560" w:lineRule="exact"/>
        <w:ind w:firstLine="5280" w:firstLineChars="1650"/>
        <w:textAlignment w:val="auto"/>
        <w:rPr>
          <w:rFonts w:ascii="仿宋_GB2312" w:eastAsia="仿宋_GB2312"/>
          <w:sz w:val="32"/>
          <w:szCs w:val="32"/>
          <w:highlight w:val="none"/>
        </w:rPr>
      </w:pPr>
      <w:r>
        <w:rPr>
          <w:rFonts w:ascii="仿宋_GB2312" w:hAnsi="仿宋_GB2312" w:eastAsia="仿宋_GB2312" w:cs="仿宋_GB2312"/>
          <w:sz w:val="32"/>
          <w:szCs w:val="32"/>
          <w:highlight w:val="none"/>
        </w:rPr>
        <w:t>2025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16</w:t>
      </w:r>
      <w:r>
        <w:rPr>
          <w:rFonts w:hint="eastAsia" w:ascii="仿宋_GB2312" w:hAnsi="仿宋_GB2312" w:eastAsia="仿宋_GB2312" w:cs="仿宋_GB2312"/>
          <w:sz w:val="32"/>
          <w:szCs w:val="32"/>
          <w:highlight w:val="none"/>
        </w:rPr>
        <w:t>日</w:t>
      </w:r>
      <w:r>
        <w:rPr>
          <w:rFonts w:hint="eastAsia" w:ascii="仿宋_GB2312" w:eastAsia="仿宋_GB2312"/>
          <w:sz w:val="32"/>
          <w:szCs w:val="32"/>
          <w:highlight w:val="none"/>
        </w:rPr>
        <w:t xml:space="preserve">    </w:t>
      </w:r>
    </w:p>
    <w:p w14:paraId="0B929CE9">
      <w:pPr>
        <w:keepNext w:val="0"/>
        <w:keepLines w:val="0"/>
        <w:pageBreakBefore/>
        <w:kinsoku/>
        <w:wordWrap/>
        <w:overflowPunct/>
        <w:topLinePunct w:val="0"/>
        <w:autoSpaceDE/>
        <w:autoSpaceDN/>
        <w:bidi w:val="0"/>
        <w:adjustRightInd/>
        <w:spacing w:line="560" w:lineRule="exact"/>
        <w:jc w:val="center"/>
        <w:outlineLvl w:val="0"/>
        <w:rPr>
          <w:rFonts w:hint="eastAsia" w:ascii="黑体" w:hAnsi="黑体" w:eastAsia="黑体" w:cs="黑体"/>
          <w:sz w:val="44"/>
          <w:szCs w:val="44"/>
          <w:highlight w:val="none"/>
        </w:rPr>
      </w:pPr>
      <w:bookmarkStart w:id="54" w:name="_Toc7861"/>
      <w:bookmarkStart w:id="55" w:name="_Toc19464"/>
      <w:bookmarkStart w:id="56" w:name="_Toc19625"/>
      <w:bookmarkStart w:id="57" w:name="_Toc6301"/>
      <w:bookmarkStart w:id="58" w:name="_Toc25255"/>
      <w:bookmarkStart w:id="59" w:name="_Toc7808"/>
      <w:bookmarkStart w:id="60" w:name="_Toc22393"/>
      <w:bookmarkStart w:id="61" w:name="_Toc16809"/>
      <w:bookmarkStart w:id="62" w:name="_Toc15048"/>
      <w:bookmarkStart w:id="63" w:name="_Toc32672"/>
      <w:bookmarkStart w:id="64" w:name="_Toc7871"/>
      <w:r>
        <w:rPr>
          <w:rFonts w:hint="eastAsia" w:ascii="黑体" w:hAnsi="黑体" w:eastAsia="黑体" w:cs="黑体"/>
          <w:sz w:val="44"/>
          <w:szCs w:val="44"/>
          <w:highlight w:val="none"/>
        </w:rPr>
        <w:t>第二篇  项目采购规格、最高限价及质量要求</w:t>
      </w:r>
      <w:bookmarkEnd w:id="54"/>
      <w:bookmarkEnd w:id="55"/>
      <w:bookmarkEnd w:id="56"/>
      <w:bookmarkEnd w:id="57"/>
      <w:bookmarkEnd w:id="58"/>
      <w:bookmarkEnd w:id="59"/>
      <w:bookmarkEnd w:id="60"/>
      <w:bookmarkEnd w:id="61"/>
      <w:bookmarkEnd w:id="62"/>
      <w:bookmarkEnd w:id="63"/>
      <w:bookmarkEnd w:id="64"/>
    </w:p>
    <w:p w14:paraId="129A60D4">
      <w:pPr>
        <w:keepNext w:val="0"/>
        <w:keepLines w:val="0"/>
        <w:kinsoku/>
        <w:wordWrap/>
        <w:overflowPunct/>
        <w:topLinePunct w:val="0"/>
        <w:autoSpaceDE/>
        <w:autoSpaceDN/>
        <w:bidi w:val="0"/>
        <w:adjustRightInd/>
        <w:spacing w:line="560" w:lineRule="exact"/>
        <w:rPr>
          <w:rFonts w:ascii="仿宋_GB2312" w:eastAsia="仿宋_GB2312"/>
          <w:b/>
          <w:sz w:val="32"/>
          <w:szCs w:val="32"/>
          <w:highlight w:val="none"/>
        </w:rPr>
      </w:pPr>
    </w:p>
    <w:p w14:paraId="478151BF">
      <w:pPr>
        <w:keepNext w:val="0"/>
        <w:keepLines w:val="0"/>
        <w:kinsoku/>
        <w:wordWrap/>
        <w:overflowPunct/>
        <w:topLinePunct w:val="0"/>
        <w:autoSpaceDE/>
        <w:autoSpaceDN/>
        <w:bidi w:val="0"/>
        <w:adjustRightInd/>
        <w:spacing w:line="560" w:lineRule="exact"/>
        <w:ind w:firstLine="640" w:firstLineChars="200"/>
        <w:outlineLvl w:val="1"/>
        <w:rPr>
          <w:rFonts w:ascii="仿宋_GB2312" w:hAnsi="仿宋_GB2312" w:eastAsia="仿宋_GB2312" w:cs="仿宋_GB2312"/>
          <w:b/>
          <w:sz w:val="32"/>
          <w:szCs w:val="32"/>
          <w:highlight w:val="none"/>
        </w:rPr>
      </w:pPr>
      <w:bookmarkStart w:id="65" w:name="_Toc8437"/>
      <w:bookmarkStart w:id="66" w:name="_Toc6334"/>
      <w:bookmarkStart w:id="67" w:name="_Toc2381"/>
      <w:bookmarkStart w:id="68" w:name="_Toc4491"/>
      <w:bookmarkStart w:id="69" w:name="_Toc4552"/>
      <w:bookmarkStart w:id="70" w:name="_Toc13610"/>
      <w:r>
        <w:rPr>
          <w:rFonts w:hint="eastAsia" w:ascii="仿宋_GB2312" w:hAnsi="仿宋_GB2312" w:eastAsia="仿宋_GB2312" w:cs="仿宋_GB2312"/>
          <w:b/>
          <w:sz w:val="32"/>
          <w:szCs w:val="32"/>
          <w:highlight w:val="none"/>
        </w:rPr>
        <w:t>一、</w:t>
      </w:r>
      <w:r>
        <w:rPr>
          <w:rFonts w:hint="eastAsia" w:ascii="仿宋_GB2312" w:hAnsi="仿宋_GB2312" w:eastAsia="仿宋_GB2312" w:cs="仿宋_GB2312"/>
          <w:b/>
          <w:sz w:val="32"/>
          <w:szCs w:val="32"/>
          <w:highlight w:val="none"/>
          <w:lang w:val="en-US" w:eastAsia="zh-CN"/>
        </w:rPr>
        <w:t>安装</w:t>
      </w:r>
      <w:r>
        <w:rPr>
          <w:rFonts w:hint="eastAsia" w:ascii="仿宋_GB2312" w:hAnsi="仿宋_GB2312" w:eastAsia="仿宋_GB2312" w:cs="仿宋_GB2312"/>
          <w:b/>
          <w:sz w:val="32"/>
          <w:szCs w:val="32"/>
          <w:highlight w:val="none"/>
        </w:rPr>
        <w:t>产品规格、最高限价</w:t>
      </w:r>
      <w:bookmarkEnd w:id="65"/>
      <w:bookmarkEnd w:id="66"/>
      <w:bookmarkEnd w:id="67"/>
      <w:bookmarkEnd w:id="68"/>
      <w:bookmarkEnd w:id="69"/>
      <w:bookmarkEnd w:id="70"/>
    </w:p>
    <w:tbl>
      <w:tblPr>
        <w:tblStyle w:val="31"/>
        <w:tblW w:w="9249" w:type="dxa"/>
        <w:jc w:val="center"/>
        <w:tblLayout w:type="fixed"/>
        <w:tblCellMar>
          <w:top w:w="0" w:type="dxa"/>
          <w:left w:w="108" w:type="dxa"/>
          <w:bottom w:w="0" w:type="dxa"/>
          <w:right w:w="108" w:type="dxa"/>
        </w:tblCellMar>
      </w:tblPr>
      <w:tblGrid>
        <w:gridCol w:w="1554"/>
        <w:gridCol w:w="2025"/>
        <w:gridCol w:w="1134"/>
        <w:gridCol w:w="1134"/>
        <w:gridCol w:w="1701"/>
        <w:gridCol w:w="1701"/>
      </w:tblGrid>
      <w:tr w14:paraId="199EF08E">
        <w:tblPrEx>
          <w:tblCellMar>
            <w:top w:w="0" w:type="dxa"/>
            <w:left w:w="108" w:type="dxa"/>
            <w:bottom w:w="0" w:type="dxa"/>
            <w:right w:w="108" w:type="dxa"/>
          </w:tblCellMar>
        </w:tblPrEx>
        <w:trPr>
          <w:trHeight w:val="567" w:hRule="atLeast"/>
          <w:jc w:val="center"/>
        </w:trPr>
        <w:tc>
          <w:tcPr>
            <w:tcW w:w="3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FF8D3A5">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kern w:val="0"/>
                <w:sz w:val="32"/>
                <w:szCs w:val="32"/>
                <w:highlight w:val="none"/>
                <w:lang w:bidi="ar"/>
              </w:rPr>
              <w:t>产品类型</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06135875">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color w:val="000000"/>
                <w:kern w:val="0"/>
                <w:sz w:val="32"/>
                <w:szCs w:val="32"/>
                <w:highlight w:val="none"/>
                <w:lang w:bidi="ar"/>
              </w:rPr>
            </w:pPr>
            <w:r>
              <w:rPr>
                <w:rFonts w:hint="eastAsia" w:ascii="仿宋_GB2312" w:hAnsi="仿宋_GB2312" w:eastAsia="仿宋_GB2312" w:cs="仿宋_GB2312"/>
                <w:color w:val="000000"/>
                <w:kern w:val="0"/>
                <w:sz w:val="32"/>
                <w:szCs w:val="32"/>
                <w:highlight w:val="none"/>
                <w:lang w:val="en-US" w:eastAsia="zh-CN" w:bidi="ar"/>
              </w:rPr>
              <w:t>单位</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14:paraId="77DC33CF">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数量</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685AB5DD">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color w:val="000000"/>
                <w:sz w:val="32"/>
                <w:szCs w:val="32"/>
                <w:highlight w:val="none"/>
              </w:rPr>
            </w:pPr>
            <w:bookmarkStart w:id="71" w:name="OLE_LINK8"/>
            <w:r>
              <w:rPr>
                <w:rFonts w:hint="eastAsia" w:ascii="仿宋_GB2312" w:hAnsi="仿宋_GB2312" w:eastAsia="仿宋_GB2312" w:cs="仿宋_GB2312"/>
                <w:color w:val="000000"/>
                <w:sz w:val="32"/>
                <w:szCs w:val="32"/>
                <w:highlight w:val="none"/>
              </w:rPr>
              <w:t>最高限价</w:t>
            </w:r>
          </w:p>
          <w:bookmarkEnd w:id="71"/>
          <w:p w14:paraId="3CC7E426">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元</w:t>
            </w:r>
            <w:r>
              <w:rPr>
                <w:rFonts w:hint="eastAsia" w:ascii="仿宋_GB2312" w:hAnsi="仿宋_GB2312" w:eastAsia="仿宋_GB2312" w:cs="仿宋_GB2312"/>
                <w:color w:val="000000"/>
                <w:sz w:val="32"/>
                <w:szCs w:val="32"/>
                <w:highlight w:val="none"/>
                <w:lang w:eastAsia="zh-CN"/>
              </w:rPr>
              <w:t>）</w:t>
            </w:r>
          </w:p>
        </w:tc>
        <w:tc>
          <w:tcPr>
            <w:tcW w:w="1701" w:type="dxa"/>
            <w:tcBorders>
              <w:top w:val="single" w:color="auto" w:sz="4" w:space="0"/>
              <w:left w:val="single" w:color="auto" w:sz="4" w:space="0"/>
              <w:bottom w:val="single" w:color="auto" w:sz="4" w:space="0"/>
              <w:right w:val="single" w:color="auto" w:sz="4" w:space="0"/>
            </w:tcBorders>
            <w:shd w:val="clear" w:color="auto" w:fill="auto"/>
            <w:vAlign w:val="center"/>
          </w:tcPr>
          <w:p w14:paraId="6774BFE0">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合计金额</w:t>
            </w:r>
          </w:p>
          <w:p w14:paraId="3F2EE535">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（元）</w:t>
            </w:r>
          </w:p>
        </w:tc>
      </w:tr>
      <w:tr w14:paraId="148DEFDD">
        <w:tblPrEx>
          <w:tblCellMar>
            <w:top w:w="0" w:type="dxa"/>
            <w:left w:w="108" w:type="dxa"/>
            <w:bottom w:w="0" w:type="dxa"/>
            <w:right w:w="108" w:type="dxa"/>
          </w:tblCellMar>
        </w:tblPrEx>
        <w:trPr>
          <w:trHeight w:val="567" w:hRule="atLeast"/>
          <w:jc w:val="center"/>
        </w:trPr>
        <w:tc>
          <w:tcPr>
            <w:tcW w:w="35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2787F02">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eastAsia" w:ascii="仿宋_GB2312" w:hAnsi="仿宋_GB2312" w:eastAsia="仿宋_GB2312" w:cs="仿宋_GB2312"/>
                <w:color w:val="000000"/>
                <w:kern w:val="0"/>
                <w:sz w:val="32"/>
                <w:szCs w:val="32"/>
                <w:highlight w:val="none"/>
                <w:lang w:bidi="ar"/>
              </w:rPr>
            </w:pPr>
            <w:r>
              <w:rPr>
                <w:rFonts w:hint="eastAsia" w:ascii="仿宋_GB2312" w:hAnsi="仿宋_GB2312" w:eastAsia="仿宋_GB2312" w:cs="仿宋_GB2312"/>
                <w:color w:val="000000"/>
                <w:kern w:val="0"/>
                <w:sz w:val="32"/>
                <w:szCs w:val="32"/>
                <w:highlight w:val="none"/>
                <w:lang w:bidi="ar"/>
              </w:rPr>
              <w:t>TS级可导向</w:t>
            </w:r>
            <w:bookmarkStart w:id="72" w:name="OLE_LINK16"/>
            <w:r>
              <w:rPr>
                <w:rFonts w:hint="eastAsia" w:ascii="仿宋_GB2312" w:hAnsi="仿宋_GB2312" w:eastAsia="仿宋_GB2312" w:cs="仿宋_GB2312"/>
                <w:color w:val="000000"/>
                <w:kern w:val="0"/>
                <w:sz w:val="32"/>
                <w:szCs w:val="32"/>
                <w:highlight w:val="none"/>
                <w:lang w:bidi="ar"/>
              </w:rPr>
              <w:t>防撞垫</w:t>
            </w:r>
            <w:bookmarkEnd w:id="72"/>
            <w:r>
              <w:rPr>
                <w:rFonts w:hint="eastAsia" w:ascii="仿宋_GB2312" w:hAnsi="仿宋_GB2312" w:eastAsia="仿宋_GB2312" w:cs="仿宋_GB2312"/>
                <w:color w:val="000000"/>
                <w:kern w:val="0"/>
                <w:sz w:val="32"/>
                <w:szCs w:val="32"/>
                <w:highlight w:val="none"/>
                <w:lang w:val="en-US" w:eastAsia="zh-CN" w:bidi="ar"/>
              </w:rPr>
              <w:t>安装</w:t>
            </w:r>
            <w:r>
              <w:rPr>
                <w:rFonts w:hint="eastAsia" w:ascii="仿宋_GB2312" w:hAnsi="仿宋_GB2312" w:eastAsia="仿宋_GB2312" w:cs="仿宋_GB2312"/>
                <w:sz w:val="32"/>
                <w:szCs w:val="32"/>
                <w:highlight w:val="none"/>
                <w:lang w:val="en-US" w:eastAsia="zh-CN"/>
              </w:rPr>
              <w:t>劳务协作服务</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B4BC53">
            <w:pPr>
              <w:keepNext w:val="0"/>
              <w:keepLines w:val="0"/>
              <w:widowControl/>
              <w:kinsoku/>
              <w:wordWrap/>
              <w:overflowPunct/>
              <w:topLinePunct w:val="0"/>
              <w:autoSpaceDE/>
              <w:autoSpaceDN/>
              <w:bidi w:val="0"/>
              <w:adjustRightInd/>
              <w:spacing w:line="560" w:lineRule="exact"/>
              <w:jc w:val="center"/>
              <w:textAlignment w:val="center"/>
              <w:rPr>
                <w:rFonts w:hint="eastAsia"/>
                <w:highlight w:val="none"/>
              </w:rPr>
            </w:pPr>
            <w:r>
              <w:rPr>
                <w:rFonts w:hint="eastAsia" w:ascii="仿宋_GB2312" w:hAnsi="仿宋_GB2312" w:eastAsia="仿宋_GB2312" w:cs="仿宋_GB2312"/>
                <w:i w:val="0"/>
                <w:iCs w:val="0"/>
                <w:color w:val="000000" w:themeColor="text1"/>
                <w:sz w:val="32"/>
                <w:szCs w:val="32"/>
                <w:highlight w:val="none"/>
                <w:u w:val="none"/>
                <w:lang w:val="en-US" w:eastAsia="zh-CN"/>
                <w14:textFill>
                  <w14:solidFill>
                    <w14:schemeClr w14:val="tx1"/>
                  </w14:solidFill>
                </w14:textFill>
              </w:rPr>
              <w:t>套</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F21B87">
            <w:pPr>
              <w:keepNext w:val="0"/>
              <w:keepLines w:val="0"/>
              <w:widowControl/>
              <w:kinsoku/>
              <w:wordWrap/>
              <w:overflowPunct/>
              <w:topLinePunct w:val="0"/>
              <w:autoSpaceDE/>
              <w:autoSpaceDN/>
              <w:bidi w:val="0"/>
              <w:adjustRightInd/>
              <w:spacing w:line="560" w:lineRule="exact"/>
              <w:jc w:val="center"/>
              <w:textAlignment w:val="center"/>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12</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225309">
            <w:pPr>
              <w:keepNext w:val="0"/>
              <w:keepLines w:val="0"/>
              <w:widowControl/>
              <w:kinsoku/>
              <w:wordWrap/>
              <w:overflowPunct/>
              <w:topLinePunct w:val="0"/>
              <w:autoSpaceDE/>
              <w:autoSpaceDN/>
              <w:bidi w:val="0"/>
              <w:adjustRightInd/>
              <w:spacing w:line="560" w:lineRule="exact"/>
              <w:jc w:val="center"/>
              <w:textAlignment w:val="center"/>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2560</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3C5E0">
            <w:pPr>
              <w:keepNext w:val="0"/>
              <w:keepLines w:val="0"/>
              <w:widowControl/>
              <w:kinsoku/>
              <w:wordWrap/>
              <w:overflowPunct/>
              <w:topLinePunct w:val="0"/>
              <w:autoSpaceDE/>
              <w:autoSpaceDN/>
              <w:bidi w:val="0"/>
              <w:adjustRightInd/>
              <w:spacing w:line="560" w:lineRule="exact"/>
              <w:jc w:val="center"/>
              <w:textAlignment w:val="center"/>
              <w:rPr>
                <w:rFonts w:hint="default"/>
                <w:highlight w:val="none"/>
                <w:lang w:val="en-US" w:eastAsia="zh-CN"/>
              </w:rPr>
            </w:pPr>
            <w:r>
              <w:rPr>
                <w:rFonts w:hint="eastAsia" w:ascii="仿宋_GB2312" w:hAnsi="仿宋_GB2312" w:eastAsia="仿宋_GB2312" w:cs="仿宋_GB2312"/>
                <w:color w:val="000000"/>
                <w:sz w:val="32"/>
                <w:szCs w:val="32"/>
                <w:highlight w:val="none"/>
                <w:lang w:val="en-US" w:eastAsia="zh-CN"/>
              </w:rPr>
              <w:t>30720</w:t>
            </w:r>
          </w:p>
        </w:tc>
      </w:tr>
      <w:tr w14:paraId="192836BB">
        <w:tblPrEx>
          <w:tblCellMar>
            <w:top w:w="0" w:type="dxa"/>
            <w:left w:w="108" w:type="dxa"/>
            <w:bottom w:w="0" w:type="dxa"/>
            <w:right w:w="108" w:type="dxa"/>
          </w:tblCellMar>
        </w:tblPrEx>
        <w:trPr>
          <w:trHeight w:val="567" w:hRule="atLeast"/>
          <w:jc w:val="center"/>
        </w:trPr>
        <w:tc>
          <w:tcPr>
            <w:tcW w:w="35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FB407D8">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color w:val="000000"/>
                <w:kern w:val="0"/>
                <w:sz w:val="32"/>
                <w:szCs w:val="32"/>
                <w:highlight w:val="none"/>
                <w:lang w:bidi="ar"/>
              </w:rPr>
            </w:pPr>
            <w:r>
              <w:rPr>
                <w:rFonts w:hint="eastAsia" w:ascii="仿宋_GB2312" w:hAnsi="仿宋_GB2312" w:eastAsia="仿宋_GB2312" w:cs="仿宋_GB2312"/>
                <w:color w:val="000000"/>
                <w:kern w:val="0"/>
                <w:sz w:val="32"/>
                <w:szCs w:val="32"/>
                <w:highlight w:val="none"/>
                <w:lang w:bidi="ar"/>
              </w:rPr>
              <w:t>SB级</w:t>
            </w:r>
            <w:bookmarkStart w:id="73" w:name="OLE_LINK17"/>
            <w:r>
              <w:rPr>
                <w:rFonts w:hint="eastAsia" w:ascii="仿宋_GB2312" w:hAnsi="仿宋_GB2312" w:eastAsia="仿宋_GB2312" w:cs="仿宋_GB2312"/>
                <w:color w:val="000000"/>
                <w:kern w:val="0"/>
                <w:sz w:val="32"/>
                <w:szCs w:val="32"/>
                <w:highlight w:val="none"/>
                <w:lang w:bidi="ar"/>
              </w:rPr>
              <w:t>中分带开口活动护栏</w:t>
            </w:r>
            <w:bookmarkEnd w:id="73"/>
            <w:r>
              <w:rPr>
                <w:rFonts w:hint="eastAsia" w:ascii="仿宋_GB2312" w:hAnsi="仿宋_GB2312" w:eastAsia="仿宋_GB2312" w:cs="仿宋_GB2312"/>
                <w:color w:val="000000"/>
                <w:kern w:val="0"/>
                <w:sz w:val="32"/>
                <w:szCs w:val="32"/>
                <w:highlight w:val="none"/>
                <w:lang w:val="en-US" w:eastAsia="zh-CN" w:bidi="ar"/>
              </w:rPr>
              <w:t>安装</w:t>
            </w:r>
            <w:r>
              <w:rPr>
                <w:rFonts w:hint="eastAsia" w:ascii="仿宋_GB2312" w:hAnsi="仿宋_GB2312" w:eastAsia="仿宋_GB2312" w:cs="仿宋_GB2312"/>
                <w:sz w:val="32"/>
                <w:szCs w:val="32"/>
                <w:highlight w:val="none"/>
                <w:lang w:val="en-US" w:eastAsia="zh-CN"/>
              </w:rPr>
              <w:t>劳务协作服务</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5BE3A">
            <w:pPr>
              <w:keepNext w:val="0"/>
              <w:keepLines w:val="0"/>
              <w:widowControl/>
              <w:kinsoku/>
              <w:wordWrap/>
              <w:overflowPunct/>
              <w:topLinePunct w:val="0"/>
              <w:autoSpaceDE/>
              <w:autoSpaceDN/>
              <w:bidi w:val="0"/>
              <w:adjustRightInd/>
              <w:spacing w:line="560" w:lineRule="exact"/>
              <w:jc w:val="center"/>
              <w:textAlignment w:val="center"/>
              <w:rPr>
                <w:rFonts w:hint="eastAsia"/>
                <w:highlight w:val="none"/>
                <w:lang w:val="en-US" w:eastAsia="zh-CN"/>
              </w:rPr>
            </w:pPr>
            <w:r>
              <w:rPr>
                <w:rFonts w:hint="eastAsia" w:ascii="仿宋_GB2312" w:hAnsi="仿宋_GB2312" w:eastAsia="仿宋_GB2312" w:cs="仿宋_GB2312"/>
                <w:color w:val="000000"/>
                <w:kern w:val="0"/>
                <w:sz w:val="32"/>
                <w:szCs w:val="32"/>
                <w:highlight w:val="none"/>
                <w:lang w:val="en-US" w:eastAsia="zh-CN" w:bidi="ar"/>
              </w:rPr>
              <w:t>米</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5C022">
            <w:pPr>
              <w:keepNext w:val="0"/>
              <w:keepLines w:val="0"/>
              <w:widowControl/>
              <w:kinsoku/>
              <w:wordWrap/>
              <w:overflowPunct/>
              <w:topLinePunct w:val="0"/>
              <w:autoSpaceDE/>
              <w:autoSpaceDN/>
              <w:bidi w:val="0"/>
              <w:adjustRightInd/>
              <w:spacing w:line="560" w:lineRule="exact"/>
              <w:jc w:val="center"/>
              <w:textAlignment w:val="center"/>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930</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0D34DF">
            <w:pPr>
              <w:keepNext w:val="0"/>
              <w:keepLines w:val="0"/>
              <w:widowControl/>
              <w:kinsoku/>
              <w:wordWrap/>
              <w:overflowPunct/>
              <w:topLinePunct w:val="0"/>
              <w:autoSpaceDE/>
              <w:autoSpaceDN/>
              <w:bidi w:val="0"/>
              <w:adjustRightInd/>
              <w:spacing w:line="560" w:lineRule="exact"/>
              <w:jc w:val="center"/>
              <w:textAlignment w:val="center"/>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425</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D3DAC">
            <w:pPr>
              <w:keepNext w:val="0"/>
              <w:keepLines w:val="0"/>
              <w:widowControl/>
              <w:kinsoku/>
              <w:wordWrap/>
              <w:overflowPunct/>
              <w:topLinePunct w:val="0"/>
              <w:autoSpaceDE/>
              <w:autoSpaceDN/>
              <w:bidi w:val="0"/>
              <w:adjustRightInd/>
              <w:spacing w:line="560" w:lineRule="exact"/>
              <w:jc w:val="center"/>
              <w:textAlignment w:val="center"/>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395250</w:t>
            </w:r>
          </w:p>
        </w:tc>
      </w:tr>
      <w:tr w14:paraId="07CC0775">
        <w:tblPrEx>
          <w:tblCellMar>
            <w:top w:w="0" w:type="dxa"/>
            <w:left w:w="108" w:type="dxa"/>
            <w:bottom w:w="0" w:type="dxa"/>
            <w:right w:w="108" w:type="dxa"/>
          </w:tblCellMar>
        </w:tblPrEx>
        <w:trPr>
          <w:trHeight w:val="1134" w:hRule="atLeast"/>
          <w:jc w:val="center"/>
        </w:trPr>
        <w:tc>
          <w:tcPr>
            <w:tcW w:w="155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33161B">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最高限价</w:t>
            </w:r>
          </w:p>
          <w:p w14:paraId="17AE536B">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kern w:val="0"/>
                <w:sz w:val="32"/>
                <w:szCs w:val="32"/>
                <w:highlight w:val="none"/>
                <w:lang w:val="en-US" w:eastAsia="zh-CN" w:bidi="ar"/>
              </w:rPr>
              <w:t>合计</w:t>
            </w:r>
          </w:p>
        </w:tc>
        <w:tc>
          <w:tcPr>
            <w:tcW w:w="5994"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5C2B3E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rPr>
                <w:rFonts w:hint="default" w:ascii="仿宋_GB2312" w:hAnsi="仿宋_GB2312" w:eastAsia="仿宋_GB2312" w:cs="仿宋_GB2312"/>
                <w:b w:val="0"/>
                <w:bCs w:val="0"/>
                <w:color w:val="000000"/>
                <w:sz w:val="32"/>
                <w:szCs w:val="32"/>
                <w:highlight w:val="none"/>
                <w:lang w:val="en-US"/>
              </w:rPr>
            </w:pPr>
            <w:r>
              <w:rPr>
                <w:rFonts w:hint="eastAsia" w:ascii="仿宋_GB2312" w:hAnsi="仿宋_GB2312" w:eastAsia="仿宋_GB2312" w:cs="仿宋_GB2312"/>
                <w:b w:val="0"/>
                <w:bCs w:val="0"/>
                <w:i w:val="0"/>
                <w:iCs w:val="0"/>
                <w:color w:val="000000" w:themeColor="text1"/>
                <w:kern w:val="0"/>
                <w:sz w:val="32"/>
                <w:szCs w:val="32"/>
                <w:highlight w:val="none"/>
                <w:u w:val="none"/>
                <w:lang w:val="en-US" w:eastAsia="zh-CN" w:bidi="ar"/>
                <w14:textFill>
                  <w14:solidFill>
                    <w14:schemeClr w14:val="tx1"/>
                  </w14:solidFill>
                </w14:textFill>
              </w:rPr>
              <w:t>含</w:t>
            </w:r>
            <w:bookmarkStart w:id="74" w:name="OLE_LINK5"/>
            <w:r>
              <w:rPr>
                <w:rFonts w:hint="eastAsia" w:ascii="仿宋_GB2312" w:hAnsi="仿宋_GB2312" w:eastAsia="仿宋_GB2312" w:cs="仿宋_GB2312"/>
                <w:b w:val="0"/>
                <w:bCs w:val="0"/>
                <w:i w:val="0"/>
                <w:iCs w:val="0"/>
                <w:color w:val="000000" w:themeColor="text1"/>
                <w:kern w:val="0"/>
                <w:sz w:val="32"/>
                <w:szCs w:val="32"/>
                <w:highlight w:val="none"/>
                <w:u w:val="none"/>
                <w:lang w:val="en-US" w:eastAsia="zh-CN" w:bidi="ar"/>
                <w14:textFill>
                  <w14:solidFill>
                    <w14:schemeClr w14:val="tx1"/>
                  </w14:solidFill>
                </w14:textFill>
              </w:rPr>
              <w:t>过渡段材料费</w:t>
            </w:r>
            <w:bookmarkEnd w:id="74"/>
            <w:r>
              <w:rPr>
                <w:rFonts w:hint="eastAsia" w:ascii="仿宋_GB2312" w:hAnsi="仿宋_GB2312" w:eastAsia="仿宋_GB2312" w:cs="仿宋_GB2312"/>
                <w:b w:val="0"/>
                <w:bCs w:val="0"/>
                <w:i w:val="0"/>
                <w:iCs w:val="0"/>
                <w:color w:val="000000" w:themeColor="text1"/>
                <w:kern w:val="0"/>
                <w:sz w:val="32"/>
                <w:szCs w:val="32"/>
                <w:highlight w:val="none"/>
                <w:u w:val="none"/>
                <w:lang w:val="en-US" w:eastAsia="zh-CN" w:bidi="ar"/>
                <w14:textFill>
                  <w14:solidFill>
                    <w14:schemeClr w14:val="tx1"/>
                  </w14:solidFill>
                </w14:textFill>
              </w:rPr>
              <w:t>以及含</w:t>
            </w:r>
            <w:bookmarkStart w:id="75" w:name="OLE_LINK6"/>
            <w:r>
              <w:rPr>
                <w:rFonts w:hint="eastAsia" w:ascii="仿宋_GB2312" w:hAnsi="仿宋_GB2312" w:eastAsia="仿宋_GB2312" w:cs="仿宋_GB2312"/>
                <w:b w:val="0"/>
                <w:bCs w:val="0"/>
                <w:i w:val="0"/>
                <w:iCs w:val="0"/>
                <w:color w:val="000000" w:themeColor="text1"/>
                <w:kern w:val="0"/>
                <w:sz w:val="32"/>
                <w:szCs w:val="32"/>
                <w:highlight w:val="none"/>
                <w:u w:val="none"/>
                <w:lang w:val="en-US" w:eastAsia="zh-CN" w:bidi="ar"/>
                <w14:textFill>
                  <w14:solidFill>
                    <w14:schemeClr w14:val="tx1"/>
                  </w14:solidFill>
                </w14:textFill>
              </w:rPr>
              <w:t>从宁德古田运输到宁上高速施工点运费、装卸费</w:t>
            </w:r>
            <w:bookmarkEnd w:id="75"/>
          </w:p>
        </w:tc>
        <w:tc>
          <w:tcPr>
            <w:tcW w:w="170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3566F4">
            <w:pPr>
              <w:keepNext w:val="0"/>
              <w:keepLines w:val="0"/>
              <w:widowControl/>
              <w:kinsoku/>
              <w:wordWrap/>
              <w:overflowPunct/>
              <w:topLinePunct w:val="0"/>
              <w:autoSpaceDE/>
              <w:autoSpaceDN/>
              <w:bidi w:val="0"/>
              <w:adjustRightInd/>
              <w:spacing w:line="560" w:lineRule="exact"/>
              <w:jc w:val="center"/>
              <w:textAlignment w:val="center"/>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425970</w:t>
            </w:r>
          </w:p>
        </w:tc>
      </w:tr>
    </w:tbl>
    <w:p w14:paraId="70A86D31">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bCs/>
          <w:sz w:val="32"/>
          <w:szCs w:val="32"/>
          <w:highlight w:val="none"/>
        </w:rPr>
        <w:t>注：</w:t>
      </w:r>
      <w:r>
        <w:rPr>
          <w:rFonts w:hint="eastAsia" w:ascii="仿宋_GB2312" w:hAnsi="仿宋_GB2312" w:eastAsia="仿宋_GB2312" w:cs="仿宋_GB2312"/>
          <w:bCs/>
          <w:sz w:val="32"/>
          <w:szCs w:val="32"/>
          <w:highlight w:val="none"/>
          <w:lang w:val="en-US" w:eastAsia="zh-CN"/>
        </w:rPr>
        <w:t>1.</w:t>
      </w:r>
      <w:r>
        <w:rPr>
          <w:rFonts w:hint="eastAsia" w:ascii="仿宋_GB2312" w:hAnsi="仿宋_GB2312" w:eastAsia="仿宋_GB2312" w:cs="仿宋_GB2312"/>
          <w:bCs/>
          <w:sz w:val="32"/>
          <w:szCs w:val="32"/>
          <w:highlight w:val="none"/>
        </w:rPr>
        <w:t>总采购费用应包括人工费、食宿费、高速通行费、燃油费、车辆机械设备维修费、</w:t>
      </w:r>
      <w:r>
        <w:rPr>
          <w:rFonts w:hint="eastAsia" w:ascii="仿宋_GB2312" w:hAnsi="仿宋_GB2312" w:eastAsia="仿宋_GB2312" w:cs="仿宋_GB2312"/>
          <w:b w:val="0"/>
          <w:bCs w:val="0"/>
          <w:i w:val="0"/>
          <w:iCs w:val="0"/>
          <w:color w:val="000000" w:themeColor="text1"/>
          <w:kern w:val="0"/>
          <w:sz w:val="32"/>
          <w:szCs w:val="32"/>
          <w:highlight w:val="none"/>
          <w:u w:val="none"/>
          <w:lang w:val="en-US" w:eastAsia="zh-CN" w:bidi="ar"/>
          <w14:textFill>
            <w14:solidFill>
              <w14:schemeClr w14:val="tx1"/>
            </w14:solidFill>
          </w14:textFill>
        </w:rPr>
        <w:t>过渡段材料费</w:t>
      </w:r>
      <w:r>
        <w:rPr>
          <w:rFonts w:hint="eastAsia" w:ascii="仿宋_GB2312" w:hAnsi="仿宋_GB2312" w:eastAsia="仿宋_GB2312" w:cs="仿宋_GB2312"/>
          <w:bCs/>
          <w:sz w:val="32"/>
          <w:szCs w:val="32"/>
          <w:highlight w:val="none"/>
        </w:rPr>
        <w:t>、</w:t>
      </w:r>
      <w:r>
        <w:rPr>
          <w:rFonts w:hint="eastAsia" w:ascii="仿宋_GB2312" w:hAnsi="仿宋_GB2312" w:eastAsia="仿宋_GB2312" w:cs="仿宋_GB2312"/>
          <w:b w:val="0"/>
          <w:bCs w:val="0"/>
          <w:i w:val="0"/>
          <w:iCs w:val="0"/>
          <w:color w:val="000000" w:themeColor="text1"/>
          <w:kern w:val="0"/>
          <w:sz w:val="32"/>
          <w:szCs w:val="32"/>
          <w:highlight w:val="none"/>
          <w:u w:val="none"/>
          <w:lang w:val="en-US" w:eastAsia="zh-CN" w:bidi="ar"/>
          <w14:textFill>
            <w14:solidFill>
              <w14:schemeClr w14:val="tx1"/>
            </w14:solidFill>
          </w14:textFill>
        </w:rPr>
        <w:t>从宁德古田运输到宁上高速施工点运费、装卸费、</w:t>
      </w:r>
      <w:r>
        <w:rPr>
          <w:rFonts w:hint="eastAsia" w:ascii="仿宋_GB2312" w:hAnsi="仿宋_GB2312" w:eastAsia="仿宋_GB2312" w:cs="仿宋_GB2312"/>
          <w:bCs/>
          <w:sz w:val="32"/>
          <w:szCs w:val="32"/>
          <w:highlight w:val="none"/>
        </w:rPr>
        <w:t>增值税专用发票税费等为完成工作所发生的相关费用，本项目为单价合同，施工细目结算数量以实际完成并经现场验收合格数量为准。</w:t>
      </w:r>
      <w:r>
        <w:rPr>
          <w:rFonts w:hint="eastAsia" w:ascii="仿宋_GB2312" w:hAnsi="仿宋_GB2312" w:eastAsia="仿宋_GB2312" w:cs="仿宋_GB2312"/>
          <w:color w:val="000000"/>
          <w:kern w:val="2"/>
          <w:sz w:val="32"/>
          <w:szCs w:val="32"/>
          <w:highlight w:val="none"/>
          <w:lang w:val="en-US" w:eastAsia="zh-CN" w:bidi="ar-SA"/>
        </w:rPr>
        <w:t xml:space="preserve"> </w:t>
      </w:r>
    </w:p>
    <w:p w14:paraId="69E4B284">
      <w:pPr>
        <w:pStyle w:val="1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highlight w:val="none"/>
          <w:lang w:val="en-US" w:eastAsia="zh-CN"/>
        </w:rPr>
      </w:pPr>
      <w:r>
        <w:rPr>
          <w:rFonts w:hint="eastAsia" w:ascii="仿宋_GB2312" w:hAnsi="仿宋_GB2312" w:eastAsia="仿宋_GB2312" w:cs="仿宋_GB2312"/>
          <w:color w:val="000000"/>
          <w:kern w:val="2"/>
          <w:sz w:val="32"/>
          <w:szCs w:val="32"/>
          <w:highlight w:val="none"/>
          <w:lang w:val="en-US" w:eastAsia="zh-CN" w:bidi="ar-SA"/>
        </w:rPr>
        <w:t>2.</w:t>
      </w:r>
      <w:r>
        <w:rPr>
          <w:rFonts w:hint="eastAsia" w:ascii="仿宋_GB2312" w:hAnsi="仿宋_GB2312" w:eastAsia="仿宋_GB2312" w:cs="仿宋_GB2312"/>
          <w:b w:val="0"/>
          <w:bCs w:val="0"/>
          <w:i w:val="0"/>
          <w:iCs w:val="0"/>
          <w:color w:val="000000" w:themeColor="text1"/>
          <w:kern w:val="0"/>
          <w:sz w:val="32"/>
          <w:szCs w:val="32"/>
          <w:highlight w:val="none"/>
          <w:u w:val="none"/>
          <w:lang w:val="en-US" w:eastAsia="zh-CN" w:bidi="ar"/>
          <w14:textFill>
            <w14:solidFill>
              <w14:schemeClr w14:val="tx1"/>
            </w14:solidFill>
          </w14:textFill>
        </w:rPr>
        <w:t>总报价及单项报价超过本项目安装服务总控制费用的按作废处理。</w:t>
      </w:r>
    </w:p>
    <w:p w14:paraId="47F933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
          <w:sz w:val="32"/>
          <w:szCs w:val="32"/>
          <w:highlight w:val="none"/>
        </w:rPr>
      </w:pPr>
      <w:bookmarkStart w:id="76" w:name="_Toc23419"/>
      <w:bookmarkStart w:id="77" w:name="_Toc19709"/>
      <w:bookmarkStart w:id="78" w:name="_Toc30536"/>
      <w:bookmarkStart w:id="79" w:name="_Toc27355"/>
      <w:bookmarkStart w:id="80" w:name="_Toc6780"/>
      <w:bookmarkStart w:id="81" w:name="_Toc24133"/>
      <w:r>
        <w:rPr>
          <w:rFonts w:hint="eastAsia" w:ascii="仿宋_GB2312" w:hAnsi="仿宋_GB2312" w:eastAsia="仿宋_GB2312" w:cs="仿宋_GB2312"/>
          <w:b/>
          <w:sz w:val="32"/>
          <w:szCs w:val="32"/>
          <w:highlight w:val="none"/>
        </w:rPr>
        <w:t>二、</w:t>
      </w:r>
      <w:bookmarkEnd w:id="76"/>
      <w:bookmarkEnd w:id="77"/>
      <w:bookmarkEnd w:id="78"/>
      <w:bookmarkEnd w:id="79"/>
      <w:bookmarkEnd w:id="80"/>
      <w:bookmarkEnd w:id="81"/>
      <w:r>
        <w:rPr>
          <w:rFonts w:hint="eastAsia" w:ascii="仿宋_GB2312" w:hAnsi="仿宋_GB2312" w:eastAsia="仿宋_GB2312" w:cs="仿宋_GB2312"/>
          <w:b/>
          <w:sz w:val="32"/>
          <w:szCs w:val="32"/>
          <w:highlight w:val="none"/>
        </w:rPr>
        <w:t>施工协作要求</w:t>
      </w:r>
    </w:p>
    <w:p w14:paraId="714B597C">
      <w:pPr>
        <w:pStyle w:val="13"/>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一</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施工</w:t>
      </w:r>
      <w:r>
        <w:rPr>
          <w:rFonts w:hint="eastAsia" w:ascii="仿宋_GB2312" w:hAnsi="仿宋_GB2312" w:eastAsia="仿宋_GB2312" w:cs="仿宋_GB2312"/>
          <w:color w:val="000000"/>
          <w:kern w:val="2"/>
          <w:sz w:val="32"/>
          <w:szCs w:val="32"/>
          <w:highlight w:val="none"/>
          <w:lang w:val="en-US" w:eastAsia="zh-CN" w:bidi="ar-SA"/>
        </w:rPr>
        <w:t>主要内容包括：</w:t>
      </w:r>
      <w:bookmarkStart w:id="82" w:name="OLE_LINK22"/>
      <w:r>
        <w:rPr>
          <w:rFonts w:hint="eastAsia" w:ascii="仿宋_GB2312" w:hAnsi="仿宋_GB2312" w:eastAsia="仿宋_GB2312" w:cs="仿宋_GB2312"/>
          <w:color w:val="000000"/>
          <w:kern w:val="2"/>
          <w:sz w:val="32"/>
          <w:szCs w:val="32"/>
          <w:highlight w:val="none"/>
          <w:lang w:val="en-US" w:eastAsia="zh-CN" w:bidi="ar-SA"/>
        </w:rPr>
        <w:t>交通安全布控、宁上高速路面TS级防撞垫与SBm级中央分隔带开口护栏运输及现场安装、提供过渡段材料、安装现场所需辅材、并根据设计图纸安装完成。</w:t>
      </w:r>
    </w:p>
    <w:bookmarkEnd w:id="82"/>
    <w:p w14:paraId="36425666">
      <w:pPr>
        <w:pStyle w:val="1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highlight w:val="none"/>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二</w:t>
      </w:r>
      <w:r>
        <w:rPr>
          <w:rFonts w:hint="eastAsia" w:ascii="仿宋_GB2312" w:hAnsi="仿宋_GB2312" w:eastAsia="仿宋_GB2312" w:cs="仿宋_GB2312"/>
          <w:color w:val="000000"/>
          <w:sz w:val="32"/>
          <w:szCs w:val="32"/>
          <w:highlight w:val="none"/>
          <w:lang w:eastAsia="zh-CN"/>
        </w:rPr>
        <w:t>）</w:t>
      </w:r>
      <w:bookmarkStart w:id="83" w:name="OLE_LINK23"/>
      <w:r>
        <w:rPr>
          <w:rFonts w:hint="eastAsia" w:ascii="仿宋_GB2312" w:hAnsi="仿宋_GB2312" w:eastAsia="仿宋_GB2312" w:cs="仿宋_GB2312"/>
          <w:color w:val="000000"/>
          <w:sz w:val="32"/>
          <w:szCs w:val="32"/>
          <w:highlight w:val="none"/>
          <w:lang w:val="en-US" w:eastAsia="zh-CN"/>
        </w:rPr>
        <w:t>负责把</w:t>
      </w:r>
      <w:r>
        <w:rPr>
          <w:rFonts w:hint="eastAsia" w:ascii="仿宋_GB2312" w:hAnsi="仿宋_GB2312" w:eastAsia="仿宋_GB2312" w:cs="仿宋_GB2312"/>
          <w:color w:val="000000"/>
          <w:kern w:val="0"/>
          <w:sz w:val="32"/>
          <w:szCs w:val="32"/>
          <w:highlight w:val="none"/>
          <w:lang w:bidi="ar"/>
        </w:rPr>
        <w:t>防撞垫</w:t>
      </w:r>
      <w:r>
        <w:rPr>
          <w:rFonts w:hint="eastAsia" w:ascii="仿宋_GB2312" w:hAnsi="仿宋_GB2312" w:eastAsia="仿宋_GB2312" w:cs="仿宋_GB2312"/>
          <w:color w:val="000000"/>
          <w:kern w:val="0"/>
          <w:sz w:val="32"/>
          <w:szCs w:val="32"/>
          <w:highlight w:val="none"/>
          <w:lang w:eastAsia="zh-CN" w:bidi="ar"/>
        </w:rPr>
        <w:t>、</w:t>
      </w:r>
      <w:r>
        <w:rPr>
          <w:rFonts w:hint="eastAsia" w:ascii="仿宋_GB2312" w:hAnsi="仿宋_GB2312" w:eastAsia="仿宋_GB2312" w:cs="仿宋_GB2312"/>
          <w:color w:val="000000"/>
          <w:kern w:val="0"/>
          <w:sz w:val="32"/>
          <w:szCs w:val="32"/>
          <w:highlight w:val="none"/>
          <w:lang w:bidi="ar"/>
        </w:rPr>
        <w:t>中分带开口活动护栏</w:t>
      </w:r>
      <w:r>
        <w:rPr>
          <w:rFonts w:hint="eastAsia" w:ascii="仿宋_GB2312" w:hAnsi="仿宋_GB2312" w:eastAsia="仿宋_GB2312" w:cs="仿宋_GB2312"/>
          <w:color w:val="000000"/>
          <w:kern w:val="0"/>
          <w:sz w:val="32"/>
          <w:szCs w:val="32"/>
          <w:highlight w:val="none"/>
          <w:lang w:val="en-US" w:eastAsia="zh-CN" w:bidi="ar"/>
        </w:rPr>
        <w:t>产品</w:t>
      </w:r>
      <w:r>
        <w:rPr>
          <w:rFonts w:hint="eastAsia" w:ascii="仿宋_GB2312" w:hAnsi="仿宋_GB2312" w:eastAsia="仿宋_GB2312" w:cs="仿宋_GB2312"/>
          <w:b w:val="0"/>
          <w:bCs w:val="0"/>
          <w:i w:val="0"/>
          <w:iCs w:val="0"/>
          <w:color w:val="000000" w:themeColor="text1"/>
          <w:kern w:val="0"/>
          <w:sz w:val="32"/>
          <w:szCs w:val="32"/>
          <w:highlight w:val="none"/>
          <w:u w:val="none"/>
          <w:lang w:val="en-US" w:eastAsia="zh-CN" w:bidi="ar"/>
          <w14:textFill>
            <w14:solidFill>
              <w14:schemeClr w14:val="tx1"/>
            </w14:solidFill>
          </w14:textFill>
        </w:rPr>
        <w:t>从宁德古田加工厂运输到宁上高速施工点（宁德境内）运费、装卸费。</w:t>
      </w:r>
      <w:bookmarkEnd w:id="83"/>
    </w:p>
    <w:p w14:paraId="4F0131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highlight w:val="none"/>
        </w:rPr>
      </w:pPr>
      <w:bookmarkStart w:id="84" w:name="OLE_LINK9"/>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三</w:t>
      </w:r>
      <w:r>
        <w:rPr>
          <w:rFonts w:hint="eastAsia" w:ascii="仿宋_GB2312" w:hAnsi="仿宋_GB2312" w:eastAsia="仿宋_GB2312" w:cs="仿宋_GB2312"/>
          <w:color w:val="000000"/>
          <w:sz w:val="32"/>
          <w:szCs w:val="32"/>
          <w:highlight w:val="none"/>
          <w:lang w:eastAsia="zh-CN"/>
        </w:rPr>
        <w:t>）</w:t>
      </w:r>
      <w:bookmarkEnd w:id="84"/>
      <w:r>
        <w:rPr>
          <w:rFonts w:hint="eastAsia" w:ascii="仿宋_GB2312" w:hAnsi="仿宋_GB2312" w:eastAsia="仿宋_GB2312" w:cs="仿宋_GB2312"/>
          <w:color w:val="000000"/>
          <w:sz w:val="32"/>
          <w:szCs w:val="32"/>
          <w:highlight w:val="none"/>
        </w:rPr>
        <w:t>中选人必须在合同签订前为所有投入人员办理个人不少于1</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rPr>
        <w:t>0万的人身意外保险并复印我司备案。</w:t>
      </w:r>
    </w:p>
    <w:p w14:paraId="538145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bookmarkStart w:id="85" w:name="OLE_LINK10"/>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四</w:t>
      </w:r>
      <w:r>
        <w:rPr>
          <w:rFonts w:hint="eastAsia" w:ascii="仿宋_GB2312" w:hAnsi="仿宋_GB2312" w:eastAsia="仿宋_GB2312" w:cs="仿宋_GB2312"/>
          <w:color w:val="000000"/>
          <w:sz w:val="32"/>
          <w:szCs w:val="32"/>
          <w:highlight w:val="none"/>
          <w:lang w:eastAsia="zh-CN"/>
        </w:rPr>
        <w:t>）</w:t>
      </w:r>
      <w:bookmarkEnd w:id="85"/>
      <w:r>
        <w:rPr>
          <w:rFonts w:hint="eastAsia" w:ascii="仿宋_GB2312" w:hAnsi="仿宋_GB2312" w:eastAsia="仿宋_GB2312" w:cs="仿宋_GB2312"/>
          <w:color w:val="000000"/>
          <w:sz w:val="32"/>
          <w:szCs w:val="32"/>
          <w:highlight w:val="none"/>
        </w:rPr>
        <w:t>提供性能良好的机械设备，安排专业技术能力较强的人员作为现场负责人，组织有经验的、有质量、安全意识的施工人员进场。人员机械设备等进场数量应能满足现场实际施工的需要。</w:t>
      </w:r>
    </w:p>
    <w:p w14:paraId="5A6FDE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五</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协作单位自备相关安全设备，包括但不局限于安全帽、反光背心等。</w:t>
      </w:r>
    </w:p>
    <w:p w14:paraId="7612DF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六</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协作单位设备进入施工现场后，协作单位驾驶员、技术人员应服从我司现场管理人员的调度与指挥，并遵守施工现场的规章制度。</w:t>
      </w:r>
    </w:p>
    <w:p w14:paraId="2013F4C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highlight w:val="none"/>
        </w:rPr>
      </w:pP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七</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招标人有权对不符合技术性能要求的设备和人员提出更换。</w:t>
      </w:r>
    </w:p>
    <w:p w14:paraId="25BA7A21">
      <w:pPr>
        <w:keepNext w:val="0"/>
        <w:keepLines w:val="0"/>
        <w:widowControl w:val="0"/>
        <w:kinsoku/>
        <w:wordWrap/>
        <w:overflowPunct/>
        <w:topLinePunct w:val="0"/>
        <w:autoSpaceDE/>
        <w:autoSpaceDN/>
        <w:bidi w:val="0"/>
        <w:adjustRightInd/>
        <w:snapToGrid w:val="0"/>
        <w:spacing w:line="560" w:lineRule="exact"/>
        <w:jc w:val="center"/>
        <w:rPr>
          <w:rFonts w:hint="eastAsia" w:ascii="仿宋_GB2312" w:hAnsi="仿宋_GB2312" w:eastAsia="仿宋_GB2312" w:cs="仿宋_GB2312"/>
          <w:sz w:val="32"/>
          <w:szCs w:val="32"/>
          <w:highlight w:val="none"/>
          <w:lang w:val="en-US" w:eastAsia="zh-CN"/>
        </w:rPr>
      </w:pPr>
      <w:bookmarkStart w:id="86" w:name="_Toc15939"/>
      <w:bookmarkStart w:id="87" w:name="_Toc8749"/>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八</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按照</w:t>
      </w:r>
      <w:r>
        <w:rPr>
          <w:rFonts w:hint="eastAsia" w:ascii="仿宋_GB2312" w:hAnsi="仿宋_GB2312" w:eastAsia="仿宋_GB2312" w:cs="仿宋_GB2312"/>
          <w:b/>
          <w:bCs/>
          <w:sz w:val="32"/>
          <w:szCs w:val="32"/>
          <w:highlight w:val="none"/>
          <w:lang w:val="en-US" w:eastAsia="zh-CN"/>
        </w:rPr>
        <w:t>强制资格条件</w:t>
      </w:r>
      <w:r>
        <w:rPr>
          <w:rFonts w:hint="eastAsia" w:ascii="仿宋_GB2312" w:hAnsi="仿宋_GB2312" w:eastAsia="仿宋_GB2312" w:cs="仿宋_GB2312"/>
          <w:sz w:val="32"/>
          <w:szCs w:val="32"/>
          <w:highlight w:val="none"/>
          <w:lang w:val="en-US" w:eastAsia="zh-CN"/>
        </w:rPr>
        <w:t>表的要求提供有关材料。</w:t>
      </w:r>
      <w:bookmarkEnd w:id="86"/>
      <w:bookmarkEnd w:id="87"/>
    </w:p>
    <w:p w14:paraId="63A95F66">
      <w:pPr>
        <w:keepNext w:val="0"/>
        <w:keepLines w:val="0"/>
        <w:widowControl w:val="0"/>
        <w:kinsoku/>
        <w:wordWrap/>
        <w:overflowPunct/>
        <w:topLinePunct w:val="0"/>
        <w:autoSpaceDE/>
        <w:autoSpaceDN/>
        <w:bidi w:val="0"/>
        <w:adjustRightInd/>
        <w:snapToGrid w:val="0"/>
        <w:spacing w:line="560" w:lineRule="exact"/>
        <w:jc w:val="center"/>
        <w:rPr>
          <w:rFonts w:hint="eastAsia" w:eastAsia="宋体"/>
          <w:highlight w:val="none"/>
          <w:lang w:val="en-US" w:eastAsia="zh-CN"/>
        </w:rPr>
      </w:pPr>
      <w:r>
        <w:rPr>
          <w:rFonts w:hint="eastAsia" w:ascii="仿宋_GB2312" w:hAnsi="仿宋_GB2312" w:eastAsia="仿宋_GB2312" w:cs="仿宋_GB2312"/>
          <w:b/>
          <w:bCs/>
          <w:kern w:val="2"/>
          <w:sz w:val="32"/>
          <w:szCs w:val="32"/>
          <w:highlight w:val="none"/>
          <w:lang w:val="en-US" w:eastAsia="zh-CN" w:bidi="ar-SA"/>
        </w:rPr>
        <w:t>强制资格条件表</w:t>
      </w:r>
    </w:p>
    <w:tbl>
      <w:tblPr>
        <w:tblStyle w:val="31"/>
        <w:tblW w:w="9640" w:type="dxa"/>
        <w:jc w:val="center"/>
        <w:tblLayout w:type="fixed"/>
        <w:tblCellMar>
          <w:top w:w="15" w:type="dxa"/>
          <w:left w:w="15" w:type="dxa"/>
          <w:bottom w:w="15" w:type="dxa"/>
          <w:right w:w="15" w:type="dxa"/>
        </w:tblCellMar>
      </w:tblPr>
      <w:tblGrid>
        <w:gridCol w:w="899"/>
        <w:gridCol w:w="1803"/>
        <w:gridCol w:w="6938"/>
      </w:tblGrid>
      <w:tr w14:paraId="2A3BE5D6">
        <w:tblPrEx>
          <w:tblCellMar>
            <w:top w:w="15" w:type="dxa"/>
            <w:left w:w="15" w:type="dxa"/>
            <w:bottom w:w="15" w:type="dxa"/>
            <w:right w:w="15" w:type="dxa"/>
          </w:tblCellMar>
        </w:tblPrEx>
        <w:trPr>
          <w:trHeight w:val="567" w:hRule="atLeast"/>
          <w:jc w:val="center"/>
        </w:trPr>
        <w:tc>
          <w:tcPr>
            <w:tcW w:w="899" w:type="dxa"/>
            <w:tcBorders>
              <w:top w:val="single" w:color="000000" w:sz="4" w:space="0"/>
              <w:left w:val="single" w:color="000000" w:sz="4" w:space="0"/>
              <w:bottom w:val="single" w:color="000000" w:sz="4" w:space="0"/>
              <w:right w:val="single" w:color="000000" w:sz="4" w:space="0"/>
            </w:tcBorders>
            <w:noWrap w:val="0"/>
            <w:vAlign w:val="center"/>
          </w:tcPr>
          <w:p w14:paraId="172A744E">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rPr>
              <w:t>序号</w:t>
            </w:r>
          </w:p>
        </w:tc>
        <w:tc>
          <w:tcPr>
            <w:tcW w:w="1803" w:type="dxa"/>
            <w:tcBorders>
              <w:top w:val="single" w:color="000000" w:sz="4" w:space="0"/>
              <w:left w:val="single" w:color="000000" w:sz="4" w:space="0"/>
              <w:bottom w:val="single" w:color="000000" w:sz="4" w:space="0"/>
              <w:right w:val="single" w:color="000000" w:sz="4" w:space="0"/>
            </w:tcBorders>
            <w:noWrap w:val="0"/>
            <w:vAlign w:val="center"/>
          </w:tcPr>
          <w:p w14:paraId="10F31EEE">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rPr>
              <w:t>对象</w:t>
            </w:r>
          </w:p>
        </w:tc>
        <w:tc>
          <w:tcPr>
            <w:tcW w:w="6938" w:type="dxa"/>
            <w:tcBorders>
              <w:top w:val="single" w:color="000000" w:sz="4" w:space="0"/>
              <w:left w:val="single" w:color="000000" w:sz="4" w:space="0"/>
              <w:bottom w:val="single" w:color="000000" w:sz="4" w:space="0"/>
              <w:right w:val="single" w:color="000000" w:sz="4" w:space="0"/>
            </w:tcBorders>
            <w:noWrap w:val="0"/>
            <w:vAlign w:val="center"/>
          </w:tcPr>
          <w:p w14:paraId="26CECF8B">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rPr>
              <w:t>要 求</w:t>
            </w:r>
          </w:p>
        </w:tc>
      </w:tr>
      <w:tr w14:paraId="34E33147">
        <w:tblPrEx>
          <w:tblCellMar>
            <w:top w:w="15" w:type="dxa"/>
            <w:left w:w="15" w:type="dxa"/>
            <w:bottom w:w="15" w:type="dxa"/>
            <w:right w:w="15" w:type="dxa"/>
          </w:tblCellMar>
        </w:tblPrEx>
        <w:trPr>
          <w:trHeight w:val="567" w:hRule="atLeast"/>
          <w:jc w:val="center"/>
        </w:trPr>
        <w:tc>
          <w:tcPr>
            <w:tcW w:w="899" w:type="dxa"/>
            <w:tcBorders>
              <w:top w:val="single" w:color="000000" w:sz="4" w:space="0"/>
              <w:left w:val="single" w:color="000000" w:sz="4" w:space="0"/>
              <w:bottom w:val="single" w:color="000000" w:sz="4" w:space="0"/>
              <w:right w:val="single" w:color="000000" w:sz="4" w:space="0"/>
            </w:tcBorders>
            <w:noWrap w:val="0"/>
            <w:vAlign w:val="center"/>
          </w:tcPr>
          <w:p w14:paraId="3F5FF20D">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1</w:t>
            </w:r>
          </w:p>
        </w:tc>
        <w:tc>
          <w:tcPr>
            <w:tcW w:w="1803" w:type="dxa"/>
            <w:tcBorders>
              <w:top w:val="single" w:color="000000" w:sz="4" w:space="0"/>
              <w:left w:val="single" w:color="000000" w:sz="4" w:space="0"/>
              <w:bottom w:val="single" w:color="000000" w:sz="4" w:space="0"/>
              <w:right w:val="single" w:color="000000" w:sz="4" w:space="0"/>
            </w:tcBorders>
            <w:noWrap w:val="0"/>
            <w:vAlign w:val="center"/>
          </w:tcPr>
          <w:p w14:paraId="5DC885BE">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投标人</w:t>
            </w:r>
          </w:p>
        </w:tc>
        <w:tc>
          <w:tcPr>
            <w:tcW w:w="6938" w:type="dxa"/>
            <w:tcBorders>
              <w:top w:val="single" w:color="000000" w:sz="4" w:space="0"/>
              <w:left w:val="single" w:color="000000" w:sz="4" w:space="0"/>
              <w:bottom w:val="single" w:color="000000" w:sz="4" w:space="0"/>
              <w:right w:val="single" w:color="000000" w:sz="4" w:space="0"/>
            </w:tcBorders>
            <w:noWrap w:val="0"/>
            <w:vAlign w:val="center"/>
          </w:tcPr>
          <w:p w14:paraId="6AA0CEF8">
            <w:pPr>
              <w:keepNext w:val="0"/>
              <w:keepLines w:val="0"/>
              <w:widowControl/>
              <w:kinsoku/>
              <w:wordWrap/>
              <w:overflowPunct/>
              <w:topLinePunct w:val="0"/>
              <w:autoSpaceDE/>
              <w:autoSpaceDN/>
              <w:bidi w:val="0"/>
              <w:adjustRightInd/>
              <w:spacing w:line="560" w:lineRule="exact"/>
              <w:jc w:val="both"/>
              <w:textAlignment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rPr>
              <w:t>具有独立法人资格及年检合格有效的企业法人营业执照。</w:t>
            </w:r>
          </w:p>
        </w:tc>
      </w:tr>
      <w:tr w14:paraId="59CD4BDE">
        <w:tblPrEx>
          <w:tblCellMar>
            <w:top w:w="15" w:type="dxa"/>
            <w:left w:w="15" w:type="dxa"/>
            <w:bottom w:w="15" w:type="dxa"/>
            <w:right w:w="15" w:type="dxa"/>
          </w:tblCellMar>
        </w:tblPrEx>
        <w:trPr>
          <w:trHeight w:val="567" w:hRule="atLeast"/>
          <w:jc w:val="center"/>
        </w:trPr>
        <w:tc>
          <w:tcPr>
            <w:tcW w:w="899" w:type="dxa"/>
            <w:tcBorders>
              <w:top w:val="single" w:color="000000" w:sz="4" w:space="0"/>
              <w:left w:val="single" w:color="000000" w:sz="4" w:space="0"/>
              <w:bottom w:val="single" w:color="000000" w:sz="4" w:space="0"/>
              <w:right w:val="single" w:color="000000" w:sz="4" w:space="0"/>
            </w:tcBorders>
            <w:noWrap w:val="0"/>
            <w:vAlign w:val="center"/>
          </w:tcPr>
          <w:p w14:paraId="796DE789">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2</w:t>
            </w:r>
          </w:p>
        </w:tc>
        <w:tc>
          <w:tcPr>
            <w:tcW w:w="1803" w:type="dxa"/>
            <w:tcBorders>
              <w:top w:val="single" w:color="000000" w:sz="4" w:space="0"/>
              <w:left w:val="single" w:color="000000" w:sz="4" w:space="0"/>
              <w:bottom w:val="single" w:color="000000" w:sz="4" w:space="0"/>
              <w:right w:val="single" w:color="000000" w:sz="4" w:space="0"/>
            </w:tcBorders>
            <w:noWrap w:val="0"/>
            <w:vAlign w:val="center"/>
          </w:tcPr>
          <w:p w14:paraId="052077A7">
            <w:pPr>
              <w:keepNext w:val="0"/>
              <w:keepLines w:val="0"/>
              <w:widowControl/>
              <w:kinsoku/>
              <w:wordWrap/>
              <w:overflowPunct/>
              <w:topLinePunct w:val="0"/>
              <w:autoSpaceDE/>
              <w:autoSpaceDN/>
              <w:bidi w:val="0"/>
              <w:adjustRightInd/>
              <w:spacing w:line="560" w:lineRule="exact"/>
              <w:jc w:val="center"/>
              <w:textAlignment w:val="center"/>
              <w:rPr>
                <w:rFonts w:hint="eastAsia" w:ascii="仿宋_GB2312" w:hAnsi="仿宋_GB2312" w:eastAsia="仿宋_GB2312" w:cs="仿宋_GB2312"/>
                <w:kern w:val="0"/>
                <w:sz w:val="32"/>
                <w:szCs w:val="32"/>
                <w:highlight w:val="none"/>
              </w:rPr>
            </w:pPr>
            <w:bookmarkStart w:id="88" w:name="OLE_LINK24"/>
            <w:r>
              <w:rPr>
                <w:rFonts w:hint="eastAsia" w:ascii="仿宋_GB2312" w:hAnsi="仿宋_GB2312" w:eastAsia="仿宋_GB2312" w:cs="仿宋_GB2312"/>
                <w:kern w:val="0"/>
                <w:sz w:val="32"/>
                <w:szCs w:val="32"/>
                <w:highlight w:val="none"/>
              </w:rPr>
              <w:t>资质</w:t>
            </w:r>
            <w:bookmarkEnd w:id="88"/>
          </w:p>
        </w:tc>
        <w:tc>
          <w:tcPr>
            <w:tcW w:w="6938" w:type="dxa"/>
            <w:tcBorders>
              <w:top w:val="single" w:color="000000" w:sz="4" w:space="0"/>
              <w:left w:val="single" w:color="000000" w:sz="4" w:space="0"/>
              <w:bottom w:val="single" w:color="000000" w:sz="4" w:space="0"/>
              <w:right w:val="single" w:color="000000" w:sz="4" w:space="0"/>
            </w:tcBorders>
            <w:noWrap w:val="0"/>
            <w:vAlign w:val="center"/>
          </w:tcPr>
          <w:p w14:paraId="7730FC9F">
            <w:pPr>
              <w:keepNext w:val="0"/>
              <w:keepLines w:val="0"/>
              <w:kinsoku/>
              <w:wordWrap/>
              <w:overflowPunct/>
              <w:topLinePunct w:val="0"/>
              <w:autoSpaceDE/>
              <w:autoSpaceDN/>
              <w:bidi w:val="0"/>
              <w:adjustRightInd/>
              <w:spacing w:line="560" w:lineRule="exact"/>
              <w:jc w:val="both"/>
              <w:rPr>
                <w:rFonts w:hint="eastAsia" w:ascii="仿宋_GB2312" w:hAnsi="仿宋_GB2312" w:eastAsia="仿宋_GB2312" w:cs="仿宋_GB2312"/>
                <w:kern w:val="0"/>
                <w:sz w:val="32"/>
                <w:szCs w:val="32"/>
                <w:highlight w:val="none"/>
                <w:lang w:val="en-US" w:eastAsia="zh-CN"/>
              </w:rPr>
            </w:pPr>
            <w:bookmarkStart w:id="89" w:name="OLE_LINK26"/>
            <w:r>
              <w:rPr>
                <w:rFonts w:hint="eastAsia" w:ascii="仿宋_GB2312" w:hAnsi="仿宋_GB2312" w:eastAsia="仿宋_GB2312" w:cs="仿宋_GB2312"/>
                <w:kern w:val="0"/>
                <w:sz w:val="32"/>
                <w:szCs w:val="32"/>
                <w:highlight w:val="none"/>
                <w:lang w:val="en-US" w:eastAsia="zh-CN" w:bidi="ar-SA"/>
              </w:rPr>
              <w:t>1</w:t>
            </w:r>
            <w:r>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t>.具</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有公路交通工程(公路安全设施分项) 专业承包贰级及以上</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或公路工程施工总承包贰级及以上</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资质。</w:t>
            </w:r>
          </w:p>
          <w:p w14:paraId="11D3D540">
            <w:pPr>
              <w:keepNext w:val="0"/>
              <w:keepLines w:val="0"/>
              <w:kinsoku/>
              <w:wordWrap/>
              <w:overflowPunct/>
              <w:topLinePunct w:val="0"/>
              <w:autoSpaceDE/>
              <w:autoSpaceDN/>
              <w:bidi w:val="0"/>
              <w:adjustRightInd/>
              <w:spacing w:line="560" w:lineRule="exact"/>
              <w:jc w:val="both"/>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2.具备建设行政主管部门核发的企业安全生产许可证。</w:t>
            </w:r>
          </w:p>
          <w:bookmarkEnd w:id="89"/>
          <w:p w14:paraId="128357D4">
            <w:pPr>
              <w:keepNext w:val="0"/>
              <w:keepLines w:val="0"/>
              <w:kinsoku/>
              <w:wordWrap/>
              <w:overflowPunct/>
              <w:topLinePunct w:val="0"/>
              <w:autoSpaceDE/>
              <w:autoSpaceDN/>
              <w:bidi w:val="0"/>
              <w:adjustRightInd/>
              <w:spacing w:line="560" w:lineRule="exact"/>
              <w:jc w:val="both"/>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bidi="ar-SA"/>
              </w:rPr>
              <w:t>3.本项目不接受联合体报价。</w:t>
            </w:r>
          </w:p>
        </w:tc>
      </w:tr>
    </w:tbl>
    <w:p w14:paraId="51AF18CC">
      <w:pPr>
        <w:keepNext w:val="0"/>
        <w:keepLines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lang w:eastAsia="zh-CN"/>
        </w:rPr>
      </w:pPr>
      <w:r>
        <w:rPr>
          <w:rFonts w:hint="eastAsia" w:ascii="Times New Roman" w:hAnsi="Times New Roman" w:eastAsia="仿宋_GB2312" w:cs="Times New Roman"/>
          <w:sz w:val="32"/>
          <w:szCs w:val="32"/>
          <w:highlight w:val="none"/>
        </w:rPr>
        <w:t>注：</w:t>
      </w:r>
      <w:r>
        <w:rPr>
          <w:rFonts w:hint="eastAsia" w:eastAsia="仿宋_GB2312" w:cs="Times New Roman"/>
          <w:sz w:val="32"/>
          <w:szCs w:val="32"/>
          <w:highlight w:val="none"/>
          <w:lang w:val="en-US" w:eastAsia="zh-CN"/>
        </w:rPr>
        <w:t>根据工期情况</w:t>
      </w:r>
      <w:r>
        <w:rPr>
          <w:rFonts w:hint="eastAsia" w:ascii="Times New Roman" w:hAnsi="Times New Roman" w:eastAsia="仿宋_GB2312" w:cs="Times New Roman"/>
          <w:sz w:val="32"/>
          <w:szCs w:val="32"/>
          <w:highlight w:val="none"/>
        </w:rPr>
        <w:t>现场施工人员及机械设备</w:t>
      </w:r>
      <w:r>
        <w:rPr>
          <w:rFonts w:hint="eastAsia" w:eastAsia="仿宋_GB2312" w:cs="Times New Roman"/>
          <w:sz w:val="32"/>
          <w:szCs w:val="32"/>
          <w:highlight w:val="none"/>
          <w:lang w:val="en-US" w:eastAsia="zh-CN"/>
        </w:rPr>
        <w:t>必须</w:t>
      </w:r>
      <w:r>
        <w:rPr>
          <w:rFonts w:hint="eastAsia" w:ascii="Times New Roman" w:hAnsi="Times New Roman" w:eastAsia="仿宋_GB2312" w:cs="Times New Roman"/>
          <w:sz w:val="32"/>
          <w:szCs w:val="32"/>
          <w:highlight w:val="none"/>
        </w:rPr>
        <w:t>根据实际工程情况适当增加。</w:t>
      </w:r>
    </w:p>
    <w:p w14:paraId="4DA42D4A">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九</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采购文件中规定的其他要求。</w:t>
      </w:r>
    </w:p>
    <w:p w14:paraId="1F7A811D">
      <w:pPr>
        <w:keepNext w:val="0"/>
        <w:keepLines w:val="0"/>
        <w:widowControl w:val="0"/>
        <w:kinsoku/>
        <w:wordWrap/>
        <w:overflowPunct/>
        <w:topLinePunct w:val="0"/>
        <w:autoSpaceDE/>
        <w:autoSpaceDN/>
        <w:bidi w:val="0"/>
        <w:adjustRightInd/>
        <w:snapToGrid/>
        <w:spacing w:line="560" w:lineRule="exact"/>
        <w:ind w:firstLine="420" w:firstLineChars="200"/>
        <w:jc w:val="left"/>
        <w:textAlignment w:val="auto"/>
        <w:rPr>
          <w:rFonts w:eastAsia="仿宋_GB2312"/>
          <w:color w:val="FF0000"/>
          <w:highlight w:val="none"/>
        </w:rPr>
        <w:sectPr>
          <w:footerReference r:id="rId3" w:type="default"/>
          <w:pgSz w:w="11906" w:h="16838"/>
          <w:pgMar w:top="1440" w:right="1417" w:bottom="1440" w:left="1587" w:header="851" w:footer="992" w:gutter="0"/>
          <w:pgNumType w:fmt="decimal"/>
          <w:cols w:space="720" w:num="1"/>
          <w:docGrid w:type="linesAndChars" w:linePitch="317" w:charSpace="204"/>
        </w:sectPr>
      </w:pPr>
    </w:p>
    <w:p w14:paraId="611F65E5">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hint="eastAsia" w:ascii="黑体" w:hAnsi="黑体" w:eastAsia="黑体" w:cs="黑体"/>
          <w:sz w:val="44"/>
          <w:szCs w:val="44"/>
          <w:highlight w:val="none"/>
        </w:rPr>
      </w:pPr>
      <w:bookmarkStart w:id="90" w:name="_Toc296"/>
      <w:bookmarkStart w:id="91" w:name="_Toc24713"/>
      <w:bookmarkStart w:id="92" w:name="_Toc31783"/>
      <w:bookmarkStart w:id="93" w:name="_Toc19180"/>
      <w:bookmarkStart w:id="94" w:name="_Toc14893"/>
      <w:bookmarkStart w:id="95" w:name="_Toc7355"/>
      <w:bookmarkStart w:id="96" w:name="_Toc18504"/>
      <w:bookmarkStart w:id="97" w:name="_Toc14725"/>
      <w:bookmarkStart w:id="98" w:name="_Toc25750"/>
      <w:bookmarkStart w:id="99" w:name="_Toc32538"/>
      <w:bookmarkStart w:id="100" w:name="_Toc29443"/>
      <w:bookmarkStart w:id="101" w:name="_Toc21277"/>
      <w:bookmarkStart w:id="102" w:name="_Toc25767"/>
      <w:r>
        <w:rPr>
          <w:rFonts w:hint="eastAsia" w:ascii="黑体" w:hAnsi="黑体" w:eastAsia="黑体" w:cs="黑体"/>
          <w:sz w:val="44"/>
          <w:szCs w:val="44"/>
          <w:highlight w:val="none"/>
        </w:rPr>
        <w:t>第三篇  供应商须知</w:t>
      </w:r>
      <w:bookmarkEnd w:id="90"/>
      <w:bookmarkEnd w:id="91"/>
      <w:bookmarkEnd w:id="92"/>
      <w:bookmarkEnd w:id="93"/>
      <w:bookmarkEnd w:id="94"/>
      <w:bookmarkEnd w:id="95"/>
      <w:bookmarkEnd w:id="96"/>
      <w:bookmarkEnd w:id="97"/>
      <w:bookmarkEnd w:id="98"/>
      <w:bookmarkEnd w:id="99"/>
      <w:bookmarkEnd w:id="100"/>
      <w:bookmarkEnd w:id="101"/>
      <w:bookmarkEnd w:id="102"/>
    </w:p>
    <w:p w14:paraId="0C94DD4F">
      <w:pPr>
        <w:keepNext w:val="0"/>
        <w:keepLines w:val="0"/>
        <w:widowControl w:val="0"/>
        <w:kinsoku/>
        <w:wordWrap/>
        <w:overflowPunct/>
        <w:topLinePunct w:val="0"/>
        <w:autoSpaceDE/>
        <w:autoSpaceDN/>
        <w:bidi w:val="0"/>
        <w:adjustRightInd/>
        <w:snapToGrid/>
        <w:spacing w:line="560" w:lineRule="exact"/>
        <w:ind w:firstLine="643" w:firstLineChars="200"/>
        <w:textAlignment w:val="auto"/>
        <w:rPr>
          <w:rFonts w:ascii="仿宋_GB2312" w:eastAsia="仿宋_GB2312"/>
          <w:b/>
          <w:sz w:val="32"/>
          <w:szCs w:val="32"/>
          <w:highlight w:val="none"/>
        </w:rPr>
      </w:pPr>
    </w:p>
    <w:p w14:paraId="45FACE61">
      <w:pPr>
        <w:keepNext w:val="0"/>
        <w:keepLines w:val="0"/>
        <w:widowControl w:val="0"/>
        <w:kinsoku/>
        <w:wordWrap/>
        <w:overflowPunct/>
        <w:topLinePunct w:val="0"/>
        <w:autoSpaceDE/>
        <w:autoSpaceDN/>
        <w:bidi w:val="0"/>
        <w:adjustRightInd/>
        <w:snapToGrid/>
        <w:spacing w:line="560" w:lineRule="exact"/>
        <w:ind w:firstLine="643" w:firstLineChars="200"/>
        <w:textAlignment w:val="auto"/>
        <w:outlineLvl w:val="1"/>
        <w:rPr>
          <w:rFonts w:ascii="仿宋_GB2312" w:hAnsi="仿宋_GB2312" w:eastAsia="仿宋_GB2312" w:cs="仿宋_GB2312"/>
          <w:b/>
          <w:sz w:val="32"/>
          <w:szCs w:val="32"/>
          <w:highlight w:val="none"/>
        </w:rPr>
      </w:pPr>
      <w:bookmarkStart w:id="103" w:name="_Toc6819"/>
      <w:bookmarkStart w:id="104" w:name="_Toc26561"/>
      <w:bookmarkStart w:id="105" w:name="_Toc8816"/>
      <w:bookmarkStart w:id="106" w:name="_Toc8943"/>
      <w:bookmarkStart w:id="107" w:name="_Toc6770"/>
      <w:bookmarkStart w:id="108" w:name="_Toc3437"/>
      <w:r>
        <w:rPr>
          <w:rFonts w:hint="eastAsia" w:ascii="仿宋_GB2312" w:hAnsi="仿宋_GB2312" w:eastAsia="仿宋_GB2312" w:cs="仿宋_GB2312"/>
          <w:b/>
          <w:sz w:val="32"/>
          <w:szCs w:val="32"/>
          <w:highlight w:val="none"/>
        </w:rPr>
        <w:t>一、资金来源</w:t>
      </w:r>
      <w:bookmarkEnd w:id="103"/>
      <w:bookmarkEnd w:id="104"/>
      <w:bookmarkEnd w:id="105"/>
      <w:bookmarkEnd w:id="106"/>
      <w:bookmarkEnd w:id="107"/>
      <w:bookmarkEnd w:id="108"/>
    </w:p>
    <w:p w14:paraId="41CC3F4C">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资金来源：福路通城乡发展（福建）集团有限公司企业自筹资金。</w:t>
      </w:r>
    </w:p>
    <w:p w14:paraId="53A51B34">
      <w:pPr>
        <w:keepNext w:val="0"/>
        <w:keepLines w:val="0"/>
        <w:widowControl w:val="0"/>
        <w:kinsoku/>
        <w:wordWrap/>
        <w:overflowPunct/>
        <w:topLinePunct w:val="0"/>
        <w:autoSpaceDE/>
        <w:autoSpaceDN/>
        <w:bidi w:val="0"/>
        <w:adjustRightInd/>
        <w:snapToGrid/>
        <w:spacing w:line="560" w:lineRule="exact"/>
        <w:ind w:firstLine="643" w:firstLineChars="200"/>
        <w:textAlignment w:val="auto"/>
        <w:outlineLvl w:val="1"/>
        <w:rPr>
          <w:rFonts w:ascii="仿宋_GB2312" w:hAnsi="仿宋_GB2312" w:eastAsia="仿宋_GB2312" w:cs="仿宋_GB2312"/>
          <w:b/>
          <w:sz w:val="32"/>
          <w:szCs w:val="32"/>
          <w:highlight w:val="none"/>
        </w:rPr>
      </w:pPr>
      <w:bookmarkStart w:id="109" w:name="_Toc13171"/>
      <w:bookmarkStart w:id="110" w:name="_Toc3369"/>
      <w:bookmarkStart w:id="111" w:name="_Toc31811"/>
      <w:bookmarkStart w:id="112" w:name="_Toc14753"/>
      <w:bookmarkStart w:id="113" w:name="_Toc18846"/>
      <w:bookmarkStart w:id="114" w:name="_Toc32750"/>
      <w:r>
        <w:rPr>
          <w:rFonts w:hint="eastAsia" w:ascii="仿宋_GB2312" w:hAnsi="仿宋_GB2312" w:eastAsia="仿宋_GB2312" w:cs="仿宋_GB2312"/>
          <w:b/>
          <w:sz w:val="32"/>
          <w:szCs w:val="32"/>
          <w:highlight w:val="none"/>
        </w:rPr>
        <w:t>二、供应商的合格条件</w:t>
      </w:r>
      <w:bookmarkEnd w:id="109"/>
      <w:bookmarkEnd w:id="110"/>
      <w:bookmarkEnd w:id="111"/>
      <w:bookmarkEnd w:id="112"/>
      <w:bookmarkEnd w:id="113"/>
      <w:bookmarkEnd w:id="114"/>
    </w:p>
    <w:p w14:paraId="00117682">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（一）本项目采用资格后审方式</w:t>
      </w:r>
    </w:p>
    <w:p w14:paraId="38FBF9D2">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（二）资格条件要求</w:t>
      </w:r>
    </w:p>
    <w:tbl>
      <w:tblPr>
        <w:tblStyle w:val="32"/>
        <w:tblW w:w="9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5"/>
        <w:gridCol w:w="6606"/>
      </w:tblGrid>
      <w:tr w14:paraId="084E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95" w:type="dxa"/>
            <w:vAlign w:val="center"/>
          </w:tcPr>
          <w:p w14:paraId="35ABC7A8">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营业执照</w:t>
            </w:r>
          </w:p>
        </w:tc>
        <w:tc>
          <w:tcPr>
            <w:tcW w:w="6606" w:type="dxa"/>
            <w:vAlign w:val="center"/>
          </w:tcPr>
          <w:p w14:paraId="1A173B65">
            <w:pPr>
              <w:keepNext/>
              <w:keepLines/>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供应商应提供有效的依法合法设立的独立法人企业的营业执照复印件并加盖供应商公章，未提供或提供不全的响应文件将被否决。</w:t>
            </w:r>
          </w:p>
        </w:tc>
      </w:tr>
      <w:tr w14:paraId="11CE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95" w:type="dxa"/>
            <w:vAlign w:val="center"/>
          </w:tcPr>
          <w:p w14:paraId="3F7260C4">
            <w:pPr>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法定代表人授权书或法定代表人身份证明</w:t>
            </w:r>
          </w:p>
        </w:tc>
        <w:tc>
          <w:tcPr>
            <w:tcW w:w="6606" w:type="dxa"/>
            <w:vAlign w:val="center"/>
          </w:tcPr>
          <w:p w14:paraId="21F71021">
            <w:pPr>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供应商应提供法定代表人授权书或法定代表人身份证明，未提供或提供不全的响应文件将被否决。</w:t>
            </w:r>
          </w:p>
          <w:p w14:paraId="1E327C0F">
            <w:pPr>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注：供应商应按照采购文件格式规定提供。</w:t>
            </w:r>
          </w:p>
        </w:tc>
      </w:tr>
      <w:tr w14:paraId="4FAC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995" w:type="dxa"/>
            <w:vAlign w:val="center"/>
          </w:tcPr>
          <w:p w14:paraId="2CBAB263">
            <w:pPr>
              <w:spacing w:line="560" w:lineRule="exact"/>
              <w:ind w:firstLine="320" w:firstLineChars="100"/>
              <w:rPr>
                <w:rFonts w:hint="eastAsia" w:ascii="仿宋_GB2312" w:hAnsi="仿宋_GB2312" w:eastAsia="仿宋_GB2312" w:cs="仿宋_GB2312"/>
                <w:sz w:val="32"/>
                <w:szCs w:val="32"/>
                <w:highlight w:val="none"/>
                <w:lang w:val="en-US" w:eastAsia="zh-CN"/>
              </w:rPr>
            </w:pPr>
            <w:bookmarkStart w:id="115" w:name="_Toc9403"/>
            <w:bookmarkStart w:id="116" w:name="_Toc4294"/>
            <w:bookmarkStart w:id="117" w:name="_Toc5610"/>
            <w:bookmarkStart w:id="118" w:name="_Toc7335"/>
            <w:bookmarkStart w:id="119" w:name="_Toc13808"/>
            <w:bookmarkStart w:id="120" w:name="_Toc30593"/>
            <w:r>
              <w:rPr>
                <w:rFonts w:hint="eastAsia" w:ascii="仿宋_GB2312" w:hAnsi="仿宋_GB2312" w:eastAsia="仿宋_GB2312" w:cs="仿宋_GB2312"/>
                <w:kern w:val="0"/>
                <w:sz w:val="32"/>
                <w:szCs w:val="32"/>
                <w:highlight w:val="none"/>
              </w:rPr>
              <w:t>资</w:t>
            </w:r>
            <w:r>
              <w:rPr>
                <w:rFonts w:hint="eastAsia" w:ascii="仿宋_GB2312" w:hAnsi="仿宋_GB2312" w:eastAsia="仿宋_GB2312" w:cs="仿宋_GB2312"/>
                <w:kern w:val="0"/>
                <w:sz w:val="32"/>
                <w:szCs w:val="32"/>
                <w:highlight w:val="none"/>
                <w:lang w:val="en-US" w:eastAsia="zh-CN"/>
              </w:rPr>
              <w:t xml:space="preserve"> </w:t>
            </w:r>
            <w:r>
              <w:rPr>
                <w:rFonts w:hint="eastAsia" w:ascii="仿宋_GB2312" w:hAnsi="仿宋_GB2312" w:eastAsia="仿宋_GB2312" w:cs="仿宋_GB2312"/>
                <w:kern w:val="0"/>
                <w:sz w:val="32"/>
                <w:szCs w:val="32"/>
                <w:highlight w:val="none"/>
              </w:rPr>
              <w:t>质</w:t>
            </w:r>
            <w:r>
              <w:rPr>
                <w:rFonts w:hint="eastAsia" w:ascii="仿宋_GB2312" w:hAnsi="仿宋_GB2312" w:eastAsia="仿宋_GB2312" w:cs="仿宋_GB2312"/>
                <w:kern w:val="0"/>
                <w:sz w:val="32"/>
                <w:szCs w:val="32"/>
                <w:highlight w:val="none"/>
                <w:lang w:val="en-US" w:eastAsia="zh-CN"/>
              </w:rPr>
              <w:t xml:space="preserve"> 条 件</w:t>
            </w:r>
          </w:p>
        </w:tc>
        <w:tc>
          <w:tcPr>
            <w:tcW w:w="6606" w:type="dxa"/>
            <w:vAlign w:val="center"/>
          </w:tcPr>
          <w:p w14:paraId="073D1701">
            <w:pPr>
              <w:keepNext w:val="0"/>
              <w:keepLines w:val="0"/>
              <w:kinsoku/>
              <w:wordWrap/>
              <w:overflowPunct/>
              <w:topLinePunct w:val="0"/>
              <w:autoSpaceDE/>
              <w:autoSpaceDN/>
              <w:bidi w:val="0"/>
              <w:adjustRightInd/>
              <w:spacing w:line="560" w:lineRule="exact"/>
              <w:jc w:val="both"/>
              <w:rPr>
                <w:rFonts w:hint="eastAsia" w:ascii="仿宋_GB2312" w:hAnsi="仿宋_GB2312" w:eastAsia="仿宋_GB2312" w:cs="仿宋_GB2312"/>
                <w:kern w:val="0"/>
                <w:sz w:val="32"/>
                <w:szCs w:val="32"/>
                <w:highlight w:val="none"/>
                <w:lang w:val="en-US" w:eastAsia="zh-CN"/>
              </w:rPr>
            </w:pPr>
            <w:bookmarkStart w:id="121" w:name="OLE_LINK27"/>
            <w:r>
              <w:rPr>
                <w:rFonts w:hint="eastAsia" w:ascii="仿宋_GB2312" w:hAnsi="仿宋_GB2312" w:eastAsia="仿宋_GB2312" w:cs="仿宋_GB2312"/>
                <w:kern w:val="0"/>
                <w:sz w:val="32"/>
                <w:szCs w:val="32"/>
                <w:highlight w:val="none"/>
                <w:lang w:val="en-US" w:eastAsia="zh-CN" w:bidi="ar-SA"/>
              </w:rPr>
              <w:t>1</w:t>
            </w:r>
            <w:r>
              <w:rPr>
                <w:rFonts w:hint="eastAsia" w:ascii="仿宋_GB2312" w:hAnsi="仿宋_GB2312" w:eastAsia="仿宋_GB2312" w:cs="仿宋_GB2312"/>
                <w:color w:val="000000" w:themeColor="text1"/>
                <w:kern w:val="0"/>
                <w:sz w:val="32"/>
                <w:szCs w:val="32"/>
                <w:highlight w:val="none"/>
                <w:lang w:val="en-US" w:eastAsia="zh-CN" w:bidi="ar-SA"/>
                <w14:textFill>
                  <w14:solidFill>
                    <w14:schemeClr w14:val="tx1"/>
                  </w14:solidFill>
                </w14:textFill>
              </w:rPr>
              <w:t>.具</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有公路交通工程(公路安全设施分项) 专业承包贰级及以上</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或公路工程施工总承包贰级及以上</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资质。</w:t>
            </w:r>
          </w:p>
          <w:p w14:paraId="36C492E5">
            <w:pPr>
              <w:keepNext w:val="0"/>
              <w:keepLines w:val="0"/>
              <w:kinsoku/>
              <w:wordWrap/>
              <w:overflowPunct/>
              <w:topLinePunct w:val="0"/>
              <w:autoSpaceDE/>
              <w:autoSpaceDN/>
              <w:bidi w:val="0"/>
              <w:adjustRightInd/>
              <w:spacing w:line="560" w:lineRule="exact"/>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0"/>
                <w:sz w:val="32"/>
                <w:szCs w:val="32"/>
                <w:highlight w:val="none"/>
                <w:lang w:val="en-US" w:eastAsia="zh-CN" w:bidi="ar-SA"/>
              </w:rPr>
              <w:t>2.具备建设行政主管部门核发的企业安全生产许可证。</w:t>
            </w:r>
            <w:bookmarkEnd w:id="121"/>
          </w:p>
        </w:tc>
      </w:tr>
    </w:tbl>
    <w:p w14:paraId="2B2908B0">
      <w:pPr>
        <w:spacing w:line="560" w:lineRule="exact"/>
        <w:ind w:firstLine="643" w:firstLineChars="200"/>
        <w:outlineLvl w:val="1"/>
        <w:rPr>
          <w:rFonts w:ascii="仿宋_GB2312" w:hAnsi="仿宋_GB2312" w:eastAsia="仿宋_GB2312" w:cs="仿宋_GB2312"/>
          <w:bCs/>
          <w:sz w:val="32"/>
          <w:szCs w:val="32"/>
          <w:highlight w:val="none"/>
        </w:rPr>
      </w:pPr>
      <w:r>
        <w:rPr>
          <w:rFonts w:hint="eastAsia" w:ascii="仿宋_GB2312" w:hAnsi="仿宋_GB2312" w:eastAsia="仿宋_GB2312" w:cs="仿宋_GB2312"/>
          <w:b/>
          <w:sz w:val="32"/>
          <w:szCs w:val="32"/>
          <w:highlight w:val="none"/>
        </w:rPr>
        <w:t>三、询价采购日程安排</w:t>
      </w:r>
      <w:bookmarkEnd w:id="115"/>
      <w:bookmarkEnd w:id="116"/>
      <w:bookmarkEnd w:id="117"/>
      <w:bookmarkEnd w:id="118"/>
      <w:bookmarkEnd w:id="119"/>
      <w:bookmarkEnd w:id="120"/>
    </w:p>
    <w:tbl>
      <w:tblPr>
        <w:tblStyle w:val="31"/>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3032"/>
        <w:gridCol w:w="5684"/>
      </w:tblGrid>
      <w:tr w14:paraId="4826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603F10C4">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序号</w:t>
            </w:r>
          </w:p>
        </w:tc>
        <w:tc>
          <w:tcPr>
            <w:tcW w:w="2860" w:type="dxa"/>
            <w:vAlign w:val="center"/>
          </w:tcPr>
          <w:p w14:paraId="6E731E52">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w:t>
            </w:r>
          </w:p>
        </w:tc>
        <w:tc>
          <w:tcPr>
            <w:tcW w:w="5361" w:type="dxa"/>
            <w:vAlign w:val="center"/>
          </w:tcPr>
          <w:p w14:paraId="515F17F0">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内容</w:t>
            </w:r>
          </w:p>
        </w:tc>
      </w:tr>
      <w:tr w14:paraId="7B68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7E3CBA23">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1</w:t>
            </w:r>
          </w:p>
        </w:tc>
        <w:tc>
          <w:tcPr>
            <w:tcW w:w="2860" w:type="dxa"/>
            <w:vAlign w:val="center"/>
          </w:tcPr>
          <w:p w14:paraId="7ABDDE40">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询价采购人</w:t>
            </w:r>
          </w:p>
        </w:tc>
        <w:tc>
          <w:tcPr>
            <w:tcW w:w="5361" w:type="dxa"/>
            <w:vAlign w:val="center"/>
          </w:tcPr>
          <w:p w14:paraId="61044219">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福路通城乡发展（福建）集团有限公司</w:t>
            </w:r>
          </w:p>
        </w:tc>
      </w:tr>
      <w:tr w14:paraId="13A9F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7623F60A">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2</w:t>
            </w:r>
          </w:p>
        </w:tc>
        <w:tc>
          <w:tcPr>
            <w:tcW w:w="2860" w:type="dxa"/>
            <w:vAlign w:val="center"/>
          </w:tcPr>
          <w:p w14:paraId="5CA2E554">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项目名称</w:t>
            </w:r>
          </w:p>
        </w:tc>
        <w:tc>
          <w:tcPr>
            <w:tcW w:w="5361" w:type="dxa"/>
            <w:vAlign w:val="center"/>
          </w:tcPr>
          <w:p w14:paraId="70449F8E">
            <w:pPr>
              <w:spacing w:line="560" w:lineRule="exact"/>
              <w:jc w:val="center"/>
              <w:rPr>
                <w:rFonts w:hint="eastAsia" w:ascii="仿宋_GB2312" w:hAnsi="仿宋_GB2312" w:eastAsia="微软雅黑"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宁上高速路面交安设施安装服务</w:t>
            </w:r>
          </w:p>
        </w:tc>
      </w:tr>
      <w:tr w14:paraId="37464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7A227F18">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3</w:t>
            </w:r>
          </w:p>
        </w:tc>
        <w:tc>
          <w:tcPr>
            <w:tcW w:w="2860" w:type="dxa"/>
            <w:vAlign w:val="center"/>
          </w:tcPr>
          <w:p w14:paraId="1872B541">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询价采购方式</w:t>
            </w:r>
          </w:p>
        </w:tc>
        <w:tc>
          <w:tcPr>
            <w:tcW w:w="5361" w:type="dxa"/>
            <w:vAlign w:val="center"/>
          </w:tcPr>
          <w:p w14:paraId="03A04A12">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询价采购</w:t>
            </w:r>
          </w:p>
        </w:tc>
      </w:tr>
      <w:tr w14:paraId="3FE8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1DC438F2">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4</w:t>
            </w:r>
          </w:p>
        </w:tc>
        <w:tc>
          <w:tcPr>
            <w:tcW w:w="2860" w:type="dxa"/>
            <w:vAlign w:val="center"/>
          </w:tcPr>
          <w:p w14:paraId="0BC96EF0">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询价采购文件领取</w:t>
            </w:r>
          </w:p>
        </w:tc>
        <w:tc>
          <w:tcPr>
            <w:tcW w:w="5361" w:type="dxa"/>
            <w:vAlign w:val="center"/>
          </w:tcPr>
          <w:p w14:paraId="49B1AA8E">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详见询价采购公告</w:t>
            </w:r>
          </w:p>
        </w:tc>
      </w:tr>
      <w:tr w14:paraId="3B11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630DCDEB">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5</w:t>
            </w:r>
          </w:p>
        </w:tc>
        <w:tc>
          <w:tcPr>
            <w:tcW w:w="2860" w:type="dxa"/>
            <w:vAlign w:val="center"/>
          </w:tcPr>
          <w:p w14:paraId="23A189B0">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现场查看时间</w:t>
            </w:r>
          </w:p>
        </w:tc>
        <w:tc>
          <w:tcPr>
            <w:tcW w:w="5361" w:type="dxa"/>
            <w:vAlign w:val="center"/>
          </w:tcPr>
          <w:p w14:paraId="072BEC33">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color w:val="000000"/>
                <w:sz w:val="32"/>
                <w:szCs w:val="32"/>
                <w:highlight w:val="none"/>
              </w:rPr>
              <w:t>不组织现场查看</w:t>
            </w:r>
          </w:p>
        </w:tc>
      </w:tr>
      <w:tr w14:paraId="01A0F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17BAED3D">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w:t>
            </w:r>
          </w:p>
        </w:tc>
        <w:tc>
          <w:tcPr>
            <w:tcW w:w="2860" w:type="dxa"/>
            <w:vAlign w:val="center"/>
          </w:tcPr>
          <w:p w14:paraId="792BFB33">
            <w:pPr>
              <w:spacing w:line="560" w:lineRule="exact"/>
              <w:jc w:val="center"/>
              <w:rPr>
                <w:rFonts w:ascii="仿宋_GB2312" w:hAnsi="仿宋_GB2312" w:eastAsia="仿宋_GB2312" w:cs="仿宋_GB2312"/>
                <w:sz w:val="32"/>
                <w:szCs w:val="32"/>
                <w:highlight w:val="none"/>
              </w:rPr>
            </w:pPr>
            <w:bookmarkStart w:id="122" w:name="OLE_LINK11"/>
            <w:r>
              <w:rPr>
                <w:rFonts w:hint="eastAsia" w:ascii="仿宋_GB2312" w:hAnsi="仿宋_GB2312" w:eastAsia="仿宋_GB2312" w:cs="仿宋_GB2312"/>
                <w:sz w:val="32"/>
                <w:szCs w:val="32"/>
                <w:highlight w:val="none"/>
              </w:rPr>
              <w:t>响应保证金</w:t>
            </w:r>
            <w:bookmarkEnd w:id="122"/>
            <w:r>
              <w:rPr>
                <w:rFonts w:hint="eastAsia" w:ascii="仿宋_GB2312" w:hAnsi="仿宋_GB2312" w:eastAsia="仿宋_GB2312" w:cs="仿宋_GB2312"/>
                <w:sz w:val="32"/>
                <w:szCs w:val="32"/>
                <w:highlight w:val="none"/>
              </w:rPr>
              <w:t>及缴纳方式</w:t>
            </w:r>
          </w:p>
        </w:tc>
        <w:tc>
          <w:tcPr>
            <w:tcW w:w="5361" w:type="dxa"/>
            <w:vAlign w:val="center"/>
          </w:tcPr>
          <w:p w14:paraId="2750BCA7">
            <w:pPr>
              <w:pStyle w:val="95"/>
              <w:spacing w:line="560" w:lineRule="exact"/>
              <w:ind w:firstLine="0"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rPr>
              <w:t>本</w:t>
            </w:r>
            <w:r>
              <w:rPr>
                <w:rFonts w:hint="eastAsia" w:ascii="仿宋_GB2312" w:hAnsi="仿宋_GB2312" w:eastAsia="仿宋_GB2312" w:cs="仿宋_GB2312"/>
                <w:color w:val="000000" w:themeColor="text1"/>
                <w:sz w:val="32"/>
                <w:szCs w:val="32"/>
                <w:highlight w:val="none"/>
                <w:lang w:val="en-US"/>
                <w14:textFill>
                  <w14:solidFill>
                    <w14:schemeClr w14:val="tx1"/>
                  </w14:solidFill>
                </w14:textFill>
              </w:rPr>
              <w:t>项目响应保证金额度为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20000</w:t>
            </w:r>
            <w:r>
              <w:rPr>
                <w:rFonts w:hint="eastAsia" w:ascii="仿宋_GB2312" w:hAnsi="仿宋_GB2312" w:eastAsia="仿宋_GB2312" w:cs="仿宋_GB2312"/>
                <w:color w:val="000000" w:themeColor="text1"/>
                <w:sz w:val="32"/>
                <w:szCs w:val="32"/>
                <w:highlight w:val="none"/>
                <w:lang w:val="en-US"/>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贰</w:t>
            </w:r>
            <w:r>
              <w:rPr>
                <w:rFonts w:hint="eastAsia" w:ascii="仿宋_GB2312" w:hAnsi="仿宋_GB2312" w:eastAsia="仿宋_GB2312" w:cs="仿宋_GB2312"/>
                <w:color w:val="000000" w:themeColor="text1"/>
                <w:sz w:val="32"/>
                <w:szCs w:val="32"/>
                <w:highlight w:val="none"/>
                <w:lang w:val="en-US"/>
                <w14:textFill>
                  <w14:solidFill>
                    <w14:schemeClr w14:val="tx1"/>
                  </w14:solidFill>
                </w14:textFill>
              </w:rPr>
              <w:t>万元整），供应商须采用转账方式汇入</w:t>
            </w:r>
            <w:r>
              <w:rPr>
                <w:rFonts w:hint="eastAsia" w:ascii="仿宋_GB2312" w:hAnsi="仿宋_GB2312" w:eastAsia="仿宋_GB2312" w:cs="仿宋_GB2312"/>
                <w:sz w:val="32"/>
                <w:szCs w:val="32"/>
                <w:highlight w:val="none"/>
                <w:lang w:val="en-US"/>
              </w:rPr>
              <w:t>采购人指定账户，未按要求缴纳保证金的不得参与本项目采购活动。</w:t>
            </w:r>
          </w:p>
          <w:p w14:paraId="5F622683">
            <w:pPr>
              <w:pStyle w:val="95"/>
              <w:spacing w:line="560" w:lineRule="exact"/>
              <w:ind w:firstLine="0" w:firstLineChars="0"/>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rPr>
              <w:t>保证金缴纳账户信息如下：</w:t>
            </w:r>
          </w:p>
          <w:p w14:paraId="536C533E">
            <w:pPr>
              <w:pStyle w:val="95"/>
              <w:spacing w:line="560" w:lineRule="exact"/>
              <w:ind w:firstLine="0" w:firstLineChars="0"/>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rPr>
              <w:t>户名：</w:t>
            </w:r>
            <w:r>
              <w:rPr>
                <w:rFonts w:hint="eastAsia" w:ascii="仿宋_GB2312" w:hAnsi="仿宋_GB2312" w:eastAsia="仿宋_GB2312" w:cs="仿宋_GB2312"/>
                <w:b/>
                <w:bCs/>
                <w:sz w:val="32"/>
                <w:szCs w:val="32"/>
                <w:highlight w:val="none"/>
              </w:rPr>
              <w:t>福路通城乡发展（福建）集团有限公司</w:t>
            </w:r>
          </w:p>
          <w:p w14:paraId="7DC261B0">
            <w:pPr>
              <w:pStyle w:val="95"/>
              <w:spacing w:line="560" w:lineRule="exact"/>
              <w:ind w:firstLine="0" w:firstLineChars="0"/>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rPr>
              <w:t>开户行：</w:t>
            </w:r>
            <w:r>
              <w:rPr>
                <w:rFonts w:hint="eastAsia" w:ascii="仿宋_GB2312" w:hAnsi="仿宋_GB2312" w:eastAsia="仿宋_GB2312" w:cs="仿宋_GB2312"/>
                <w:b/>
                <w:bCs/>
                <w:sz w:val="32"/>
                <w:szCs w:val="32"/>
                <w:highlight w:val="none"/>
              </w:rPr>
              <w:t>中国建设银行股份有限公司福建省分行营业部</w:t>
            </w:r>
          </w:p>
          <w:p w14:paraId="6E5FA54F">
            <w:pPr>
              <w:pStyle w:val="95"/>
              <w:spacing w:line="560" w:lineRule="exact"/>
              <w:ind w:firstLine="0" w:firstLineChars="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rPr>
              <w:t>账号：</w:t>
            </w:r>
            <w:r>
              <w:rPr>
                <w:rFonts w:ascii="仿宋_GB2312" w:hAnsi="仿宋_GB2312" w:eastAsia="仿宋_GB2312" w:cs="仿宋_GB2312"/>
                <w:b/>
                <w:bCs/>
                <w:sz w:val="32"/>
                <w:szCs w:val="32"/>
                <w:highlight w:val="none"/>
              </w:rPr>
              <w:t>35050100240600003626</w:t>
            </w:r>
          </w:p>
          <w:p w14:paraId="18EE573A">
            <w:pPr>
              <w:pStyle w:val="95"/>
              <w:spacing w:line="560" w:lineRule="exact"/>
              <w:ind w:left="0" w:leftChars="0" w:firstLine="0" w:firstLineChars="0"/>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rPr>
              <w:t>注明用途：</w:t>
            </w:r>
            <w:r>
              <w:rPr>
                <w:rFonts w:hint="eastAsia" w:ascii="仿宋_GB2312" w:hAnsi="仿宋_GB2312" w:eastAsia="仿宋_GB2312" w:cs="仿宋_GB2312"/>
                <w:sz w:val="32"/>
                <w:szCs w:val="32"/>
                <w:highlight w:val="none"/>
                <w:lang w:val="en-US" w:eastAsia="zh-CN"/>
              </w:rPr>
              <w:t>交安设施安装服务项目</w:t>
            </w:r>
            <w:r>
              <w:rPr>
                <w:rFonts w:hint="eastAsia" w:ascii="仿宋_GB2312" w:hAnsi="仿宋_GB2312" w:eastAsia="仿宋_GB2312" w:cs="仿宋_GB2312"/>
                <w:sz w:val="32"/>
                <w:szCs w:val="32"/>
                <w:highlight w:val="none"/>
                <w:lang w:val="en-US"/>
              </w:rPr>
              <w:t>保证金</w:t>
            </w:r>
          </w:p>
        </w:tc>
      </w:tr>
      <w:tr w14:paraId="56460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16D9A7F7">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w:t>
            </w:r>
          </w:p>
        </w:tc>
        <w:tc>
          <w:tcPr>
            <w:tcW w:w="2860" w:type="dxa"/>
            <w:vAlign w:val="center"/>
          </w:tcPr>
          <w:p w14:paraId="370D7624">
            <w:pPr>
              <w:spacing w:line="560" w:lineRule="exact"/>
              <w:jc w:val="center"/>
              <w:rPr>
                <w:rFonts w:ascii="仿宋_GB2312" w:hAnsi="仿宋_GB2312" w:eastAsia="仿宋_GB2312" w:cs="仿宋_GB2312"/>
                <w:sz w:val="32"/>
                <w:szCs w:val="32"/>
                <w:highlight w:val="none"/>
              </w:rPr>
            </w:pPr>
            <w:bookmarkStart w:id="123" w:name="OLE_LINK4"/>
            <w:r>
              <w:rPr>
                <w:rFonts w:hint="eastAsia" w:ascii="仿宋_GB2312" w:hAnsi="仿宋_GB2312" w:eastAsia="仿宋_GB2312" w:cs="仿宋_GB2312"/>
                <w:sz w:val="32"/>
                <w:szCs w:val="32"/>
                <w:highlight w:val="none"/>
              </w:rPr>
              <w:t>保证金</w:t>
            </w:r>
            <w:bookmarkEnd w:id="123"/>
            <w:r>
              <w:rPr>
                <w:rFonts w:hint="eastAsia" w:ascii="仿宋_GB2312" w:hAnsi="仿宋_GB2312" w:eastAsia="仿宋_GB2312" w:cs="仿宋_GB2312"/>
                <w:sz w:val="32"/>
                <w:szCs w:val="32"/>
                <w:highlight w:val="none"/>
              </w:rPr>
              <w:t>缴纳时间</w:t>
            </w:r>
          </w:p>
        </w:tc>
        <w:tc>
          <w:tcPr>
            <w:tcW w:w="5361" w:type="dxa"/>
            <w:vAlign w:val="center"/>
          </w:tcPr>
          <w:p w14:paraId="1A7A0607">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2025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21</w:t>
            </w:r>
            <w:r>
              <w:rPr>
                <w:rFonts w:hint="eastAsia" w:ascii="仿宋_GB2312" w:hAnsi="仿宋_GB2312" w:eastAsia="仿宋_GB2312" w:cs="仿宋_GB2312"/>
                <w:sz w:val="32"/>
                <w:szCs w:val="32"/>
                <w:highlight w:val="none"/>
              </w:rPr>
              <w:t>日17</w:t>
            </w: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rPr>
              <w:t>00之前</w:t>
            </w:r>
          </w:p>
        </w:tc>
      </w:tr>
      <w:tr w14:paraId="77060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585AF2DA">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8</w:t>
            </w:r>
          </w:p>
        </w:tc>
        <w:tc>
          <w:tcPr>
            <w:tcW w:w="2860" w:type="dxa"/>
            <w:vAlign w:val="center"/>
          </w:tcPr>
          <w:p w14:paraId="3423794D">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答疑时间</w:t>
            </w:r>
          </w:p>
        </w:tc>
        <w:tc>
          <w:tcPr>
            <w:tcW w:w="5361" w:type="dxa"/>
            <w:vAlign w:val="center"/>
          </w:tcPr>
          <w:p w14:paraId="4FF14C39">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无</w:t>
            </w:r>
          </w:p>
        </w:tc>
      </w:tr>
      <w:tr w14:paraId="344B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3DDF5A8E">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9</w:t>
            </w:r>
          </w:p>
        </w:tc>
        <w:tc>
          <w:tcPr>
            <w:tcW w:w="2860" w:type="dxa"/>
            <w:vAlign w:val="center"/>
          </w:tcPr>
          <w:p w14:paraId="3CA1D5AC">
            <w:pPr>
              <w:spacing w:line="560" w:lineRule="exact"/>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递交响应文件</w:t>
            </w:r>
          </w:p>
          <w:p w14:paraId="278F0A64">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截止时间</w:t>
            </w:r>
          </w:p>
        </w:tc>
        <w:tc>
          <w:tcPr>
            <w:tcW w:w="5361" w:type="dxa"/>
            <w:vAlign w:val="center"/>
          </w:tcPr>
          <w:p w14:paraId="358E6F2D">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2025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日9:30</w:t>
            </w:r>
          </w:p>
        </w:tc>
      </w:tr>
      <w:tr w14:paraId="3ACB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5F7C02C1">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10</w:t>
            </w:r>
          </w:p>
        </w:tc>
        <w:tc>
          <w:tcPr>
            <w:tcW w:w="2860" w:type="dxa"/>
            <w:vAlign w:val="center"/>
          </w:tcPr>
          <w:p w14:paraId="3382941C">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响应文件评审时间</w:t>
            </w:r>
          </w:p>
        </w:tc>
        <w:tc>
          <w:tcPr>
            <w:tcW w:w="5361" w:type="dxa"/>
            <w:vAlign w:val="center"/>
          </w:tcPr>
          <w:p w14:paraId="3378C286">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2025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日9:30</w:t>
            </w:r>
          </w:p>
        </w:tc>
      </w:tr>
      <w:tr w14:paraId="7A19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28FCA1E9">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rPr>
              <w:t>1</w:t>
            </w:r>
          </w:p>
        </w:tc>
        <w:tc>
          <w:tcPr>
            <w:tcW w:w="2860" w:type="dxa"/>
            <w:vAlign w:val="center"/>
          </w:tcPr>
          <w:p w14:paraId="7EDC3F28">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合同签订时间</w:t>
            </w:r>
          </w:p>
        </w:tc>
        <w:tc>
          <w:tcPr>
            <w:tcW w:w="5361" w:type="dxa"/>
            <w:vAlign w:val="center"/>
          </w:tcPr>
          <w:p w14:paraId="626FE7BA">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成交通知书下达后7日内</w:t>
            </w:r>
          </w:p>
        </w:tc>
      </w:tr>
      <w:tr w14:paraId="55A09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469C8C9B">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rPr>
              <w:t>2</w:t>
            </w:r>
          </w:p>
        </w:tc>
        <w:tc>
          <w:tcPr>
            <w:tcW w:w="2860" w:type="dxa"/>
            <w:vAlign w:val="center"/>
          </w:tcPr>
          <w:p w14:paraId="7ECAFE88">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响应文件投递地点</w:t>
            </w:r>
          </w:p>
        </w:tc>
        <w:tc>
          <w:tcPr>
            <w:tcW w:w="5361" w:type="dxa"/>
            <w:vAlign w:val="center"/>
          </w:tcPr>
          <w:p w14:paraId="4C939AA5">
            <w:pPr>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福建省福州市鼓楼区东水路18号交通运输厅26楼福路通城乡发展（福建）集团有限公司</w:t>
            </w:r>
          </w:p>
        </w:tc>
      </w:tr>
      <w:tr w14:paraId="663F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0C558305">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13</w:t>
            </w:r>
          </w:p>
        </w:tc>
        <w:tc>
          <w:tcPr>
            <w:tcW w:w="2860" w:type="dxa"/>
            <w:vAlign w:val="center"/>
          </w:tcPr>
          <w:p w14:paraId="4790025A">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交货时间、地点</w:t>
            </w:r>
          </w:p>
        </w:tc>
        <w:tc>
          <w:tcPr>
            <w:tcW w:w="5361" w:type="dxa"/>
            <w:vAlign w:val="center"/>
          </w:tcPr>
          <w:p w14:paraId="7AB6FEA0">
            <w:pPr>
              <w:spacing w:line="56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交货时间：由询价采购人提前7天通知，供应商按询价采购人通知的</w:t>
            </w:r>
            <w:r>
              <w:rPr>
                <w:rFonts w:hint="eastAsia" w:ascii="仿宋_GB2312" w:hAnsi="仿宋_GB2312" w:eastAsia="仿宋_GB2312" w:cs="仿宋_GB2312"/>
                <w:sz w:val="32"/>
                <w:szCs w:val="32"/>
                <w:highlight w:val="none"/>
                <w:lang w:val="en-US" w:eastAsia="zh-CN"/>
              </w:rPr>
              <w:t>时间到指定路段安装TS级防撞垫与SBm级中央分隔带开口护栏</w:t>
            </w:r>
          </w:p>
          <w:p w14:paraId="59532859">
            <w:pPr>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交货地点：</w:t>
            </w:r>
            <w:r>
              <w:rPr>
                <w:rFonts w:hint="eastAsia" w:ascii="仿宋_GB2312" w:hAnsi="仿宋_GB2312" w:eastAsia="仿宋_GB2312" w:cs="仿宋_GB2312"/>
                <w:sz w:val="32"/>
                <w:szCs w:val="32"/>
                <w:highlight w:val="none"/>
                <w:lang w:val="en-US" w:eastAsia="zh-CN"/>
              </w:rPr>
              <w:t>福建宁上</w:t>
            </w:r>
            <w:r>
              <w:rPr>
                <w:rFonts w:hint="eastAsia" w:ascii="仿宋_GB2312" w:hAnsi="仿宋_GB2312" w:eastAsia="仿宋_GB2312" w:cs="仿宋_GB2312"/>
                <w:sz w:val="32"/>
                <w:szCs w:val="32"/>
                <w:highlight w:val="none"/>
              </w:rPr>
              <w:t>高速公路段沿线</w:t>
            </w:r>
          </w:p>
        </w:tc>
      </w:tr>
      <w:tr w14:paraId="4691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395A95B0">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rPr>
              <w:t>4</w:t>
            </w:r>
          </w:p>
        </w:tc>
        <w:tc>
          <w:tcPr>
            <w:tcW w:w="2860" w:type="dxa"/>
            <w:vAlign w:val="center"/>
          </w:tcPr>
          <w:p w14:paraId="632D463F">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成交办法</w:t>
            </w:r>
          </w:p>
        </w:tc>
        <w:tc>
          <w:tcPr>
            <w:tcW w:w="5361" w:type="dxa"/>
            <w:vAlign w:val="center"/>
          </w:tcPr>
          <w:p w14:paraId="5AECB966">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b/>
                <w:bCs w:val="0"/>
                <w:sz w:val="32"/>
                <w:szCs w:val="32"/>
                <w:highlight w:val="none"/>
              </w:rPr>
              <w:t>采用</w:t>
            </w:r>
            <w:r>
              <w:rPr>
                <w:rFonts w:hint="eastAsia" w:ascii="仿宋_GB2312" w:hAnsi="仿宋_GB2312" w:eastAsia="仿宋_GB2312" w:cs="仿宋_GB2312"/>
                <w:b/>
                <w:bCs w:val="0"/>
                <w:sz w:val="32"/>
                <w:szCs w:val="32"/>
                <w:highlight w:val="none"/>
                <w:lang w:val="en-US" w:eastAsia="zh-CN"/>
              </w:rPr>
              <w:t>综合评分法</w:t>
            </w:r>
          </w:p>
        </w:tc>
      </w:tr>
      <w:tr w14:paraId="362F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5352A1EE">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rPr>
              <w:t>5</w:t>
            </w:r>
          </w:p>
        </w:tc>
        <w:tc>
          <w:tcPr>
            <w:tcW w:w="2860" w:type="dxa"/>
            <w:vAlign w:val="center"/>
          </w:tcPr>
          <w:p w14:paraId="241AF90F">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成交结果公示媒介</w:t>
            </w:r>
          </w:p>
        </w:tc>
        <w:tc>
          <w:tcPr>
            <w:tcW w:w="5361" w:type="dxa"/>
            <w:vAlign w:val="center"/>
          </w:tcPr>
          <w:p w14:paraId="39D186DF">
            <w:pPr>
              <w:wordWrap w:val="0"/>
              <w:spacing w:line="560" w:lineRule="exac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本项目成交结果公示在福路通城乡发展（福建）集团有限公司公示栏及福建省高速公路集团有限公司（www.fjgsgl.com），各供应商自行查看</w:t>
            </w:r>
          </w:p>
        </w:tc>
      </w:tr>
      <w:tr w14:paraId="499B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 w:type="dxa"/>
            <w:vAlign w:val="center"/>
          </w:tcPr>
          <w:p w14:paraId="6764F3CC">
            <w:pPr>
              <w:spacing w:line="560" w:lineRule="exact"/>
              <w:jc w:val="cente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rPr>
              <w:t>6</w:t>
            </w:r>
          </w:p>
        </w:tc>
        <w:tc>
          <w:tcPr>
            <w:tcW w:w="2860" w:type="dxa"/>
            <w:vAlign w:val="center"/>
          </w:tcPr>
          <w:p w14:paraId="26E9CEF9">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响应有效期</w:t>
            </w:r>
          </w:p>
        </w:tc>
        <w:tc>
          <w:tcPr>
            <w:tcW w:w="5361" w:type="dxa"/>
            <w:vAlign w:val="center"/>
          </w:tcPr>
          <w:p w14:paraId="72B5F594">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自响应文件递交截止时间起90日</w:t>
            </w:r>
          </w:p>
        </w:tc>
      </w:tr>
    </w:tbl>
    <w:p w14:paraId="6051BE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ascii="仿宋_GB2312" w:hAnsi="仿宋_GB2312" w:eastAsia="仿宋_GB2312" w:cs="仿宋_GB2312"/>
          <w:bCs/>
          <w:sz w:val="32"/>
          <w:szCs w:val="32"/>
          <w:highlight w:val="none"/>
        </w:rPr>
      </w:pPr>
      <w:bookmarkStart w:id="124" w:name="_Toc8853"/>
      <w:bookmarkStart w:id="125" w:name="_Toc8687"/>
      <w:bookmarkStart w:id="126" w:name="_Toc2277"/>
      <w:bookmarkStart w:id="127" w:name="_Toc5209"/>
      <w:bookmarkStart w:id="128" w:name="_Toc15287"/>
      <w:bookmarkStart w:id="129" w:name="_Toc16231"/>
      <w:r>
        <w:rPr>
          <w:rFonts w:hint="eastAsia" w:ascii="仿宋_GB2312" w:hAnsi="仿宋_GB2312" w:eastAsia="仿宋_GB2312" w:cs="仿宋_GB2312"/>
          <w:bCs/>
          <w:sz w:val="32"/>
          <w:szCs w:val="32"/>
          <w:highlight w:val="none"/>
        </w:rPr>
        <w:t>四、询价采购文件</w:t>
      </w:r>
      <w:bookmarkEnd w:id="124"/>
      <w:bookmarkEnd w:id="125"/>
      <w:bookmarkEnd w:id="126"/>
      <w:bookmarkEnd w:id="127"/>
      <w:bookmarkEnd w:id="128"/>
      <w:bookmarkEnd w:id="129"/>
    </w:p>
    <w:p w14:paraId="3AFCAF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（一）询价采购文件由询价采购公告；项目产品规格及质量要求；供应商须知；响应文件要求；评审方法；合同主要条款、合同格式；响应文件格式共七部分组成。</w:t>
      </w:r>
    </w:p>
    <w:p w14:paraId="131FDC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6"/>
          <w:szCs w:val="36"/>
          <w:highlight w:val="none"/>
        </w:rPr>
      </w:pPr>
      <w:r>
        <w:rPr>
          <w:rFonts w:hint="eastAsia" w:ascii="仿宋_GB2312" w:hAnsi="仿宋_GB2312" w:eastAsia="仿宋_GB2312" w:cs="仿宋_GB2312"/>
          <w:sz w:val="32"/>
          <w:szCs w:val="32"/>
          <w:highlight w:val="none"/>
        </w:rPr>
        <w:t>（二）询价采购文件的解释权归福路通城乡发展（福建）集团有限公司所有。</w:t>
      </w:r>
      <w:bookmarkStart w:id="130" w:name="_Toc7624"/>
    </w:p>
    <w:p w14:paraId="0E02CF62">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hint="eastAsia" w:ascii="黑体" w:hAnsi="黑体" w:eastAsia="黑体" w:cs="黑体"/>
          <w:sz w:val="44"/>
          <w:szCs w:val="44"/>
          <w:highlight w:val="none"/>
        </w:rPr>
      </w:pPr>
      <w:bookmarkStart w:id="131" w:name="_Toc2930"/>
      <w:bookmarkStart w:id="132" w:name="_Toc28946"/>
      <w:bookmarkStart w:id="133" w:name="_Toc19783"/>
      <w:bookmarkStart w:id="134" w:name="_Toc20120"/>
      <w:bookmarkStart w:id="135" w:name="_Toc2833"/>
      <w:bookmarkStart w:id="136" w:name="_Toc10107"/>
      <w:bookmarkStart w:id="137" w:name="_Toc26033"/>
      <w:bookmarkStart w:id="138" w:name="_Toc26461"/>
      <w:bookmarkStart w:id="139" w:name="_Toc13013"/>
      <w:bookmarkStart w:id="140" w:name="_Toc14387"/>
      <w:r>
        <w:rPr>
          <w:rFonts w:hint="eastAsia" w:ascii="黑体" w:hAnsi="黑体" w:eastAsia="黑体" w:cs="黑体"/>
          <w:sz w:val="44"/>
          <w:szCs w:val="44"/>
          <w:highlight w:val="none"/>
        </w:rPr>
        <w:t>第四篇  响应文件要求</w:t>
      </w:r>
      <w:bookmarkEnd w:id="130"/>
      <w:bookmarkEnd w:id="131"/>
      <w:bookmarkEnd w:id="132"/>
      <w:bookmarkEnd w:id="133"/>
      <w:bookmarkEnd w:id="134"/>
      <w:bookmarkEnd w:id="135"/>
      <w:bookmarkEnd w:id="136"/>
      <w:bookmarkEnd w:id="137"/>
      <w:bookmarkEnd w:id="138"/>
      <w:bookmarkEnd w:id="139"/>
      <w:bookmarkEnd w:id="140"/>
      <w:bookmarkStart w:id="141" w:name="_Toc409439680"/>
      <w:bookmarkStart w:id="142" w:name="_Toc508286667"/>
    </w:p>
    <w:p w14:paraId="1CDAACEF">
      <w:pPr>
        <w:keepNext w:val="0"/>
        <w:keepLines w:val="0"/>
        <w:widowControl w:val="0"/>
        <w:kinsoku/>
        <w:wordWrap/>
        <w:overflowPunct/>
        <w:topLinePunct w:val="0"/>
        <w:autoSpaceDE/>
        <w:autoSpaceDN/>
        <w:bidi w:val="0"/>
        <w:adjustRightInd/>
        <w:snapToGrid/>
        <w:spacing w:line="560" w:lineRule="exact"/>
        <w:ind w:firstLine="643" w:firstLineChars="200"/>
        <w:textAlignment w:val="auto"/>
        <w:rPr>
          <w:rFonts w:ascii="仿宋_GB2312" w:hAnsi="仿宋_GB2312" w:eastAsia="仿宋_GB2312" w:cs="仿宋_GB2312"/>
          <w:b/>
          <w:sz w:val="32"/>
          <w:szCs w:val="32"/>
          <w:highlight w:val="none"/>
        </w:rPr>
      </w:pPr>
    </w:p>
    <w:p w14:paraId="0C29077F">
      <w:pPr>
        <w:keepNext w:val="0"/>
        <w:keepLines w:val="0"/>
        <w:widowControl w:val="0"/>
        <w:kinsoku/>
        <w:wordWrap/>
        <w:overflowPunct/>
        <w:topLinePunct w:val="0"/>
        <w:autoSpaceDE/>
        <w:autoSpaceDN/>
        <w:bidi w:val="0"/>
        <w:adjustRightInd/>
        <w:snapToGrid/>
        <w:spacing w:line="560" w:lineRule="exact"/>
        <w:ind w:firstLine="643" w:firstLineChars="200"/>
        <w:textAlignment w:val="auto"/>
        <w:outlineLvl w:val="1"/>
        <w:rPr>
          <w:rFonts w:ascii="仿宋_GB2312" w:hAnsi="仿宋_GB2312" w:eastAsia="仿宋_GB2312" w:cs="仿宋_GB2312"/>
          <w:b/>
          <w:sz w:val="32"/>
          <w:szCs w:val="32"/>
          <w:highlight w:val="none"/>
        </w:rPr>
      </w:pPr>
      <w:bookmarkStart w:id="143" w:name="_Toc14659"/>
      <w:bookmarkStart w:id="144" w:name="_Toc12755"/>
      <w:bookmarkStart w:id="145" w:name="_Toc770"/>
      <w:bookmarkStart w:id="146" w:name="_Toc2546"/>
      <w:bookmarkStart w:id="147" w:name="_Toc3394"/>
      <w:bookmarkStart w:id="148" w:name="_Toc19694"/>
      <w:r>
        <w:rPr>
          <w:rFonts w:hint="eastAsia" w:ascii="仿宋_GB2312" w:hAnsi="仿宋_GB2312" w:eastAsia="仿宋_GB2312" w:cs="仿宋_GB2312"/>
          <w:b/>
          <w:sz w:val="32"/>
          <w:szCs w:val="32"/>
          <w:highlight w:val="none"/>
        </w:rPr>
        <w:t>一、文件要求</w:t>
      </w:r>
      <w:bookmarkEnd w:id="141"/>
      <w:bookmarkEnd w:id="142"/>
      <w:bookmarkEnd w:id="143"/>
      <w:bookmarkEnd w:id="144"/>
      <w:bookmarkEnd w:id="145"/>
      <w:bookmarkEnd w:id="146"/>
      <w:bookmarkEnd w:id="147"/>
      <w:bookmarkEnd w:id="148"/>
      <w:r>
        <w:rPr>
          <w:rFonts w:ascii="仿宋_GB2312" w:hAnsi="仿宋_GB2312" w:eastAsia="仿宋_GB2312" w:cs="仿宋_GB2312"/>
          <w:b/>
          <w:sz w:val="32"/>
          <w:szCs w:val="32"/>
          <w:highlight w:val="none"/>
        </w:rPr>
        <w:t xml:space="preserve"> </w:t>
      </w:r>
    </w:p>
    <w:p w14:paraId="1D114F3B">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（一）供应商应当按照询价采购文件的要求编制响应文件，供应商应满足询价采购文件提出的要求和条件。</w:t>
      </w:r>
      <w:bookmarkStart w:id="149" w:name="_Toc508286668"/>
      <w:bookmarkStart w:id="150" w:name="_Toc409439681"/>
    </w:p>
    <w:p w14:paraId="3C1957D6">
      <w:pPr>
        <w:keepNext w:val="0"/>
        <w:keepLines w:val="0"/>
        <w:widowControl w:val="0"/>
        <w:kinsoku/>
        <w:wordWrap/>
        <w:overflowPunct/>
        <w:topLinePunct w:val="0"/>
        <w:autoSpaceDE/>
        <w:autoSpaceDN/>
        <w:bidi w:val="0"/>
        <w:adjustRightInd/>
        <w:snapToGrid/>
        <w:spacing w:line="560" w:lineRule="exact"/>
        <w:ind w:firstLine="643" w:firstLineChars="200"/>
        <w:textAlignment w:val="auto"/>
        <w:outlineLvl w:val="1"/>
        <w:rPr>
          <w:rFonts w:ascii="仿宋_GB2312" w:hAnsi="仿宋_GB2312" w:eastAsia="仿宋_GB2312" w:cs="仿宋_GB2312"/>
          <w:b/>
          <w:sz w:val="32"/>
          <w:szCs w:val="32"/>
          <w:highlight w:val="none"/>
        </w:rPr>
      </w:pPr>
      <w:bookmarkStart w:id="151" w:name="_Toc5206"/>
      <w:bookmarkStart w:id="152" w:name="_Toc29213"/>
      <w:bookmarkStart w:id="153" w:name="_Toc9559"/>
      <w:bookmarkStart w:id="154" w:name="_Toc9833"/>
      <w:bookmarkStart w:id="155" w:name="_Toc19647"/>
      <w:bookmarkStart w:id="156" w:name="_Toc31702"/>
      <w:r>
        <w:rPr>
          <w:rFonts w:hint="eastAsia" w:ascii="仿宋_GB2312" w:hAnsi="仿宋_GB2312" w:eastAsia="仿宋_GB2312" w:cs="仿宋_GB2312"/>
          <w:b/>
          <w:sz w:val="32"/>
          <w:szCs w:val="32"/>
          <w:highlight w:val="none"/>
        </w:rPr>
        <w:t>二、供应商响应文件的组成</w:t>
      </w:r>
      <w:bookmarkEnd w:id="149"/>
      <w:bookmarkEnd w:id="150"/>
      <w:bookmarkEnd w:id="151"/>
      <w:bookmarkEnd w:id="152"/>
      <w:bookmarkEnd w:id="153"/>
      <w:bookmarkEnd w:id="154"/>
      <w:bookmarkEnd w:id="155"/>
      <w:bookmarkEnd w:id="156"/>
    </w:p>
    <w:p w14:paraId="334B7892">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响应文件由以下部分和供应商所做的一切有效补充、修改和承诺等文件组成，具体见第七篇“响应文件格式”。它包括：</w:t>
      </w:r>
    </w:p>
    <w:p w14:paraId="715D4BFB">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（一）报价函；</w:t>
      </w:r>
    </w:p>
    <w:p w14:paraId="2338DF4F">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（二）报价表；</w:t>
      </w:r>
    </w:p>
    <w:p w14:paraId="57DBAEBE">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（三）供应商法定代表人身份证明书；</w:t>
      </w:r>
    </w:p>
    <w:p w14:paraId="21CB8F15">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（四）供应商法定代表人授权委托书；</w:t>
      </w:r>
    </w:p>
    <w:p w14:paraId="193CED3A">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（五）资质文件。</w:t>
      </w:r>
    </w:p>
    <w:p w14:paraId="51658051">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bookmarkStart w:id="157" w:name="_Toc7340"/>
      <w:bookmarkStart w:id="158" w:name="_Toc24212"/>
      <w:r>
        <w:rPr>
          <w:rFonts w:hint="eastAsia" w:ascii="仿宋_GB2312" w:hAnsi="仿宋_GB2312" w:eastAsia="仿宋_GB2312" w:cs="仿宋_GB2312"/>
          <w:sz w:val="32"/>
          <w:szCs w:val="32"/>
          <w:highlight w:val="none"/>
        </w:rPr>
        <w:t>1.经有效年检的企业法人营业执照复印件（加盖供应商公章）；</w:t>
      </w:r>
      <w:bookmarkEnd w:id="157"/>
      <w:bookmarkEnd w:id="158"/>
    </w:p>
    <w:p w14:paraId="3DF890BF">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rPr>
        <w:t>供应商应响应询价采购文件并且符合第三篇“第二条 供应商的合格条件”规定的资格条件。</w:t>
      </w:r>
    </w:p>
    <w:p w14:paraId="03D5C9C1">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bookmarkStart w:id="159" w:name="_Toc5871"/>
      <w:bookmarkStart w:id="160" w:name="_Toc409439682"/>
      <w:bookmarkStart w:id="161" w:name="_Toc508286669"/>
      <w:r>
        <w:rPr>
          <w:rFonts w:hint="eastAsia" w:ascii="仿宋_GB2312" w:hAnsi="仿宋_GB2312" w:eastAsia="仿宋_GB2312" w:cs="仿宋_GB2312"/>
          <w:sz w:val="32"/>
          <w:szCs w:val="32"/>
          <w:highlight w:val="none"/>
        </w:rPr>
        <w:t>（六）风险承诺书。</w:t>
      </w:r>
      <w:bookmarkEnd w:id="159"/>
    </w:p>
    <w:bookmarkEnd w:id="160"/>
    <w:bookmarkEnd w:id="161"/>
    <w:p w14:paraId="3BA9A6D6">
      <w:pPr>
        <w:keepNext w:val="0"/>
        <w:keepLines w:val="0"/>
        <w:widowControl w:val="0"/>
        <w:kinsoku/>
        <w:wordWrap/>
        <w:overflowPunct/>
        <w:topLinePunct w:val="0"/>
        <w:autoSpaceDE/>
        <w:autoSpaceDN/>
        <w:bidi w:val="0"/>
        <w:adjustRightInd/>
        <w:snapToGrid/>
        <w:spacing w:line="560" w:lineRule="exact"/>
        <w:ind w:firstLine="643" w:firstLineChars="200"/>
        <w:textAlignment w:val="auto"/>
        <w:outlineLvl w:val="1"/>
        <w:rPr>
          <w:rFonts w:ascii="仿宋_GB2312" w:hAnsi="仿宋_GB2312" w:eastAsia="仿宋_GB2312" w:cs="仿宋_GB2312"/>
          <w:b/>
          <w:sz w:val="32"/>
          <w:szCs w:val="32"/>
          <w:highlight w:val="none"/>
        </w:rPr>
      </w:pPr>
      <w:bookmarkStart w:id="162" w:name="_Toc13896"/>
      <w:bookmarkStart w:id="163" w:name="_Toc7716"/>
      <w:bookmarkStart w:id="164" w:name="_Toc2075"/>
      <w:bookmarkStart w:id="165" w:name="_Toc8596"/>
      <w:bookmarkStart w:id="166" w:name="_Toc409439684"/>
      <w:bookmarkStart w:id="167" w:name="_Toc508286670"/>
      <w:bookmarkStart w:id="168" w:name="_Toc8650"/>
      <w:bookmarkStart w:id="169" w:name="_Toc20621"/>
      <w:r>
        <w:rPr>
          <w:rFonts w:hint="eastAsia" w:ascii="仿宋_GB2312" w:hAnsi="仿宋_GB2312" w:eastAsia="仿宋_GB2312" w:cs="仿宋_GB2312"/>
          <w:b/>
          <w:sz w:val="32"/>
          <w:szCs w:val="32"/>
          <w:highlight w:val="none"/>
        </w:rPr>
        <w:t>三、响应文件的份数和签署</w:t>
      </w:r>
      <w:bookmarkEnd w:id="162"/>
      <w:bookmarkEnd w:id="163"/>
      <w:bookmarkEnd w:id="164"/>
      <w:bookmarkEnd w:id="165"/>
      <w:bookmarkEnd w:id="166"/>
      <w:bookmarkEnd w:id="167"/>
      <w:bookmarkEnd w:id="168"/>
      <w:bookmarkEnd w:id="169"/>
    </w:p>
    <w:p w14:paraId="767242A5">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（一）响应文件一式两份，其中正本一份，副本一份，均由法定代表人或其授权代表人签署并盖公章，副本可以用正本的完整复印件。正本与副本不一致时，以正本为准。</w:t>
      </w:r>
    </w:p>
    <w:p w14:paraId="1873AB28">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（二）若供应商对响应文件的错处</w:t>
      </w:r>
      <w:r>
        <w:rPr>
          <w:rFonts w:hint="eastAsia" w:ascii="仿宋_GB2312" w:hAnsi="仿宋_GB2312" w:eastAsia="仿宋_GB2312" w:cs="仿宋_GB2312"/>
          <w:sz w:val="32"/>
          <w:szCs w:val="32"/>
          <w:highlight w:val="none"/>
          <w:lang w:eastAsia="zh-CN"/>
        </w:rPr>
        <w:t>做必要</w:t>
      </w:r>
      <w:r>
        <w:rPr>
          <w:rFonts w:hint="eastAsia" w:ascii="仿宋_GB2312" w:hAnsi="仿宋_GB2312" w:eastAsia="仿宋_GB2312" w:cs="仿宋_GB2312"/>
          <w:sz w:val="32"/>
          <w:szCs w:val="32"/>
          <w:highlight w:val="none"/>
        </w:rPr>
        <w:t>修改，则应在修改处由法人代表或授权代表签字确认。</w:t>
      </w:r>
    </w:p>
    <w:p w14:paraId="2879D0B6">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bookmarkStart w:id="170" w:name="_Toc1740"/>
      <w:bookmarkStart w:id="171" w:name="_Toc16047"/>
      <w:r>
        <w:rPr>
          <w:rFonts w:hint="eastAsia" w:ascii="仿宋_GB2312" w:hAnsi="仿宋_GB2312" w:eastAsia="仿宋_GB2312" w:cs="仿宋_GB2312"/>
          <w:sz w:val="32"/>
          <w:szCs w:val="32"/>
          <w:highlight w:val="none"/>
        </w:rPr>
        <w:t>（三）电报、电话、传真形式的响应文件概不接受。</w:t>
      </w:r>
      <w:bookmarkEnd w:id="170"/>
      <w:bookmarkEnd w:id="171"/>
      <w:bookmarkStart w:id="172" w:name="_Toc409439685"/>
      <w:bookmarkStart w:id="173" w:name="_Toc508286671"/>
    </w:p>
    <w:p w14:paraId="64488BEA">
      <w:pPr>
        <w:keepNext w:val="0"/>
        <w:keepLines w:val="0"/>
        <w:widowControl w:val="0"/>
        <w:kinsoku/>
        <w:wordWrap/>
        <w:overflowPunct/>
        <w:topLinePunct w:val="0"/>
        <w:autoSpaceDE/>
        <w:autoSpaceDN/>
        <w:bidi w:val="0"/>
        <w:adjustRightInd/>
        <w:snapToGrid/>
        <w:spacing w:line="560" w:lineRule="exact"/>
        <w:ind w:firstLine="643" w:firstLineChars="200"/>
        <w:textAlignment w:val="auto"/>
        <w:outlineLvl w:val="1"/>
        <w:rPr>
          <w:rFonts w:ascii="仿宋_GB2312" w:hAnsi="仿宋_GB2312" w:eastAsia="仿宋_GB2312" w:cs="仿宋_GB2312"/>
          <w:b/>
          <w:sz w:val="32"/>
          <w:szCs w:val="32"/>
          <w:highlight w:val="none"/>
        </w:rPr>
      </w:pPr>
      <w:bookmarkStart w:id="174" w:name="_Toc32171"/>
      <w:bookmarkStart w:id="175" w:name="_Toc24741"/>
      <w:bookmarkStart w:id="176" w:name="_Toc12414"/>
      <w:bookmarkStart w:id="177" w:name="_Toc9896"/>
      <w:bookmarkStart w:id="178" w:name="_Toc13149"/>
      <w:bookmarkStart w:id="179" w:name="_Toc23976"/>
      <w:r>
        <w:rPr>
          <w:rFonts w:hint="eastAsia" w:ascii="仿宋_GB2312" w:hAnsi="仿宋_GB2312" w:eastAsia="仿宋_GB2312" w:cs="仿宋_GB2312"/>
          <w:b/>
          <w:sz w:val="32"/>
          <w:szCs w:val="32"/>
          <w:highlight w:val="none"/>
        </w:rPr>
        <w:t>四、报价</w:t>
      </w:r>
      <w:bookmarkEnd w:id="172"/>
      <w:bookmarkEnd w:id="173"/>
      <w:bookmarkEnd w:id="174"/>
      <w:bookmarkEnd w:id="175"/>
      <w:bookmarkEnd w:id="176"/>
      <w:bookmarkEnd w:id="177"/>
      <w:bookmarkEnd w:id="178"/>
      <w:bookmarkEnd w:id="179"/>
    </w:p>
    <w:p w14:paraId="4E2C79E2">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（一）供应商应严格按照《响应文件格式》的“响应文件”格式认真填写。</w:t>
      </w:r>
    </w:p>
    <w:p w14:paraId="1B4C9FD5">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（二）供应商的报价为一次性报价。即在报价有效期内报价价格固定不变。</w:t>
      </w:r>
    </w:p>
    <w:p w14:paraId="659C61DA">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（三）供应商可在最高控制价以下自由报价，应一次性报出不得更改的价格。供应商所报价格包括单价包括</w:t>
      </w:r>
      <w:r>
        <w:rPr>
          <w:rFonts w:hint="eastAsia" w:ascii="仿宋_GB2312" w:hAnsi="仿宋_GB2312" w:eastAsia="仿宋_GB2312" w:cs="仿宋_GB2312"/>
          <w:sz w:val="32"/>
          <w:szCs w:val="32"/>
          <w:highlight w:val="none"/>
          <w:lang w:eastAsia="zh-CN"/>
        </w:rPr>
        <w:t>宁上高速路面交安设施安装服务</w:t>
      </w:r>
      <w:r>
        <w:rPr>
          <w:rFonts w:hint="eastAsia" w:ascii="仿宋_GB2312" w:hAnsi="仿宋_GB2312" w:eastAsia="仿宋_GB2312" w:cs="仿宋_GB2312"/>
          <w:sz w:val="32"/>
          <w:szCs w:val="32"/>
          <w:highlight w:val="none"/>
        </w:rPr>
        <w:t>所需的一切费用。供应商所报的总金额超过询价采购人最高询价采购控制总金额的，响应文件作相应无效处理。</w:t>
      </w:r>
      <w:bookmarkStart w:id="180" w:name="_Toc409439686"/>
      <w:bookmarkStart w:id="181" w:name="_Toc271711745"/>
      <w:bookmarkStart w:id="182" w:name="_Toc508286672"/>
    </w:p>
    <w:bookmarkEnd w:id="180"/>
    <w:bookmarkEnd w:id="181"/>
    <w:bookmarkEnd w:id="182"/>
    <w:p w14:paraId="3B62E03B">
      <w:pPr>
        <w:keepNext w:val="0"/>
        <w:keepLines w:val="0"/>
        <w:widowControl w:val="0"/>
        <w:kinsoku/>
        <w:wordWrap/>
        <w:overflowPunct/>
        <w:topLinePunct w:val="0"/>
        <w:autoSpaceDE/>
        <w:autoSpaceDN/>
        <w:bidi w:val="0"/>
        <w:adjustRightInd/>
        <w:snapToGrid/>
        <w:spacing w:line="560" w:lineRule="exact"/>
        <w:ind w:firstLine="643" w:firstLineChars="200"/>
        <w:textAlignment w:val="auto"/>
        <w:outlineLvl w:val="1"/>
        <w:rPr>
          <w:rFonts w:ascii="仿宋_GB2312" w:hAnsi="仿宋_GB2312" w:eastAsia="仿宋_GB2312" w:cs="仿宋_GB2312"/>
          <w:b/>
          <w:sz w:val="32"/>
          <w:szCs w:val="32"/>
          <w:highlight w:val="none"/>
        </w:rPr>
      </w:pPr>
      <w:bookmarkStart w:id="183" w:name="_Toc17344"/>
      <w:bookmarkStart w:id="184" w:name="_Toc25432"/>
      <w:bookmarkStart w:id="185" w:name="_Toc25615"/>
      <w:bookmarkStart w:id="186" w:name="_Toc409439687"/>
      <w:bookmarkStart w:id="187" w:name="_Toc508286673"/>
      <w:bookmarkStart w:id="188" w:name="_Toc30053"/>
      <w:bookmarkStart w:id="189" w:name="_Toc26394"/>
      <w:bookmarkStart w:id="190" w:name="_Toc32433"/>
      <w:r>
        <w:rPr>
          <w:rFonts w:hint="eastAsia" w:ascii="仿宋_GB2312" w:hAnsi="仿宋_GB2312" w:eastAsia="仿宋_GB2312" w:cs="仿宋_GB2312"/>
          <w:b/>
          <w:sz w:val="32"/>
          <w:szCs w:val="32"/>
          <w:highlight w:val="none"/>
        </w:rPr>
        <w:t>五、响应文件的递交</w:t>
      </w:r>
      <w:bookmarkEnd w:id="183"/>
      <w:bookmarkEnd w:id="184"/>
      <w:bookmarkEnd w:id="185"/>
      <w:bookmarkEnd w:id="186"/>
      <w:bookmarkEnd w:id="187"/>
      <w:bookmarkEnd w:id="188"/>
      <w:bookmarkEnd w:id="189"/>
      <w:bookmarkEnd w:id="190"/>
    </w:p>
    <w:p w14:paraId="5B4110D2">
      <w:pPr>
        <w:keepNext w:val="0"/>
        <w:keepLines w:val="0"/>
        <w:widowControl w:val="0"/>
        <w:kinsoku/>
        <w:wordWrap/>
        <w:overflowPunct/>
        <w:topLinePunct w:val="0"/>
        <w:autoSpaceDE/>
        <w:autoSpaceDN/>
        <w:bidi w:val="0"/>
        <w:adjustRightInd/>
        <w:snapToGrid/>
        <w:spacing w:line="560" w:lineRule="exact"/>
        <w:ind w:firstLine="640" w:firstLineChars="200"/>
        <w:textAlignment w:val="auto"/>
        <w:outlineLvl w:val="2"/>
        <w:rPr>
          <w:rFonts w:ascii="仿宋_GB2312" w:hAnsi="仿宋_GB2312" w:eastAsia="仿宋_GB2312" w:cs="仿宋_GB2312"/>
          <w:sz w:val="32"/>
          <w:szCs w:val="32"/>
          <w:highlight w:val="none"/>
        </w:rPr>
      </w:pPr>
      <w:bookmarkStart w:id="191" w:name="_Toc30594"/>
      <w:bookmarkStart w:id="192" w:name="_Toc25743"/>
      <w:r>
        <w:rPr>
          <w:rFonts w:hint="eastAsia" w:ascii="仿宋_GB2312" w:hAnsi="仿宋_GB2312" w:eastAsia="仿宋_GB2312" w:cs="仿宋_GB2312"/>
          <w:sz w:val="32"/>
          <w:szCs w:val="32"/>
          <w:highlight w:val="none"/>
        </w:rPr>
        <w:t>（一）响应文件的密封与标记</w:t>
      </w:r>
      <w:bookmarkEnd w:id="191"/>
      <w:bookmarkEnd w:id="192"/>
    </w:p>
    <w:p w14:paraId="6A2F3CE0">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响应文件的封面应注明</w:t>
      </w:r>
      <w:r>
        <w:rPr>
          <w:rFonts w:hint="eastAsia" w:ascii="仿宋_GB2312" w:hAnsi="仿宋_GB2312" w:eastAsia="仿宋_GB2312" w:cs="仿宋_GB2312"/>
          <w:b/>
          <w:bCs/>
          <w:sz w:val="32"/>
          <w:szCs w:val="32"/>
          <w:highlight w:val="none"/>
        </w:rPr>
        <w:t>“正本”“副本”</w:t>
      </w:r>
      <w:r>
        <w:rPr>
          <w:rFonts w:hint="eastAsia" w:ascii="仿宋_GB2312" w:hAnsi="仿宋_GB2312" w:eastAsia="仿宋_GB2312" w:cs="仿宋_GB2312"/>
          <w:sz w:val="32"/>
          <w:szCs w:val="32"/>
          <w:highlight w:val="none"/>
        </w:rPr>
        <w:t>字样，一并装入密封袋密封，</w:t>
      </w:r>
      <w:r>
        <w:rPr>
          <w:rFonts w:hint="eastAsia" w:ascii="仿宋_GB2312" w:hAnsi="仿宋_GB2312" w:eastAsia="仿宋_GB2312" w:cs="仿宋_GB2312"/>
          <w:b/>
          <w:sz w:val="32"/>
          <w:szCs w:val="32"/>
          <w:highlight w:val="none"/>
        </w:rPr>
        <w:t>密封袋上注明项目名称</w:t>
      </w:r>
      <w:r>
        <w:rPr>
          <w:rFonts w:hint="eastAsia" w:ascii="仿宋_GB2312" w:hAnsi="仿宋_GB2312" w:eastAsia="仿宋_GB2312" w:cs="仿宋_GB2312"/>
          <w:sz w:val="32"/>
          <w:szCs w:val="32"/>
          <w:highlight w:val="none"/>
        </w:rPr>
        <w:t>。密封袋的封口处须加盖密封章。</w:t>
      </w:r>
    </w:p>
    <w:p w14:paraId="313F4F7E">
      <w:pPr>
        <w:keepNext w:val="0"/>
        <w:keepLines w:val="0"/>
        <w:widowControl w:val="0"/>
        <w:kinsoku/>
        <w:wordWrap/>
        <w:overflowPunct/>
        <w:topLinePunct w:val="0"/>
        <w:autoSpaceDE/>
        <w:autoSpaceDN/>
        <w:bidi w:val="0"/>
        <w:adjustRightInd/>
        <w:snapToGrid/>
        <w:spacing w:line="560" w:lineRule="exact"/>
        <w:ind w:firstLine="640" w:firstLineChars="200"/>
        <w:textAlignment w:val="auto"/>
        <w:outlineLvl w:val="2"/>
        <w:rPr>
          <w:rFonts w:ascii="仿宋_GB2312" w:hAnsi="仿宋_GB2312" w:eastAsia="仿宋_GB2312" w:cs="仿宋_GB2312"/>
          <w:sz w:val="32"/>
          <w:szCs w:val="32"/>
          <w:highlight w:val="none"/>
        </w:rPr>
      </w:pPr>
      <w:bookmarkStart w:id="193" w:name="_Toc1617"/>
      <w:bookmarkStart w:id="194" w:name="_Toc12001"/>
      <w:r>
        <w:rPr>
          <w:rFonts w:hint="eastAsia" w:ascii="仿宋_GB2312" w:hAnsi="仿宋_GB2312" w:eastAsia="仿宋_GB2312" w:cs="仿宋_GB2312"/>
          <w:sz w:val="32"/>
          <w:szCs w:val="32"/>
          <w:highlight w:val="none"/>
        </w:rPr>
        <w:t>（二）响应文件的递交</w:t>
      </w:r>
      <w:bookmarkEnd w:id="193"/>
      <w:bookmarkEnd w:id="194"/>
    </w:p>
    <w:p w14:paraId="64D960C0">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供应商响应文件应于询价采购文件要求的递交响应文件截止时间前现场递交，响应文件的递交地点与时间见第三篇供应商须知。</w:t>
      </w:r>
      <w:bookmarkStart w:id="195" w:name="_Toc409439688"/>
      <w:bookmarkStart w:id="196" w:name="_Toc508286674"/>
    </w:p>
    <w:p w14:paraId="026186A3">
      <w:pPr>
        <w:keepNext w:val="0"/>
        <w:keepLines w:val="0"/>
        <w:widowControl w:val="0"/>
        <w:kinsoku/>
        <w:wordWrap/>
        <w:overflowPunct/>
        <w:topLinePunct w:val="0"/>
        <w:autoSpaceDE/>
        <w:autoSpaceDN/>
        <w:bidi w:val="0"/>
        <w:adjustRightInd/>
        <w:snapToGrid/>
        <w:spacing w:line="560" w:lineRule="exact"/>
        <w:ind w:firstLine="643" w:firstLineChars="200"/>
        <w:textAlignment w:val="auto"/>
        <w:outlineLvl w:val="1"/>
        <w:rPr>
          <w:rFonts w:ascii="仿宋_GB2312" w:hAnsi="仿宋_GB2312" w:eastAsia="仿宋_GB2312" w:cs="仿宋_GB2312"/>
          <w:b/>
          <w:sz w:val="32"/>
          <w:szCs w:val="32"/>
          <w:highlight w:val="none"/>
        </w:rPr>
      </w:pPr>
      <w:bookmarkStart w:id="197" w:name="_Toc6057"/>
      <w:bookmarkStart w:id="198" w:name="_Toc17564"/>
      <w:bookmarkStart w:id="199" w:name="_Toc22265"/>
      <w:bookmarkStart w:id="200" w:name="_Toc30532"/>
      <w:bookmarkStart w:id="201" w:name="_Toc19444"/>
      <w:bookmarkStart w:id="202" w:name="_Toc30223"/>
      <w:r>
        <w:rPr>
          <w:rFonts w:hint="eastAsia" w:ascii="仿宋_GB2312" w:hAnsi="仿宋_GB2312" w:eastAsia="仿宋_GB2312" w:cs="仿宋_GB2312"/>
          <w:b/>
          <w:sz w:val="32"/>
          <w:szCs w:val="32"/>
          <w:highlight w:val="none"/>
        </w:rPr>
        <w:t>六、无效</w:t>
      </w:r>
      <w:bookmarkEnd w:id="195"/>
      <w:r>
        <w:rPr>
          <w:rFonts w:hint="eastAsia" w:ascii="仿宋_GB2312" w:hAnsi="仿宋_GB2312" w:eastAsia="仿宋_GB2312" w:cs="仿宋_GB2312"/>
          <w:b/>
          <w:sz w:val="32"/>
          <w:szCs w:val="32"/>
          <w:highlight w:val="none"/>
        </w:rPr>
        <w:t>报价</w:t>
      </w:r>
      <w:bookmarkEnd w:id="196"/>
      <w:bookmarkEnd w:id="197"/>
      <w:bookmarkEnd w:id="198"/>
      <w:bookmarkEnd w:id="199"/>
      <w:bookmarkEnd w:id="200"/>
      <w:bookmarkEnd w:id="201"/>
      <w:bookmarkEnd w:id="202"/>
    </w:p>
    <w:p w14:paraId="7276C95E">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评审小组评审时，供应商响应文件出现下列情况之一者，应为无效报价：</w:t>
      </w:r>
    </w:p>
    <w:p w14:paraId="52181728">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bookmarkStart w:id="203" w:name="_Toc17547"/>
      <w:bookmarkStart w:id="204" w:name="_Toc31362"/>
      <w:r>
        <w:rPr>
          <w:rFonts w:hint="eastAsia" w:ascii="仿宋_GB2312" w:hAnsi="仿宋_GB2312" w:eastAsia="仿宋_GB2312" w:cs="仿宋_GB2312"/>
          <w:sz w:val="32"/>
          <w:szCs w:val="32"/>
          <w:highlight w:val="none"/>
        </w:rPr>
        <w:t>（一）供应商不具备询价采购文件规定的资格要求的。</w:t>
      </w:r>
      <w:bookmarkEnd w:id="203"/>
      <w:bookmarkEnd w:id="204"/>
    </w:p>
    <w:p w14:paraId="013D3B9E">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（二）供应商未按照询价采购文件要求由供应商法定代表人或授权委托人签字，或未按询价采购文件要求的格式加盖公章的（</w:t>
      </w:r>
      <w:r>
        <w:rPr>
          <w:rFonts w:hint="eastAsia" w:ascii="仿宋_GB2312" w:eastAsia="仿宋_GB2312"/>
          <w:color w:val="000000"/>
          <w:sz w:val="32"/>
          <w:szCs w:val="32"/>
          <w:highlight w:val="none"/>
          <w:lang w:eastAsia="zh-CN"/>
        </w:rPr>
        <w:t>应逐页盖章</w:t>
      </w:r>
      <w:r>
        <w:rPr>
          <w:rFonts w:hint="eastAsia" w:ascii="仿宋_GB2312" w:hAnsi="仿宋_GB2312" w:eastAsia="仿宋_GB2312" w:cs="仿宋_GB2312"/>
          <w:sz w:val="32"/>
          <w:szCs w:val="32"/>
          <w:highlight w:val="none"/>
        </w:rPr>
        <w:t>）。</w:t>
      </w:r>
    </w:p>
    <w:p w14:paraId="2524C6F6">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（三）响应文件出现多个报价方案或报价的。</w:t>
      </w:r>
    </w:p>
    <w:p w14:paraId="0EF18571">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（四）响应报价超出询价采购文件规定的询价采购控制价的。</w:t>
      </w:r>
    </w:p>
    <w:p w14:paraId="6298F642">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（五）响应有效期、交货时间等商务条款不能满足询价采购文件要求的。</w:t>
      </w:r>
    </w:p>
    <w:p w14:paraId="212C3EFF">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bookmarkStart w:id="205" w:name="_Toc14743"/>
      <w:bookmarkStart w:id="206" w:name="_Toc3304"/>
      <w:r>
        <w:rPr>
          <w:rFonts w:hint="eastAsia" w:ascii="仿宋_GB2312" w:hAnsi="仿宋_GB2312" w:eastAsia="仿宋_GB2312" w:cs="仿宋_GB2312"/>
          <w:sz w:val="32"/>
          <w:szCs w:val="32"/>
          <w:highlight w:val="none"/>
        </w:rPr>
        <w:t>（六）报价产品不符合必须强制执行的国家标准的。</w:t>
      </w:r>
      <w:bookmarkEnd w:id="205"/>
      <w:bookmarkEnd w:id="206"/>
    </w:p>
    <w:p w14:paraId="397985EB">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（七）响应文件含有违反国家法律法规的内容，或附有询价采购人不能接受的条件的。</w:t>
      </w:r>
    </w:p>
    <w:p w14:paraId="62755769">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hint="eastAsia" w:ascii="黑体" w:hAnsi="黑体" w:eastAsia="黑体" w:cs="黑体"/>
          <w:sz w:val="44"/>
          <w:szCs w:val="44"/>
          <w:highlight w:val="none"/>
        </w:rPr>
      </w:pPr>
      <w:bookmarkStart w:id="207" w:name="_Toc29924"/>
      <w:bookmarkStart w:id="208" w:name="_Toc12087"/>
      <w:bookmarkStart w:id="209" w:name="_Toc14432"/>
      <w:bookmarkStart w:id="210" w:name="_Toc27561"/>
      <w:bookmarkStart w:id="211" w:name="_Toc25362"/>
      <w:bookmarkStart w:id="212" w:name="_Toc31747"/>
      <w:bookmarkStart w:id="213" w:name="_Toc15908"/>
      <w:bookmarkStart w:id="214" w:name="_Toc8805"/>
      <w:bookmarkStart w:id="215" w:name="_Toc187"/>
      <w:bookmarkStart w:id="216" w:name="_Toc24320"/>
      <w:bookmarkStart w:id="217" w:name="_Toc30901"/>
      <w:bookmarkStart w:id="218" w:name="_Toc9116"/>
      <w:bookmarkStart w:id="219" w:name="_Toc23564"/>
      <w:bookmarkStart w:id="220" w:name="_Toc122257617"/>
      <w:bookmarkStart w:id="221" w:name="_Toc122750639"/>
      <w:r>
        <w:rPr>
          <w:rFonts w:hint="eastAsia" w:ascii="黑体" w:hAnsi="黑体" w:eastAsia="黑体" w:cs="黑体"/>
          <w:sz w:val="44"/>
          <w:szCs w:val="44"/>
          <w:highlight w:val="none"/>
        </w:rPr>
        <w:t>第五篇  评审办法</w:t>
      </w:r>
      <w:bookmarkEnd w:id="207"/>
      <w:bookmarkEnd w:id="208"/>
      <w:bookmarkEnd w:id="209"/>
      <w:bookmarkEnd w:id="210"/>
      <w:bookmarkEnd w:id="211"/>
      <w:bookmarkEnd w:id="212"/>
      <w:bookmarkEnd w:id="213"/>
      <w:bookmarkEnd w:id="214"/>
      <w:bookmarkEnd w:id="215"/>
      <w:bookmarkEnd w:id="216"/>
      <w:bookmarkEnd w:id="217"/>
      <w:bookmarkEnd w:id="218"/>
      <w:bookmarkEnd w:id="219"/>
      <w:bookmarkStart w:id="222" w:name="_Toc508286676"/>
      <w:bookmarkStart w:id="223" w:name="_Toc409439690"/>
    </w:p>
    <w:p w14:paraId="4AA74836">
      <w:pPr>
        <w:keepNext w:val="0"/>
        <w:keepLines w:val="0"/>
        <w:widowControl w:val="0"/>
        <w:kinsoku/>
        <w:wordWrap/>
        <w:overflowPunct/>
        <w:topLinePunct w:val="0"/>
        <w:autoSpaceDE/>
        <w:autoSpaceDN/>
        <w:bidi w:val="0"/>
        <w:adjustRightInd/>
        <w:snapToGrid/>
        <w:spacing w:line="560" w:lineRule="exact"/>
        <w:ind w:firstLine="643" w:firstLineChars="200"/>
        <w:textAlignment w:val="auto"/>
        <w:rPr>
          <w:rFonts w:ascii="仿宋_GB2312" w:eastAsia="仿宋_GB2312"/>
          <w:b/>
          <w:sz w:val="32"/>
          <w:szCs w:val="32"/>
          <w:highlight w:val="none"/>
        </w:rPr>
      </w:pPr>
    </w:p>
    <w:p w14:paraId="0E8A1D22">
      <w:pPr>
        <w:keepNext w:val="0"/>
        <w:keepLines w:val="0"/>
        <w:widowControl w:val="0"/>
        <w:kinsoku/>
        <w:wordWrap/>
        <w:overflowPunct/>
        <w:topLinePunct w:val="0"/>
        <w:autoSpaceDE/>
        <w:autoSpaceDN/>
        <w:bidi w:val="0"/>
        <w:adjustRightInd/>
        <w:snapToGrid/>
        <w:spacing w:line="560" w:lineRule="exact"/>
        <w:ind w:firstLine="643" w:firstLineChars="200"/>
        <w:textAlignment w:val="auto"/>
        <w:outlineLvl w:val="1"/>
        <w:rPr>
          <w:rFonts w:ascii="仿宋_GB2312" w:eastAsia="仿宋_GB2312"/>
          <w:b/>
          <w:sz w:val="32"/>
          <w:szCs w:val="32"/>
          <w:highlight w:val="none"/>
        </w:rPr>
      </w:pPr>
      <w:bookmarkStart w:id="224" w:name="_Toc8468"/>
      <w:bookmarkStart w:id="225" w:name="_Toc15450"/>
      <w:bookmarkStart w:id="226" w:name="_Toc4306"/>
      <w:bookmarkStart w:id="227" w:name="_Toc28055"/>
      <w:bookmarkStart w:id="228" w:name="_Toc4305"/>
      <w:bookmarkStart w:id="229" w:name="_Toc16695"/>
      <w:r>
        <w:rPr>
          <w:rFonts w:hint="eastAsia" w:ascii="仿宋_GB2312" w:eastAsia="仿宋_GB2312"/>
          <w:b/>
          <w:sz w:val="32"/>
          <w:szCs w:val="32"/>
          <w:highlight w:val="none"/>
        </w:rPr>
        <w:t>一、响应文件开封</w:t>
      </w:r>
      <w:bookmarkEnd w:id="224"/>
      <w:bookmarkEnd w:id="225"/>
      <w:bookmarkEnd w:id="226"/>
      <w:bookmarkEnd w:id="227"/>
      <w:bookmarkEnd w:id="228"/>
      <w:bookmarkEnd w:id="229"/>
    </w:p>
    <w:p w14:paraId="638C48D6">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（一）响应文件开封在询价采购文件中“询价采购公告”确定的时间和地点公开进行。</w:t>
      </w:r>
    </w:p>
    <w:p w14:paraId="17D32F62">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（二）询价采购人可以视询价采购具体情况，延长询价采购截止时间和开封时间，但至少应当在询价采购文件要求提交响应文件的截止时间三日前，将变更时间书面通知所有报价供应商。</w:t>
      </w:r>
    </w:p>
    <w:p w14:paraId="1BCD7CD3">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（三）评审会由询价采购人主持，询价采购人、供应商或有关方面代表参加。</w:t>
      </w:r>
    </w:p>
    <w:p w14:paraId="353A634D">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（四）响应文件开封时，由询价采购方或供应商推选的代表检查响应文件的密封情况，经确认无误后，由询价采购方工作人员当众拆封宣读，宣读供应商名称、正本“报价表”内容，以及其他主要内容并记录。</w:t>
      </w:r>
    </w:p>
    <w:p w14:paraId="1C0040BD">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（五）响应文件开封过程由询价采购人指定专人负责记录，并存档备查。</w:t>
      </w:r>
    </w:p>
    <w:p w14:paraId="50C05C3D">
      <w:pPr>
        <w:keepNext w:val="0"/>
        <w:keepLines w:val="0"/>
        <w:widowControl w:val="0"/>
        <w:kinsoku/>
        <w:wordWrap/>
        <w:overflowPunct/>
        <w:topLinePunct w:val="0"/>
        <w:autoSpaceDE/>
        <w:autoSpaceDN/>
        <w:bidi w:val="0"/>
        <w:adjustRightInd/>
        <w:snapToGrid/>
        <w:spacing w:line="560" w:lineRule="exact"/>
        <w:ind w:firstLine="643" w:firstLineChars="200"/>
        <w:textAlignment w:val="auto"/>
        <w:outlineLvl w:val="1"/>
        <w:rPr>
          <w:rFonts w:ascii="仿宋_GB2312" w:eastAsia="仿宋_GB2312"/>
          <w:b/>
          <w:sz w:val="32"/>
          <w:szCs w:val="32"/>
          <w:highlight w:val="none"/>
        </w:rPr>
      </w:pPr>
      <w:bookmarkStart w:id="230" w:name="_Toc1733"/>
      <w:bookmarkStart w:id="231" w:name="_Toc29177"/>
      <w:bookmarkStart w:id="232" w:name="_Toc1053"/>
      <w:bookmarkStart w:id="233" w:name="_Toc5613"/>
      <w:bookmarkStart w:id="234" w:name="_Toc22113"/>
      <w:bookmarkStart w:id="235" w:name="_Toc30567"/>
      <w:r>
        <w:rPr>
          <w:rFonts w:hint="eastAsia" w:ascii="仿宋_GB2312" w:eastAsia="仿宋_GB2312"/>
          <w:b/>
          <w:sz w:val="32"/>
          <w:szCs w:val="32"/>
          <w:highlight w:val="none"/>
        </w:rPr>
        <w:t>二、响应文件评审</w:t>
      </w:r>
      <w:bookmarkEnd w:id="230"/>
      <w:bookmarkEnd w:id="231"/>
      <w:bookmarkEnd w:id="232"/>
      <w:bookmarkEnd w:id="233"/>
      <w:bookmarkEnd w:id="234"/>
      <w:bookmarkEnd w:id="235"/>
    </w:p>
    <w:p w14:paraId="7E9F783B">
      <w:pPr>
        <w:keepNext w:val="0"/>
        <w:keepLines w:val="0"/>
        <w:widowControl w:val="0"/>
        <w:kinsoku/>
        <w:wordWrap/>
        <w:overflowPunct/>
        <w:topLinePunct w:val="0"/>
        <w:autoSpaceDE/>
        <w:autoSpaceDN/>
        <w:bidi w:val="0"/>
        <w:adjustRightInd/>
        <w:snapToGrid/>
        <w:spacing w:line="560" w:lineRule="exact"/>
        <w:ind w:firstLine="640" w:firstLineChars="200"/>
        <w:textAlignment w:val="auto"/>
        <w:outlineLvl w:val="2"/>
        <w:rPr>
          <w:rFonts w:ascii="仿宋_GB2312" w:eastAsia="仿宋_GB2312"/>
          <w:sz w:val="32"/>
          <w:szCs w:val="32"/>
          <w:highlight w:val="none"/>
        </w:rPr>
      </w:pPr>
      <w:bookmarkStart w:id="236" w:name="_Toc12949"/>
      <w:bookmarkStart w:id="237" w:name="_Toc20519"/>
      <w:r>
        <w:rPr>
          <w:rFonts w:hint="eastAsia" w:ascii="仿宋_GB2312" w:eastAsia="仿宋_GB2312"/>
          <w:sz w:val="32"/>
          <w:szCs w:val="32"/>
          <w:highlight w:val="none"/>
        </w:rPr>
        <w:t>（一）评审小组的组成</w:t>
      </w:r>
      <w:bookmarkEnd w:id="236"/>
      <w:bookmarkEnd w:id="237"/>
    </w:p>
    <w:p w14:paraId="46D47B1A">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询价采购人按《询价采购法》的要求并根据询价采购项目特点组成评审小组。</w:t>
      </w:r>
    </w:p>
    <w:p w14:paraId="60835E19">
      <w:pPr>
        <w:keepNext w:val="0"/>
        <w:keepLines w:val="0"/>
        <w:widowControl w:val="0"/>
        <w:kinsoku/>
        <w:wordWrap/>
        <w:overflowPunct/>
        <w:topLinePunct w:val="0"/>
        <w:autoSpaceDE/>
        <w:autoSpaceDN/>
        <w:bidi w:val="0"/>
        <w:adjustRightInd/>
        <w:snapToGrid/>
        <w:spacing w:line="560" w:lineRule="exact"/>
        <w:ind w:firstLine="640" w:firstLineChars="200"/>
        <w:textAlignment w:val="auto"/>
        <w:outlineLvl w:val="2"/>
        <w:rPr>
          <w:rFonts w:ascii="仿宋_GB2312" w:eastAsia="仿宋_GB2312"/>
          <w:sz w:val="32"/>
          <w:szCs w:val="32"/>
          <w:highlight w:val="none"/>
        </w:rPr>
      </w:pPr>
      <w:bookmarkStart w:id="238" w:name="_Toc304"/>
      <w:bookmarkStart w:id="239" w:name="_Toc18395"/>
      <w:r>
        <w:rPr>
          <w:rFonts w:hint="eastAsia" w:ascii="仿宋_GB2312" w:eastAsia="仿宋_GB2312"/>
          <w:sz w:val="32"/>
          <w:szCs w:val="32"/>
          <w:highlight w:val="none"/>
        </w:rPr>
        <w:t>（二）评审方法和依据</w:t>
      </w:r>
      <w:bookmarkEnd w:id="238"/>
      <w:bookmarkEnd w:id="239"/>
    </w:p>
    <w:p w14:paraId="2ABDD421">
      <w:pPr>
        <w:keepNext w:val="0"/>
        <w:keepLines w:val="0"/>
        <w:widowControl w:val="0"/>
        <w:kinsoku/>
        <w:wordWrap/>
        <w:overflowPunct/>
        <w:topLinePunct w:val="0"/>
        <w:autoSpaceDE/>
        <w:autoSpaceDN/>
        <w:bidi w:val="0"/>
        <w:adjustRightInd/>
        <w:snapToGrid/>
        <w:spacing w:line="560" w:lineRule="exact"/>
        <w:ind w:firstLine="640" w:firstLineChars="200"/>
        <w:textAlignment w:val="auto"/>
        <w:outlineLvl w:val="3"/>
        <w:rPr>
          <w:rFonts w:ascii="仿宋_GB2312" w:eastAsia="仿宋_GB2312"/>
          <w:sz w:val="32"/>
          <w:szCs w:val="32"/>
          <w:highlight w:val="none"/>
        </w:rPr>
      </w:pPr>
      <w:bookmarkStart w:id="240" w:name="_Toc23432"/>
      <w:r>
        <w:rPr>
          <w:rFonts w:hint="eastAsia" w:ascii="仿宋_GB2312" w:eastAsia="仿宋_GB2312"/>
          <w:sz w:val="32"/>
          <w:szCs w:val="32"/>
          <w:highlight w:val="none"/>
        </w:rPr>
        <w:t>1.评审办法：</w:t>
      </w:r>
      <w:bookmarkEnd w:id="240"/>
      <w:r>
        <w:rPr>
          <w:rFonts w:hint="eastAsia" w:ascii="仿宋_GB2312" w:eastAsia="仿宋_GB2312"/>
          <w:sz w:val="32"/>
          <w:szCs w:val="32"/>
          <w:highlight w:val="none"/>
        </w:rPr>
        <w:t xml:space="preserve"> </w:t>
      </w:r>
    </w:p>
    <w:p w14:paraId="516184DD">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本项目评标采用</w:t>
      </w:r>
      <w:r>
        <w:rPr>
          <w:rFonts w:hint="eastAsia" w:ascii="仿宋_GB2312" w:eastAsia="仿宋_GB2312"/>
          <w:b/>
          <w:bCs/>
          <w:sz w:val="32"/>
          <w:szCs w:val="32"/>
          <w:highlight w:val="none"/>
        </w:rPr>
        <w:t>综合评分法。</w:t>
      </w:r>
    </w:p>
    <w:p w14:paraId="78D4BCE3">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评审小组会从投标文件评审合格的投标人中推荐综合得分由高至低排序后的前</w:t>
      </w:r>
      <w:r>
        <w:rPr>
          <w:rFonts w:hint="eastAsia" w:ascii="仿宋_GB2312" w:eastAsia="仿宋_GB2312"/>
          <w:sz w:val="32"/>
          <w:szCs w:val="32"/>
          <w:highlight w:val="none"/>
          <w:lang w:val="en-US" w:eastAsia="zh-CN"/>
        </w:rPr>
        <w:t>三</w:t>
      </w:r>
      <w:r>
        <w:rPr>
          <w:rFonts w:hint="eastAsia" w:ascii="仿宋_GB2312" w:eastAsia="仿宋_GB2312"/>
          <w:sz w:val="32"/>
          <w:szCs w:val="32"/>
          <w:highlight w:val="none"/>
        </w:rPr>
        <w:t>名投标人为中标候选人，综合得分最</w:t>
      </w:r>
      <w:r>
        <w:rPr>
          <w:rFonts w:hint="eastAsia" w:ascii="仿宋_GB2312" w:eastAsia="仿宋_GB2312"/>
          <w:sz w:val="32"/>
          <w:szCs w:val="32"/>
          <w:highlight w:val="none"/>
          <w:lang w:eastAsia="zh-CN"/>
        </w:rPr>
        <w:t>高为</w:t>
      </w:r>
      <w:r>
        <w:rPr>
          <w:rFonts w:hint="eastAsia" w:ascii="仿宋_GB2312" w:eastAsia="仿宋_GB2312"/>
          <w:sz w:val="32"/>
          <w:szCs w:val="32"/>
          <w:highlight w:val="none"/>
        </w:rPr>
        <w:t>第一中标候选人，综合得分</w:t>
      </w:r>
      <w:r>
        <w:rPr>
          <w:rFonts w:hint="eastAsia" w:ascii="仿宋_GB2312" w:eastAsia="仿宋_GB2312"/>
          <w:sz w:val="32"/>
          <w:szCs w:val="32"/>
          <w:highlight w:val="none"/>
          <w:lang w:eastAsia="zh-CN"/>
        </w:rPr>
        <w:t>排名第二</w:t>
      </w:r>
      <w:r>
        <w:rPr>
          <w:rFonts w:hint="eastAsia" w:ascii="仿宋_GB2312" w:eastAsia="仿宋_GB2312"/>
          <w:sz w:val="32"/>
          <w:szCs w:val="32"/>
          <w:highlight w:val="none"/>
        </w:rPr>
        <w:t>的</w:t>
      </w:r>
      <w:r>
        <w:rPr>
          <w:rFonts w:hint="eastAsia" w:ascii="仿宋_GB2312" w:eastAsia="仿宋_GB2312"/>
          <w:sz w:val="32"/>
          <w:szCs w:val="32"/>
          <w:highlight w:val="none"/>
          <w:lang w:val="en-US" w:eastAsia="zh-CN"/>
        </w:rPr>
        <w:t>为</w:t>
      </w:r>
      <w:r>
        <w:rPr>
          <w:rFonts w:hint="eastAsia" w:ascii="仿宋_GB2312" w:eastAsia="仿宋_GB2312"/>
          <w:sz w:val="32"/>
          <w:szCs w:val="32"/>
          <w:highlight w:val="none"/>
        </w:rPr>
        <w:t>第</w:t>
      </w:r>
      <w:r>
        <w:rPr>
          <w:rFonts w:hint="eastAsia" w:ascii="仿宋_GB2312" w:eastAsia="仿宋_GB2312"/>
          <w:sz w:val="32"/>
          <w:szCs w:val="32"/>
          <w:highlight w:val="none"/>
          <w:lang w:val="en-US" w:eastAsia="zh-CN"/>
        </w:rPr>
        <w:t>二</w:t>
      </w:r>
      <w:r>
        <w:rPr>
          <w:rFonts w:hint="eastAsia" w:ascii="仿宋_GB2312" w:eastAsia="仿宋_GB2312"/>
          <w:sz w:val="32"/>
          <w:szCs w:val="32"/>
          <w:highlight w:val="none"/>
        </w:rPr>
        <w:t>中标候选人，综合得分排名第三名的</w:t>
      </w:r>
      <w:r>
        <w:rPr>
          <w:rFonts w:hint="eastAsia" w:ascii="仿宋_GB2312" w:eastAsia="仿宋_GB2312"/>
          <w:sz w:val="32"/>
          <w:szCs w:val="32"/>
          <w:highlight w:val="none"/>
          <w:lang w:val="en-US" w:eastAsia="zh-CN"/>
        </w:rPr>
        <w:t>为</w:t>
      </w:r>
      <w:r>
        <w:rPr>
          <w:rFonts w:hint="eastAsia" w:ascii="仿宋_GB2312" w:eastAsia="仿宋_GB2312"/>
          <w:sz w:val="32"/>
          <w:szCs w:val="32"/>
          <w:highlight w:val="none"/>
        </w:rPr>
        <w:t>第二中标候选人。当两个及两个以上投标人综合得分相同时，以投标总价低的优先，当综合得分、投标总价均相同时，则由招标人以随机抽取方式确定中标候选人排序。</w:t>
      </w:r>
    </w:p>
    <w:p w14:paraId="70AEBF3A">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评标</w:t>
      </w:r>
      <w:r>
        <w:rPr>
          <w:rFonts w:hint="eastAsia" w:ascii="仿宋_GB2312" w:eastAsia="仿宋_GB2312"/>
          <w:sz w:val="32"/>
          <w:szCs w:val="32"/>
          <w:highlight w:val="none"/>
          <w:lang w:val="en-US" w:eastAsia="zh-CN"/>
        </w:rPr>
        <w:t>小组</w:t>
      </w:r>
      <w:r>
        <w:rPr>
          <w:rFonts w:hint="eastAsia" w:ascii="仿宋_GB2312" w:eastAsia="仿宋_GB2312"/>
          <w:sz w:val="32"/>
          <w:szCs w:val="32"/>
          <w:highlight w:val="none"/>
        </w:rPr>
        <w:t>完成评标后，将形成书面的评</w:t>
      </w:r>
      <w:r>
        <w:rPr>
          <w:rFonts w:hint="eastAsia" w:ascii="仿宋_GB2312" w:eastAsia="仿宋_GB2312"/>
          <w:sz w:val="32"/>
          <w:szCs w:val="32"/>
          <w:highlight w:val="none"/>
          <w:lang w:val="en-US" w:eastAsia="zh-CN"/>
        </w:rPr>
        <w:t>审</w:t>
      </w:r>
      <w:r>
        <w:rPr>
          <w:rFonts w:hint="eastAsia" w:ascii="仿宋_GB2312" w:eastAsia="仿宋_GB2312"/>
          <w:sz w:val="32"/>
          <w:szCs w:val="32"/>
          <w:highlight w:val="none"/>
        </w:rPr>
        <w:t>报告并提交给询价采购人。</w:t>
      </w:r>
      <w:bookmarkStart w:id="241" w:name="OLE_LINK14"/>
      <w:r>
        <w:rPr>
          <w:rFonts w:hint="eastAsia" w:ascii="仿宋_GB2312" w:eastAsia="仿宋_GB2312"/>
          <w:sz w:val="32"/>
          <w:szCs w:val="32"/>
          <w:highlight w:val="none"/>
        </w:rPr>
        <w:t>询价采购人</w:t>
      </w:r>
      <w:bookmarkEnd w:id="241"/>
      <w:r>
        <w:rPr>
          <w:rFonts w:hint="eastAsia" w:ascii="仿宋_GB2312" w:eastAsia="仿宋_GB2312"/>
          <w:sz w:val="32"/>
          <w:szCs w:val="32"/>
          <w:highlight w:val="none"/>
        </w:rPr>
        <w:t>从评审报告推荐的成交候选人中确定成交人。</w:t>
      </w:r>
    </w:p>
    <w:p w14:paraId="7AEAFF97">
      <w:pPr>
        <w:keepNext w:val="0"/>
        <w:keepLines w:val="0"/>
        <w:widowControl w:val="0"/>
        <w:kinsoku/>
        <w:wordWrap/>
        <w:overflowPunct/>
        <w:topLinePunct w:val="0"/>
        <w:autoSpaceDE/>
        <w:autoSpaceDN/>
        <w:bidi w:val="0"/>
        <w:adjustRightInd/>
        <w:snapToGrid/>
        <w:spacing w:line="560" w:lineRule="exact"/>
        <w:ind w:firstLine="640" w:firstLineChars="200"/>
        <w:textAlignment w:val="auto"/>
        <w:outlineLvl w:val="3"/>
        <w:rPr>
          <w:rFonts w:ascii="仿宋_GB2312" w:eastAsia="仿宋_GB2312"/>
          <w:sz w:val="32"/>
          <w:szCs w:val="32"/>
          <w:highlight w:val="none"/>
        </w:rPr>
      </w:pPr>
      <w:bookmarkStart w:id="242" w:name="_Toc9817"/>
      <w:r>
        <w:rPr>
          <w:rFonts w:hint="eastAsia" w:ascii="仿宋_GB2312" w:eastAsia="仿宋_GB2312"/>
          <w:sz w:val="32"/>
          <w:szCs w:val="32"/>
          <w:highlight w:val="none"/>
        </w:rPr>
        <w:t>2.评审依据：</w:t>
      </w:r>
      <w:bookmarkEnd w:id="242"/>
    </w:p>
    <w:p w14:paraId="245C36DF">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评审的依据为询价采购文件（含有效的补充文件），评审小组判断供应商对询价采购文件的响应仅基于响应文件本身而不靠外部证据。</w:t>
      </w:r>
    </w:p>
    <w:p w14:paraId="00B1DBF6">
      <w:pPr>
        <w:keepNext w:val="0"/>
        <w:keepLines w:val="0"/>
        <w:widowControl w:val="0"/>
        <w:kinsoku/>
        <w:wordWrap/>
        <w:overflowPunct/>
        <w:topLinePunct w:val="0"/>
        <w:autoSpaceDE/>
        <w:autoSpaceDN/>
        <w:bidi w:val="0"/>
        <w:adjustRightInd/>
        <w:snapToGrid/>
        <w:spacing w:line="560" w:lineRule="exact"/>
        <w:ind w:firstLine="640" w:firstLineChars="200"/>
        <w:textAlignment w:val="auto"/>
        <w:outlineLvl w:val="3"/>
        <w:rPr>
          <w:rFonts w:ascii="仿宋_GB2312" w:eastAsia="仿宋_GB2312"/>
          <w:sz w:val="32"/>
          <w:szCs w:val="32"/>
          <w:highlight w:val="none"/>
        </w:rPr>
      </w:pPr>
      <w:bookmarkStart w:id="243" w:name="_Toc4555"/>
      <w:r>
        <w:rPr>
          <w:rFonts w:hint="eastAsia" w:ascii="仿宋_GB2312" w:eastAsia="仿宋_GB2312"/>
          <w:sz w:val="32"/>
          <w:szCs w:val="32"/>
          <w:highlight w:val="none"/>
        </w:rPr>
        <w:t>3.评审</w:t>
      </w:r>
      <w:r>
        <w:rPr>
          <w:rFonts w:hint="eastAsia" w:ascii="仿宋_GB2312" w:eastAsia="仿宋_GB2312"/>
          <w:sz w:val="32"/>
          <w:szCs w:val="32"/>
          <w:highlight w:val="none"/>
          <w:lang w:val="en-US" w:eastAsia="zh-CN"/>
        </w:rPr>
        <w:t>标准</w:t>
      </w:r>
      <w:r>
        <w:rPr>
          <w:rFonts w:hint="eastAsia" w:ascii="仿宋_GB2312" w:eastAsia="仿宋_GB2312"/>
          <w:sz w:val="32"/>
          <w:szCs w:val="32"/>
          <w:highlight w:val="none"/>
        </w:rPr>
        <w:t>：</w:t>
      </w:r>
      <w:bookmarkEnd w:id="243"/>
    </w:p>
    <w:p w14:paraId="0D2548B5">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bookmarkStart w:id="244" w:name="_Toc4980"/>
      <w:r>
        <w:rPr>
          <w:rFonts w:hint="eastAsia" w:ascii="仿宋_GB2312" w:eastAsia="仿宋_GB2312"/>
          <w:sz w:val="32"/>
          <w:szCs w:val="32"/>
          <w:highlight w:val="none"/>
        </w:rPr>
        <w:t>本项目采用综合评分法。</w:t>
      </w:r>
    </w:p>
    <w:p w14:paraId="64CE6FDC">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投标人综合得分=商务技术部分得分+报价部分得分</w:t>
      </w:r>
    </w:p>
    <w:p w14:paraId="552232AB">
      <w:pPr>
        <w:keepNext w:val="0"/>
        <w:keepLines w:val="0"/>
        <w:widowControl w:val="0"/>
        <w:kinsoku/>
        <w:wordWrap/>
        <w:overflowPunct/>
        <w:topLinePunct w:val="0"/>
        <w:autoSpaceDE/>
        <w:autoSpaceDN/>
        <w:bidi w:val="0"/>
        <w:adjustRightInd/>
        <w:snapToGrid/>
        <w:spacing w:line="560" w:lineRule="exact"/>
        <w:ind w:firstLine="640" w:firstLineChars="200"/>
        <w:textAlignment w:val="auto"/>
        <w:outlineLvl w:val="3"/>
        <w:rPr>
          <w:rFonts w:ascii="仿宋_GB2312" w:eastAsia="仿宋_GB2312"/>
          <w:sz w:val="32"/>
          <w:szCs w:val="32"/>
          <w:highlight w:val="none"/>
        </w:rPr>
      </w:pPr>
      <w:r>
        <w:rPr>
          <w:rFonts w:hint="eastAsia" w:ascii="仿宋_GB2312" w:eastAsia="仿宋_GB2312"/>
          <w:sz w:val="32"/>
          <w:szCs w:val="32"/>
          <w:highlight w:val="none"/>
        </w:rPr>
        <w:t>4.评审程序</w:t>
      </w:r>
      <w:bookmarkEnd w:id="244"/>
    </w:p>
    <w:p w14:paraId="1BFE9EF1">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bookmarkStart w:id="245" w:name="OLE_LINK29"/>
      <w:r>
        <w:rPr>
          <w:rFonts w:hint="eastAsia" w:ascii="仿宋_GB2312" w:eastAsia="仿宋_GB2312"/>
          <w:sz w:val="32"/>
          <w:szCs w:val="32"/>
          <w:highlight w:val="none"/>
        </w:rPr>
        <w:t>（1）</w:t>
      </w:r>
      <w:bookmarkEnd w:id="245"/>
      <w:r>
        <w:rPr>
          <w:rFonts w:hint="eastAsia" w:ascii="仿宋_GB2312" w:eastAsia="仿宋_GB2312"/>
          <w:sz w:val="32"/>
          <w:szCs w:val="32"/>
          <w:highlight w:val="none"/>
        </w:rPr>
        <w:t>根据《询价采购文件》的要求和规定，评审小组首先对各供应商的《响应文件》进行初审。</w:t>
      </w:r>
    </w:p>
    <w:p w14:paraId="12244EB5">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初审分资格性检查和符合性检查：资格性检查是依据法律法规和询价采购文件的规定，对响应文件中的资格证明等进行审查，以确定供应商是否具备报价资格；符合性检查是依据询价采购文件的规定，从响应文件的有效性、完整性和对询价采购文件的响应程度进行审查，以确定供应商是否对询价采购文件的实质性要求作出响应。</w:t>
      </w:r>
    </w:p>
    <w:p w14:paraId="4C030EF3">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）评</w:t>
      </w:r>
      <w:r>
        <w:rPr>
          <w:rFonts w:hint="eastAsia" w:ascii="仿宋_GB2312" w:eastAsia="仿宋_GB2312"/>
          <w:sz w:val="32"/>
          <w:szCs w:val="32"/>
          <w:highlight w:val="none"/>
          <w:lang w:val="en-US" w:eastAsia="zh-CN"/>
        </w:rPr>
        <w:t>审</w:t>
      </w:r>
      <w:r>
        <w:rPr>
          <w:rFonts w:hint="eastAsia" w:ascii="仿宋_GB2312" w:eastAsia="仿宋_GB2312"/>
          <w:sz w:val="32"/>
          <w:szCs w:val="32"/>
          <w:highlight w:val="none"/>
        </w:rPr>
        <w:t>细则</w:t>
      </w:r>
    </w:p>
    <w:p w14:paraId="02BB49DA">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投标人综合得分=商务技术部分得分+报价部分得分</w:t>
      </w:r>
    </w:p>
    <w:p w14:paraId="7F93ACC9">
      <w:pPr>
        <w:keepNext w:val="0"/>
        <w:keepLines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第一部分：商务</w:t>
      </w:r>
      <w:r>
        <w:rPr>
          <w:rFonts w:hint="eastAsia" w:ascii="仿宋_GB2312" w:eastAsia="仿宋_GB2312"/>
          <w:sz w:val="32"/>
          <w:szCs w:val="32"/>
          <w:highlight w:val="none"/>
        </w:rPr>
        <w:t>技术部分评分</w:t>
      </w:r>
    </w:p>
    <w:tbl>
      <w:tblPr>
        <w:tblStyle w:val="31"/>
        <w:tblW w:w="92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973"/>
        <w:gridCol w:w="7317"/>
      </w:tblGrid>
      <w:tr w14:paraId="67627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61" w:type="dxa"/>
            <w:gridSpan w:val="3"/>
            <w:noWrap/>
            <w:vAlign w:val="center"/>
          </w:tcPr>
          <w:p w14:paraId="5717120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kern w:val="0"/>
                <w:sz w:val="28"/>
                <w:szCs w:val="28"/>
                <w:highlight w:val="none"/>
                <w:lang w:val="en-US" w:eastAsia="zh-CN"/>
                <w14:textFill>
                  <w14:solidFill>
                    <w14:schemeClr w14:val="tx1"/>
                  </w14:solidFill>
                </w14:textFill>
              </w:rPr>
              <w:t>商务</w:t>
            </w:r>
            <w:r>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t>技术部分评分    满分</w:t>
            </w:r>
            <w:r>
              <w:rPr>
                <w:rFonts w:hint="eastAsia" w:ascii="仿宋_GB2312" w:hAnsi="仿宋_GB2312" w:eastAsia="仿宋_GB2312" w:cs="仿宋_GB2312"/>
                <w:b/>
                <w:bCs/>
                <w:color w:val="000000" w:themeColor="text1"/>
                <w:kern w:val="0"/>
                <w:sz w:val="28"/>
                <w:szCs w:val="28"/>
                <w:highlight w:val="none"/>
                <w:lang w:val="en-US" w:eastAsia="zh-CN"/>
                <w14:textFill>
                  <w14:solidFill>
                    <w14:schemeClr w14:val="tx1"/>
                  </w14:solidFill>
                </w14:textFill>
              </w:rPr>
              <w:t>50</w:t>
            </w:r>
            <w:r>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t>分</w:t>
            </w:r>
          </w:p>
        </w:tc>
      </w:tr>
      <w:tr w14:paraId="41BC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1" w:type="dxa"/>
            <w:noWrap/>
            <w:vAlign w:val="center"/>
          </w:tcPr>
          <w:p w14:paraId="3961207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t>评标</w:t>
            </w:r>
          </w:p>
          <w:p w14:paraId="279675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t>项目</w:t>
            </w:r>
          </w:p>
        </w:tc>
        <w:tc>
          <w:tcPr>
            <w:tcW w:w="973" w:type="dxa"/>
            <w:noWrap/>
            <w:vAlign w:val="center"/>
          </w:tcPr>
          <w:p w14:paraId="0173AC3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t>评标</w:t>
            </w:r>
          </w:p>
          <w:p w14:paraId="03BD057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t>分值</w:t>
            </w:r>
          </w:p>
        </w:tc>
        <w:tc>
          <w:tcPr>
            <w:tcW w:w="7317" w:type="dxa"/>
            <w:noWrap/>
            <w:vAlign w:val="center"/>
          </w:tcPr>
          <w:p w14:paraId="3359622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b/>
                <w:bCs/>
                <w:color w:val="000000" w:themeColor="text1"/>
                <w:kern w:val="0"/>
                <w:sz w:val="28"/>
                <w:szCs w:val="28"/>
                <w:highlight w:val="none"/>
                <w14:textFill>
                  <w14:solidFill>
                    <w14:schemeClr w14:val="tx1"/>
                  </w14:solidFill>
                </w14:textFill>
              </w:rPr>
              <w:t>评标方法描述</w:t>
            </w:r>
          </w:p>
        </w:tc>
      </w:tr>
      <w:tr w14:paraId="03B9A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1" w:type="dxa"/>
            <w:noWrap/>
            <w:vAlign w:val="center"/>
          </w:tcPr>
          <w:p w14:paraId="5B9DA13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1</w:t>
            </w:r>
          </w:p>
        </w:tc>
        <w:tc>
          <w:tcPr>
            <w:tcW w:w="973" w:type="dxa"/>
            <w:shd w:val="clear" w:color="auto" w:fill="auto"/>
            <w:noWrap/>
            <w:vAlign w:val="center"/>
          </w:tcPr>
          <w:p w14:paraId="3CC7D698">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12</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分</w:t>
            </w:r>
          </w:p>
        </w:tc>
        <w:tc>
          <w:tcPr>
            <w:tcW w:w="7317" w:type="dxa"/>
            <w:shd w:val="clear" w:color="auto" w:fill="auto"/>
            <w:noWrap w:val="0"/>
            <w:vAlign w:val="center"/>
          </w:tcPr>
          <w:p w14:paraId="21AB33FF">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投标人</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在近</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五</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年内（</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2020年1月1日至报价截止时间止</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具有生产</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安装</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过高速公路活动护栏的业绩的，每提供一份合同加</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分，本项满分</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12</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分。</w:t>
            </w:r>
          </w:p>
          <w:p w14:paraId="753CFCCC">
            <w:pPr>
              <w:pStyle w:val="23"/>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2"/>
                <w:sz w:val="28"/>
                <w:szCs w:val="28"/>
                <w:highlight w:val="none"/>
                <w:lang w:val="en-US" w:eastAsia="zh-CN" w:bidi="ar-SA"/>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注：应提供加盖投标人公章的合同彩色扫描件和项目业主出具的业绩完成证明作为业绩证明材料，原件备查，未提供不得分</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p>
        </w:tc>
      </w:tr>
      <w:tr w14:paraId="499B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1" w:type="dxa"/>
            <w:noWrap/>
            <w:vAlign w:val="center"/>
          </w:tcPr>
          <w:p w14:paraId="0899A37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2</w:t>
            </w:r>
          </w:p>
        </w:tc>
        <w:tc>
          <w:tcPr>
            <w:tcW w:w="973" w:type="dxa"/>
            <w:noWrap/>
            <w:vAlign w:val="center"/>
          </w:tcPr>
          <w:p w14:paraId="586F9678">
            <w:pPr>
              <w:keepNext w:val="0"/>
              <w:keepLines w:val="0"/>
              <w:pageBreakBefore w:val="0"/>
              <w:widowControl/>
              <w:kinsoku/>
              <w:wordWrap/>
              <w:overflowPunct/>
              <w:topLinePunct w:val="0"/>
              <w:autoSpaceDE/>
              <w:autoSpaceDN/>
              <w:bidi w:val="0"/>
              <w:adjustRightInd/>
              <w:snapToGrid/>
              <w:spacing w:beforeLines="0" w:afterLines="0" w:line="560" w:lineRule="exact"/>
              <w:jc w:val="center"/>
              <w:textAlignment w:val="auto"/>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9分</w:t>
            </w:r>
          </w:p>
        </w:tc>
        <w:tc>
          <w:tcPr>
            <w:tcW w:w="7317" w:type="dxa"/>
            <w:noWrap w:val="0"/>
            <w:vAlign w:val="center"/>
          </w:tcPr>
          <w:p w14:paraId="52555D09">
            <w:pPr>
              <w:keepNext w:val="0"/>
              <w:keepLines w:val="0"/>
              <w:pageBreakBefore w:val="0"/>
              <w:widowControl/>
              <w:suppressLineNumbers w:val="0"/>
              <w:kinsoku/>
              <w:wordWrap/>
              <w:overflowPunct/>
              <w:topLinePunct w:val="0"/>
              <w:autoSpaceDE/>
              <w:autoSpaceDN/>
              <w:bidi w:val="0"/>
              <w:adjustRightInd/>
              <w:snapToGrid/>
              <w:spacing w:beforeLines="0" w:afterLines="0" w:line="560" w:lineRule="exact"/>
              <w:jc w:val="both"/>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投标人派驻的项目负责人为中级及以上工程师职称得3分，满分3分；具有公路工程专业一级注册建造师（以注册建造师证书上的注册单位为准,不含临时证件）的，得3分，满分3分；且持有省级及以上交通运输主管部门颁发的安全生产考核合格 “B”类证书的得3分，满分3分。</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本项满分</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9</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分</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p>
          <w:p w14:paraId="5FC1AC92">
            <w:pPr>
              <w:keepNext w:val="0"/>
              <w:keepLines w:val="0"/>
              <w:pageBreakBefore w:val="0"/>
              <w:widowControl/>
              <w:suppressLineNumbers w:val="0"/>
              <w:kinsoku/>
              <w:wordWrap/>
              <w:overflowPunct/>
              <w:topLinePunct w:val="0"/>
              <w:autoSpaceDE/>
              <w:autoSpaceDN/>
              <w:bidi w:val="0"/>
              <w:adjustRightInd/>
              <w:snapToGrid/>
              <w:spacing w:beforeLines="0" w:afterLines="0" w:line="560" w:lineRule="exact"/>
              <w:jc w:val="both"/>
              <w:textAlignment w:val="auto"/>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【注：提供人</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员的技术证书彩色扫描件、身份证彩色扫描件、投标截止时间前</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六个月（不含截止时间当月）中任一月份的社会保险缴交证明</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，业绩材料需提供</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相关证明材料，</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并加盖投标人公章，未提供或提供不全的不得分</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p>
        </w:tc>
      </w:tr>
      <w:tr w14:paraId="187E2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1" w:type="dxa"/>
            <w:noWrap/>
            <w:vAlign w:val="center"/>
          </w:tcPr>
          <w:p w14:paraId="5DBFA77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3</w:t>
            </w:r>
          </w:p>
        </w:tc>
        <w:tc>
          <w:tcPr>
            <w:tcW w:w="973" w:type="dxa"/>
            <w:noWrap/>
            <w:vAlign w:val="center"/>
          </w:tcPr>
          <w:p w14:paraId="31F7A01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分</w:t>
            </w:r>
          </w:p>
        </w:tc>
        <w:tc>
          <w:tcPr>
            <w:tcW w:w="7317" w:type="dxa"/>
            <w:noWrap w:val="0"/>
            <w:vAlign w:val="center"/>
          </w:tcPr>
          <w:p w14:paraId="0268535D">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投标人专门配备用于本项目的专业技能人员：配备2名或者2名以上装配式高级工程师，得</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分；配备2名或者2名以上装配式中级工程师，得</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分；配备2名或者2名以上装配式初级工程师，得</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分；其他不得分，本项满分</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10</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分。【注：提供人员的技术证书彩色扫描件、身份证彩色扫描件、投标截止时间前</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六个月（不含截止时间当月）中任一月份的社会保险缴交证明</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，并加盖投标人公章，未提供或提供不全的不得分</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p>
        </w:tc>
      </w:tr>
      <w:tr w14:paraId="5EDB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1" w:type="dxa"/>
            <w:noWrap/>
            <w:vAlign w:val="center"/>
          </w:tcPr>
          <w:p w14:paraId="2878164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4</w:t>
            </w:r>
          </w:p>
        </w:tc>
        <w:tc>
          <w:tcPr>
            <w:tcW w:w="973" w:type="dxa"/>
            <w:noWrap/>
            <w:vAlign w:val="center"/>
          </w:tcPr>
          <w:p w14:paraId="630577C5">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9</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分</w:t>
            </w:r>
          </w:p>
        </w:tc>
        <w:tc>
          <w:tcPr>
            <w:tcW w:w="7317" w:type="dxa"/>
            <w:noWrap w:val="0"/>
            <w:vAlign w:val="center"/>
          </w:tcPr>
          <w:p w14:paraId="776C09F8">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投标人至少派驻</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持有建设主管部门或交通主管部门颁发的安全生产考核合格证书（C证）</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的安全管理人员1人，并具有高速活动护栏相关安装业绩的得3分，每增加1人得3分，本项满分9分。</w:t>
            </w:r>
          </w:p>
          <w:p w14:paraId="704BC571">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【注：提供人员的资格证书彩色扫描件、投标截止时间前</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六个月（不含截止时间当月）中任一月份的社会保险缴交证明</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，并加盖投标人公章，未提供或提供不全的不得分</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p>
        </w:tc>
      </w:tr>
      <w:tr w14:paraId="4F4D0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1" w:type="dxa"/>
            <w:noWrap/>
            <w:vAlign w:val="center"/>
          </w:tcPr>
          <w:p w14:paraId="79A7D6B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5</w:t>
            </w:r>
          </w:p>
        </w:tc>
        <w:tc>
          <w:tcPr>
            <w:tcW w:w="973" w:type="dxa"/>
            <w:noWrap/>
            <w:vAlign w:val="center"/>
          </w:tcPr>
          <w:p w14:paraId="18969DD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4分</w:t>
            </w:r>
          </w:p>
        </w:tc>
        <w:tc>
          <w:tcPr>
            <w:tcW w:w="7317" w:type="dxa"/>
            <w:noWrap w:val="0"/>
            <w:vAlign w:val="center"/>
          </w:tcPr>
          <w:p w14:paraId="123B5B3C">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投标</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人专门配备用于本项目的</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自有施工设备</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至少配备2台取芯机的得2分，每增加1台得1分，</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满分</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分。</w:t>
            </w:r>
          </w:p>
          <w:p w14:paraId="6C94CECE">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【注：提供</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设备的购置发票</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彩色扫描件，并加盖投标人公章，未提供或提供不全的不得分】</w:t>
            </w:r>
          </w:p>
        </w:tc>
      </w:tr>
      <w:tr w14:paraId="0EBA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1" w:type="dxa"/>
            <w:noWrap/>
            <w:vAlign w:val="center"/>
          </w:tcPr>
          <w:p w14:paraId="1797F25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6</w:t>
            </w:r>
          </w:p>
        </w:tc>
        <w:tc>
          <w:tcPr>
            <w:tcW w:w="973" w:type="dxa"/>
            <w:shd w:val="clear" w:color="auto" w:fill="auto"/>
            <w:noWrap/>
            <w:vAlign w:val="center"/>
          </w:tcPr>
          <w:p w14:paraId="0410B64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分</w:t>
            </w:r>
          </w:p>
        </w:tc>
        <w:tc>
          <w:tcPr>
            <w:tcW w:w="7317" w:type="dxa"/>
            <w:shd w:val="clear" w:color="auto" w:fill="auto"/>
            <w:noWrap w:val="0"/>
            <w:vAlign w:val="center"/>
          </w:tcPr>
          <w:p w14:paraId="4B7E39FD">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投标</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人专门配备用于本项目的</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自有施工车辆</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至少</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配备</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2辆施工车辆的得2分</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每增加1辆得1分，</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满分</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分。</w:t>
            </w:r>
          </w:p>
          <w:p w14:paraId="549603C2">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【注：提供</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车辆的购置发票</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彩色扫描件</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和车辆行驶证彩色扫描件</w:t>
            </w:r>
            <w:r>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t>，并加盖投标人公章，未提供或提供不全的不得分】</w:t>
            </w:r>
          </w:p>
        </w:tc>
      </w:tr>
      <w:tr w14:paraId="51CD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71" w:type="dxa"/>
            <w:noWrap/>
            <w:vAlign w:val="center"/>
          </w:tcPr>
          <w:p w14:paraId="680D708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7</w:t>
            </w:r>
          </w:p>
        </w:tc>
        <w:tc>
          <w:tcPr>
            <w:tcW w:w="973" w:type="dxa"/>
            <w:shd w:val="clear" w:color="auto" w:fill="auto"/>
            <w:noWrap/>
            <w:vAlign w:val="center"/>
          </w:tcPr>
          <w:p w14:paraId="58E231B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分</w:t>
            </w:r>
          </w:p>
        </w:tc>
        <w:tc>
          <w:tcPr>
            <w:tcW w:w="7317" w:type="dxa"/>
            <w:shd w:val="clear" w:color="auto" w:fill="auto"/>
            <w:noWrap w:val="0"/>
            <w:vAlign w:val="center"/>
          </w:tcPr>
          <w:p w14:paraId="42E7C88C">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0"/>
                <w:sz w:val="28"/>
                <w:szCs w:val="28"/>
                <w:highlight w:val="none"/>
                <w:lang w:eastAsia="en-US"/>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报价</w:t>
            </w:r>
            <w:r>
              <w:rPr>
                <w:rFonts w:hint="eastAsia" w:ascii="仿宋_GB2312" w:hAnsi="仿宋_GB2312" w:eastAsia="仿宋_GB2312" w:cs="仿宋_GB2312"/>
                <w:color w:val="000000" w:themeColor="text1"/>
                <w:kern w:val="0"/>
                <w:sz w:val="28"/>
                <w:szCs w:val="28"/>
                <w:highlight w:val="none"/>
                <w:lang w:eastAsia="en-US"/>
                <w14:textFill>
                  <w14:solidFill>
                    <w14:schemeClr w14:val="tx1"/>
                  </w14:solidFill>
                </w14:textFill>
              </w:rPr>
              <w:t>人具有有效的</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国家级</w:t>
            </w:r>
            <w:r>
              <w:rPr>
                <w:rFonts w:hint="eastAsia" w:ascii="仿宋_GB2312" w:hAnsi="仿宋_GB2312" w:eastAsia="仿宋_GB2312" w:cs="仿宋_GB2312"/>
                <w:color w:val="000000" w:themeColor="text1"/>
                <w:kern w:val="0"/>
                <w:sz w:val="28"/>
                <w:szCs w:val="28"/>
                <w:highlight w:val="none"/>
                <w:lang w:eastAsia="en-US"/>
                <w14:textFill>
                  <w14:solidFill>
                    <w14:schemeClr w14:val="tx1"/>
                  </w14:solidFill>
                </w14:textFill>
              </w:rPr>
              <w:t xml:space="preserve">“高新技术企业 ”证书，得 </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kern w:val="0"/>
                <w:sz w:val="28"/>
                <w:szCs w:val="28"/>
                <w:highlight w:val="none"/>
                <w:lang w:eastAsia="en-US"/>
                <w14:textFill>
                  <w14:solidFill>
                    <w14:schemeClr w14:val="tx1"/>
                  </w14:solidFill>
                </w14:textFill>
              </w:rPr>
              <w:t xml:space="preserve"> 分；</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省级或市级</w:t>
            </w:r>
            <w:r>
              <w:rPr>
                <w:rFonts w:hint="eastAsia" w:ascii="仿宋_GB2312" w:hAnsi="仿宋_GB2312" w:eastAsia="仿宋_GB2312" w:cs="仿宋_GB2312"/>
                <w:color w:val="000000" w:themeColor="text1"/>
                <w:kern w:val="0"/>
                <w:sz w:val="28"/>
                <w:szCs w:val="28"/>
                <w:highlight w:val="none"/>
                <w:lang w:eastAsia="en-US"/>
                <w14:textFill>
                  <w14:solidFill>
                    <w14:schemeClr w14:val="tx1"/>
                  </w14:solidFill>
                </w14:textFill>
              </w:rPr>
              <w:t xml:space="preserve">“高新技术企业 ”证书，得 </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28"/>
                <w:szCs w:val="28"/>
                <w:highlight w:val="none"/>
                <w:lang w:eastAsia="en-US"/>
                <w14:textFill>
                  <w14:solidFill>
                    <w14:schemeClr w14:val="tx1"/>
                  </w14:solidFill>
                </w14:textFill>
              </w:rPr>
              <w:t xml:space="preserve">分；本项满分 </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kern w:val="0"/>
                <w:sz w:val="28"/>
                <w:szCs w:val="28"/>
                <w:highlight w:val="none"/>
                <w:lang w:eastAsia="en-US"/>
                <w14:textFill>
                  <w14:solidFill>
                    <w14:schemeClr w14:val="tx1"/>
                  </w14:solidFill>
                </w14:textFill>
              </w:rPr>
              <w:t>分。</w:t>
            </w:r>
          </w:p>
          <w:p w14:paraId="70833419">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themeColor="text1"/>
                <w:kern w:val="0"/>
                <w:sz w:val="28"/>
                <w:szCs w:val="28"/>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投标人须提供证书彩色扫描件，并加盖投标人公章，原件备查，未提供不得分。</w:t>
            </w:r>
          </w:p>
        </w:tc>
      </w:tr>
    </w:tbl>
    <w:p w14:paraId="1E0CF06C">
      <w:pPr>
        <w:spacing w:line="56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lang w:val="en-US" w:eastAsia="zh-CN"/>
        </w:rPr>
        <w:t xml:space="preserve">第二部分  </w:t>
      </w:r>
      <w:r>
        <w:rPr>
          <w:rFonts w:hint="eastAsia" w:ascii="仿宋_GB2312" w:eastAsia="仿宋_GB2312"/>
          <w:sz w:val="32"/>
          <w:szCs w:val="32"/>
          <w:highlight w:val="none"/>
        </w:rPr>
        <w:t>报价部分评分：</w:t>
      </w:r>
    </w:p>
    <w:tbl>
      <w:tblPr>
        <w:tblStyle w:val="31"/>
        <w:tblW w:w="0" w:type="auto"/>
        <w:jc w:val="center"/>
        <w:tblLayout w:type="fixed"/>
        <w:tblCellMar>
          <w:top w:w="0" w:type="dxa"/>
          <w:left w:w="108" w:type="dxa"/>
          <w:bottom w:w="0" w:type="dxa"/>
          <w:right w:w="108" w:type="dxa"/>
        </w:tblCellMar>
      </w:tblPr>
      <w:tblGrid>
        <w:gridCol w:w="8598"/>
      </w:tblGrid>
      <w:tr w14:paraId="72CEAA27">
        <w:tblPrEx>
          <w:tblCellMar>
            <w:top w:w="0" w:type="dxa"/>
            <w:left w:w="108" w:type="dxa"/>
            <w:bottom w:w="0" w:type="dxa"/>
            <w:right w:w="108" w:type="dxa"/>
          </w:tblCellMar>
        </w:tblPrEx>
        <w:trPr>
          <w:trHeight w:val="567" w:hRule="atLeast"/>
          <w:jc w:val="center"/>
        </w:trPr>
        <w:tc>
          <w:tcPr>
            <w:tcW w:w="8598" w:type="dxa"/>
            <w:tcBorders>
              <w:top w:val="single" w:color="auto" w:sz="8" w:space="0"/>
              <w:left w:val="single" w:color="auto" w:sz="8" w:space="0"/>
              <w:bottom w:val="single" w:color="auto" w:sz="8" w:space="0"/>
              <w:right w:val="single" w:color="000000" w:sz="8" w:space="0"/>
            </w:tcBorders>
            <w:noWrap/>
            <w:vAlign w:val="center"/>
          </w:tcPr>
          <w:p w14:paraId="795F790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kern w:val="0"/>
                <w:sz w:val="28"/>
                <w:szCs w:val="28"/>
                <w:highlight w:val="none"/>
              </w:rPr>
            </w:pPr>
            <w:r>
              <w:rPr>
                <w:rFonts w:hint="eastAsia" w:ascii="仿宋_GB2312" w:hAnsi="仿宋_GB2312" w:eastAsia="仿宋_GB2312" w:cs="仿宋_GB2312"/>
                <w:b/>
                <w:bCs/>
                <w:kern w:val="0"/>
                <w:sz w:val="28"/>
                <w:szCs w:val="28"/>
                <w:highlight w:val="none"/>
              </w:rPr>
              <w:t>报价部分评分      满分</w:t>
            </w:r>
            <w:r>
              <w:rPr>
                <w:rFonts w:hint="eastAsia" w:ascii="仿宋_GB2312" w:hAnsi="仿宋_GB2312" w:eastAsia="仿宋_GB2312" w:cs="仿宋_GB2312"/>
                <w:b/>
                <w:bCs/>
                <w:kern w:val="0"/>
                <w:sz w:val="28"/>
                <w:szCs w:val="28"/>
                <w:highlight w:val="none"/>
                <w:lang w:val="en-US" w:eastAsia="zh-CN"/>
              </w:rPr>
              <w:t>5</w:t>
            </w:r>
            <w:r>
              <w:rPr>
                <w:rFonts w:hint="eastAsia" w:ascii="仿宋_GB2312" w:hAnsi="仿宋_GB2312" w:eastAsia="仿宋_GB2312" w:cs="仿宋_GB2312"/>
                <w:b/>
                <w:bCs/>
                <w:kern w:val="0"/>
                <w:sz w:val="28"/>
                <w:szCs w:val="28"/>
                <w:highlight w:val="none"/>
              </w:rPr>
              <w:t>0分</w:t>
            </w:r>
          </w:p>
        </w:tc>
      </w:tr>
      <w:tr w14:paraId="52C190E3">
        <w:tblPrEx>
          <w:tblCellMar>
            <w:top w:w="0" w:type="dxa"/>
            <w:left w:w="108" w:type="dxa"/>
            <w:bottom w:w="0" w:type="dxa"/>
            <w:right w:w="108" w:type="dxa"/>
          </w:tblCellMar>
        </w:tblPrEx>
        <w:trPr>
          <w:trHeight w:val="567" w:hRule="atLeast"/>
          <w:jc w:val="center"/>
        </w:trPr>
        <w:tc>
          <w:tcPr>
            <w:tcW w:w="8598" w:type="dxa"/>
            <w:tcBorders>
              <w:top w:val="nil"/>
              <w:left w:val="single" w:color="auto" w:sz="8" w:space="0"/>
              <w:bottom w:val="single" w:color="auto" w:sz="8" w:space="0"/>
              <w:right w:val="single" w:color="auto" w:sz="8" w:space="0"/>
            </w:tcBorders>
            <w:noWrap w:val="0"/>
            <w:vAlign w:val="center"/>
          </w:tcPr>
          <w:p w14:paraId="2C74D6C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各合格投标人的有效投标报价按下列方法计算其得分（分数保留小数点后2位数）：</w:t>
            </w:r>
          </w:p>
          <w:p w14:paraId="7E08E95F">
            <w:pPr>
              <w:keepNext w:val="0"/>
              <w:keepLines w:val="0"/>
              <w:pageBreakBefore w:val="0"/>
              <w:widowControl/>
              <w:kinsoku/>
              <w:wordWrap/>
              <w:overflowPunct/>
              <w:topLinePunct w:val="0"/>
              <w:autoSpaceDE/>
              <w:autoSpaceDN/>
              <w:bidi w:val="0"/>
              <w:adjustRightInd/>
              <w:snapToGrid/>
              <w:spacing w:line="560" w:lineRule="exact"/>
              <w:ind w:firstLine="2100" w:firstLineChars="750"/>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F- Fm |</w:t>
            </w:r>
          </w:p>
          <w:p w14:paraId="6F98C65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    PA= </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t xml:space="preserve">0-  </w:t>
            </w:r>
            <w:r>
              <w:rPr>
                <w:rFonts w:hint="eastAsia" w:ascii="仿宋_GB2312" w:hAnsi="仿宋_GB2312" w:eastAsia="仿宋_GB2312" w:cs="仿宋_GB2312"/>
                <w:position w:val="14"/>
                <w:sz w:val="28"/>
                <w:szCs w:val="28"/>
                <w:highlight w:val="none"/>
                <w:u w:val="single"/>
              </w:rPr>
              <w:t xml:space="preserve">             </w:t>
            </w:r>
            <w:r>
              <w:rPr>
                <w:rFonts w:hint="eastAsia" w:ascii="仿宋_GB2312" w:hAnsi="仿宋_GB2312" w:eastAsia="仿宋_GB2312" w:cs="仿宋_GB2312"/>
                <w:sz w:val="28"/>
                <w:szCs w:val="28"/>
                <w:highlight w:val="none"/>
              </w:rPr>
              <w:t xml:space="preserve"> ×100×Q</w:t>
            </w:r>
          </w:p>
          <w:p w14:paraId="57721A5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                  Fm</w:t>
            </w:r>
          </w:p>
          <w:p w14:paraId="66D0D9F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28"/>
                <w:szCs w:val="28"/>
                <w:highlight w:val="none"/>
                <w:shd w:val="clear" w:color="auto" w:fill="FFFFFF"/>
              </w:rPr>
            </w:pPr>
            <w:r>
              <w:rPr>
                <w:rFonts w:hint="eastAsia" w:ascii="仿宋_GB2312" w:hAnsi="仿宋_GB2312" w:eastAsia="仿宋_GB2312" w:cs="仿宋_GB2312"/>
                <w:kern w:val="0"/>
                <w:sz w:val="28"/>
                <w:szCs w:val="28"/>
                <w:highlight w:val="none"/>
                <w:shd w:val="clear" w:color="auto" w:fill="FFFFFF"/>
              </w:rPr>
              <w:t>注：1</w:t>
            </w:r>
            <w:r>
              <w:rPr>
                <w:rFonts w:hint="eastAsia" w:ascii="仿宋_GB2312" w:hAnsi="仿宋_GB2312" w:eastAsia="仿宋_GB2312" w:cs="仿宋_GB2312"/>
                <w:kern w:val="0"/>
                <w:sz w:val="28"/>
                <w:szCs w:val="28"/>
                <w:highlight w:val="none"/>
                <w:shd w:val="clear" w:color="auto" w:fill="FFFFFF"/>
                <w:lang w:val="en-US" w:eastAsia="zh-CN"/>
              </w:rPr>
              <w:t>.</w:t>
            </w:r>
            <w:r>
              <w:rPr>
                <w:rFonts w:hint="eastAsia" w:ascii="仿宋_GB2312" w:hAnsi="仿宋_GB2312" w:eastAsia="仿宋_GB2312" w:cs="仿宋_GB2312"/>
                <w:kern w:val="0"/>
                <w:sz w:val="28"/>
                <w:szCs w:val="28"/>
                <w:highlight w:val="none"/>
                <w:shd w:val="clear" w:color="auto" w:fill="FFFFFF"/>
              </w:rPr>
              <w:t>Q 为折价分值， 当F＞Fm时，Q =1</w:t>
            </w:r>
          </w:p>
          <w:p w14:paraId="0979AFA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28"/>
                <w:szCs w:val="28"/>
                <w:highlight w:val="none"/>
                <w:shd w:val="clear" w:color="auto" w:fill="FFFFFF"/>
              </w:rPr>
            </w:pPr>
            <w:r>
              <w:rPr>
                <w:rFonts w:hint="eastAsia" w:ascii="仿宋_GB2312" w:hAnsi="仿宋_GB2312" w:eastAsia="仿宋_GB2312" w:cs="仿宋_GB2312"/>
                <w:kern w:val="0"/>
                <w:sz w:val="28"/>
                <w:szCs w:val="28"/>
                <w:highlight w:val="none"/>
                <w:shd w:val="clear" w:color="auto" w:fill="FFFFFF"/>
              </w:rPr>
              <w:t xml:space="preserve">                      当F≤Fm时，Q =0.5</w:t>
            </w:r>
          </w:p>
          <w:p w14:paraId="1790E7C1">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kern w:val="0"/>
                <w:sz w:val="28"/>
                <w:szCs w:val="28"/>
                <w:highlight w:val="none"/>
                <w:shd w:val="clear" w:color="auto" w:fill="FFFFFF"/>
              </w:rPr>
            </w:pPr>
            <w:r>
              <w:rPr>
                <w:rFonts w:hint="eastAsia" w:ascii="仿宋_GB2312" w:hAnsi="仿宋_GB2312" w:eastAsia="仿宋_GB2312" w:cs="仿宋_GB2312"/>
                <w:kern w:val="0"/>
                <w:sz w:val="28"/>
                <w:szCs w:val="28"/>
                <w:highlight w:val="none"/>
                <w:shd w:val="clear" w:color="auto" w:fill="FFFFFF"/>
              </w:rPr>
              <w:t>2</w:t>
            </w:r>
            <w:r>
              <w:rPr>
                <w:rFonts w:hint="eastAsia" w:ascii="仿宋_GB2312" w:hAnsi="仿宋_GB2312" w:eastAsia="仿宋_GB2312" w:cs="仿宋_GB2312"/>
                <w:kern w:val="0"/>
                <w:sz w:val="28"/>
                <w:szCs w:val="28"/>
                <w:highlight w:val="none"/>
                <w:shd w:val="clear" w:color="auto" w:fill="FFFFFF"/>
                <w:lang w:val="en-US" w:eastAsia="zh-CN"/>
              </w:rPr>
              <w:t>.</w:t>
            </w:r>
            <w:r>
              <w:rPr>
                <w:rFonts w:hint="eastAsia" w:ascii="仿宋_GB2312" w:hAnsi="仿宋_GB2312" w:eastAsia="仿宋_GB2312" w:cs="仿宋_GB2312"/>
                <w:kern w:val="0"/>
                <w:sz w:val="28"/>
                <w:szCs w:val="28"/>
                <w:highlight w:val="none"/>
                <w:shd w:val="clear" w:color="auto" w:fill="FFFFFF"/>
              </w:rPr>
              <w:t>PA为投标人投标价得分。</w:t>
            </w:r>
          </w:p>
          <w:p w14:paraId="60C85AF7">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kern w:val="0"/>
                <w:sz w:val="28"/>
                <w:szCs w:val="28"/>
                <w:highlight w:val="none"/>
                <w:shd w:val="clear" w:color="auto" w:fill="FFFFFF"/>
              </w:rPr>
            </w:pPr>
            <w:r>
              <w:rPr>
                <w:rFonts w:hint="eastAsia" w:ascii="仿宋_GB2312" w:hAnsi="仿宋_GB2312" w:eastAsia="仿宋_GB2312" w:cs="仿宋_GB2312"/>
                <w:kern w:val="0"/>
                <w:sz w:val="28"/>
                <w:szCs w:val="28"/>
                <w:highlight w:val="none"/>
                <w:shd w:val="clear" w:color="auto" w:fill="FFFFFF"/>
              </w:rPr>
              <w:t>3</w:t>
            </w:r>
            <w:r>
              <w:rPr>
                <w:rFonts w:hint="eastAsia" w:ascii="仿宋_GB2312" w:hAnsi="仿宋_GB2312" w:eastAsia="仿宋_GB2312" w:cs="仿宋_GB2312"/>
                <w:kern w:val="0"/>
                <w:sz w:val="28"/>
                <w:szCs w:val="28"/>
                <w:highlight w:val="none"/>
                <w:shd w:val="clear" w:color="auto" w:fill="FFFFFF"/>
                <w:lang w:val="en-US" w:eastAsia="zh-CN"/>
              </w:rPr>
              <w:t>.</w:t>
            </w:r>
            <w:r>
              <w:rPr>
                <w:rFonts w:hint="eastAsia" w:ascii="仿宋_GB2312" w:hAnsi="仿宋_GB2312" w:eastAsia="仿宋_GB2312" w:cs="仿宋_GB2312"/>
                <w:kern w:val="0"/>
                <w:sz w:val="28"/>
                <w:szCs w:val="28"/>
                <w:highlight w:val="none"/>
                <w:shd w:val="clear" w:color="auto" w:fill="FFFFFF"/>
              </w:rPr>
              <w:t>Fm为通过投标人资格审查和投标文件的符合性检查和响应性评审的合格投标人“开标一览表”中的有效投标总价的算术平均值（计算结果四舍五入保留小数点后两位）。</w:t>
            </w:r>
          </w:p>
          <w:p w14:paraId="31A5921D">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kern w:val="0"/>
                <w:sz w:val="28"/>
                <w:szCs w:val="28"/>
                <w:highlight w:val="none"/>
                <w:shd w:val="clear" w:color="auto" w:fill="FFFFFF"/>
              </w:rPr>
            </w:pPr>
            <w:r>
              <w:rPr>
                <w:rFonts w:hint="eastAsia" w:ascii="仿宋_GB2312" w:hAnsi="仿宋_GB2312" w:eastAsia="仿宋_GB2312" w:cs="仿宋_GB2312"/>
                <w:kern w:val="0"/>
                <w:sz w:val="28"/>
                <w:szCs w:val="28"/>
                <w:highlight w:val="none"/>
                <w:shd w:val="clear" w:color="auto" w:fill="FFFFFF"/>
              </w:rPr>
              <w:t>4</w:t>
            </w:r>
            <w:r>
              <w:rPr>
                <w:rFonts w:hint="eastAsia" w:ascii="仿宋_GB2312" w:hAnsi="仿宋_GB2312" w:eastAsia="仿宋_GB2312" w:cs="仿宋_GB2312"/>
                <w:kern w:val="0"/>
                <w:sz w:val="28"/>
                <w:szCs w:val="28"/>
                <w:highlight w:val="none"/>
                <w:shd w:val="clear" w:color="auto" w:fill="FFFFFF"/>
                <w:lang w:val="en-US" w:eastAsia="zh-CN"/>
              </w:rPr>
              <w:t>.</w:t>
            </w:r>
            <w:r>
              <w:rPr>
                <w:rFonts w:hint="eastAsia" w:ascii="仿宋_GB2312" w:hAnsi="仿宋_GB2312" w:eastAsia="仿宋_GB2312" w:cs="仿宋_GB2312"/>
                <w:kern w:val="0"/>
                <w:sz w:val="28"/>
                <w:szCs w:val="28"/>
                <w:highlight w:val="none"/>
                <w:shd w:val="clear" w:color="auto" w:fill="FFFFFF"/>
              </w:rPr>
              <w:t>F为各合格投标人的最终有效投标总价。</w:t>
            </w:r>
          </w:p>
          <w:p w14:paraId="7365D013">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kern w:val="0"/>
                <w:sz w:val="28"/>
                <w:szCs w:val="28"/>
                <w:highlight w:val="none"/>
                <w:shd w:val="clear" w:color="auto" w:fill="FFFFFF"/>
              </w:rPr>
            </w:pPr>
            <w:r>
              <w:rPr>
                <w:rFonts w:hint="eastAsia" w:ascii="仿宋_GB2312" w:hAnsi="仿宋_GB2312" w:eastAsia="仿宋_GB2312" w:cs="仿宋_GB2312"/>
                <w:kern w:val="0"/>
                <w:sz w:val="28"/>
                <w:szCs w:val="28"/>
                <w:highlight w:val="none"/>
                <w:shd w:val="clear" w:color="auto" w:fill="FFFFFF"/>
              </w:rPr>
              <w:t>5</w:t>
            </w:r>
            <w:r>
              <w:rPr>
                <w:rFonts w:hint="eastAsia" w:ascii="仿宋_GB2312" w:hAnsi="仿宋_GB2312" w:eastAsia="仿宋_GB2312" w:cs="仿宋_GB2312"/>
                <w:kern w:val="0"/>
                <w:sz w:val="28"/>
                <w:szCs w:val="28"/>
                <w:highlight w:val="none"/>
                <w:shd w:val="clear" w:color="auto" w:fill="FFFFFF"/>
                <w:lang w:val="en-US" w:eastAsia="zh-CN"/>
              </w:rPr>
              <w:t>.</w:t>
            </w:r>
            <w:r>
              <w:rPr>
                <w:rFonts w:hint="eastAsia" w:ascii="仿宋_GB2312" w:hAnsi="仿宋_GB2312" w:eastAsia="仿宋_GB2312" w:cs="仿宋_GB2312"/>
                <w:kern w:val="0"/>
                <w:sz w:val="28"/>
                <w:szCs w:val="28"/>
                <w:highlight w:val="none"/>
                <w:shd w:val="clear" w:color="auto" w:fill="FFFFFF"/>
              </w:rPr>
              <w:t>计算分数时四舍五入取小数点后两位。</w:t>
            </w:r>
          </w:p>
          <w:p w14:paraId="78737093">
            <w:pPr>
              <w:keepNext w:val="0"/>
              <w:keepLines w:val="0"/>
              <w:pageBreakBefore w:val="0"/>
              <w:widowControl/>
              <w:kinsoku/>
              <w:wordWrap/>
              <w:overflowPunct/>
              <w:topLinePunct w:val="0"/>
              <w:autoSpaceDE/>
              <w:autoSpaceDN/>
              <w:bidi w:val="0"/>
              <w:adjustRightInd/>
              <w:snapToGrid/>
              <w:spacing w:line="560" w:lineRule="exact"/>
              <w:ind w:firstLine="560" w:firstLineChars="200"/>
              <w:jc w:val="left"/>
              <w:textAlignment w:val="auto"/>
              <w:rPr>
                <w:rFonts w:hint="eastAsia" w:ascii="仿宋_GB2312" w:hAnsi="仿宋_GB2312" w:eastAsia="仿宋_GB2312" w:cs="仿宋_GB2312"/>
                <w:kern w:val="0"/>
                <w:sz w:val="28"/>
                <w:szCs w:val="28"/>
                <w:highlight w:val="none"/>
              </w:rPr>
            </w:pPr>
            <w:r>
              <w:rPr>
                <w:rFonts w:hint="eastAsia" w:ascii="仿宋_GB2312" w:hAnsi="仿宋_GB2312" w:eastAsia="仿宋_GB2312" w:cs="仿宋_GB2312"/>
                <w:kern w:val="0"/>
                <w:sz w:val="28"/>
                <w:szCs w:val="28"/>
                <w:highlight w:val="none"/>
                <w:shd w:val="clear" w:color="auto" w:fill="FFFFFF"/>
              </w:rPr>
              <w:t>6</w:t>
            </w:r>
            <w:r>
              <w:rPr>
                <w:rFonts w:hint="eastAsia" w:ascii="仿宋_GB2312" w:hAnsi="仿宋_GB2312" w:eastAsia="仿宋_GB2312" w:cs="仿宋_GB2312"/>
                <w:kern w:val="0"/>
                <w:sz w:val="28"/>
                <w:szCs w:val="28"/>
                <w:highlight w:val="none"/>
                <w:shd w:val="clear" w:color="auto" w:fill="FFFFFF"/>
                <w:lang w:val="en-US" w:eastAsia="zh-CN"/>
              </w:rPr>
              <w:t>.</w:t>
            </w:r>
            <w:r>
              <w:rPr>
                <w:rFonts w:hint="eastAsia" w:ascii="仿宋_GB2312" w:hAnsi="仿宋_GB2312" w:eastAsia="仿宋_GB2312" w:cs="仿宋_GB2312"/>
                <w:kern w:val="0"/>
                <w:sz w:val="28"/>
                <w:szCs w:val="28"/>
                <w:highlight w:val="none"/>
                <w:shd w:val="clear" w:color="auto" w:fill="FFFFFF"/>
              </w:rPr>
              <w:t>如上述计算方法计算出来的投标价得分PA为负数时，则投标价得分PA取“0”分。</w:t>
            </w:r>
          </w:p>
        </w:tc>
      </w:tr>
    </w:tbl>
    <w:p w14:paraId="15EC30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澄清有关问题。为了有助于对响应文件进行审查、评估和比较，评审小组可以对响应文件中含义不明确、同类问题表述不一致或者有明显文字和计算错误的内容向供应商质疑，要求供应商作出必要的澄清、说明或纠正。供应商的澄清、说明或者补正应当采用书面形式，由其授权代表签字，并不得超出响应文件的范围或者改变响应文件的实质性内容。书面承诺为其响应文件的组成部分。</w:t>
      </w:r>
    </w:p>
    <w:p w14:paraId="6D66750D">
      <w:pPr>
        <w:pStyle w:val="23"/>
        <w:rPr>
          <w:highlight w:val="none"/>
        </w:rPr>
      </w:pPr>
    </w:p>
    <w:p w14:paraId="3CF2E504">
      <w:pPr>
        <w:keepNext w:val="0"/>
        <w:keepLines w:val="0"/>
        <w:widowControl w:val="0"/>
        <w:kinsoku/>
        <w:wordWrap/>
        <w:overflowPunct/>
        <w:topLinePunct w:val="0"/>
        <w:autoSpaceDE/>
        <w:autoSpaceDN/>
        <w:bidi w:val="0"/>
        <w:adjustRightInd/>
        <w:spacing w:line="560" w:lineRule="exact"/>
        <w:ind w:firstLine="643" w:firstLineChars="200"/>
        <w:textAlignment w:val="auto"/>
        <w:outlineLvl w:val="1"/>
        <w:rPr>
          <w:rFonts w:ascii="仿宋_GB2312" w:eastAsia="仿宋_GB2312"/>
          <w:b/>
          <w:sz w:val="32"/>
          <w:szCs w:val="32"/>
          <w:highlight w:val="none"/>
        </w:rPr>
      </w:pPr>
      <w:bookmarkStart w:id="246" w:name="_Toc17835"/>
      <w:bookmarkStart w:id="247" w:name="_Toc2929"/>
      <w:bookmarkStart w:id="248" w:name="_Toc30670"/>
      <w:bookmarkStart w:id="249" w:name="_Toc4340"/>
      <w:bookmarkStart w:id="250" w:name="_Toc28192"/>
      <w:bookmarkStart w:id="251" w:name="_Toc23338"/>
      <w:r>
        <w:rPr>
          <w:rFonts w:hint="eastAsia" w:ascii="仿宋_GB2312" w:eastAsia="仿宋_GB2312"/>
          <w:b/>
          <w:sz w:val="32"/>
          <w:szCs w:val="32"/>
          <w:highlight w:val="none"/>
        </w:rPr>
        <w:t>三、成交原则</w:t>
      </w:r>
      <w:bookmarkEnd w:id="246"/>
      <w:bookmarkEnd w:id="247"/>
      <w:bookmarkEnd w:id="248"/>
      <w:bookmarkEnd w:id="249"/>
      <w:bookmarkEnd w:id="250"/>
      <w:bookmarkEnd w:id="251"/>
    </w:p>
    <w:p w14:paraId="4D48A0EB">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一）询价采购人（或其授权的评审小组）按照评审报告中推荐的供应商排名顺序确定排名第一的候选人为成交供应商。排名第一的成交供应商放弃成交或因不可抗力不能履行合同的，询价采购人应当确定排名第二的候选人为成交供应商。</w:t>
      </w:r>
      <w:r>
        <w:rPr>
          <w:rFonts w:hint="eastAsia" w:ascii="仿宋_GB2312" w:eastAsia="仿宋_GB2312"/>
          <w:sz w:val="32"/>
          <w:szCs w:val="32"/>
          <w:highlight w:val="none"/>
          <w:lang w:eastAsia="zh-CN"/>
        </w:rPr>
        <w:t>排名</w:t>
      </w:r>
      <w:r>
        <w:rPr>
          <w:rFonts w:hint="eastAsia" w:ascii="仿宋_GB2312" w:eastAsia="仿宋_GB2312"/>
          <w:sz w:val="32"/>
          <w:szCs w:val="32"/>
          <w:highlight w:val="none"/>
        </w:rPr>
        <w:t>第二的成交供应商因前述原因不能签订合同的，询价采购人应当确定排名第三的候选人为成交供应商。排名前三名的成交供应商均不能签订合同的，则进行重新询价采购。</w:t>
      </w:r>
    </w:p>
    <w:p w14:paraId="765248BC">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二）如果经审查或公示期内有异议确定该成交供应商无条件圆满履行合同，询价采购人将对排位其后第一位的成交供应商作出类似的审查和公示。询价采购结果公示于福路通城乡发展（福建）集团有限公司公示栏及福建省高速公路集团有限公司网站（www.fjgsgl.com）。</w:t>
      </w:r>
    </w:p>
    <w:p w14:paraId="4DBD4DAE">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bookmarkStart w:id="252" w:name="_Toc4547"/>
      <w:bookmarkStart w:id="253" w:name="_Toc20855"/>
      <w:r>
        <w:rPr>
          <w:rFonts w:hint="eastAsia" w:ascii="仿宋_GB2312" w:eastAsia="仿宋_GB2312"/>
          <w:sz w:val="32"/>
          <w:szCs w:val="32"/>
          <w:highlight w:val="none"/>
        </w:rPr>
        <w:t>（三）成交通知书</w:t>
      </w:r>
      <w:bookmarkEnd w:id="252"/>
      <w:bookmarkEnd w:id="253"/>
    </w:p>
    <w:p w14:paraId="7259EFF0">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1.询价采购有效期内，询价采购人将以书面形式向成交供应商发出《成交通知书》。《成交通知书》发出后，询价采购人改变成交结果，或者成交供应商放弃成交，应当承担相应的法律责任。</w:t>
      </w:r>
    </w:p>
    <w:p w14:paraId="7F56C152">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bookmarkStart w:id="254" w:name="_Toc17503"/>
      <w:r>
        <w:rPr>
          <w:rFonts w:hint="eastAsia" w:ascii="仿宋_GB2312" w:eastAsia="仿宋_GB2312"/>
          <w:sz w:val="32"/>
          <w:szCs w:val="32"/>
          <w:highlight w:val="none"/>
        </w:rPr>
        <w:t>2.《成交通知书》是签订合同的书面依据。</w:t>
      </w:r>
      <w:bookmarkEnd w:id="254"/>
    </w:p>
    <w:p w14:paraId="3E435FCC">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bookmarkStart w:id="255" w:name="_Toc27263"/>
      <w:bookmarkStart w:id="256" w:name="_Toc19368"/>
      <w:r>
        <w:rPr>
          <w:rFonts w:hint="eastAsia" w:ascii="仿宋_GB2312" w:eastAsia="仿宋_GB2312"/>
          <w:sz w:val="32"/>
          <w:szCs w:val="32"/>
          <w:highlight w:val="none"/>
        </w:rPr>
        <w:t>（四）签订合同时变更数量的权利</w:t>
      </w:r>
      <w:bookmarkEnd w:id="255"/>
      <w:bookmarkEnd w:id="256"/>
    </w:p>
    <w:p w14:paraId="39BEFC70">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根据需要，询价采购人有权提出对询价采购货物作局部调整，但不得对询价采购文件和成交供应商的响应文件作实质性更改，并应经甲乙双方共同认定。</w:t>
      </w:r>
    </w:p>
    <w:p w14:paraId="6EE71AAB">
      <w:pPr>
        <w:keepNext w:val="0"/>
        <w:keepLines w:val="0"/>
        <w:widowControl w:val="0"/>
        <w:kinsoku/>
        <w:wordWrap/>
        <w:overflowPunct/>
        <w:topLinePunct w:val="0"/>
        <w:autoSpaceDE/>
        <w:autoSpaceDN/>
        <w:bidi w:val="0"/>
        <w:adjustRightInd/>
        <w:spacing w:line="560" w:lineRule="exact"/>
        <w:ind w:firstLine="643" w:firstLineChars="200"/>
        <w:textAlignment w:val="auto"/>
        <w:outlineLvl w:val="1"/>
        <w:rPr>
          <w:rFonts w:ascii="仿宋_GB2312" w:eastAsia="仿宋_GB2312"/>
          <w:b/>
          <w:sz w:val="32"/>
          <w:szCs w:val="32"/>
          <w:highlight w:val="none"/>
        </w:rPr>
      </w:pPr>
      <w:bookmarkStart w:id="257" w:name="_Toc21043"/>
      <w:bookmarkStart w:id="258" w:name="_Toc18533"/>
      <w:bookmarkStart w:id="259" w:name="_Toc23495"/>
      <w:bookmarkStart w:id="260" w:name="_Toc18121"/>
      <w:bookmarkStart w:id="261" w:name="_Toc9077"/>
      <w:bookmarkStart w:id="262" w:name="_Toc31501"/>
      <w:r>
        <w:rPr>
          <w:rFonts w:hint="eastAsia" w:ascii="仿宋_GB2312" w:eastAsia="仿宋_GB2312"/>
          <w:b/>
          <w:sz w:val="32"/>
          <w:szCs w:val="32"/>
          <w:highlight w:val="none"/>
        </w:rPr>
        <w:t>四、签订合同</w:t>
      </w:r>
      <w:bookmarkEnd w:id="257"/>
      <w:bookmarkEnd w:id="258"/>
      <w:bookmarkEnd w:id="259"/>
      <w:bookmarkEnd w:id="260"/>
      <w:bookmarkEnd w:id="261"/>
      <w:bookmarkEnd w:id="262"/>
    </w:p>
    <w:p w14:paraId="32F704FD">
      <w:pPr>
        <w:keepNext w:val="0"/>
        <w:keepLines w:val="0"/>
        <w:widowControl w:val="0"/>
        <w:kinsoku/>
        <w:wordWrap/>
        <w:overflowPunct/>
        <w:topLinePunct w:val="0"/>
        <w:autoSpaceDE/>
        <w:autoSpaceDN/>
        <w:bidi w:val="0"/>
        <w:adjustRightInd/>
        <w:spacing w:line="560" w:lineRule="exact"/>
        <w:ind w:firstLine="640" w:firstLineChars="200"/>
        <w:textAlignment w:val="auto"/>
        <w:outlineLvl w:val="2"/>
        <w:rPr>
          <w:rFonts w:ascii="仿宋_GB2312" w:eastAsia="仿宋_GB2312"/>
          <w:sz w:val="32"/>
          <w:szCs w:val="32"/>
          <w:highlight w:val="none"/>
        </w:rPr>
      </w:pPr>
      <w:bookmarkStart w:id="263" w:name="_Toc18542"/>
      <w:bookmarkStart w:id="264" w:name="_Toc4366"/>
      <w:r>
        <w:rPr>
          <w:rFonts w:hint="eastAsia" w:ascii="仿宋_GB2312" w:eastAsia="仿宋_GB2312"/>
          <w:sz w:val="32"/>
          <w:szCs w:val="32"/>
          <w:highlight w:val="none"/>
        </w:rPr>
        <w:t>（一）签约</w:t>
      </w:r>
      <w:bookmarkEnd w:id="263"/>
      <w:bookmarkEnd w:id="264"/>
    </w:p>
    <w:p w14:paraId="498722EB">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1.成交供应商按《成交通知书》指定的时间、地点与询价采购人签订合同。</w:t>
      </w:r>
    </w:p>
    <w:p w14:paraId="6053765F">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2.询价采购文件、成交供应商的响应文件及澄清文件等，均为签订询价采购合同的依据，所签订的合同不得对询价采购文件和成交供应商的响应文件作实质性修改。</w:t>
      </w:r>
    </w:p>
    <w:p w14:paraId="7CF11504">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3.中标方</w:t>
      </w:r>
      <w:r>
        <w:rPr>
          <w:rFonts w:hint="eastAsia" w:ascii="仿宋_GB2312" w:eastAsia="仿宋_GB2312"/>
          <w:b/>
          <w:bCs/>
          <w:sz w:val="32"/>
          <w:szCs w:val="32"/>
          <w:highlight w:val="none"/>
        </w:rPr>
        <w:t>竞价保证金</w:t>
      </w:r>
      <w:r>
        <w:rPr>
          <w:rFonts w:hint="eastAsia" w:ascii="仿宋_GB2312" w:eastAsia="仿宋_GB2312"/>
          <w:b/>
          <w:bCs/>
          <w:sz w:val="32"/>
          <w:szCs w:val="32"/>
          <w:highlight w:val="none"/>
          <w:lang w:val="en-US" w:eastAsia="zh-CN"/>
        </w:rPr>
        <w:t>贰</w:t>
      </w:r>
      <w:r>
        <w:rPr>
          <w:rFonts w:hint="eastAsia" w:ascii="仿宋_GB2312" w:eastAsia="仿宋_GB2312"/>
          <w:b/>
          <w:bCs/>
          <w:sz w:val="32"/>
          <w:szCs w:val="32"/>
          <w:highlight w:val="none"/>
        </w:rPr>
        <w:t>万元整自动转为履约保证金</w:t>
      </w:r>
      <w:r>
        <w:rPr>
          <w:rFonts w:hint="eastAsia" w:ascii="仿宋_GB2312" w:eastAsia="仿宋_GB2312"/>
          <w:sz w:val="32"/>
          <w:szCs w:val="32"/>
          <w:highlight w:val="none"/>
        </w:rPr>
        <w:t>，合同履行完成后无息退还。</w:t>
      </w:r>
    </w:p>
    <w:p w14:paraId="47C039FB">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4.合同生效条款由甲乙双方约定，法律、行政法规规定应当办理批准、登记等手续后生效的合同，依照其规定。</w:t>
      </w:r>
    </w:p>
    <w:p w14:paraId="36AEB1CF">
      <w:pPr>
        <w:keepNext w:val="0"/>
        <w:keepLines w:val="0"/>
        <w:widowControl w:val="0"/>
        <w:kinsoku/>
        <w:wordWrap/>
        <w:overflowPunct/>
        <w:topLinePunct w:val="0"/>
        <w:autoSpaceDE/>
        <w:autoSpaceDN/>
        <w:bidi w:val="0"/>
        <w:adjustRightInd/>
        <w:spacing w:line="560" w:lineRule="exact"/>
        <w:ind w:firstLine="640" w:firstLineChars="200"/>
        <w:textAlignment w:val="auto"/>
        <w:rPr>
          <w:highlight w:val="none"/>
        </w:rPr>
      </w:pPr>
      <w:bookmarkStart w:id="265" w:name="_Toc9737"/>
      <w:r>
        <w:rPr>
          <w:rFonts w:hint="eastAsia" w:ascii="仿宋_GB2312" w:eastAsia="仿宋_GB2312"/>
          <w:sz w:val="32"/>
          <w:szCs w:val="32"/>
          <w:highlight w:val="none"/>
        </w:rPr>
        <w:t>5.合同按照《</w:t>
      </w:r>
      <w:r>
        <w:rPr>
          <w:rFonts w:hint="eastAsia" w:ascii="仿宋_GB2312" w:eastAsia="仿宋_GB2312"/>
          <w:sz w:val="32"/>
          <w:szCs w:val="32"/>
          <w:highlight w:val="none"/>
          <w:lang w:eastAsia="zh-CN"/>
        </w:rPr>
        <w:t>宁上高速路面交安设施安装服务</w:t>
      </w:r>
      <w:r>
        <w:rPr>
          <w:rFonts w:hint="eastAsia" w:ascii="仿宋_GB2312" w:eastAsia="仿宋_GB2312"/>
          <w:sz w:val="32"/>
          <w:szCs w:val="32"/>
          <w:highlight w:val="none"/>
          <w:lang w:val="en-US" w:eastAsia="zh-CN"/>
        </w:rPr>
        <w:t>合同</w:t>
      </w:r>
      <w:r>
        <w:rPr>
          <w:rFonts w:hint="eastAsia" w:ascii="仿宋_GB2312" w:eastAsia="仿宋_GB2312"/>
          <w:sz w:val="32"/>
          <w:szCs w:val="32"/>
          <w:highlight w:val="none"/>
        </w:rPr>
        <w:t>》签订。</w:t>
      </w:r>
      <w:bookmarkEnd w:id="220"/>
      <w:bookmarkEnd w:id="221"/>
      <w:bookmarkEnd w:id="222"/>
      <w:bookmarkEnd w:id="223"/>
      <w:bookmarkEnd w:id="265"/>
      <w:bookmarkStart w:id="266" w:name="_Toc122257621"/>
      <w:bookmarkStart w:id="267" w:name="_Toc122750647"/>
    </w:p>
    <w:p w14:paraId="41F4A981">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p>
    <w:p w14:paraId="6217A2D6">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p>
    <w:p w14:paraId="3FCED7F0">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p>
    <w:p w14:paraId="7D3EF71D">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eastAsia="仿宋_GB2312"/>
          <w:sz w:val="32"/>
          <w:szCs w:val="32"/>
          <w:highlight w:val="none"/>
        </w:rPr>
      </w:pPr>
    </w:p>
    <w:p w14:paraId="09B153F0">
      <w:pPr>
        <w:keepNext w:val="0"/>
        <w:keepLines w:val="0"/>
        <w:widowControl w:val="0"/>
        <w:kinsoku/>
        <w:wordWrap/>
        <w:overflowPunct/>
        <w:topLinePunct w:val="0"/>
        <w:autoSpaceDE/>
        <w:autoSpaceDN/>
        <w:bidi w:val="0"/>
        <w:adjustRightInd/>
        <w:spacing w:line="560" w:lineRule="exact"/>
        <w:textAlignment w:val="auto"/>
        <w:rPr>
          <w:highlight w:val="none"/>
        </w:rPr>
      </w:pPr>
      <w:bookmarkStart w:id="268" w:name="_Toc534883407"/>
      <w:bookmarkStart w:id="269" w:name="_Toc534883365"/>
    </w:p>
    <w:p w14:paraId="2E641607">
      <w:pPr>
        <w:keepNext w:val="0"/>
        <w:keepLines w:val="0"/>
        <w:pageBreakBefore/>
        <w:widowControl w:val="0"/>
        <w:kinsoku/>
        <w:wordWrap/>
        <w:overflowPunct/>
        <w:topLinePunct w:val="0"/>
        <w:autoSpaceDE/>
        <w:autoSpaceDN/>
        <w:bidi w:val="0"/>
        <w:adjustRightInd/>
        <w:spacing w:line="560" w:lineRule="exact"/>
        <w:jc w:val="center"/>
        <w:textAlignment w:val="auto"/>
        <w:outlineLvl w:val="0"/>
        <w:rPr>
          <w:rFonts w:hint="eastAsia" w:ascii="黑体" w:hAnsi="黑体" w:eastAsia="黑体" w:cs="黑体"/>
          <w:sz w:val="44"/>
          <w:szCs w:val="44"/>
          <w:highlight w:val="none"/>
        </w:rPr>
      </w:pPr>
      <w:bookmarkStart w:id="270" w:name="_Toc32179"/>
      <w:bookmarkStart w:id="271" w:name="_Toc18537"/>
      <w:bookmarkStart w:id="272" w:name="_Toc26828"/>
      <w:bookmarkStart w:id="273" w:name="_Toc18553"/>
      <w:bookmarkStart w:id="274" w:name="_Toc5020"/>
      <w:bookmarkStart w:id="275" w:name="_Toc13390"/>
      <w:bookmarkStart w:id="276" w:name="_Toc20180"/>
      <w:bookmarkStart w:id="277" w:name="_Toc17366"/>
      <w:bookmarkStart w:id="278" w:name="_Toc10919"/>
      <w:bookmarkStart w:id="279" w:name="_Toc21200"/>
      <w:bookmarkStart w:id="280" w:name="_Toc32007"/>
      <w:r>
        <w:rPr>
          <w:rFonts w:hint="eastAsia" w:ascii="黑体" w:hAnsi="黑体" w:eastAsia="黑体" w:cs="黑体"/>
          <w:sz w:val="44"/>
          <w:szCs w:val="44"/>
          <w:highlight w:val="none"/>
        </w:rPr>
        <w:t>第六篇  合同主要条款、合同</w:t>
      </w:r>
      <w:bookmarkEnd w:id="266"/>
      <w:r>
        <w:rPr>
          <w:rFonts w:hint="eastAsia" w:ascii="黑体" w:hAnsi="黑体" w:eastAsia="黑体" w:cs="黑体"/>
          <w:sz w:val="44"/>
          <w:szCs w:val="44"/>
          <w:highlight w:val="none"/>
        </w:rPr>
        <w:t>格式</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14:paraId="50ADD745">
      <w:pPr>
        <w:keepNext w:val="0"/>
        <w:keepLines w:val="0"/>
        <w:widowControl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b/>
          <w:sz w:val="32"/>
          <w:szCs w:val="32"/>
          <w:highlight w:val="none"/>
        </w:rPr>
      </w:pPr>
      <w:bookmarkStart w:id="281" w:name="_Toc508286681"/>
    </w:p>
    <w:p w14:paraId="38284BE8">
      <w:pPr>
        <w:keepNext w:val="0"/>
        <w:keepLines w:val="0"/>
        <w:widowControl w:val="0"/>
        <w:kinsoku/>
        <w:wordWrap/>
        <w:overflowPunct/>
        <w:topLinePunct w:val="0"/>
        <w:autoSpaceDE/>
        <w:autoSpaceDN/>
        <w:bidi w:val="0"/>
        <w:adjustRightInd/>
        <w:spacing w:line="560" w:lineRule="exact"/>
        <w:jc w:val="center"/>
        <w:textAlignment w:val="auto"/>
        <w:outlineLvl w:val="1"/>
        <w:rPr>
          <w:rFonts w:ascii="仿宋_GB2312" w:hAnsi="仿宋_GB2312" w:eastAsia="仿宋_GB2312" w:cs="仿宋_GB2312"/>
          <w:b/>
          <w:sz w:val="44"/>
          <w:szCs w:val="44"/>
          <w:highlight w:val="none"/>
        </w:rPr>
      </w:pPr>
      <w:bookmarkStart w:id="282" w:name="_Toc27803"/>
      <w:bookmarkStart w:id="283" w:name="_Toc7977"/>
      <w:bookmarkStart w:id="284" w:name="_Toc27722"/>
      <w:bookmarkStart w:id="285" w:name="_Toc12202"/>
      <w:bookmarkStart w:id="286" w:name="_Toc32687"/>
      <w:bookmarkStart w:id="287" w:name="_Toc15058"/>
      <w:r>
        <w:rPr>
          <w:rFonts w:hint="eastAsia" w:ascii="仿宋_GB2312" w:hAnsi="仿宋_GB2312" w:eastAsia="仿宋_GB2312" w:cs="仿宋_GB2312"/>
          <w:b/>
          <w:sz w:val="44"/>
          <w:szCs w:val="44"/>
          <w:highlight w:val="none"/>
          <w:lang w:eastAsia="zh-CN"/>
        </w:rPr>
        <w:t>宁上高速路面交安设施安装服务</w:t>
      </w:r>
      <w:r>
        <w:rPr>
          <w:rFonts w:hint="eastAsia" w:ascii="仿宋_GB2312" w:hAnsi="仿宋_GB2312" w:eastAsia="仿宋_GB2312" w:cs="仿宋_GB2312"/>
          <w:b/>
          <w:sz w:val="44"/>
          <w:szCs w:val="44"/>
          <w:highlight w:val="none"/>
        </w:rPr>
        <w:t>合同</w:t>
      </w:r>
      <w:bookmarkEnd w:id="282"/>
      <w:bookmarkEnd w:id="283"/>
      <w:bookmarkEnd w:id="284"/>
      <w:bookmarkEnd w:id="285"/>
      <w:bookmarkEnd w:id="286"/>
      <w:bookmarkEnd w:id="287"/>
    </w:p>
    <w:p w14:paraId="189E857A">
      <w:pPr>
        <w:keepNext w:val="0"/>
        <w:keepLines w:val="0"/>
        <w:widowControl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4AB25F4E">
      <w:pPr>
        <w:keepNext w:val="0"/>
        <w:keepLines w:val="0"/>
        <w:widowControl w:val="0"/>
        <w:kinsoku/>
        <w:wordWrap/>
        <w:overflowPunct/>
        <w:topLinePunct w:val="0"/>
        <w:autoSpaceDE/>
        <w:autoSpaceDN/>
        <w:bidi w:val="0"/>
        <w:adjustRightInd/>
        <w:spacing w:line="560" w:lineRule="exact"/>
        <w:jc w:val="center"/>
        <w:textAlignment w:val="auto"/>
        <w:rPr>
          <w:rFonts w:ascii="仿宋_GB2312" w:hAnsi="仿宋_GB2312" w:eastAsia="仿宋_GB2312" w:cs="仿宋_GB2312"/>
          <w:b/>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 xml:space="preserve">合同编号：        </w:t>
      </w:r>
    </w:p>
    <w:p w14:paraId="771A36EC">
      <w:pPr>
        <w:keepNext w:val="0"/>
        <w:keepLines w:val="0"/>
        <w:widowControl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sz w:val="32"/>
          <w:szCs w:val="32"/>
          <w:highlight w:val="none"/>
        </w:rPr>
      </w:pPr>
    </w:p>
    <w:p w14:paraId="579A6E07">
      <w:pPr>
        <w:keepNext w:val="0"/>
        <w:keepLines w:val="0"/>
        <w:widowControl w:val="0"/>
        <w:kinsoku/>
        <w:wordWrap/>
        <w:overflowPunct/>
        <w:topLinePunct w:val="0"/>
        <w:autoSpaceDE/>
        <w:autoSpaceDN/>
        <w:bidi w:val="0"/>
        <w:adjustRightInd/>
        <w:spacing w:line="560" w:lineRule="exac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甲方：福路通城乡发展（福建）集团有限公司</w:t>
      </w:r>
      <w:r>
        <w:rPr>
          <w:rFonts w:ascii="仿宋_GB2312" w:hAnsi="仿宋_GB2312" w:eastAsia="仿宋_GB2312" w:cs="仿宋_GB2312"/>
          <w:sz w:val="32"/>
          <w:szCs w:val="32"/>
          <w:highlight w:val="none"/>
        </w:rPr>
        <w:t xml:space="preserve">                                   </w:t>
      </w:r>
    </w:p>
    <w:p w14:paraId="5A7BF734">
      <w:pPr>
        <w:keepNext w:val="0"/>
        <w:keepLines w:val="0"/>
        <w:widowControl w:val="0"/>
        <w:kinsoku/>
        <w:wordWrap/>
        <w:overflowPunct/>
        <w:topLinePunct w:val="0"/>
        <w:autoSpaceDE/>
        <w:autoSpaceDN/>
        <w:bidi w:val="0"/>
        <w:adjustRightInd/>
        <w:spacing w:line="560" w:lineRule="exac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乙方：            </w:t>
      </w:r>
    </w:p>
    <w:p w14:paraId="3D538A96">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福路通城乡发展（福建）集团有限公司（发包人名称，以下简称“甲方”）为</w:t>
      </w:r>
      <w:r>
        <w:rPr>
          <w:rFonts w:hint="eastAsia" w:ascii="仿宋_GB2312" w:hAnsi="仿宋_GB2312" w:eastAsia="仿宋_GB2312" w:cs="仿宋_GB2312"/>
          <w:sz w:val="32"/>
          <w:szCs w:val="32"/>
          <w:highlight w:val="none"/>
          <w:lang w:eastAsia="zh-CN"/>
        </w:rPr>
        <w:t>宁上高速路面交安设施安装服务</w:t>
      </w:r>
      <w:r>
        <w:rPr>
          <w:rFonts w:hint="eastAsia" w:ascii="仿宋_GB2312" w:hAnsi="仿宋_GB2312" w:eastAsia="仿宋_GB2312" w:cs="仿宋_GB2312"/>
          <w:sz w:val="32"/>
          <w:szCs w:val="32"/>
          <w:highlight w:val="none"/>
        </w:rPr>
        <w:t>，已接受（承包人名称，以下简称“乙方”）对该项目的响应文件。甲乙双方本着平等互利、自愿合作的原则，经友好协商，根据《合同法》及相关法律法规的规定，达成如下协议，以资共同遵守。</w:t>
      </w:r>
    </w:p>
    <w:p w14:paraId="54E7720D">
      <w:pPr>
        <w:keepNext w:val="0"/>
        <w:keepLines w:val="0"/>
        <w:widowControl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一、根据甲方委托，乙方提供宁上高速路面交安设施安装服务。项目地点</w:t>
      </w:r>
      <w:r>
        <w:rPr>
          <w:rFonts w:hint="eastAsia" w:ascii="仿宋_GB2312" w:hAnsi="仿宋_GB2312" w:eastAsia="仿宋_GB2312" w:cs="仿宋_GB2312"/>
          <w:b/>
          <w:bCs/>
          <w:sz w:val="32"/>
          <w:szCs w:val="32"/>
          <w:highlight w:val="none"/>
          <w:lang w:val="en-US" w:eastAsia="zh-CN"/>
        </w:rPr>
        <w:t>为宁上高速路段沿线</w:t>
      </w:r>
      <w:r>
        <w:rPr>
          <w:rFonts w:hint="eastAsia" w:ascii="仿宋_GB2312" w:hAnsi="仿宋_GB2312" w:eastAsia="仿宋_GB2312" w:cs="仿宋_GB2312"/>
          <w:b/>
          <w:bCs/>
          <w:sz w:val="32"/>
          <w:szCs w:val="32"/>
          <w:highlight w:val="none"/>
        </w:rPr>
        <w:t>（如有新增路段按本项目单价，以实际完成数量经验收合格数量为准）。</w:t>
      </w:r>
    </w:p>
    <w:p w14:paraId="554FDD9D">
      <w:pPr>
        <w:keepNext w:val="0"/>
        <w:keepLines w:val="0"/>
        <w:widowControl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二、下列文件应视为构成合同文件的组成部分：</w:t>
      </w:r>
    </w:p>
    <w:p w14:paraId="7D3BEC90">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本协议书及各种合同附件（含评标期间和合同谈判过程中的澄清文件和补充资料）；</w:t>
      </w:r>
    </w:p>
    <w:p w14:paraId="2FF1C217">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中选通知书；</w:t>
      </w:r>
    </w:p>
    <w:p w14:paraId="1BCFB68A">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投标函（文件）及投标函（文件）附录；</w:t>
      </w:r>
    </w:p>
    <w:p w14:paraId="709973ED">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承包人有关人员、设备投入的承诺；</w:t>
      </w:r>
    </w:p>
    <w:p w14:paraId="19BE1907">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其他合同文件。上述合同文件互相补充和解释。如果合同文件之间存在矛盾或不一致之处，以上述文件的排列顺序在先者为准。</w:t>
      </w:r>
    </w:p>
    <w:p w14:paraId="60C77EF9">
      <w:pPr>
        <w:keepNext w:val="0"/>
        <w:keepLines w:val="0"/>
        <w:widowControl w:val="0"/>
        <w:kinsoku/>
        <w:wordWrap/>
        <w:overflowPunct/>
        <w:topLinePunct w:val="0"/>
        <w:autoSpaceDE/>
        <w:autoSpaceDN/>
        <w:bidi w:val="0"/>
        <w:adjustRightInd/>
        <w:spacing w:line="560" w:lineRule="exact"/>
        <w:ind w:firstLine="640" w:firstLineChars="200"/>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w:t>
      </w:r>
      <w:r>
        <w:rPr>
          <w:rFonts w:hint="eastAsia" w:ascii="仿宋_GB2312" w:hAnsi="仿宋_GB2312" w:eastAsia="仿宋_GB2312" w:cs="仿宋_GB2312"/>
          <w:sz w:val="32"/>
          <w:szCs w:val="32"/>
          <w:highlight w:val="none"/>
          <w:lang w:eastAsia="zh-CN"/>
        </w:rPr>
        <w:t>中华人民共和国民法典</w:t>
      </w:r>
      <w:r>
        <w:rPr>
          <w:rFonts w:hint="eastAsia" w:ascii="仿宋_GB2312" w:hAnsi="仿宋_GB2312" w:eastAsia="仿宋_GB2312" w:cs="仿宋_GB2312"/>
          <w:sz w:val="32"/>
          <w:szCs w:val="32"/>
          <w:highlight w:val="none"/>
        </w:rPr>
        <w:t>》的有关规定，经甲乙双方协商，甲方同意由乙方提供宁上高速路面交安设施安装服务，为明确双方权利与义务，特签订如下条款，供双方共同遵守。</w:t>
      </w:r>
    </w:p>
    <w:p w14:paraId="40F10F84">
      <w:pPr>
        <w:keepNext w:val="0"/>
        <w:keepLines w:val="0"/>
        <w:widowControl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sz w:val="32"/>
          <w:szCs w:val="32"/>
          <w:highlight w:val="none"/>
        </w:rPr>
      </w:pPr>
      <w:bookmarkStart w:id="288" w:name="_Toc14213"/>
      <w:bookmarkStart w:id="289" w:name="_Toc11720"/>
      <w:bookmarkStart w:id="290" w:name="_Toc1910"/>
      <w:bookmarkStart w:id="291" w:name="_Toc25783"/>
      <w:bookmarkStart w:id="292" w:name="_Toc16793"/>
      <w:bookmarkStart w:id="293" w:name="_Toc18232"/>
      <w:r>
        <w:rPr>
          <w:rFonts w:hint="eastAsia" w:ascii="仿宋_GB2312" w:hAnsi="仿宋_GB2312" w:eastAsia="仿宋_GB2312" w:cs="仿宋_GB2312"/>
          <w:b/>
          <w:bCs/>
          <w:sz w:val="32"/>
          <w:szCs w:val="32"/>
          <w:highlight w:val="none"/>
        </w:rPr>
        <w:t>三、施工协作范围与要求</w:t>
      </w:r>
    </w:p>
    <w:p w14:paraId="149DA4B4">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（一）范围：</w:t>
      </w:r>
      <w:r>
        <w:rPr>
          <w:rFonts w:hint="eastAsia" w:ascii="仿宋_GB2312" w:hAnsi="仿宋_GB2312" w:eastAsia="仿宋_GB2312" w:cs="仿宋_GB2312"/>
          <w:sz w:val="32"/>
          <w:szCs w:val="32"/>
          <w:highlight w:val="none"/>
          <w:lang w:val="en-US" w:eastAsia="zh-CN"/>
        </w:rPr>
        <w:t>宁上高速公路段</w:t>
      </w:r>
    </w:p>
    <w:p w14:paraId="29EF4348">
      <w:pPr>
        <w:pStyle w:val="13"/>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主要内容包括：</w:t>
      </w:r>
      <w:r>
        <w:rPr>
          <w:rFonts w:hint="eastAsia" w:ascii="仿宋_GB2312" w:hAnsi="仿宋_GB2312" w:eastAsia="仿宋_GB2312" w:cs="仿宋_GB2312"/>
          <w:color w:val="000000"/>
          <w:kern w:val="2"/>
          <w:sz w:val="32"/>
          <w:szCs w:val="32"/>
          <w:highlight w:val="none"/>
          <w:lang w:val="en-US" w:eastAsia="zh-CN" w:bidi="ar-SA"/>
        </w:rPr>
        <w:t>交通安全布控、宁上高速路面TS级防撞垫与SBm级中央分隔带开口护栏运输及现场安装、提供过渡段材料、安装现场所需辅材、并根据设计图纸安装完成。</w:t>
      </w:r>
      <w:r>
        <w:rPr>
          <w:rFonts w:hint="eastAsia" w:ascii="仿宋_GB2312" w:hAnsi="仿宋_GB2312" w:eastAsia="仿宋_GB2312" w:cs="仿宋_GB2312"/>
          <w:color w:val="000000"/>
          <w:sz w:val="32"/>
          <w:szCs w:val="32"/>
          <w:highlight w:val="none"/>
          <w:lang w:val="en-US" w:eastAsia="zh-CN"/>
        </w:rPr>
        <w:t>负责把</w:t>
      </w:r>
      <w:r>
        <w:rPr>
          <w:rFonts w:hint="eastAsia" w:ascii="仿宋_GB2312" w:hAnsi="仿宋_GB2312" w:eastAsia="仿宋_GB2312" w:cs="仿宋_GB2312"/>
          <w:color w:val="000000"/>
          <w:kern w:val="0"/>
          <w:sz w:val="32"/>
          <w:szCs w:val="32"/>
          <w:highlight w:val="none"/>
          <w:lang w:bidi="ar"/>
        </w:rPr>
        <w:t>防撞垫</w:t>
      </w:r>
      <w:r>
        <w:rPr>
          <w:rFonts w:hint="eastAsia" w:ascii="仿宋_GB2312" w:hAnsi="仿宋_GB2312" w:eastAsia="仿宋_GB2312" w:cs="仿宋_GB2312"/>
          <w:color w:val="000000"/>
          <w:kern w:val="0"/>
          <w:sz w:val="32"/>
          <w:szCs w:val="32"/>
          <w:highlight w:val="none"/>
          <w:lang w:eastAsia="zh-CN" w:bidi="ar"/>
        </w:rPr>
        <w:t>、</w:t>
      </w:r>
      <w:r>
        <w:rPr>
          <w:rFonts w:hint="eastAsia" w:ascii="仿宋_GB2312" w:hAnsi="仿宋_GB2312" w:eastAsia="仿宋_GB2312" w:cs="仿宋_GB2312"/>
          <w:color w:val="000000"/>
          <w:kern w:val="0"/>
          <w:sz w:val="32"/>
          <w:szCs w:val="32"/>
          <w:highlight w:val="none"/>
          <w:lang w:bidi="ar"/>
        </w:rPr>
        <w:t>中分带开口活动护栏</w:t>
      </w:r>
      <w:r>
        <w:rPr>
          <w:rFonts w:hint="eastAsia" w:ascii="仿宋_GB2312" w:hAnsi="仿宋_GB2312" w:eastAsia="仿宋_GB2312" w:cs="仿宋_GB2312"/>
          <w:color w:val="000000"/>
          <w:kern w:val="0"/>
          <w:sz w:val="32"/>
          <w:szCs w:val="32"/>
          <w:highlight w:val="none"/>
          <w:lang w:val="en-US" w:eastAsia="zh-CN" w:bidi="ar"/>
        </w:rPr>
        <w:t>产品</w:t>
      </w:r>
      <w:r>
        <w:rPr>
          <w:rFonts w:hint="eastAsia" w:ascii="仿宋_GB2312" w:hAnsi="仿宋_GB2312" w:eastAsia="仿宋_GB2312" w:cs="仿宋_GB2312"/>
          <w:b w:val="0"/>
          <w:bCs w:val="0"/>
          <w:i w:val="0"/>
          <w:iCs w:val="0"/>
          <w:color w:val="000000" w:themeColor="text1"/>
          <w:kern w:val="0"/>
          <w:sz w:val="32"/>
          <w:szCs w:val="32"/>
          <w:highlight w:val="none"/>
          <w:u w:val="none"/>
          <w:lang w:val="en-US" w:eastAsia="zh-CN" w:bidi="ar"/>
          <w14:textFill>
            <w14:solidFill>
              <w14:schemeClr w14:val="tx1"/>
            </w14:solidFill>
          </w14:textFill>
        </w:rPr>
        <w:t>从宁德古田加工厂运输到宁上高速施工点（宁德境内）运费、装卸费。</w:t>
      </w:r>
    </w:p>
    <w:p w14:paraId="65727897">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（二）技术要求：</w:t>
      </w:r>
    </w:p>
    <w:p w14:paraId="62E05A1A">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1.乙方在工作期间必须服从甲方提出的合理要求，严格执行甲方合理要求。</w:t>
      </w:r>
    </w:p>
    <w:p w14:paraId="522D48E5">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2.车辆、人员的配备满足询价文件的要求。</w:t>
      </w:r>
    </w:p>
    <w:p w14:paraId="750E0C66">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3.乙方必须按照设计图纸组织施工，并接受甲方的检查及监督，保证工程质量达到相关规范要求。</w:t>
      </w:r>
    </w:p>
    <w:p w14:paraId="67C8AD31">
      <w:pPr>
        <w:pStyle w:val="23"/>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4.护栏和防撞垫安装和使用须满足《公路交通安全设施设计规范》(JTGD81-2017)和《公路交通安全设施设计细则》(JTG/TD81-2017)相关要求；</w:t>
      </w:r>
    </w:p>
    <w:p w14:paraId="64A8936C">
      <w:pPr>
        <w:pStyle w:val="24"/>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sz w:val="32"/>
          <w:szCs w:val="32"/>
          <w:highlight w:val="none"/>
        </w:rPr>
      </w:pPr>
      <w:r>
        <w:rPr>
          <w:rFonts w:hint="eastAsia" w:ascii="仿宋_GB2312" w:hAnsi="仿宋_GB2312" w:eastAsia="仿宋_GB2312" w:cs="仿宋_GB2312"/>
          <w:kern w:val="2"/>
          <w:sz w:val="32"/>
          <w:szCs w:val="32"/>
          <w:highlight w:val="none"/>
          <w:lang w:val="en-US" w:eastAsia="zh-CN" w:bidi="ar-SA"/>
        </w:rPr>
        <w:t>5.过渡板及其他辅材等防腐处理应符合《公路交通工程钢构件防腐技术条件》（GB T 18226-2015）的规定，材料质量、尺寸和厚度应满足设计要求。</w:t>
      </w:r>
    </w:p>
    <w:p w14:paraId="39AECEAB">
      <w:pPr>
        <w:keepNext w:val="0"/>
        <w:keepLines w:val="0"/>
        <w:widowControl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四、双方的权利及义务</w:t>
      </w:r>
    </w:p>
    <w:p w14:paraId="4C95B8EA">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（一）甲方的权利及义务</w:t>
      </w:r>
    </w:p>
    <w:p w14:paraId="4C13297F">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提供相关活动护栏施工的有关资料（如施工图等）、确保满足现场施工要求，同时协调与业主、监理的有关工作事项。</w:t>
      </w:r>
    </w:p>
    <w:p w14:paraId="39137A7C">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甲方应按本合同约定的时间进行工程结算并支付工程款，否则应承担违约责任。</w:t>
      </w:r>
    </w:p>
    <w:p w14:paraId="471BE938">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负责组织技术人员现场指导、监督施工。</w:t>
      </w:r>
    </w:p>
    <w:p w14:paraId="2FEF98AA">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负责制定与本项目施工有关的管理制度。</w:t>
      </w:r>
    </w:p>
    <w:p w14:paraId="6B48D364">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甲方为保证工程质量及进度，有权要求乙方增加人员机械等措施。</w:t>
      </w:r>
    </w:p>
    <w:p w14:paraId="5AB1A0BF">
      <w:pPr>
        <w:keepNext w:val="0"/>
        <w:keepLines w:val="0"/>
        <w:widowControl w:val="0"/>
        <w:kinsoku/>
        <w:wordWrap/>
        <w:overflowPunct/>
        <w:topLinePunct w:val="0"/>
        <w:autoSpaceDE/>
        <w:autoSpaceDN/>
        <w:bidi w:val="0"/>
        <w:adjustRightInd/>
        <w:spacing w:line="560" w:lineRule="exact"/>
        <w:ind w:firstLine="60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0"/>
          <w:szCs w:val="30"/>
          <w:highlight w:val="none"/>
          <w:lang w:val="en-US" w:eastAsia="zh-CN"/>
        </w:rPr>
        <w:t>6</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2"/>
          <w:szCs w:val="32"/>
          <w:highlight w:val="none"/>
        </w:rPr>
        <w:t>甲方有权对乙方违反合同条款内容实施处罚和经济赔偿,对乙方不胜任项目工作的人员以及不满足工作需要的车辆及设备提出更换。甲方以函件形式提出的合理要求,乙方若不执行,一次处罚1万元,金额从合同款或者履约担保金中扣除;若超过两次不执行,甲方有权终止本合同,并要求乙方承担由此造成的一切损失。</w:t>
      </w:r>
    </w:p>
    <w:p w14:paraId="4E8A9D4E">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（二）乙方的权利及义务</w:t>
      </w:r>
    </w:p>
    <w:p w14:paraId="66EF8182">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乙方为甲方提供性能良好的设备和专业的技术人员,至少安排一个现场负责人带队开展施工工作,如遇工期紧,需赶工时,乙方应无条件增派现场技术人员配合甲方,以满足施工工期要求。</w:t>
      </w:r>
    </w:p>
    <w:p w14:paraId="390E9FF7">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遵守甲方各项管理制度，服从现场工作指令。</w:t>
      </w:r>
    </w:p>
    <w:p w14:paraId="7A02222C">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根据双方协调的施工内容、要求和国家有关规范进行施工，必须采用国家标准合格的材料施工。工程施工质量满足《公路养护工程质量检验评定标准》标准，质量缺陷保证金为合同暂定总额的5%，在质保期内因工程施工质量缺陷造成的损坏由乙方无偿修复；</w:t>
      </w:r>
    </w:p>
    <w:p w14:paraId="2F42C322">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乙方应按时完工并对修复质量负责，若因乙方施工质量问题而造成验收不合格，乙方应无偿返工直至合格为止，由此产生的一切费用由乙方自行承担。</w:t>
      </w:r>
    </w:p>
    <w:p w14:paraId="62A25295">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5.做好安全文明施工，施工期内负责安全施工的一切责任。</w:t>
      </w:r>
    </w:p>
    <w:p w14:paraId="44EEF3DB">
      <w:pPr>
        <w:keepNext w:val="0"/>
        <w:keepLines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6.乙方必须在合同签订前需为所有投入人员办理个人不少于100万的人身意外保险。</w:t>
      </w:r>
    </w:p>
    <w:p w14:paraId="227F8883">
      <w:pPr>
        <w:keepNext w:val="0"/>
        <w:keepLines w:val="0"/>
        <w:widowControl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五、协作服务费用及结算方式</w:t>
      </w:r>
    </w:p>
    <w:p w14:paraId="7146E75B">
      <w:pPr>
        <w:keepNext w:val="0"/>
        <w:keepLines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（一）工程量清单</w:t>
      </w:r>
    </w:p>
    <w:tbl>
      <w:tblPr>
        <w:tblStyle w:val="31"/>
        <w:tblW w:w="5000" w:type="pct"/>
        <w:jc w:val="center"/>
        <w:tblLayout w:type="autofit"/>
        <w:tblCellMar>
          <w:top w:w="0" w:type="dxa"/>
          <w:left w:w="108" w:type="dxa"/>
          <w:bottom w:w="0" w:type="dxa"/>
          <w:right w:w="108" w:type="dxa"/>
        </w:tblCellMar>
      </w:tblPr>
      <w:tblGrid>
        <w:gridCol w:w="698"/>
        <w:gridCol w:w="2468"/>
        <w:gridCol w:w="694"/>
        <w:gridCol w:w="1292"/>
        <w:gridCol w:w="1306"/>
        <w:gridCol w:w="1294"/>
        <w:gridCol w:w="1308"/>
      </w:tblGrid>
      <w:tr w14:paraId="57D64EA2">
        <w:tblPrEx>
          <w:tblCellMar>
            <w:top w:w="0" w:type="dxa"/>
            <w:left w:w="108" w:type="dxa"/>
            <w:bottom w:w="0" w:type="dxa"/>
            <w:right w:w="108" w:type="dxa"/>
          </w:tblCellMar>
        </w:tblPrEx>
        <w:trPr>
          <w:trHeight w:val="567" w:hRule="atLeast"/>
          <w:jc w:val="center"/>
        </w:trPr>
        <w:tc>
          <w:tcPr>
            <w:tcW w:w="5000" w:type="pct"/>
            <w:gridSpan w:val="7"/>
            <w:tcBorders>
              <w:top w:val="nil"/>
              <w:left w:val="nil"/>
              <w:bottom w:val="single" w:color="000000" w:sz="8" w:space="0"/>
              <w:right w:val="nil"/>
            </w:tcBorders>
            <w:noWrap w:val="0"/>
            <w:vAlign w:val="center"/>
          </w:tcPr>
          <w:p w14:paraId="0DE1A4B1">
            <w:pPr>
              <w:widowControl/>
              <w:jc w:val="center"/>
              <w:textAlignment w:val="center"/>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b/>
                <w:bCs/>
                <w:color w:val="000000"/>
                <w:sz w:val="32"/>
                <w:szCs w:val="32"/>
                <w:highlight w:val="none"/>
              </w:rPr>
              <w:t>宁上高速路面交安设施安装服务</w:t>
            </w:r>
          </w:p>
        </w:tc>
      </w:tr>
      <w:tr w14:paraId="5E31E9A3">
        <w:tblPrEx>
          <w:tblCellMar>
            <w:top w:w="0" w:type="dxa"/>
            <w:left w:w="108" w:type="dxa"/>
            <w:bottom w:w="0" w:type="dxa"/>
            <w:right w:w="108" w:type="dxa"/>
          </w:tblCellMar>
        </w:tblPrEx>
        <w:trPr>
          <w:trHeight w:val="567" w:hRule="atLeast"/>
          <w:jc w:val="center"/>
        </w:trPr>
        <w:tc>
          <w:tcPr>
            <w:tcW w:w="385" w:type="pct"/>
            <w:tcBorders>
              <w:top w:val="nil"/>
              <w:left w:val="single" w:color="000000" w:sz="8" w:space="0"/>
              <w:bottom w:val="single" w:color="000000" w:sz="8" w:space="0"/>
              <w:right w:val="single" w:color="000000" w:sz="8" w:space="0"/>
            </w:tcBorders>
            <w:noWrap w:val="0"/>
            <w:vAlign w:val="center"/>
          </w:tcPr>
          <w:p w14:paraId="3EC0AC98">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序号</w:t>
            </w:r>
          </w:p>
        </w:tc>
        <w:tc>
          <w:tcPr>
            <w:tcW w:w="1362" w:type="pct"/>
            <w:tcBorders>
              <w:top w:val="single" w:color="000000" w:sz="8" w:space="0"/>
              <w:left w:val="nil"/>
              <w:bottom w:val="single" w:color="000000" w:sz="8" w:space="0"/>
              <w:right w:val="single" w:color="000000" w:sz="8" w:space="0"/>
            </w:tcBorders>
            <w:noWrap w:val="0"/>
            <w:vAlign w:val="center"/>
          </w:tcPr>
          <w:p w14:paraId="15A3D00F">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工程或费用名称</w:t>
            </w:r>
          </w:p>
        </w:tc>
        <w:tc>
          <w:tcPr>
            <w:tcW w:w="383" w:type="pct"/>
            <w:tcBorders>
              <w:top w:val="single" w:color="000000" w:sz="8" w:space="0"/>
              <w:left w:val="nil"/>
              <w:bottom w:val="single" w:color="000000" w:sz="8" w:space="0"/>
              <w:right w:val="single" w:color="000000" w:sz="8" w:space="0"/>
            </w:tcBorders>
            <w:noWrap w:val="0"/>
            <w:vAlign w:val="center"/>
          </w:tcPr>
          <w:p w14:paraId="3ACB5933">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单位</w:t>
            </w:r>
          </w:p>
        </w:tc>
        <w:tc>
          <w:tcPr>
            <w:tcW w:w="713" w:type="pct"/>
            <w:tcBorders>
              <w:top w:val="single" w:color="000000" w:sz="8" w:space="0"/>
              <w:left w:val="nil"/>
              <w:bottom w:val="single" w:color="000000" w:sz="8" w:space="0"/>
              <w:right w:val="single" w:color="000000" w:sz="8" w:space="0"/>
            </w:tcBorders>
            <w:noWrap w:val="0"/>
            <w:vAlign w:val="center"/>
          </w:tcPr>
          <w:p w14:paraId="1ABB62D7">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工程数量</w:t>
            </w:r>
          </w:p>
        </w:tc>
        <w:tc>
          <w:tcPr>
            <w:tcW w:w="720" w:type="pct"/>
            <w:tcBorders>
              <w:top w:val="single" w:color="000000" w:sz="8" w:space="0"/>
              <w:left w:val="nil"/>
              <w:bottom w:val="single" w:color="000000" w:sz="8" w:space="0"/>
              <w:right w:val="single" w:color="000000" w:sz="8" w:space="0"/>
            </w:tcBorders>
            <w:noWrap w:val="0"/>
            <w:vAlign w:val="center"/>
          </w:tcPr>
          <w:p w14:paraId="435B6C9F">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单价（元）</w:t>
            </w:r>
          </w:p>
        </w:tc>
        <w:tc>
          <w:tcPr>
            <w:tcW w:w="714" w:type="pct"/>
            <w:tcBorders>
              <w:top w:val="single" w:color="000000" w:sz="8" w:space="0"/>
              <w:left w:val="nil"/>
              <w:bottom w:val="single" w:color="000000" w:sz="8" w:space="0"/>
              <w:right w:val="single" w:color="000000" w:sz="8" w:space="0"/>
            </w:tcBorders>
            <w:noWrap w:val="0"/>
            <w:vAlign w:val="center"/>
          </w:tcPr>
          <w:p w14:paraId="03C04CE1">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金额（元）</w:t>
            </w:r>
          </w:p>
        </w:tc>
        <w:tc>
          <w:tcPr>
            <w:tcW w:w="721" w:type="pct"/>
            <w:tcBorders>
              <w:top w:val="single" w:color="000000" w:sz="8" w:space="0"/>
              <w:left w:val="nil"/>
              <w:bottom w:val="single" w:color="000000" w:sz="8" w:space="0"/>
              <w:right w:val="single" w:color="000000" w:sz="8" w:space="0"/>
            </w:tcBorders>
            <w:noWrap w:val="0"/>
            <w:vAlign w:val="center"/>
          </w:tcPr>
          <w:p w14:paraId="6455B44F">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备注</w:t>
            </w:r>
          </w:p>
        </w:tc>
      </w:tr>
      <w:tr w14:paraId="2C72A85E">
        <w:tblPrEx>
          <w:tblCellMar>
            <w:top w:w="0" w:type="dxa"/>
            <w:left w:w="108" w:type="dxa"/>
            <w:bottom w:w="0" w:type="dxa"/>
            <w:right w:w="108" w:type="dxa"/>
          </w:tblCellMar>
        </w:tblPrEx>
        <w:trPr>
          <w:trHeight w:val="567" w:hRule="atLeast"/>
          <w:jc w:val="center"/>
        </w:trPr>
        <w:tc>
          <w:tcPr>
            <w:tcW w:w="385" w:type="pct"/>
            <w:tcBorders>
              <w:top w:val="single" w:color="000000" w:sz="8" w:space="0"/>
              <w:left w:val="single" w:color="000000" w:sz="8" w:space="0"/>
              <w:bottom w:val="single" w:color="000000" w:sz="8" w:space="0"/>
              <w:right w:val="single" w:color="000000" w:sz="8" w:space="0"/>
            </w:tcBorders>
            <w:noWrap w:val="0"/>
            <w:vAlign w:val="center"/>
          </w:tcPr>
          <w:p w14:paraId="38761809">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1</w:t>
            </w:r>
          </w:p>
        </w:tc>
        <w:tc>
          <w:tcPr>
            <w:tcW w:w="1362" w:type="pct"/>
            <w:tcBorders>
              <w:top w:val="single" w:color="000000" w:sz="8" w:space="0"/>
              <w:left w:val="nil"/>
              <w:bottom w:val="single" w:color="000000" w:sz="8" w:space="0"/>
              <w:right w:val="single" w:color="000000" w:sz="8" w:space="0"/>
            </w:tcBorders>
            <w:noWrap w:val="0"/>
            <w:vAlign w:val="center"/>
          </w:tcPr>
          <w:p w14:paraId="4921A722">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运输及安装</w:t>
            </w:r>
            <w:r>
              <w:rPr>
                <w:rFonts w:hint="eastAsia" w:ascii="仿宋_GB2312" w:hAnsi="仿宋_GB2312" w:eastAsia="仿宋_GB2312" w:cs="仿宋_GB2312"/>
                <w:color w:val="000000"/>
                <w:sz w:val="32"/>
                <w:szCs w:val="32"/>
                <w:highlight w:val="none"/>
                <w:lang w:eastAsia="zh-CN"/>
              </w:rPr>
              <w:t>TS级防撞垫</w:t>
            </w:r>
          </w:p>
        </w:tc>
        <w:tc>
          <w:tcPr>
            <w:tcW w:w="383" w:type="pct"/>
            <w:tcBorders>
              <w:top w:val="single" w:color="000000" w:sz="8" w:space="0"/>
              <w:left w:val="nil"/>
              <w:bottom w:val="single" w:color="000000" w:sz="8" w:space="0"/>
              <w:right w:val="single" w:color="000000" w:sz="8" w:space="0"/>
            </w:tcBorders>
            <w:noWrap w:val="0"/>
            <w:vAlign w:val="center"/>
          </w:tcPr>
          <w:p w14:paraId="00F1B121">
            <w:pPr>
              <w:widowControl/>
              <w:jc w:val="center"/>
              <w:textAlignment w:val="center"/>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套</w:t>
            </w:r>
          </w:p>
        </w:tc>
        <w:tc>
          <w:tcPr>
            <w:tcW w:w="713" w:type="pct"/>
            <w:tcBorders>
              <w:top w:val="single" w:color="000000" w:sz="8" w:space="0"/>
              <w:left w:val="nil"/>
              <w:bottom w:val="single" w:color="000000" w:sz="8" w:space="0"/>
              <w:right w:val="single" w:color="000000" w:sz="8" w:space="0"/>
            </w:tcBorders>
            <w:noWrap w:val="0"/>
            <w:vAlign w:val="center"/>
          </w:tcPr>
          <w:p w14:paraId="2C51D251">
            <w:pPr>
              <w:widowControl/>
              <w:jc w:val="center"/>
              <w:textAlignment w:val="center"/>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bidi="ar"/>
              </w:rPr>
              <w:t>12</w:t>
            </w:r>
          </w:p>
        </w:tc>
        <w:tc>
          <w:tcPr>
            <w:tcW w:w="720" w:type="pct"/>
            <w:tcBorders>
              <w:top w:val="single" w:color="000000" w:sz="8" w:space="0"/>
              <w:left w:val="nil"/>
              <w:bottom w:val="single" w:color="000000" w:sz="8" w:space="0"/>
              <w:right w:val="single" w:color="000000" w:sz="8" w:space="0"/>
            </w:tcBorders>
            <w:noWrap w:val="0"/>
            <w:vAlign w:val="center"/>
          </w:tcPr>
          <w:p w14:paraId="1B5640A1">
            <w:pPr>
              <w:widowControl/>
              <w:jc w:val="center"/>
              <w:textAlignment w:val="center"/>
              <w:rPr>
                <w:rFonts w:hint="eastAsia" w:ascii="仿宋_GB2312" w:hAnsi="仿宋_GB2312" w:eastAsia="仿宋_GB2312" w:cs="仿宋_GB2312"/>
                <w:color w:val="000000"/>
                <w:sz w:val="32"/>
                <w:szCs w:val="32"/>
                <w:highlight w:val="none"/>
                <w:lang w:val="en-US" w:eastAsia="zh-CN"/>
              </w:rPr>
            </w:pPr>
          </w:p>
        </w:tc>
        <w:tc>
          <w:tcPr>
            <w:tcW w:w="714" w:type="pct"/>
            <w:tcBorders>
              <w:top w:val="single" w:color="000000" w:sz="8" w:space="0"/>
              <w:left w:val="nil"/>
              <w:bottom w:val="single" w:color="000000" w:sz="8" w:space="0"/>
              <w:right w:val="single" w:color="000000" w:sz="8" w:space="0"/>
            </w:tcBorders>
            <w:noWrap w:val="0"/>
            <w:vAlign w:val="center"/>
          </w:tcPr>
          <w:p w14:paraId="5049CF27">
            <w:pPr>
              <w:widowControl/>
              <w:jc w:val="center"/>
              <w:textAlignment w:val="center"/>
              <w:rPr>
                <w:rFonts w:hint="eastAsia" w:ascii="仿宋_GB2312" w:hAnsi="仿宋_GB2312" w:eastAsia="仿宋_GB2312" w:cs="仿宋_GB2312"/>
                <w:color w:val="000000"/>
                <w:sz w:val="32"/>
                <w:szCs w:val="32"/>
                <w:highlight w:val="none"/>
              </w:rPr>
            </w:pPr>
          </w:p>
        </w:tc>
        <w:tc>
          <w:tcPr>
            <w:tcW w:w="721" w:type="pct"/>
            <w:tcBorders>
              <w:top w:val="single" w:color="000000" w:sz="8" w:space="0"/>
              <w:left w:val="nil"/>
              <w:bottom w:val="single" w:color="000000" w:sz="8" w:space="0"/>
              <w:right w:val="single" w:color="000000" w:sz="8" w:space="0"/>
            </w:tcBorders>
            <w:noWrap w:val="0"/>
            <w:vAlign w:val="center"/>
          </w:tcPr>
          <w:p w14:paraId="15E1CDF1">
            <w:pPr>
              <w:jc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含连接过渡板</w:t>
            </w:r>
          </w:p>
        </w:tc>
      </w:tr>
      <w:tr w14:paraId="0AB12E3D">
        <w:tblPrEx>
          <w:tblCellMar>
            <w:top w:w="0" w:type="dxa"/>
            <w:left w:w="108" w:type="dxa"/>
            <w:bottom w:w="0" w:type="dxa"/>
            <w:right w:w="108" w:type="dxa"/>
          </w:tblCellMar>
        </w:tblPrEx>
        <w:trPr>
          <w:trHeight w:val="567" w:hRule="atLeast"/>
          <w:jc w:val="center"/>
        </w:trPr>
        <w:tc>
          <w:tcPr>
            <w:tcW w:w="385" w:type="pct"/>
            <w:tcBorders>
              <w:top w:val="single" w:color="000000" w:sz="8" w:space="0"/>
              <w:left w:val="single" w:color="000000" w:sz="8" w:space="0"/>
              <w:bottom w:val="single" w:color="000000" w:sz="8" w:space="0"/>
              <w:right w:val="single" w:color="000000" w:sz="8" w:space="0"/>
            </w:tcBorders>
            <w:noWrap w:val="0"/>
            <w:vAlign w:val="center"/>
          </w:tcPr>
          <w:p w14:paraId="6CF18570">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2</w:t>
            </w:r>
          </w:p>
        </w:tc>
        <w:tc>
          <w:tcPr>
            <w:tcW w:w="1362" w:type="pct"/>
            <w:tcBorders>
              <w:top w:val="single" w:color="000000" w:sz="8" w:space="0"/>
              <w:left w:val="nil"/>
              <w:bottom w:val="single" w:color="000000" w:sz="8" w:space="0"/>
              <w:right w:val="single" w:color="000000" w:sz="8" w:space="0"/>
            </w:tcBorders>
            <w:noWrap w:val="0"/>
            <w:vAlign w:val="center"/>
          </w:tcPr>
          <w:p w14:paraId="32E3A927">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运输及安装SBm级中央分隔带开口护栏</w:t>
            </w:r>
          </w:p>
        </w:tc>
        <w:tc>
          <w:tcPr>
            <w:tcW w:w="383" w:type="pct"/>
            <w:tcBorders>
              <w:top w:val="single" w:color="000000" w:sz="8" w:space="0"/>
              <w:left w:val="nil"/>
              <w:bottom w:val="single" w:color="000000" w:sz="8" w:space="0"/>
              <w:right w:val="single" w:color="000000" w:sz="8" w:space="0"/>
            </w:tcBorders>
            <w:noWrap w:val="0"/>
            <w:vAlign w:val="center"/>
          </w:tcPr>
          <w:p w14:paraId="766F3F97">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米</w:t>
            </w:r>
          </w:p>
        </w:tc>
        <w:tc>
          <w:tcPr>
            <w:tcW w:w="713" w:type="pct"/>
            <w:tcBorders>
              <w:top w:val="single" w:color="000000" w:sz="8" w:space="0"/>
              <w:left w:val="nil"/>
              <w:bottom w:val="single" w:color="000000" w:sz="8" w:space="0"/>
              <w:right w:val="single" w:color="000000" w:sz="8" w:space="0"/>
            </w:tcBorders>
            <w:noWrap w:val="0"/>
            <w:vAlign w:val="center"/>
          </w:tcPr>
          <w:p w14:paraId="4D132746">
            <w:pPr>
              <w:widowControl/>
              <w:jc w:val="center"/>
              <w:textAlignment w:val="center"/>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bidi="ar"/>
              </w:rPr>
              <w:t>930</w:t>
            </w:r>
          </w:p>
        </w:tc>
        <w:tc>
          <w:tcPr>
            <w:tcW w:w="720" w:type="pct"/>
            <w:tcBorders>
              <w:top w:val="single" w:color="000000" w:sz="8" w:space="0"/>
              <w:left w:val="nil"/>
              <w:bottom w:val="single" w:color="000000" w:sz="8" w:space="0"/>
              <w:right w:val="single" w:color="000000" w:sz="8" w:space="0"/>
            </w:tcBorders>
            <w:noWrap w:val="0"/>
            <w:vAlign w:val="center"/>
          </w:tcPr>
          <w:p w14:paraId="2A94794A">
            <w:pPr>
              <w:widowControl/>
              <w:jc w:val="center"/>
              <w:textAlignment w:val="center"/>
              <w:rPr>
                <w:rFonts w:hint="eastAsia" w:ascii="仿宋_GB2312" w:hAnsi="仿宋_GB2312" w:eastAsia="仿宋_GB2312" w:cs="仿宋_GB2312"/>
                <w:color w:val="000000"/>
                <w:sz w:val="32"/>
                <w:szCs w:val="32"/>
                <w:highlight w:val="none"/>
                <w:lang w:val="en-US" w:eastAsia="zh-CN"/>
              </w:rPr>
            </w:pPr>
          </w:p>
        </w:tc>
        <w:tc>
          <w:tcPr>
            <w:tcW w:w="714" w:type="pct"/>
            <w:tcBorders>
              <w:top w:val="single" w:color="000000" w:sz="8" w:space="0"/>
              <w:left w:val="nil"/>
              <w:bottom w:val="single" w:color="000000" w:sz="8" w:space="0"/>
              <w:right w:val="single" w:color="000000" w:sz="8" w:space="0"/>
            </w:tcBorders>
            <w:noWrap w:val="0"/>
            <w:vAlign w:val="center"/>
          </w:tcPr>
          <w:p w14:paraId="61AF0BA8">
            <w:pPr>
              <w:widowControl/>
              <w:jc w:val="center"/>
              <w:textAlignment w:val="center"/>
              <w:rPr>
                <w:rFonts w:hint="eastAsia" w:ascii="仿宋_GB2312" w:hAnsi="仿宋_GB2312" w:eastAsia="仿宋_GB2312" w:cs="仿宋_GB2312"/>
                <w:color w:val="000000"/>
                <w:sz w:val="32"/>
                <w:szCs w:val="32"/>
                <w:highlight w:val="none"/>
              </w:rPr>
            </w:pPr>
          </w:p>
        </w:tc>
        <w:tc>
          <w:tcPr>
            <w:tcW w:w="721" w:type="pct"/>
            <w:tcBorders>
              <w:top w:val="single" w:color="000000" w:sz="8" w:space="0"/>
              <w:left w:val="nil"/>
              <w:bottom w:val="single" w:color="000000" w:sz="8" w:space="0"/>
              <w:right w:val="single" w:color="000000" w:sz="8" w:space="0"/>
            </w:tcBorders>
            <w:noWrap w:val="0"/>
            <w:vAlign w:val="center"/>
          </w:tcPr>
          <w:p w14:paraId="4EF77309">
            <w:pPr>
              <w:jc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含连接过渡板</w:t>
            </w:r>
          </w:p>
        </w:tc>
      </w:tr>
      <w:tr w14:paraId="5F3371A1">
        <w:tblPrEx>
          <w:tblCellMar>
            <w:top w:w="0" w:type="dxa"/>
            <w:left w:w="108" w:type="dxa"/>
            <w:bottom w:w="0" w:type="dxa"/>
            <w:right w:w="108" w:type="dxa"/>
          </w:tblCellMar>
        </w:tblPrEx>
        <w:trPr>
          <w:trHeight w:val="567" w:hRule="atLeast"/>
          <w:jc w:val="center"/>
        </w:trPr>
        <w:tc>
          <w:tcPr>
            <w:tcW w:w="3564" w:type="pct"/>
            <w:gridSpan w:val="5"/>
            <w:tcBorders>
              <w:top w:val="single" w:color="000000" w:sz="8" w:space="0"/>
              <w:left w:val="single" w:color="000000" w:sz="8" w:space="0"/>
              <w:bottom w:val="single" w:color="000000" w:sz="8" w:space="0"/>
              <w:right w:val="single" w:color="000000" w:sz="8" w:space="0"/>
            </w:tcBorders>
            <w:noWrap w:val="0"/>
            <w:vAlign w:val="center"/>
          </w:tcPr>
          <w:p w14:paraId="4ABFF3B3">
            <w:pPr>
              <w:widowControl/>
              <w:jc w:val="center"/>
              <w:textAlignment w:val="center"/>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合计</w:t>
            </w:r>
          </w:p>
        </w:tc>
        <w:tc>
          <w:tcPr>
            <w:tcW w:w="714" w:type="pct"/>
            <w:tcBorders>
              <w:top w:val="single" w:color="000000" w:sz="8" w:space="0"/>
              <w:left w:val="nil"/>
              <w:bottom w:val="single" w:color="000000" w:sz="8" w:space="0"/>
              <w:right w:val="single" w:color="000000" w:sz="8" w:space="0"/>
            </w:tcBorders>
            <w:noWrap w:val="0"/>
            <w:vAlign w:val="center"/>
          </w:tcPr>
          <w:p w14:paraId="1F4F71E6">
            <w:pPr>
              <w:widowControl/>
              <w:jc w:val="center"/>
              <w:textAlignment w:val="center"/>
              <w:rPr>
                <w:rFonts w:hint="eastAsia" w:ascii="仿宋_GB2312" w:hAnsi="仿宋_GB2312" w:eastAsia="仿宋_GB2312" w:cs="仿宋_GB2312"/>
                <w:color w:val="000000"/>
                <w:sz w:val="32"/>
                <w:szCs w:val="32"/>
                <w:highlight w:val="none"/>
              </w:rPr>
            </w:pPr>
          </w:p>
        </w:tc>
        <w:tc>
          <w:tcPr>
            <w:tcW w:w="721" w:type="pct"/>
            <w:tcBorders>
              <w:top w:val="single" w:color="000000" w:sz="8" w:space="0"/>
              <w:left w:val="nil"/>
              <w:bottom w:val="single" w:color="000000" w:sz="8" w:space="0"/>
              <w:right w:val="single" w:color="000000" w:sz="8" w:space="0"/>
            </w:tcBorders>
            <w:noWrap w:val="0"/>
            <w:vAlign w:val="center"/>
          </w:tcPr>
          <w:p w14:paraId="4F626FD4">
            <w:pPr>
              <w:jc w:val="center"/>
              <w:rPr>
                <w:rFonts w:hint="eastAsia" w:ascii="仿宋_GB2312" w:hAnsi="仿宋_GB2312" w:eastAsia="仿宋_GB2312" w:cs="仿宋_GB2312"/>
                <w:color w:val="000000"/>
                <w:sz w:val="32"/>
                <w:szCs w:val="32"/>
                <w:highlight w:val="none"/>
              </w:rPr>
            </w:pPr>
          </w:p>
        </w:tc>
      </w:tr>
      <w:tr w14:paraId="74DB5B37">
        <w:tblPrEx>
          <w:tblCellMar>
            <w:top w:w="0" w:type="dxa"/>
            <w:left w:w="108" w:type="dxa"/>
            <w:bottom w:w="0" w:type="dxa"/>
            <w:right w:w="108" w:type="dxa"/>
          </w:tblCellMar>
        </w:tblPrEx>
        <w:trPr>
          <w:trHeight w:val="567" w:hRule="atLeast"/>
          <w:jc w:val="center"/>
        </w:trPr>
        <w:tc>
          <w:tcPr>
            <w:tcW w:w="5000" w:type="pct"/>
            <w:gridSpan w:val="7"/>
            <w:tcBorders>
              <w:top w:val="nil"/>
              <w:left w:val="nil"/>
              <w:bottom w:val="nil"/>
              <w:right w:val="nil"/>
            </w:tcBorders>
            <w:noWrap w:val="0"/>
            <w:vAlign w:val="center"/>
          </w:tcPr>
          <w:p w14:paraId="72DF8E70">
            <w:pPr>
              <w:widowControl/>
              <w:jc w:val="left"/>
              <w:textAlignment w:val="center"/>
              <w:rPr>
                <w:rFonts w:hint="eastAsia" w:ascii="仿宋_GB2312" w:hAnsi="仿宋_GB2312" w:eastAsia="仿宋_GB2312" w:cs="仿宋_GB2312"/>
                <w:b w:val="0"/>
                <w:bCs w:val="0"/>
                <w:color w:val="000000"/>
                <w:kern w:val="0"/>
                <w:sz w:val="28"/>
                <w:szCs w:val="28"/>
                <w:highlight w:val="none"/>
                <w:lang w:bidi="ar"/>
              </w:rPr>
            </w:pPr>
            <w:r>
              <w:rPr>
                <w:rFonts w:hint="eastAsia" w:ascii="仿宋_GB2312" w:hAnsi="仿宋_GB2312" w:eastAsia="仿宋_GB2312" w:cs="仿宋_GB2312"/>
                <w:b w:val="0"/>
                <w:bCs w:val="0"/>
                <w:color w:val="000000"/>
                <w:kern w:val="0"/>
                <w:sz w:val="28"/>
                <w:szCs w:val="28"/>
                <w:highlight w:val="none"/>
                <w:lang w:bidi="ar"/>
              </w:rPr>
              <w:t>备注：1</w:t>
            </w:r>
            <w:r>
              <w:rPr>
                <w:rFonts w:hint="eastAsia" w:ascii="仿宋_GB2312" w:hAnsi="仿宋_GB2312" w:eastAsia="仿宋_GB2312" w:cs="仿宋_GB2312"/>
                <w:b w:val="0"/>
                <w:bCs w:val="0"/>
                <w:color w:val="000000"/>
                <w:kern w:val="0"/>
                <w:sz w:val="28"/>
                <w:szCs w:val="28"/>
                <w:highlight w:val="none"/>
                <w:lang w:val="en-US" w:eastAsia="zh-CN" w:bidi="ar"/>
              </w:rPr>
              <w:t>.</w:t>
            </w:r>
            <w:r>
              <w:rPr>
                <w:rFonts w:hint="eastAsia" w:ascii="仿宋_GB2312" w:hAnsi="仿宋_GB2312" w:eastAsia="仿宋_GB2312" w:cs="仿宋_GB2312"/>
                <w:b w:val="0"/>
                <w:bCs w:val="0"/>
                <w:color w:val="000000"/>
                <w:kern w:val="0"/>
                <w:sz w:val="28"/>
                <w:szCs w:val="28"/>
                <w:highlight w:val="none"/>
                <w:lang w:bidi="ar"/>
              </w:rPr>
              <w:t>包含直接费用、间接费用、利润、税收等一切相关费用。</w:t>
            </w:r>
          </w:p>
          <w:p w14:paraId="05F73BA6">
            <w:pPr>
              <w:widowControl/>
              <w:numPr>
                <w:ilvl w:val="0"/>
                <w:numId w:val="0"/>
              </w:numPr>
              <w:ind w:firstLine="840" w:firstLineChars="300"/>
              <w:jc w:val="left"/>
              <w:textAlignment w:val="center"/>
              <w:rPr>
                <w:rFonts w:hint="eastAsia" w:ascii="仿宋_GB2312" w:hAnsi="仿宋_GB2312" w:eastAsia="仿宋_GB2312" w:cs="仿宋_GB2312"/>
                <w:b w:val="0"/>
                <w:bCs w:val="0"/>
                <w:color w:val="000000"/>
                <w:kern w:val="0"/>
                <w:sz w:val="28"/>
                <w:szCs w:val="28"/>
                <w:highlight w:val="none"/>
                <w:lang w:bidi="ar"/>
              </w:rPr>
            </w:pPr>
            <w:r>
              <w:rPr>
                <w:rFonts w:hint="eastAsia" w:ascii="仿宋_GB2312" w:hAnsi="仿宋_GB2312" w:eastAsia="仿宋_GB2312" w:cs="仿宋_GB2312"/>
                <w:b w:val="0"/>
                <w:bCs w:val="0"/>
                <w:color w:val="000000"/>
                <w:kern w:val="0"/>
                <w:sz w:val="28"/>
                <w:szCs w:val="28"/>
                <w:highlight w:val="none"/>
                <w:lang w:val="en-US" w:eastAsia="zh-CN" w:bidi="ar"/>
              </w:rPr>
              <w:t>2.</w:t>
            </w:r>
            <w:r>
              <w:rPr>
                <w:rFonts w:hint="eastAsia" w:ascii="仿宋_GB2312" w:hAnsi="仿宋_GB2312" w:eastAsia="仿宋_GB2312" w:cs="仿宋_GB2312"/>
                <w:b w:val="0"/>
                <w:bCs w:val="0"/>
                <w:color w:val="000000"/>
                <w:kern w:val="0"/>
                <w:sz w:val="28"/>
                <w:szCs w:val="28"/>
                <w:highlight w:val="none"/>
                <w:lang w:bidi="ar"/>
              </w:rPr>
              <w:t xml:space="preserve">协作服务采用单价报价与总价报价分别都不得超过本次协作的控制单价与控制总价的方式进行采购。 </w:t>
            </w:r>
          </w:p>
          <w:p w14:paraId="3010CA6D">
            <w:pPr>
              <w:widowControl/>
              <w:numPr>
                <w:ilvl w:val="0"/>
                <w:numId w:val="0"/>
              </w:numPr>
              <w:ind w:firstLine="840" w:firstLineChars="300"/>
              <w:jc w:val="left"/>
              <w:textAlignment w:val="center"/>
              <w:rPr>
                <w:rFonts w:hint="eastAsia" w:ascii="仿宋_GB2312" w:hAnsi="仿宋_GB2312" w:eastAsia="仿宋_GB2312" w:cs="仿宋_GB2312"/>
                <w:b w:val="0"/>
                <w:bCs w:val="0"/>
                <w:color w:val="000000"/>
                <w:kern w:val="0"/>
                <w:sz w:val="28"/>
                <w:szCs w:val="28"/>
                <w:highlight w:val="none"/>
                <w:lang w:bidi="ar"/>
              </w:rPr>
            </w:pPr>
            <w:r>
              <w:rPr>
                <w:rFonts w:hint="eastAsia" w:ascii="仿宋_GB2312" w:hAnsi="仿宋_GB2312" w:eastAsia="仿宋_GB2312" w:cs="仿宋_GB2312"/>
                <w:b w:val="0"/>
                <w:bCs w:val="0"/>
                <w:color w:val="000000"/>
                <w:kern w:val="0"/>
                <w:sz w:val="28"/>
                <w:szCs w:val="28"/>
                <w:highlight w:val="none"/>
                <w:lang w:bidi="ar"/>
              </w:rPr>
              <w:t>3</w:t>
            </w:r>
            <w:r>
              <w:rPr>
                <w:rFonts w:hint="eastAsia" w:ascii="仿宋_GB2312" w:hAnsi="仿宋_GB2312" w:eastAsia="仿宋_GB2312" w:cs="仿宋_GB2312"/>
                <w:b w:val="0"/>
                <w:bCs w:val="0"/>
                <w:color w:val="000000"/>
                <w:kern w:val="0"/>
                <w:sz w:val="28"/>
                <w:szCs w:val="28"/>
                <w:highlight w:val="none"/>
                <w:lang w:val="en-US" w:eastAsia="zh-CN" w:bidi="ar"/>
              </w:rPr>
              <w:t>.</w:t>
            </w:r>
            <w:r>
              <w:rPr>
                <w:rFonts w:hint="eastAsia" w:ascii="仿宋_GB2312" w:hAnsi="仿宋_GB2312" w:eastAsia="仿宋_GB2312" w:cs="仿宋_GB2312"/>
                <w:b w:val="0"/>
                <w:bCs w:val="0"/>
                <w:color w:val="000000"/>
                <w:kern w:val="0"/>
                <w:sz w:val="28"/>
                <w:szCs w:val="28"/>
                <w:highlight w:val="none"/>
                <w:lang w:bidi="ar"/>
              </w:rPr>
              <w:t>本项目为</w:t>
            </w:r>
            <w:r>
              <w:rPr>
                <w:rFonts w:hint="eastAsia" w:ascii="仿宋_GB2312" w:hAnsi="仿宋_GB2312" w:eastAsia="仿宋_GB2312" w:cs="仿宋_GB2312"/>
                <w:b w:val="0"/>
                <w:bCs w:val="0"/>
                <w:color w:val="000000"/>
                <w:kern w:val="0"/>
                <w:sz w:val="28"/>
                <w:szCs w:val="28"/>
                <w:highlight w:val="none"/>
                <w:lang w:eastAsia="zh-CN" w:bidi="ar"/>
              </w:rPr>
              <w:t>单价</w:t>
            </w:r>
            <w:r>
              <w:rPr>
                <w:rFonts w:hint="eastAsia" w:ascii="仿宋_GB2312" w:hAnsi="仿宋_GB2312" w:eastAsia="仿宋_GB2312" w:cs="仿宋_GB2312"/>
                <w:b w:val="0"/>
                <w:bCs w:val="0"/>
                <w:color w:val="000000"/>
                <w:kern w:val="0"/>
                <w:sz w:val="28"/>
                <w:szCs w:val="28"/>
                <w:highlight w:val="none"/>
                <w:lang w:bidi="ar"/>
              </w:rPr>
              <w:t>合同，施工细目结算数量以实际完成并经现场验收合格数量为准。如有新增路段按本项目单价，以</w:t>
            </w:r>
            <w:r>
              <w:rPr>
                <w:rFonts w:hint="eastAsia" w:ascii="仿宋_GB2312" w:hAnsi="仿宋_GB2312" w:eastAsia="仿宋_GB2312" w:cs="仿宋_GB2312"/>
                <w:b w:val="0"/>
                <w:bCs w:val="0"/>
                <w:color w:val="000000"/>
                <w:kern w:val="0"/>
                <w:sz w:val="28"/>
                <w:szCs w:val="28"/>
                <w:highlight w:val="none"/>
                <w:lang w:val="en-US" w:eastAsia="zh-CN" w:bidi="ar"/>
              </w:rPr>
              <w:t>经验收合格的</w:t>
            </w:r>
            <w:r>
              <w:rPr>
                <w:rFonts w:hint="eastAsia" w:ascii="仿宋_GB2312" w:hAnsi="仿宋_GB2312" w:eastAsia="仿宋_GB2312" w:cs="仿宋_GB2312"/>
                <w:b w:val="0"/>
                <w:bCs w:val="0"/>
                <w:color w:val="000000"/>
                <w:kern w:val="0"/>
                <w:sz w:val="28"/>
                <w:szCs w:val="28"/>
                <w:highlight w:val="none"/>
                <w:lang w:bidi="ar"/>
              </w:rPr>
              <w:t>实际完成数量为准。</w:t>
            </w:r>
          </w:p>
          <w:p w14:paraId="67B8FEB8">
            <w:pPr>
              <w:widowControl/>
              <w:numPr>
                <w:ilvl w:val="0"/>
                <w:numId w:val="0"/>
              </w:numPr>
              <w:ind w:firstLine="840" w:firstLineChars="300"/>
              <w:jc w:val="left"/>
              <w:textAlignment w:val="center"/>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kern w:val="0"/>
                <w:sz w:val="28"/>
                <w:szCs w:val="28"/>
                <w:highlight w:val="none"/>
                <w:lang w:bidi="ar"/>
              </w:rPr>
              <w:t>4</w:t>
            </w:r>
            <w:r>
              <w:rPr>
                <w:rFonts w:hint="eastAsia" w:ascii="仿宋_GB2312" w:hAnsi="仿宋_GB2312" w:eastAsia="仿宋_GB2312" w:cs="仿宋_GB2312"/>
                <w:b w:val="0"/>
                <w:bCs w:val="0"/>
                <w:color w:val="000000"/>
                <w:kern w:val="0"/>
                <w:sz w:val="28"/>
                <w:szCs w:val="28"/>
                <w:highlight w:val="none"/>
                <w:lang w:val="en-US" w:eastAsia="zh-CN" w:bidi="ar"/>
              </w:rPr>
              <w:t>.</w:t>
            </w:r>
            <w:r>
              <w:rPr>
                <w:rFonts w:hint="eastAsia" w:ascii="仿宋_GB2312" w:hAnsi="仿宋_GB2312" w:eastAsia="仿宋_GB2312" w:cs="仿宋_GB2312"/>
                <w:b w:val="0"/>
                <w:bCs w:val="0"/>
                <w:color w:val="000000"/>
                <w:kern w:val="0"/>
                <w:sz w:val="28"/>
                <w:szCs w:val="28"/>
                <w:highlight w:val="none"/>
                <w:lang w:bidi="ar"/>
              </w:rPr>
              <w:t>安全生产专项费用、工程保险费、工伤保险费等应满足国家相关规定费用要求。</w:t>
            </w:r>
            <w:r>
              <w:rPr>
                <w:rFonts w:hint="eastAsia" w:ascii="仿宋_GB2312" w:hAnsi="仿宋_GB2312" w:eastAsia="仿宋_GB2312" w:cs="仿宋_GB2312"/>
                <w:b w:val="0"/>
                <w:bCs w:val="0"/>
                <w:color w:val="000000"/>
                <w:kern w:val="0"/>
                <w:sz w:val="32"/>
                <w:szCs w:val="32"/>
                <w:highlight w:val="none"/>
                <w:lang w:bidi="ar"/>
              </w:rPr>
              <w:t xml:space="preserve">  </w:t>
            </w:r>
          </w:p>
        </w:tc>
      </w:tr>
    </w:tbl>
    <w:p w14:paraId="39C8A23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2.施工协作费由甲方分期支付乙方。具体支付方式和时间如下：</w:t>
      </w:r>
    </w:p>
    <w:p w14:paraId="7785601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（1）乙方按甲方要求提交符合要求的现场施工照片、影像资料、现场工程数量清单，并经甲方审核无误，提交结算申请书并经甲方确认后，甲方支付50%工程款。</w:t>
      </w:r>
    </w:p>
    <w:p w14:paraId="3A0FABF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（2）经甲方和相应主管部门验收合格，</w:t>
      </w:r>
      <w:bookmarkStart w:id="294" w:name="OLE_LINK25"/>
      <w:r>
        <w:rPr>
          <w:rFonts w:hint="eastAsia" w:ascii="仿宋_GB2312" w:hAnsi="仿宋_GB2312" w:eastAsia="仿宋_GB2312" w:cs="仿宋_GB2312"/>
          <w:sz w:val="32"/>
          <w:szCs w:val="32"/>
          <w:highlight w:val="none"/>
          <w:lang w:val="en-US" w:eastAsia="zh-CN"/>
        </w:rPr>
        <w:t>甲方支付90%工程款</w:t>
      </w:r>
      <w:bookmarkEnd w:id="294"/>
      <w:r>
        <w:rPr>
          <w:rFonts w:hint="eastAsia" w:ascii="仿宋_GB2312" w:hAnsi="仿宋_GB2312" w:eastAsia="仿宋_GB2312" w:cs="仿宋_GB2312"/>
          <w:sz w:val="32"/>
          <w:szCs w:val="32"/>
          <w:highlight w:val="none"/>
          <w:lang w:val="en-US" w:eastAsia="zh-CN"/>
        </w:rPr>
        <w:t>。</w:t>
      </w:r>
    </w:p>
    <w:p w14:paraId="22777E3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（3）剩余10%作为质量保证金。除乙方发生违约现象不再退还外，质量保证金在本合同协议履约完成最后一次结算后三个月内结清尾数时一并无息退还。 </w:t>
      </w:r>
    </w:p>
    <w:p w14:paraId="4DF6F94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3.施工协作费的支付方式：</w:t>
      </w:r>
    </w:p>
    <w:p w14:paraId="52657D1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（1）协作服务费的结算方式：乙方可在结算确认后提交支付申请。</w:t>
      </w:r>
    </w:p>
    <w:p w14:paraId="7AF7F4B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（2）协作服务费的支付方式：乙方提供合规增值税发票后转账支付。</w:t>
      </w:r>
    </w:p>
    <w:p w14:paraId="0E5D805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4．银行账户信息</w:t>
      </w:r>
    </w:p>
    <w:p w14:paraId="3AE0B45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（1）甲方银行账户信息：</w:t>
      </w:r>
    </w:p>
    <w:p w14:paraId="205DD0F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开户银行：                                    </w:t>
      </w:r>
    </w:p>
    <w:p w14:paraId="789E7C2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银行账号：                                    </w:t>
      </w:r>
    </w:p>
    <w:p w14:paraId="0B62573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开户名称：                                    </w:t>
      </w:r>
    </w:p>
    <w:p w14:paraId="485E8E0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（2）乙方银行账户信息</w:t>
      </w:r>
    </w:p>
    <w:p w14:paraId="394A149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开户银行：                                    </w:t>
      </w:r>
    </w:p>
    <w:p w14:paraId="270C3D4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银行账号：                                    </w:t>
      </w:r>
    </w:p>
    <w:p w14:paraId="0FFBB39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开户名称：                                    </w:t>
      </w:r>
    </w:p>
    <w:p w14:paraId="2A755A10">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六、履约保证金金额及形式</w:t>
      </w:r>
    </w:p>
    <w:p w14:paraId="50E4D00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（一）履约保证金金额：20000元；</w:t>
      </w:r>
    </w:p>
    <w:p w14:paraId="554EFE0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（二）履约保证金币种：人民币；</w:t>
      </w:r>
    </w:p>
    <w:p w14:paraId="519143B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（三）履约保证金形式：银行保函或现金（保函有效期至项目竣工合格之日）。履约保证金的退还需在乙方无违约情形下，合同期满后无息退还至乙方指定银行账户的条款。</w:t>
      </w:r>
    </w:p>
    <w:p w14:paraId="1F7BAE22">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七、合同有效期</w:t>
      </w:r>
    </w:p>
    <w:p w14:paraId="31354B9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合同签订之日至工程施工完成甲方付清工程款后终止。</w:t>
      </w:r>
    </w:p>
    <w:p w14:paraId="1B07CFED">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八、安全生产</w:t>
      </w:r>
    </w:p>
    <w:p w14:paraId="18E0400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（一）乙方须严格遵守安全生产的要求，严禁发生违法乱纪等行为。</w:t>
      </w:r>
    </w:p>
    <w:p w14:paraId="3D622AE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（二）乙方须严格遵守高速公路作业的规章制度，确保安全生产。</w:t>
      </w:r>
    </w:p>
    <w:p w14:paraId="17ABEB61">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九、保险</w:t>
      </w:r>
    </w:p>
    <w:p w14:paraId="687924C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（一）乙方承诺为所有参与本项目协作服务人员办理意外伤害保险，并承担相应责任。保险缴费凭证（复印件）必须交甲方备案。</w:t>
      </w:r>
    </w:p>
    <w:p w14:paraId="6C2A9D4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（二）保险事故发生时，乙方有责任采取必要的措施减少损失。</w:t>
      </w:r>
    </w:p>
    <w:p w14:paraId="7F66AFCF">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十、违约责任</w:t>
      </w:r>
    </w:p>
    <w:p w14:paraId="33BD22C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（一）乙方为本项目开展协作服务工作的人员资格不符合要求的，甲方有权单方面解除合同，由此造成的损失由乙方承担。</w:t>
      </w:r>
    </w:p>
    <w:p w14:paraId="26A9B29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（二）因乙方原因损坏现场设备或造成部分工程损坏的，乙方应赔偿全部损失，甲方有权从乙方协作服务费中扣除。</w:t>
      </w:r>
    </w:p>
    <w:p w14:paraId="1D21335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（三）因乙方及第三方原因管理导致发生安全生产事故的，乙方应自行承担全部责任。</w:t>
      </w:r>
    </w:p>
    <w:p w14:paraId="45FA09F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（四）乙方未按合同约定完工的，每逾期一日应承担合同暂定总额1‰的违约金，逾期十五日仍未完工的，甲方有权解除合同并要求其承担合同总价款20%的违约金。</w:t>
      </w:r>
    </w:p>
    <w:p w14:paraId="71EBDF5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（五）其余未明事项依照《中华人民共和国民法典》及相关民事法律、法规执行。</w:t>
      </w:r>
    </w:p>
    <w:p w14:paraId="4EB7FC2D">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十一、不可抗力</w:t>
      </w:r>
    </w:p>
    <w:p w14:paraId="427260F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甲乙双方的任何一方由于不可抗力的原因不能履行合同时，应及时向对方通报不能履行或不能完全履行的理由，在取得有关证明以后，允许延期履行、部分履行或者不履行合同，并根据情况部分或全部免予承担违约责任。因一方延迟履行导致发生不可抗力事由的，不免除延迟履行方的责任。</w:t>
      </w:r>
    </w:p>
    <w:p w14:paraId="61C31C37">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十二、争议解决</w:t>
      </w:r>
    </w:p>
    <w:p w14:paraId="16E3FD9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本合同履行过程中发生的争议，甲、乙双方应友好协商解决；协商解决不成时，提请</w:t>
      </w:r>
      <w:r>
        <w:rPr>
          <w:rFonts w:hint="eastAsia" w:ascii="仿宋_GB2312" w:hAnsi="仿宋_GB2312" w:eastAsia="仿宋_GB2312" w:cs="仿宋_GB2312"/>
          <w:sz w:val="32"/>
          <w:szCs w:val="32"/>
          <w:highlight w:val="none"/>
          <w:u w:val="single"/>
          <w:lang w:val="en-US" w:eastAsia="zh-CN"/>
        </w:rPr>
        <w:t>福州市</w:t>
      </w:r>
      <w:r>
        <w:rPr>
          <w:rFonts w:hint="eastAsia" w:ascii="仿宋_GB2312" w:hAnsi="仿宋_GB2312" w:eastAsia="仿宋_GB2312" w:cs="仿宋_GB2312"/>
          <w:sz w:val="32"/>
          <w:szCs w:val="32"/>
          <w:highlight w:val="none"/>
          <w:lang w:val="en-US" w:eastAsia="zh-CN"/>
        </w:rPr>
        <w:t>仲裁委员会仲裁。</w:t>
      </w:r>
    </w:p>
    <w:p w14:paraId="4EAD3741">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十三、附则</w:t>
      </w:r>
    </w:p>
    <w:p w14:paraId="5378722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（一）本合同经双方签字盖章后生效。合同履行过程中需要进一步约定合同条款的，可由双方协商后签订补充协议，补充协议和本合同具有同等法律效力。</w:t>
      </w:r>
    </w:p>
    <w:p w14:paraId="3BFBFC0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（二）询价文件、应征文件也为合同的组成部分。</w:t>
      </w:r>
    </w:p>
    <w:p w14:paraId="492FD0F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（三）本合同一式</w:t>
      </w:r>
      <w:r>
        <w:rPr>
          <w:rFonts w:hint="eastAsia" w:ascii="仿宋_GB2312" w:hAnsi="仿宋_GB2312" w:eastAsia="仿宋_GB2312" w:cs="仿宋_GB2312"/>
          <w:sz w:val="32"/>
          <w:szCs w:val="32"/>
          <w:highlight w:val="none"/>
          <w:u w:val="single"/>
          <w:lang w:val="en-US" w:eastAsia="zh-CN"/>
        </w:rPr>
        <w:t>捌</w:t>
      </w:r>
      <w:r>
        <w:rPr>
          <w:rFonts w:hint="eastAsia" w:ascii="仿宋_GB2312" w:hAnsi="仿宋_GB2312" w:eastAsia="仿宋_GB2312" w:cs="仿宋_GB2312"/>
          <w:sz w:val="32"/>
          <w:szCs w:val="32"/>
          <w:highlight w:val="none"/>
          <w:lang w:val="en-US" w:eastAsia="zh-CN"/>
        </w:rPr>
        <w:t>份，甲乙方各执</w:t>
      </w:r>
      <w:r>
        <w:rPr>
          <w:rFonts w:hint="eastAsia" w:ascii="仿宋_GB2312" w:hAnsi="仿宋_GB2312" w:eastAsia="仿宋_GB2312" w:cs="仿宋_GB2312"/>
          <w:sz w:val="32"/>
          <w:szCs w:val="32"/>
          <w:highlight w:val="none"/>
          <w:u w:val="single"/>
          <w:lang w:val="en-US" w:eastAsia="zh-CN"/>
        </w:rPr>
        <w:t>肆</w:t>
      </w:r>
      <w:r>
        <w:rPr>
          <w:rFonts w:hint="eastAsia" w:ascii="仿宋_GB2312" w:hAnsi="仿宋_GB2312" w:eastAsia="仿宋_GB2312" w:cs="仿宋_GB2312"/>
          <w:sz w:val="32"/>
          <w:szCs w:val="32"/>
          <w:highlight w:val="none"/>
          <w:lang w:val="en-US" w:eastAsia="zh-CN"/>
        </w:rPr>
        <w:t>份，具有同等法律效力。</w:t>
      </w:r>
    </w:p>
    <w:bookmarkEnd w:id="288"/>
    <w:bookmarkEnd w:id="289"/>
    <w:bookmarkEnd w:id="290"/>
    <w:bookmarkEnd w:id="291"/>
    <w:bookmarkEnd w:id="292"/>
    <w:bookmarkEnd w:id="293"/>
    <w:p w14:paraId="1E93C184">
      <w:pPr>
        <w:keepNext w:val="0"/>
        <w:keepLines w:val="0"/>
        <w:pageBreakBefore w:val="0"/>
        <w:kinsoku/>
        <w:wordWrap/>
        <w:overflowPunct/>
        <w:topLinePunct w:val="0"/>
        <w:autoSpaceDE/>
        <w:autoSpaceDN/>
        <w:bidi w:val="0"/>
        <w:adjustRightInd/>
        <w:snapToGrid/>
        <w:spacing w:line="560" w:lineRule="exact"/>
        <w:textAlignment w:val="auto"/>
        <w:rPr>
          <w:rFonts w:ascii="仿宋_GB2312" w:hAnsi="仿宋_GB2312" w:eastAsia="仿宋_GB2312" w:cs="仿宋_GB2312"/>
          <w:sz w:val="32"/>
          <w:szCs w:val="32"/>
          <w:highlight w:val="none"/>
        </w:rPr>
      </w:pPr>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0"/>
        <w:gridCol w:w="4530"/>
      </w:tblGrid>
      <w:tr w14:paraId="3B5E1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530" w:type="dxa"/>
          </w:tcPr>
          <w:p w14:paraId="2573B55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甲方（盖章）：</w:t>
            </w:r>
          </w:p>
        </w:tc>
        <w:tc>
          <w:tcPr>
            <w:tcW w:w="4530" w:type="dxa"/>
          </w:tcPr>
          <w:p w14:paraId="630113B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乙方：</w:t>
            </w:r>
          </w:p>
        </w:tc>
      </w:tr>
      <w:tr w14:paraId="2045B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2440140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rPr>
              <w:t>法人/授权代表（签字）：</w:t>
            </w:r>
          </w:p>
        </w:tc>
        <w:tc>
          <w:tcPr>
            <w:tcW w:w="4530" w:type="dxa"/>
          </w:tcPr>
          <w:p w14:paraId="494CBEE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rPr>
              <w:t>法人/授权代表（签字）：</w:t>
            </w:r>
          </w:p>
        </w:tc>
      </w:tr>
      <w:tr w14:paraId="10AAE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0" w:type="dxa"/>
          </w:tcPr>
          <w:p w14:paraId="2E66069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日期：    年    月    日</w:t>
            </w:r>
          </w:p>
        </w:tc>
        <w:tc>
          <w:tcPr>
            <w:tcW w:w="4530" w:type="dxa"/>
          </w:tcPr>
          <w:p w14:paraId="1B185CC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日期：    年    月    日</w:t>
            </w:r>
          </w:p>
        </w:tc>
      </w:tr>
    </w:tbl>
    <w:p w14:paraId="08B561E6">
      <w:pPr>
        <w:widowControl/>
        <w:spacing w:line="560" w:lineRule="atLeast"/>
        <w:rPr>
          <w:rFonts w:hint="eastAsia" w:ascii="仿宋_GB2312" w:hAnsi="仿宋_GB2312" w:eastAsia="仿宋_GB2312" w:cs="仿宋_GB2312"/>
          <w:sz w:val="32"/>
          <w:szCs w:val="32"/>
          <w:highlight w:val="none"/>
        </w:rPr>
      </w:pPr>
    </w:p>
    <w:p w14:paraId="31796E53">
      <w:pPr>
        <w:widowControl/>
        <w:spacing w:line="560" w:lineRule="atLeast"/>
        <w:rPr>
          <w:rFonts w:hint="eastAsia" w:ascii="仿宋_GB2312" w:hAnsi="仿宋_GB2312" w:eastAsia="仿宋_GB2312" w:cs="仿宋_GB2312"/>
          <w:sz w:val="32"/>
          <w:szCs w:val="32"/>
          <w:highlight w:val="none"/>
        </w:rPr>
      </w:pPr>
    </w:p>
    <w:bookmarkEnd w:id="281"/>
    <w:p w14:paraId="71E53C40">
      <w:pPr>
        <w:pStyle w:val="13"/>
        <w:jc w:val="both"/>
        <w:rPr>
          <w:rFonts w:hint="eastAsia" w:ascii="仿宋_GB2312" w:hAnsi="仿宋_GB2312" w:eastAsia="仿宋_GB2312" w:cs="仿宋_GB2312"/>
          <w:b/>
          <w:bCs w:val="0"/>
          <w:kern w:val="2"/>
          <w:sz w:val="44"/>
          <w:szCs w:val="44"/>
          <w:highlight w:val="none"/>
          <w:lang w:val="en-US" w:eastAsia="zh-CN" w:bidi="ar-SA"/>
        </w:rPr>
      </w:pPr>
      <w:bookmarkStart w:id="295" w:name="_Toc122257625"/>
      <w:bookmarkStart w:id="296" w:name="_Toc20816"/>
      <w:bookmarkStart w:id="297" w:name="_Toc29038"/>
      <w:bookmarkStart w:id="298" w:name="_Toc19739"/>
      <w:bookmarkStart w:id="299" w:name="_Toc7999"/>
      <w:bookmarkStart w:id="300" w:name="_Toc26998"/>
      <w:bookmarkStart w:id="301" w:name="_Toc8079"/>
      <w:bookmarkStart w:id="302" w:name="_Toc122750651"/>
      <w:bookmarkStart w:id="303" w:name="_Toc24961"/>
    </w:p>
    <w:p w14:paraId="1C6F587A">
      <w:pPr>
        <w:pageBreakBefore/>
        <w:spacing w:line="560" w:lineRule="atLeast"/>
        <w:jc w:val="center"/>
        <w:outlineLvl w:val="0"/>
        <w:rPr>
          <w:rFonts w:hint="eastAsia" w:ascii="黑体" w:hAnsi="黑体" w:eastAsia="黑体" w:cs="黑体"/>
          <w:sz w:val="44"/>
          <w:szCs w:val="44"/>
          <w:highlight w:val="none"/>
        </w:rPr>
      </w:pPr>
      <w:bookmarkStart w:id="304" w:name="_Toc18943"/>
      <w:r>
        <w:rPr>
          <w:rFonts w:hint="eastAsia" w:ascii="黑体" w:hAnsi="黑体" w:eastAsia="黑体" w:cs="黑体"/>
          <w:sz w:val="44"/>
          <w:szCs w:val="44"/>
          <w:highlight w:val="none"/>
        </w:rPr>
        <w:t>第七篇</w:t>
      </w:r>
      <w:bookmarkEnd w:id="295"/>
      <w:r>
        <w:rPr>
          <w:rFonts w:hint="eastAsia" w:ascii="黑体" w:hAnsi="黑体" w:eastAsia="黑体" w:cs="黑体"/>
          <w:sz w:val="44"/>
          <w:szCs w:val="44"/>
          <w:highlight w:val="none"/>
        </w:rPr>
        <w:t xml:space="preserve">  响应文件格式</w:t>
      </w:r>
      <w:bookmarkEnd w:id="296"/>
      <w:bookmarkEnd w:id="297"/>
      <w:bookmarkEnd w:id="298"/>
      <w:bookmarkEnd w:id="299"/>
      <w:bookmarkEnd w:id="300"/>
      <w:bookmarkEnd w:id="301"/>
      <w:bookmarkEnd w:id="302"/>
      <w:bookmarkEnd w:id="303"/>
      <w:bookmarkEnd w:id="304"/>
    </w:p>
    <w:p w14:paraId="2A2E1676">
      <w:pPr>
        <w:pageBreakBefore/>
        <w:spacing w:line="560" w:lineRule="exact"/>
        <w:jc w:val="center"/>
        <w:rPr>
          <w:rFonts w:ascii="仿宋_GB2312" w:eastAsia="仿宋_GB2312"/>
          <w:bCs/>
          <w:sz w:val="44"/>
          <w:szCs w:val="44"/>
          <w:highlight w:val="none"/>
        </w:rPr>
      </w:pPr>
      <w:r>
        <w:rPr>
          <w:rFonts w:hint="eastAsia" w:ascii="仿宋_GB2312" w:eastAsia="仿宋_GB2312"/>
          <w:bCs/>
          <w:sz w:val="44"/>
          <w:szCs w:val="44"/>
          <w:highlight w:val="none"/>
        </w:rPr>
        <w:t>（响应文件包封封面）</w:t>
      </w:r>
    </w:p>
    <w:p w14:paraId="45207686">
      <w:pPr>
        <w:spacing w:line="560" w:lineRule="exact"/>
        <w:jc w:val="center"/>
        <w:rPr>
          <w:rFonts w:ascii="仿宋_GB2312" w:eastAsia="仿宋_GB2312"/>
          <w:bCs/>
          <w:sz w:val="44"/>
          <w:szCs w:val="44"/>
          <w:highlight w:val="none"/>
        </w:rPr>
      </w:pPr>
    </w:p>
    <w:p w14:paraId="096FBB5D">
      <w:pPr>
        <w:spacing w:line="560" w:lineRule="exact"/>
        <w:jc w:val="center"/>
        <w:rPr>
          <w:rFonts w:ascii="仿宋_GB2312" w:eastAsia="仿宋_GB2312"/>
          <w:b/>
          <w:sz w:val="44"/>
          <w:szCs w:val="44"/>
          <w:highlight w:val="none"/>
        </w:rPr>
      </w:pPr>
      <w:r>
        <w:rPr>
          <w:rFonts w:hint="eastAsia" w:ascii="仿宋_GB2312" w:eastAsia="仿宋_GB2312"/>
          <w:b/>
          <w:sz w:val="44"/>
          <w:szCs w:val="44"/>
          <w:highlight w:val="none"/>
        </w:rPr>
        <w:t xml:space="preserve">福路通城乡发展（福建）集团有限公司 </w:t>
      </w:r>
    </w:p>
    <w:p w14:paraId="1E73999B">
      <w:pPr>
        <w:spacing w:line="560" w:lineRule="exact"/>
        <w:jc w:val="center"/>
        <w:rPr>
          <w:rFonts w:ascii="仿宋_GB2312" w:eastAsia="仿宋_GB2312"/>
          <w:b/>
          <w:sz w:val="44"/>
          <w:szCs w:val="44"/>
          <w:highlight w:val="none"/>
        </w:rPr>
      </w:pPr>
    </w:p>
    <w:p w14:paraId="53D89956">
      <w:pPr>
        <w:spacing w:line="560" w:lineRule="exact"/>
        <w:jc w:val="center"/>
        <w:rPr>
          <w:rFonts w:ascii="仿宋_GB2312" w:eastAsia="仿宋_GB2312"/>
          <w:b/>
          <w:sz w:val="44"/>
          <w:szCs w:val="44"/>
          <w:highlight w:val="none"/>
        </w:rPr>
      </w:pPr>
      <w:r>
        <w:rPr>
          <w:rFonts w:hint="eastAsia" w:ascii="仿宋_GB2312" w:eastAsia="仿宋_GB2312"/>
          <w:b/>
          <w:sz w:val="44"/>
          <w:szCs w:val="44"/>
          <w:highlight w:val="none"/>
          <w:lang w:eastAsia="zh-CN"/>
        </w:rPr>
        <w:t>宁上高速路面交安设施安装服务</w:t>
      </w:r>
      <w:r>
        <w:rPr>
          <w:rFonts w:hint="eastAsia" w:ascii="仿宋_GB2312" w:eastAsia="仿宋_GB2312"/>
          <w:b/>
          <w:sz w:val="44"/>
          <w:szCs w:val="44"/>
          <w:highlight w:val="none"/>
        </w:rPr>
        <w:t>询价采购</w:t>
      </w:r>
    </w:p>
    <w:p w14:paraId="377F63C4">
      <w:pPr>
        <w:spacing w:line="560" w:lineRule="exact"/>
        <w:jc w:val="center"/>
        <w:rPr>
          <w:rFonts w:ascii="仿宋_GB2312" w:eastAsia="仿宋_GB2312"/>
          <w:b/>
          <w:sz w:val="44"/>
          <w:szCs w:val="44"/>
          <w:highlight w:val="none"/>
        </w:rPr>
      </w:pPr>
    </w:p>
    <w:p w14:paraId="2D2322C8">
      <w:pPr>
        <w:spacing w:line="560" w:lineRule="exact"/>
        <w:jc w:val="center"/>
        <w:rPr>
          <w:rFonts w:ascii="仿宋_GB2312" w:eastAsia="仿宋_GB2312"/>
          <w:b/>
          <w:sz w:val="44"/>
          <w:szCs w:val="44"/>
          <w:highlight w:val="none"/>
        </w:rPr>
      </w:pPr>
    </w:p>
    <w:p w14:paraId="37FA1E8F">
      <w:pPr>
        <w:spacing w:line="560" w:lineRule="exact"/>
        <w:jc w:val="center"/>
        <w:rPr>
          <w:rFonts w:ascii="仿宋_GB2312" w:eastAsia="仿宋_GB2312"/>
          <w:b/>
          <w:sz w:val="44"/>
          <w:szCs w:val="44"/>
          <w:highlight w:val="none"/>
        </w:rPr>
      </w:pPr>
    </w:p>
    <w:p w14:paraId="11732DDE">
      <w:pPr>
        <w:spacing w:line="560" w:lineRule="exact"/>
        <w:jc w:val="center"/>
        <w:rPr>
          <w:rFonts w:ascii="仿宋_GB2312" w:eastAsia="仿宋_GB2312"/>
          <w:b/>
          <w:sz w:val="44"/>
          <w:szCs w:val="44"/>
          <w:highlight w:val="none"/>
        </w:rPr>
      </w:pPr>
    </w:p>
    <w:p w14:paraId="0AB34FEE">
      <w:pPr>
        <w:spacing w:line="560" w:lineRule="exact"/>
        <w:jc w:val="center"/>
        <w:rPr>
          <w:rFonts w:ascii="仿宋_GB2312" w:eastAsia="仿宋_GB2312"/>
          <w:b/>
          <w:sz w:val="44"/>
          <w:szCs w:val="44"/>
          <w:highlight w:val="none"/>
        </w:rPr>
      </w:pPr>
    </w:p>
    <w:p w14:paraId="1C0E0C5E">
      <w:pPr>
        <w:spacing w:line="560" w:lineRule="exact"/>
        <w:jc w:val="center"/>
        <w:rPr>
          <w:rFonts w:ascii="仿宋_GB2312" w:eastAsia="仿宋_GB2312"/>
          <w:b/>
          <w:sz w:val="44"/>
          <w:szCs w:val="44"/>
          <w:highlight w:val="none"/>
        </w:rPr>
      </w:pPr>
    </w:p>
    <w:p w14:paraId="61FD40BF">
      <w:pPr>
        <w:spacing w:line="560" w:lineRule="exact"/>
        <w:jc w:val="center"/>
        <w:rPr>
          <w:rFonts w:ascii="仿宋_GB2312" w:eastAsia="仿宋_GB2312"/>
          <w:b/>
          <w:sz w:val="44"/>
          <w:szCs w:val="44"/>
          <w:highlight w:val="none"/>
        </w:rPr>
      </w:pPr>
      <w:r>
        <w:rPr>
          <w:rFonts w:hint="eastAsia" w:ascii="仿宋_GB2312" w:eastAsia="仿宋_GB2312"/>
          <w:b/>
          <w:sz w:val="44"/>
          <w:szCs w:val="44"/>
          <w:highlight w:val="none"/>
        </w:rPr>
        <w:t>响应文件</w:t>
      </w:r>
    </w:p>
    <w:p w14:paraId="4BA9CDFB">
      <w:pPr>
        <w:spacing w:line="560" w:lineRule="exact"/>
        <w:jc w:val="center"/>
        <w:rPr>
          <w:rFonts w:ascii="仿宋_GB2312" w:eastAsia="仿宋_GB2312"/>
          <w:b/>
          <w:sz w:val="32"/>
          <w:szCs w:val="32"/>
          <w:highlight w:val="none"/>
        </w:rPr>
      </w:pPr>
    </w:p>
    <w:p w14:paraId="4C4FF3EB">
      <w:pPr>
        <w:spacing w:line="560" w:lineRule="exact"/>
        <w:jc w:val="center"/>
        <w:rPr>
          <w:rFonts w:ascii="仿宋_GB2312" w:eastAsia="仿宋_GB2312"/>
          <w:b/>
          <w:sz w:val="32"/>
          <w:szCs w:val="32"/>
          <w:highlight w:val="none"/>
        </w:rPr>
      </w:pPr>
    </w:p>
    <w:p w14:paraId="324D6121">
      <w:pPr>
        <w:spacing w:line="560" w:lineRule="exact"/>
        <w:jc w:val="center"/>
        <w:rPr>
          <w:rFonts w:ascii="仿宋_GB2312" w:eastAsia="仿宋_GB2312"/>
          <w:b/>
          <w:sz w:val="32"/>
          <w:szCs w:val="32"/>
          <w:highlight w:val="none"/>
        </w:rPr>
      </w:pPr>
    </w:p>
    <w:p w14:paraId="5D93F1E6">
      <w:pPr>
        <w:spacing w:line="560" w:lineRule="exact"/>
        <w:jc w:val="center"/>
        <w:rPr>
          <w:rFonts w:ascii="仿宋_GB2312" w:eastAsia="仿宋_GB2312"/>
          <w:b/>
          <w:sz w:val="32"/>
          <w:szCs w:val="32"/>
          <w:highlight w:val="none"/>
        </w:rPr>
      </w:pPr>
    </w:p>
    <w:p w14:paraId="0FB3E644">
      <w:pPr>
        <w:spacing w:line="560" w:lineRule="exact"/>
        <w:jc w:val="center"/>
        <w:rPr>
          <w:rFonts w:ascii="仿宋_GB2312" w:eastAsia="仿宋_GB2312"/>
          <w:b/>
          <w:sz w:val="32"/>
          <w:szCs w:val="32"/>
          <w:highlight w:val="none"/>
        </w:rPr>
      </w:pPr>
    </w:p>
    <w:p w14:paraId="03956CCA">
      <w:pPr>
        <w:spacing w:line="560" w:lineRule="exact"/>
        <w:jc w:val="center"/>
        <w:rPr>
          <w:rFonts w:ascii="仿宋_GB2312" w:eastAsia="仿宋_GB2312"/>
          <w:b/>
          <w:sz w:val="32"/>
          <w:szCs w:val="32"/>
          <w:highlight w:val="none"/>
        </w:rPr>
      </w:pPr>
      <w:r>
        <w:rPr>
          <w:rFonts w:hint="eastAsia" w:ascii="仿宋_GB2312" w:eastAsia="仿宋_GB2312"/>
          <w:b/>
          <w:sz w:val="32"/>
          <w:szCs w:val="32"/>
          <w:highlight w:val="none"/>
        </w:rPr>
        <w:t>供应商：</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 xml:space="preserve"> （单位名称加盖公章）</w:t>
      </w:r>
    </w:p>
    <w:p w14:paraId="167B29B2">
      <w:pPr>
        <w:spacing w:line="560" w:lineRule="exact"/>
        <w:jc w:val="center"/>
        <w:rPr>
          <w:rFonts w:ascii="仿宋_GB2312" w:eastAsia="仿宋_GB2312"/>
          <w:b/>
          <w:sz w:val="32"/>
          <w:szCs w:val="32"/>
          <w:highlight w:val="none"/>
        </w:rPr>
      </w:pPr>
      <w:r>
        <w:rPr>
          <w:rFonts w:hint="eastAsia" w:ascii="仿宋_GB2312" w:eastAsia="仿宋_GB2312"/>
          <w:b/>
          <w:sz w:val="32"/>
          <w:szCs w:val="32"/>
          <w:highlight w:val="none"/>
        </w:rPr>
        <w:t>日  期：2025年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p>
    <w:p w14:paraId="0DFB60DE">
      <w:pPr>
        <w:spacing w:line="560" w:lineRule="exact"/>
        <w:rPr>
          <w:rFonts w:ascii="仿宋_GB2312" w:eastAsia="仿宋_GB2312"/>
          <w:sz w:val="32"/>
          <w:szCs w:val="32"/>
          <w:highlight w:val="none"/>
        </w:rPr>
      </w:pPr>
    </w:p>
    <w:p w14:paraId="7FBFD7E5">
      <w:pPr>
        <w:spacing w:line="560" w:lineRule="exact"/>
        <w:rPr>
          <w:rFonts w:ascii="仿宋_GB2312" w:eastAsia="仿宋_GB2312"/>
          <w:sz w:val="32"/>
          <w:szCs w:val="32"/>
          <w:highlight w:val="none"/>
        </w:rPr>
      </w:pPr>
    </w:p>
    <w:p w14:paraId="7DCA75AE">
      <w:pPr>
        <w:spacing w:line="560" w:lineRule="exact"/>
        <w:rPr>
          <w:rFonts w:ascii="仿宋_GB2312" w:eastAsia="仿宋_GB2312"/>
          <w:sz w:val="32"/>
          <w:szCs w:val="32"/>
          <w:highlight w:val="none"/>
        </w:rPr>
      </w:pPr>
    </w:p>
    <w:p w14:paraId="4E436390">
      <w:pPr>
        <w:spacing w:line="560" w:lineRule="exact"/>
        <w:rPr>
          <w:rFonts w:ascii="仿宋_GB2312" w:eastAsia="仿宋_GB2312"/>
          <w:sz w:val="32"/>
          <w:szCs w:val="32"/>
          <w:highlight w:val="none"/>
        </w:rPr>
      </w:pPr>
    </w:p>
    <w:p w14:paraId="64C2312F">
      <w:pPr>
        <w:pageBreakBefore/>
        <w:spacing w:line="560" w:lineRule="exact"/>
        <w:jc w:val="center"/>
        <w:rPr>
          <w:rFonts w:ascii="仿宋_GB2312" w:eastAsia="仿宋_GB2312"/>
          <w:bCs/>
          <w:sz w:val="44"/>
          <w:szCs w:val="44"/>
          <w:highlight w:val="none"/>
        </w:rPr>
      </w:pPr>
      <w:r>
        <w:rPr>
          <w:rFonts w:hint="eastAsia" w:ascii="仿宋_GB2312" w:eastAsia="仿宋_GB2312"/>
          <w:bCs/>
          <w:sz w:val="44"/>
          <w:szCs w:val="44"/>
          <w:highlight w:val="none"/>
        </w:rPr>
        <w:t>（响应文件封面）</w:t>
      </w:r>
    </w:p>
    <w:p w14:paraId="08E5BF67">
      <w:pPr>
        <w:spacing w:line="560" w:lineRule="exact"/>
        <w:jc w:val="center"/>
        <w:rPr>
          <w:rFonts w:ascii="仿宋_GB2312" w:eastAsia="仿宋_GB2312"/>
          <w:b/>
          <w:sz w:val="44"/>
          <w:szCs w:val="44"/>
          <w:highlight w:val="none"/>
        </w:rPr>
      </w:pPr>
    </w:p>
    <w:p w14:paraId="70EC9866">
      <w:pPr>
        <w:spacing w:line="560" w:lineRule="exact"/>
        <w:jc w:val="center"/>
        <w:rPr>
          <w:rFonts w:ascii="仿宋_GB2312" w:eastAsia="仿宋_GB2312"/>
          <w:b/>
          <w:sz w:val="44"/>
          <w:szCs w:val="44"/>
          <w:highlight w:val="none"/>
        </w:rPr>
      </w:pPr>
      <w:r>
        <w:rPr>
          <w:rFonts w:hint="eastAsia" w:ascii="仿宋_GB2312" w:eastAsia="仿宋_GB2312"/>
          <w:b/>
          <w:sz w:val="44"/>
          <w:szCs w:val="44"/>
          <w:highlight w:val="none"/>
        </w:rPr>
        <w:t xml:space="preserve">福路通城乡发展（福建）集团有限公司 </w:t>
      </w:r>
    </w:p>
    <w:p w14:paraId="3F9F73EC">
      <w:pPr>
        <w:spacing w:line="560" w:lineRule="exact"/>
        <w:jc w:val="center"/>
        <w:rPr>
          <w:rFonts w:ascii="仿宋_GB2312" w:eastAsia="仿宋_GB2312"/>
          <w:b/>
          <w:sz w:val="44"/>
          <w:szCs w:val="44"/>
          <w:highlight w:val="none"/>
        </w:rPr>
      </w:pPr>
    </w:p>
    <w:p w14:paraId="632EE9BE">
      <w:pPr>
        <w:spacing w:line="560" w:lineRule="exact"/>
        <w:jc w:val="center"/>
        <w:rPr>
          <w:rFonts w:ascii="仿宋_GB2312" w:eastAsia="仿宋_GB2312"/>
          <w:b/>
          <w:sz w:val="44"/>
          <w:szCs w:val="44"/>
          <w:highlight w:val="none"/>
        </w:rPr>
      </w:pPr>
      <w:r>
        <w:rPr>
          <w:rFonts w:hint="eastAsia" w:ascii="仿宋_GB2312" w:eastAsia="仿宋_GB2312"/>
          <w:b/>
          <w:sz w:val="44"/>
          <w:szCs w:val="44"/>
          <w:highlight w:val="none"/>
          <w:lang w:eastAsia="zh-CN"/>
        </w:rPr>
        <w:t>宁上高速路面交安设施安装服务</w:t>
      </w:r>
      <w:r>
        <w:rPr>
          <w:rFonts w:hint="eastAsia" w:ascii="仿宋_GB2312" w:eastAsia="仿宋_GB2312"/>
          <w:b/>
          <w:sz w:val="44"/>
          <w:szCs w:val="44"/>
          <w:highlight w:val="none"/>
        </w:rPr>
        <w:t>询价采购</w:t>
      </w:r>
    </w:p>
    <w:p w14:paraId="19CA0308">
      <w:pPr>
        <w:spacing w:line="560" w:lineRule="exact"/>
        <w:jc w:val="center"/>
        <w:rPr>
          <w:rFonts w:ascii="仿宋_GB2312" w:eastAsia="仿宋_GB2312"/>
          <w:b/>
          <w:sz w:val="44"/>
          <w:szCs w:val="44"/>
          <w:highlight w:val="none"/>
        </w:rPr>
      </w:pPr>
    </w:p>
    <w:p w14:paraId="75E2F7AF">
      <w:pPr>
        <w:spacing w:line="560" w:lineRule="exact"/>
        <w:jc w:val="center"/>
        <w:rPr>
          <w:rFonts w:ascii="仿宋_GB2312" w:eastAsia="仿宋_GB2312"/>
          <w:b/>
          <w:sz w:val="44"/>
          <w:szCs w:val="44"/>
          <w:highlight w:val="none"/>
        </w:rPr>
      </w:pPr>
    </w:p>
    <w:p w14:paraId="1F44F41B">
      <w:pPr>
        <w:spacing w:line="560" w:lineRule="exact"/>
        <w:jc w:val="center"/>
        <w:rPr>
          <w:rFonts w:ascii="仿宋_GB2312" w:eastAsia="仿宋_GB2312"/>
          <w:b/>
          <w:sz w:val="44"/>
          <w:szCs w:val="44"/>
          <w:highlight w:val="none"/>
        </w:rPr>
      </w:pPr>
    </w:p>
    <w:p w14:paraId="33556948">
      <w:pPr>
        <w:spacing w:line="560" w:lineRule="exact"/>
        <w:jc w:val="center"/>
        <w:rPr>
          <w:rFonts w:ascii="仿宋_GB2312" w:eastAsia="仿宋_GB2312"/>
          <w:b/>
          <w:sz w:val="44"/>
          <w:szCs w:val="44"/>
          <w:highlight w:val="none"/>
        </w:rPr>
      </w:pPr>
    </w:p>
    <w:p w14:paraId="6EB4AED8">
      <w:pPr>
        <w:spacing w:line="560" w:lineRule="exact"/>
        <w:jc w:val="center"/>
        <w:rPr>
          <w:rFonts w:ascii="仿宋_GB2312" w:eastAsia="仿宋_GB2312"/>
          <w:b/>
          <w:sz w:val="44"/>
          <w:szCs w:val="44"/>
          <w:highlight w:val="none"/>
        </w:rPr>
      </w:pPr>
    </w:p>
    <w:p w14:paraId="24A47D72">
      <w:pPr>
        <w:spacing w:line="560" w:lineRule="exact"/>
        <w:jc w:val="center"/>
        <w:rPr>
          <w:rFonts w:ascii="仿宋_GB2312" w:eastAsia="仿宋_GB2312"/>
          <w:b/>
          <w:sz w:val="44"/>
          <w:szCs w:val="44"/>
          <w:highlight w:val="none"/>
        </w:rPr>
      </w:pPr>
    </w:p>
    <w:p w14:paraId="556D4452">
      <w:pPr>
        <w:spacing w:line="560" w:lineRule="exact"/>
        <w:jc w:val="center"/>
        <w:rPr>
          <w:rFonts w:ascii="仿宋_GB2312" w:eastAsia="仿宋_GB2312"/>
          <w:b/>
          <w:sz w:val="44"/>
          <w:szCs w:val="44"/>
          <w:highlight w:val="none"/>
        </w:rPr>
      </w:pPr>
      <w:r>
        <w:rPr>
          <w:rFonts w:hint="eastAsia" w:ascii="仿宋_GB2312" w:eastAsia="仿宋_GB2312"/>
          <w:b/>
          <w:sz w:val="44"/>
          <w:szCs w:val="44"/>
          <w:highlight w:val="none"/>
        </w:rPr>
        <w:t>响应文件</w:t>
      </w:r>
    </w:p>
    <w:p w14:paraId="5BE2E9AF">
      <w:pPr>
        <w:spacing w:line="560" w:lineRule="exact"/>
        <w:jc w:val="center"/>
        <w:rPr>
          <w:rFonts w:ascii="仿宋_GB2312" w:eastAsia="仿宋_GB2312"/>
          <w:b/>
          <w:sz w:val="32"/>
          <w:szCs w:val="32"/>
          <w:highlight w:val="none"/>
        </w:rPr>
      </w:pPr>
    </w:p>
    <w:p w14:paraId="2B2BCDFF">
      <w:pPr>
        <w:spacing w:line="560" w:lineRule="exact"/>
        <w:jc w:val="center"/>
        <w:rPr>
          <w:rFonts w:ascii="仿宋_GB2312" w:eastAsia="仿宋_GB2312"/>
          <w:b/>
          <w:sz w:val="32"/>
          <w:szCs w:val="32"/>
          <w:highlight w:val="none"/>
        </w:rPr>
      </w:pPr>
    </w:p>
    <w:p w14:paraId="4A8A66EF">
      <w:pPr>
        <w:spacing w:line="560" w:lineRule="exact"/>
        <w:jc w:val="center"/>
        <w:rPr>
          <w:rFonts w:ascii="仿宋_GB2312" w:eastAsia="仿宋_GB2312"/>
          <w:b/>
          <w:sz w:val="32"/>
          <w:szCs w:val="32"/>
          <w:highlight w:val="none"/>
        </w:rPr>
      </w:pPr>
    </w:p>
    <w:p w14:paraId="3A9BBA9D">
      <w:pPr>
        <w:spacing w:line="560" w:lineRule="exact"/>
        <w:jc w:val="center"/>
        <w:rPr>
          <w:rFonts w:ascii="仿宋_GB2312" w:eastAsia="仿宋_GB2312"/>
          <w:b/>
          <w:sz w:val="32"/>
          <w:szCs w:val="32"/>
          <w:highlight w:val="none"/>
        </w:rPr>
      </w:pPr>
    </w:p>
    <w:p w14:paraId="0352E012">
      <w:pPr>
        <w:spacing w:line="560" w:lineRule="exact"/>
        <w:jc w:val="center"/>
        <w:rPr>
          <w:rFonts w:ascii="仿宋_GB2312" w:eastAsia="仿宋_GB2312"/>
          <w:b/>
          <w:sz w:val="32"/>
          <w:szCs w:val="32"/>
          <w:highlight w:val="none"/>
        </w:rPr>
      </w:pPr>
    </w:p>
    <w:p w14:paraId="1D6ACD83">
      <w:pPr>
        <w:spacing w:line="560" w:lineRule="exact"/>
        <w:jc w:val="center"/>
        <w:rPr>
          <w:rFonts w:ascii="仿宋_GB2312" w:eastAsia="仿宋_GB2312"/>
          <w:b/>
          <w:sz w:val="32"/>
          <w:szCs w:val="32"/>
          <w:highlight w:val="none"/>
        </w:rPr>
      </w:pPr>
      <w:r>
        <w:rPr>
          <w:rFonts w:hint="eastAsia" w:ascii="仿宋_GB2312" w:eastAsia="仿宋_GB2312"/>
          <w:b/>
          <w:sz w:val="32"/>
          <w:szCs w:val="32"/>
          <w:highlight w:val="none"/>
        </w:rPr>
        <w:t>供应商：</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 xml:space="preserve"> （单位名称加盖公章）</w:t>
      </w:r>
    </w:p>
    <w:p w14:paraId="255ACC32">
      <w:pPr>
        <w:spacing w:line="560" w:lineRule="exact"/>
        <w:jc w:val="center"/>
        <w:rPr>
          <w:rFonts w:ascii="仿宋_GB2312" w:eastAsia="仿宋_GB2312"/>
          <w:b/>
          <w:sz w:val="32"/>
          <w:szCs w:val="32"/>
          <w:highlight w:val="none"/>
        </w:rPr>
      </w:pPr>
      <w:r>
        <w:rPr>
          <w:rFonts w:hint="eastAsia" w:ascii="仿宋_GB2312" w:eastAsia="仿宋_GB2312"/>
          <w:b/>
          <w:sz w:val="32"/>
          <w:szCs w:val="32"/>
          <w:highlight w:val="none"/>
        </w:rPr>
        <w:t>日  期：2025年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p>
    <w:p w14:paraId="27586E16">
      <w:pPr>
        <w:spacing w:line="560" w:lineRule="exact"/>
        <w:rPr>
          <w:rFonts w:ascii="仿宋_GB2312" w:eastAsia="仿宋_GB2312"/>
          <w:sz w:val="32"/>
          <w:szCs w:val="32"/>
          <w:highlight w:val="none"/>
        </w:rPr>
      </w:pPr>
    </w:p>
    <w:p w14:paraId="4DE52A10">
      <w:pPr>
        <w:pageBreakBefore/>
        <w:widowControl w:val="0"/>
        <w:kinsoku/>
        <w:wordWrap/>
        <w:overflowPunct/>
        <w:topLinePunct w:val="0"/>
        <w:autoSpaceDE/>
        <w:autoSpaceDN/>
        <w:bidi w:val="0"/>
        <w:adjustRightInd/>
        <w:snapToGrid/>
        <w:spacing w:line="560" w:lineRule="exact"/>
        <w:jc w:val="center"/>
        <w:textAlignment w:val="auto"/>
        <w:outlineLvl w:val="0"/>
        <w:rPr>
          <w:rFonts w:ascii="仿宋_GB2312" w:hAnsi="仿宋_GB2312" w:eastAsia="仿宋_GB2312" w:cs="仿宋_GB2312"/>
          <w:b/>
          <w:bCs/>
          <w:kern w:val="44"/>
          <w:sz w:val="44"/>
          <w:szCs w:val="44"/>
          <w:highlight w:val="none"/>
        </w:rPr>
      </w:pPr>
      <w:bookmarkStart w:id="305" w:name="_Toc13593"/>
      <w:bookmarkStart w:id="306" w:name="_Toc9582"/>
      <w:bookmarkStart w:id="307" w:name="_Toc3952"/>
      <w:bookmarkStart w:id="308" w:name="_Toc27854"/>
      <w:bookmarkStart w:id="309" w:name="_Toc19149"/>
      <w:bookmarkStart w:id="310" w:name="_Toc31235"/>
      <w:bookmarkStart w:id="311" w:name="_Toc17844"/>
      <w:bookmarkStart w:id="312" w:name="_Toc29472"/>
      <w:bookmarkStart w:id="313" w:name="_Toc28750"/>
      <w:bookmarkStart w:id="314" w:name="_Toc18621"/>
      <w:bookmarkStart w:id="315" w:name="_Toc31436"/>
      <w:bookmarkStart w:id="316" w:name="_Toc23879"/>
      <w:bookmarkStart w:id="317" w:name="_Toc30065"/>
      <w:bookmarkStart w:id="318" w:name="_Toc9836"/>
      <w:r>
        <w:rPr>
          <w:rFonts w:hint="eastAsia" w:ascii="仿宋_GB2312" w:hAnsi="仿宋_GB2312" w:eastAsia="仿宋_GB2312" w:cs="仿宋_GB2312"/>
          <w:b/>
          <w:bCs/>
          <w:kern w:val="44"/>
          <w:sz w:val="44"/>
          <w:szCs w:val="44"/>
          <w:highlight w:val="none"/>
        </w:rPr>
        <w:t>目</w:t>
      </w:r>
      <w:r>
        <w:rPr>
          <w:rFonts w:ascii="仿宋_GB2312" w:hAnsi="仿宋_GB2312" w:eastAsia="仿宋_GB2312" w:cs="仿宋_GB2312"/>
          <w:b/>
          <w:bCs/>
          <w:kern w:val="44"/>
          <w:sz w:val="44"/>
          <w:szCs w:val="44"/>
          <w:highlight w:val="none"/>
        </w:rPr>
        <w:t xml:space="preserve">  </w:t>
      </w:r>
      <w:r>
        <w:rPr>
          <w:rFonts w:hint="eastAsia" w:ascii="仿宋_GB2312" w:hAnsi="仿宋_GB2312" w:eastAsia="仿宋_GB2312" w:cs="仿宋_GB2312"/>
          <w:b/>
          <w:bCs/>
          <w:kern w:val="44"/>
          <w:sz w:val="44"/>
          <w:szCs w:val="44"/>
          <w:highlight w:val="none"/>
        </w:rPr>
        <w:t>录</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14:paraId="6B8B743D">
      <w:pPr>
        <w:widowControl w:val="0"/>
        <w:kinsoku/>
        <w:wordWrap/>
        <w:overflowPunct/>
        <w:topLinePunct w:val="0"/>
        <w:autoSpaceDE/>
        <w:autoSpaceDN/>
        <w:bidi w:val="0"/>
        <w:adjustRightInd/>
        <w:snapToGrid/>
        <w:spacing w:line="560" w:lineRule="exact"/>
        <w:textAlignment w:val="auto"/>
        <w:rPr>
          <w:rFonts w:ascii="仿宋_GB2312" w:eastAsia="仿宋_GB2312"/>
          <w:sz w:val="32"/>
          <w:szCs w:val="32"/>
          <w:highlight w:val="none"/>
        </w:rPr>
      </w:pPr>
    </w:p>
    <w:p w14:paraId="5FF72C7D">
      <w:pPr>
        <w:widowControl w:val="0"/>
        <w:kinsoku/>
        <w:wordWrap/>
        <w:overflowPunct/>
        <w:topLinePunct w:val="0"/>
        <w:autoSpaceDE/>
        <w:autoSpaceDN/>
        <w:bidi w:val="0"/>
        <w:adjustRightInd/>
        <w:snapToGrid/>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一、报价函</w:t>
      </w:r>
    </w:p>
    <w:p w14:paraId="287299A5">
      <w:pPr>
        <w:widowControl w:val="0"/>
        <w:kinsoku/>
        <w:wordWrap/>
        <w:overflowPunct/>
        <w:topLinePunct w:val="0"/>
        <w:autoSpaceDE/>
        <w:autoSpaceDN/>
        <w:bidi w:val="0"/>
        <w:adjustRightInd/>
        <w:snapToGrid/>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二、报价表</w:t>
      </w:r>
    </w:p>
    <w:p w14:paraId="4F7D0770">
      <w:pPr>
        <w:widowControl w:val="0"/>
        <w:kinsoku/>
        <w:wordWrap/>
        <w:overflowPunct/>
        <w:topLinePunct w:val="0"/>
        <w:autoSpaceDE/>
        <w:autoSpaceDN/>
        <w:bidi w:val="0"/>
        <w:adjustRightInd/>
        <w:snapToGrid/>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三、供应商法定代表人身份证明书（格式）</w:t>
      </w:r>
    </w:p>
    <w:p w14:paraId="0A932BE2">
      <w:pPr>
        <w:widowControl w:val="0"/>
        <w:kinsoku/>
        <w:wordWrap/>
        <w:overflowPunct/>
        <w:topLinePunct w:val="0"/>
        <w:autoSpaceDE/>
        <w:autoSpaceDN/>
        <w:bidi w:val="0"/>
        <w:adjustRightInd/>
        <w:snapToGrid/>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四、供应商法定代表人授权委托书（格式）</w:t>
      </w:r>
    </w:p>
    <w:p w14:paraId="4B07288F">
      <w:pPr>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highlight w:val="none"/>
        </w:rPr>
      </w:pPr>
      <w:r>
        <w:rPr>
          <w:rFonts w:hint="eastAsia" w:ascii="仿宋_GB2312" w:eastAsia="仿宋_GB2312"/>
          <w:sz w:val="32"/>
          <w:szCs w:val="32"/>
          <w:highlight w:val="none"/>
        </w:rPr>
        <w:t>五、资质文件</w:t>
      </w:r>
    </w:p>
    <w:p w14:paraId="635BA3E2">
      <w:pPr>
        <w:widowControl w:val="0"/>
        <w:kinsoku/>
        <w:wordWrap/>
        <w:overflowPunct/>
        <w:topLinePunct w:val="0"/>
        <w:autoSpaceDE/>
        <w:autoSpaceDN/>
        <w:bidi w:val="0"/>
        <w:adjustRightInd/>
        <w:snapToGrid/>
        <w:spacing w:line="560" w:lineRule="exact"/>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六、业绩证明文件</w:t>
      </w:r>
    </w:p>
    <w:p w14:paraId="1BEF0189">
      <w:pPr>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七</w:t>
      </w:r>
      <w:r>
        <w:rPr>
          <w:rFonts w:hint="eastAsia" w:ascii="仿宋_GB2312" w:eastAsia="仿宋_GB2312"/>
          <w:sz w:val="32"/>
          <w:szCs w:val="32"/>
          <w:highlight w:val="none"/>
        </w:rPr>
        <w:t>、拟投入本项目劳务协作的机械及设备一览表</w:t>
      </w:r>
    </w:p>
    <w:p w14:paraId="19D6FB3D">
      <w:pPr>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八</w:t>
      </w:r>
      <w:r>
        <w:rPr>
          <w:rFonts w:hint="eastAsia" w:ascii="仿宋_GB2312" w:eastAsia="仿宋_GB2312"/>
          <w:sz w:val="32"/>
          <w:szCs w:val="32"/>
          <w:highlight w:val="none"/>
        </w:rPr>
        <w:t>、拟投入本项目劳务协作人员名单</w:t>
      </w:r>
    </w:p>
    <w:p w14:paraId="2205189E">
      <w:pPr>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九、</w:t>
      </w:r>
      <w:r>
        <w:rPr>
          <w:rFonts w:hint="eastAsia" w:ascii="仿宋_GB2312" w:eastAsia="仿宋_GB2312"/>
          <w:sz w:val="32"/>
          <w:szCs w:val="32"/>
          <w:highlight w:val="none"/>
        </w:rPr>
        <w:t>其他文件</w:t>
      </w:r>
    </w:p>
    <w:p w14:paraId="1370D597">
      <w:pPr>
        <w:widowControl w:val="0"/>
        <w:kinsoku/>
        <w:wordWrap/>
        <w:overflowPunct/>
        <w:topLinePunct w:val="0"/>
        <w:autoSpaceDE/>
        <w:autoSpaceDN/>
        <w:bidi w:val="0"/>
        <w:adjustRightInd/>
        <w:snapToGrid/>
        <w:spacing w:line="560" w:lineRule="exact"/>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十、承诺函</w:t>
      </w:r>
    </w:p>
    <w:p w14:paraId="55F73575">
      <w:pPr>
        <w:widowControl w:val="0"/>
        <w:kinsoku/>
        <w:wordWrap/>
        <w:overflowPunct/>
        <w:topLinePunct w:val="0"/>
        <w:autoSpaceDE/>
        <w:autoSpaceDN/>
        <w:bidi w:val="0"/>
        <w:adjustRightInd/>
        <w:snapToGrid/>
        <w:spacing w:line="560" w:lineRule="exact"/>
        <w:jc w:val="left"/>
        <w:textAlignment w:val="auto"/>
        <w:outlineLvl w:val="9"/>
        <w:rPr>
          <w:rFonts w:hint="eastAsia" w:ascii="仿宋_GB2312" w:hAnsi="Times New Roman" w:eastAsia="仿宋_GB2312" w:cs="Times New Roman"/>
          <w:b w:val="0"/>
          <w:bCs w:val="0"/>
          <w:kern w:val="2"/>
          <w:sz w:val="32"/>
          <w:szCs w:val="32"/>
          <w:highlight w:val="none"/>
        </w:rPr>
      </w:pPr>
      <w:r>
        <w:rPr>
          <w:rFonts w:hint="eastAsia" w:ascii="仿宋_GB2312" w:eastAsia="仿宋_GB2312" w:cs="Times New Roman"/>
          <w:b w:val="0"/>
          <w:bCs w:val="0"/>
          <w:kern w:val="2"/>
          <w:sz w:val="32"/>
          <w:szCs w:val="32"/>
          <w:highlight w:val="none"/>
          <w:lang w:val="en-US" w:eastAsia="zh-CN"/>
        </w:rPr>
        <w:t>十一</w:t>
      </w:r>
      <w:r>
        <w:rPr>
          <w:rFonts w:hint="eastAsia" w:ascii="仿宋_GB2312" w:hAnsi="Times New Roman" w:eastAsia="仿宋_GB2312" w:cs="Times New Roman"/>
          <w:b w:val="0"/>
          <w:bCs w:val="0"/>
          <w:kern w:val="2"/>
          <w:sz w:val="32"/>
          <w:szCs w:val="32"/>
          <w:highlight w:val="none"/>
        </w:rPr>
        <w:t>、供应商廉政保证书</w:t>
      </w:r>
    </w:p>
    <w:p w14:paraId="3A06862D">
      <w:pPr>
        <w:pageBreakBefore/>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kern w:val="44"/>
          <w:sz w:val="44"/>
          <w:szCs w:val="44"/>
          <w:highlight w:val="none"/>
        </w:rPr>
      </w:pPr>
      <w:bookmarkStart w:id="319" w:name="_Toc9294"/>
      <w:bookmarkStart w:id="320" w:name="_Toc534883409"/>
      <w:bookmarkStart w:id="321" w:name="_Toc21265"/>
      <w:bookmarkStart w:id="322" w:name="_Toc18384"/>
      <w:bookmarkStart w:id="323" w:name="_Toc317"/>
      <w:bookmarkStart w:id="324" w:name="_Toc6010"/>
      <w:bookmarkStart w:id="325" w:name="_Toc508286687"/>
      <w:bookmarkStart w:id="326" w:name="_Toc2906"/>
      <w:bookmarkStart w:id="327" w:name="_Toc14403"/>
      <w:bookmarkStart w:id="328" w:name="_Toc25313"/>
      <w:bookmarkStart w:id="329" w:name="_Toc409439698"/>
      <w:bookmarkStart w:id="330" w:name="_Toc15079"/>
      <w:bookmarkStart w:id="331" w:name="_Toc14919"/>
      <w:bookmarkStart w:id="332" w:name="_Toc19055"/>
      <w:bookmarkStart w:id="333" w:name="_Toc24450"/>
      <w:bookmarkStart w:id="334" w:name="_Toc122750652"/>
      <w:bookmarkStart w:id="335" w:name="_Toc534883367"/>
      <w:bookmarkStart w:id="336" w:name="_Toc16722"/>
      <w:r>
        <w:rPr>
          <w:rFonts w:hint="eastAsia" w:ascii="仿宋_GB2312" w:hAnsi="仿宋_GB2312" w:eastAsia="仿宋_GB2312" w:cs="仿宋_GB2312"/>
          <w:b/>
          <w:bCs/>
          <w:kern w:val="44"/>
          <w:sz w:val="44"/>
          <w:szCs w:val="44"/>
          <w:highlight w:val="none"/>
        </w:rPr>
        <w:t>一、报 价 函</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27563A93">
      <w:pPr>
        <w:widowControl w:val="0"/>
        <w:kinsoku/>
        <w:wordWrap/>
        <w:overflowPunct/>
        <w:topLinePunct w:val="0"/>
        <w:autoSpaceDE/>
        <w:autoSpaceDN/>
        <w:bidi w:val="0"/>
        <w:adjustRightInd/>
        <w:snapToGrid/>
        <w:spacing w:line="560" w:lineRule="exact"/>
        <w:textAlignment w:val="auto"/>
        <w:rPr>
          <w:rFonts w:ascii="仿宋_GB2312" w:eastAsia="仿宋_GB2312"/>
          <w:sz w:val="32"/>
          <w:szCs w:val="32"/>
          <w:highlight w:val="none"/>
        </w:rPr>
      </w:pPr>
    </w:p>
    <w:p w14:paraId="3211E528">
      <w:pPr>
        <w:widowControl w:val="0"/>
        <w:kinsoku/>
        <w:wordWrap/>
        <w:overflowPunct/>
        <w:topLinePunct w:val="0"/>
        <w:autoSpaceDE/>
        <w:autoSpaceDN/>
        <w:bidi w:val="0"/>
        <w:adjustRightInd/>
        <w:snapToGrid/>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福路通城乡发展（福建）集团有限公司：</w:t>
      </w:r>
    </w:p>
    <w:p w14:paraId="7390FB81">
      <w:pPr>
        <w:widowControl w:val="0"/>
        <w:kinsoku/>
        <w:wordWrap/>
        <w:overflowPunct/>
        <w:topLinePunct w:val="0"/>
        <w:autoSpaceDE/>
        <w:autoSpaceDN/>
        <w:bidi w:val="0"/>
        <w:adjustRightInd/>
        <w:snapToGrid/>
        <w:spacing w:line="560" w:lineRule="exact"/>
        <w:textAlignment w:val="auto"/>
        <w:rPr>
          <w:rFonts w:ascii="仿宋_GB2312" w:eastAsia="仿宋_GB2312"/>
          <w:sz w:val="32"/>
          <w:szCs w:val="32"/>
          <w:highlight w:val="none"/>
        </w:rPr>
      </w:pPr>
    </w:p>
    <w:p w14:paraId="1C0D8B1D">
      <w:pPr>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我方获悉贵单位需询价采购</w:t>
      </w:r>
      <w:r>
        <w:rPr>
          <w:rFonts w:hint="eastAsia" w:ascii="仿宋_GB2312" w:eastAsia="仿宋_GB2312"/>
          <w:sz w:val="32"/>
          <w:szCs w:val="32"/>
          <w:highlight w:val="none"/>
          <w:u w:val="single"/>
          <w:lang w:eastAsia="zh-CN"/>
        </w:rPr>
        <w:t>宁上高速路面交安设施安装服务</w:t>
      </w:r>
      <w:r>
        <w:rPr>
          <w:rFonts w:hint="eastAsia" w:ascii="仿宋_GB2312" w:eastAsia="仿宋_GB2312"/>
          <w:sz w:val="32"/>
          <w:szCs w:val="32"/>
          <w:highlight w:val="none"/>
        </w:rPr>
        <w:t>，经详细研究询价采购文件，决定参加该询价采购项目的报价。</w:t>
      </w:r>
    </w:p>
    <w:p w14:paraId="327E8CD1">
      <w:pPr>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1.我方全面研究了询价采购文件，并能够正确理解和接受其全部内容。我方根据询价采购文件中的各项要求，对所询价采购</w:t>
      </w:r>
      <w:r>
        <w:rPr>
          <w:rFonts w:hint="eastAsia" w:ascii="仿宋_GB2312" w:eastAsia="仿宋_GB2312"/>
          <w:sz w:val="32"/>
          <w:szCs w:val="32"/>
          <w:highlight w:val="none"/>
          <w:lang w:eastAsia="zh-CN"/>
        </w:rPr>
        <w:t>宁上高速路面交安设施安装服务，</w:t>
      </w:r>
      <w:r>
        <w:rPr>
          <w:rFonts w:hint="eastAsia" w:ascii="仿宋_GB2312" w:eastAsia="仿宋_GB2312"/>
          <w:sz w:val="32"/>
          <w:szCs w:val="32"/>
          <w:highlight w:val="none"/>
          <w:lang w:val="en-US" w:eastAsia="zh-CN"/>
        </w:rPr>
        <w:t>我方愿以人民币</w:t>
      </w:r>
      <w:r>
        <w:rPr>
          <w:rFonts w:hint="eastAsia" w:ascii="仿宋_GB2312" w:eastAsia="仿宋_GB2312"/>
          <w:sz w:val="32"/>
          <w:szCs w:val="32"/>
          <w:highlight w:val="none"/>
        </w:rPr>
        <w:t>￥</w:t>
      </w:r>
      <w:r>
        <w:rPr>
          <w:rFonts w:hint="eastAsia" w:ascii="仿宋_GB2312" w:eastAsia="仿宋_GB2312"/>
          <w:sz w:val="32"/>
          <w:szCs w:val="32"/>
          <w:highlight w:val="none"/>
          <w:u w:val="single"/>
        </w:rPr>
        <w:t xml:space="preserve">      </w:t>
      </w:r>
      <w:r>
        <w:rPr>
          <w:rFonts w:hint="eastAsia" w:ascii="仿宋_GB2312" w:eastAsia="仿宋_GB2312"/>
          <w:sz w:val="32"/>
          <w:szCs w:val="32"/>
          <w:highlight w:val="none"/>
        </w:rPr>
        <w:t>（大写</w:t>
      </w:r>
      <w:r>
        <w:rPr>
          <w:rFonts w:hint="eastAsia" w:ascii="仿宋_GB2312" w:eastAsia="仿宋_GB2312"/>
          <w:sz w:val="32"/>
          <w:szCs w:val="32"/>
          <w:highlight w:val="none"/>
          <w:u w:val="single"/>
        </w:rPr>
        <w:t xml:space="preserve">      </w:t>
      </w:r>
      <w:r>
        <w:rPr>
          <w:rFonts w:hint="eastAsia" w:ascii="仿宋_GB2312" w:eastAsia="仿宋_GB2312"/>
          <w:sz w:val="32"/>
          <w:szCs w:val="32"/>
          <w:highlight w:val="none"/>
        </w:rPr>
        <w:t>）元费用价完成协作服务。</w:t>
      </w:r>
    </w:p>
    <w:p w14:paraId="3BECF4E2">
      <w:pPr>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bookmarkStart w:id="337" w:name="_Toc10539"/>
      <w:bookmarkStart w:id="338" w:name="_Toc8363"/>
      <w:r>
        <w:rPr>
          <w:rFonts w:hint="eastAsia" w:ascii="仿宋_GB2312" w:eastAsia="仿宋_GB2312"/>
          <w:sz w:val="32"/>
          <w:szCs w:val="32"/>
          <w:highlight w:val="none"/>
        </w:rPr>
        <w:t>2.我方现提交的响应文件为：响应文件正本一份，副本一份。</w:t>
      </w:r>
      <w:bookmarkEnd w:id="337"/>
      <w:bookmarkEnd w:id="338"/>
    </w:p>
    <w:p w14:paraId="0C7B5C78">
      <w:pPr>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3.我方完全同意询价采购文件中规定的评审办法；愿意自行承担我方在参与此次报价活动过程中所发生的一切费用。</w:t>
      </w:r>
    </w:p>
    <w:p w14:paraId="73971D51">
      <w:pPr>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4.如果我方中选成交，我方将履行询价采购文件中规定的各项要求，按《中华人民共和国民法典》和合同约定条款承担我方的责任。</w:t>
      </w:r>
    </w:p>
    <w:p w14:paraId="074C8F56">
      <w:pPr>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5.我方愿意接收询价采购人在询价采购文件中要求的所有资料，并对其真实性负责。</w:t>
      </w:r>
    </w:p>
    <w:p w14:paraId="1F2380BB">
      <w:pPr>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供应商法定代表人               供应商：（公章）</w:t>
      </w:r>
    </w:p>
    <w:p w14:paraId="300E3909">
      <w:pPr>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 xml:space="preserve">或其授权委托人：（签字） </w:t>
      </w:r>
    </w:p>
    <w:p w14:paraId="2CAEE377">
      <w:pPr>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 xml:space="preserve">地址： </w:t>
      </w:r>
    </w:p>
    <w:p w14:paraId="4C5913DD">
      <w:pPr>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电话：                    日期：2025年</w:t>
      </w:r>
      <w:r>
        <w:rPr>
          <w:rFonts w:hint="eastAsia" w:ascii="仿宋_GB2312" w:eastAsia="仿宋_GB2312"/>
          <w:sz w:val="32"/>
          <w:szCs w:val="32"/>
          <w:highlight w:val="none"/>
          <w:u w:val="single"/>
        </w:rPr>
        <w:t xml:space="preserve">   </w:t>
      </w:r>
      <w:r>
        <w:rPr>
          <w:rFonts w:hint="eastAsia" w:ascii="仿宋_GB2312" w:eastAsia="仿宋_GB2312"/>
          <w:sz w:val="32"/>
          <w:szCs w:val="32"/>
          <w:highlight w:val="none"/>
        </w:rPr>
        <w:t>月</w:t>
      </w:r>
      <w:r>
        <w:rPr>
          <w:rFonts w:hint="eastAsia" w:ascii="仿宋_GB2312" w:eastAsia="仿宋_GB2312"/>
          <w:sz w:val="32"/>
          <w:szCs w:val="32"/>
          <w:highlight w:val="none"/>
          <w:u w:val="single"/>
        </w:rPr>
        <w:t xml:space="preserve">   </w:t>
      </w:r>
      <w:r>
        <w:rPr>
          <w:rFonts w:hint="eastAsia" w:ascii="仿宋_GB2312" w:eastAsia="仿宋_GB2312"/>
          <w:sz w:val="32"/>
          <w:szCs w:val="32"/>
          <w:highlight w:val="none"/>
        </w:rPr>
        <w:t>日</w:t>
      </w:r>
    </w:p>
    <w:p w14:paraId="7F5E9406">
      <w:pPr>
        <w:pStyle w:val="3"/>
        <w:widowControl w:val="0"/>
        <w:kinsoku/>
        <w:wordWrap/>
        <w:overflowPunct/>
        <w:topLinePunct w:val="0"/>
        <w:autoSpaceDE/>
        <w:autoSpaceDN/>
        <w:bidi w:val="0"/>
        <w:adjustRightInd/>
        <w:snapToGrid/>
        <w:spacing w:line="560" w:lineRule="exact"/>
        <w:jc w:val="both"/>
        <w:textAlignment w:val="auto"/>
        <w:rPr>
          <w:rFonts w:hint="eastAsia"/>
          <w:highlight w:val="none"/>
        </w:rPr>
        <w:sectPr>
          <w:pgSz w:w="11906" w:h="16838"/>
          <w:pgMar w:top="1701" w:right="1474" w:bottom="1134" w:left="1588" w:header="851" w:footer="992" w:gutter="0"/>
          <w:pgNumType w:fmt="decimal"/>
          <w:cols w:space="720" w:num="1"/>
          <w:docGrid w:type="lines" w:linePitch="312" w:charSpace="0"/>
        </w:sectPr>
      </w:pPr>
      <w:bookmarkStart w:id="339" w:name="_Toc534883368"/>
      <w:bookmarkStart w:id="340" w:name="_Toc508286688"/>
      <w:bookmarkStart w:id="341" w:name="_Toc122257631"/>
      <w:bookmarkStart w:id="342" w:name="_Toc409439699"/>
      <w:bookmarkStart w:id="343" w:name="_Toc534883410"/>
      <w:bookmarkStart w:id="344" w:name="_Toc122750653"/>
    </w:p>
    <w:bookmarkEnd w:id="339"/>
    <w:bookmarkEnd w:id="340"/>
    <w:bookmarkEnd w:id="341"/>
    <w:bookmarkEnd w:id="342"/>
    <w:bookmarkEnd w:id="343"/>
    <w:bookmarkEnd w:id="344"/>
    <w:p w14:paraId="2D863794">
      <w:pPr>
        <w:keepNext w:val="0"/>
        <w:keepLines w:val="0"/>
        <w:pageBreakBefore/>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kern w:val="44"/>
          <w:sz w:val="44"/>
          <w:szCs w:val="44"/>
          <w:highlight w:val="none"/>
        </w:rPr>
      </w:pPr>
      <w:bookmarkStart w:id="345" w:name="_Toc3187"/>
      <w:bookmarkStart w:id="346" w:name="_Toc5375"/>
      <w:bookmarkStart w:id="347" w:name="_Toc9680"/>
      <w:bookmarkStart w:id="348" w:name="_Toc23211"/>
      <w:bookmarkStart w:id="349" w:name="_Toc16574"/>
      <w:bookmarkStart w:id="350" w:name="_Toc12979"/>
      <w:bookmarkStart w:id="351" w:name="_Toc29219"/>
      <w:bookmarkStart w:id="352" w:name="_Toc28199"/>
      <w:bookmarkStart w:id="353" w:name="_Toc2099"/>
      <w:bookmarkStart w:id="354" w:name="_Toc16674"/>
      <w:bookmarkStart w:id="355" w:name="_Toc23506"/>
      <w:bookmarkStart w:id="356" w:name="_Toc16543"/>
      <w:bookmarkStart w:id="357" w:name="_Toc31915"/>
      <w:r>
        <w:rPr>
          <w:rFonts w:hint="eastAsia" w:ascii="仿宋_GB2312" w:hAnsi="仿宋_GB2312" w:eastAsia="仿宋_GB2312" w:cs="仿宋_GB2312"/>
          <w:b/>
          <w:bCs/>
          <w:kern w:val="44"/>
          <w:sz w:val="44"/>
          <w:szCs w:val="44"/>
          <w:highlight w:val="none"/>
          <w:lang w:val="en-US" w:eastAsia="zh-CN" w:bidi="ar-SA"/>
        </w:rPr>
        <w:t>二、</w:t>
      </w:r>
      <w:r>
        <w:rPr>
          <w:rFonts w:hint="eastAsia" w:ascii="仿宋_GB2312" w:hAnsi="仿宋_GB2312" w:eastAsia="仿宋_GB2312" w:cs="仿宋_GB2312"/>
          <w:b/>
          <w:bCs/>
          <w:kern w:val="44"/>
          <w:sz w:val="44"/>
          <w:szCs w:val="44"/>
          <w:highlight w:val="none"/>
        </w:rPr>
        <w:t>报 价 表</w:t>
      </w:r>
      <w:bookmarkEnd w:id="345"/>
      <w:bookmarkEnd w:id="346"/>
      <w:bookmarkEnd w:id="347"/>
      <w:bookmarkEnd w:id="348"/>
      <w:bookmarkEnd w:id="349"/>
      <w:bookmarkEnd w:id="350"/>
      <w:bookmarkEnd w:id="351"/>
      <w:bookmarkEnd w:id="352"/>
      <w:bookmarkEnd w:id="353"/>
      <w:bookmarkEnd w:id="354"/>
      <w:bookmarkEnd w:id="355"/>
      <w:bookmarkEnd w:id="356"/>
      <w:bookmarkEnd w:id="357"/>
      <w:bookmarkStart w:id="358" w:name="_Toc122257633"/>
      <w:bookmarkStart w:id="359" w:name="_Toc409439700"/>
      <w:bookmarkStart w:id="360" w:name="_Toc122750655"/>
      <w:bookmarkStart w:id="361" w:name="_Toc287002972"/>
    </w:p>
    <w:p w14:paraId="4DA2CC4D">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sz w:val="32"/>
          <w:szCs w:val="32"/>
          <w:highlight w:val="none"/>
        </w:rPr>
      </w:pPr>
    </w:p>
    <w:tbl>
      <w:tblPr>
        <w:tblStyle w:val="31"/>
        <w:tblW w:w="5000" w:type="pct"/>
        <w:jc w:val="center"/>
        <w:tblLayout w:type="autofit"/>
        <w:tblCellMar>
          <w:top w:w="0" w:type="dxa"/>
          <w:left w:w="108" w:type="dxa"/>
          <w:bottom w:w="0" w:type="dxa"/>
          <w:right w:w="108" w:type="dxa"/>
        </w:tblCellMar>
      </w:tblPr>
      <w:tblGrid>
        <w:gridCol w:w="711"/>
        <w:gridCol w:w="2514"/>
        <w:gridCol w:w="707"/>
        <w:gridCol w:w="1316"/>
        <w:gridCol w:w="1331"/>
        <w:gridCol w:w="1318"/>
        <w:gridCol w:w="1333"/>
      </w:tblGrid>
      <w:tr w14:paraId="7F233772">
        <w:tblPrEx>
          <w:tblCellMar>
            <w:top w:w="0" w:type="dxa"/>
            <w:left w:w="108" w:type="dxa"/>
            <w:bottom w:w="0" w:type="dxa"/>
            <w:right w:w="108" w:type="dxa"/>
          </w:tblCellMar>
        </w:tblPrEx>
        <w:trPr>
          <w:trHeight w:val="567" w:hRule="atLeast"/>
          <w:jc w:val="center"/>
        </w:trPr>
        <w:tc>
          <w:tcPr>
            <w:tcW w:w="5000" w:type="pct"/>
            <w:gridSpan w:val="7"/>
            <w:tcBorders>
              <w:top w:val="nil"/>
              <w:left w:val="nil"/>
              <w:bottom w:val="single" w:color="000000" w:sz="8" w:space="0"/>
              <w:right w:val="nil"/>
            </w:tcBorders>
            <w:noWrap w:val="0"/>
            <w:vAlign w:val="center"/>
          </w:tcPr>
          <w:p w14:paraId="469F21B0">
            <w:pPr>
              <w:widowControl/>
              <w:jc w:val="center"/>
              <w:textAlignment w:val="center"/>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rPr>
              <w:t>宁上高速路面交安设施安装服务</w:t>
            </w:r>
            <w:r>
              <w:rPr>
                <w:rFonts w:hint="eastAsia" w:ascii="仿宋_GB2312" w:hAnsi="仿宋_GB2312" w:eastAsia="仿宋_GB2312" w:cs="仿宋_GB2312"/>
                <w:b/>
                <w:bCs/>
                <w:color w:val="000000"/>
                <w:sz w:val="32"/>
                <w:szCs w:val="32"/>
                <w:highlight w:val="none"/>
                <w:lang w:val="en-US" w:eastAsia="zh-CN"/>
              </w:rPr>
              <w:t>报价清单</w:t>
            </w:r>
          </w:p>
        </w:tc>
      </w:tr>
      <w:tr w14:paraId="615F2D8F">
        <w:tblPrEx>
          <w:tblCellMar>
            <w:top w:w="0" w:type="dxa"/>
            <w:left w:w="108" w:type="dxa"/>
            <w:bottom w:w="0" w:type="dxa"/>
            <w:right w:w="108" w:type="dxa"/>
          </w:tblCellMar>
        </w:tblPrEx>
        <w:trPr>
          <w:trHeight w:val="567" w:hRule="atLeast"/>
          <w:jc w:val="center"/>
        </w:trPr>
        <w:tc>
          <w:tcPr>
            <w:tcW w:w="385" w:type="pct"/>
            <w:tcBorders>
              <w:top w:val="nil"/>
              <w:left w:val="single" w:color="000000" w:sz="8" w:space="0"/>
              <w:bottom w:val="single" w:color="000000" w:sz="8" w:space="0"/>
              <w:right w:val="single" w:color="000000" w:sz="8" w:space="0"/>
            </w:tcBorders>
            <w:noWrap w:val="0"/>
            <w:vAlign w:val="center"/>
          </w:tcPr>
          <w:p w14:paraId="60F11681">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序号</w:t>
            </w:r>
          </w:p>
        </w:tc>
        <w:tc>
          <w:tcPr>
            <w:tcW w:w="1362" w:type="pct"/>
            <w:tcBorders>
              <w:top w:val="single" w:color="000000" w:sz="8" w:space="0"/>
              <w:left w:val="nil"/>
              <w:bottom w:val="single" w:color="000000" w:sz="8" w:space="0"/>
              <w:right w:val="single" w:color="000000" w:sz="8" w:space="0"/>
            </w:tcBorders>
            <w:noWrap w:val="0"/>
            <w:vAlign w:val="center"/>
          </w:tcPr>
          <w:p w14:paraId="46AC3F27">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工程或费用名称</w:t>
            </w:r>
          </w:p>
        </w:tc>
        <w:tc>
          <w:tcPr>
            <w:tcW w:w="383" w:type="pct"/>
            <w:tcBorders>
              <w:top w:val="single" w:color="000000" w:sz="8" w:space="0"/>
              <w:left w:val="nil"/>
              <w:bottom w:val="single" w:color="000000" w:sz="8" w:space="0"/>
              <w:right w:val="single" w:color="000000" w:sz="8" w:space="0"/>
            </w:tcBorders>
            <w:noWrap w:val="0"/>
            <w:vAlign w:val="center"/>
          </w:tcPr>
          <w:p w14:paraId="34854311">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单位</w:t>
            </w:r>
          </w:p>
        </w:tc>
        <w:tc>
          <w:tcPr>
            <w:tcW w:w="713" w:type="pct"/>
            <w:tcBorders>
              <w:top w:val="single" w:color="000000" w:sz="8" w:space="0"/>
              <w:left w:val="nil"/>
              <w:bottom w:val="single" w:color="000000" w:sz="8" w:space="0"/>
              <w:right w:val="single" w:color="000000" w:sz="8" w:space="0"/>
            </w:tcBorders>
            <w:noWrap w:val="0"/>
            <w:vAlign w:val="center"/>
          </w:tcPr>
          <w:p w14:paraId="0AE94499">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工程数量</w:t>
            </w:r>
          </w:p>
        </w:tc>
        <w:tc>
          <w:tcPr>
            <w:tcW w:w="720" w:type="pct"/>
            <w:tcBorders>
              <w:top w:val="single" w:color="000000" w:sz="8" w:space="0"/>
              <w:left w:val="nil"/>
              <w:bottom w:val="single" w:color="000000" w:sz="8" w:space="0"/>
              <w:right w:val="single" w:color="000000" w:sz="8" w:space="0"/>
            </w:tcBorders>
            <w:noWrap w:val="0"/>
            <w:vAlign w:val="center"/>
          </w:tcPr>
          <w:p w14:paraId="3B1C94A2">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单价（元）</w:t>
            </w:r>
          </w:p>
        </w:tc>
        <w:tc>
          <w:tcPr>
            <w:tcW w:w="714" w:type="pct"/>
            <w:tcBorders>
              <w:top w:val="single" w:color="000000" w:sz="8" w:space="0"/>
              <w:left w:val="nil"/>
              <w:bottom w:val="single" w:color="000000" w:sz="8" w:space="0"/>
              <w:right w:val="single" w:color="000000" w:sz="8" w:space="0"/>
            </w:tcBorders>
            <w:noWrap w:val="0"/>
            <w:vAlign w:val="center"/>
          </w:tcPr>
          <w:p w14:paraId="551AF310">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金额（元）</w:t>
            </w:r>
          </w:p>
        </w:tc>
        <w:tc>
          <w:tcPr>
            <w:tcW w:w="721" w:type="pct"/>
            <w:tcBorders>
              <w:top w:val="single" w:color="000000" w:sz="8" w:space="0"/>
              <w:left w:val="nil"/>
              <w:bottom w:val="single" w:color="000000" w:sz="8" w:space="0"/>
              <w:right w:val="single" w:color="000000" w:sz="8" w:space="0"/>
            </w:tcBorders>
            <w:noWrap w:val="0"/>
            <w:vAlign w:val="center"/>
          </w:tcPr>
          <w:p w14:paraId="00507131">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备注</w:t>
            </w:r>
          </w:p>
        </w:tc>
      </w:tr>
      <w:tr w14:paraId="4935DF1E">
        <w:tblPrEx>
          <w:tblCellMar>
            <w:top w:w="0" w:type="dxa"/>
            <w:left w:w="108" w:type="dxa"/>
            <w:bottom w:w="0" w:type="dxa"/>
            <w:right w:w="108" w:type="dxa"/>
          </w:tblCellMar>
        </w:tblPrEx>
        <w:trPr>
          <w:trHeight w:val="567" w:hRule="atLeast"/>
          <w:jc w:val="center"/>
        </w:trPr>
        <w:tc>
          <w:tcPr>
            <w:tcW w:w="385" w:type="pct"/>
            <w:tcBorders>
              <w:top w:val="single" w:color="000000" w:sz="8" w:space="0"/>
              <w:left w:val="single" w:color="000000" w:sz="8" w:space="0"/>
              <w:bottom w:val="single" w:color="000000" w:sz="8" w:space="0"/>
              <w:right w:val="single" w:color="000000" w:sz="8" w:space="0"/>
            </w:tcBorders>
            <w:noWrap w:val="0"/>
            <w:vAlign w:val="center"/>
          </w:tcPr>
          <w:p w14:paraId="14B3EBE2">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1</w:t>
            </w:r>
          </w:p>
        </w:tc>
        <w:tc>
          <w:tcPr>
            <w:tcW w:w="1362" w:type="pct"/>
            <w:tcBorders>
              <w:top w:val="single" w:color="000000" w:sz="8" w:space="0"/>
              <w:left w:val="nil"/>
              <w:bottom w:val="single" w:color="000000" w:sz="8" w:space="0"/>
              <w:right w:val="single" w:color="000000" w:sz="8" w:space="0"/>
            </w:tcBorders>
            <w:noWrap w:val="0"/>
            <w:vAlign w:val="center"/>
          </w:tcPr>
          <w:p w14:paraId="790EDDA3">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运输及安装</w:t>
            </w:r>
            <w:r>
              <w:rPr>
                <w:rFonts w:hint="eastAsia" w:ascii="仿宋_GB2312" w:hAnsi="仿宋_GB2312" w:eastAsia="仿宋_GB2312" w:cs="仿宋_GB2312"/>
                <w:color w:val="000000"/>
                <w:sz w:val="32"/>
                <w:szCs w:val="32"/>
                <w:highlight w:val="none"/>
                <w:lang w:eastAsia="zh-CN"/>
              </w:rPr>
              <w:t>TS级防撞垫</w:t>
            </w:r>
          </w:p>
        </w:tc>
        <w:tc>
          <w:tcPr>
            <w:tcW w:w="383" w:type="pct"/>
            <w:tcBorders>
              <w:top w:val="single" w:color="000000" w:sz="8" w:space="0"/>
              <w:left w:val="nil"/>
              <w:bottom w:val="single" w:color="000000" w:sz="8" w:space="0"/>
              <w:right w:val="single" w:color="000000" w:sz="8" w:space="0"/>
            </w:tcBorders>
            <w:noWrap w:val="0"/>
            <w:vAlign w:val="center"/>
          </w:tcPr>
          <w:p w14:paraId="0DA27108">
            <w:pPr>
              <w:widowControl/>
              <w:jc w:val="center"/>
              <w:textAlignment w:val="center"/>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kern w:val="0"/>
                <w:sz w:val="32"/>
                <w:szCs w:val="32"/>
                <w:highlight w:val="none"/>
                <w:lang w:val="en-US" w:eastAsia="zh-CN" w:bidi="ar"/>
              </w:rPr>
              <w:t>套</w:t>
            </w:r>
          </w:p>
        </w:tc>
        <w:tc>
          <w:tcPr>
            <w:tcW w:w="713" w:type="pct"/>
            <w:tcBorders>
              <w:top w:val="single" w:color="000000" w:sz="8" w:space="0"/>
              <w:left w:val="nil"/>
              <w:bottom w:val="single" w:color="000000" w:sz="8" w:space="0"/>
              <w:right w:val="single" w:color="000000" w:sz="8" w:space="0"/>
            </w:tcBorders>
            <w:noWrap w:val="0"/>
            <w:vAlign w:val="center"/>
          </w:tcPr>
          <w:p w14:paraId="65B32846">
            <w:pPr>
              <w:widowControl/>
              <w:jc w:val="center"/>
              <w:textAlignment w:val="center"/>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bidi="ar"/>
              </w:rPr>
              <w:t>12</w:t>
            </w:r>
          </w:p>
        </w:tc>
        <w:tc>
          <w:tcPr>
            <w:tcW w:w="720" w:type="pct"/>
            <w:tcBorders>
              <w:top w:val="single" w:color="000000" w:sz="8" w:space="0"/>
              <w:left w:val="nil"/>
              <w:bottom w:val="single" w:color="000000" w:sz="8" w:space="0"/>
              <w:right w:val="single" w:color="000000" w:sz="8" w:space="0"/>
            </w:tcBorders>
            <w:noWrap w:val="0"/>
            <w:vAlign w:val="center"/>
          </w:tcPr>
          <w:p w14:paraId="0B9F3CC9">
            <w:pPr>
              <w:widowControl/>
              <w:jc w:val="center"/>
              <w:textAlignment w:val="center"/>
              <w:rPr>
                <w:rFonts w:hint="eastAsia" w:ascii="仿宋_GB2312" w:hAnsi="仿宋_GB2312" w:eastAsia="仿宋_GB2312" w:cs="仿宋_GB2312"/>
                <w:color w:val="000000"/>
                <w:sz w:val="32"/>
                <w:szCs w:val="32"/>
                <w:highlight w:val="none"/>
                <w:lang w:val="en-US" w:eastAsia="zh-CN"/>
              </w:rPr>
            </w:pPr>
          </w:p>
        </w:tc>
        <w:tc>
          <w:tcPr>
            <w:tcW w:w="714" w:type="pct"/>
            <w:tcBorders>
              <w:top w:val="single" w:color="000000" w:sz="8" w:space="0"/>
              <w:left w:val="nil"/>
              <w:bottom w:val="single" w:color="000000" w:sz="8" w:space="0"/>
              <w:right w:val="single" w:color="000000" w:sz="8" w:space="0"/>
            </w:tcBorders>
            <w:noWrap w:val="0"/>
            <w:vAlign w:val="center"/>
          </w:tcPr>
          <w:p w14:paraId="3C57B82B">
            <w:pPr>
              <w:widowControl/>
              <w:jc w:val="center"/>
              <w:textAlignment w:val="center"/>
              <w:rPr>
                <w:rFonts w:hint="eastAsia" w:ascii="仿宋_GB2312" w:hAnsi="仿宋_GB2312" w:eastAsia="仿宋_GB2312" w:cs="仿宋_GB2312"/>
                <w:color w:val="000000"/>
                <w:sz w:val="32"/>
                <w:szCs w:val="32"/>
                <w:highlight w:val="none"/>
              </w:rPr>
            </w:pPr>
          </w:p>
        </w:tc>
        <w:tc>
          <w:tcPr>
            <w:tcW w:w="721" w:type="pct"/>
            <w:tcBorders>
              <w:top w:val="single" w:color="000000" w:sz="8" w:space="0"/>
              <w:left w:val="nil"/>
              <w:bottom w:val="single" w:color="000000" w:sz="8" w:space="0"/>
              <w:right w:val="single" w:color="000000" w:sz="8" w:space="0"/>
            </w:tcBorders>
            <w:noWrap w:val="0"/>
            <w:vAlign w:val="center"/>
          </w:tcPr>
          <w:p w14:paraId="2966177E">
            <w:pPr>
              <w:jc w:val="center"/>
              <w:rPr>
                <w:rFonts w:hint="default" w:ascii="仿宋_GB2312" w:hAnsi="仿宋_GB2312" w:eastAsia="仿宋_GB2312" w:cs="仿宋_GB2312"/>
                <w:color w:val="000000"/>
                <w:sz w:val="32"/>
                <w:szCs w:val="32"/>
                <w:highlight w:val="none"/>
                <w:lang w:val="en-US" w:eastAsia="zh-CN"/>
              </w:rPr>
            </w:pPr>
            <w:bookmarkStart w:id="362" w:name="OLE_LINK7"/>
            <w:r>
              <w:rPr>
                <w:rFonts w:hint="eastAsia" w:ascii="仿宋_GB2312" w:hAnsi="仿宋_GB2312" w:eastAsia="仿宋_GB2312" w:cs="仿宋_GB2312"/>
                <w:color w:val="000000"/>
                <w:sz w:val="32"/>
                <w:szCs w:val="32"/>
                <w:highlight w:val="none"/>
                <w:lang w:val="en-US" w:eastAsia="zh-CN"/>
              </w:rPr>
              <w:t>包含连接过渡板</w:t>
            </w:r>
            <w:bookmarkEnd w:id="362"/>
          </w:p>
        </w:tc>
      </w:tr>
      <w:tr w14:paraId="30E84C04">
        <w:tblPrEx>
          <w:tblCellMar>
            <w:top w:w="0" w:type="dxa"/>
            <w:left w:w="108" w:type="dxa"/>
            <w:bottom w:w="0" w:type="dxa"/>
            <w:right w:w="108" w:type="dxa"/>
          </w:tblCellMar>
        </w:tblPrEx>
        <w:trPr>
          <w:trHeight w:val="567" w:hRule="atLeast"/>
          <w:jc w:val="center"/>
        </w:trPr>
        <w:tc>
          <w:tcPr>
            <w:tcW w:w="385" w:type="pct"/>
            <w:tcBorders>
              <w:top w:val="single" w:color="000000" w:sz="8" w:space="0"/>
              <w:left w:val="single" w:color="000000" w:sz="8" w:space="0"/>
              <w:bottom w:val="single" w:color="000000" w:sz="8" w:space="0"/>
              <w:right w:val="single" w:color="000000" w:sz="8" w:space="0"/>
            </w:tcBorders>
            <w:noWrap w:val="0"/>
            <w:vAlign w:val="center"/>
          </w:tcPr>
          <w:p w14:paraId="15A6A95C">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2</w:t>
            </w:r>
          </w:p>
        </w:tc>
        <w:tc>
          <w:tcPr>
            <w:tcW w:w="1362" w:type="pct"/>
            <w:tcBorders>
              <w:top w:val="single" w:color="000000" w:sz="8" w:space="0"/>
              <w:left w:val="nil"/>
              <w:bottom w:val="single" w:color="000000" w:sz="8" w:space="0"/>
              <w:right w:val="single" w:color="000000" w:sz="8" w:space="0"/>
            </w:tcBorders>
            <w:noWrap w:val="0"/>
            <w:vAlign w:val="center"/>
          </w:tcPr>
          <w:p w14:paraId="2251A3B0">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运输及安装SBm级中央分隔带开口护栏</w:t>
            </w:r>
          </w:p>
        </w:tc>
        <w:tc>
          <w:tcPr>
            <w:tcW w:w="383" w:type="pct"/>
            <w:tcBorders>
              <w:top w:val="single" w:color="000000" w:sz="8" w:space="0"/>
              <w:left w:val="nil"/>
              <w:bottom w:val="single" w:color="000000" w:sz="8" w:space="0"/>
              <w:right w:val="single" w:color="000000" w:sz="8" w:space="0"/>
            </w:tcBorders>
            <w:noWrap w:val="0"/>
            <w:vAlign w:val="center"/>
          </w:tcPr>
          <w:p w14:paraId="02FF373E">
            <w:pPr>
              <w:widowControl/>
              <w:jc w:val="center"/>
              <w:textAlignment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米</w:t>
            </w:r>
          </w:p>
        </w:tc>
        <w:tc>
          <w:tcPr>
            <w:tcW w:w="713" w:type="pct"/>
            <w:tcBorders>
              <w:top w:val="single" w:color="000000" w:sz="8" w:space="0"/>
              <w:left w:val="nil"/>
              <w:bottom w:val="single" w:color="000000" w:sz="8" w:space="0"/>
              <w:right w:val="single" w:color="000000" w:sz="8" w:space="0"/>
            </w:tcBorders>
            <w:noWrap w:val="0"/>
            <w:vAlign w:val="center"/>
          </w:tcPr>
          <w:p w14:paraId="072FBBD7">
            <w:pPr>
              <w:widowControl/>
              <w:jc w:val="center"/>
              <w:textAlignment w:val="center"/>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bidi="ar"/>
              </w:rPr>
              <w:t>930</w:t>
            </w:r>
          </w:p>
        </w:tc>
        <w:tc>
          <w:tcPr>
            <w:tcW w:w="720" w:type="pct"/>
            <w:tcBorders>
              <w:top w:val="single" w:color="000000" w:sz="8" w:space="0"/>
              <w:left w:val="nil"/>
              <w:bottom w:val="single" w:color="000000" w:sz="8" w:space="0"/>
              <w:right w:val="single" w:color="000000" w:sz="8" w:space="0"/>
            </w:tcBorders>
            <w:noWrap w:val="0"/>
            <w:vAlign w:val="center"/>
          </w:tcPr>
          <w:p w14:paraId="3A21BFF0">
            <w:pPr>
              <w:widowControl/>
              <w:jc w:val="center"/>
              <w:textAlignment w:val="center"/>
              <w:rPr>
                <w:rFonts w:hint="eastAsia" w:ascii="仿宋_GB2312" w:hAnsi="仿宋_GB2312" w:eastAsia="仿宋_GB2312" w:cs="仿宋_GB2312"/>
                <w:color w:val="000000"/>
                <w:sz w:val="32"/>
                <w:szCs w:val="32"/>
                <w:highlight w:val="none"/>
                <w:lang w:val="en-US" w:eastAsia="zh-CN"/>
              </w:rPr>
            </w:pPr>
          </w:p>
        </w:tc>
        <w:tc>
          <w:tcPr>
            <w:tcW w:w="714" w:type="pct"/>
            <w:tcBorders>
              <w:top w:val="single" w:color="000000" w:sz="8" w:space="0"/>
              <w:left w:val="nil"/>
              <w:bottom w:val="single" w:color="000000" w:sz="8" w:space="0"/>
              <w:right w:val="single" w:color="000000" w:sz="8" w:space="0"/>
            </w:tcBorders>
            <w:noWrap w:val="0"/>
            <w:vAlign w:val="center"/>
          </w:tcPr>
          <w:p w14:paraId="2FEA1316">
            <w:pPr>
              <w:widowControl/>
              <w:jc w:val="center"/>
              <w:textAlignment w:val="center"/>
              <w:rPr>
                <w:rFonts w:hint="eastAsia" w:ascii="仿宋_GB2312" w:hAnsi="仿宋_GB2312" w:eastAsia="仿宋_GB2312" w:cs="仿宋_GB2312"/>
                <w:color w:val="000000"/>
                <w:sz w:val="32"/>
                <w:szCs w:val="32"/>
                <w:highlight w:val="none"/>
              </w:rPr>
            </w:pPr>
          </w:p>
        </w:tc>
        <w:tc>
          <w:tcPr>
            <w:tcW w:w="721" w:type="pct"/>
            <w:tcBorders>
              <w:top w:val="single" w:color="000000" w:sz="8" w:space="0"/>
              <w:left w:val="nil"/>
              <w:bottom w:val="single" w:color="000000" w:sz="8" w:space="0"/>
              <w:right w:val="single" w:color="000000" w:sz="8" w:space="0"/>
            </w:tcBorders>
            <w:noWrap w:val="0"/>
            <w:vAlign w:val="center"/>
          </w:tcPr>
          <w:p w14:paraId="12A0571A">
            <w:pPr>
              <w:jc w:val="center"/>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包含连接过渡板</w:t>
            </w:r>
          </w:p>
        </w:tc>
      </w:tr>
      <w:tr w14:paraId="690127B7">
        <w:tblPrEx>
          <w:tblCellMar>
            <w:top w:w="0" w:type="dxa"/>
            <w:left w:w="108" w:type="dxa"/>
            <w:bottom w:w="0" w:type="dxa"/>
            <w:right w:w="108" w:type="dxa"/>
          </w:tblCellMar>
        </w:tblPrEx>
        <w:trPr>
          <w:trHeight w:val="567" w:hRule="atLeast"/>
          <w:jc w:val="center"/>
        </w:trPr>
        <w:tc>
          <w:tcPr>
            <w:tcW w:w="3564" w:type="pct"/>
            <w:gridSpan w:val="5"/>
            <w:tcBorders>
              <w:top w:val="single" w:color="000000" w:sz="8" w:space="0"/>
              <w:left w:val="single" w:color="000000" w:sz="8" w:space="0"/>
              <w:bottom w:val="single" w:color="000000" w:sz="8" w:space="0"/>
              <w:right w:val="single" w:color="000000" w:sz="8" w:space="0"/>
            </w:tcBorders>
            <w:noWrap w:val="0"/>
            <w:vAlign w:val="center"/>
          </w:tcPr>
          <w:p w14:paraId="772CA050">
            <w:pPr>
              <w:widowControl/>
              <w:jc w:val="center"/>
              <w:textAlignment w:val="center"/>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合计</w:t>
            </w:r>
          </w:p>
        </w:tc>
        <w:tc>
          <w:tcPr>
            <w:tcW w:w="714" w:type="pct"/>
            <w:tcBorders>
              <w:top w:val="single" w:color="000000" w:sz="8" w:space="0"/>
              <w:left w:val="nil"/>
              <w:bottom w:val="single" w:color="000000" w:sz="8" w:space="0"/>
              <w:right w:val="single" w:color="000000" w:sz="8" w:space="0"/>
            </w:tcBorders>
            <w:noWrap w:val="0"/>
            <w:vAlign w:val="center"/>
          </w:tcPr>
          <w:p w14:paraId="404F6BF2">
            <w:pPr>
              <w:widowControl/>
              <w:jc w:val="center"/>
              <w:textAlignment w:val="center"/>
              <w:rPr>
                <w:rFonts w:hint="eastAsia" w:ascii="仿宋_GB2312" w:hAnsi="仿宋_GB2312" w:eastAsia="仿宋_GB2312" w:cs="仿宋_GB2312"/>
                <w:color w:val="000000"/>
                <w:sz w:val="32"/>
                <w:szCs w:val="32"/>
                <w:highlight w:val="none"/>
              </w:rPr>
            </w:pPr>
          </w:p>
        </w:tc>
        <w:tc>
          <w:tcPr>
            <w:tcW w:w="721" w:type="pct"/>
            <w:tcBorders>
              <w:top w:val="single" w:color="000000" w:sz="8" w:space="0"/>
              <w:left w:val="nil"/>
              <w:bottom w:val="single" w:color="000000" w:sz="8" w:space="0"/>
              <w:right w:val="single" w:color="000000" w:sz="8" w:space="0"/>
            </w:tcBorders>
            <w:noWrap w:val="0"/>
            <w:vAlign w:val="center"/>
          </w:tcPr>
          <w:p w14:paraId="5855C5DE">
            <w:pPr>
              <w:jc w:val="center"/>
              <w:rPr>
                <w:rFonts w:hint="eastAsia" w:ascii="仿宋_GB2312" w:hAnsi="仿宋_GB2312" w:eastAsia="仿宋_GB2312" w:cs="仿宋_GB2312"/>
                <w:color w:val="000000"/>
                <w:sz w:val="32"/>
                <w:szCs w:val="32"/>
                <w:highlight w:val="none"/>
              </w:rPr>
            </w:pPr>
          </w:p>
        </w:tc>
      </w:tr>
      <w:tr w14:paraId="438BD989">
        <w:tblPrEx>
          <w:tblCellMar>
            <w:top w:w="0" w:type="dxa"/>
            <w:left w:w="108" w:type="dxa"/>
            <w:bottom w:w="0" w:type="dxa"/>
            <w:right w:w="108" w:type="dxa"/>
          </w:tblCellMar>
        </w:tblPrEx>
        <w:trPr>
          <w:trHeight w:val="567" w:hRule="atLeast"/>
          <w:jc w:val="center"/>
        </w:trPr>
        <w:tc>
          <w:tcPr>
            <w:tcW w:w="5000" w:type="pct"/>
            <w:gridSpan w:val="7"/>
            <w:tcBorders>
              <w:top w:val="nil"/>
              <w:left w:val="nil"/>
              <w:bottom w:val="nil"/>
              <w:right w:val="nil"/>
            </w:tcBorders>
            <w:noWrap w:val="0"/>
            <w:vAlign w:val="center"/>
          </w:tcPr>
          <w:p w14:paraId="4A705BA2">
            <w:pPr>
              <w:widowControl/>
              <w:jc w:val="left"/>
              <w:textAlignment w:val="center"/>
              <w:rPr>
                <w:rFonts w:hint="eastAsia" w:ascii="仿宋_GB2312" w:hAnsi="仿宋_GB2312" w:eastAsia="仿宋_GB2312" w:cs="仿宋_GB2312"/>
                <w:b w:val="0"/>
                <w:bCs w:val="0"/>
                <w:color w:val="000000"/>
                <w:kern w:val="0"/>
                <w:sz w:val="28"/>
                <w:szCs w:val="28"/>
                <w:highlight w:val="none"/>
                <w:lang w:bidi="ar"/>
              </w:rPr>
            </w:pPr>
            <w:r>
              <w:rPr>
                <w:rFonts w:hint="eastAsia" w:ascii="仿宋_GB2312" w:hAnsi="仿宋_GB2312" w:eastAsia="仿宋_GB2312" w:cs="仿宋_GB2312"/>
                <w:b w:val="0"/>
                <w:bCs w:val="0"/>
                <w:color w:val="000000"/>
                <w:kern w:val="0"/>
                <w:sz w:val="28"/>
                <w:szCs w:val="28"/>
                <w:highlight w:val="none"/>
                <w:lang w:bidi="ar"/>
              </w:rPr>
              <w:t>备注：1</w:t>
            </w:r>
            <w:r>
              <w:rPr>
                <w:rFonts w:hint="eastAsia" w:ascii="仿宋_GB2312" w:hAnsi="仿宋_GB2312" w:eastAsia="仿宋_GB2312" w:cs="仿宋_GB2312"/>
                <w:b w:val="0"/>
                <w:bCs w:val="0"/>
                <w:color w:val="000000"/>
                <w:kern w:val="0"/>
                <w:sz w:val="28"/>
                <w:szCs w:val="28"/>
                <w:highlight w:val="none"/>
                <w:lang w:val="en-US" w:eastAsia="zh-CN" w:bidi="ar"/>
              </w:rPr>
              <w:t>.</w:t>
            </w:r>
            <w:r>
              <w:rPr>
                <w:rFonts w:hint="eastAsia" w:ascii="仿宋_GB2312" w:hAnsi="仿宋_GB2312" w:eastAsia="仿宋_GB2312" w:cs="仿宋_GB2312"/>
                <w:b w:val="0"/>
                <w:bCs w:val="0"/>
                <w:color w:val="000000"/>
                <w:kern w:val="0"/>
                <w:sz w:val="28"/>
                <w:szCs w:val="28"/>
                <w:highlight w:val="none"/>
                <w:lang w:bidi="ar"/>
              </w:rPr>
              <w:t>包含直接费用、间接费用、利润、税收等一切相关费用。</w:t>
            </w:r>
          </w:p>
          <w:p w14:paraId="08A9F3F0">
            <w:pPr>
              <w:widowControl/>
              <w:numPr>
                <w:ilvl w:val="0"/>
                <w:numId w:val="0"/>
              </w:numPr>
              <w:ind w:firstLine="840" w:firstLineChars="300"/>
              <w:jc w:val="left"/>
              <w:textAlignment w:val="center"/>
              <w:rPr>
                <w:rFonts w:hint="eastAsia" w:ascii="仿宋_GB2312" w:hAnsi="仿宋_GB2312" w:eastAsia="仿宋_GB2312" w:cs="仿宋_GB2312"/>
                <w:b w:val="0"/>
                <w:bCs w:val="0"/>
                <w:color w:val="000000"/>
                <w:kern w:val="0"/>
                <w:sz w:val="28"/>
                <w:szCs w:val="28"/>
                <w:highlight w:val="none"/>
                <w:lang w:bidi="ar"/>
              </w:rPr>
            </w:pPr>
            <w:r>
              <w:rPr>
                <w:rFonts w:hint="eastAsia" w:ascii="仿宋_GB2312" w:hAnsi="仿宋_GB2312" w:eastAsia="仿宋_GB2312" w:cs="仿宋_GB2312"/>
                <w:b w:val="0"/>
                <w:bCs w:val="0"/>
                <w:color w:val="000000"/>
                <w:kern w:val="0"/>
                <w:sz w:val="28"/>
                <w:szCs w:val="28"/>
                <w:highlight w:val="none"/>
                <w:lang w:val="en-US" w:eastAsia="zh-CN" w:bidi="ar"/>
              </w:rPr>
              <w:t>2.</w:t>
            </w:r>
            <w:r>
              <w:rPr>
                <w:rFonts w:hint="eastAsia" w:ascii="仿宋_GB2312" w:hAnsi="仿宋_GB2312" w:eastAsia="仿宋_GB2312" w:cs="仿宋_GB2312"/>
                <w:b w:val="0"/>
                <w:bCs w:val="0"/>
                <w:color w:val="000000"/>
                <w:kern w:val="0"/>
                <w:sz w:val="28"/>
                <w:szCs w:val="28"/>
                <w:highlight w:val="none"/>
                <w:lang w:bidi="ar"/>
              </w:rPr>
              <w:t xml:space="preserve">协作服务采用单价报价与总价报价分别都不得超过本次协作的控制单价与控制总价的方式进行采购。 </w:t>
            </w:r>
          </w:p>
          <w:p w14:paraId="57AA2B13">
            <w:pPr>
              <w:widowControl/>
              <w:numPr>
                <w:ilvl w:val="0"/>
                <w:numId w:val="0"/>
              </w:numPr>
              <w:ind w:firstLine="840" w:firstLineChars="300"/>
              <w:jc w:val="left"/>
              <w:textAlignment w:val="center"/>
              <w:rPr>
                <w:rFonts w:hint="eastAsia" w:ascii="仿宋_GB2312" w:hAnsi="仿宋_GB2312" w:eastAsia="仿宋_GB2312" w:cs="仿宋_GB2312"/>
                <w:b w:val="0"/>
                <w:bCs w:val="0"/>
                <w:color w:val="000000"/>
                <w:kern w:val="0"/>
                <w:sz w:val="28"/>
                <w:szCs w:val="28"/>
                <w:highlight w:val="none"/>
                <w:lang w:bidi="ar"/>
              </w:rPr>
            </w:pPr>
            <w:r>
              <w:rPr>
                <w:rFonts w:hint="eastAsia" w:ascii="仿宋_GB2312" w:hAnsi="仿宋_GB2312" w:eastAsia="仿宋_GB2312" w:cs="仿宋_GB2312"/>
                <w:b w:val="0"/>
                <w:bCs w:val="0"/>
                <w:color w:val="000000"/>
                <w:kern w:val="0"/>
                <w:sz w:val="28"/>
                <w:szCs w:val="28"/>
                <w:highlight w:val="none"/>
                <w:lang w:bidi="ar"/>
              </w:rPr>
              <w:t>3</w:t>
            </w:r>
            <w:r>
              <w:rPr>
                <w:rFonts w:hint="eastAsia" w:ascii="仿宋_GB2312" w:hAnsi="仿宋_GB2312" w:eastAsia="仿宋_GB2312" w:cs="仿宋_GB2312"/>
                <w:b w:val="0"/>
                <w:bCs w:val="0"/>
                <w:color w:val="000000"/>
                <w:kern w:val="0"/>
                <w:sz w:val="28"/>
                <w:szCs w:val="28"/>
                <w:highlight w:val="none"/>
                <w:lang w:val="en-US" w:eastAsia="zh-CN" w:bidi="ar"/>
              </w:rPr>
              <w:t>.</w:t>
            </w:r>
            <w:r>
              <w:rPr>
                <w:rFonts w:hint="eastAsia" w:ascii="仿宋_GB2312" w:hAnsi="仿宋_GB2312" w:eastAsia="仿宋_GB2312" w:cs="仿宋_GB2312"/>
                <w:b w:val="0"/>
                <w:bCs w:val="0"/>
                <w:color w:val="000000"/>
                <w:kern w:val="0"/>
                <w:sz w:val="28"/>
                <w:szCs w:val="28"/>
                <w:highlight w:val="none"/>
                <w:lang w:bidi="ar"/>
              </w:rPr>
              <w:t>本项目为</w:t>
            </w:r>
            <w:r>
              <w:rPr>
                <w:rFonts w:hint="eastAsia" w:ascii="仿宋_GB2312" w:hAnsi="仿宋_GB2312" w:eastAsia="仿宋_GB2312" w:cs="仿宋_GB2312"/>
                <w:b w:val="0"/>
                <w:bCs w:val="0"/>
                <w:color w:val="000000"/>
                <w:kern w:val="0"/>
                <w:sz w:val="28"/>
                <w:szCs w:val="28"/>
                <w:highlight w:val="none"/>
                <w:lang w:eastAsia="zh-CN" w:bidi="ar"/>
              </w:rPr>
              <w:t>单价</w:t>
            </w:r>
            <w:r>
              <w:rPr>
                <w:rFonts w:hint="eastAsia" w:ascii="仿宋_GB2312" w:hAnsi="仿宋_GB2312" w:eastAsia="仿宋_GB2312" w:cs="仿宋_GB2312"/>
                <w:b w:val="0"/>
                <w:bCs w:val="0"/>
                <w:color w:val="000000"/>
                <w:kern w:val="0"/>
                <w:sz w:val="28"/>
                <w:szCs w:val="28"/>
                <w:highlight w:val="none"/>
                <w:lang w:bidi="ar"/>
              </w:rPr>
              <w:t>合同，施工细目结算数量以实际完成并经现场验收合格数量为准。如有新增路段按本项目单价，以实际完成数量经验收合格数量为准。</w:t>
            </w:r>
          </w:p>
          <w:p w14:paraId="6D37A1A2">
            <w:pPr>
              <w:widowControl/>
              <w:numPr>
                <w:ilvl w:val="0"/>
                <w:numId w:val="0"/>
              </w:numPr>
              <w:ind w:firstLine="840" w:firstLineChars="300"/>
              <w:jc w:val="left"/>
              <w:textAlignment w:val="center"/>
              <w:rPr>
                <w:rFonts w:hint="eastAsia" w:ascii="仿宋_GB2312" w:hAnsi="仿宋_GB2312" w:eastAsia="仿宋_GB2312" w:cs="仿宋_GB2312"/>
                <w:b w:val="0"/>
                <w:bCs w:val="0"/>
                <w:color w:val="000000"/>
                <w:sz w:val="32"/>
                <w:szCs w:val="32"/>
                <w:highlight w:val="none"/>
              </w:rPr>
            </w:pPr>
            <w:r>
              <w:rPr>
                <w:rFonts w:hint="eastAsia" w:ascii="仿宋_GB2312" w:hAnsi="仿宋_GB2312" w:eastAsia="仿宋_GB2312" w:cs="仿宋_GB2312"/>
                <w:b w:val="0"/>
                <w:bCs w:val="0"/>
                <w:color w:val="000000"/>
                <w:kern w:val="0"/>
                <w:sz w:val="28"/>
                <w:szCs w:val="28"/>
                <w:highlight w:val="none"/>
                <w:lang w:bidi="ar"/>
              </w:rPr>
              <w:t>4</w:t>
            </w:r>
            <w:r>
              <w:rPr>
                <w:rFonts w:hint="eastAsia" w:ascii="仿宋_GB2312" w:hAnsi="仿宋_GB2312" w:eastAsia="仿宋_GB2312" w:cs="仿宋_GB2312"/>
                <w:b w:val="0"/>
                <w:bCs w:val="0"/>
                <w:color w:val="000000"/>
                <w:kern w:val="0"/>
                <w:sz w:val="28"/>
                <w:szCs w:val="28"/>
                <w:highlight w:val="none"/>
                <w:lang w:val="en-US" w:eastAsia="zh-CN" w:bidi="ar"/>
              </w:rPr>
              <w:t>.</w:t>
            </w:r>
            <w:r>
              <w:rPr>
                <w:rFonts w:hint="eastAsia" w:ascii="仿宋_GB2312" w:hAnsi="仿宋_GB2312" w:eastAsia="仿宋_GB2312" w:cs="仿宋_GB2312"/>
                <w:b w:val="0"/>
                <w:bCs w:val="0"/>
                <w:color w:val="000000"/>
                <w:kern w:val="0"/>
                <w:sz w:val="28"/>
                <w:szCs w:val="28"/>
                <w:highlight w:val="none"/>
                <w:lang w:bidi="ar"/>
              </w:rPr>
              <w:t>安全生产专项费用、工程保险费、工伤保险费等应满足国家相关规定费用要求。</w:t>
            </w:r>
            <w:r>
              <w:rPr>
                <w:rFonts w:hint="eastAsia" w:ascii="仿宋_GB2312" w:hAnsi="仿宋_GB2312" w:eastAsia="仿宋_GB2312" w:cs="仿宋_GB2312"/>
                <w:b w:val="0"/>
                <w:bCs w:val="0"/>
                <w:color w:val="000000"/>
                <w:kern w:val="0"/>
                <w:sz w:val="32"/>
                <w:szCs w:val="32"/>
                <w:highlight w:val="none"/>
                <w:lang w:bidi="ar"/>
              </w:rPr>
              <w:t xml:space="preserve">  </w:t>
            </w:r>
          </w:p>
        </w:tc>
      </w:tr>
    </w:tbl>
    <w:p w14:paraId="74FCF6CE">
      <w:pPr>
        <w:pStyle w:val="77"/>
        <w:keepLines w:val="0"/>
        <w:spacing w:before="0" w:after="0" w:line="560" w:lineRule="exact"/>
        <w:ind w:left="0" w:firstLine="0"/>
        <w:jc w:val="both"/>
        <w:outlineLvl w:val="9"/>
        <w:rPr>
          <w:rFonts w:hint="eastAsia" w:ascii="仿宋" w:hAnsi="仿宋" w:eastAsia="仿宋" w:cs="仿宋"/>
          <w:szCs w:val="32"/>
          <w:highlight w:val="none"/>
        </w:rPr>
      </w:pPr>
      <w:bookmarkStart w:id="363" w:name="_Toc501008753"/>
      <w:bookmarkStart w:id="364" w:name="_Toc500757156"/>
      <w:bookmarkStart w:id="365" w:name="_Toc500340445"/>
    </w:p>
    <w:p w14:paraId="27952DAE">
      <w:pPr>
        <w:pStyle w:val="77"/>
        <w:keepLines w:val="0"/>
        <w:spacing w:before="0" w:after="0" w:line="560" w:lineRule="exact"/>
        <w:outlineLvl w:val="9"/>
        <w:rPr>
          <w:rFonts w:hint="eastAsia" w:ascii="仿宋_GB2312" w:hAnsi="仿宋_GB2312" w:eastAsia="仿宋_GB2312" w:cs="仿宋_GB2312"/>
          <w:szCs w:val="32"/>
          <w:highlight w:val="none"/>
        </w:rPr>
      </w:pPr>
      <w:r>
        <w:rPr>
          <w:rFonts w:hint="eastAsia" w:ascii="仿宋_GB2312" w:hAnsi="仿宋_GB2312" w:eastAsia="仿宋_GB2312" w:cs="仿宋_GB2312"/>
          <w:szCs w:val="32"/>
          <w:highlight w:val="none"/>
        </w:rPr>
        <w:t xml:space="preserve">       </w:t>
      </w:r>
      <w:r>
        <w:rPr>
          <w:rFonts w:hint="eastAsia" w:ascii="仿宋_GB2312" w:eastAsia="仿宋_GB2312"/>
          <w:szCs w:val="32"/>
          <w:highlight w:val="none"/>
        </w:rPr>
        <w:t xml:space="preserve">   </w:t>
      </w:r>
      <w:bookmarkStart w:id="366" w:name="_Toc20079"/>
      <w:r>
        <w:rPr>
          <w:rFonts w:hint="eastAsia" w:ascii="仿宋_GB2312" w:hAnsi="仿宋_GB2312" w:eastAsia="仿宋_GB2312" w:cs="仿宋_GB2312"/>
          <w:szCs w:val="32"/>
          <w:highlight w:val="none"/>
        </w:rPr>
        <w:t>供应商名称（全称并加盖公章）：</w:t>
      </w:r>
      <w:bookmarkEnd w:id="366"/>
      <w:r>
        <w:rPr>
          <w:rFonts w:hint="eastAsia" w:ascii="仿宋_GB2312" w:hAnsi="仿宋_GB2312" w:eastAsia="仿宋_GB2312" w:cs="仿宋_GB2312"/>
          <w:szCs w:val="32"/>
          <w:highlight w:val="none"/>
        </w:rPr>
        <w:t xml:space="preserve"> </w:t>
      </w:r>
    </w:p>
    <w:p w14:paraId="210634F8">
      <w:pPr>
        <w:pStyle w:val="77"/>
        <w:keepLines w:val="0"/>
        <w:spacing w:before="0" w:after="0" w:line="560" w:lineRule="exact"/>
        <w:ind w:left="0" w:firstLine="5120" w:firstLineChars="1600"/>
        <w:jc w:val="both"/>
        <w:outlineLvl w:val="9"/>
        <w:rPr>
          <w:rFonts w:hint="eastAsia" w:ascii="仿宋_GB2312" w:hAnsi="仿宋_GB2312" w:eastAsia="仿宋_GB2312" w:cs="仿宋_GB2312"/>
          <w:szCs w:val="32"/>
          <w:highlight w:val="none"/>
        </w:rPr>
      </w:pPr>
      <w:bookmarkStart w:id="367" w:name="_Toc17238"/>
      <w:r>
        <w:rPr>
          <w:rFonts w:hint="eastAsia" w:ascii="仿宋_GB2312" w:hAnsi="仿宋_GB2312" w:eastAsia="仿宋_GB2312" w:cs="仿宋_GB2312"/>
          <w:szCs w:val="32"/>
          <w:highlight w:val="none"/>
        </w:rPr>
        <w:t>供应商代表签字：</w:t>
      </w:r>
      <w:bookmarkEnd w:id="367"/>
    </w:p>
    <w:p w14:paraId="062ACFE2">
      <w:pPr>
        <w:pStyle w:val="77"/>
        <w:keepLines w:val="0"/>
        <w:spacing w:before="0" w:after="0" w:line="560" w:lineRule="exact"/>
        <w:ind w:left="0" w:firstLine="5120" w:firstLineChars="1600"/>
        <w:jc w:val="both"/>
        <w:outlineLvl w:val="9"/>
        <w:rPr>
          <w:rFonts w:hint="eastAsia" w:ascii="仿宋_GB2312" w:hAnsi="仿宋_GB2312" w:eastAsia="仿宋_GB2312" w:cs="仿宋_GB2312"/>
          <w:szCs w:val="32"/>
          <w:highlight w:val="none"/>
        </w:rPr>
      </w:pPr>
      <w:bookmarkStart w:id="368" w:name="_Toc7295"/>
      <w:r>
        <w:rPr>
          <w:rFonts w:hint="eastAsia" w:ascii="仿宋_GB2312" w:hAnsi="仿宋_GB2312" w:eastAsia="仿宋_GB2312" w:cs="仿宋_GB2312"/>
          <w:szCs w:val="32"/>
          <w:highlight w:val="none"/>
        </w:rPr>
        <w:t>日期：   年   月   日</w:t>
      </w:r>
      <w:bookmarkEnd w:id="368"/>
    </w:p>
    <w:bookmarkEnd w:id="363"/>
    <w:bookmarkEnd w:id="364"/>
    <w:bookmarkEnd w:id="365"/>
    <w:p w14:paraId="3582EA2E">
      <w:pPr>
        <w:pStyle w:val="77"/>
        <w:keepLines w:val="0"/>
        <w:spacing w:before="0" w:after="0" w:line="560" w:lineRule="exact"/>
        <w:ind w:left="0" w:firstLine="4800" w:firstLineChars="1500"/>
        <w:jc w:val="both"/>
        <w:outlineLvl w:val="9"/>
        <w:rPr>
          <w:rFonts w:hint="eastAsia" w:ascii="仿宋_GB2312" w:hAnsi="仿宋_GB2312" w:eastAsia="仿宋_GB2312" w:cs="仿宋_GB2312"/>
          <w:szCs w:val="32"/>
          <w:highlight w:val="none"/>
        </w:rPr>
      </w:pPr>
    </w:p>
    <w:p w14:paraId="7A5EC45E">
      <w:pPr>
        <w:pStyle w:val="77"/>
        <w:keepLines w:val="0"/>
        <w:spacing w:before="0" w:after="0" w:line="560" w:lineRule="exact"/>
        <w:jc w:val="both"/>
        <w:outlineLvl w:val="9"/>
        <w:rPr>
          <w:rFonts w:hint="eastAsia" w:ascii="宋体" w:hAnsi="宋体" w:eastAsia="宋体"/>
          <w:sz w:val="21"/>
          <w:szCs w:val="21"/>
          <w:highlight w:val="none"/>
          <w:u w:val="single"/>
        </w:rPr>
      </w:pPr>
      <w:r>
        <w:rPr>
          <w:rFonts w:hint="eastAsia" w:ascii="仿宋_GB2312" w:hAnsi="仿宋_GB2312" w:eastAsia="仿宋_GB2312" w:cs="仿宋_GB2312"/>
          <w:szCs w:val="32"/>
          <w:highlight w:val="none"/>
        </w:rPr>
        <w:t xml:space="preserve"> </w:t>
      </w:r>
    </w:p>
    <w:p w14:paraId="178B4B16">
      <w:pPr>
        <w:pStyle w:val="77"/>
        <w:keepLines w:val="0"/>
        <w:spacing w:before="0" w:after="0" w:line="560" w:lineRule="exact"/>
        <w:ind w:left="0" w:firstLine="0"/>
        <w:jc w:val="both"/>
        <w:outlineLvl w:val="9"/>
        <w:rPr>
          <w:rFonts w:hint="eastAsia" w:ascii="宋体" w:hAnsi="宋体" w:eastAsia="宋体"/>
          <w:sz w:val="21"/>
          <w:szCs w:val="21"/>
          <w:highlight w:val="none"/>
          <w:u w:val="single"/>
        </w:rPr>
        <w:sectPr>
          <w:footerReference r:id="rId4" w:type="default"/>
          <w:pgSz w:w="11906" w:h="16838"/>
          <w:pgMar w:top="1418" w:right="1418" w:bottom="964" w:left="1474" w:header="851" w:footer="992" w:gutter="0"/>
          <w:pgNumType w:fmt="decimal"/>
          <w:cols w:space="720" w:num="1"/>
          <w:docGrid w:linePitch="312" w:charSpace="0"/>
        </w:sectPr>
      </w:pPr>
    </w:p>
    <w:bookmarkEnd w:id="358"/>
    <w:bookmarkEnd w:id="359"/>
    <w:bookmarkEnd w:id="360"/>
    <w:bookmarkEnd w:id="361"/>
    <w:p w14:paraId="409BED14">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hint="eastAsia" w:eastAsia="黑体"/>
          <w:kern w:val="44"/>
          <w:sz w:val="32"/>
          <w:szCs w:val="44"/>
          <w:highlight w:val="none"/>
        </w:rPr>
      </w:pPr>
      <w:bookmarkStart w:id="369" w:name="_Toc279"/>
      <w:bookmarkStart w:id="370" w:name="_Toc17766"/>
      <w:bookmarkStart w:id="371" w:name="_Toc122257637"/>
      <w:bookmarkStart w:id="372" w:name="_Toc4779"/>
      <w:bookmarkStart w:id="373" w:name="_Toc534883369"/>
      <w:bookmarkStart w:id="374" w:name="_Toc122750660"/>
      <w:bookmarkStart w:id="375" w:name="_Toc534883411"/>
      <w:bookmarkStart w:id="376" w:name="_Toc18674"/>
      <w:bookmarkStart w:id="377" w:name="_Toc25725"/>
      <w:bookmarkStart w:id="378" w:name="_Toc409439702"/>
      <w:bookmarkStart w:id="379" w:name="_Toc23113"/>
      <w:bookmarkStart w:id="380" w:name="_Toc9369"/>
      <w:bookmarkStart w:id="381" w:name="_Toc22468"/>
      <w:bookmarkStart w:id="382" w:name="_Toc22675"/>
      <w:bookmarkStart w:id="383" w:name="_Toc20059"/>
      <w:bookmarkStart w:id="384" w:name="_Toc1153"/>
      <w:bookmarkStart w:id="385" w:name="_Toc508286689"/>
      <w:bookmarkStart w:id="386" w:name="_Toc3014"/>
      <w:bookmarkStart w:id="387" w:name="_Toc10657"/>
      <w:r>
        <w:rPr>
          <w:rFonts w:hint="eastAsia" w:ascii="仿宋_GB2312" w:hAnsi="仿宋_GB2312" w:eastAsia="仿宋_GB2312" w:cs="仿宋_GB2312"/>
          <w:b/>
          <w:bCs/>
          <w:kern w:val="44"/>
          <w:sz w:val="44"/>
          <w:szCs w:val="44"/>
          <w:highlight w:val="none"/>
        </w:rPr>
        <w:t>三、供应商法定代表人身份证明书</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38E30091">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77998E84">
      <w:pPr>
        <w:keepNext w:val="0"/>
        <w:keepLines w:val="0"/>
        <w:kinsoku/>
        <w:overflowPunct/>
        <w:topLinePunct w:val="0"/>
        <w:autoSpaceDE/>
        <w:bidi w:val="0"/>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福路通城乡发展（福建）集团有限公司：</w:t>
      </w:r>
    </w:p>
    <w:p w14:paraId="58FD67F8">
      <w:pPr>
        <w:keepNext w:val="0"/>
        <w:keepLines w:val="0"/>
        <w:kinsoku/>
        <w:overflowPunct/>
        <w:topLinePunct w:val="0"/>
        <w:autoSpaceDE/>
        <w:bidi w:val="0"/>
        <w:spacing w:line="560" w:lineRule="exact"/>
        <w:ind w:firstLine="800" w:firstLineChars="250"/>
        <w:textAlignment w:val="auto"/>
        <w:rPr>
          <w:rFonts w:ascii="仿宋_GB2312" w:eastAsia="仿宋_GB2312"/>
          <w:sz w:val="32"/>
          <w:szCs w:val="32"/>
          <w:highlight w:val="none"/>
          <w:u w:val="single"/>
        </w:rPr>
      </w:pPr>
    </w:p>
    <w:p w14:paraId="0C8A856A">
      <w:pPr>
        <w:keepNext w:val="0"/>
        <w:keepLines w:val="0"/>
        <w:kinsoku/>
        <w:overflowPunct/>
        <w:topLinePunct w:val="0"/>
        <w:autoSpaceDE/>
        <w:bidi w:val="0"/>
        <w:spacing w:line="560" w:lineRule="exact"/>
        <w:ind w:firstLine="960" w:firstLineChars="300"/>
        <w:textAlignment w:val="auto"/>
        <w:rPr>
          <w:rFonts w:ascii="仿宋_GB2312" w:eastAsia="仿宋_GB2312"/>
          <w:sz w:val="32"/>
          <w:szCs w:val="32"/>
          <w:highlight w:val="none"/>
        </w:rPr>
      </w:pPr>
      <w:r>
        <w:rPr>
          <w:rFonts w:hint="eastAsia" w:ascii="仿宋_GB2312" w:eastAsia="仿宋_GB2312"/>
          <w:sz w:val="32"/>
          <w:szCs w:val="32"/>
          <w:highlight w:val="none"/>
          <w:u w:val="single"/>
        </w:rPr>
        <w:t>兹证明（法定代表人姓名，身份证号）</w:t>
      </w:r>
      <w:r>
        <w:rPr>
          <w:rFonts w:hint="eastAsia" w:ascii="仿宋_GB2312" w:eastAsia="仿宋_GB2312"/>
          <w:sz w:val="32"/>
          <w:szCs w:val="32"/>
          <w:highlight w:val="none"/>
        </w:rPr>
        <w:t>是</w:t>
      </w:r>
      <w:r>
        <w:rPr>
          <w:rFonts w:hint="eastAsia" w:ascii="仿宋_GB2312" w:eastAsia="仿宋_GB2312"/>
          <w:sz w:val="32"/>
          <w:szCs w:val="32"/>
          <w:highlight w:val="none"/>
          <w:u w:val="single"/>
        </w:rPr>
        <w:t xml:space="preserve">     （供应商名称）    </w:t>
      </w:r>
      <w:r>
        <w:rPr>
          <w:rFonts w:hint="eastAsia" w:ascii="仿宋_GB2312" w:eastAsia="仿宋_GB2312"/>
          <w:sz w:val="32"/>
          <w:szCs w:val="32"/>
          <w:highlight w:val="none"/>
        </w:rPr>
        <w:t>的法定代表人，在我司担任</w:t>
      </w:r>
      <w:r>
        <w:rPr>
          <w:rFonts w:hint="eastAsia" w:ascii="仿宋_GB2312" w:eastAsia="仿宋_GB2312"/>
          <w:sz w:val="32"/>
          <w:szCs w:val="32"/>
          <w:highlight w:val="none"/>
          <w:u w:val="single"/>
        </w:rPr>
        <w:t xml:space="preserve">     </w:t>
      </w:r>
      <w:r>
        <w:rPr>
          <w:rFonts w:hint="eastAsia" w:ascii="仿宋_GB2312" w:eastAsia="仿宋_GB2312"/>
          <w:sz w:val="32"/>
          <w:szCs w:val="32"/>
          <w:highlight w:val="none"/>
        </w:rPr>
        <w:t>职务。</w:t>
      </w:r>
    </w:p>
    <w:p w14:paraId="392CF1B3">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0C4130BB">
      <w:pPr>
        <w:keepNext w:val="0"/>
        <w:keepLines w:val="0"/>
        <w:kinsoku/>
        <w:overflowPunct/>
        <w:topLinePunct w:val="0"/>
        <w:autoSpaceDE/>
        <w:bidi w:val="0"/>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特此证明。</w:t>
      </w:r>
    </w:p>
    <w:p w14:paraId="3BF71B19">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11D76B85">
      <w:pPr>
        <w:pStyle w:val="77"/>
        <w:keepNext w:val="0"/>
        <w:keepLines w:val="0"/>
        <w:kinsoku/>
        <w:overflowPunct/>
        <w:topLinePunct w:val="0"/>
        <w:autoSpaceDE/>
        <w:bidi w:val="0"/>
        <w:spacing w:before="0" w:after="0" w:line="560" w:lineRule="exact"/>
        <w:textAlignment w:val="auto"/>
        <w:outlineLvl w:val="9"/>
        <w:rPr>
          <w:rFonts w:hint="eastAsia" w:ascii="仿宋_GB2312" w:hAnsi="仿宋_GB2312" w:eastAsia="仿宋_GB2312" w:cs="仿宋_GB2312"/>
          <w:szCs w:val="32"/>
          <w:highlight w:val="none"/>
        </w:rPr>
      </w:pPr>
      <w:r>
        <w:rPr>
          <w:rFonts w:hint="eastAsia" w:ascii="仿宋_GB2312" w:eastAsia="仿宋_GB2312"/>
          <w:szCs w:val="32"/>
          <w:highlight w:val="none"/>
        </w:rPr>
        <w:t xml:space="preserve">           </w:t>
      </w:r>
      <w:bookmarkStart w:id="388" w:name="_Toc1560"/>
      <w:r>
        <w:rPr>
          <w:rFonts w:hint="eastAsia" w:ascii="仿宋_GB2312" w:hAnsi="仿宋_GB2312" w:eastAsia="仿宋_GB2312" w:cs="仿宋_GB2312"/>
          <w:szCs w:val="32"/>
          <w:highlight w:val="none"/>
        </w:rPr>
        <w:t>供应商名称（全称并加盖公章）：</w:t>
      </w:r>
      <w:bookmarkEnd w:id="388"/>
      <w:r>
        <w:rPr>
          <w:rFonts w:hint="eastAsia" w:ascii="仿宋_GB2312" w:hAnsi="仿宋_GB2312" w:eastAsia="仿宋_GB2312" w:cs="仿宋_GB2312"/>
          <w:szCs w:val="32"/>
          <w:highlight w:val="none"/>
        </w:rPr>
        <w:t xml:space="preserve"> </w:t>
      </w:r>
    </w:p>
    <w:p w14:paraId="10449434">
      <w:pPr>
        <w:pStyle w:val="77"/>
        <w:keepNext w:val="0"/>
        <w:keepLines w:val="0"/>
        <w:kinsoku/>
        <w:overflowPunct/>
        <w:topLinePunct w:val="0"/>
        <w:autoSpaceDE/>
        <w:bidi w:val="0"/>
        <w:spacing w:before="0" w:after="0" w:line="560" w:lineRule="exact"/>
        <w:ind w:left="0" w:firstLine="5120" w:firstLineChars="1600"/>
        <w:jc w:val="both"/>
        <w:textAlignment w:val="auto"/>
        <w:outlineLvl w:val="9"/>
        <w:rPr>
          <w:rFonts w:hint="eastAsia" w:ascii="仿宋_GB2312" w:hAnsi="仿宋_GB2312" w:eastAsia="仿宋_GB2312" w:cs="仿宋_GB2312"/>
          <w:szCs w:val="32"/>
          <w:highlight w:val="none"/>
        </w:rPr>
      </w:pPr>
      <w:bookmarkStart w:id="389" w:name="_Toc21511"/>
      <w:r>
        <w:rPr>
          <w:rFonts w:hint="eastAsia" w:ascii="仿宋_GB2312" w:hAnsi="仿宋_GB2312" w:eastAsia="仿宋_GB2312" w:cs="仿宋_GB2312"/>
          <w:szCs w:val="32"/>
          <w:highlight w:val="none"/>
        </w:rPr>
        <w:t>供应商代表签字：</w:t>
      </w:r>
      <w:bookmarkEnd w:id="389"/>
    </w:p>
    <w:p w14:paraId="31F63BEC">
      <w:pPr>
        <w:pStyle w:val="77"/>
        <w:keepNext w:val="0"/>
        <w:keepLines w:val="0"/>
        <w:kinsoku/>
        <w:overflowPunct/>
        <w:topLinePunct w:val="0"/>
        <w:autoSpaceDE/>
        <w:bidi w:val="0"/>
        <w:spacing w:before="0" w:after="0" w:line="560" w:lineRule="exact"/>
        <w:ind w:left="0" w:firstLine="5120" w:firstLineChars="1600"/>
        <w:jc w:val="both"/>
        <w:textAlignment w:val="auto"/>
        <w:outlineLvl w:val="9"/>
        <w:rPr>
          <w:rFonts w:hint="eastAsia" w:ascii="仿宋_GB2312" w:hAnsi="仿宋_GB2312" w:eastAsia="仿宋_GB2312" w:cs="仿宋_GB2312"/>
          <w:szCs w:val="32"/>
          <w:highlight w:val="none"/>
        </w:rPr>
      </w:pPr>
      <w:bookmarkStart w:id="390" w:name="_Toc19511"/>
      <w:r>
        <w:rPr>
          <w:rFonts w:hint="eastAsia" w:ascii="仿宋_GB2312" w:hAnsi="仿宋_GB2312" w:eastAsia="仿宋_GB2312" w:cs="仿宋_GB2312"/>
          <w:szCs w:val="32"/>
          <w:highlight w:val="none"/>
        </w:rPr>
        <w:t>日期：   年   月   日</w:t>
      </w:r>
      <w:bookmarkEnd w:id="390"/>
    </w:p>
    <w:p w14:paraId="4E65ACF1">
      <w:pPr>
        <w:pStyle w:val="77"/>
        <w:keepNext w:val="0"/>
        <w:keepLines w:val="0"/>
        <w:kinsoku/>
        <w:overflowPunct/>
        <w:topLinePunct w:val="0"/>
        <w:autoSpaceDE/>
        <w:bidi w:val="0"/>
        <w:spacing w:before="0" w:after="0" w:line="560" w:lineRule="exact"/>
        <w:ind w:left="0" w:firstLine="4800" w:firstLineChars="1500"/>
        <w:jc w:val="both"/>
        <w:textAlignment w:val="auto"/>
        <w:outlineLvl w:val="9"/>
        <w:rPr>
          <w:rFonts w:hint="eastAsia" w:ascii="仿宋_GB2312" w:hAnsi="仿宋_GB2312" w:eastAsia="仿宋_GB2312" w:cs="仿宋_GB2312"/>
          <w:szCs w:val="32"/>
          <w:highlight w:val="none"/>
        </w:rPr>
      </w:pPr>
    </w:p>
    <w:p w14:paraId="0FCBF5B6">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1E9DF414">
      <w:pPr>
        <w:keepNext w:val="0"/>
        <w:keepLines w:val="0"/>
        <w:kinsoku/>
        <w:overflowPunct/>
        <w:topLinePunct w:val="0"/>
        <w:autoSpaceDE/>
        <w:bidi w:val="0"/>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 xml:space="preserve">                               </w:t>
      </w:r>
    </w:p>
    <w:p w14:paraId="2CA95625">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775A89BA">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67629EED">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4D77DBC3">
      <w:pPr>
        <w:keepNext w:val="0"/>
        <w:keepLines w:val="0"/>
        <w:kinsoku/>
        <w:overflowPunct/>
        <w:topLinePunct w:val="0"/>
        <w:autoSpaceDE/>
        <w:bidi w:val="0"/>
        <w:spacing w:line="560" w:lineRule="exact"/>
        <w:textAlignment w:val="auto"/>
        <w:rPr>
          <w:rFonts w:ascii="仿宋_GB2312" w:eastAsia="仿宋_GB2312"/>
          <w:sz w:val="32"/>
          <w:szCs w:val="32"/>
          <w:highlight w:val="none"/>
        </w:rPr>
      </w:pPr>
      <w:bookmarkStart w:id="391" w:name="_Toc534883370"/>
      <w:bookmarkStart w:id="392" w:name="_Toc534883412"/>
      <w:bookmarkStart w:id="393" w:name="_Toc122257638"/>
      <w:bookmarkStart w:id="394" w:name="_Toc122750661"/>
      <w:bookmarkStart w:id="395" w:name="_Toc508286690"/>
      <w:bookmarkStart w:id="396" w:name="_Toc409439703"/>
      <w:r>
        <w:rPr>
          <w:rFonts w:hint="eastAsia" w:ascii="仿宋_GB2312" w:eastAsia="仿宋_GB2312"/>
          <w:sz w:val="32"/>
          <w:szCs w:val="32"/>
          <w:highlight w:val="none"/>
        </w:rPr>
        <w:t xml:space="preserve">                   </w:t>
      </w:r>
    </w:p>
    <w:p w14:paraId="0A36B6BD">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700D1D8A">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42332FC4">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40BC5D20">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57BBAF95">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564BBE0B">
      <w:pPr>
        <w:keepNext w:val="0"/>
        <w:keepLines w:val="0"/>
        <w:pageBreakBefore/>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kern w:val="44"/>
          <w:sz w:val="44"/>
          <w:szCs w:val="44"/>
          <w:highlight w:val="none"/>
        </w:rPr>
      </w:pPr>
      <w:bookmarkStart w:id="397" w:name="_Toc11531"/>
      <w:bookmarkStart w:id="398" w:name="_Toc2959"/>
      <w:r>
        <w:rPr>
          <w:rFonts w:hint="eastAsia" w:ascii="仿宋_GB2312" w:hAnsi="仿宋_GB2312" w:eastAsia="仿宋_GB2312" w:cs="仿宋_GB2312"/>
          <w:b/>
          <w:bCs/>
          <w:kern w:val="44"/>
          <w:sz w:val="44"/>
          <w:szCs w:val="44"/>
          <w:highlight w:val="none"/>
        </w:rPr>
        <w:t>（供应商法定代表人身份证复印件并盖章）</w:t>
      </w:r>
      <w:bookmarkEnd w:id="391"/>
      <w:bookmarkEnd w:id="392"/>
      <w:bookmarkEnd w:id="397"/>
      <w:bookmarkEnd w:id="398"/>
      <w:bookmarkStart w:id="399" w:name="_Toc534883413"/>
      <w:bookmarkStart w:id="400" w:name="_Toc534883371"/>
    </w:p>
    <w:p w14:paraId="32C6A0CF">
      <w:pPr>
        <w:keepNext w:val="0"/>
        <w:keepLines w:val="0"/>
        <w:kinsoku/>
        <w:overflowPunct/>
        <w:topLinePunct w:val="0"/>
        <w:autoSpaceDE/>
        <w:bidi w:val="0"/>
        <w:spacing w:line="560" w:lineRule="exact"/>
        <w:jc w:val="center"/>
        <w:textAlignment w:val="auto"/>
        <w:rPr>
          <w:rFonts w:hint="eastAsia" w:ascii="仿宋_GB2312" w:hAnsi="仿宋_GB2312" w:eastAsia="仿宋_GB2312" w:cs="仿宋_GB2312"/>
          <w:b/>
          <w:bCs/>
          <w:kern w:val="44"/>
          <w:sz w:val="44"/>
          <w:szCs w:val="44"/>
          <w:highlight w:val="none"/>
        </w:rPr>
      </w:pPr>
      <w:r>
        <w:rPr>
          <w:rFonts w:hint="eastAsia" w:ascii="仿宋_GB2312" w:hAnsi="仿宋_GB2312" w:eastAsia="仿宋_GB2312" w:cs="仿宋_GB2312"/>
          <w:b/>
          <w:bCs/>
          <w:kern w:val="44"/>
          <w:sz w:val="44"/>
          <w:szCs w:val="44"/>
          <w:highlight w:val="none"/>
        </w:rPr>
        <w:br w:type="page"/>
      </w:r>
    </w:p>
    <w:p w14:paraId="091405DC">
      <w:pPr>
        <w:keepNext w:val="0"/>
        <w:keepLines w:val="0"/>
        <w:kinsoku/>
        <w:overflowPunct/>
        <w:topLinePunct w:val="0"/>
        <w:autoSpaceDE/>
        <w:bidi w:val="0"/>
        <w:spacing w:line="560" w:lineRule="exact"/>
        <w:jc w:val="center"/>
        <w:textAlignment w:val="auto"/>
        <w:outlineLvl w:val="0"/>
        <w:rPr>
          <w:rFonts w:hint="eastAsia" w:ascii="仿宋_GB2312" w:hAnsi="仿宋_GB2312" w:eastAsia="仿宋_GB2312" w:cs="仿宋_GB2312"/>
          <w:b/>
          <w:bCs/>
          <w:kern w:val="44"/>
          <w:sz w:val="44"/>
          <w:szCs w:val="44"/>
          <w:highlight w:val="none"/>
        </w:rPr>
      </w:pPr>
      <w:bookmarkStart w:id="401" w:name="_Toc179"/>
      <w:bookmarkStart w:id="402" w:name="_Toc30892"/>
      <w:bookmarkStart w:id="403" w:name="_Toc27481"/>
      <w:bookmarkStart w:id="404" w:name="_Toc15360"/>
      <w:bookmarkStart w:id="405" w:name="_Toc26318"/>
      <w:bookmarkStart w:id="406" w:name="_Toc11442"/>
      <w:bookmarkStart w:id="407" w:name="_Toc27266"/>
      <w:bookmarkStart w:id="408" w:name="_Toc19752"/>
      <w:bookmarkStart w:id="409" w:name="_Toc28966"/>
      <w:bookmarkStart w:id="410" w:name="_Toc7407"/>
      <w:bookmarkStart w:id="411" w:name="_Toc32278"/>
      <w:bookmarkStart w:id="412" w:name="_Toc3228"/>
      <w:bookmarkStart w:id="413" w:name="_Toc30813"/>
      <w:r>
        <w:rPr>
          <w:rFonts w:hint="eastAsia" w:ascii="仿宋_GB2312" w:hAnsi="仿宋_GB2312" w:eastAsia="仿宋_GB2312" w:cs="仿宋_GB2312"/>
          <w:b/>
          <w:bCs/>
          <w:kern w:val="44"/>
          <w:sz w:val="44"/>
          <w:szCs w:val="44"/>
          <w:highlight w:val="none"/>
        </w:rPr>
        <w:t>四、供应商法定代表人授权委托书</w:t>
      </w:r>
      <w:bookmarkEnd w:id="393"/>
      <w:bookmarkEnd w:id="394"/>
      <w:bookmarkEnd w:id="395"/>
      <w:bookmarkEnd w:id="396"/>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60318889">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674FD1C6">
      <w:pPr>
        <w:keepNext w:val="0"/>
        <w:keepLines w:val="0"/>
        <w:kinsoku/>
        <w:overflowPunct/>
        <w:topLinePunct w:val="0"/>
        <w:autoSpaceDE/>
        <w:bidi w:val="0"/>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福路通城乡发展（福建）集团有限公司：</w:t>
      </w:r>
    </w:p>
    <w:p w14:paraId="7C2F893E">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46B11A71">
      <w:pPr>
        <w:keepNext w:val="0"/>
        <w:keepLines w:val="0"/>
        <w:kinsoku/>
        <w:overflowPunct/>
        <w:topLinePunct w:val="0"/>
        <w:autoSpaceDE/>
        <w:bidi w:val="0"/>
        <w:spacing w:line="560" w:lineRule="exact"/>
        <w:ind w:firstLine="645"/>
        <w:textAlignment w:val="auto"/>
        <w:rPr>
          <w:rFonts w:ascii="仿宋_GB2312" w:eastAsia="仿宋_GB2312"/>
          <w:sz w:val="32"/>
          <w:szCs w:val="32"/>
          <w:highlight w:val="none"/>
        </w:rPr>
      </w:pPr>
      <w:r>
        <w:rPr>
          <w:rFonts w:hint="eastAsia" w:ascii="仿宋_GB2312" w:eastAsia="仿宋_GB2312"/>
          <w:color w:val="000000"/>
          <w:sz w:val="32"/>
          <w:szCs w:val="32"/>
          <w:highlight w:val="none"/>
          <w:u w:val="single"/>
        </w:rPr>
        <w:t>（供应商名称）</w:t>
      </w:r>
      <w:r>
        <w:rPr>
          <w:rFonts w:hint="eastAsia" w:ascii="仿宋_GB2312" w:eastAsia="仿宋_GB2312"/>
          <w:sz w:val="32"/>
          <w:szCs w:val="32"/>
          <w:highlight w:val="none"/>
        </w:rPr>
        <w:t>是中华人民共和国合法企业，法定地址</w:t>
      </w:r>
      <w:r>
        <w:rPr>
          <w:rFonts w:hint="eastAsia" w:ascii="仿宋_GB2312" w:eastAsia="仿宋_GB2312"/>
          <w:sz w:val="32"/>
          <w:szCs w:val="32"/>
          <w:highlight w:val="none"/>
          <w:u w:val="single"/>
        </w:rPr>
        <w:t xml:space="preserve">                             </w:t>
      </w:r>
      <w:r>
        <w:rPr>
          <w:rFonts w:hint="eastAsia" w:ascii="仿宋_GB2312" w:eastAsia="仿宋_GB2312"/>
          <w:sz w:val="32"/>
          <w:szCs w:val="32"/>
          <w:highlight w:val="none"/>
        </w:rPr>
        <w:t>。</w:t>
      </w:r>
      <w:r>
        <w:rPr>
          <w:rFonts w:hint="eastAsia" w:ascii="仿宋_GB2312" w:eastAsia="仿宋_GB2312"/>
          <w:color w:val="000000"/>
          <w:sz w:val="32"/>
          <w:szCs w:val="32"/>
          <w:highlight w:val="none"/>
          <w:u w:val="single"/>
        </w:rPr>
        <w:t>（供应商法定代表人姓名）</w:t>
      </w:r>
      <w:r>
        <w:rPr>
          <w:rFonts w:hint="eastAsia" w:ascii="仿宋_GB2312" w:eastAsia="仿宋_GB2312"/>
          <w:sz w:val="32"/>
          <w:szCs w:val="32"/>
          <w:highlight w:val="none"/>
        </w:rPr>
        <w:t>特授权</w:t>
      </w:r>
      <w:r>
        <w:rPr>
          <w:rFonts w:hint="eastAsia" w:ascii="仿宋_GB2312" w:eastAsia="仿宋_GB2312"/>
          <w:sz w:val="32"/>
          <w:szCs w:val="32"/>
          <w:highlight w:val="none"/>
          <w:u w:val="single"/>
        </w:rPr>
        <w:t>（被授权人姓名及身份证号码）</w:t>
      </w:r>
      <w:r>
        <w:rPr>
          <w:rFonts w:hint="eastAsia" w:ascii="仿宋_GB2312" w:eastAsia="仿宋_GB2312"/>
          <w:sz w:val="32"/>
          <w:szCs w:val="32"/>
          <w:highlight w:val="none"/>
        </w:rPr>
        <w:t>代表我单位全权办理对</w:t>
      </w:r>
      <w:r>
        <w:rPr>
          <w:rFonts w:hint="eastAsia" w:ascii="仿宋_GB2312" w:hAnsi="仿宋_GB2312" w:eastAsia="仿宋_GB2312" w:cs="仿宋_GB2312"/>
          <w:sz w:val="32"/>
          <w:szCs w:val="32"/>
          <w:highlight w:val="none"/>
          <w:u w:val="single"/>
          <w:lang w:eastAsia="zh-CN"/>
        </w:rPr>
        <w:t>宁上高速路面交安设施安装服务</w:t>
      </w:r>
      <w:r>
        <w:rPr>
          <w:rFonts w:hint="eastAsia" w:ascii="仿宋_GB2312" w:eastAsia="仿宋_GB2312"/>
          <w:sz w:val="32"/>
          <w:szCs w:val="32"/>
          <w:highlight w:val="none"/>
        </w:rPr>
        <w:t>的报价、签约等具体工作，并签署全部有关的文件、协议及合同。</w:t>
      </w:r>
    </w:p>
    <w:p w14:paraId="135031E7">
      <w:pPr>
        <w:keepNext w:val="0"/>
        <w:keepLines w:val="0"/>
        <w:kinsoku/>
        <w:overflowPunct/>
        <w:topLinePunct w:val="0"/>
        <w:autoSpaceDE/>
        <w:bidi w:val="0"/>
        <w:spacing w:line="560" w:lineRule="exact"/>
        <w:ind w:firstLine="645"/>
        <w:textAlignment w:val="auto"/>
        <w:rPr>
          <w:rFonts w:ascii="仿宋_GB2312" w:eastAsia="仿宋_GB2312"/>
          <w:sz w:val="32"/>
          <w:szCs w:val="32"/>
          <w:highlight w:val="none"/>
        </w:rPr>
      </w:pPr>
      <w:r>
        <w:rPr>
          <w:rFonts w:hint="eastAsia" w:ascii="仿宋_GB2312" w:eastAsia="仿宋_GB2312"/>
          <w:sz w:val="32"/>
          <w:szCs w:val="32"/>
          <w:highlight w:val="none"/>
        </w:rPr>
        <w:t>我单位对被授权人的签名负全部责任。</w:t>
      </w:r>
    </w:p>
    <w:p w14:paraId="06971E06">
      <w:pPr>
        <w:keepNext w:val="0"/>
        <w:keepLines w:val="0"/>
        <w:kinsoku/>
        <w:overflowPunct/>
        <w:topLinePunct w:val="0"/>
        <w:autoSpaceDE/>
        <w:bidi w:val="0"/>
        <w:spacing w:line="560" w:lineRule="exact"/>
        <w:ind w:firstLine="640" w:firstLineChars="200"/>
        <w:textAlignment w:val="auto"/>
        <w:rPr>
          <w:rFonts w:ascii="仿宋_GB2312" w:eastAsia="仿宋_GB2312"/>
          <w:sz w:val="32"/>
          <w:szCs w:val="32"/>
          <w:highlight w:val="none"/>
        </w:rPr>
      </w:pPr>
      <w:r>
        <w:rPr>
          <w:rFonts w:hint="eastAsia" w:ascii="仿宋_GB2312" w:eastAsia="仿宋_GB2312"/>
          <w:sz w:val="32"/>
          <w:szCs w:val="32"/>
          <w:highlight w:val="none"/>
        </w:rPr>
        <w:t>在撤销授权的书面通知以前，本授权书一直有效。被授权人签署的所有文件（在授权书有效期内签署的）不因授权的撤销而失效。</w:t>
      </w:r>
    </w:p>
    <w:p w14:paraId="6E677B02">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12E6E9B9">
      <w:pPr>
        <w:keepNext w:val="0"/>
        <w:keepLines w:val="0"/>
        <w:kinsoku/>
        <w:overflowPunct/>
        <w:topLinePunct w:val="0"/>
        <w:autoSpaceDE/>
        <w:bidi w:val="0"/>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 xml:space="preserve">被授权人：（签字）             </w:t>
      </w:r>
    </w:p>
    <w:p w14:paraId="24EA8D50">
      <w:pPr>
        <w:keepNext w:val="0"/>
        <w:keepLines w:val="0"/>
        <w:kinsoku/>
        <w:overflowPunct/>
        <w:topLinePunct w:val="0"/>
        <w:autoSpaceDE/>
        <w:bidi w:val="0"/>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供应商法定代表人：（签字并盖公章）</w:t>
      </w:r>
    </w:p>
    <w:p w14:paraId="553BF5FA">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78584F55">
      <w:pPr>
        <w:keepNext w:val="0"/>
        <w:keepLines w:val="0"/>
        <w:kinsoku/>
        <w:overflowPunct/>
        <w:topLinePunct w:val="0"/>
        <w:autoSpaceDE/>
        <w:bidi w:val="0"/>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 xml:space="preserve">                           </w:t>
      </w:r>
    </w:p>
    <w:p w14:paraId="6EE87613">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67069D07">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03C30591">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6BB92DFE">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6A03349B">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180610CD">
      <w:pPr>
        <w:keepNext w:val="0"/>
        <w:keepLines w:val="0"/>
        <w:pageBreakBefore/>
        <w:widowControl w:val="0"/>
        <w:kinsoku/>
        <w:wordWrap/>
        <w:overflowPunct/>
        <w:topLinePunct w:val="0"/>
        <w:autoSpaceDE/>
        <w:autoSpaceDN/>
        <w:bidi w:val="0"/>
        <w:adjustRightInd/>
        <w:snapToGrid/>
        <w:spacing w:line="560" w:lineRule="exact"/>
        <w:jc w:val="center"/>
        <w:textAlignment w:val="auto"/>
        <w:rPr>
          <w:rFonts w:ascii="仿宋_GB2312" w:hAnsi="仿宋_GB2312" w:eastAsia="仿宋_GB2312" w:cs="仿宋_GB2312"/>
          <w:b/>
          <w:bCs/>
          <w:sz w:val="44"/>
          <w:szCs w:val="44"/>
          <w:highlight w:val="none"/>
        </w:rPr>
      </w:pPr>
      <w:bookmarkStart w:id="414" w:name="_Toc11899"/>
      <w:bookmarkStart w:id="415" w:name="_Toc2201"/>
      <w:bookmarkStart w:id="416" w:name="_Toc20925"/>
      <w:bookmarkStart w:id="417" w:name="_Toc4209"/>
      <w:r>
        <w:rPr>
          <w:rFonts w:hint="eastAsia" w:ascii="仿宋_GB2312" w:hAnsi="仿宋_GB2312" w:eastAsia="仿宋_GB2312" w:cs="仿宋_GB2312"/>
          <w:b/>
          <w:bCs/>
          <w:kern w:val="44"/>
          <w:sz w:val="44"/>
          <w:szCs w:val="44"/>
          <w:highlight w:val="none"/>
        </w:rPr>
        <w:t>（供应商被授权人身份证复印件</w:t>
      </w:r>
      <w:bookmarkStart w:id="418" w:name="_Toc122257640"/>
      <w:bookmarkStart w:id="419" w:name="_Toc122750662"/>
      <w:bookmarkStart w:id="420" w:name="_Toc508286691"/>
      <w:bookmarkStart w:id="421" w:name="_Toc409439704"/>
      <w:r>
        <w:rPr>
          <w:rFonts w:hint="eastAsia" w:ascii="仿宋_GB2312" w:hAnsi="仿宋_GB2312" w:eastAsia="仿宋_GB2312" w:cs="仿宋_GB2312"/>
          <w:b/>
          <w:bCs/>
          <w:kern w:val="44"/>
          <w:sz w:val="44"/>
          <w:szCs w:val="44"/>
          <w:highlight w:val="none"/>
        </w:rPr>
        <w:t>并盖章）</w:t>
      </w:r>
      <w:bookmarkEnd w:id="414"/>
      <w:bookmarkEnd w:id="415"/>
      <w:bookmarkEnd w:id="416"/>
      <w:bookmarkEnd w:id="417"/>
    </w:p>
    <w:p w14:paraId="3BBF50EE">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359086BD">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048DD70E">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507FF81F">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585E9467">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3F7016C6">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4A267E39">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41C537CF">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45FAD7A4">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432F8771">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3AF4E3F8">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sz w:val="44"/>
          <w:highlight w:val="none"/>
        </w:rPr>
      </w:pPr>
      <w:bookmarkStart w:id="422" w:name="_Toc6452"/>
      <w:bookmarkStart w:id="423" w:name="_Toc201"/>
      <w:bookmarkStart w:id="424" w:name="_Toc22524"/>
      <w:bookmarkStart w:id="425" w:name="_Toc10390"/>
      <w:bookmarkStart w:id="426" w:name="_Toc29705"/>
      <w:bookmarkStart w:id="427" w:name="_Toc18855"/>
      <w:bookmarkStart w:id="428" w:name="_Toc1898"/>
      <w:bookmarkStart w:id="429" w:name="_Toc23922"/>
      <w:bookmarkStart w:id="430" w:name="_Toc26202"/>
      <w:bookmarkStart w:id="431" w:name="_Toc22403"/>
      <w:bookmarkStart w:id="432" w:name="_Toc21115"/>
      <w:bookmarkStart w:id="433" w:name="_Toc534883414"/>
      <w:bookmarkStart w:id="434" w:name="_Toc18709"/>
      <w:bookmarkStart w:id="435" w:name="_Toc917"/>
      <w:bookmarkStart w:id="436" w:name="_Toc534883372"/>
      <w:bookmarkStart w:id="437" w:name="OLE_LINK12"/>
      <w:r>
        <w:rPr>
          <w:rFonts w:hint="eastAsia" w:ascii="仿宋_GB2312" w:hAnsi="仿宋_GB2312" w:eastAsia="仿宋_GB2312" w:cs="仿宋_GB2312"/>
          <w:b/>
          <w:bCs/>
          <w:kern w:val="44"/>
          <w:sz w:val="44"/>
          <w:szCs w:val="44"/>
          <w:highlight w:val="none"/>
        </w:rPr>
        <w:t>五、</w:t>
      </w:r>
      <w:bookmarkEnd w:id="418"/>
      <w:bookmarkEnd w:id="419"/>
      <w:r>
        <w:rPr>
          <w:rFonts w:hint="eastAsia" w:ascii="仿宋_GB2312" w:hAnsi="仿宋_GB2312" w:eastAsia="仿宋_GB2312" w:cs="仿宋_GB2312"/>
          <w:b/>
          <w:bCs/>
          <w:kern w:val="44"/>
          <w:sz w:val="44"/>
          <w:szCs w:val="44"/>
          <w:highlight w:val="none"/>
        </w:rPr>
        <w:t>资质文件</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5FDA723D">
      <w:pPr>
        <w:pStyle w:val="29"/>
        <w:keepNext w:val="0"/>
        <w:keepLines w:val="0"/>
        <w:numPr>
          <w:ilvl w:val="255"/>
          <w:numId w:val="0"/>
        </w:numPr>
        <w:kinsoku/>
        <w:overflowPunct/>
        <w:topLinePunct w:val="0"/>
        <w:autoSpaceDE/>
        <w:bidi w:val="0"/>
        <w:spacing w:line="560" w:lineRule="exact"/>
        <w:ind w:left="840" w:leftChars="400"/>
        <w:textAlignment w:val="auto"/>
        <w:rPr>
          <w:rFonts w:hint="eastAsia"/>
          <w:highlight w:val="none"/>
        </w:rPr>
      </w:pPr>
    </w:p>
    <w:bookmarkEnd w:id="437"/>
    <w:p w14:paraId="5A5D837F">
      <w:pPr>
        <w:keepNext w:val="0"/>
        <w:keepLines w:val="0"/>
        <w:kinsoku/>
        <w:overflowPunct/>
        <w:topLinePunct w:val="0"/>
        <w:autoSpaceDE/>
        <w:bidi w:val="0"/>
        <w:spacing w:line="560" w:lineRule="exact"/>
        <w:textAlignment w:val="auto"/>
        <w:rPr>
          <w:rFonts w:ascii="仿宋_GB2312" w:eastAsia="仿宋_GB2312"/>
          <w:sz w:val="32"/>
          <w:szCs w:val="32"/>
          <w:highlight w:val="none"/>
        </w:rPr>
      </w:pPr>
      <w:bookmarkStart w:id="438" w:name="OLE_LINK31"/>
      <w:r>
        <w:rPr>
          <w:rFonts w:hint="eastAsia" w:ascii="仿宋_GB2312" w:eastAsia="仿宋_GB2312"/>
          <w:sz w:val="32"/>
          <w:szCs w:val="32"/>
          <w:highlight w:val="none"/>
        </w:rPr>
        <w:t>供应商需提供以下资质文件：</w:t>
      </w:r>
    </w:p>
    <w:p w14:paraId="508A8A35">
      <w:pPr>
        <w:keepNext w:val="0"/>
        <w:keepLines w:val="0"/>
        <w:kinsoku/>
        <w:overflowPunct/>
        <w:topLinePunct w:val="0"/>
        <w:autoSpaceDE/>
        <w:bidi w:val="0"/>
        <w:spacing w:line="56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有效的工商营业执照副本复印件、税务登记证副本复印件（或提供三证合一的工商营业执照副本复印件）</w:t>
      </w:r>
    </w:p>
    <w:bookmarkEnd w:id="438"/>
    <w:p w14:paraId="5BDD5AA8">
      <w:pPr>
        <w:keepNext w:val="0"/>
        <w:keepLines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bidi="ar-SA"/>
        </w:rPr>
        <w:t>2.有效的施工资质证书</w:t>
      </w:r>
      <w:bookmarkStart w:id="439" w:name="OLE_LINK28"/>
      <w:r>
        <w:rPr>
          <w:rFonts w:hint="eastAsia" w:ascii="仿宋_GB2312" w:hAnsi="仿宋_GB2312" w:eastAsia="仿宋_GB2312" w:cs="仿宋_GB2312"/>
          <w:kern w:val="0"/>
          <w:sz w:val="32"/>
          <w:szCs w:val="32"/>
          <w:highlight w:val="none"/>
          <w:lang w:val="en-US" w:eastAsia="zh-CN" w:bidi="ar-SA"/>
        </w:rPr>
        <w:t>复印件</w:t>
      </w:r>
      <w:bookmarkEnd w:id="439"/>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w:t>
      </w:r>
    </w:p>
    <w:p w14:paraId="0616E1B9">
      <w:pPr>
        <w:pStyle w:val="23"/>
        <w:keepNext w:val="0"/>
        <w:keepLines w:val="0"/>
        <w:kinsoku/>
        <w:overflowPunct/>
        <w:topLinePunct w:val="0"/>
        <w:autoSpaceDE/>
        <w:bidi w:val="0"/>
        <w:spacing w:line="560" w:lineRule="exact"/>
        <w:ind w:firstLine="640" w:firstLineChars="200"/>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3.有效的企业安全生产许可证</w:t>
      </w:r>
      <w:bookmarkStart w:id="440" w:name="OLE_LINK30"/>
      <w:r>
        <w:rPr>
          <w:rFonts w:hint="eastAsia" w:ascii="仿宋_GB2312" w:hAnsi="仿宋_GB2312" w:eastAsia="仿宋_GB2312" w:cs="仿宋_GB2312"/>
          <w:kern w:val="0"/>
          <w:sz w:val="32"/>
          <w:szCs w:val="32"/>
          <w:highlight w:val="none"/>
          <w:lang w:val="en-US" w:eastAsia="zh-CN" w:bidi="ar-SA"/>
        </w:rPr>
        <w:t>复印件</w:t>
      </w:r>
      <w:bookmarkEnd w:id="440"/>
      <w:r>
        <w:rPr>
          <w:rFonts w:hint="eastAsia" w:ascii="仿宋_GB2312" w:hAnsi="仿宋_GB2312" w:eastAsia="仿宋_GB2312" w:cs="仿宋_GB2312"/>
          <w:kern w:val="0"/>
          <w:sz w:val="32"/>
          <w:szCs w:val="32"/>
          <w:highlight w:val="none"/>
          <w:lang w:val="en-US" w:eastAsia="zh-CN" w:bidi="ar-SA"/>
        </w:rPr>
        <w:t>。</w:t>
      </w:r>
    </w:p>
    <w:p w14:paraId="02312413">
      <w:pPr>
        <w:keepNext w:val="0"/>
        <w:keepLines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ar-SA"/>
        </w:rPr>
      </w:pPr>
      <w:r>
        <w:rPr>
          <w:rFonts w:hint="eastAsia" w:ascii="仿宋_GB2312" w:hAnsi="仿宋_GB2312" w:eastAsia="仿宋_GB2312" w:cs="仿宋_GB2312"/>
          <w:kern w:val="0"/>
          <w:sz w:val="32"/>
          <w:szCs w:val="32"/>
          <w:highlight w:val="none"/>
          <w:lang w:val="en-US" w:eastAsia="zh-CN" w:bidi="ar-SA"/>
        </w:rPr>
        <w:t>4.</w:t>
      </w:r>
      <w:r>
        <w:rPr>
          <w:rFonts w:hint="eastAsia" w:ascii="仿宋_GB2312" w:hAnsi="仿宋_GB2312" w:eastAsia="仿宋_GB2312" w:cs="仿宋_GB2312"/>
          <w:kern w:val="0"/>
          <w:sz w:val="32"/>
          <w:szCs w:val="32"/>
          <w:highlight w:val="none"/>
          <w:lang w:val="en-US" w:eastAsia="en-US" w:bidi="ar-SA"/>
        </w:rPr>
        <w:t>有效的</w:t>
      </w:r>
      <w:r>
        <w:rPr>
          <w:rFonts w:hint="eastAsia" w:ascii="仿宋_GB2312" w:hAnsi="仿宋_GB2312" w:eastAsia="仿宋_GB2312" w:cs="仿宋_GB2312"/>
          <w:kern w:val="0"/>
          <w:sz w:val="32"/>
          <w:szCs w:val="32"/>
          <w:highlight w:val="none"/>
          <w:lang w:val="en-US" w:eastAsia="zh-CN" w:bidi="ar-SA"/>
        </w:rPr>
        <w:t>其他</w:t>
      </w:r>
      <w:r>
        <w:rPr>
          <w:rFonts w:hint="eastAsia" w:ascii="仿宋_GB2312" w:hAnsi="仿宋_GB2312" w:eastAsia="仿宋_GB2312" w:cs="仿宋_GB2312"/>
          <w:kern w:val="0"/>
          <w:sz w:val="32"/>
          <w:szCs w:val="32"/>
          <w:highlight w:val="none"/>
          <w:lang w:val="en-US" w:eastAsia="en-US" w:bidi="ar-SA"/>
        </w:rPr>
        <w:t>证书</w:t>
      </w:r>
      <w:r>
        <w:rPr>
          <w:rFonts w:hint="eastAsia" w:ascii="仿宋_GB2312" w:hAnsi="仿宋_GB2312" w:eastAsia="仿宋_GB2312" w:cs="仿宋_GB2312"/>
          <w:kern w:val="0"/>
          <w:sz w:val="32"/>
          <w:szCs w:val="32"/>
          <w:highlight w:val="none"/>
          <w:lang w:val="en-US" w:eastAsia="zh-CN" w:bidi="ar-SA"/>
        </w:rPr>
        <w:t>复印件</w:t>
      </w:r>
    </w:p>
    <w:p w14:paraId="6DE502BF">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05A73E05">
      <w:pPr>
        <w:keepNext w:val="0"/>
        <w:keepLines w:val="0"/>
        <w:kinsoku/>
        <w:overflowPunct/>
        <w:topLinePunct w:val="0"/>
        <w:autoSpaceDE/>
        <w:bidi w:val="0"/>
        <w:spacing w:line="560" w:lineRule="exact"/>
        <w:textAlignment w:val="auto"/>
        <w:rPr>
          <w:rFonts w:ascii="仿宋_GB2312" w:eastAsia="仿宋_GB2312"/>
          <w:sz w:val="32"/>
          <w:szCs w:val="32"/>
          <w:highlight w:val="none"/>
        </w:rPr>
      </w:pPr>
      <w:r>
        <w:rPr>
          <w:rFonts w:hint="eastAsia" w:ascii="仿宋_GB2312" w:eastAsia="仿宋_GB2312"/>
          <w:sz w:val="32"/>
          <w:szCs w:val="32"/>
          <w:highlight w:val="none"/>
        </w:rPr>
        <w:t>以上资料</w:t>
      </w:r>
      <w:bookmarkStart w:id="441" w:name="OLE_LINK13"/>
      <w:r>
        <w:rPr>
          <w:rFonts w:hint="eastAsia" w:ascii="仿宋_GB2312" w:eastAsia="仿宋_GB2312"/>
          <w:sz w:val="32"/>
          <w:szCs w:val="32"/>
          <w:highlight w:val="none"/>
        </w:rPr>
        <w:t>复印件加盖公章</w:t>
      </w:r>
      <w:bookmarkEnd w:id="441"/>
      <w:r>
        <w:rPr>
          <w:rFonts w:hint="eastAsia" w:ascii="仿宋_GB2312" w:eastAsia="仿宋_GB2312"/>
          <w:sz w:val="32"/>
          <w:szCs w:val="32"/>
          <w:highlight w:val="none"/>
        </w:rPr>
        <w:t>，装订为响应文件的一部分。</w:t>
      </w:r>
    </w:p>
    <w:p w14:paraId="7C02F731">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18D2078B">
      <w:pPr>
        <w:keepNext w:val="0"/>
        <w:keepLines w:val="0"/>
        <w:kinsoku/>
        <w:overflowPunct/>
        <w:topLinePunct w:val="0"/>
        <w:autoSpaceDE/>
        <w:bidi w:val="0"/>
        <w:spacing w:line="560" w:lineRule="exact"/>
        <w:textAlignment w:val="auto"/>
        <w:rPr>
          <w:rFonts w:ascii="仿宋_GB2312" w:eastAsia="仿宋_GB2312"/>
          <w:sz w:val="32"/>
          <w:szCs w:val="32"/>
          <w:highlight w:val="none"/>
        </w:rPr>
      </w:pPr>
    </w:p>
    <w:p w14:paraId="4C7812F9">
      <w:pPr>
        <w:keepNext w:val="0"/>
        <w:keepLines w:val="0"/>
        <w:kinsoku/>
        <w:overflowPunct/>
        <w:topLinePunct w:val="0"/>
        <w:autoSpaceDE/>
        <w:bidi w:val="0"/>
        <w:spacing w:line="560" w:lineRule="exact"/>
        <w:textAlignment w:val="auto"/>
        <w:rPr>
          <w:rFonts w:hint="eastAsia" w:ascii="仿宋_GB2312" w:hAnsi="仿宋_GB2312" w:eastAsia="仿宋_GB2312" w:cs="仿宋_GB2312"/>
          <w:b/>
          <w:sz w:val="36"/>
          <w:szCs w:val="36"/>
          <w:highlight w:val="none"/>
        </w:rPr>
      </w:pPr>
      <w:r>
        <w:rPr>
          <w:rFonts w:hint="eastAsia" w:ascii="仿宋_GB2312" w:hAnsi="仿宋_GB2312" w:eastAsia="仿宋_GB2312" w:cs="仿宋_GB2312"/>
          <w:b/>
          <w:sz w:val="36"/>
          <w:szCs w:val="36"/>
          <w:highlight w:val="none"/>
        </w:rPr>
        <w:br w:type="page"/>
      </w:r>
    </w:p>
    <w:p w14:paraId="311F42B2">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kern w:val="44"/>
          <w:sz w:val="44"/>
          <w:szCs w:val="44"/>
          <w:highlight w:val="none"/>
          <w:lang w:val="en-US" w:eastAsia="zh-CN"/>
        </w:rPr>
      </w:pPr>
      <w:bookmarkStart w:id="442" w:name="_Toc1035"/>
      <w:bookmarkStart w:id="443" w:name="_Toc26004"/>
      <w:bookmarkStart w:id="444" w:name="_Toc20173"/>
      <w:bookmarkStart w:id="445" w:name="_Toc16852"/>
      <w:bookmarkStart w:id="446" w:name="_Toc1122"/>
      <w:bookmarkStart w:id="447" w:name="_Toc3538"/>
      <w:bookmarkStart w:id="448" w:name="_Toc8818"/>
      <w:bookmarkStart w:id="449" w:name="_Toc26328"/>
      <w:bookmarkStart w:id="450" w:name="_Toc14434"/>
      <w:bookmarkStart w:id="451" w:name="_Toc17405"/>
      <w:bookmarkStart w:id="452" w:name="_Toc21267"/>
      <w:bookmarkStart w:id="453" w:name="_Toc28230"/>
      <w:bookmarkStart w:id="454" w:name="_Toc20229"/>
      <w:bookmarkStart w:id="455" w:name="_Toc31507"/>
      <w:bookmarkStart w:id="456" w:name="_Toc5331"/>
      <w:bookmarkStart w:id="457" w:name="OLE_LINK15"/>
      <w:r>
        <w:rPr>
          <w:rFonts w:hint="eastAsia" w:ascii="仿宋_GB2312" w:hAnsi="仿宋_GB2312" w:eastAsia="仿宋_GB2312" w:cs="仿宋_GB2312"/>
          <w:b/>
          <w:bCs/>
          <w:kern w:val="44"/>
          <w:sz w:val="44"/>
          <w:szCs w:val="44"/>
          <w:highlight w:val="none"/>
          <w:lang w:val="en-US" w:eastAsia="zh-CN"/>
        </w:rPr>
        <w:t>六、业绩证明文件</w:t>
      </w:r>
      <w:bookmarkEnd w:id="442"/>
    </w:p>
    <w:p w14:paraId="7B155974">
      <w:pPr>
        <w:keepNext w:val="0"/>
        <w:keepLines w:val="0"/>
        <w:kinsoku/>
        <w:overflowPunct/>
        <w:topLinePunct w:val="0"/>
        <w:autoSpaceDE/>
        <w:bidi w:val="0"/>
        <w:spacing w:line="560" w:lineRule="exact"/>
        <w:textAlignment w:val="auto"/>
        <w:rPr>
          <w:rFonts w:hint="eastAsia" w:ascii="仿宋_GB2312" w:eastAsia="仿宋_GB2312"/>
          <w:sz w:val="32"/>
          <w:szCs w:val="32"/>
          <w:highlight w:val="none"/>
        </w:rPr>
      </w:pPr>
      <w:r>
        <w:rPr>
          <w:rFonts w:hint="eastAsia" w:ascii="仿宋_GB2312" w:eastAsia="仿宋_GB2312"/>
          <w:sz w:val="32"/>
          <w:szCs w:val="32"/>
          <w:highlight w:val="none"/>
        </w:rPr>
        <w:t>供应商需提供以下资质文件：</w:t>
      </w:r>
    </w:p>
    <w:p w14:paraId="666A2167">
      <w:pPr>
        <w:keepNext w:val="0"/>
        <w:keepLines w:val="0"/>
        <w:kinsoku/>
        <w:overflowPunct/>
        <w:topLinePunct w:val="0"/>
        <w:autoSpaceDE/>
        <w:bidi w:val="0"/>
        <w:spacing w:line="560" w:lineRule="exact"/>
        <w:ind w:firstLine="640" w:firstLineChars="200"/>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rPr>
        <w:t>应提供加盖投标人公章的合同彩色扫描件和项目业主出具的业绩完成证明作为业绩证明材料并加盖投标人公章</w:t>
      </w:r>
      <w:r>
        <w:rPr>
          <w:rFonts w:hint="eastAsia" w:ascii="仿宋_GB2312" w:eastAsia="仿宋_GB2312"/>
          <w:sz w:val="32"/>
          <w:szCs w:val="32"/>
          <w:highlight w:val="none"/>
          <w:lang w:eastAsia="zh-CN"/>
        </w:rPr>
        <w:t>。</w:t>
      </w:r>
    </w:p>
    <w:p w14:paraId="3DB1ABE6">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kern w:val="44"/>
          <w:sz w:val="44"/>
          <w:szCs w:val="44"/>
          <w:highlight w:val="none"/>
        </w:rPr>
      </w:pPr>
      <w:bookmarkStart w:id="458" w:name="_Toc21288"/>
      <w:r>
        <w:rPr>
          <w:rFonts w:hint="eastAsia" w:ascii="仿宋_GB2312" w:hAnsi="仿宋_GB2312" w:eastAsia="仿宋_GB2312" w:cs="仿宋_GB2312"/>
          <w:b/>
          <w:bCs/>
          <w:kern w:val="44"/>
          <w:sz w:val="44"/>
          <w:szCs w:val="44"/>
          <w:highlight w:val="none"/>
          <w:lang w:val="en-US" w:eastAsia="zh-CN"/>
        </w:rPr>
        <w:t>七</w:t>
      </w:r>
      <w:r>
        <w:rPr>
          <w:rFonts w:hint="eastAsia" w:ascii="仿宋_GB2312" w:hAnsi="仿宋_GB2312" w:eastAsia="仿宋_GB2312" w:cs="仿宋_GB2312"/>
          <w:b/>
          <w:bCs/>
          <w:kern w:val="44"/>
          <w:sz w:val="44"/>
          <w:szCs w:val="44"/>
          <w:highlight w:val="none"/>
        </w:rPr>
        <w:t>、拟投入本项目劳务协作的车辆、设备一览表</w:t>
      </w:r>
      <w:bookmarkEnd w:id="443"/>
      <w:bookmarkEnd w:id="444"/>
      <w:bookmarkEnd w:id="458"/>
    </w:p>
    <w:p w14:paraId="02356BA8">
      <w:pPr>
        <w:pStyle w:val="29"/>
        <w:keepNext w:val="0"/>
        <w:keepLines w:val="0"/>
        <w:pageBreakBefore w:val="0"/>
        <w:widowControl w:val="0"/>
        <w:numPr>
          <w:ilvl w:val="255"/>
          <w:numId w:val="0"/>
        </w:numPr>
        <w:kinsoku/>
        <w:wordWrap/>
        <w:overflowPunct/>
        <w:topLinePunct w:val="0"/>
        <w:autoSpaceDE/>
        <w:autoSpaceDN/>
        <w:bidi w:val="0"/>
        <w:adjustRightInd/>
        <w:spacing w:line="560" w:lineRule="exact"/>
        <w:ind w:left="840" w:leftChars="400"/>
        <w:textAlignment w:val="auto"/>
        <w:rPr>
          <w:rFonts w:hint="eastAsia" w:ascii="仿宋_GB2312" w:hAnsi="仿宋_GB2312" w:eastAsia="仿宋_GB2312" w:cs="仿宋_GB2312"/>
          <w:sz w:val="32"/>
          <w:szCs w:val="32"/>
          <w:highlight w:val="none"/>
        </w:rPr>
      </w:pPr>
    </w:p>
    <w:p w14:paraId="2A60CC52">
      <w:pPr>
        <w:keepNext w:val="0"/>
        <w:keepLines w:val="0"/>
        <w:pageBreakBefore w:val="0"/>
        <w:widowControl w:val="0"/>
        <w:tabs>
          <w:tab w:val="left" w:pos="1155"/>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color w:val="FF0000"/>
          <w:sz w:val="32"/>
          <w:szCs w:val="32"/>
          <w:highlight w:val="none"/>
        </w:rPr>
      </w:pPr>
      <w:r>
        <w:rPr>
          <w:rFonts w:hint="eastAsia" w:ascii="仿宋_GB2312" w:hAnsi="仿宋_GB2312" w:eastAsia="仿宋_GB2312" w:cs="仿宋_GB2312"/>
          <w:sz w:val="32"/>
          <w:szCs w:val="32"/>
          <w:highlight w:val="none"/>
        </w:rPr>
        <w:t>拟投入本项目劳务协作的车辆、仪器设备应满足项目工期和质量需要，应投入：管理车辆，布控车辆，取芯机</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rPr>
        <w:t>。所配置机械设备需满足项目开展需要，相关机械设备</w:t>
      </w:r>
      <w:r>
        <w:rPr>
          <w:rFonts w:hint="eastAsia" w:ascii="仿宋_GB2312" w:hAnsi="仿宋_GB2312" w:eastAsia="仿宋_GB2312" w:cs="仿宋_GB2312"/>
          <w:sz w:val="32"/>
          <w:szCs w:val="32"/>
          <w:highlight w:val="none"/>
          <w:lang w:val="en-US" w:eastAsia="zh-CN"/>
        </w:rPr>
        <w:t>需</w:t>
      </w:r>
      <w:r>
        <w:rPr>
          <w:rFonts w:hint="eastAsia" w:ascii="仿宋_GB2312" w:hAnsi="仿宋_GB2312" w:eastAsia="仿宋_GB2312" w:cs="仿宋_GB2312"/>
          <w:sz w:val="32"/>
          <w:szCs w:val="32"/>
          <w:highlight w:val="none"/>
        </w:rPr>
        <w:t>自有，并在投标文件中提供相关证明材料</w:t>
      </w:r>
      <w:r>
        <w:rPr>
          <w:rFonts w:hint="eastAsia" w:ascii="仿宋_GB2312" w:hAnsi="仿宋_GB2312" w:eastAsia="仿宋_GB2312" w:cs="仿宋_GB2312"/>
          <w:sz w:val="32"/>
          <w:szCs w:val="32"/>
          <w:highlight w:val="none"/>
          <w:lang w:eastAsia="zh-CN"/>
        </w:rPr>
        <w:t>，提供</w:t>
      </w:r>
      <w:r>
        <w:rPr>
          <w:rFonts w:hint="eastAsia" w:ascii="仿宋_GB2312" w:hAnsi="仿宋_GB2312" w:eastAsia="仿宋_GB2312" w:cs="仿宋_GB2312"/>
          <w:sz w:val="32"/>
          <w:szCs w:val="32"/>
          <w:highlight w:val="none"/>
          <w:lang w:val="en-US" w:eastAsia="zh-CN"/>
        </w:rPr>
        <w:t>车辆设备的购置发票</w:t>
      </w:r>
      <w:r>
        <w:rPr>
          <w:rFonts w:hint="eastAsia" w:ascii="仿宋_GB2312" w:hAnsi="仿宋_GB2312" w:eastAsia="仿宋_GB2312" w:cs="仿宋_GB2312"/>
          <w:sz w:val="32"/>
          <w:szCs w:val="32"/>
          <w:highlight w:val="none"/>
          <w:lang w:eastAsia="zh-CN"/>
        </w:rPr>
        <w:t>彩色</w:t>
      </w:r>
      <w:r>
        <w:rPr>
          <w:rFonts w:hint="eastAsia" w:ascii="仿宋_GB2312" w:hAnsi="仿宋_GB2312" w:eastAsia="仿宋_GB2312" w:cs="仿宋_GB2312"/>
          <w:sz w:val="32"/>
          <w:szCs w:val="32"/>
          <w:highlight w:val="none"/>
          <w:lang w:val="en-US" w:eastAsia="zh-CN"/>
        </w:rPr>
        <w:t>复印件</w:t>
      </w:r>
      <w:r>
        <w:rPr>
          <w:rFonts w:hint="eastAsia" w:ascii="仿宋_GB2312" w:hAnsi="仿宋_GB2312" w:eastAsia="仿宋_GB2312" w:cs="仿宋_GB2312"/>
          <w:sz w:val="32"/>
          <w:szCs w:val="32"/>
          <w:highlight w:val="none"/>
        </w:rPr>
        <w:t>。</w:t>
      </w:r>
    </w:p>
    <w:p w14:paraId="53D24DB3">
      <w:pPr>
        <w:keepNext w:val="0"/>
        <w:keepLines w:val="0"/>
        <w:kinsoku/>
        <w:overflowPunct/>
        <w:topLinePunct w:val="0"/>
        <w:autoSpaceDE/>
        <w:bidi w:val="0"/>
        <w:spacing w:line="560" w:lineRule="exact"/>
        <w:textAlignment w:val="auto"/>
        <w:rPr>
          <w:rFonts w:ascii="Times New Roman" w:hAnsi="Times New Roman" w:eastAsia="仿宋_GB2312" w:cs="Times New Roman"/>
          <w:szCs w:val="24"/>
          <w:highlight w:val="none"/>
        </w:rPr>
      </w:pPr>
    </w:p>
    <w:tbl>
      <w:tblPr>
        <w:tblStyle w:val="31"/>
        <w:tblpPr w:leftFromText="180" w:rightFromText="180" w:vertAnchor="text" w:horzAnchor="page" w:tblpX="1497" w:tblpY="97"/>
        <w:tblOverlap w:val="never"/>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1833"/>
        <w:gridCol w:w="1628"/>
        <w:gridCol w:w="2037"/>
        <w:gridCol w:w="1116"/>
        <w:gridCol w:w="1379"/>
      </w:tblGrid>
      <w:tr w14:paraId="460930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13" w:type="pct"/>
            <w:tcBorders>
              <w:top w:val="single" w:color="auto" w:sz="8" w:space="0"/>
              <w:left w:val="single" w:color="auto" w:sz="8" w:space="0"/>
              <w:bottom w:val="single" w:color="auto" w:sz="4" w:space="0"/>
              <w:right w:val="single" w:color="auto" w:sz="4" w:space="0"/>
            </w:tcBorders>
            <w:noWrap w:val="0"/>
            <w:vAlign w:val="center"/>
          </w:tcPr>
          <w:p w14:paraId="4FC5E806">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序号</w:t>
            </w:r>
          </w:p>
        </w:tc>
        <w:tc>
          <w:tcPr>
            <w:tcW w:w="1005" w:type="pct"/>
            <w:tcBorders>
              <w:top w:val="single" w:color="auto" w:sz="8" w:space="0"/>
              <w:left w:val="single" w:color="auto" w:sz="4" w:space="0"/>
              <w:bottom w:val="single" w:color="auto" w:sz="4" w:space="0"/>
              <w:right w:val="single" w:color="auto" w:sz="4" w:space="0"/>
            </w:tcBorders>
            <w:noWrap w:val="0"/>
            <w:vAlign w:val="center"/>
          </w:tcPr>
          <w:p w14:paraId="3651E1CD">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机械设备</w:t>
            </w:r>
          </w:p>
          <w:p w14:paraId="54D1C868">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名称</w:t>
            </w:r>
          </w:p>
        </w:tc>
        <w:tc>
          <w:tcPr>
            <w:tcW w:w="893" w:type="pct"/>
            <w:tcBorders>
              <w:top w:val="single" w:color="auto" w:sz="8" w:space="0"/>
              <w:left w:val="single" w:color="auto" w:sz="4" w:space="0"/>
              <w:bottom w:val="single" w:color="auto" w:sz="4" w:space="0"/>
              <w:right w:val="single" w:color="auto" w:sz="4" w:space="0"/>
            </w:tcBorders>
            <w:noWrap w:val="0"/>
            <w:vAlign w:val="center"/>
          </w:tcPr>
          <w:p w14:paraId="29E3782A">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厂牌及</w:t>
            </w:r>
          </w:p>
          <w:p w14:paraId="63C4AE7D">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规格型号</w:t>
            </w:r>
          </w:p>
        </w:tc>
        <w:tc>
          <w:tcPr>
            <w:tcW w:w="1117" w:type="pct"/>
            <w:tcBorders>
              <w:top w:val="single" w:color="auto" w:sz="8" w:space="0"/>
              <w:left w:val="single" w:color="auto" w:sz="4" w:space="0"/>
              <w:bottom w:val="single" w:color="auto" w:sz="4" w:space="0"/>
              <w:right w:val="single" w:color="auto" w:sz="4" w:space="0"/>
            </w:tcBorders>
            <w:noWrap w:val="0"/>
            <w:vAlign w:val="center"/>
          </w:tcPr>
          <w:p w14:paraId="05AF7FC8">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精度或</w:t>
            </w:r>
          </w:p>
          <w:p w14:paraId="45AA3E3B">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设备说明</w:t>
            </w:r>
          </w:p>
        </w:tc>
        <w:tc>
          <w:tcPr>
            <w:tcW w:w="612" w:type="pct"/>
            <w:tcBorders>
              <w:top w:val="single" w:color="auto" w:sz="8" w:space="0"/>
              <w:left w:val="single" w:color="auto" w:sz="4" w:space="0"/>
              <w:bottom w:val="single" w:color="auto" w:sz="4" w:space="0"/>
              <w:right w:val="single" w:color="auto" w:sz="4" w:space="0"/>
            </w:tcBorders>
            <w:noWrap w:val="0"/>
            <w:vAlign w:val="center"/>
          </w:tcPr>
          <w:p w14:paraId="4F1FF68A">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数量</w:t>
            </w:r>
          </w:p>
        </w:tc>
        <w:tc>
          <w:tcPr>
            <w:tcW w:w="756" w:type="pct"/>
            <w:tcBorders>
              <w:top w:val="single" w:color="auto" w:sz="8" w:space="0"/>
              <w:left w:val="single" w:color="auto" w:sz="4" w:space="0"/>
              <w:bottom w:val="single" w:color="auto" w:sz="4" w:space="0"/>
              <w:right w:val="single" w:color="auto" w:sz="8" w:space="0"/>
            </w:tcBorders>
            <w:noWrap w:val="0"/>
            <w:vAlign w:val="center"/>
          </w:tcPr>
          <w:p w14:paraId="683BD1A3">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备注</w:t>
            </w:r>
          </w:p>
        </w:tc>
      </w:tr>
      <w:tr w14:paraId="2FEB3D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13" w:type="pct"/>
            <w:tcBorders>
              <w:top w:val="single" w:color="auto" w:sz="8" w:space="0"/>
              <w:left w:val="single" w:color="auto" w:sz="8" w:space="0"/>
              <w:bottom w:val="single" w:color="auto" w:sz="4" w:space="0"/>
              <w:right w:val="single" w:color="auto" w:sz="4" w:space="0"/>
            </w:tcBorders>
            <w:noWrap w:val="0"/>
            <w:vAlign w:val="center"/>
          </w:tcPr>
          <w:p w14:paraId="772B612F">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p>
        </w:tc>
        <w:tc>
          <w:tcPr>
            <w:tcW w:w="1005" w:type="pct"/>
            <w:tcBorders>
              <w:top w:val="single" w:color="auto" w:sz="8" w:space="0"/>
              <w:left w:val="single" w:color="auto" w:sz="4" w:space="0"/>
              <w:bottom w:val="single" w:color="auto" w:sz="4" w:space="0"/>
              <w:right w:val="single" w:color="auto" w:sz="4" w:space="0"/>
            </w:tcBorders>
            <w:noWrap w:val="0"/>
            <w:vAlign w:val="center"/>
          </w:tcPr>
          <w:p w14:paraId="5881B68E">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c>
          <w:tcPr>
            <w:tcW w:w="893" w:type="pct"/>
            <w:tcBorders>
              <w:top w:val="single" w:color="auto" w:sz="8" w:space="0"/>
              <w:left w:val="single" w:color="auto" w:sz="4" w:space="0"/>
              <w:bottom w:val="single" w:color="auto" w:sz="4" w:space="0"/>
              <w:right w:val="single" w:color="auto" w:sz="4" w:space="0"/>
            </w:tcBorders>
            <w:noWrap w:val="0"/>
            <w:vAlign w:val="center"/>
          </w:tcPr>
          <w:p w14:paraId="65B2C7F4">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c>
          <w:tcPr>
            <w:tcW w:w="1117" w:type="pct"/>
            <w:tcBorders>
              <w:top w:val="single" w:color="auto" w:sz="8" w:space="0"/>
              <w:left w:val="single" w:color="auto" w:sz="4" w:space="0"/>
              <w:bottom w:val="single" w:color="auto" w:sz="4" w:space="0"/>
              <w:right w:val="single" w:color="auto" w:sz="4" w:space="0"/>
            </w:tcBorders>
            <w:noWrap w:val="0"/>
            <w:vAlign w:val="center"/>
          </w:tcPr>
          <w:p w14:paraId="5F4A7773">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c>
          <w:tcPr>
            <w:tcW w:w="612" w:type="pct"/>
            <w:tcBorders>
              <w:top w:val="single" w:color="auto" w:sz="8" w:space="0"/>
              <w:left w:val="single" w:color="auto" w:sz="4" w:space="0"/>
              <w:bottom w:val="single" w:color="auto" w:sz="4" w:space="0"/>
              <w:right w:val="single" w:color="auto" w:sz="4" w:space="0"/>
            </w:tcBorders>
            <w:noWrap w:val="0"/>
            <w:vAlign w:val="center"/>
          </w:tcPr>
          <w:p w14:paraId="176DEF13">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c>
          <w:tcPr>
            <w:tcW w:w="756" w:type="pct"/>
            <w:tcBorders>
              <w:top w:val="single" w:color="auto" w:sz="8" w:space="0"/>
              <w:left w:val="single" w:color="auto" w:sz="4" w:space="0"/>
              <w:bottom w:val="single" w:color="auto" w:sz="4" w:space="0"/>
              <w:right w:val="single" w:color="auto" w:sz="8" w:space="0"/>
            </w:tcBorders>
            <w:noWrap w:val="0"/>
            <w:vAlign w:val="center"/>
          </w:tcPr>
          <w:p w14:paraId="61C534DE">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r>
      <w:tr w14:paraId="280592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13" w:type="pct"/>
            <w:tcBorders>
              <w:top w:val="single" w:color="auto" w:sz="8" w:space="0"/>
              <w:left w:val="single" w:color="auto" w:sz="8" w:space="0"/>
              <w:bottom w:val="single" w:color="auto" w:sz="4" w:space="0"/>
              <w:right w:val="single" w:color="auto" w:sz="4" w:space="0"/>
            </w:tcBorders>
            <w:noWrap w:val="0"/>
            <w:vAlign w:val="center"/>
          </w:tcPr>
          <w:p w14:paraId="3A1F18C3">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p>
        </w:tc>
        <w:tc>
          <w:tcPr>
            <w:tcW w:w="1005" w:type="pct"/>
            <w:tcBorders>
              <w:top w:val="single" w:color="auto" w:sz="8" w:space="0"/>
              <w:left w:val="single" w:color="auto" w:sz="4" w:space="0"/>
              <w:bottom w:val="single" w:color="auto" w:sz="4" w:space="0"/>
              <w:right w:val="single" w:color="auto" w:sz="4" w:space="0"/>
            </w:tcBorders>
            <w:noWrap w:val="0"/>
            <w:vAlign w:val="center"/>
          </w:tcPr>
          <w:p w14:paraId="7F00E3BA">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c>
          <w:tcPr>
            <w:tcW w:w="893" w:type="pct"/>
            <w:tcBorders>
              <w:top w:val="single" w:color="auto" w:sz="8" w:space="0"/>
              <w:left w:val="single" w:color="auto" w:sz="4" w:space="0"/>
              <w:bottom w:val="single" w:color="auto" w:sz="4" w:space="0"/>
              <w:right w:val="single" w:color="auto" w:sz="4" w:space="0"/>
            </w:tcBorders>
            <w:noWrap w:val="0"/>
            <w:vAlign w:val="center"/>
          </w:tcPr>
          <w:p w14:paraId="5CC96D7C">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c>
          <w:tcPr>
            <w:tcW w:w="1117" w:type="pct"/>
            <w:tcBorders>
              <w:top w:val="single" w:color="auto" w:sz="8" w:space="0"/>
              <w:left w:val="single" w:color="auto" w:sz="4" w:space="0"/>
              <w:bottom w:val="single" w:color="auto" w:sz="4" w:space="0"/>
              <w:right w:val="single" w:color="auto" w:sz="4" w:space="0"/>
            </w:tcBorders>
            <w:noWrap w:val="0"/>
            <w:vAlign w:val="center"/>
          </w:tcPr>
          <w:p w14:paraId="35A69A82">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c>
          <w:tcPr>
            <w:tcW w:w="612" w:type="pct"/>
            <w:tcBorders>
              <w:top w:val="single" w:color="auto" w:sz="8" w:space="0"/>
              <w:left w:val="single" w:color="auto" w:sz="4" w:space="0"/>
              <w:bottom w:val="single" w:color="auto" w:sz="4" w:space="0"/>
              <w:right w:val="single" w:color="auto" w:sz="4" w:space="0"/>
            </w:tcBorders>
            <w:noWrap w:val="0"/>
            <w:vAlign w:val="center"/>
          </w:tcPr>
          <w:p w14:paraId="77EEF025">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c>
          <w:tcPr>
            <w:tcW w:w="756" w:type="pct"/>
            <w:tcBorders>
              <w:top w:val="single" w:color="auto" w:sz="8" w:space="0"/>
              <w:left w:val="single" w:color="auto" w:sz="4" w:space="0"/>
              <w:bottom w:val="single" w:color="auto" w:sz="4" w:space="0"/>
              <w:right w:val="single" w:color="auto" w:sz="8" w:space="0"/>
            </w:tcBorders>
            <w:noWrap w:val="0"/>
            <w:vAlign w:val="center"/>
          </w:tcPr>
          <w:p w14:paraId="0115CED2">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r>
      <w:tr w14:paraId="07582B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13" w:type="pct"/>
            <w:tcBorders>
              <w:top w:val="single" w:color="auto" w:sz="8" w:space="0"/>
              <w:left w:val="single" w:color="auto" w:sz="8" w:space="0"/>
              <w:bottom w:val="single" w:color="auto" w:sz="4" w:space="0"/>
              <w:right w:val="single" w:color="auto" w:sz="4" w:space="0"/>
            </w:tcBorders>
            <w:noWrap w:val="0"/>
            <w:vAlign w:val="center"/>
          </w:tcPr>
          <w:p w14:paraId="635A4B3A">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p>
        </w:tc>
        <w:tc>
          <w:tcPr>
            <w:tcW w:w="1005" w:type="pct"/>
            <w:tcBorders>
              <w:top w:val="single" w:color="auto" w:sz="8" w:space="0"/>
              <w:left w:val="single" w:color="auto" w:sz="4" w:space="0"/>
              <w:bottom w:val="single" w:color="auto" w:sz="4" w:space="0"/>
              <w:right w:val="single" w:color="auto" w:sz="4" w:space="0"/>
            </w:tcBorders>
            <w:noWrap w:val="0"/>
            <w:vAlign w:val="center"/>
          </w:tcPr>
          <w:p w14:paraId="0A9A58E6">
            <w:pPr>
              <w:keepNext w:val="0"/>
              <w:keepLines w:val="0"/>
              <w:kinsoku/>
              <w:overflowPunct/>
              <w:topLinePunct w:val="0"/>
              <w:autoSpaceDE/>
              <w:bidi w:val="0"/>
              <w:spacing w:line="560" w:lineRule="exact"/>
              <w:jc w:val="center"/>
              <w:textAlignment w:val="auto"/>
              <w:rPr>
                <w:rFonts w:ascii="Times New Roman" w:hAnsi="Times New Roman" w:eastAsia="仿宋_GB2312" w:cs="Times New Roman"/>
                <w:sz w:val="32"/>
                <w:szCs w:val="32"/>
                <w:highlight w:val="none"/>
              </w:rPr>
            </w:pPr>
          </w:p>
        </w:tc>
        <w:tc>
          <w:tcPr>
            <w:tcW w:w="893" w:type="pct"/>
            <w:tcBorders>
              <w:top w:val="single" w:color="auto" w:sz="8" w:space="0"/>
              <w:left w:val="single" w:color="auto" w:sz="4" w:space="0"/>
              <w:bottom w:val="single" w:color="auto" w:sz="4" w:space="0"/>
              <w:right w:val="single" w:color="auto" w:sz="4" w:space="0"/>
            </w:tcBorders>
            <w:noWrap w:val="0"/>
            <w:vAlign w:val="center"/>
          </w:tcPr>
          <w:p w14:paraId="5015513F">
            <w:pPr>
              <w:keepNext w:val="0"/>
              <w:keepLines w:val="0"/>
              <w:kinsoku/>
              <w:overflowPunct/>
              <w:topLinePunct w:val="0"/>
              <w:autoSpaceDE/>
              <w:bidi w:val="0"/>
              <w:spacing w:line="560" w:lineRule="exact"/>
              <w:jc w:val="center"/>
              <w:textAlignment w:val="auto"/>
              <w:rPr>
                <w:rFonts w:ascii="Times New Roman" w:hAnsi="Times New Roman" w:eastAsia="仿宋_GB2312" w:cs="Times New Roman"/>
                <w:sz w:val="32"/>
                <w:szCs w:val="32"/>
                <w:highlight w:val="none"/>
              </w:rPr>
            </w:pPr>
          </w:p>
        </w:tc>
        <w:tc>
          <w:tcPr>
            <w:tcW w:w="1117" w:type="pct"/>
            <w:tcBorders>
              <w:top w:val="single" w:color="auto" w:sz="8" w:space="0"/>
              <w:left w:val="single" w:color="auto" w:sz="4" w:space="0"/>
              <w:bottom w:val="single" w:color="auto" w:sz="4" w:space="0"/>
              <w:right w:val="single" w:color="auto" w:sz="4" w:space="0"/>
            </w:tcBorders>
            <w:noWrap w:val="0"/>
            <w:vAlign w:val="center"/>
          </w:tcPr>
          <w:p w14:paraId="1787E5C4">
            <w:pPr>
              <w:keepNext w:val="0"/>
              <w:keepLines w:val="0"/>
              <w:kinsoku/>
              <w:overflowPunct/>
              <w:topLinePunct w:val="0"/>
              <w:autoSpaceDE/>
              <w:bidi w:val="0"/>
              <w:spacing w:line="560" w:lineRule="exact"/>
              <w:jc w:val="center"/>
              <w:textAlignment w:val="auto"/>
              <w:rPr>
                <w:rFonts w:ascii="Times New Roman" w:hAnsi="Times New Roman" w:eastAsia="仿宋_GB2312" w:cs="Times New Roman"/>
                <w:sz w:val="32"/>
                <w:szCs w:val="32"/>
                <w:highlight w:val="none"/>
              </w:rPr>
            </w:pPr>
          </w:p>
        </w:tc>
        <w:tc>
          <w:tcPr>
            <w:tcW w:w="612" w:type="pct"/>
            <w:tcBorders>
              <w:top w:val="single" w:color="auto" w:sz="8" w:space="0"/>
              <w:left w:val="single" w:color="auto" w:sz="4" w:space="0"/>
              <w:bottom w:val="single" w:color="auto" w:sz="4" w:space="0"/>
              <w:right w:val="single" w:color="auto" w:sz="4" w:space="0"/>
            </w:tcBorders>
            <w:noWrap w:val="0"/>
            <w:vAlign w:val="center"/>
          </w:tcPr>
          <w:p w14:paraId="1CBA1241">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p>
        </w:tc>
        <w:tc>
          <w:tcPr>
            <w:tcW w:w="756" w:type="pct"/>
            <w:tcBorders>
              <w:top w:val="single" w:color="auto" w:sz="8" w:space="0"/>
              <w:left w:val="single" w:color="auto" w:sz="4" w:space="0"/>
              <w:bottom w:val="single" w:color="auto" w:sz="4" w:space="0"/>
              <w:right w:val="single" w:color="auto" w:sz="8" w:space="0"/>
            </w:tcBorders>
            <w:noWrap w:val="0"/>
            <w:vAlign w:val="center"/>
          </w:tcPr>
          <w:p w14:paraId="4196409A">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r>
      <w:tr w14:paraId="40ECC2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13" w:type="pct"/>
            <w:tcBorders>
              <w:top w:val="single" w:color="auto" w:sz="8" w:space="0"/>
              <w:left w:val="single" w:color="auto" w:sz="8" w:space="0"/>
              <w:bottom w:val="single" w:color="auto" w:sz="4" w:space="0"/>
              <w:right w:val="single" w:color="auto" w:sz="4" w:space="0"/>
            </w:tcBorders>
            <w:noWrap w:val="0"/>
            <w:vAlign w:val="center"/>
          </w:tcPr>
          <w:p w14:paraId="5C76964E">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p>
        </w:tc>
        <w:tc>
          <w:tcPr>
            <w:tcW w:w="1005" w:type="pct"/>
            <w:tcBorders>
              <w:top w:val="single" w:color="auto" w:sz="8" w:space="0"/>
              <w:left w:val="single" w:color="auto" w:sz="4" w:space="0"/>
              <w:bottom w:val="single" w:color="auto" w:sz="4" w:space="0"/>
              <w:right w:val="single" w:color="auto" w:sz="4" w:space="0"/>
            </w:tcBorders>
            <w:noWrap w:val="0"/>
            <w:vAlign w:val="center"/>
          </w:tcPr>
          <w:p w14:paraId="58768E3B">
            <w:pPr>
              <w:keepNext w:val="0"/>
              <w:keepLines w:val="0"/>
              <w:kinsoku/>
              <w:overflowPunct/>
              <w:topLinePunct w:val="0"/>
              <w:autoSpaceDE/>
              <w:bidi w:val="0"/>
              <w:spacing w:line="560" w:lineRule="exact"/>
              <w:jc w:val="center"/>
              <w:textAlignment w:val="auto"/>
              <w:rPr>
                <w:rFonts w:ascii="Times New Roman" w:hAnsi="Times New Roman" w:eastAsia="仿宋_GB2312" w:cs="Times New Roman"/>
                <w:sz w:val="32"/>
                <w:szCs w:val="32"/>
                <w:highlight w:val="none"/>
              </w:rPr>
            </w:pPr>
          </w:p>
        </w:tc>
        <w:tc>
          <w:tcPr>
            <w:tcW w:w="893" w:type="pct"/>
            <w:tcBorders>
              <w:top w:val="single" w:color="auto" w:sz="8" w:space="0"/>
              <w:left w:val="single" w:color="auto" w:sz="4" w:space="0"/>
              <w:bottom w:val="single" w:color="auto" w:sz="4" w:space="0"/>
              <w:right w:val="single" w:color="auto" w:sz="4" w:space="0"/>
            </w:tcBorders>
            <w:noWrap w:val="0"/>
            <w:vAlign w:val="center"/>
          </w:tcPr>
          <w:p w14:paraId="3847CA70">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c>
          <w:tcPr>
            <w:tcW w:w="1117" w:type="pct"/>
            <w:tcBorders>
              <w:top w:val="single" w:color="auto" w:sz="8" w:space="0"/>
              <w:left w:val="single" w:color="auto" w:sz="4" w:space="0"/>
              <w:bottom w:val="single" w:color="auto" w:sz="4" w:space="0"/>
              <w:right w:val="single" w:color="auto" w:sz="4" w:space="0"/>
            </w:tcBorders>
            <w:noWrap w:val="0"/>
            <w:vAlign w:val="center"/>
          </w:tcPr>
          <w:p w14:paraId="25F39034">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c>
          <w:tcPr>
            <w:tcW w:w="612" w:type="pct"/>
            <w:tcBorders>
              <w:top w:val="single" w:color="auto" w:sz="8" w:space="0"/>
              <w:left w:val="single" w:color="auto" w:sz="4" w:space="0"/>
              <w:bottom w:val="single" w:color="auto" w:sz="4" w:space="0"/>
              <w:right w:val="single" w:color="auto" w:sz="4" w:space="0"/>
            </w:tcBorders>
            <w:noWrap w:val="0"/>
            <w:vAlign w:val="center"/>
          </w:tcPr>
          <w:p w14:paraId="60291D46">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c>
          <w:tcPr>
            <w:tcW w:w="756" w:type="pct"/>
            <w:tcBorders>
              <w:top w:val="single" w:color="auto" w:sz="8" w:space="0"/>
              <w:left w:val="single" w:color="auto" w:sz="4" w:space="0"/>
              <w:bottom w:val="single" w:color="auto" w:sz="4" w:space="0"/>
              <w:right w:val="single" w:color="auto" w:sz="8" w:space="0"/>
            </w:tcBorders>
            <w:noWrap w:val="0"/>
            <w:vAlign w:val="center"/>
          </w:tcPr>
          <w:p w14:paraId="35A2DC84">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r>
      <w:tr w14:paraId="556F94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13" w:type="pct"/>
            <w:tcBorders>
              <w:top w:val="single" w:color="auto" w:sz="8" w:space="0"/>
              <w:left w:val="single" w:color="auto" w:sz="8" w:space="0"/>
              <w:bottom w:val="single" w:color="auto" w:sz="8" w:space="0"/>
              <w:right w:val="single" w:color="auto" w:sz="4" w:space="0"/>
            </w:tcBorders>
            <w:noWrap w:val="0"/>
            <w:vAlign w:val="center"/>
          </w:tcPr>
          <w:p w14:paraId="58048387">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p>
        </w:tc>
        <w:tc>
          <w:tcPr>
            <w:tcW w:w="1005" w:type="pct"/>
            <w:tcBorders>
              <w:top w:val="single" w:color="auto" w:sz="8" w:space="0"/>
              <w:left w:val="single" w:color="auto" w:sz="4" w:space="0"/>
              <w:bottom w:val="single" w:color="auto" w:sz="8" w:space="0"/>
              <w:right w:val="single" w:color="auto" w:sz="4" w:space="0"/>
            </w:tcBorders>
            <w:noWrap w:val="0"/>
            <w:vAlign w:val="center"/>
          </w:tcPr>
          <w:p w14:paraId="17057909">
            <w:pPr>
              <w:keepNext w:val="0"/>
              <w:keepLines w:val="0"/>
              <w:kinsoku/>
              <w:overflowPunct/>
              <w:topLinePunct w:val="0"/>
              <w:autoSpaceDE/>
              <w:bidi w:val="0"/>
              <w:spacing w:line="560" w:lineRule="exact"/>
              <w:jc w:val="center"/>
              <w:textAlignment w:val="auto"/>
              <w:rPr>
                <w:rFonts w:ascii="Times New Roman" w:hAnsi="Times New Roman" w:eastAsia="仿宋_GB2312" w:cs="Times New Roman"/>
                <w:sz w:val="32"/>
                <w:szCs w:val="32"/>
                <w:highlight w:val="none"/>
              </w:rPr>
            </w:pPr>
          </w:p>
        </w:tc>
        <w:tc>
          <w:tcPr>
            <w:tcW w:w="893" w:type="pct"/>
            <w:tcBorders>
              <w:top w:val="single" w:color="auto" w:sz="8" w:space="0"/>
              <w:left w:val="single" w:color="auto" w:sz="4" w:space="0"/>
              <w:bottom w:val="single" w:color="auto" w:sz="8" w:space="0"/>
              <w:right w:val="single" w:color="auto" w:sz="4" w:space="0"/>
            </w:tcBorders>
            <w:noWrap w:val="0"/>
            <w:vAlign w:val="center"/>
          </w:tcPr>
          <w:p w14:paraId="7E7E50B9">
            <w:pPr>
              <w:keepNext w:val="0"/>
              <w:keepLines w:val="0"/>
              <w:kinsoku/>
              <w:overflowPunct/>
              <w:topLinePunct w:val="0"/>
              <w:autoSpaceDE/>
              <w:bidi w:val="0"/>
              <w:spacing w:line="560" w:lineRule="exact"/>
              <w:jc w:val="center"/>
              <w:textAlignment w:val="auto"/>
              <w:rPr>
                <w:rFonts w:ascii="Times New Roman" w:hAnsi="Times New Roman" w:eastAsia="仿宋_GB2312" w:cs="Times New Roman"/>
                <w:sz w:val="32"/>
                <w:szCs w:val="32"/>
                <w:highlight w:val="none"/>
              </w:rPr>
            </w:pPr>
          </w:p>
        </w:tc>
        <w:tc>
          <w:tcPr>
            <w:tcW w:w="1117" w:type="pct"/>
            <w:tcBorders>
              <w:top w:val="single" w:color="auto" w:sz="8" w:space="0"/>
              <w:left w:val="single" w:color="auto" w:sz="4" w:space="0"/>
              <w:bottom w:val="single" w:color="auto" w:sz="8" w:space="0"/>
              <w:right w:val="single" w:color="auto" w:sz="4" w:space="0"/>
            </w:tcBorders>
            <w:noWrap w:val="0"/>
            <w:vAlign w:val="center"/>
          </w:tcPr>
          <w:p w14:paraId="5B94828F">
            <w:pPr>
              <w:keepNext w:val="0"/>
              <w:keepLines w:val="0"/>
              <w:kinsoku/>
              <w:overflowPunct/>
              <w:topLinePunct w:val="0"/>
              <w:autoSpaceDE/>
              <w:bidi w:val="0"/>
              <w:spacing w:line="560" w:lineRule="exact"/>
              <w:jc w:val="center"/>
              <w:textAlignment w:val="auto"/>
              <w:rPr>
                <w:rFonts w:ascii="Times New Roman" w:hAnsi="Times New Roman" w:eastAsia="仿宋_GB2312" w:cs="Times New Roman"/>
                <w:sz w:val="32"/>
                <w:szCs w:val="32"/>
                <w:highlight w:val="none"/>
              </w:rPr>
            </w:pPr>
          </w:p>
        </w:tc>
        <w:tc>
          <w:tcPr>
            <w:tcW w:w="612" w:type="pct"/>
            <w:tcBorders>
              <w:top w:val="single" w:color="auto" w:sz="8" w:space="0"/>
              <w:left w:val="single" w:color="auto" w:sz="4" w:space="0"/>
              <w:bottom w:val="single" w:color="auto" w:sz="8" w:space="0"/>
              <w:right w:val="single" w:color="auto" w:sz="4" w:space="0"/>
            </w:tcBorders>
            <w:noWrap w:val="0"/>
            <w:vAlign w:val="center"/>
          </w:tcPr>
          <w:p w14:paraId="0817DF43">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p>
        </w:tc>
        <w:tc>
          <w:tcPr>
            <w:tcW w:w="756" w:type="pct"/>
            <w:tcBorders>
              <w:top w:val="single" w:color="auto" w:sz="8" w:space="0"/>
              <w:left w:val="single" w:color="auto" w:sz="4" w:space="0"/>
              <w:bottom w:val="single" w:color="auto" w:sz="8" w:space="0"/>
              <w:right w:val="single" w:color="auto" w:sz="8" w:space="0"/>
            </w:tcBorders>
            <w:noWrap w:val="0"/>
            <w:vAlign w:val="center"/>
          </w:tcPr>
          <w:p w14:paraId="72A0981E">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r>
      <w:tr w14:paraId="60B89D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613" w:type="pct"/>
            <w:tcBorders>
              <w:top w:val="single" w:color="auto" w:sz="8" w:space="0"/>
              <w:left w:val="single" w:color="auto" w:sz="8" w:space="0"/>
              <w:bottom w:val="single" w:color="auto" w:sz="4" w:space="0"/>
              <w:right w:val="single" w:color="auto" w:sz="4" w:space="0"/>
            </w:tcBorders>
            <w:noWrap w:val="0"/>
            <w:vAlign w:val="center"/>
          </w:tcPr>
          <w:p w14:paraId="68F27A68">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p>
        </w:tc>
        <w:tc>
          <w:tcPr>
            <w:tcW w:w="1005" w:type="pct"/>
            <w:tcBorders>
              <w:top w:val="single" w:color="auto" w:sz="8" w:space="0"/>
              <w:left w:val="single" w:color="auto" w:sz="4" w:space="0"/>
              <w:bottom w:val="single" w:color="auto" w:sz="4" w:space="0"/>
              <w:right w:val="single" w:color="auto" w:sz="4" w:space="0"/>
            </w:tcBorders>
            <w:noWrap w:val="0"/>
            <w:vAlign w:val="center"/>
          </w:tcPr>
          <w:p w14:paraId="0682A700">
            <w:pPr>
              <w:keepNext w:val="0"/>
              <w:keepLines w:val="0"/>
              <w:kinsoku/>
              <w:overflowPunct/>
              <w:topLinePunct w:val="0"/>
              <w:autoSpaceDE/>
              <w:bidi w:val="0"/>
              <w:spacing w:line="560" w:lineRule="exact"/>
              <w:jc w:val="center"/>
              <w:textAlignment w:val="auto"/>
              <w:rPr>
                <w:rFonts w:ascii="Times New Roman" w:hAnsi="Times New Roman" w:eastAsia="仿宋_GB2312" w:cs="Times New Roman"/>
                <w:sz w:val="32"/>
                <w:szCs w:val="32"/>
                <w:highlight w:val="none"/>
              </w:rPr>
            </w:pPr>
          </w:p>
        </w:tc>
        <w:tc>
          <w:tcPr>
            <w:tcW w:w="893" w:type="pct"/>
            <w:tcBorders>
              <w:top w:val="single" w:color="auto" w:sz="8" w:space="0"/>
              <w:left w:val="single" w:color="auto" w:sz="4" w:space="0"/>
              <w:bottom w:val="single" w:color="auto" w:sz="4" w:space="0"/>
              <w:right w:val="single" w:color="auto" w:sz="4" w:space="0"/>
            </w:tcBorders>
            <w:noWrap w:val="0"/>
            <w:vAlign w:val="center"/>
          </w:tcPr>
          <w:p w14:paraId="49C3CE52">
            <w:pPr>
              <w:keepNext w:val="0"/>
              <w:keepLines w:val="0"/>
              <w:kinsoku/>
              <w:overflowPunct/>
              <w:topLinePunct w:val="0"/>
              <w:autoSpaceDE/>
              <w:bidi w:val="0"/>
              <w:spacing w:line="560" w:lineRule="exact"/>
              <w:jc w:val="center"/>
              <w:textAlignment w:val="auto"/>
              <w:rPr>
                <w:rFonts w:ascii="Times New Roman" w:hAnsi="Times New Roman" w:eastAsia="仿宋_GB2312" w:cs="Times New Roman"/>
                <w:sz w:val="32"/>
                <w:szCs w:val="32"/>
                <w:highlight w:val="none"/>
              </w:rPr>
            </w:pPr>
          </w:p>
        </w:tc>
        <w:tc>
          <w:tcPr>
            <w:tcW w:w="1117" w:type="pct"/>
            <w:tcBorders>
              <w:top w:val="single" w:color="auto" w:sz="8" w:space="0"/>
              <w:left w:val="single" w:color="auto" w:sz="4" w:space="0"/>
              <w:bottom w:val="single" w:color="auto" w:sz="4" w:space="0"/>
              <w:right w:val="single" w:color="auto" w:sz="4" w:space="0"/>
            </w:tcBorders>
            <w:noWrap w:val="0"/>
            <w:vAlign w:val="center"/>
          </w:tcPr>
          <w:p w14:paraId="202E7CF0">
            <w:pPr>
              <w:keepNext w:val="0"/>
              <w:keepLines w:val="0"/>
              <w:kinsoku/>
              <w:overflowPunct/>
              <w:topLinePunct w:val="0"/>
              <w:autoSpaceDE/>
              <w:bidi w:val="0"/>
              <w:spacing w:line="560" w:lineRule="exact"/>
              <w:jc w:val="center"/>
              <w:textAlignment w:val="auto"/>
              <w:rPr>
                <w:rFonts w:ascii="Times New Roman" w:hAnsi="Times New Roman" w:eastAsia="仿宋_GB2312" w:cs="Times New Roman"/>
                <w:sz w:val="32"/>
                <w:szCs w:val="32"/>
                <w:highlight w:val="none"/>
              </w:rPr>
            </w:pPr>
          </w:p>
        </w:tc>
        <w:tc>
          <w:tcPr>
            <w:tcW w:w="612" w:type="pct"/>
            <w:tcBorders>
              <w:top w:val="single" w:color="auto" w:sz="8" w:space="0"/>
              <w:left w:val="single" w:color="auto" w:sz="4" w:space="0"/>
              <w:bottom w:val="single" w:color="auto" w:sz="4" w:space="0"/>
              <w:right w:val="single" w:color="auto" w:sz="4" w:space="0"/>
            </w:tcBorders>
            <w:noWrap w:val="0"/>
            <w:vAlign w:val="center"/>
          </w:tcPr>
          <w:p w14:paraId="46EC7893">
            <w:pPr>
              <w:keepNext w:val="0"/>
              <w:keepLines w:val="0"/>
              <w:kinsoku/>
              <w:overflowPunct/>
              <w:topLinePunct w:val="0"/>
              <w:autoSpaceDE/>
              <w:bidi w:val="0"/>
              <w:adjustRightInd w:val="0"/>
              <w:snapToGrid w:val="0"/>
              <w:spacing w:line="560" w:lineRule="exact"/>
              <w:jc w:val="center"/>
              <w:textAlignment w:val="auto"/>
              <w:rPr>
                <w:rFonts w:ascii="Times New Roman" w:hAnsi="Times New Roman" w:eastAsia="仿宋_GB2312" w:cs="Times New Roman"/>
                <w:sz w:val="32"/>
                <w:szCs w:val="32"/>
                <w:highlight w:val="none"/>
              </w:rPr>
            </w:pPr>
          </w:p>
        </w:tc>
        <w:tc>
          <w:tcPr>
            <w:tcW w:w="756" w:type="pct"/>
            <w:tcBorders>
              <w:top w:val="single" w:color="auto" w:sz="8" w:space="0"/>
              <w:left w:val="single" w:color="auto" w:sz="4" w:space="0"/>
              <w:bottom w:val="single" w:color="auto" w:sz="4" w:space="0"/>
              <w:right w:val="single" w:color="auto" w:sz="8" w:space="0"/>
            </w:tcBorders>
            <w:noWrap w:val="0"/>
            <w:vAlign w:val="center"/>
          </w:tcPr>
          <w:p w14:paraId="1F36C695">
            <w:pPr>
              <w:keepNext w:val="0"/>
              <w:keepLines w:val="0"/>
              <w:kinsoku/>
              <w:overflowPunct/>
              <w:topLinePunct w:val="0"/>
              <w:autoSpaceDE/>
              <w:autoSpaceDN w:val="0"/>
              <w:bidi w:val="0"/>
              <w:spacing w:line="560" w:lineRule="exact"/>
              <w:jc w:val="center"/>
              <w:textAlignment w:val="auto"/>
              <w:rPr>
                <w:rFonts w:ascii="Times New Roman" w:hAnsi="Times New Roman" w:eastAsia="仿宋_GB2312" w:cs="Times New Roman"/>
                <w:sz w:val="32"/>
                <w:szCs w:val="32"/>
                <w:highlight w:val="none"/>
              </w:rPr>
            </w:pPr>
          </w:p>
        </w:tc>
      </w:tr>
    </w:tbl>
    <w:p w14:paraId="5CD9A93B">
      <w:pPr>
        <w:keepNext w:val="0"/>
        <w:keepLines w:val="0"/>
        <w:kinsoku/>
        <w:overflowPunct/>
        <w:topLinePunct w:val="0"/>
        <w:autoSpaceDE/>
        <w:bidi w:val="0"/>
        <w:snapToGrid w:val="0"/>
        <w:spacing w:line="560" w:lineRule="exact"/>
        <w:ind w:left="420"/>
        <w:textAlignment w:val="auto"/>
        <w:rPr>
          <w:rFonts w:eastAsia="仿宋_GB2312"/>
          <w:b/>
          <w:sz w:val="32"/>
          <w:szCs w:val="32"/>
          <w:highlight w:val="none"/>
        </w:rPr>
        <w:sectPr>
          <w:pgSz w:w="11906" w:h="16838"/>
          <w:pgMar w:top="1440" w:right="1418" w:bottom="1440" w:left="1588" w:header="851" w:footer="992" w:gutter="0"/>
          <w:pgNumType w:fmt="decimal"/>
          <w:cols w:space="720" w:num="1"/>
          <w:docGrid w:type="lines" w:linePitch="317" w:charSpace="204"/>
        </w:sectPr>
      </w:pPr>
    </w:p>
    <w:p w14:paraId="4A936846">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kern w:val="44"/>
          <w:sz w:val="44"/>
          <w:szCs w:val="44"/>
          <w:highlight w:val="none"/>
          <w:lang w:val="en-US" w:eastAsia="zh-CN"/>
        </w:rPr>
      </w:pPr>
      <w:bookmarkStart w:id="459" w:name="_Toc4054"/>
      <w:r>
        <w:rPr>
          <w:rFonts w:hint="eastAsia" w:ascii="仿宋_GB2312" w:hAnsi="仿宋_GB2312" w:eastAsia="仿宋_GB2312" w:cs="仿宋_GB2312"/>
          <w:b/>
          <w:bCs/>
          <w:kern w:val="44"/>
          <w:sz w:val="44"/>
          <w:szCs w:val="44"/>
          <w:highlight w:val="none"/>
          <w:lang w:val="en-US" w:eastAsia="zh-CN"/>
        </w:rPr>
        <w:t>八、拟投入本项目协作人员名单</w:t>
      </w:r>
      <w:bookmarkEnd w:id="445"/>
      <w:bookmarkEnd w:id="446"/>
      <w:bookmarkEnd w:id="459"/>
    </w:p>
    <w:p w14:paraId="1A05B324">
      <w:pPr>
        <w:keepNext w:val="0"/>
        <w:keepLines w:val="0"/>
        <w:pageBreakBefore w:val="0"/>
        <w:widowControl w:val="0"/>
        <w:kinsoku/>
        <w:wordWrap/>
        <w:overflowPunct/>
        <w:topLinePunct w:val="0"/>
        <w:autoSpaceDE/>
        <w:autoSpaceDN/>
        <w:bidi w:val="0"/>
        <w:adjustRightInd/>
        <w:spacing w:after="120" w:afterLines="0" w:line="560" w:lineRule="exact"/>
        <w:jc w:val="both"/>
        <w:textAlignment w:val="auto"/>
        <w:rPr>
          <w:rFonts w:hint="eastAsia" w:ascii="仿宋_GB2312" w:hAnsi="仿宋_GB2312" w:eastAsia="仿宋_GB2312" w:cs="仿宋_GB2312"/>
          <w:kern w:val="2"/>
          <w:sz w:val="32"/>
          <w:szCs w:val="32"/>
          <w:highlight w:val="none"/>
          <w:lang w:val="en-US" w:eastAsia="zh-CN" w:bidi="ar-SA"/>
        </w:rPr>
      </w:pPr>
    </w:p>
    <w:p w14:paraId="311D32B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sz w:val="32"/>
          <w:szCs w:val="32"/>
          <w:highlight w:val="none"/>
        </w:rPr>
        <w:t>拟投入本项目劳务协作的人员应满足项目工期和质量需要，应投入：</w:t>
      </w:r>
      <w:r>
        <w:rPr>
          <w:rFonts w:hint="eastAsia" w:ascii="仿宋_GB2312" w:hAnsi="仿宋_GB2312" w:eastAsia="仿宋_GB2312" w:cs="仿宋_GB2312"/>
          <w:sz w:val="32"/>
          <w:szCs w:val="32"/>
          <w:highlight w:val="none"/>
          <w:lang w:val="en-US" w:eastAsia="zh-CN"/>
        </w:rPr>
        <w:t>项目</w:t>
      </w:r>
      <w:r>
        <w:rPr>
          <w:rFonts w:hint="eastAsia" w:ascii="仿宋_GB2312" w:hAnsi="仿宋_GB2312" w:eastAsia="仿宋_GB2312" w:cs="仿宋_GB2312"/>
          <w:sz w:val="32"/>
          <w:szCs w:val="32"/>
          <w:highlight w:val="none"/>
        </w:rPr>
        <w:t>负责人，施工专业技能</w:t>
      </w:r>
      <w:r>
        <w:rPr>
          <w:rFonts w:hint="eastAsia" w:ascii="仿宋_GB2312" w:hAnsi="仿宋_GB2312" w:eastAsia="仿宋_GB2312" w:cs="仿宋_GB2312"/>
          <w:sz w:val="32"/>
          <w:szCs w:val="32"/>
          <w:highlight w:val="none"/>
          <w:lang w:eastAsia="zh-CN"/>
        </w:rPr>
        <w:t>人员</w:t>
      </w:r>
      <w:r>
        <w:rPr>
          <w:rFonts w:hint="eastAsia" w:ascii="仿宋_GB2312" w:hAnsi="仿宋_GB2312" w:eastAsia="仿宋_GB2312" w:cs="仿宋_GB2312"/>
          <w:sz w:val="32"/>
          <w:szCs w:val="32"/>
          <w:highlight w:val="none"/>
        </w:rPr>
        <w:t>、安全员（安全员C证），都需提供身份证复印件，提供人员的资格证书彩色</w:t>
      </w:r>
      <w:r>
        <w:rPr>
          <w:rFonts w:hint="eastAsia" w:ascii="仿宋_GB2312" w:hAnsi="仿宋_GB2312" w:eastAsia="仿宋_GB2312" w:cs="仿宋_GB2312"/>
          <w:sz w:val="32"/>
          <w:szCs w:val="32"/>
          <w:highlight w:val="none"/>
          <w:lang w:val="en-US" w:eastAsia="zh-CN"/>
        </w:rPr>
        <w:t>复印</w:t>
      </w:r>
      <w:r>
        <w:rPr>
          <w:rFonts w:hint="eastAsia" w:ascii="仿宋_GB2312" w:hAnsi="仿宋_GB2312" w:eastAsia="仿宋_GB2312" w:cs="仿宋_GB2312"/>
          <w:sz w:val="32"/>
          <w:szCs w:val="32"/>
          <w:highlight w:val="none"/>
        </w:rPr>
        <w:t>件、投标截止时间前</w:t>
      </w:r>
      <w:r>
        <w:rPr>
          <w:rFonts w:hint="eastAsia" w:ascii="仿宋_GB2312" w:hAnsi="仿宋_GB2312" w:eastAsia="仿宋_GB2312" w:cs="仿宋_GB2312"/>
          <w:sz w:val="32"/>
          <w:szCs w:val="32"/>
          <w:highlight w:val="none"/>
          <w:lang w:val="en-US" w:eastAsia="zh-CN"/>
        </w:rPr>
        <w:t>六个月（不含截止时间当月）中任一月份的社会保险缴交证明</w:t>
      </w:r>
      <w:r>
        <w:rPr>
          <w:rFonts w:hint="eastAsia" w:ascii="仿宋_GB2312" w:hAnsi="仿宋_GB2312" w:eastAsia="仿宋_GB2312" w:cs="仿宋_GB2312"/>
          <w:sz w:val="32"/>
          <w:szCs w:val="32"/>
          <w:highlight w:val="none"/>
        </w:rPr>
        <w:t>，</w:t>
      </w:r>
      <w:bookmarkStart w:id="460" w:name="OLE_LINK32"/>
      <w:r>
        <w:rPr>
          <w:rFonts w:hint="eastAsia" w:ascii="仿宋_GB2312" w:hAnsi="仿宋_GB2312" w:eastAsia="仿宋_GB2312" w:cs="仿宋_GB2312"/>
          <w:sz w:val="32"/>
          <w:szCs w:val="32"/>
          <w:highlight w:val="none"/>
        </w:rPr>
        <w:t>并加盖投标人公章</w:t>
      </w:r>
      <w:bookmarkEnd w:id="460"/>
      <w:r>
        <w:rPr>
          <w:rFonts w:hint="eastAsia" w:ascii="仿宋_GB2312" w:hAnsi="仿宋_GB2312" w:eastAsia="仿宋_GB2312" w:cs="仿宋_GB2312"/>
          <w:sz w:val="32"/>
          <w:szCs w:val="32"/>
          <w:highlight w:val="none"/>
        </w:rPr>
        <w:t>。</w:t>
      </w:r>
    </w:p>
    <w:p w14:paraId="69AA0312">
      <w:pPr>
        <w:keepNext w:val="0"/>
        <w:keepLines w:val="0"/>
        <w:pageBreakBefore w:val="0"/>
        <w:widowControl/>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拟投入本项目协作人员一览表</w:t>
      </w:r>
    </w:p>
    <w:tbl>
      <w:tblPr>
        <w:tblStyle w:val="31"/>
        <w:tblW w:w="922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140"/>
        <w:gridCol w:w="705"/>
        <w:gridCol w:w="1935"/>
        <w:gridCol w:w="2052"/>
        <w:gridCol w:w="1826"/>
        <w:gridCol w:w="876"/>
      </w:tblGrid>
      <w:tr w14:paraId="038A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exact"/>
        </w:trPr>
        <w:tc>
          <w:tcPr>
            <w:tcW w:w="689" w:type="dxa"/>
            <w:tcBorders>
              <w:left w:val="single" w:color="auto" w:sz="8" w:space="0"/>
              <w:right w:val="single" w:color="auto" w:sz="4" w:space="0"/>
            </w:tcBorders>
            <w:noWrap w:val="0"/>
            <w:vAlign w:val="center"/>
          </w:tcPr>
          <w:p w14:paraId="69E8CFC1">
            <w:pPr>
              <w:keepNext w:val="0"/>
              <w:keepLines w:val="0"/>
              <w:kinsoku/>
              <w:overflowPunct/>
              <w:topLinePunct w:val="0"/>
              <w:autoSpaceDE/>
              <w:bidi w:val="0"/>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序号</w:t>
            </w:r>
          </w:p>
        </w:tc>
        <w:tc>
          <w:tcPr>
            <w:tcW w:w="1140" w:type="dxa"/>
            <w:tcBorders>
              <w:left w:val="single" w:color="auto" w:sz="4" w:space="0"/>
              <w:right w:val="single" w:color="auto" w:sz="4" w:space="0"/>
            </w:tcBorders>
            <w:noWrap w:val="0"/>
            <w:vAlign w:val="center"/>
          </w:tcPr>
          <w:p w14:paraId="64B04FDD">
            <w:pPr>
              <w:keepNext w:val="0"/>
              <w:keepLines w:val="0"/>
              <w:kinsoku/>
              <w:overflowPunct/>
              <w:topLinePunct w:val="0"/>
              <w:autoSpaceDE/>
              <w:bidi w:val="0"/>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姓名</w:t>
            </w:r>
          </w:p>
        </w:tc>
        <w:tc>
          <w:tcPr>
            <w:tcW w:w="705" w:type="dxa"/>
            <w:tcBorders>
              <w:left w:val="single" w:color="auto" w:sz="4" w:space="0"/>
              <w:right w:val="single" w:color="auto" w:sz="4" w:space="0"/>
            </w:tcBorders>
            <w:noWrap w:val="0"/>
            <w:vAlign w:val="center"/>
          </w:tcPr>
          <w:p w14:paraId="2437D395">
            <w:pPr>
              <w:keepNext w:val="0"/>
              <w:keepLines w:val="0"/>
              <w:kinsoku/>
              <w:overflowPunct/>
              <w:topLinePunct w:val="0"/>
              <w:autoSpaceDE/>
              <w:bidi w:val="0"/>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性别</w:t>
            </w:r>
          </w:p>
        </w:tc>
        <w:tc>
          <w:tcPr>
            <w:tcW w:w="1935" w:type="dxa"/>
            <w:tcBorders>
              <w:left w:val="single" w:color="auto" w:sz="4" w:space="0"/>
              <w:right w:val="single" w:color="auto" w:sz="4" w:space="0"/>
            </w:tcBorders>
            <w:noWrap w:val="0"/>
            <w:vAlign w:val="center"/>
          </w:tcPr>
          <w:p w14:paraId="1F0F4685">
            <w:pPr>
              <w:keepNext w:val="0"/>
              <w:keepLines w:val="0"/>
              <w:kinsoku/>
              <w:overflowPunct/>
              <w:topLinePunct w:val="0"/>
              <w:autoSpaceDE/>
              <w:bidi w:val="0"/>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身份证号</w:t>
            </w:r>
          </w:p>
        </w:tc>
        <w:tc>
          <w:tcPr>
            <w:tcW w:w="2052" w:type="dxa"/>
            <w:tcBorders>
              <w:left w:val="single" w:color="auto" w:sz="4" w:space="0"/>
              <w:right w:val="single" w:color="auto" w:sz="4" w:space="0"/>
            </w:tcBorders>
            <w:noWrap w:val="0"/>
            <w:vAlign w:val="center"/>
          </w:tcPr>
          <w:p w14:paraId="23BBB6B6">
            <w:pPr>
              <w:keepNext w:val="0"/>
              <w:keepLines w:val="0"/>
              <w:kinsoku/>
              <w:overflowPunct/>
              <w:topLinePunct w:val="0"/>
              <w:autoSpaceDE/>
              <w:bidi w:val="0"/>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职业资格证/证号</w:t>
            </w:r>
          </w:p>
        </w:tc>
        <w:tc>
          <w:tcPr>
            <w:tcW w:w="1826" w:type="dxa"/>
            <w:tcBorders>
              <w:left w:val="single" w:color="auto" w:sz="4" w:space="0"/>
              <w:right w:val="single" w:color="auto" w:sz="4" w:space="0"/>
            </w:tcBorders>
            <w:noWrap w:val="0"/>
            <w:vAlign w:val="center"/>
          </w:tcPr>
          <w:p w14:paraId="1262AA0C">
            <w:pPr>
              <w:keepNext w:val="0"/>
              <w:keepLines w:val="0"/>
              <w:kinsoku/>
              <w:overflowPunct/>
              <w:topLinePunct w:val="0"/>
              <w:autoSpaceDE/>
              <w:bidi w:val="0"/>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拟从事岗位</w:t>
            </w:r>
          </w:p>
        </w:tc>
        <w:tc>
          <w:tcPr>
            <w:tcW w:w="876" w:type="dxa"/>
            <w:tcBorders>
              <w:left w:val="single" w:color="auto" w:sz="4" w:space="0"/>
              <w:right w:val="single" w:color="auto" w:sz="8" w:space="0"/>
            </w:tcBorders>
            <w:noWrap w:val="0"/>
            <w:vAlign w:val="center"/>
          </w:tcPr>
          <w:p w14:paraId="2563B88A">
            <w:pPr>
              <w:keepNext w:val="0"/>
              <w:keepLines w:val="0"/>
              <w:kinsoku/>
              <w:overflowPunct/>
              <w:topLinePunct w:val="0"/>
              <w:autoSpaceDE/>
              <w:bidi w:val="0"/>
              <w:spacing w:line="560" w:lineRule="exact"/>
              <w:jc w:val="center"/>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备注</w:t>
            </w:r>
          </w:p>
        </w:tc>
      </w:tr>
      <w:tr w14:paraId="39AB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exact"/>
        </w:trPr>
        <w:tc>
          <w:tcPr>
            <w:tcW w:w="689" w:type="dxa"/>
            <w:tcBorders>
              <w:left w:val="single" w:color="auto" w:sz="8" w:space="0"/>
              <w:right w:val="single" w:color="auto" w:sz="4" w:space="0"/>
            </w:tcBorders>
            <w:noWrap w:val="0"/>
            <w:vAlign w:val="center"/>
          </w:tcPr>
          <w:p w14:paraId="2C981BC4">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140" w:type="dxa"/>
            <w:tcBorders>
              <w:left w:val="single" w:color="auto" w:sz="4" w:space="0"/>
              <w:right w:val="single" w:color="auto" w:sz="4" w:space="0"/>
            </w:tcBorders>
            <w:noWrap w:val="0"/>
            <w:vAlign w:val="center"/>
          </w:tcPr>
          <w:p w14:paraId="182D1C1E">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705" w:type="dxa"/>
            <w:tcBorders>
              <w:left w:val="single" w:color="auto" w:sz="4" w:space="0"/>
              <w:right w:val="single" w:color="auto" w:sz="4" w:space="0"/>
            </w:tcBorders>
            <w:noWrap w:val="0"/>
            <w:vAlign w:val="center"/>
          </w:tcPr>
          <w:p w14:paraId="571A2EDF">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935" w:type="dxa"/>
            <w:tcBorders>
              <w:left w:val="single" w:color="auto" w:sz="4" w:space="0"/>
              <w:right w:val="single" w:color="auto" w:sz="4" w:space="0"/>
            </w:tcBorders>
            <w:noWrap w:val="0"/>
            <w:vAlign w:val="center"/>
          </w:tcPr>
          <w:p w14:paraId="1627C989">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2052" w:type="dxa"/>
            <w:tcBorders>
              <w:left w:val="single" w:color="auto" w:sz="4" w:space="0"/>
              <w:right w:val="single" w:color="auto" w:sz="4" w:space="0"/>
            </w:tcBorders>
            <w:noWrap w:val="0"/>
            <w:vAlign w:val="center"/>
          </w:tcPr>
          <w:p w14:paraId="56B07BE9">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826" w:type="dxa"/>
            <w:tcBorders>
              <w:left w:val="single" w:color="auto" w:sz="4" w:space="0"/>
              <w:right w:val="single" w:color="auto" w:sz="4" w:space="0"/>
            </w:tcBorders>
            <w:noWrap w:val="0"/>
            <w:vAlign w:val="center"/>
          </w:tcPr>
          <w:p w14:paraId="3BCC35AC">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876" w:type="dxa"/>
            <w:tcBorders>
              <w:left w:val="single" w:color="auto" w:sz="4" w:space="0"/>
              <w:right w:val="single" w:color="auto" w:sz="8" w:space="0"/>
            </w:tcBorders>
            <w:noWrap w:val="0"/>
            <w:vAlign w:val="center"/>
          </w:tcPr>
          <w:p w14:paraId="3CE1B084">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r>
      <w:tr w14:paraId="5AE5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exact"/>
        </w:trPr>
        <w:tc>
          <w:tcPr>
            <w:tcW w:w="689" w:type="dxa"/>
            <w:tcBorders>
              <w:left w:val="single" w:color="auto" w:sz="8" w:space="0"/>
              <w:right w:val="single" w:color="auto" w:sz="4" w:space="0"/>
            </w:tcBorders>
            <w:noWrap w:val="0"/>
            <w:vAlign w:val="center"/>
          </w:tcPr>
          <w:p w14:paraId="560AA074">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140" w:type="dxa"/>
            <w:tcBorders>
              <w:left w:val="single" w:color="auto" w:sz="4" w:space="0"/>
              <w:right w:val="single" w:color="auto" w:sz="4" w:space="0"/>
            </w:tcBorders>
            <w:noWrap w:val="0"/>
            <w:vAlign w:val="center"/>
          </w:tcPr>
          <w:p w14:paraId="19682360">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705" w:type="dxa"/>
            <w:tcBorders>
              <w:left w:val="single" w:color="auto" w:sz="4" w:space="0"/>
              <w:right w:val="single" w:color="auto" w:sz="4" w:space="0"/>
            </w:tcBorders>
            <w:noWrap w:val="0"/>
            <w:vAlign w:val="center"/>
          </w:tcPr>
          <w:p w14:paraId="2AC60518">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935" w:type="dxa"/>
            <w:tcBorders>
              <w:left w:val="single" w:color="auto" w:sz="4" w:space="0"/>
              <w:right w:val="single" w:color="auto" w:sz="4" w:space="0"/>
            </w:tcBorders>
            <w:noWrap w:val="0"/>
            <w:vAlign w:val="center"/>
          </w:tcPr>
          <w:p w14:paraId="7A02864C">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2052" w:type="dxa"/>
            <w:tcBorders>
              <w:left w:val="single" w:color="auto" w:sz="4" w:space="0"/>
              <w:right w:val="single" w:color="auto" w:sz="4" w:space="0"/>
            </w:tcBorders>
            <w:noWrap w:val="0"/>
            <w:vAlign w:val="center"/>
          </w:tcPr>
          <w:p w14:paraId="7A6F560E">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826" w:type="dxa"/>
            <w:tcBorders>
              <w:left w:val="single" w:color="auto" w:sz="4" w:space="0"/>
              <w:right w:val="single" w:color="auto" w:sz="4" w:space="0"/>
            </w:tcBorders>
            <w:noWrap w:val="0"/>
            <w:vAlign w:val="center"/>
          </w:tcPr>
          <w:p w14:paraId="097E8657">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876" w:type="dxa"/>
            <w:tcBorders>
              <w:left w:val="single" w:color="auto" w:sz="4" w:space="0"/>
              <w:right w:val="single" w:color="auto" w:sz="8" w:space="0"/>
            </w:tcBorders>
            <w:noWrap w:val="0"/>
            <w:vAlign w:val="center"/>
          </w:tcPr>
          <w:p w14:paraId="433A3F75">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r>
      <w:tr w14:paraId="253D4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exact"/>
        </w:trPr>
        <w:tc>
          <w:tcPr>
            <w:tcW w:w="689" w:type="dxa"/>
            <w:tcBorders>
              <w:top w:val="single" w:color="auto" w:sz="4" w:space="0"/>
              <w:left w:val="single" w:color="auto" w:sz="8" w:space="0"/>
              <w:bottom w:val="single" w:color="auto" w:sz="4" w:space="0"/>
              <w:right w:val="single" w:color="auto" w:sz="4" w:space="0"/>
            </w:tcBorders>
            <w:noWrap w:val="0"/>
            <w:vAlign w:val="center"/>
          </w:tcPr>
          <w:p w14:paraId="083B7365">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37309113">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705" w:type="dxa"/>
            <w:tcBorders>
              <w:top w:val="single" w:color="auto" w:sz="4" w:space="0"/>
              <w:left w:val="single" w:color="auto" w:sz="4" w:space="0"/>
              <w:bottom w:val="single" w:color="auto" w:sz="4" w:space="0"/>
              <w:right w:val="single" w:color="auto" w:sz="4" w:space="0"/>
            </w:tcBorders>
            <w:noWrap w:val="0"/>
            <w:vAlign w:val="center"/>
          </w:tcPr>
          <w:p w14:paraId="21C7D593">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935" w:type="dxa"/>
            <w:tcBorders>
              <w:top w:val="single" w:color="auto" w:sz="4" w:space="0"/>
              <w:left w:val="single" w:color="auto" w:sz="4" w:space="0"/>
              <w:bottom w:val="single" w:color="auto" w:sz="4" w:space="0"/>
              <w:right w:val="single" w:color="auto" w:sz="4" w:space="0"/>
            </w:tcBorders>
            <w:noWrap w:val="0"/>
            <w:vAlign w:val="center"/>
          </w:tcPr>
          <w:p w14:paraId="066097AD">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2052" w:type="dxa"/>
            <w:tcBorders>
              <w:top w:val="single" w:color="auto" w:sz="4" w:space="0"/>
              <w:left w:val="single" w:color="auto" w:sz="4" w:space="0"/>
              <w:bottom w:val="single" w:color="auto" w:sz="4" w:space="0"/>
              <w:right w:val="single" w:color="auto" w:sz="4" w:space="0"/>
            </w:tcBorders>
            <w:noWrap w:val="0"/>
            <w:vAlign w:val="center"/>
          </w:tcPr>
          <w:p w14:paraId="17E7A671">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826" w:type="dxa"/>
            <w:tcBorders>
              <w:top w:val="single" w:color="auto" w:sz="4" w:space="0"/>
              <w:left w:val="single" w:color="auto" w:sz="4" w:space="0"/>
              <w:bottom w:val="single" w:color="auto" w:sz="4" w:space="0"/>
              <w:right w:val="single" w:color="auto" w:sz="4" w:space="0"/>
            </w:tcBorders>
            <w:noWrap w:val="0"/>
            <w:vAlign w:val="center"/>
          </w:tcPr>
          <w:p w14:paraId="16BF0715">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876" w:type="dxa"/>
            <w:tcBorders>
              <w:top w:val="single" w:color="auto" w:sz="4" w:space="0"/>
              <w:left w:val="single" w:color="auto" w:sz="4" w:space="0"/>
              <w:bottom w:val="single" w:color="auto" w:sz="4" w:space="0"/>
              <w:right w:val="single" w:color="auto" w:sz="8" w:space="0"/>
            </w:tcBorders>
            <w:noWrap w:val="0"/>
            <w:vAlign w:val="center"/>
          </w:tcPr>
          <w:p w14:paraId="3DF6B94B">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r>
      <w:tr w14:paraId="08380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exact"/>
        </w:trPr>
        <w:tc>
          <w:tcPr>
            <w:tcW w:w="689" w:type="dxa"/>
            <w:tcBorders>
              <w:top w:val="single" w:color="auto" w:sz="4" w:space="0"/>
              <w:left w:val="single" w:color="auto" w:sz="8" w:space="0"/>
              <w:bottom w:val="single" w:color="auto" w:sz="4" w:space="0"/>
              <w:right w:val="single" w:color="auto" w:sz="4" w:space="0"/>
            </w:tcBorders>
            <w:noWrap w:val="0"/>
            <w:vAlign w:val="center"/>
          </w:tcPr>
          <w:p w14:paraId="492FB3E8">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6B93A7E8">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705" w:type="dxa"/>
            <w:tcBorders>
              <w:top w:val="single" w:color="auto" w:sz="4" w:space="0"/>
              <w:left w:val="single" w:color="auto" w:sz="4" w:space="0"/>
              <w:bottom w:val="single" w:color="auto" w:sz="4" w:space="0"/>
              <w:right w:val="single" w:color="auto" w:sz="4" w:space="0"/>
            </w:tcBorders>
            <w:noWrap w:val="0"/>
            <w:vAlign w:val="center"/>
          </w:tcPr>
          <w:p w14:paraId="067EEB14">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935" w:type="dxa"/>
            <w:tcBorders>
              <w:top w:val="single" w:color="auto" w:sz="4" w:space="0"/>
              <w:left w:val="single" w:color="auto" w:sz="4" w:space="0"/>
              <w:bottom w:val="single" w:color="auto" w:sz="4" w:space="0"/>
              <w:right w:val="single" w:color="auto" w:sz="4" w:space="0"/>
            </w:tcBorders>
            <w:noWrap w:val="0"/>
            <w:vAlign w:val="center"/>
          </w:tcPr>
          <w:p w14:paraId="265BA804">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2052" w:type="dxa"/>
            <w:tcBorders>
              <w:top w:val="single" w:color="auto" w:sz="4" w:space="0"/>
              <w:left w:val="single" w:color="auto" w:sz="4" w:space="0"/>
              <w:bottom w:val="single" w:color="auto" w:sz="4" w:space="0"/>
              <w:right w:val="single" w:color="auto" w:sz="4" w:space="0"/>
            </w:tcBorders>
            <w:noWrap w:val="0"/>
            <w:vAlign w:val="center"/>
          </w:tcPr>
          <w:p w14:paraId="13778745">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826" w:type="dxa"/>
            <w:tcBorders>
              <w:top w:val="single" w:color="auto" w:sz="4" w:space="0"/>
              <w:left w:val="single" w:color="auto" w:sz="4" w:space="0"/>
              <w:bottom w:val="single" w:color="auto" w:sz="4" w:space="0"/>
              <w:right w:val="single" w:color="auto" w:sz="4" w:space="0"/>
            </w:tcBorders>
            <w:noWrap w:val="0"/>
            <w:vAlign w:val="center"/>
          </w:tcPr>
          <w:p w14:paraId="2D13336F">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876" w:type="dxa"/>
            <w:tcBorders>
              <w:top w:val="single" w:color="auto" w:sz="4" w:space="0"/>
              <w:left w:val="single" w:color="auto" w:sz="4" w:space="0"/>
              <w:bottom w:val="single" w:color="auto" w:sz="4" w:space="0"/>
              <w:right w:val="single" w:color="auto" w:sz="8" w:space="0"/>
            </w:tcBorders>
            <w:noWrap w:val="0"/>
            <w:vAlign w:val="center"/>
          </w:tcPr>
          <w:p w14:paraId="7F74D458">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r>
      <w:tr w14:paraId="77D78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exact"/>
        </w:trPr>
        <w:tc>
          <w:tcPr>
            <w:tcW w:w="689" w:type="dxa"/>
            <w:tcBorders>
              <w:top w:val="single" w:color="auto" w:sz="4" w:space="0"/>
              <w:left w:val="single" w:color="auto" w:sz="8" w:space="0"/>
              <w:bottom w:val="single" w:color="auto" w:sz="4" w:space="0"/>
              <w:right w:val="single" w:color="auto" w:sz="4" w:space="0"/>
            </w:tcBorders>
            <w:noWrap w:val="0"/>
            <w:vAlign w:val="center"/>
          </w:tcPr>
          <w:p w14:paraId="39BACCD8">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3B8C7B87">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705" w:type="dxa"/>
            <w:tcBorders>
              <w:top w:val="single" w:color="auto" w:sz="4" w:space="0"/>
              <w:left w:val="single" w:color="auto" w:sz="4" w:space="0"/>
              <w:bottom w:val="single" w:color="auto" w:sz="4" w:space="0"/>
              <w:right w:val="single" w:color="auto" w:sz="4" w:space="0"/>
            </w:tcBorders>
            <w:noWrap w:val="0"/>
            <w:vAlign w:val="center"/>
          </w:tcPr>
          <w:p w14:paraId="4A500BD9">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935" w:type="dxa"/>
            <w:tcBorders>
              <w:top w:val="single" w:color="auto" w:sz="4" w:space="0"/>
              <w:left w:val="single" w:color="auto" w:sz="4" w:space="0"/>
              <w:bottom w:val="single" w:color="auto" w:sz="4" w:space="0"/>
              <w:right w:val="single" w:color="auto" w:sz="4" w:space="0"/>
            </w:tcBorders>
            <w:noWrap w:val="0"/>
            <w:vAlign w:val="center"/>
          </w:tcPr>
          <w:p w14:paraId="51070599">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2052" w:type="dxa"/>
            <w:tcBorders>
              <w:top w:val="single" w:color="auto" w:sz="4" w:space="0"/>
              <w:left w:val="single" w:color="auto" w:sz="4" w:space="0"/>
              <w:bottom w:val="single" w:color="auto" w:sz="4" w:space="0"/>
              <w:right w:val="single" w:color="auto" w:sz="4" w:space="0"/>
            </w:tcBorders>
            <w:noWrap w:val="0"/>
            <w:vAlign w:val="center"/>
          </w:tcPr>
          <w:p w14:paraId="5275064B">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826" w:type="dxa"/>
            <w:tcBorders>
              <w:top w:val="single" w:color="auto" w:sz="4" w:space="0"/>
              <w:left w:val="single" w:color="auto" w:sz="4" w:space="0"/>
              <w:bottom w:val="single" w:color="auto" w:sz="4" w:space="0"/>
              <w:right w:val="single" w:color="auto" w:sz="4" w:space="0"/>
            </w:tcBorders>
            <w:noWrap w:val="0"/>
            <w:vAlign w:val="center"/>
          </w:tcPr>
          <w:p w14:paraId="0A0BB133">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876" w:type="dxa"/>
            <w:tcBorders>
              <w:top w:val="single" w:color="auto" w:sz="4" w:space="0"/>
              <w:left w:val="single" w:color="auto" w:sz="4" w:space="0"/>
              <w:bottom w:val="single" w:color="auto" w:sz="4" w:space="0"/>
              <w:right w:val="single" w:color="auto" w:sz="8" w:space="0"/>
            </w:tcBorders>
            <w:noWrap w:val="0"/>
            <w:vAlign w:val="center"/>
          </w:tcPr>
          <w:p w14:paraId="46F5BEB5">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r>
      <w:tr w14:paraId="3B2A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exact"/>
        </w:trPr>
        <w:tc>
          <w:tcPr>
            <w:tcW w:w="689" w:type="dxa"/>
            <w:tcBorders>
              <w:top w:val="single" w:color="auto" w:sz="4" w:space="0"/>
              <w:left w:val="single" w:color="auto" w:sz="8" w:space="0"/>
              <w:bottom w:val="single" w:color="auto" w:sz="4" w:space="0"/>
              <w:right w:val="single" w:color="auto" w:sz="4" w:space="0"/>
            </w:tcBorders>
            <w:noWrap w:val="0"/>
            <w:vAlign w:val="center"/>
          </w:tcPr>
          <w:p w14:paraId="3D6024DB">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4992B0CE">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705" w:type="dxa"/>
            <w:tcBorders>
              <w:top w:val="single" w:color="auto" w:sz="4" w:space="0"/>
              <w:left w:val="single" w:color="auto" w:sz="4" w:space="0"/>
              <w:bottom w:val="single" w:color="auto" w:sz="4" w:space="0"/>
              <w:right w:val="single" w:color="auto" w:sz="4" w:space="0"/>
            </w:tcBorders>
            <w:noWrap w:val="0"/>
            <w:vAlign w:val="center"/>
          </w:tcPr>
          <w:p w14:paraId="690497FE">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935" w:type="dxa"/>
            <w:tcBorders>
              <w:top w:val="single" w:color="auto" w:sz="4" w:space="0"/>
              <w:left w:val="single" w:color="auto" w:sz="4" w:space="0"/>
              <w:bottom w:val="single" w:color="auto" w:sz="4" w:space="0"/>
              <w:right w:val="single" w:color="auto" w:sz="4" w:space="0"/>
            </w:tcBorders>
            <w:noWrap w:val="0"/>
            <w:vAlign w:val="center"/>
          </w:tcPr>
          <w:p w14:paraId="1E13B973">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2052" w:type="dxa"/>
            <w:tcBorders>
              <w:top w:val="single" w:color="auto" w:sz="4" w:space="0"/>
              <w:left w:val="single" w:color="auto" w:sz="4" w:space="0"/>
              <w:bottom w:val="single" w:color="auto" w:sz="4" w:space="0"/>
              <w:right w:val="single" w:color="auto" w:sz="4" w:space="0"/>
            </w:tcBorders>
            <w:noWrap w:val="0"/>
            <w:vAlign w:val="center"/>
          </w:tcPr>
          <w:p w14:paraId="0B14E13F">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826" w:type="dxa"/>
            <w:tcBorders>
              <w:top w:val="single" w:color="auto" w:sz="4" w:space="0"/>
              <w:left w:val="single" w:color="auto" w:sz="4" w:space="0"/>
              <w:bottom w:val="single" w:color="auto" w:sz="4" w:space="0"/>
              <w:right w:val="single" w:color="auto" w:sz="4" w:space="0"/>
            </w:tcBorders>
            <w:noWrap w:val="0"/>
            <w:vAlign w:val="center"/>
          </w:tcPr>
          <w:p w14:paraId="4BF6AA04">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876" w:type="dxa"/>
            <w:tcBorders>
              <w:top w:val="single" w:color="auto" w:sz="4" w:space="0"/>
              <w:left w:val="single" w:color="auto" w:sz="4" w:space="0"/>
              <w:bottom w:val="single" w:color="auto" w:sz="4" w:space="0"/>
              <w:right w:val="single" w:color="auto" w:sz="8" w:space="0"/>
            </w:tcBorders>
            <w:noWrap w:val="0"/>
            <w:vAlign w:val="center"/>
          </w:tcPr>
          <w:p w14:paraId="30792BA1">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r>
      <w:tr w14:paraId="0166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exact"/>
        </w:trPr>
        <w:tc>
          <w:tcPr>
            <w:tcW w:w="689" w:type="dxa"/>
            <w:tcBorders>
              <w:top w:val="single" w:color="auto" w:sz="4" w:space="0"/>
              <w:left w:val="single" w:color="auto" w:sz="8" w:space="0"/>
              <w:bottom w:val="single" w:color="auto" w:sz="4" w:space="0"/>
              <w:right w:val="single" w:color="auto" w:sz="4" w:space="0"/>
            </w:tcBorders>
            <w:noWrap w:val="0"/>
            <w:vAlign w:val="center"/>
          </w:tcPr>
          <w:p w14:paraId="1B07AD60">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140" w:type="dxa"/>
            <w:tcBorders>
              <w:top w:val="single" w:color="auto" w:sz="4" w:space="0"/>
              <w:left w:val="single" w:color="auto" w:sz="4" w:space="0"/>
              <w:bottom w:val="single" w:color="auto" w:sz="4" w:space="0"/>
              <w:right w:val="single" w:color="auto" w:sz="4" w:space="0"/>
            </w:tcBorders>
            <w:noWrap w:val="0"/>
            <w:vAlign w:val="center"/>
          </w:tcPr>
          <w:p w14:paraId="72945FED">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705" w:type="dxa"/>
            <w:tcBorders>
              <w:top w:val="single" w:color="auto" w:sz="4" w:space="0"/>
              <w:left w:val="single" w:color="auto" w:sz="4" w:space="0"/>
              <w:bottom w:val="single" w:color="auto" w:sz="4" w:space="0"/>
              <w:right w:val="single" w:color="auto" w:sz="4" w:space="0"/>
            </w:tcBorders>
            <w:noWrap w:val="0"/>
            <w:vAlign w:val="center"/>
          </w:tcPr>
          <w:p w14:paraId="0267EB42">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935" w:type="dxa"/>
            <w:tcBorders>
              <w:top w:val="single" w:color="auto" w:sz="4" w:space="0"/>
              <w:left w:val="single" w:color="auto" w:sz="4" w:space="0"/>
              <w:bottom w:val="single" w:color="auto" w:sz="4" w:space="0"/>
              <w:right w:val="single" w:color="auto" w:sz="4" w:space="0"/>
            </w:tcBorders>
            <w:noWrap w:val="0"/>
            <w:vAlign w:val="center"/>
          </w:tcPr>
          <w:p w14:paraId="440D0045">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2052" w:type="dxa"/>
            <w:tcBorders>
              <w:top w:val="single" w:color="auto" w:sz="4" w:space="0"/>
              <w:left w:val="single" w:color="auto" w:sz="4" w:space="0"/>
              <w:bottom w:val="single" w:color="auto" w:sz="4" w:space="0"/>
              <w:right w:val="single" w:color="auto" w:sz="4" w:space="0"/>
            </w:tcBorders>
            <w:noWrap w:val="0"/>
            <w:vAlign w:val="center"/>
          </w:tcPr>
          <w:p w14:paraId="784544E7">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1826" w:type="dxa"/>
            <w:tcBorders>
              <w:top w:val="single" w:color="auto" w:sz="4" w:space="0"/>
              <w:left w:val="single" w:color="auto" w:sz="4" w:space="0"/>
              <w:bottom w:val="single" w:color="auto" w:sz="4" w:space="0"/>
              <w:right w:val="single" w:color="auto" w:sz="4" w:space="0"/>
            </w:tcBorders>
            <w:noWrap w:val="0"/>
            <w:vAlign w:val="center"/>
          </w:tcPr>
          <w:p w14:paraId="39281AD4">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c>
          <w:tcPr>
            <w:tcW w:w="876" w:type="dxa"/>
            <w:tcBorders>
              <w:top w:val="single" w:color="auto" w:sz="4" w:space="0"/>
              <w:left w:val="single" w:color="auto" w:sz="4" w:space="0"/>
              <w:bottom w:val="single" w:color="auto" w:sz="4" w:space="0"/>
              <w:right w:val="single" w:color="auto" w:sz="8" w:space="0"/>
            </w:tcBorders>
            <w:noWrap w:val="0"/>
            <w:vAlign w:val="center"/>
          </w:tcPr>
          <w:p w14:paraId="3BB5DC46">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tc>
      </w:tr>
    </w:tbl>
    <w:p w14:paraId="717E83D8">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ascii="Times New Roman" w:hAnsi="Times New Roman" w:eastAsia="仿宋_GB2312" w:cs="Times New Roman"/>
          <w:kern w:val="2"/>
          <w:sz w:val="32"/>
          <w:szCs w:val="32"/>
          <w:highlight w:val="none"/>
          <w:lang w:val="en-US" w:eastAsia="zh-CN" w:bidi="ar-SA"/>
        </w:rPr>
      </w:pPr>
      <w:r>
        <w:rPr>
          <w:rFonts w:ascii="Times New Roman" w:hAnsi="Times New Roman" w:eastAsia="仿宋_GB2312" w:cs="Times New Roman"/>
          <w:kern w:val="2"/>
          <w:sz w:val="32"/>
          <w:szCs w:val="32"/>
          <w:highlight w:val="none"/>
          <w:lang w:val="en-US" w:eastAsia="zh-CN" w:bidi="ar-SA"/>
        </w:rPr>
        <w:t>注：附上要求资格条件的复印件。</w:t>
      </w:r>
    </w:p>
    <w:p w14:paraId="357CAC21">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kern w:val="44"/>
          <w:sz w:val="44"/>
          <w:szCs w:val="44"/>
          <w:highlight w:val="none"/>
        </w:rPr>
      </w:pPr>
      <w:bookmarkStart w:id="461" w:name="_Toc9576"/>
      <w:bookmarkStart w:id="462" w:name="_Toc22981"/>
      <w:bookmarkStart w:id="463" w:name="_Toc5528"/>
      <w:r>
        <w:rPr>
          <w:rFonts w:hint="eastAsia" w:ascii="仿宋_GB2312" w:hAnsi="仿宋_GB2312" w:eastAsia="仿宋_GB2312" w:cs="仿宋_GB2312"/>
          <w:b/>
          <w:bCs/>
          <w:kern w:val="44"/>
          <w:sz w:val="44"/>
          <w:szCs w:val="44"/>
          <w:highlight w:val="none"/>
          <w:lang w:val="en-US" w:eastAsia="zh-CN"/>
        </w:rPr>
        <w:t>九</w:t>
      </w:r>
      <w:r>
        <w:rPr>
          <w:rFonts w:hint="eastAsia" w:ascii="仿宋_GB2312" w:hAnsi="仿宋_GB2312" w:eastAsia="仿宋_GB2312" w:cs="仿宋_GB2312"/>
          <w:b/>
          <w:bCs/>
          <w:kern w:val="44"/>
          <w:sz w:val="44"/>
          <w:szCs w:val="44"/>
          <w:highlight w:val="none"/>
        </w:rPr>
        <w:t>、其他文件</w:t>
      </w:r>
      <w:bookmarkEnd w:id="447"/>
      <w:bookmarkEnd w:id="448"/>
      <w:bookmarkEnd w:id="449"/>
      <w:bookmarkEnd w:id="450"/>
      <w:bookmarkEnd w:id="451"/>
      <w:bookmarkEnd w:id="452"/>
      <w:bookmarkEnd w:id="453"/>
      <w:bookmarkEnd w:id="454"/>
      <w:bookmarkEnd w:id="455"/>
      <w:bookmarkEnd w:id="456"/>
      <w:bookmarkEnd w:id="461"/>
      <w:bookmarkEnd w:id="462"/>
      <w:bookmarkEnd w:id="463"/>
    </w:p>
    <w:bookmarkEnd w:id="457"/>
    <w:p w14:paraId="0AE44762">
      <w:pPr>
        <w:keepNext w:val="0"/>
        <w:keepLines w:val="0"/>
        <w:kinsoku/>
        <w:wordWrap w:val="0"/>
        <w:overflowPunct/>
        <w:topLinePunct w:val="0"/>
        <w:autoSpaceDE/>
        <w:bidi w:val="0"/>
        <w:spacing w:line="560" w:lineRule="exact"/>
        <w:ind w:firstLine="640" w:firstLineChars="200"/>
        <w:textAlignment w:val="auto"/>
        <w:rPr>
          <w:rFonts w:ascii="仿宋_GB2312" w:eastAsia="仿宋_GB2312"/>
          <w:sz w:val="32"/>
          <w:szCs w:val="32"/>
          <w:highlight w:val="none"/>
        </w:rPr>
      </w:pPr>
    </w:p>
    <w:p w14:paraId="72932276">
      <w:pPr>
        <w:keepNext w:val="0"/>
        <w:keepLines w:val="0"/>
        <w:kinsoku/>
        <w:wordWrap w:val="0"/>
        <w:overflowPunct/>
        <w:topLinePunct w:val="0"/>
        <w:autoSpaceDE/>
        <w:bidi w:val="0"/>
        <w:spacing w:line="560" w:lineRule="exact"/>
        <w:ind w:firstLine="640" w:firstLineChars="200"/>
        <w:textAlignment w:val="auto"/>
        <w:rPr>
          <w:rFonts w:hint="eastAsia" w:ascii="仿宋_GB2312" w:eastAsia="仿宋_GB2312"/>
          <w:sz w:val="32"/>
          <w:szCs w:val="32"/>
          <w:highlight w:val="none"/>
          <w:lang w:eastAsia="zh-CN"/>
        </w:rPr>
      </w:pPr>
      <w:r>
        <w:rPr>
          <w:rFonts w:ascii="仿宋_GB2312" w:eastAsia="仿宋_GB2312"/>
          <w:sz w:val="32"/>
          <w:szCs w:val="32"/>
          <w:highlight w:val="none"/>
        </w:rPr>
        <w:t>1.</w:t>
      </w:r>
      <w:r>
        <w:rPr>
          <w:rFonts w:hint="eastAsia" w:ascii="仿宋_GB2312" w:eastAsia="仿宋_GB2312"/>
          <w:sz w:val="32"/>
          <w:szCs w:val="32"/>
          <w:highlight w:val="none"/>
        </w:rPr>
        <w:t>投标保证金（银行回执单，复印件加盖公章）</w:t>
      </w:r>
      <w:r>
        <w:rPr>
          <w:rFonts w:hint="eastAsia" w:ascii="仿宋_GB2312" w:eastAsia="仿宋_GB2312"/>
          <w:sz w:val="32"/>
          <w:szCs w:val="32"/>
          <w:highlight w:val="none"/>
          <w:lang w:eastAsia="zh-CN"/>
        </w:rPr>
        <w:t>。</w:t>
      </w:r>
    </w:p>
    <w:p w14:paraId="74B26199">
      <w:pPr>
        <w:keepNext w:val="0"/>
        <w:keepLines w:val="0"/>
        <w:numPr>
          <w:ilvl w:val="0"/>
          <w:numId w:val="0"/>
        </w:numPr>
        <w:kinsoku/>
        <w:wordWrap w:val="0"/>
        <w:overflowPunct/>
        <w:topLinePunct w:val="0"/>
        <w:autoSpaceDE/>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2"/>
          <w:sz w:val="32"/>
          <w:szCs w:val="32"/>
          <w:highlight w:val="none"/>
          <w:lang w:val="en-US" w:eastAsia="zh-CN" w:bidi="ar-SA"/>
        </w:rPr>
        <w:t>2.</w:t>
      </w:r>
      <w:bookmarkStart w:id="464" w:name="OLE_LINK21"/>
      <w:r>
        <w:rPr>
          <w:rFonts w:hint="eastAsia" w:ascii="仿宋_GB2312" w:hAnsi="仿宋_GB2312" w:eastAsia="仿宋_GB2312" w:cs="仿宋_GB2312"/>
          <w:color w:val="000000"/>
          <w:sz w:val="32"/>
          <w:szCs w:val="32"/>
          <w:highlight w:val="none"/>
        </w:rPr>
        <w:t>近2年内未被国家企业信用信息公示系统列入经营异常名录或者严重违法失信名单的（应提供企业在国家企业信用信息公示系统http://www.gsxt.gov.cn中公示的“企业信用信息”之“基础信息”“列入经营异常名录”“列入严重违法失信企业名单（黑名单）信息”（网页截图））。</w:t>
      </w:r>
      <w:bookmarkEnd w:id="464"/>
    </w:p>
    <w:p w14:paraId="7A57126E">
      <w:pPr>
        <w:keepNext w:val="0"/>
        <w:keepLines w:val="0"/>
        <w:kinsoku/>
        <w:wordWrap w:val="0"/>
        <w:overflowPunct/>
        <w:topLinePunct w:val="0"/>
        <w:autoSpaceDE/>
        <w:bidi w:val="0"/>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rPr>
        <w:t>.企业、法定代表人未被列入失信被执行人名单（应提供企业、企业法定代表人在中国执行信息公开网http://zxgk.court.gov.cn中“综合查询被执行人-全国法院”查询的信息（网页截图））。</w:t>
      </w:r>
    </w:p>
    <w:p w14:paraId="2E77AE36">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ascii="Times New Roman" w:hAnsi="Times New Roman" w:eastAsia="宋体" w:cs="Times New Roman"/>
          <w:b/>
          <w:color w:val="393939"/>
          <w:sz w:val="32"/>
          <w:szCs w:val="32"/>
          <w:highlight w:val="none"/>
        </w:rPr>
      </w:pPr>
      <w:bookmarkStart w:id="465" w:name="_Toc25805"/>
      <w:r>
        <w:rPr>
          <w:rFonts w:hint="eastAsia" w:ascii="仿宋_GB2312" w:hAnsi="仿宋_GB2312" w:eastAsia="仿宋_GB2312" w:cs="仿宋_GB2312"/>
          <w:b/>
          <w:bCs/>
          <w:kern w:val="44"/>
          <w:sz w:val="44"/>
          <w:szCs w:val="44"/>
          <w:highlight w:val="none"/>
          <w:lang w:val="en-US" w:eastAsia="zh-CN"/>
        </w:rPr>
        <w:t>十、承诺函</w:t>
      </w:r>
      <w:bookmarkEnd w:id="465"/>
    </w:p>
    <w:p w14:paraId="33BB57FC">
      <w:pPr>
        <w:keepNext w:val="0"/>
        <w:keepLines w:val="0"/>
        <w:pageBreakBefore w:val="0"/>
        <w:kinsoku/>
        <w:overflowPunct/>
        <w:topLinePunct w:val="0"/>
        <w:autoSpaceDE/>
        <w:autoSpaceDN/>
        <w:bidi w:val="0"/>
        <w:adjustRightInd/>
        <w:snapToGrid/>
        <w:spacing w:before="158" w:beforeLines="50" w:after="158" w:afterLines="50" w:line="560" w:lineRule="exact"/>
        <w:textAlignment w:val="auto"/>
        <w:rPr>
          <w:rFonts w:hint="eastAsia" w:ascii="仿宋_GB2312" w:hAnsi="仿宋_GB2312" w:eastAsia="仿宋_GB2312" w:cs="仿宋_GB2312"/>
          <w:b/>
          <w:color w:val="393939"/>
          <w:sz w:val="32"/>
          <w:szCs w:val="32"/>
          <w:highlight w:val="none"/>
        </w:rPr>
      </w:pPr>
    </w:p>
    <w:p w14:paraId="4C7EDC80">
      <w:pPr>
        <w:keepNext w:val="0"/>
        <w:keepLines w:val="0"/>
        <w:pageBreakBefore w:val="0"/>
        <w:kinsoku/>
        <w:overflowPunct/>
        <w:topLinePunct w:val="0"/>
        <w:autoSpaceDE/>
        <w:autoSpaceDN/>
        <w:bidi w:val="0"/>
        <w:adjustRightInd/>
        <w:snapToGrid/>
        <w:spacing w:before="158" w:beforeLines="50" w:after="158" w:afterLines="50" w:line="560" w:lineRule="exact"/>
        <w:textAlignment w:val="auto"/>
        <w:rPr>
          <w:rFonts w:hint="eastAsia" w:ascii="仿宋_GB2312" w:hAnsi="仿宋_GB2312" w:eastAsia="仿宋_GB2312" w:cs="仿宋_GB2312"/>
          <w:b/>
          <w:color w:val="393939"/>
          <w:sz w:val="32"/>
          <w:szCs w:val="32"/>
          <w:highlight w:val="none"/>
        </w:rPr>
      </w:pPr>
      <w:r>
        <w:rPr>
          <w:rFonts w:hint="eastAsia" w:ascii="仿宋_GB2312" w:hAnsi="仿宋_GB2312" w:eastAsia="仿宋_GB2312" w:cs="仿宋_GB2312"/>
          <w:b/>
          <w:color w:val="393939"/>
          <w:sz w:val="32"/>
          <w:szCs w:val="32"/>
          <w:highlight w:val="none"/>
        </w:rPr>
        <w:t>致：</w:t>
      </w:r>
      <w:r>
        <w:rPr>
          <w:rFonts w:hint="eastAsia" w:ascii="仿宋_GB2312" w:hAnsi="仿宋_GB2312" w:eastAsia="仿宋_GB2312" w:cs="仿宋_GB2312"/>
          <w:b/>
          <w:color w:val="393939"/>
          <w:sz w:val="32"/>
          <w:szCs w:val="32"/>
          <w:highlight w:val="none"/>
          <w:u w:val="single"/>
        </w:rPr>
        <w:t xml:space="preserve">                </w:t>
      </w:r>
      <w:r>
        <w:rPr>
          <w:rFonts w:hint="eastAsia" w:ascii="仿宋_GB2312" w:hAnsi="仿宋_GB2312" w:eastAsia="仿宋_GB2312" w:cs="仿宋_GB2312"/>
          <w:b/>
          <w:color w:val="393939"/>
          <w:sz w:val="32"/>
          <w:szCs w:val="32"/>
          <w:highlight w:val="none"/>
        </w:rPr>
        <w:t>（采购人）</w:t>
      </w:r>
    </w:p>
    <w:p w14:paraId="41C918EF">
      <w:pPr>
        <w:keepNext w:val="0"/>
        <w:keepLines w:val="0"/>
        <w:pageBreakBefore w:val="0"/>
        <w:widowControl/>
        <w:shd w:val="clear" w:color="auto" w:fill="FFFFFF"/>
        <w:kinsoku/>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仿宋_GB2312" w:hAnsi="仿宋_GB2312" w:eastAsia="仿宋_GB2312" w:cs="仿宋_GB2312"/>
          <w:color w:val="000000"/>
          <w:kern w:val="0"/>
          <w:sz w:val="32"/>
          <w:szCs w:val="32"/>
          <w:highlight w:val="none"/>
          <w:lang w:val="en-US" w:eastAsia="zh-CN" w:bidi="zh-CN"/>
        </w:rPr>
      </w:pPr>
      <w:r>
        <w:rPr>
          <w:rFonts w:hint="eastAsia" w:ascii="仿宋_GB2312" w:hAnsi="仿宋_GB2312" w:eastAsia="仿宋_GB2312" w:cs="仿宋_GB2312"/>
          <w:color w:val="000000"/>
          <w:kern w:val="0"/>
          <w:sz w:val="32"/>
          <w:szCs w:val="32"/>
          <w:highlight w:val="none"/>
          <w:lang w:val="en-US" w:eastAsia="zh-CN" w:bidi="zh-CN"/>
        </w:rPr>
        <w:t>我司承诺：</w:t>
      </w:r>
    </w:p>
    <w:p w14:paraId="1B6C07D4">
      <w:pPr>
        <w:keepNext w:val="0"/>
        <w:keepLines w:val="0"/>
        <w:pageBreakBefore w:val="0"/>
        <w:widowControl/>
        <w:shd w:val="clear" w:color="auto" w:fill="FFFFFF"/>
        <w:kinsoku/>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仿宋_GB2312" w:hAnsi="仿宋_GB2312" w:eastAsia="仿宋_GB2312" w:cs="仿宋_GB2312"/>
          <w:color w:val="000000"/>
          <w:kern w:val="0"/>
          <w:sz w:val="32"/>
          <w:szCs w:val="32"/>
          <w:highlight w:val="none"/>
          <w:lang w:val="en-US" w:eastAsia="zh-CN" w:bidi="zh-CN"/>
        </w:rPr>
      </w:pPr>
      <w:r>
        <w:rPr>
          <w:rFonts w:hint="eastAsia" w:ascii="仿宋_GB2312" w:hAnsi="仿宋_GB2312" w:eastAsia="仿宋_GB2312" w:cs="仿宋_GB2312"/>
          <w:color w:val="000000"/>
          <w:kern w:val="0"/>
          <w:sz w:val="32"/>
          <w:szCs w:val="32"/>
          <w:highlight w:val="none"/>
          <w:lang w:val="en-US" w:eastAsia="zh-CN" w:bidi="zh-CN"/>
        </w:rPr>
        <w:t>1.</w:t>
      </w:r>
      <w:r>
        <w:rPr>
          <w:rFonts w:hint="eastAsia" w:ascii="仿宋_GB2312" w:hAnsi="仿宋_GB2312" w:eastAsia="仿宋_GB2312" w:cs="仿宋_GB2312"/>
          <w:color w:val="000000"/>
          <w:kern w:val="0"/>
          <w:sz w:val="32"/>
          <w:szCs w:val="32"/>
          <w:highlight w:val="none"/>
          <w:lang w:val="zh-CN" w:eastAsia="zh-CN" w:bidi="zh-CN"/>
        </w:rPr>
        <w:t>必须在合同签订前为所有投入人员办理个人不少于1</w:t>
      </w:r>
      <w:r>
        <w:rPr>
          <w:rFonts w:hint="eastAsia" w:ascii="仿宋_GB2312" w:hAnsi="仿宋_GB2312" w:eastAsia="仿宋_GB2312" w:cs="仿宋_GB2312"/>
          <w:color w:val="000000"/>
          <w:kern w:val="0"/>
          <w:sz w:val="32"/>
          <w:szCs w:val="32"/>
          <w:highlight w:val="none"/>
          <w:lang w:val="en-US" w:eastAsia="zh-CN" w:bidi="zh-CN"/>
        </w:rPr>
        <w:t>0</w:t>
      </w:r>
      <w:r>
        <w:rPr>
          <w:rFonts w:hint="eastAsia" w:ascii="仿宋_GB2312" w:hAnsi="仿宋_GB2312" w:eastAsia="仿宋_GB2312" w:cs="仿宋_GB2312"/>
          <w:color w:val="000000"/>
          <w:kern w:val="0"/>
          <w:sz w:val="32"/>
          <w:szCs w:val="32"/>
          <w:highlight w:val="none"/>
          <w:lang w:val="zh-CN" w:eastAsia="zh-CN" w:bidi="zh-CN"/>
        </w:rPr>
        <w:t>0万的人身意外保险并复印备案、</w:t>
      </w:r>
      <w:r>
        <w:rPr>
          <w:rFonts w:hint="eastAsia" w:ascii="仿宋_GB2312" w:hAnsi="仿宋_GB2312" w:eastAsia="仿宋_GB2312" w:cs="仿宋_GB2312"/>
          <w:color w:val="000000"/>
          <w:kern w:val="0"/>
          <w:sz w:val="32"/>
          <w:szCs w:val="32"/>
          <w:highlight w:val="none"/>
          <w:lang w:val="en-US" w:eastAsia="zh-CN" w:bidi="zh-CN"/>
        </w:rPr>
        <w:t>提供性能良好的机械设备，安排专业技术能力较强的人员作为现场负责人，组织有经验的、有质量、安全意识的施工人员进场。</w:t>
      </w:r>
    </w:p>
    <w:p w14:paraId="6A63C59D">
      <w:pPr>
        <w:keepNext w:val="0"/>
        <w:keepLines w:val="0"/>
        <w:pageBreakBefore w:val="0"/>
        <w:widowControl/>
        <w:shd w:val="clear" w:color="auto" w:fill="FFFFFF"/>
        <w:kinsoku/>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仿宋_GB2312" w:hAnsi="仿宋_GB2312" w:eastAsia="仿宋_GB2312" w:cs="仿宋_GB2312"/>
          <w:color w:val="000000"/>
          <w:kern w:val="0"/>
          <w:sz w:val="32"/>
          <w:szCs w:val="32"/>
          <w:highlight w:val="none"/>
          <w:lang w:val="en-US" w:eastAsia="zh-CN" w:bidi="zh-CN"/>
        </w:rPr>
      </w:pPr>
      <w:r>
        <w:rPr>
          <w:rFonts w:hint="eastAsia" w:ascii="仿宋_GB2312" w:hAnsi="仿宋_GB2312" w:eastAsia="仿宋_GB2312" w:cs="仿宋_GB2312"/>
          <w:color w:val="000000"/>
          <w:kern w:val="0"/>
          <w:sz w:val="32"/>
          <w:szCs w:val="32"/>
          <w:highlight w:val="none"/>
          <w:lang w:val="en-US" w:eastAsia="zh-CN" w:bidi="zh-CN"/>
        </w:rPr>
        <w:t>2.人员机械设备等进场数量应能满足现场实际施工的需要。</w:t>
      </w:r>
    </w:p>
    <w:p w14:paraId="499EFC39">
      <w:pPr>
        <w:keepNext w:val="0"/>
        <w:keepLines w:val="0"/>
        <w:pageBreakBefore w:val="0"/>
        <w:widowControl/>
        <w:shd w:val="clear" w:color="auto" w:fill="FFFFFF"/>
        <w:kinsoku/>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仿宋_GB2312" w:hAnsi="仿宋_GB2312" w:eastAsia="仿宋_GB2312" w:cs="仿宋_GB2312"/>
          <w:color w:val="000000"/>
          <w:kern w:val="0"/>
          <w:sz w:val="32"/>
          <w:szCs w:val="32"/>
          <w:highlight w:val="none"/>
          <w:lang w:val="zh-CN" w:eastAsia="zh-CN" w:bidi="zh-CN"/>
        </w:rPr>
      </w:pPr>
      <w:r>
        <w:rPr>
          <w:rFonts w:hint="eastAsia" w:ascii="仿宋_GB2312" w:hAnsi="仿宋_GB2312" w:eastAsia="仿宋_GB2312" w:cs="仿宋_GB2312"/>
          <w:color w:val="000000"/>
          <w:kern w:val="0"/>
          <w:sz w:val="32"/>
          <w:szCs w:val="32"/>
          <w:highlight w:val="none"/>
          <w:lang w:val="en-US" w:eastAsia="zh-CN" w:bidi="zh-CN"/>
        </w:rPr>
        <w:t>3.</w:t>
      </w:r>
      <w:r>
        <w:rPr>
          <w:rFonts w:hint="eastAsia" w:ascii="仿宋_GB2312" w:hAnsi="仿宋_GB2312" w:eastAsia="仿宋_GB2312" w:cs="仿宋_GB2312"/>
          <w:color w:val="000000"/>
          <w:kern w:val="0"/>
          <w:sz w:val="32"/>
          <w:szCs w:val="32"/>
          <w:highlight w:val="none"/>
          <w:lang w:val="zh-CN" w:eastAsia="zh-CN" w:bidi="zh-CN"/>
        </w:rPr>
        <w:t>自备相关安全设备，包括但不局限于安全帽、反光背心等。</w:t>
      </w:r>
    </w:p>
    <w:p w14:paraId="189D98C4">
      <w:pPr>
        <w:keepNext w:val="0"/>
        <w:keepLines w:val="0"/>
        <w:pageBreakBefore w:val="0"/>
        <w:widowControl/>
        <w:shd w:val="clear" w:color="auto" w:fill="FFFFFF"/>
        <w:kinsoku/>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仿宋_GB2312" w:hAnsi="仿宋_GB2312" w:eastAsia="仿宋_GB2312" w:cs="仿宋_GB2312"/>
          <w:color w:val="000000"/>
          <w:kern w:val="0"/>
          <w:sz w:val="32"/>
          <w:szCs w:val="32"/>
          <w:highlight w:val="none"/>
          <w:lang w:val="en-US" w:eastAsia="zh-CN" w:bidi="zh-CN"/>
        </w:rPr>
      </w:pPr>
      <w:r>
        <w:rPr>
          <w:rFonts w:hint="eastAsia" w:ascii="仿宋_GB2312" w:hAnsi="仿宋_GB2312" w:eastAsia="仿宋_GB2312" w:cs="仿宋_GB2312"/>
          <w:color w:val="000000"/>
          <w:kern w:val="0"/>
          <w:sz w:val="32"/>
          <w:szCs w:val="32"/>
          <w:highlight w:val="none"/>
          <w:lang w:val="en-US" w:eastAsia="zh-CN" w:bidi="zh-CN"/>
        </w:rPr>
        <w:t>4.设备进入施工现场后，协作单位驾驶员、技术人员应服从招标人现场管理人员的调度与指挥，并遵守施工现场的规章制度。</w:t>
      </w:r>
    </w:p>
    <w:p w14:paraId="3C54C6FA">
      <w:pPr>
        <w:keepNext w:val="0"/>
        <w:keepLines w:val="0"/>
        <w:pageBreakBefore w:val="0"/>
        <w:widowControl/>
        <w:shd w:val="clear" w:color="auto" w:fill="FFFFFF"/>
        <w:kinsoku/>
        <w:overflowPunct/>
        <w:topLinePunct w:val="0"/>
        <w:autoSpaceDE/>
        <w:autoSpaceDN/>
        <w:bidi w:val="0"/>
        <w:adjustRightInd/>
        <w:snapToGrid/>
        <w:spacing w:before="0" w:beforeLines="0" w:beforeAutospacing="0" w:after="0" w:afterLines="0" w:afterAutospacing="0" w:line="560" w:lineRule="exact"/>
        <w:ind w:firstLine="640" w:firstLineChars="200"/>
        <w:jc w:val="both"/>
        <w:textAlignment w:val="auto"/>
        <w:rPr>
          <w:rFonts w:hint="eastAsia" w:ascii="仿宋_GB2312" w:hAnsi="仿宋_GB2312" w:eastAsia="仿宋_GB2312" w:cs="仿宋_GB2312"/>
          <w:color w:val="393939"/>
          <w:kern w:val="2"/>
          <w:sz w:val="32"/>
          <w:szCs w:val="32"/>
          <w:highlight w:val="none"/>
          <w:lang w:val="en-US" w:eastAsia="zh-CN" w:bidi="ar-SA"/>
        </w:rPr>
      </w:pPr>
      <w:r>
        <w:rPr>
          <w:rFonts w:hint="eastAsia" w:ascii="仿宋_GB2312" w:hAnsi="仿宋_GB2312" w:eastAsia="仿宋_GB2312" w:cs="仿宋_GB2312"/>
          <w:color w:val="000000"/>
          <w:kern w:val="0"/>
          <w:sz w:val="32"/>
          <w:szCs w:val="32"/>
          <w:highlight w:val="none"/>
          <w:lang w:val="en-US" w:eastAsia="zh-CN" w:bidi="zh-CN"/>
        </w:rPr>
        <w:t>5.招标人有权对不符合技术性能要求的设备和人员提出更换。</w:t>
      </w:r>
    </w:p>
    <w:p w14:paraId="2E9D24A7">
      <w:pPr>
        <w:keepNext w:val="0"/>
        <w:keepLines w:val="0"/>
        <w:pageBreakBefore w:val="0"/>
        <w:kinsoku/>
        <w:overflowPunct/>
        <w:topLinePunct w:val="0"/>
        <w:autoSpaceDE/>
        <w:autoSpaceDN/>
        <w:bidi w:val="0"/>
        <w:adjustRightInd/>
        <w:snapToGrid/>
        <w:spacing w:before="158" w:beforeLines="50" w:after="158" w:afterLines="50" w:line="560" w:lineRule="exact"/>
        <w:jc w:val="center"/>
        <w:textAlignment w:val="auto"/>
        <w:rPr>
          <w:rFonts w:hint="eastAsia" w:ascii="仿宋_GB2312" w:hAnsi="仿宋_GB2312" w:eastAsia="仿宋_GB2312" w:cs="仿宋_GB2312"/>
          <w:b/>
          <w:color w:val="393939"/>
          <w:sz w:val="32"/>
          <w:szCs w:val="32"/>
          <w:highlight w:val="none"/>
        </w:rPr>
      </w:pPr>
    </w:p>
    <w:p w14:paraId="78C2CBC7">
      <w:pPr>
        <w:keepNext w:val="0"/>
        <w:keepLines w:val="0"/>
        <w:pageBreakBefore w:val="0"/>
        <w:kinsoku/>
        <w:wordWrap w:val="0"/>
        <w:overflowPunct/>
        <w:topLinePunct w:val="0"/>
        <w:autoSpaceDE/>
        <w:autoSpaceDN/>
        <w:bidi w:val="0"/>
        <w:adjustRightInd/>
        <w:snapToGrid/>
        <w:spacing w:before="158" w:beforeLines="50" w:after="158" w:afterLines="50" w:line="560" w:lineRule="exact"/>
        <w:jc w:val="right"/>
        <w:textAlignment w:val="auto"/>
        <w:rPr>
          <w:rFonts w:hint="eastAsia" w:ascii="仿宋_GB2312" w:hAnsi="仿宋_GB2312" w:eastAsia="仿宋_GB2312" w:cs="仿宋_GB2312"/>
          <w:b/>
          <w:color w:val="393939"/>
          <w:sz w:val="32"/>
          <w:szCs w:val="32"/>
          <w:highlight w:val="none"/>
          <w:u w:val="single"/>
        </w:rPr>
      </w:pPr>
      <w:r>
        <w:rPr>
          <w:rFonts w:hint="eastAsia" w:ascii="仿宋_GB2312" w:hAnsi="仿宋_GB2312" w:eastAsia="仿宋_GB2312" w:cs="仿宋_GB2312"/>
          <w:b/>
          <w:color w:val="393939"/>
          <w:sz w:val="32"/>
          <w:szCs w:val="32"/>
          <w:highlight w:val="none"/>
        </w:rPr>
        <w:t>投标人</w:t>
      </w:r>
      <w:r>
        <w:rPr>
          <w:rFonts w:hint="eastAsia" w:ascii="仿宋_GB2312" w:hAnsi="仿宋_GB2312" w:eastAsia="仿宋_GB2312" w:cs="仿宋_GB2312"/>
          <w:b/>
          <w:color w:val="393939"/>
          <w:sz w:val="32"/>
          <w:szCs w:val="32"/>
          <w:highlight w:val="none"/>
          <w:lang w:eastAsia="zh-CN"/>
        </w:rPr>
        <w:t>（</w:t>
      </w:r>
      <w:r>
        <w:rPr>
          <w:rFonts w:hint="eastAsia" w:ascii="仿宋_GB2312" w:hAnsi="仿宋_GB2312" w:eastAsia="仿宋_GB2312" w:cs="仿宋_GB2312"/>
          <w:b/>
          <w:color w:val="393939"/>
          <w:sz w:val="32"/>
          <w:szCs w:val="32"/>
          <w:highlight w:val="none"/>
          <w:lang w:val="en-US" w:eastAsia="zh-CN"/>
        </w:rPr>
        <w:t>盖章</w:t>
      </w:r>
      <w:r>
        <w:rPr>
          <w:rFonts w:hint="eastAsia" w:ascii="仿宋_GB2312" w:hAnsi="仿宋_GB2312" w:eastAsia="仿宋_GB2312" w:cs="仿宋_GB2312"/>
          <w:b/>
          <w:color w:val="393939"/>
          <w:sz w:val="32"/>
          <w:szCs w:val="32"/>
          <w:highlight w:val="none"/>
          <w:lang w:eastAsia="zh-CN"/>
        </w:rPr>
        <w:t>）</w:t>
      </w:r>
      <w:r>
        <w:rPr>
          <w:rFonts w:hint="eastAsia" w:ascii="仿宋_GB2312" w:hAnsi="仿宋_GB2312" w:eastAsia="仿宋_GB2312" w:cs="仿宋_GB2312"/>
          <w:b/>
          <w:color w:val="393939"/>
          <w:sz w:val="32"/>
          <w:szCs w:val="32"/>
          <w:highlight w:val="none"/>
        </w:rPr>
        <w:t xml:space="preserve">：          </w:t>
      </w:r>
    </w:p>
    <w:p w14:paraId="23E757DC">
      <w:pPr>
        <w:keepNext w:val="0"/>
        <w:keepLines w:val="0"/>
        <w:pageBreakBefore w:val="0"/>
        <w:kinsoku/>
        <w:overflowPunct/>
        <w:topLinePunct w:val="0"/>
        <w:autoSpaceDE/>
        <w:autoSpaceDN/>
        <w:bidi w:val="0"/>
        <w:adjustRightInd/>
        <w:snapToGrid/>
        <w:spacing w:before="158" w:beforeLines="50" w:after="158" w:afterLines="50" w:line="560" w:lineRule="exact"/>
        <w:ind w:left="2520" w:firstLine="420"/>
        <w:jc w:val="right"/>
        <w:textAlignment w:val="auto"/>
        <w:rPr>
          <w:rFonts w:eastAsia="仿宋_GB2312"/>
          <w:sz w:val="24"/>
          <w:highlight w:val="none"/>
        </w:rPr>
        <w:sectPr>
          <w:pgSz w:w="11906" w:h="16838"/>
          <w:pgMar w:top="1440" w:right="1417" w:bottom="1440" w:left="1587" w:header="851" w:footer="992" w:gutter="0"/>
          <w:pgBorders>
            <w:top w:val="none" w:sz="0" w:space="0"/>
            <w:left w:val="none" w:sz="0" w:space="0"/>
            <w:bottom w:val="none" w:sz="0" w:space="0"/>
            <w:right w:val="none" w:sz="0" w:space="0"/>
          </w:pgBorders>
          <w:pgNumType w:fmt="decimal"/>
          <w:cols w:space="720" w:num="1"/>
          <w:docGrid w:type="linesAndChars" w:linePitch="317" w:charSpace="204"/>
        </w:sectPr>
      </w:pPr>
      <w:r>
        <w:rPr>
          <w:rFonts w:hint="eastAsia" w:ascii="仿宋_GB2312" w:hAnsi="仿宋_GB2312" w:eastAsia="仿宋_GB2312" w:cs="仿宋_GB2312"/>
          <w:b/>
          <w:color w:val="393939"/>
          <w:sz w:val="32"/>
          <w:szCs w:val="32"/>
          <w:highlight w:val="none"/>
        </w:rPr>
        <w:t xml:space="preserve">日  期：    年    月    </w:t>
      </w:r>
      <w:r>
        <w:rPr>
          <w:rFonts w:hint="eastAsia" w:ascii="仿宋_GB2312" w:hAnsi="仿宋_GB2312" w:eastAsia="仿宋_GB2312" w:cs="仿宋_GB2312"/>
          <w:b/>
          <w:color w:val="393939"/>
          <w:sz w:val="32"/>
          <w:szCs w:val="32"/>
          <w:highlight w:val="none"/>
          <w:lang w:val="en-US" w:eastAsia="zh-CN"/>
        </w:rPr>
        <w:t>日</w:t>
      </w:r>
    </w:p>
    <w:p w14:paraId="454CCEF4">
      <w:pPr>
        <w:keepNext w:val="0"/>
        <w:keepLines w:val="0"/>
        <w:pageBreakBefore/>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kern w:val="44"/>
          <w:sz w:val="44"/>
          <w:szCs w:val="44"/>
          <w:highlight w:val="none"/>
        </w:rPr>
      </w:pPr>
      <w:bookmarkStart w:id="466" w:name="_Toc5215"/>
      <w:bookmarkStart w:id="467" w:name="_Toc596"/>
      <w:bookmarkStart w:id="468" w:name="_Toc20128"/>
      <w:bookmarkStart w:id="469" w:name="_Toc26733"/>
      <w:bookmarkStart w:id="470" w:name="_Toc10848"/>
      <w:bookmarkStart w:id="471" w:name="_Toc11413"/>
      <w:bookmarkStart w:id="472" w:name="_Toc15738"/>
      <w:bookmarkStart w:id="473" w:name="_Toc5232"/>
      <w:bookmarkStart w:id="474" w:name="_Toc968"/>
      <w:bookmarkStart w:id="475" w:name="_Toc3644"/>
      <w:bookmarkStart w:id="476" w:name="_Toc24342"/>
      <w:bookmarkStart w:id="477" w:name="_Toc6028"/>
      <w:bookmarkStart w:id="478" w:name="_Toc2473"/>
      <w:r>
        <w:rPr>
          <w:rFonts w:hint="eastAsia" w:ascii="仿宋_GB2312" w:hAnsi="仿宋_GB2312" w:eastAsia="仿宋_GB2312" w:cs="仿宋_GB2312"/>
          <w:b/>
          <w:bCs/>
          <w:kern w:val="44"/>
          <w:sz w:val="44"/>
          <w:szCs w:val="44"/>
          <w:highlight w:val="none"/>
          <w:lang w:val="en-US" w:eastAsia="zh-CN"/>
        </w:rPr>
        <w:t>十一</w:t>
      </w:r>
      <w:r>
        <w:rPr>
          <w:rFonts w:hint="eastAsia" w:ascii="仿宋_GB2312" w:hAnsi="仿宋_GB2312" w:eastAsia="仿宋_GB2312" w:cs="仿宋_GB2312"/>
          <w:b/>
          <w:bCs/>
          <w:kern w:val="44"/>
          <w:sz w:val="44"/>
          <w:szCs w:val="44"/>
          <w:highlight w:val="none"/>
        </w:rPr>
        <w:t>、供应商廉政保证书</w:t>
      </w:r>
      <w:bookmarkEnd w:id="466"/>
      <w:bookmarkEnd w:id="467"/>
      <w:bookmarkEnd w:id="468"/>
      <w:bookmarkEnd w:id="469"/>
      <w:bookmarkEnd w:id="470"/>
      <w:bookmarkEnd w:id="471"/>
      <w:bookmarkEnd w:id="472"/>
      <w:bookmarkEnd w:id="473"/>
      <w:bookmarkEnd w:id="474"/>
      <w:bookmarkEnd w:id="475"/>
      <w:bookmarkEnd w:id="476"/>
      <w:bookmarkEnd w:id="477"/>
      <w:bookmarkEnd w:id="478"/>
    </w:p>
    <w:p w14:paraId="2EAC4593">
      <w:pPr>
        <w:keepNext w:val="0"/>
        <w:keepLines w:val="0"/>
        <w:kinsoku/>
        <w:overflowPunct/>
        <w:topLinePunct w:val="0"/>
        <w:autoSpaceDE/>
        <w:bidi w:val="0"/>
        <w:spacing w:line="560" w:lineRule="exact"/>
        <w:textAlignment w:val="auto"/>
        <w:rPr>
          <w:rFonts w:hint="eastAsia" w:ascii="宋体" w:hAnsi="宋体"/>
          <w:b/>
          <w:bCs/>
          <w:highlight w:val="none"/>
        </w:rPr>
      </w:pPr>
    </w:p>
    <w:p w14:paraId="21F5F790">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福路通城乡发展（福建）集团有限公司：</w:t>
      </w:r>
    </w:p>
    <w:p w14:paraId="74271D03">
      <w:pPr>
        <w:keepNext w:val="0"/>
        <w:keepLines w:val="0"/>
        <w:kinsoku/>
        <w:overflowPunct/>
        <w:topLinePunct w:val="0"/>
        <w:autoSpaceDE/>
        <w:bidi w:val="0"/>
        <w:spacing w:line="560" w:lineRule="exact"/>
        <w:ind w:firstLine="640" w:firstLineChars="200"/>
        <w:textAlignment w:val="auto"/>
        <w:rPr>
          <w:rFonts w:hint="eastAsia" w:ascii="仿宋_GB2312" w:hAnsi="仿宋_GB2312" w:eastAsia="仿宋_GB2312" w:cs="仿宋_GB2312"/>
          <w:sz w:val="32"/>
          <w:szCs w:val="32"/>
          <w:highlight w:val="none"/>
        </w:rPr>
      </w:pPr>
    </w:p>
    <w:p w14:paraId="1B90E3CB">
      <w:pPr>
        <w:keepNext w:val="0"/>
        <w:keepLines w:val="0"/>
        <w:kinsoku/>
        <w:overflowPunct/>
        <w:topLinePunct w:val="0"/>
        <w:autoSpaceDE/>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为了积极配合贵公司进行</w:t>
      </w:r>
      <w:r>
        <w:rPr>
          <w:rFonts w:hint="eastAsia" w:ascii="仿宋_GB2312" w:hAnsi="仿宋_GB2312" w:eastAsia="仿宋_GB2312" w:cs="仿宋_GB2312"/>
          <w:sz w:val="32"/>
          <w:szCs w:val="32"/>
          <w:highlight w:val="none"/>
          <w:u w:val="single"/>
          <w:lang w:eastAsia="zh-CN"/>
        </w:rPr>
        <w:t>宁上高速路面交安设施安装服务</w:t>
      </w:r>
      <w:r>
        <w:rPr>
          <w:rFonts w:hint="eastAsia" w:ascii="仿宋_GB2312" w:hAnsi="仿宋_GB2312" w:eastAsia="仿宋_GB2312" w:cs="仿宋_GB2312"/>
          <w:sz w:val="32"/>
          <w:szCs w:val="32"/>
          <w:highlight w:val="none"/>
        </w:rPr>
        <w:t>询价工作，确保此次询价工作的公平、公正、公开，我们保证认真贯彻国家有关廉政和询价报价的有关规定，特向贵公司承诺如下事项：</w:t>
      </w:r>
    </w:p>
    <w:p w14:paraId="207FA536">
      <w:pPr>
        <w:keepNext w:val="0"/>
        <w:keepLines w:val="0"/>
        <w:kinsoku/>
        <w:overflowPunct/>
        <w:topLinePunct w:val="0"/>
        <w:autoSpaceDE/>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1.不以任何方式向采购人和询价</w:t>
      </w:r>
      <w:r>
        <w:rPr>
          <w:rFonts w:hint="eastAsia" w:ascii="仿宋_GB2312" w:hAnsi="仿宋_GB2312" w:eastAsia="仿宋_GB2312" w:cs="仿宋_GB2312"/>
          <w:sz w:val="32"/>
          <w:szCs w:val="32"/>
          <w:highlight w:val="none"/>
          <w:lang w:eastAsia="zh-CN"/>
        </w:rPr>
        <w:t>小组</w:t>
      </w:r>
      <w:r>
        <w:rPr>
          <w:rFonts w:hint="eastAsia" w:ascii="仿宋_GB2312" w:hAnsi="仿宋_GB2312" w:eastAsia="仿宋_GB2312" w:cs="仿宋_GB2312"/>
          <w:sz w:val="32"/>
          <w:szCs w:val="32"/>
          <w:highlight w:val="none"/>
        </w:rPr>
        <w:t>的任何人赠送礼品、礼金及有价证券；</w:t>
      </w:r>
    </w:p>
    <w:p w14:paraId="5BF1C083">
      <w:pPr>
        <w:keepNext w:val="0"/>
        <w:keepLines w:val="0"/>
        <w:kinsoku/>
        <w:overflowPunct/>
        <w:topLinePunct w:val="0"/>
        <w:autoSpaceDE/>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2.不宴请采购人的任何人或请采购人的任何人参加高消费的娱乐活动以及旅游、考察、参观等；</w:t>
      </w:r>
    </w:p>
    <w:p w14:paraId="64734EC2">
      <w:pPr>
        <w:keepNext w:val="0"/>
        <w:keepLines w:val="0"/>
        <w:kinsoku/>
        <w:overflowPunct/>
        <w:topLinePunct w:val="0"/>
        <w:autoSpaceDE/>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3.不以任何形式报销采购人的任何人以及亲友的各种票据及费用；</w:t>
      </w:r>
    </w:p>
    <w:p w14:paraId="36A15B45">
      <w:pPr>
        <w:keepNext w:val="0"/>
        <w:keepLines w:val="0"/>
        <w:kinsoku/>
        <w:overflowPunct/>
        <w:topLinePunct w:val="0"/>
        <w:autoSpaceDE/>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4.不进行可能影响报价公平、公正的任何活动；</w:t>
      </w:r>
    </w:p>
    <w:p w14:paraId="67372408">
      <w:pPr>
        <w:keepNext w:val="0"/>
        <w:keepLines w:val="0"/>
        <w:kinsoku/>
        <w:overflowPunct/>
        <w:topLinePunct w:val="0"/>
        <w:autoSpaceDE/>
        <w:bidi w:val="0"/>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5.如违反上述承诺，愿接受取消报价资格及其他任何形式的处理。</w:t>
      </w:r>
    </w:p>
    <w:p w14:paraId="496E2910">
      <w:pPr>
        <w:keepNext w:val="0"/>
        <w:keepLines w:val="0"/>
        <w:kinsoku/>
        <w:overflowPunct/>
        <w:topLinePunct w:val="0"/>
        <w:autoSpaceDE/>
        <w:bidi w:val="0"/>
        <w:spacing w:line="560" w:lineRule="exact"/>
        <w:textAlignment w:val="auto"/>
        <w:rPr>
          <w:rFonts w:hint="eastAsia" w:ascii="仿宋_GB2312" w:hAnsi="仿宋_GB2312" w:eastAsia="仿宋_GB2312" w:cs="仿宋_GB2312"/>
          <w:sz w:val="32"/>
          <w:szCs w:val="32"/>
          <w:highlight w:val="none"/>
        </w:rPr>
      </w:pPr>
    </w:p>
    <w:p w14:paraId="222A22B5">
      <w:pPr>
        <w:pStyle w:val="77"/>
        <w:keepNext w:val="0"/>
        <w:keepLines w:val="0"/>
        <w:kinsoku/>
        <w:overflowPunct/>
        <w:topLinePunct w:val="0"/>
        <w:autoSpaceDE/>
        <w:bidi w:val="0"/>
        <w:spacing w:before="0" w:after="0" w:line="560" w:lineRule="exact"/>
        <w:textAlignment w:val="auto"/>
        <w:outlineLvl w:val="9"/>
        <w:rPr>
          <w:rFonts w:hint="eastAsia" w:ascii="仿宋_GB2312" w:hAnsi="仿宋_GB2312" w:eastAsia="仿宋_GB2312" w:cs="仿宋_GB2312"/>
          <w:szCs w:val="32"/>
          <w:highlight w:val="none"/>
        </w:rPr>
      </w:pPr>
      <w:r>
        <w:rPr>
          <w:rFonts w:hint="eastAsia" w:ascii="仿宋_GB2312" w:hAnsi="仿宋_GB2312" w:eastAsia="仿宋_GB2312" w:cs="仿宋_GB2312"/>
          <w:szCs w:val="32"/>
          <w:highlight w:val="none"/>
        </w:rPr>
        <w:t xml:space="preserve">           </w:t>
      </w:r>
      <w:bookmarkStart w:id="479" w:name="_Toc30489"/>
      <w:r>
        <w:rPr>
          <w:rFonts w:hint="eastAsia" w:ascii="仿宋_GB2312" w:hAnsi="仿宋_GB2312" w:eastAsia="仿宋_GB2312" w:cs="仿宋_GB2312"/>
          <w:szCs w:val="32"/>
          <w:highlight w:val="none"/>
        </w:rPr>
        <w:t>供应商名称（全称并加盖公章）：</w:t>
      </w:r>
      <w:bookmarkEnd w:id="479"/>
      <w:r>
        <w:rPr>
          <w:rFonts w:hint="eastAsia" w:ascii="仿宋_GB2312" w:hAnsi="仿宋_GB2312" w:eastAsia="仿宋_GB2312" w:cs="仿宋_GB2312"/>
          <w:szCs w:val="32"/>
          <w:highlight w:val="none"/>
        </w:rPr>
        <w:t xml:space="preserve"> </w:t>
      </w:r>
    </w:p>
    <w:p w14:paraId="45822FB4">
      <w:pPr>
        <w:pStyle w:val="77"/>
        <w:keepNext w:val="0"/>
        <w:keepLines w:val="0"/>
        <w:kinsoku/>
        <w:overflowPunct/>
        <w:topLinePunct w:val="0"/>
        <w:autoSpaceDE/>
        <w:bidi w:val="0"/>
        <w:spacing w:before="0" w:after="0" w:line="560" w:lineRule="exact"/>
        <w:ind w:left="0" w:firstLine="5120" w:firstLineChars="1600"/>
        <w:jc w:val="both"/>
        <w:textAlignment w:val="auto"/>
        <w:outlineLvl w:val="9"/>
        <w:rPr>
          <w:rFonts w:hint="eastAsia" w:ascii="仿宋_GB2312" w:hAnsi="仿宋_GB2312" w:eastAsia="仿宋_GB2312" w:cs="仿宋_GB2312"/>
          <w:szCs w:val="32"/>
          <w:highlight w:val="none"/>
        </w:rPr>
      </w:pPr>
      <w:bookmarkStart w:id="480" w:name="_Toc20433"/>
      <w:r>
        <w:rPr>
          <w:rFonts w:hint="eastAsia" w:ascii="仿宋_GB2312" w:hAnsi="仿宋_GB2312" w:eastAsia="仿宋_GB2312" w:cs="仿宋_GB2312"/>
          <w:szCs w:val="32"/>
          <w:highlight w:val="none"/>
        </w:rPr>
        <w:t>供应商代表签字：</w:t>
      </w:r>
      <w:bookmarkEnd w:id="480"/>
    </w:p>
    <w:p w14:paraId="2E6CDDD7">
      <w:pPr>
        <w:pStyle w:val="77"/>
        <w:keepNext w:val="0"/>
        <w:keepLines w:val="0"/>
        <w:kinsoku/>
        <w:overflowPunct/>
        <w:topLinePunct w:val="0"/>
        <w:autoSpaceDE/>
        <w:bidi w:val="0"/>
        <w:spacing w:before="0" w:after="0" w:line="560" w:lineRule="exact"/>
        <w:ind w:left="0" w:firstLine="5120" w:firstLineChars="1600"/>
        <w:jc w:val="both"/>
        <w:textAlignment w:val="auto"/>
        <w:outlineLvl w:val="9"/>
        <w:rPr>
          <w:rFonts w:hint="eastAsia" w:ascii="仿宋_GB2312" w:hAnsi="仿宋_GB2312" w:eastAsia="仿宋_GB2312" w:cs="仿宋_GB2312"/>
          <w:szCs w:val="32"/>
          <w:highlight w:val="none"/>
        </w:rPr>
      </w:pPr>
      <w:bookmarkStart w:id="481" w:name="_Toc16002"/>
      <w:r>
        <w:rPr>
          <w:rFonts w:hint="eastAsia" w:ascii="仿宋_GB2312" w:hAnsi="仿宋_GB2312" w:eastAsia="仿宋_GB2312" w:cs="仿宋_GB2312"/>
          <w:szCs w:val="32"/>
          <w:highlight w:val="none"/>
        </w:rPr>
        <w:t>日期：   年   月   日</w:t>
      </w:r>
      <w:bookmarkEnd w:id="481"/>
    </w:p>
    <w:p w14:paraId="21874598">
      <w:pPr>
        <w:spacing w:line="560" w:lineRule="exact"/>
        <w:rPr>
          <w:rFonts w:ascii="仿宋_GB2312" w:eastAsia="仿宋_GB2312"/>
          <w:sz w:val="32"/>
          <w:szCs w:val="32"/>
          <w:highlight w:val="none"/>
        </w:rPr>
      </w:pPr>
    </w:p>
    <w:p w14:paraId="5D858C71">
      <w:pPr>
        <w:spacing w:line="560" w:lineRule="exact"/>
        <w:rPr>
          <w:rFonts w:ascii="仿宋_GB2312" w:eastAsia="仿宋_GB2312"/>
          <w:sz w:val="32"/>
          <w:szCs w:val="32"/>
          <w:highlight w:val="none"/>
        </w:rPr>
      </w:pPr>
    </w:p>
    <w:p w14:paraId="771862B4">
      <w:pPr>
        <w:spacing w:line="560" w:lineRule="exact"/>
        <w:rPr>
          <w:rFonts w:ascii="仿宋_GB2312" w:eastAsia="仿宋_GB2312"/>
          <w:sz w:val="32"/>
          <w:szCs w:val="32"/>
          <w:highlight w:val="none"/>
        </w:rPr>
      </w:pPr>
    </w:p>
    <w:sectPr>
      <w:pgSz w:w="11906" w:h="16838"/>
      <w:pgMar w:top="1701" w:right="1474" w:bottom="113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C215C5E-BF8B-4119-B25E-5CE335B6A3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2938EFBE-C518-4AF8-B3D6-56086EE86B01}"/>
  </w:font>
  <w:font w:name="Cambria">
    <w:panose1 w:val="02040503050406030204"/>
    <w:charset w:val="00"/>
    <w:family w:val="roman"/>
    <w:pitch w:val="default"/>
    <w:sig w:usb0="E00006FF" w:usb1="420024FF" w:usb2="02000000" w:usb3="00000000" w:csb0="2000019F" w:csb1="00000000"/>
  </w:font>
  <w:font w:name="报宋">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embedRegular r:id="rId3" w:fontKey="{E3E96C88-9461-45FA-8295-EFB7E17ABD73}"/>
  </w:font>
  <w:font w:name="仿宋">
    <w:panose1 w:val="02010609060101010101"/>
    <w:charset w:val="86"/>
    <w:family w:val="auto"/>
    <w:pitch w:val="default"/>
    <w:sig w:usb0="800002BF" w:usb1="38CF7CFA" w:usb2="00000016" w:usb3="00000000" w:csb0="00040001" w:csb1="00000000"/>
    <w:embedRegular r:id="rId4" w:fontKey="{3C3CB5A6-3A60-466B-AAF6-DDCFB8EB140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76FA8">
    <w:pPr>
      <w:pStyle w:val="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7FA5D">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67FA5D">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888C2">
    <w:pPr>
      <w:pStyle w:val="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439DC36">
                          <w:pPr>
                            <w:pStyle w:val="2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hpgkvTAAAABQEAAA8AAAAAAAAAAQAgAAAAIgAAAGRycy9kb3du&#10;cmV2LnhtbFBLAQIUABQAAAAIAIdO4kCQaE0DywEAAJcDAAAOAAAAAAAAAAEAIAAAACIBAABkcnMv&#10;ZTJvRG9jLnhtbFBLBQYAAAAABgAGAFkBAABfBQAAAAA=&#10;">
              <v:fill on="f" focussize="0,0"/>
              <v:stroke on="f" weight="1.25pt"/>
              <v:imagedata o:title=""/>
              <o:lock v:ext="edit" aspectratio="f"/>
              <v:textbox inset="0mm,0mm,0mm,0mm" style="mso-fit-shape-to-text:t;">
                <w:txbxContent>
                  <w:p w14:paraId="0439DC36">
                    <w:pPr>
                      <w:pStyle w:val="2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decimal"/>
      <w:lvlText w:val="%1"/>
      <w:lvlJc w:val="left"/>
      <w:pPr>
        <w:tabs>
          <w:tab w:val="left" w:pos="432"/>
        </w:tabs>
        <w:ind w:left="432" w:hanging="432"/>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864" w:hanging="864"/>
      </w:pPr>
      <w:rPr>
        <w:rFonts w:hint="eastAsia"/>
      </w:rPr>
    </w:lvl>
    <w:lvl w:ilvl="4" w:tentative="0">
      <w:start w:val="1"/>
      <w:numFmt w:val="decimal"/>
      <w:pStyle w:val="6"/>
      <w:lvlText w:val="%1.%2.%3.%4.%5"/>
      <w:lvlJc w:val="left"/>
      <w:pPr>
        <w:tabs>
          <w:tab w:val="left" w:pos="1440"/>
        </w:tabs>
        <w:ind w:left="1008" w:hanging="1008"/>
      </w:pPr>
      <w:rPr>
        <w:rFonts w:hint="eastAsia"/>
      </w:rPr>
    </w:lvl>
    <w:lvl w:ilvl="5" w:tentative="0">
      <w:start w:val="1"/>
      <w:numFmt w:val="decimal"/>
      <w:pStyle w:val="7"/>
      <w:lvlText w:val="%1.%2.%3.%4.%5.%6"/>
      <w:lvlJc w:val="left"/>
      <w:pPr>
        <w:tabs>
          <w:tab w:val="left" w:pos="1800"/>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xZmNjMmQxMGNlNjZmNjczMWJlZGYwNDc0MmNlOWMifQ=="/>
  </w:docVars>
  <w:rsids>
    <w:rsidRoot w:val="00172A27"/>
    <w:rsid w:val="00000A21"/>
    <w:rsid w:val="000014E7"/>
    <w:rsid w:val="00005E43"/>
    <w:rsid w:val="00005FF7"/>
    <w:rsid w:val="0000754C"/>
    <w:rsid w:val="00010E3A"/>
    <w:rsid w:val="000120A7"/>
    <w:rsid w:val="000121AF"/>
    <w:rsid w:val="000147F5"/>
    <w:rsid w:val="00015E2E"/>
    <w:rsid w:val="0001672F"/>
    <w:rsid w:val="00017B7E"/>
    <w:rsid w:val="00021297"/>
    <w:rsid w:val="00025FAA"/>
    <w:rsid w:val="0002621F"/>
    <w:rsid w:val="00030EF4"/>
    <w:rsid w:val="00031E88"/>
    <w:rsid w:val="000342A8"/>
    <w:rsid w:val="000344BA"/>
    <w:rsid w:val="000345DB"/>
    <w:rsid w:val="0003529D"/>
    <w:rsid w:val="00036B7C"/>
    <w:rsid w:val="0003703F"/>
    <w:rsid w:val="000370A4"/>
    <w:rsid w:val="000443A5"/>
    <w:rsid w:val="000462EC"/>
    <w:rsid w:val="00046C4C"/>
    <w:rsid w:val="000522F8"/>
    <w:rsid w:val="000543DB"/>
    <w:rsid w:val="00055B78"/>
    <w:rsid w:val="00061053"/>
    <w:rsid w:val="000624A7"/>
    <w:rsid w:val="00064527"/>
    <w:rsid w:val="00064647"/>
    <w:rsid w:val="000658BC"/>
    <w:rsid w:val="00065EAD"/>
    <w:rsid w:val="000673A5"/>
    <w:rsid w:val="00071E4B"/>
    <w:rsid w:val="0007461E"/>
    <w:rsid w:val="00083DFF"/>
    <w:rsid w:val="00084138"/>
    <w:rsid w:val="00086EEB"/>
    <w:rsid w:val="000936C4"/>
    <w:rsid w:val="00094031"/>
    <w:rsid w:val="00095087"/>
    <w:rsid w:val="00095582"/>
    <w:rsid w:val="000A2284"/>
    <w:rsid w:val="000A2441"/>
    <w:rsid w:val="000A38A9"/>
    <w:rsid w:val="000A456E"/>
    <w:rsid w:val="000A50AE"/>
    <w:rsid w:val="000A51C8"/>
    <w:rsid w:val="000A537A"/>
    <w:rsid w:val="000B4573"/>
    <w:rsid w:val="000B66C7"/>
    <w:rsid w:val="000B7F72"/>
    <w:rsid w:val="000C039F"/>
    <w:rsid w:val="000C3592"/>
    <w:rsid w:val="000C3C22"/>
    <w:rsid w:val="000C766F"/>
    <w:rsid w:val="000D2185"/>
    <w:rsid w:val="000D472B"/>
    <w:rsid w:val="000D67FF"/>
    <w:rsid w:val="000E0CD0"/>
    <w:rsid w:val="000E1D23"/>
    <w:rsid w:val="000E2349"/>
    <w:rsid w:val="000E34DA"/>
    <w:rsid w:val="000E64D5"/>
    <w:rsid w:val="000F3C9C"/>
    <w:rsid w:val="000F3FFF"/>
    <w:rsid w:val="000F5BF9"/>
    <w:rsid w:val="000F60BA"/>
    <w:rsid w:val="000F76D0"/>
    <w:rsid w:val="001028A5"/>
    <w:rsid w:val="001119D3"/>
    <w:rsid w:val="00116A6E"/>
    <w:rsid w:val="00116B88"/>
    <w:rsid w:val="00121392"/>
    <w:rsid w:val="00122B8A"/>
    <w:rsid w:val="001256B9"/>
    <w:rsid w:val="00126F52"/>
    <w:rsid w:val="00130BFD"/>
    <w:rsid w:val="001317D7"/>
    <w:rsid w:val="0013209F"/>
    <w:rsid w:val="00132419"/>
    <w:rsid w:val="001329E6"/>
    <w:rsid w:val="001372C5"/>
    <w:rsid w:val="00137514"/>
    <w:rsid w:val="00140A92"/>
    <w:rsid w:val="00144674"/>
    <w:rsid w:val="0014545A"/>
    <w:rsid w:val="00146B2A"/>
    <w:rsid w:val="00147096"/>
    <w:rsid w:val="00157CDE"/>
    <w:rsid w:val="00163C84"/>
    <w:rsid w:val="00164318"/>
    <w:rsid w:val="001644A9"/>
    <w:rsid w:val="00166A9A"/>
    <w:rsid w:val="00167471"/>
    <w:rsid w:val="00171AC2"/>
    <w:rsid w:val="00172A27"/>
    <w:rsid w:val="0017310B"/>
    <w:rsid w:val="001773F9"/>
    <w:rsid w:val="001808E2"/>
    <w:rsid w:val="001839F4"/>
    <w:rsid w:val="00187E70"/>
    <w:rsid w:val="00192263"/>
    <w:rsid w:val="0019348A"/>
    <w:rsid w:val="00194A15"/>
    <w:rsid w:val="00194B84"/>
    <w:rsid w:val="0019748A"/>
    <w:rsid w:val="001A1919"/>
    <w:rsid w:val="001A228C"/>
    <w:rsid w:val="001A388D"/>
    <w:rsid w:val="001A573C"/>
    <w:rsid w:val="001A6598"/>
    <w:rsid w:val="001A7270"/>
    <w:rsid w:val="001A7548"/>
    <w:rsid w:val="001B182A"/>
    <w:rsid w:val="001B2073"/>
    <w:rsid w:val="001C0626"/>
    <w:rsid w:val="001C152E"/>
    <w:rsid w:val="001C16F8"/>
    <w:rsid w:val="001C1726"/>
    <w:rsid w:val="001D47DC"/>
    <w:rsid w:val="001D5025"/>
    <w:rsid w:val="001D54CE"/>
    <w:rsid w:val="001D6CFC"/>
    <w:rsid w:val="001D751F"/>
    <w:rsid w:val="001D7FA0"/>
    <w:rsid w:val="001E5B23"/>
    <w:rsid w:val="001F01CE"/>
    <w:rsid w:val="001F0F81"/>
    <w:rsid w:val="001F1817"/>
    <w:rsid w:val="001F2385"/>
    <w:rsid w:val="001F2769"/>
    <w:rsid w:val="00201C10"/>
    <w:rsid w:val="00201F4D"/>
    <w:rsid w:val="00202367"/>
    <w:rsid w:val="00203298"/>
    <w:rsid w:val="00204318"/>
    <w:rsid w:val="0020592C"/>
    <w:rsid w:val="002073A1"/>
    <w:rsid w:val="00210F78"/>
    <w:rsid w:val="00211CB8"/>
    <w:rsid w:val="00212D41"/>
    <w:rsid w:val="00215294"/>
    <w:rsid w:val="00215718"/>
    <w:rsid w:val="002162D5"/>
    <w:rsid w:val="0022063A"/>
    <w:rsid w:val="00222801"/>
    <w:rsid w:val="002234B7"/>
    <w:rsid w:val="0022765C"/>
    <w:rsid w:val="00231A17"/>
    <w:rsid w:val="00231EA8"/>
    <w:rsid w:val="0023718D"/>
    <w:rsid w:val="002402A3"/>
    <w:rsid w:val="00245548"/>
    <w:rsid w:val="002462A8"/>
    <w:rsid w:val="002469D5"/>
    <w:rsid w:val="00246C73"/>
    <w:rsid w:val="00252235"/>
    <w:rsid w:val="0025296E"/>
    <w:rsid w:val="002541D1"/>
    <w:rsid w:val="00254791"/>
    <w:rsid w:val="00254818"/>
    <w:rsid w:val="00254A05"/>
    <w:rsid w:val="00255A7C"/>
    <w:rsid w:val="002566AE"/>
    <w:rsid w:val="00260895"/>
    <w:rsid w:val="00262F25"/>
    <w:rsid w:val="00272247"/>
    <w:rsid w:val="0027242C"/>
    <w:rsid w:val="00280D4B"/>
    <w:rsid w:val="0028200E"/>
    <w:rsid w:val="00282DFB"/>
    <w:rsid w:val="00283427"/>
    <w:rsid w:val="00283448"/>
    <w:rsid w:val="00286C09"/>
    <w:rsid w:val="002879F3"/>
    <w:rsid w:val="0029245B"/>
    <w:rsid w:val="00293250"/>
    <w:rsid w:val="00295942"/>
    <w:rsid w:val="002A0963"/>
    <w:rsid w:val="002A19B9"/>
    <w:rsid w:val="002A5803"/>
    <w:rsid w:val="002A76AB"/>
    <w:rsid w:val="002B067C"/>
    <w:rsid w:val="002B3C11"/>
    <w:rsid w:val="002B587B"/>
    <w:rsid w:val="002B58A3"/>
    <w:rsid w:val="002B59D9"/>
    <w:rsid w:val="002B798C"/>
    <w:rsid w:val="002C02BF"/>
    <w:rsid w:val="002C0F47"/>
    <w:rsid w:val="002C1A6A"/>
    <w:rsid w:val="002C5AB4"/>
    <w:rsid w:val="002C60C8"/>
    <w:rsid w:val="002D1B01"/>
    <w:rsid w:val="002D42B3"/>
    <w:rsid w:val="002D4A4E"/>
    <w:rsid w:val="002D5950"/>
    <w:rsid w:val="002E14B6"/>
    <w:rsid w:val="002E5B77"/>
    <w:rsid w:val="002F53F7"/>
    <w:rsid w:val="002F773E"/>
    <w:rsid w:val="002F7A0D"/>
    <w:rsid w:val="002F7FD6"/>
    <w:rsid w:val="00304DA8"/>
    <w:rsid w:val="00305C3A"/>
    <w:rsid w:val="00307653"/>
    <w:rsid w:val="00307B25"/>
    <w:rsid w:val="00314005"/>
    <w:rsid w:val="003146B5"/>
    <w:rsid w:val="0031499F"/>
    <w:rsid w:val="00321581"/>
    <w:rsid w:val="00322764"/>
    <w:rsid w:val="00322ED0"/>
    <w:rsid w:val="00325E4A"/>
    <w:rsid w:val="00326787"/>
    <w:rsid w:val="00333D0F"/>
    <w:rsid w:val="003363FD"/>
    <w:rsid w:val="00337270"/>
    <w:rsid w:val="003447CE"/>
    <w:rsid w:val="00345E79"/>
    <w:rsid w:val="003508B7"/>
    <w:rsid w:val="00352C0A"/>
    <w:rsid w:val="003558D9"/>
    <w:rsid w:val="0035590B"/>
    <w:rsid w:val="00355FEF"/>
    <w:rsid w:val="00357D0B"/>
    <w:rsid w:val="00360F07"/>
    <w:rsid w:val="00361A0E"/>
    <w:rsid w:val="0036317D"/>
    <w:rsid w:val="0036333A"/>
    <w:rsid w:val="00363841"/>
    <w:rsid w:val="003643CF"/>
    <w:rsid w:val="00364D47"/>
    <w:rsid w:val="00371DCD"/>
    <w:rsid w:val="00372068"/>
    <w:rsid w:val="0037405B"/>
    <w:rsid w:val="0039165E"/>
    <w:rsid w:val="00391844"/>
    <w:rsid w:val="0039244C"/>
    <w:rsid w:val="00394C13"/>
    <w:rsid w:val="00395FF0"/>
    <w:rsid w:val="003A0C62"/>
    <w:rsid w:val="003A4F33"/>
    <w:rsid w:val="003A65E4"/>
    <w:rsid w:val="003B049E"/>
    <w:rsid w:val="003B3B9F"/>
    <w:rsid w:val="003B70D7"/>
    <w:rsid w:val="003C01DD"/>
    <w:rsid w:val="003C12DA"/>
    <w:rsid w:val="003C543E"/>
    <w:rsid w:val="003C54A5"/>
    <w:rsid w:val="003C5ADE"/>
    <w:rsid w:val="003C70FE"/>
    <w:rsid w:val="003D0805"/>
    <w:rsid w:val="003D0907"/>
    <w:rsid w:val="003D1EC1"/>
    <w:rsid w:val="003D3D43"/>
    <w:rsid w:val="003D3FB8"/>
    <w:rsid w:val="003D6212"/>
    <w:rsid w:val="003D636D"/>
    <w:rsid w:val="003D651A"/>
    <w:rsid w:val="003E06C0"/>
    <w:rsid w:val="003E35ED"/>
    <w:rsid w:val="003E7337"/>
    <w:rsid w:val="003F2BFD"/>
    <w:rsid w:val="004008BC"/>
    <w:rsid w:val="0040274E"/>
    <w:rsid w:val="00407F21"/>
    <w:rsid w:val="00410084"/>
    <w:rsid w:val="00411004"/>
    <w:rsid w:val="00411F87"/>
    <w:rsid w:val="0041285B"/>
    <w:rsid w:val="00413C7B"/>
    <w:rsid w:val="00414474"/>
    <w:rsid w:val="00415DA2"/>
    <w:rsid w:val="00416443"/>
    <w:rsid w:val="00423E56"/>
    <w:rsid w:val="00424B80"/>
    <w:rsid w:val="00426BBB"/>
    <w:rsid w:val="0042795B"/>
    <w:rsid w:val="00427E30"/>
    <w:rsid w:val="004321D8"/>
    <w:rsid w:val="00432A6A"/>
    <w:rsid w:val="00437B90"/>
    <w:rsid w:val="00444C09"/>
    <w:rsid w:val="004451F8"/>
    <w:rsid w:val="00446A8B"/>
    <w:rsid w:val="004518F3"/>
    <w:rsid w:val="004526E9"/>
    <w:rsid w:val="004569EB"/>
    <w:rsid w:val="004609D1"/>
    <w:rsid w:val="0046163D"/>
    <w:rsid w:val="0046749E"/>
    <w:rsid w:val="004705C8"/>
    <w:rsid w:val="0047148B"/>
    <w:rsid w:val="00471C65"/>
    <w:rsid w:val="00472EC8"/>
    <w:rsid w:val="004737D7"/>
    <w:rsid w:val="00473895"/>
    <w:rsid w:val="00475D9C"/>
    <w:rsid w:val="00480662"/>
    <w:rsid w:val="00480D8B"/>
    <w:rsid w:val="00481406"/>
    <w:rsid w:val="00482745"/>
    <w:rsid w:val="0048466E"/>
    <w:rsid w:val="0048594F"/>
    <w:rsid w:val="00486324"/>
    <w:rsid w:val="00486553"/>
    <w:rsid w:val="004907AC"/>
    <w:rsid w:val="00490D3E"/>
    <w:rsid w:val="00491872"/>
    <w:rsid w:val="004960A6"/>
    <w:rsid w:val="00496A23"/>
    <w:rsid w:val="00496CBB"/>
    <w:rsid w:val="00497A93"/>
    <w:rsid w:val="004A1307"/>
    <w:rsid w:val="004A4727"/>
    <w:rsid w:val="004A6782"/>
    <w:rsid w:val="004B4D9D"/>
    <w:rsid w:val="004B6F9B"/>
    <w:rsid w:val="004B72E3"/>
    <w:rsid w:val="004C1828"/>
    <w:rsid w:val="004C18BA"/>
    <w:rsid w:val="004C3ED4"/>
    <w:rsid w:val="004C56FE"/>
    <w:rsid w:val="004C5A05"/>
    <w:rsid w:val="004C6406"/>
    <w:rsid w:val="004C6A02"/>
    <w:rsid w:val="004D10BE"/>
    <w:rsid w:val="004D1569"/>
    <w:rsid w:val="004D1660"/>
    <w:rsid w:val="004D6A0E"/>
    <w:rsid w:val="004D6F31"/>
    <w:rsid w:val="004D7253"/>
    <w:rsid w:val="004D7EE6"/>
    <w:rsid w:val="004E0F3E"/>
    <w:rsid w:val="004E33A3"/>
    <w:rsid w:val="004E434B"/>
    <w:rsid w:val="004E43CE"/>
    <w:rsid w:val="004E7FEF"/>
    <w:rsid w:val="004F4053"/>
    <w:rsid w:val="004F5F9C"/>
    <w:rsid w:val="00500D3F"/>
    <w:rsid w:val="00501AA3"/>
    <w:rsid w:val="00504AE8"/>
    <w:rsid w:val="00512E0E"/>
    <w:rsid w:val="00513940"/>
    <w:rsid w:val="00515861"/>
    <w:rsid w:val="00515FC8"/>
    <w:rsid w:val="005163B0"/>
    <w:rsid w:val="0051647C"/>
    <w:rsid w:val="0051746C"/>
    <w:rsid w:val="00520C8B"/>
    <w:rsid w:val="005211AF"/>
    <w:rsid w:val="00524200"/>
    <w:rsid w:val="00525F4A"/>
    <w:rsid w:val="005263E7"/>
    <w:rsid w:val="0052658B"/>
    <w:rsid w:val="00526B9A"/>
    <w:rsid w:val="005307F9"/>
    <w:rsid w:val="00530DEB"/>
    <w:rsid w:val="00531C60"/>
    <w:rsid w:val="005324DC"/>
    <w:rsid w:val="00533079"/>
    <w:rsid w:val="0053366D"/>
    <w:rsid w:val="00534F49"/>
    <w:rsid w:val="00540D2E"/>
    <w:rsid w:val="00543541"/>
    <w:rsid w:val="00543CBD"/>
    <w:rsid w:val="005450AB"/>
    <w:rsid w:val="005470BA"/>
    <w:rsid w:val="00554ABF"/>
    <w:rsid w:val="00554C1A"/>
    <w:rsid w:val="005571A3"/>
    <w:rsid w:val="005602CC"/>
    <w:rsid w:val="00561435"/>
    <w:rsid w:val="00564404"/>
    <w:rsid w:val="00565C3B"/>
    <w:rsid w:val="005735DF"/>
    <w:rsid w:val="00574698"/>
    <w:rsid w:val="00575138"/>
    <w:rsid w:val="00580BFE"/>
    <w:rsid w:val="005812D4"/>
    <w:rsid w:val="00581BCB"/>
    <w:rsid w:val="005822FB"/>
    <w:rsid w:val="0058283E"/>
    <w:rsid w:val="00582966"/>
    <w:rsid w:val="00590DCB"/>
    <w:rsid w:val="00591202"/>
    <w:rsid w:val="0059125A"/>
    <w:rsid w:val="00591F12"/>
    <w:rsid w:val="00592E35"/>
    <w:rsid w:val="005932DD"/>
    <w:rsid w:val="005946C6"/>
    <w:rsid w:val="005953B2"/>
    <w:rsid w:val="0059610E"/>
    <w:rsid w:val="005A0266"/>
    <w:rsid w:val="005A0B01"/>
    <w:rsid w:val="005A249B"/>
    <w:rsid w:val="005A26C9"/>
    <w:rsid w:val="005A4580"/>
    <w:rsid w:val="005A51A7"/>
    <w:rsid w:val="005A60B1"/>
    <w:rsid w:val="005A7F40"/>
    <w:rsid w:val="005B02F6"/>
    <w:rsid w:val="005B28F3"/>
    <w:rsid w:val="005B73DA"/>
    <w:rsid w:val="005C3552"/>
    <w:rsid w:val="005C4DAB"/>
    <w:rsid w:val="005C71C2"/>
    <w:rsid w:val="005D3900"/>
    <w:rsid w:val="005D3CD6"/>
    <w:rsid w:val="005D44F5"/>
    <w:rsid w:val="005D4579"/>
    <w:rsid w:val="005D46D8"/>
    <w:rsid w:val="005E0F8E"/>
    <w:rsid w:val="005E2199"/>
    <w:rsid w:val="005E232E"/>
    <w:rsid w:val="005E28BC"/>
    <w:rsid w:val="005E3712"/>
    <w:rsid w:val="005F00BC"/>
    <w:rsid w:val="005F4E58"/>
    <w:rsid w:val="005F5CF8"/>
    <w:rsid w:val="0060364D"/>
    <w:rsid w:val="00605819"/>
    <w:rsid w:val="00605A1C"/>
    <w:rsid w:val="00605B75"/>
    <w:rsid w:val="00605BBB"/>
    <w:rsid w:val="0060725F"/>
    <w:rsid w:val="00611752"/>
    <w:rsid w:val="00611CC3"/>
    <w:rsid w:val="006139D1"/>
    <w:rsid w:val="006146F0"/>
    <w:rsid w:val="006154AA"/>
    <w:rsid w:val="00617493"/>
    <w:rsid w:val="00621300"/>
    <w:rsid w:val="00621FB4"/>
    <w:rsid w:val="00623428"/>
    <w:rsid w:val="006253B4"/>
    <w:rsid w:val="00626C74"/>
    <w:rsid w:val="00630239"/>
    <w:rsid w:val="00632D64"/>
    <w:rsid w:val="0063440E"/>
    <w:rsid w:val="00636E14"/>
    <w:rsid w:val="006460E6"/>
    <w:rsid w:val="00646C63"/>
    <w:rsid w:val="00646FC0"/>
    <w:rsid w:val="006506F8"/>
    <w:rsid w:val="006579F3"/>
    <w:rsid w:val="006610A2"/>
    <w:rsid w:val="00663178"/>
    <w:rsid w:val="00663408"/>
    <w:rsid w:val="00663A3F"/>
    <w:rsid w:val="00664F1D"/>
    <w:rsid w:val="00665824"/>
    <w:rsid w:val="006703F2"/>
    <w:rsid w:val="006760C3"/>
    <w:rsid w:val="006802B8"/>
    <w:rsid w:val="00680E37"/>
    <w:rsid w:val="0068244C"/>
    <w:rsid w:val="0068320F"/>
    <w:rsid w:val="00686DCF"/>
    <w:rsid w:val="00687261"/>
    <w:rsid w:val="00691018"/>
    <w:rsid w:val="006924AD"/>
    <w:rsid w:val="00692C76"/>
    <w:rsid w:val="006932FB"/>
    <w:rsid w:val="0069341C"/>
    <w:rsid w:val="00695ACF"/>
    <w:rsid w:val="006A6B66"/>
    <w:rsid w:val="006A6B91"/>
    <w:rsid w:val="006B2771"/>
    <w:rsid w:val="006B64EA"/>
    <w:rsid w:val="006B6713"/>
    <w:rsid w:val="006B6AE3"/>
    <w:rsid w:val="006B7D3B"/>
    <w:rsid w:val="006B7FF4"/>
    <w:rsid w:val="006C15D5"/>
    <w:rsid w:val="006C23B1"/>
    <w:rsid w:val="006C3C10"/>
    <w:rsid w:val="006C474D"/>
    <w:rsid w:val="006C5332"/>
    <w:rsid w:val="006D088D"/>
    <w:rsid w:val="006D1D18"/>
    <w:rsid w:val="006D2F01"/>
    <w:rsid w:val="006E0B69"/>
    <w:rsid w:val="006E47D4"/>
    <w:rsid w:val="006E71FB"/>
    <w:rsid w:val="006F2CA1"/>
    <w:rsid w:val="006F349E"/>
    <w:rsid w:val="006F3C2D"/>
    <w:rsid w:val="006F7081"/>
    <w:rsid w:val="006F77B4"/>
    <w:rsid w:val="006F7C70"/>
    <w:rsid w:val="00700887"/>
    <w:rsid w:val="00702499"/>
    <w:rsid w:val="00702C08"/>
    <w:rsid w:val="00705BB7"/>
    <w:rsid w:val="007100D4"/>
    <w:rsid w:val="00712A21"/>
    <w:rsid w:val="00716084"/>
    <w:rsid w:val="0071722F"/>
    <w:rsid w:val="00717941"/>
    <w:rsid w:val="007200C5"/>
    <w:rsid w:val="00720A11"/>
    <w:rsid w:val="00721CE0"/>
    <w:rsid w:val="007243F6"/>
    <w:rsid w:val="007247DA"/>
    <w:rsid w:val="00725660"/>
    <w:rsid w:val="00725AB9"/>
    <w:rsid w:val="00726B20"/>
    <w:rsid w:val="00733992"/>
    <w:rsid w:val="007378B1"/>
    <w:rsid w:val="00740B44"/>
    <w:rsid w:val="007433E1"/>
    <w:rsid w:val="00743686"/>
    <w:rsid w:val="007442B2"/>
    <w:rsid w:val="007455AB"/>
    <w:rsid w:val="007469E0"/>
    <w:rsid w:val="00747365"/>
    <w:rsid w:val="00750302"/>
    <w:rsid w:val="00752A35"/>
    <w:rsid w:val="00765AE2"/>
    <w:rsid w:val="007665F0"/>
    <w:rsid w:val="0076774A"/>
    <w:rsid w:val="007730DF"/>
    <w:rsid w:val="007740E2"/>
    <w:rsid w:val="00776153"/>
    <w:rsid w:val="00776ED8"/>
    <w:rsid w:val="00777195"/>
    <w:rsid w:val="007818CB"/>
    <w:rsid w:val="00781C4A"/>
    <w:rsid w:val="00782E5D"/>
    <w:rsid w:val="007841B4"/>
    <w:rsid w:val="00785C88"/>
    <w:rsid w:val="0079067E"/>
    <w:rsid w:val="00791BBE"/>
    <w:rsid w:val="00792521"/>
    <w:rsid w:val="007934E2"/>
    <w:rsid w:val="00795358"/>
    <w:rsid w:val="00795CFB"/>
    <w:rsid w:val="00795EF3"/>
    <w:rsid w:val="007A0882"/>
    <w:rsid w:val="007A3B36"/>
    <w:rsid w:val="007A4AF4"/>
    <w:rsid w:val="007A5250"/>
    <w:rsid w:val="007B2C1D"/>
    <w:rsid w:val="007C0F26"/>
    <w:rsid w:val="007C27AC"/>
    <w:rsid w:val="007C2E0F"/>
    <w:rsid w:val="007C5070"/>
    <w:rsid w:val="007C6935"/>
    <w:rsid w:val="007D4F1E"/>
    <w:rsid w:val="007E0C60"/>
    <w:rsid w:val="007E127B"/>
    <w:rsid w:val="007E1465"/>
    <w:rsid w:val="007E431E"/>
    <w:rsid w:val="007E44E8"/>
    <w:rsid w:val="007F3164"/>
    <w:rsid w:val="007F752C"/>
    <w:rsid w:val="007F7FB7"/>
    <w:rsid w:val="008024E3"/>
    <w:rsid w:val="00802EC5"/>
    <w:rsid w:val="00802F52"/>
    <w:rsid w:val="00804C35"/>
    <w:rsid w:val="0080639A"/>
    <w:rsid w:val="00810CDD"/>
    <w:rsid w:val="00812F2A"/>
    <w:rsid w:val="00814A7B"/>
    <w:rsid w:val="00816F62"/>
    <w:rsid w:val="00820453"/>
    <w:rsid w:val="00822FE7"/>
    <w:rsid w:val="00824A89"/>
    <w:rsid w:val="008271B6"/>
    <w:rsid w:val="008307F6"/>
    <w:rsid w:val="00834260"/>
    <w:rsid w:val="0083697D"/>
    <w:rsid w:val="00836E5B"/>
    <w:rsid w:val="00837F38"/>
    <w:rsid w:val="00842B30"/>
    <w:rsid w:val="008443B2"/>
    <w:rsid w:val="00844972"/>
    <w:rsid w:val="00845D24"/>
    <w:rsid w:val="00846CA4"/>
    <w:rsid w:val="00850649"/>
    <w:rsid w:val="00853936"/>
    <w:rsid w:val="00857960"/>
    <w:rsid w:val="00857A25"/>
    <w:rsid w:val="00857C90"/>
    <w:rsid w:val="008611B6"/>
    <w:rsid w:val="00870E69"/>
    <w:rsid w:val="00871E7D"/>
    <w:rsid w:val="008763AC"/>
    <w:rsid w:val="008764AF"/>
    <w:rsid w:val="0087702C"/>
    <w:rsid w:val="00877413"/>
    <w:rsid w:val="008809D6"/>
    <w:rsid w:val="00882DEF"/>
    <w:rsid w:val="00883625"/>
    <w:rsid w:val="008846CF"/>
    <w:rsid w:val="0088535D"/>
    <w:rsid w:val="008859FB"/>
    <w:rsid w:val="00892370"/>
    <w:rsid w:val="0089783D"/>
    <w:rsid w:val="008A11C4"/>
    <w:rsid w:val="008A2AEA"/>
    <w:rsid w:val="008A2B51"/>
    <w:rsid w:val="008A5260"/>
    <w:rsid w:val="008A760A"/>
    <w:rsid w:val="008A7895"/>
    <w:rsid w:val="008B24A0"/>
    <w:rsid w:val="008B516B"/>
    <w:rsid w:val="008B57A2"/>
    <w:rsid w:val="008B7F38"/>
    <w:rsid w:val="008C0DEC"/>
    <w:rsid w:val="008C2A98"/>
    <w:rsid w:val="008C3EB1"/>
    <w:rsid w:val="008D1DCB"/>
    <w:rsid w:val="008D2B99"/>
    <w:rsid w:val="008D7FA3"/>
    <w:rsid w:val="008E1767"/>
    <w:rsid w:val="008E29B0"/>
    <w:rsid w:val="008E353E"/>
    <w:rsid w:val="008E7ECB"/>
    <w:rsid w:val="008F2134"/>
    <w:rsid w:val="008F5B04"/>
    <w:rsid w:val="008F5B08"/>
    <w:rsid w:val="008F6C9F"/>
    <w:rsid w:val="008F7064"/>
    <w:rsid w:val="008F72E8"/>
    <w:rsid w:val="0090343E"/>
    <w:rsid w:val="00904F72"/>
    <w:rsid w:val="00907D3D"/>
    <w:rsid w:val="00910C93"/>
    <w:rsid w:val="00912A80"/>
    <w:rsid w:val="00920BEC"/>
    <w:rsid w:val="00921B7C"/>
    <w:rsid w:val="00922018"/>
    <w:rsid w:val="00922062"/>
    <w:rsid w:val="009249FC"/>
    <w:rsid w:val="009265FA"/>
    <w:rsid w:val="0092756B"/>
    <w:rsid w:val="00931DD0"/>
    <w:rsid w:val="0093206D"/>
    <w:rsid w:val="00933358"/>
    <w:rsid w:val="0093374C"/>
    <w:rsid w:val="00937E6E"/>
    <w:rsid w:val="009412D3"/>
    <w:rsid w:val="00944A61"/>
    <w:rsid w:val="00946483"/>
    <w:rsid w:val="0096107D"/>
    <w:rsid w:val="00961386"/>
    <w:rsid w:val="00961AB7"/>
    <w:rsid w:val="00962CBC"/>
    <w:rsid w:val="00963952"/>
    <w:rsid w:val="009664F2"/>
    <w:rsid w:val="00967BE5"/>
    <w:rsid w:val="00970BF2"/>
    <w:rsid w:val="009735BD"/>
    <w:rsid w:val="00974146"/>
    <w:rsid w:val="00977301"/>
    <w:rsid w:val="00977375"/>
    <w:rsid w:val="00977C11"/>
    <w:rsid w:val="00987FE9"/>
    <w:rsid w:val="00990086"/>
    <w:rsid w:val="0099026B"/>
    <w:rsid w:val="009902DF"/>
    <w:rsid w:val="009907EF"/>
    <w:rsid w:val="00990C6C"/>
    <w:rsid w:val="0099154D"/>
    <w:rsid w:val="009918BF"/>
    <w:rsid w:val="00992D1B"/>
    <w:rsid w:val="009A0594"/>
    <w:rsid w:val="009A1666"/>
    <w:rsid w:val="009A2B2B"/>
    <w:rsid w:val="009A3C12"/>
    <w:rsid w:val="009A7A6A"/>
    <w:rsid w:val="009B0860"/>
    <w:rsid w:val="009B1188"/>
    <w:rsid w:val="009B2A65"/>
    <w:rsid w:val="009B5D87"/>
    <w:rsid w:val="009C5B3D"/>
    <w:rsid w:val="009C6098"/>
    <w:rsid w:val="009C7EDD"/>
    <w:rsid w:val="009D01E6"/>
    <w:rsid w:val="009D10E8"/>
    <w:rsid w:val="009D39A0"/>
    <w:rsid w:val="009D44E0"/>
    <w:rsid w:val="009D59D8"/>
    <w:rsid w:val="009E61CC"/>
    <w:rsid w:val="009E7A8B"/>
    <w:rsid w:val="009F4DFF"/>
    <w:rsid w:val="009F5156"/>
    <w:rsid w:val="009F75CF"/>
    <w:rsid w:val="009F7A52"/>
    <w:rsid w:val="00A024CF"/>
    <w:rsid w:val="00A02E7A"/>
    <w:rsid w:val="00A13C7C"/>
    <w:rsid w:val="00A13F65"/>
    <w:rsid w:val="00A145DB"/>
    <w:rsid w:val="00A1532A"/>
    <w:rsid w:val="00A15AC8"/>
    <w:rsid w:val="00A202A8"/>
    <w:rsid w:val="00A22CC0"/>
    <w:rsid w:val="00A23DAE"/>
    <w:rsid w:val="00A25212"/>
    <w:rsid w:val="00A304EB"/>
    <w:rsid w:val="00A345A1"/>
    <w:rsid w:val="00A37A06"/>
    <w:rsid w:val="00A42A05"/>
    <w:rsid w:val="00A44709"/>
    <w:rsid w:val="00A455B9"/>
    <w:rsid w:val="00A50D0A"/>
    <w:rsid w:val="00A525C1"/>
    <w:rsid w:val="00A52BBD"/>
    <w:rsid w:val="00A54F41"/>
    <w:rsid w:val="00A5623C"/>
    <w:rsid w:val="00A5625F"/>
    <w:rsid w:val="00A6303E"/>
    <w:rsid w:val="00A64A21"/>
    <w:rsid w:val="00A65558"/>
    <w:rsid w:val="00A66C57"/>
    <w:rsid w:val="00A67420"/>
    <w:rsid w:val="00A6794A"/>
    <w:rsid w:val="00A67A3A"/>
    <w:rsid w:val="00A700CA"/>
    <w:rsid w:val="00A71400"/>
    <w:rsid w:val="00A81C8C"/>
    <w:rsid w:val="00A90E95"/>
    <w:rsid w:val="00A921AB"/>
    <w:rsid w:val="00A92AFB"/>
    <w:rsid w:val="00A945E8"/>
    <w:rsid w:val="00A94633"/>
    <w:rsid w:val="00A96C2B"/>
    <w:rsid w:val="00AA7B53"/>
    <w:rsid w:val="00AB01F2"/>
    <w:rsid w:val="00AB3222"/>
    <w:rsid w:val="00AB49D5"/>
    <w:rsid w:val="00AB5D4B"/>
    <w:rsid w:val="00AB6D22"/>
    <w:rsid w:val="00AC1C06"/>
    <w:rsid w:val="00AD27A2"/>
    <w:rsid w:val="00AD3F63"/>
    <w:rsid w:val="00AE1B1F"/>
    <w:rsid w:val="00AE1DD9"/>
    <w:rsid w:val="00AE3B92"/>
    <w:rsid w:val="00AE6DE2"/>
    <w:rsid w:val="00AE7428"/>
    <w:rsid w:val="00AE7549"/>
    <w:rsid w:val="00AE77D0"/>
    <w:rsid w:val="00AE7F6A"/>
    <w:rsid w:val="00AF492E"/>
    <w:rsid w:val="00AF504D"/>
    <w:rsid w:val="00AF58C4"/>
    <w:rsid w:val="00AF67CC"/>
    <w:rsid w:val="00AF7CFF"/>
    <w:rsid w:val="00B022B0"/>
    <w:rsid w:val="00B04C06"/>
    <w:rsid w:val="00B0506C"/>
    <w:rsid w:val="00B05DB6"/>
    <w:rsid w:val="00B07E39"/>
    <w:rsid w:val="00B12467"/>
    <w:rsid w:val="00B16345"/>
    <w:rsid w:val="00B17590"/>
    <w:rsid w:val="00B17A91"/>
    <w:rsid w:val="00B21DCE"/>
    <w:rsid w:val="00B22A6C"/>
    <w:rsid w:val="00B23A5D"/>
    <w:rsid w:val="00B258D0"/>
    <w:rsid w:val="00B3174A"/>
    <w:rsid w:val="00B36E53"/>
    <w:rsid w:val="00B377F7"/>
    <w:rsid w:val="00B414AD"/>
    <w:rsid w:val="00B42449"/>
    <w:rsid w:val="00B43284"/>
    <w:rsid w:val="00B447EA"/>
    <w:rsid w:val="00B45A0F"/>
    <w:rsid w:val="00B46DEF"/>
    <w:rsid w:val="00B50C44"/>
    <w:rsid w:val="00B5223C"/>
    <w:rsid w:val="00B54311"/>
    <w:rsid w:val="00B662C1"/>
    <w:rsid w:val="00B678FB"/>
    <w:rsid w:val="00B71978"/>
    <w:rsid w:val="00B72B31"/>
    <w:rsid w:val="00B72CCD"/>
    <w:rsid w:val="00B73223"/>
    <w:rsid w:val="00B77FFC"/>
    <w:rsid w:val="00B83203"/>
    <w:rsid w:val="00B9074C"/>
    <w:rsid w:val="00B920D8"/>
    <w:rsid w:val="00B92DEB"/>
    <w:rsid w:val="00B934A4"/>
    <w:rsid w:val="00B94099"/>
    <w:rsid w:val="00B95903"/>
    <w:rsid w:val="00B95C28"/>
    <w:rsid w:val="00B977E3"/>
    <w:rsid w:val="00B97A22"/>
    <w:rsid w:val="00BA6308"/>
    <w:rsid w:val="00BA6930"/>
    <w:rsid w:val="00BB20FD"/>
    <w:rsid w:val="00BB3BFC"/>
    <w:rsid w:val="00BB6E15"/>
    <w:rsid w:val="00BC3A27"/>
    <w:rsid w:val="00BC64BF"/>
    <w:rsid w:val="00BC64F9"/>
    <w:rsid w:val="00BC74EC"/>
    <w:rsid w:val="00BC7FFD"/>
    <w:rsid w:val="00BD04B1"/>
    <w:rsid w:val="00BD2EA3"/>
    <w:rsid w:val="00BD2F3B"/>
    <w:rsid w:val="00BD3BEB"/>
    <w:rsid w:val="00BD4362"/>
    <w:rsid w:val="00BD6972"/>
    <w:rsid w:val="00BD6C5F"/>
    <w:rsid w:val="00BE2513"/>
    <w:rsid w:val="00BE2B59"/>
    <w:rsid w:val="00BE33B2"/>
    <w:rsid w:val="00BE3BB0"/>
    <w:rsid w:val="00BE3CDB"/>
    <w:rsid w:val="00BE7AA4"/>
    <w:rsid w:val="00BF18B9"/>
    <w:rsid w:val="00BF2C0A"/>
    <w:rsid w:val="00BF3015"/>
    <w:rsid w:val="00BF4D14"/>
    <w:rsid w:val="00C00F0D"/>
    <w:rsid w:val="00C03E55"/>
    <w:rsid w:val="00C06687"/>
    <w:rsid w:val="00C070AB"/>
    <w:rsid w:val="00C07385"/>
    <w:rsid w:val="00C079D6"/>
    <w:rsid w:val="00C07D18"/>
    <w:rsid w:val="00C14DE3"/>
    <w:rsid w:val="00C162D8"/>
    <w:rsid w:val="00C20B2A"/>
    <w:rsid w:val="00C21C71"/>
    <w:rsid w:val="00C21EF4"/>
    <w:rsid w:val="00C2355B"/>
    <w:rsid w:val="00C23C60"/>
    <w:rsid w:val="00C34810"/>
    <w:rsid w:val="00C34B95"/>
    <w:rsid w:val="00C40003"/>
    <w:rsid w:val="00C418F2"/>
    <w:rsid w:val="00C41C17"/>
    <w:rsid w:val="00C435C2"/>
    <w:rsid w:val="00C43F16"/>
    <w:rsid w:val="00C4556E"/>
    <w:rsid w:val="00C45E40"/>
    <w:rsid w:val="00C50BB6"/>
    <w:rsid w:val="00C510E8"/>
    <w:rsid w:val="00C52AD0"/>
    <w:rsid w:val="00C52CDD"/>
    <w:rsid w:val="00C533F2"/>
    <w:rsid w:val="00C54BD2"/>
    <w:rsid w:val="00C55A75"/>
    <w:rsid w:val="00C55D20"/>
    <w:rsid w:val="00C615E5"/>
    <w:rsid w:val="00C62D30"/>
    <w:rsid w:val="00C65F26"/>
    <w:rsid w:val="00C67676"/>
    <w:rsid w:val="00C678C6"/>
    <w:rsid w:val="00C70505"/>
    <w:rsid w:val="00C71C02"/>
    <w:rsid w:val="00C72661"/>
    <w:rsid w:val="00C75F13"/>
    <w:rsid w:val="00C807EA"/>
    <w:rsid w:val="00C80929"/>
    <w:rsid w:val="00C80B72"/>
    <w:rsid w:val="00C84806"/>
    <w:rsid w:val="00C85609"/>
    <w:rsid w:val="00C856E8"/>
    <w:rsid w:val="00C869B0"/>
    <w:rsid w:val="00C913FE"/>
    <w:rsid w:val="00C92390"/>
    <w:rsid w:val="00C92B50"/>
    <w:rsid w:val="00C93225"/>
    <w:rsid w:val="00C94A9F"/>
    <w:rsid w:val="00C97FAD"/>
    <w:rsid w:val="00CA0CCA"/>
    <w:rsid w:val="00CA0E49"/>
    <w:rsid w:val="00CA1520"/>
    <w:rsid w:val="00CA2E34"/>
    <w:rsid w:val="00CA508C"/>
    <w:rsid w:val="00CA7BC6"/>
    <w:rsid w:val="00CB14C9"/>
    <w:rsid w:val="00CB2789"/>
    <w:rsid w:val="00CB301F"/>
    <w:rsid w:val="00CB616D"/>
    <w:rsid w:val="00CB671F"/>
    <w:rsid w:val="00CC20C9"/>
    <w:rsid w:val="00CC5BA9"/>
    <w:rsid w:val="00CC7DD2"/>
    <w:rsid w:val="00CD23D4"/>
    <w:rsid w:val="00CD3306"/>
    <w:rsid w:val="00CD380B"/>
    <w:rsid w:val="00CD4751"/>
    <w:rsid w:val="00CD5CCF"/>
    <w:rsid w:val="00CD5FC9"/>
    <w:rsid w:val="00CD780E"/>
    <w:rsid w:val="00CE3027"/>
    <w:rsid w:val="00CE4C24"/>
    <w:rsid w:val="00CE5493"/>
    <w:rsid w:val="00CE54F0"/>
    <w:rsid w:val="00CE75F5"/>
    <w:rsid w:val="00CF06EF"/>
    <w:rsid w:val="00CF0868"/>
    <w:rsid w:val="00CF0A1D"/>
    <w:rsid w:val="00CF3890"/>
    <w:rsid w:val="00CF5287"/>
    <w:rsid w:val="00D0270A"/>
    <w:rsid w:val="00D02A16"/>
    <w:rsid w:val="00D03CA4"/>
    <w:rsid w:val="00D0403D"/>
    <w:rsid w:val="00D05946"/>
    <w:rsid w:val="00D06240"/>
    <w:rsid w:val="00D06C51"/>
    <w:rsid w:val="00D06F48"/>
    <w:rsid w:val="00D141C8"/>
    <w:rsid w:val="00D1457D"/>
    <w:rsid w:val="00D204B1"/>
    <w:rsid w:val="00D20806"/>
    <w:rsid w:val="00D2183E"/>
    <w:rsid w:val="00D222C0"/>
    <w:rsid w:val="00D227EF"/>
    <w:rsid w:val="00D26D31"/>
    <w:rsid w:val="00D319B4"/>
    <w:rsid w:val="00D32364"/>
    <w:rsid w:val="00D33A20"/>
    <w:rsid w:val="00D33D29"/>
    <w:rsid w:val="00D34899"/>
    <w:rsid w:val="00D352D5"/>
    <w:rsid w:val="00D3585B"/>
    <w:rsid w:val="00D3673E"/>
    <w:rsid w:val="00D36AD7"/>
    <w:rsid w:val="00D37960"/>
    <w:rsid w:val="00D41E2D"/>
    <w:rsid w:val="00D44EF4"/>
    <w:rsid w:val="00D5637B"/>
    <w:rsid w:val="00D5795E"/>
    <w:rsid w:val="00D60656"/>
    <w:rsid w:val="00D61220"/>
    <w:rsid w:val="00D61546"/>
    <w:rsid w:val="00D617D4"/>
    <w:rsid w:val="00D623A5"/>
    <w:rsid w:val="00D62C3F"/>
    <w:rsid w:val="00D6700C"/>
    <w:rsid w:val="00D6787A"/>
    <w:rsid w:val="00D73F51"/>
    <w:rsid w:val="00D75157"/>
    <w:rsid w:val="00D75B7F"/>
    <w:rsid w:val="00D76D80"/>
    <w:rsid w:val="00D82062"/>
    <w:rsid w:val="00D8256F"/>
    <w:rsid w:val="00D8261D"/>
    <w:rsid w:val="00D833DA"/>
    <w:rsid w:val="00D84AA8"/>
    <w:rsid w:val="00D85191"/>
    <w:rsid w:val="00D867EA"/>
    <w:rsid w:val="00D90E4F"/>
    <w:rsid w:val="00D91462"/>
    <w:rsid w:val="00D93151"/>
    <w:rsid w:val="00D97BF4"/>
    <w:rsid w:val="00DA1AC4"/>
    <w:rsid w:val="00DA3118"/>
    <w:rsid w:val="00DA4B8A"/>
    <w:rsid w:val="00DA4E12"/>
    <w:rsid w:val="00DA4F5A"/>
    <w:rsid w:val="00DA5823"/>
    <w:rsid w:val="00DA66D5"/>
    <w:rsid w:val="00DB3C4D"/>
    <w:rsid w:val="00DB7079"/>
    <w:rsid w:val="00DB792C"/>
    <w:rsid w:val="00DC06C9"/>
    <w:rsid w:val="00DC4E3E"/>
    <w:rsid w:val="00DC5692"/>
    <w:rsid w:val="00DC6A6D"/>
    <w:rsid w:val="00DC6B23"/>
    <w:rsid w:val="00DD14D0"/>
    <w:rsid w:val="00DD1FD5"/>
    <w:rsid w:val="00DD3309"/>
    <w:rsid w:val="00DD3EAB"/>
    <w:rsid w:val="00DD52E5"/>
    <w:rsid w:val="00DD652E"/>
    <w:rsid w:val="00DD6FAA"/>
    <w:rsid w:val="00DE0A4A"/>
    <w:rsid w:val="00DE143A"/>
    <w:rsid w:val="00DE2AA3"/>
    <w:rsid w:val="00DE41FE"/>
    <w:rsid w:val="00DE4401"/>
    <w:rsid w:val="00DE5718"/>
    <w:rsid w:val="00DF01A0"/>
    <w:rsid w:val="00DF1139"/>
    <w:rsid w:val="00DF3E91"/>
    <w:rsid w:val="00DF6B7C"/>
    <w:rsid w:val="00DF7CCD"/>
    <w:rsid w:val="00E07653"/>
    <w:rsid w:val="00E07A56"/>
    <w:rsid w:val="00E100CF"/>
    <w:rsid w:val="00E10F6E"/>
    <w:rsid w:val="00E15951"/>
    <w:rsid w:val="00E15FBA"/>
    <w:rsid w:val="00E20280"/>
    <w:rsid w:val="00E2211A"/>
    <w:rsid w:val="00E264BD"/>
    <w:rsid w:val="00E26992"/>
    <w:rsid w:val="00E34667"/>
    <w:rsid w:val="00E34DCD"/>
    <w:rsid w:val="00E36BFE"/>
    <w:rsid w:val="00E4063F"/>
    <w:rsid w:val="00E41414"/>
    <w:rsid w:val="00E424A8"/>
    <w:rsid w:val="00E4496A"/>
    <w:rsid w:val="00E45346"/>
    <w:rsid w:val="00E47EEC"/>
    <w:rsid w:val="00E531CC"/>
    <w:rsid w:val="00E53B51"/>
    <w:rsid w:val="00E55C19"/>
    <w:rsid w:val="00E55D5A"/>
    <w:rsid w:val="00E567F9"/>
    <w:rsid w:val="00E60FD9"/>
    <w:rsid w:val="00E611FF"/>
    <w:rsid w:val="00E621DA"/>
    <w:rsid w:val="00E647FD"/>
    <w:rsid w:val="00E64B5F"/>
    <w:rsid w:val="00E655B1"/>
    <w:rsid w:val="00E70E6D"/>
    <w:rsid w:val="00E755C1"/>
    <w:rsid w:val="00E770C7"/>
    <w:rsid w:val="00E83700"/>
    <w:rsid w:val="00E84A66"/>
    <w:rsid w:val="00E8633B"/>
    <w:rsid w:val="00E92F17"/>
    <w:rsid w:val="00E94C6D"/>
    <w:rsid w:val="00E9501F"/>
    <w:rsid w:val="00EA1ABA"/>
    <w:rsid w:val="00EA2387"/>
    <w:rsid w:val="00EA5C84"/>
    <w:rsid w:val="00EA5EDD"/>
    <w:rsid w:val="00EB0A75"/>
    <w:rsid w:val="00EB3F7A"/>
    <w:rsid w:val="00EB54A2"/>
    <w:rsid w:val="00EB6467"/>
    <w:rsid w:val="00EC038E"/>
    <w:rsid w:val="00EC2CEB"/>
    <w:rsid w:val="00EC5EE6"/>
    <w:rsid w:val="00ED136D"/>
    <w:rsid w:val="00ED1D5C"/>
    <w:rsid w:val="00ED3153"/>
    <w:rsid w:val="00ED4A86"/>
    <w:rsid w:val="00ED76E0"/>
    <w:rsid w:val="00EE0235"/>
    <w:rsid w:val="00EE60AB"/>
    <w:rsid w:val="00EE71C3"/>
    <w:rsid w:val="00EF0E3E"/>
    <w:rsid w:val="00EF2CF4"/>
    <w:rsid w:val="00EF428B"/>
    <w:rsid w:val="00EF5ED4"/>
    <w:rsid w:val="00EF6CFA"/>
    <w:rsid w:val="00EF76D1"/>
    <w:rsid w:val="00F00A90"/>
    <w:rsid w:val="00F03239"/>
    <w:rsid w:val="00F050D0"/>
    <w:rsid w:val="00F05AB2"/>
    <w:rsid w:val="00F1007E"/>
    <w:rsid w:val="00F13010"/>
    <w:rsid w:val="00F13B38"/>
    <w:rsid w:val="00F15CD4"/>
    <w:rsid w:val="00F20B0A"/>
    <w:rsid w:val="00F2225B"/>
    <w:rsid w:val="00F271E0"/>
    <w:rsid w:val="00F27405"/>
    <w:rsid w:val="00F278D0"/>
    <w:rsid w:val="00F27ADF"/>
    <w:rsid w:val="00F30F7E"/>
    <w:rsid w:val="00F3378A"/>
    <w:rsid w:val="00F35493"/>
    <w:rsid w:val="00F4046A"/>
    <w:rsid w:val="00F4158B"/>
    <w:rsid w:val="00F41BFD"/>
    <w:rsid w:val="00F42828"/>
    <w:rsid w:val="00F44988"/>
    <w:rsid w:val="00F45751"/>
    <w:rsid w:val="00F471EF"/>
    <w:rsid w:val="00F500FB"/>
    <w:rsid w:val="00F50815"/>
    <w:rsid w:val="00F508CE"/>
    <w:rsid w:val="00F52637"/>
    <w:rsid w:val="00F526C5"/>
    <w:rsid w:val="00F52ADB"/>
    <w:rsid w:val="00F53DB3"/>
    <w:rsid w:val="00F540F2"/>
    <w:rsid w:val="00F568E5"/>
    <w:rsid w:val="00F57161"/>
    <w:rsid w:val="00F61A54"/>
    <w:rsid w:val="00F633FF"/>
    <w:rsid w:val="00F63BC6"/>
    <w:rsid w:val="00F643F9"/>
    <w:rsid w:val="00F646FF"/>
    <w:rsid w:val="00F64D77"/>
    <w:rsid w:val="00F7159E"/>
    <w:rsid w:val="00F767EC"/>
    <w:rsid w:val="00F775CC"/>
    <w:rsid w:val="00F81206"/>
    <w:rsid w:val="00F81A42"/>
    <w:rsid w:val="00F82A4D"/>
    <w:rsid w:val="00F85603"/>
    <w:rsid w:val="00F87957"/>
    <w:rsid w:val="00F941BD"/>
    <w:rsid w:val="00F944C1"/>
    <w:rsid w:val="00F97B5D"/>
    <w:rsid w:val="00F97E7D"/>
    <w:rsid w:val="00FA0228"/>
    <w:rsid w:val="00FA0DB6"/>
    <w:rsid w:val="00FA113F"/>
    <w:rsid w:val="00FA1BBF"/>
    <w:rsid w:val="00FA33DA"/>
    <w:rsid w:val="00FA349F"/>
    <w:rsid w:val="00FB00B6"/>
    <w:rsid w:val="00FB0A6C"/>
    <w:rsid w:val="00FB0AE4"/>
    <w:rsid w:val="00FB20F6"/>
    <w:rsid w:val="00FB4212"/>
    <w:rsid w:val="00FB50FA"/>
    <w:rsid w:val="00FC3050"/>
    <w:rsid w:val="00FC37EA"/>
    <w:rsid w:val="00FC397A"/>
    <w:rsid w:val="00FC3B2D"/>
    <w:rsid w:val="00FC3DA2"/>
    <w:rsid w:val="00FC50A4"/>
    <w:rsid w:val="00FD130D"/>
    <w:rsid w:val="00FD1479"/>
    <w:rsid w:val="00FD45C6"/>
    <w:rsid w:val="00FD6BFB"/>
    <w:rsid w:val="00FD6E1F"/>
    <w:rsid w:val="00FE2242"/>
    <w:rsid w:val="00FE2DD0"/>
    <w:rsid w:val="00FE7D66"/>
    <w:rsid w:val="00FF0E8D"/>
    <w:rsid w:val="00FF109F"/>
    <w:rsid w:val="00FF2805"/>
    <w:rsid w:val="00FF4E21"/>
    <w:rsid w:val="00FF60B0"/>
    <w:rsid w:val="011076DB"/>
    <w:rsid w:val="018A7679"/>
    <w:rsid w:val="0195374C"/>
    <w:rsid w:val="02377C0A"/>
    <w:rsid w:val="02486643"/>
    <w:rsid w:val="024F161E"/>
    <w:rsid w:val="02A50FEA"/>
    <w:rsid w:val="0346086D"/>
    <w:rsid w:val="03AF117E"/>
    <w:rsid w:val="03B40DAE"/>
    <w:rsid w:val="03BB6210"/>
    <w:rsid w:val="03F97CA5"/>
    <w:rsid w:val="040A1CAB"/>
    <w:rsid w:val="04A35D02"/>
    <w:rsid w:val="04D631AD"/>
    <w:rsid w:val="04FB4053"/>
    <w:rsid w:val="05515C0A"/>
    <w:rsid w:val="05613ED6"/>
    <w:rsid w:val="056B5231"/>
    <w:rsid w:val="05B42F17"/>
    <w:rsid w:val="05C72C4A"/>
    <w:rsid w:val="05E74D99"/>
    <w:rsid w:val="05EC5978"/>
    <w:rsid w:val="06013E99"/>
    <w:rsid w:val="062A76DC"/>
    <w:rsid w:val="06477643"/>
    <w:rsid w:val="06736DB3"/>
    <w:rsid w:val="06914EFE"/>
    <w:rsid w:val="06A67635"/>
    <w:rsid w:val="06A962CD"/>
    <w:rsid w:val="06AD24D5"/>
    <w:rsid w:val="06BD35CC"/>
    <w:rsid w:val="06F0378A"/>
    <w:rsid w:val="07117A3E"/>
    <w:rsid w:val="07314C58"/>
    <w:rsid w:val="07554671"/>
    <w:rsid w:val="07705810"/>
    <w:rsid w:val="077223C1"/>
    <w:rsid w:val="07735E64"/>
    <w:rsid w:val="077D1303"/>
    <w:rsid w:val="079F7BAE"/>
    <w:rsid w:val="07D1602E"/>
    <w:rsid w:val="07DA7720"/>
    <w:rsid w:val="086D0CAC"/>
    <w:rsid w:val="089823CA"/>
    <w:rsid w:val="090E6DE2"/>
    <w:rsid w:val="091E3FAF"/>
    <w:rsid w:val="092925A6"/>
    <w:rsid w:val="0937134C"/>
    <w:rsid w:val="094216D1"/>
    <w:rsid w:val="09585E7C"/>
    <w:rsid w:val="09A32550"/>
    <w:rsid w:val="09CD7B8A"/>
    <w:rsid w:val="09D52E1D"/>
    <w:rsid w:val="09FF6A5B"/>
    <w:rsid w:val="0A211992"/>
    <w:rsid w:val="0A4F35C1"/>
    <w:rsid w:val="0A562CBC"/>
    <w:rsid w:val="0A640DAC"/>
    <w:rsid w:val="0A664412"/>
    <w:rsid w:val="0A920902"/>
    <w:rsid w:val="0A9C76A7"/>
    <w:rsid w:val="0AC027B4"/>
    <w:rsid w:val="0AFB78F9"/>
    <w:rsid w:val="0B1B064E"/>
    <w:rsid w:val="0B6F2619"/>
    <w:rsid w:val="0C725662"/>
    <w:rsid w:val="0CBB0AFA"/>
    <w:rsid w:val="0D315E36"/>
    <w:rsid w:val="0DB04F09"/>
    <w:rsid w:val="0E002507"/>
    <w:rsid w:val="0E772D33"/>
    <w:rsid w:val="0EB810AA"/>
    <w:rsid w:val="0ED426D8"/>
    <w:rsid w:val="0EDB0E4E"/>
    <w:rsid w:val="0F021306"/>
    <w:rsid w:val="0F042BC2"/>
    <w:rsid w:val="0F4C6F6C"/>
    <w:rsid w:val="0F5D7C7B"/>
    <w:rsid w:val="0FB21596"/>
    <w:rsid w:val="0FC1532E"/>
    <w:rsid w:val="0FCB1326"/>
    <w:rsid w:val="0FE90477"/>
    <w:rsid w:val="10155044"/>
    <w:rsid w:val="101D336C"/>
    <w:rsid w:val="102B7629"/>
    <w:rsid w:val="1038663B"/>
    <w:rsid w:val="104344BA"/>
    <w:rsid w:val="108E45C0"/>
    <w:rsid w:val="10D7072D"/>
    <w:rsid w:val="10F651FE"/>
    <w:rsid w:val="111B08AD"/>
    <w:rsid w:val="115709B8"/>
    <w:rsid w:val="11B11D4E"/>
    <w:rsid w:val="11CB7D3C"/>
    <w:rsid w:val="12E96050"/>
    <w:rsid w:val="13462B78"/>
    <w:rsid w:val="1357401F"/>
    <w:rsid w:val="13C03A2E"/>
    <w:rsid w:val="13C46A1B"/>
    <w:rsid w:val="13D50C28"/>
    <w:rsid w:val="144136AD"/>
    <w:rsid w:val="14540097"/>
    <w:rsid w:val="145B7AAC"/>
    <w:rsid w:val="148E0333"/>
    <w:rsid w:val="14E84D71"/>
    <w:rsid w:val="151439D2"/>
    <w:rsid w:val="15271BA3"/>
    <w:rsid w:val="15820401"/>
    <w:rsid w:val="15F15587"/>
    <w:rsid w:val="15FC2E71"/>
    <w:rsid w:val="16075A6D"/>
    <w:rsid w:val="1625236D"/>
    <w:rsid w:val="163C5DAC"/>
    <w:rsid w:val="16770B92"/>
    <w:rsid w:val="172C455D"/>
    <w:rsid w:val="1752258F"/>
    <w:rsid w:val="177A5946"/>
    <w:rsid w:val="177A7653"/>
    <w:rsid w:val="17B35E0E"/>
    <w:rsid w:val="17CC3AC0"/>
    <w:rsid w:val="18242446"/>
    <w:rsid w:val="185E1BE6"/>
    <w:rsid w:val="1891783B"/>
    <w:rsid w:val="18AB54FE"/>
    <w:rsid w:val="18CE3850"/>
    <w:rsid w:val="18EE55D3"/>
    <w:rsid w:val="194B07E3"/>
    <w:rsid w:val="19511388"/>
    <w:rsid w:val="196F7427"/>
    <w:rsid w:val="197B574B"/>
    <w:rsid w:val="1992068A"/>
    <w:rsid w:val="19B30892"/>
    <w:rsid w:val="19CA4592"/>
    <w:rsid w:val="19DA3568"/>
    <w:rsid w:val="19E0310D"/>
    <w:rsid w:val="19F134A0"/>
    <w:rsid w:val="1A25409E"/>
    <w:rsid w:val="1A2D405C"/>
    <w:rsid w:val="1A4268EB"/>
    <w:rsid w:val="1A725422"/>
    <w:rsid w:val="1A773603"/>
    <w:rsid w:val="1A8A0611"/>
    <w:rsid w:val="1AC61C6C"/>
    <w:rsid w:val="1AE34B69"/>
    <w:rsid w:val="1AFD1961"/>
    <w:rsid w:val="1B212A56"/>
    <w:rsid w:val="1B883200"/>
    <w:rsid w:val="1BB53913"/>
    <w:rsid w:val="1BBD1F95"/>
    <w:rsid w:val="1BC44288"/>
    <w:rsid w:val="1BC6412C"/>
    <w:rsid w:val="1BDE661C"/>
    <w:rsid w:val="1C0E71DD"/>
    <w:rsid w:val="1C2B3CC1"/>
    <w:rsid w:val="1C512503"/>
    <w:rsid w:val="1CA56461"/>
    <w:rsid w:val="1CA85E8E"/>
    <w:rsid w:val="1CAA35A0"/>
    <w:rsid w:val="1CCC4C67"/>
    <w:rsid w:val="1CD47F5D"/>
    <w:rsid w:val="1D2E6E81"/>
    <w:rsid w:val="1D3D5090"/>
    <w:rsid w:val="1D504A6F"/>
    <w:rsid w:val="1D641CE6"/>
    <w:rsid w:val="1D6848BB"/>
    <w:rsid w:val="1DA032FD"/>
    <w:rsid w:val="1DE63D5D"/>
    <w:rsid w:val="1E001ED4"/>
    <w:rsid w:val="1E193D09"/>
    <w:rsid w:val="1E1F3367"/>
    <w:rsid w:val="1E397CCE"/>
    <w:rsid w:val="1E4C1AE7"/>
    <w:rsid w:val="1E6873E0"/>
    <w:rsid w:val="1E75798F"/>
    <w:rsid w:val="1E7D6144"/>
    <w:rsid w:val="1EE05995"/>
    <w:rsid w:val="1F0A0993"/>
    <w:rsid w:val="1F6D571A"/>
    <w:rsid w:val="1F7A079C"/>
    <w:rsid w:val="1FAB2230"/>
    <w:rsid w:val="1FB0626B"/>
    <w:rsid w:val="1FCD50C6"/>
    <w:rsid w:val="20016916"/>
    <w:rsid w:val="204F50A8"/>
    <w:rsid w:val="205519FE"/>
    <w:rsid w:val="20BC336A"/>
    <w:rsid w:val="20C05DFE"/>
    <w:rsid w:val="20D07FE6"/>
    <w:rsid w:val="21207871"/>
    <w:rsid w:val="21423112"/>
    <w:rsid w:val="21780CEC"/>
    <w:rsid w:val="21C320DF"/>
    <w:rsid w:val="21C91A85"/>
    <w:rsid w:val="21CF5B88"/>
    <w:rsid w:val="21D37AE9"/>
    <w:rsid w:val="21DD32C1"/>
    <w:rsid w:val="21DE15EF"/>
    <w:rsid w:val="21EA6E66"/>
    <w:rsid w:val="21EF2963"/>
    <w:rsid w:val="2214777E"/>
    <w:rsid w:val="221B1A48"/>
    <w:rsid w:val="22A054DD"/>
    <w:rsid w:val="22B053ED"/>
    <w:rsid w:val="22C6798B"/>
    <w:rsid w:val="22CB6212"/>
    <w:rsid w:val="22CF2CE6"/>
    <w:rsid w:val="22DC19AD"/>
    <w:rsid w:val="22E617AB"/>
    <w:rsid w:val="22EF05EE"/>
    <w:rsid w:val="23121320"/>
    <w:rsid w:val="23D40584"/>
    <w:rsid w:val="23DA4F0A"/>
    <w:rsid w:val="23DB104A"/>
    <w:rsid w:val="23E629DD"/>
    <w:rsid w:val="244B787A"/>
    <w:rsid w:val="24652E4D"/>
    <w:rsid w:val="247C0975"/>
    <w:rsid w:val="251B731A"/>
    <w:rsid w:val="257626E2"/>
    <w:rsid w:val="25F07F7D"/>
    <w:rsid w:val="25FC68AA"/>
    <w:rsid w:val="26233A75"/>
    <w:rsid w:val="268B25CD"/>
    <w:rsid w:val="26B26374"/>
    <w:rsid w:val="26B74A9C"/>
    <w:rsid w:val="26EF1BA9"/>
    <w:rsid w:val="27233287"/>
    <w:rsid w:val="27315FC2"/>
    <w:rsid w:val="27AE7E51"/>
    <w:rsid w:val="27BA6EF1"/>
    <w:rsid w:val="28076BC0"/>
    <w:rsid w:val="28886A9D"/>
    <w:rsid w:val="28B07116"/>
    <w:rsid w:val="28CA3F98"/>
    <w:rsid w:val="29196D87"/>
    <w:rsid w:val="29214517"/>
    <w:rsid w:val="29332307"/>
    <w:rsid w:val="29585CB3"/>
    <w:rsid w:val="29592D76"/>
    <w:rsid w:val="297B7FE9"/>
    <w:rsid w:val="298962E5"/>
    <w:rsid w:val="29B03871"/>
    <w:rsid w:val="29C06788"/>
    <w:rsid w:val="2A77521E"/>
    <w:rsid w:val="2A960606"/>
    <w:rsid w:val="2AF10ABC"/>
    <w:rsid w:val="2B0B166C"/>
    <w:rsid w:val="2B0C0F7B"/>
    <w:rsid w:val="2B3E16BF"/>
    <w:rsid w:val="2BB94533"/>
    <w:rsid w:val="2C2662B9"/>
    <w:rsid w:val="2C440C42"/>
    <w:rsid w:val="2C895E77"/>
    <w:rsid w:val="2CEF46B1"/>
    <w:rsid w:val="2D3C231C"/>
    <w:rsid w:val="2D572256"/>
    <w:rsid w:val="2D7E05F7"/>
    <w:rsid w:val="2D934AE7"/>
    <w:rsid w:val="2DCE4F0C"/>
    <w:rsid w:val="2DDC3FC1"/>
    <w:rsid w:val="2E132846"/>
    <w:rsid w:val="2E182FB4"/>
    <w:rsid w:val="2E851886"/>
    <w:rsid w:val="2F4E0DAB"/>
    <w:rsid w:val="2F852CB6"/>
    <w:rsid w:val="2FAA5AD9"/>
    <w:rsid w:val="2FCE154D"/>
    <w:rsid w:val="2FF039F1"/>
    <w:rsid w:val="300D61A9"/>
    <w:rsid w:val="300D7523"/>
    <w:rsid w:val="30424CC0"/>
    <w:rsid w:val="311968B2"/>
    <w:rsid w:val="311E18DD"/>
    <w:rsid w:val="31FC2745"/>
    <w:rsid w:val="320B412F"/>
    <w:rsid w:val="3271734E"/>
    <w:rsid w:val="32965029"/>
    <w:rsid w:val="32A634AF"/>
    <w:rsid w:val="32B921AD"/>
    <w:rsid w:val="32C4038E"/>
    <w:rsid w:val="32CD2E76"/>
    <w:rsid w:val="330E2506"/>
    <w:rsid w:val="331A5AF6"/>
    <w:rsid w:val="333D61ED"/>
    <w:rsid w:val="33A0531B"/>
    <w:rsid w:val="346C234F"/>
    <w:rsid w:val="34930017"/>
    <w:rsid w:val="34B57BF3"/>
    <w:rsid w:val="34F8315A"/>
    <w:rsid w:val="3539149F"/>
    <w:rsid w:val="354032C5"/>
    <w:rsid w:val="358B61B2"/>
    <w:rsid w:val="35970FD9"/>
    <w:rsid w:val="35A61FCC"/>
    <w:rsid w:val="35B35EF5"/>
    <w:rsid w:val="35D928EB"/>
    <w:rsid w:val="36637EBD"/>
    <w:rsid w:val="36660B35"/>
    <w:rsid w:val="36677056"/>
    <w:rsid w:val="36C57546"/>
    <w:rsid w:val="36D3669F"/>
    <w:rsid w:val="3720230B"/>
    <w:rsid w:val="376244E0"/>
    <w:rsid w:val="376C0295"/>
    <w:rsid w:val="377473AF"/>
    <w:rsid w:val="377D670A"/>
    <w:rsid w:val="37A42CEF"/>
    <w:rsid w:val="37A51FCB"/>
    <w:rsid w:val="37AD13F0"/>
    <w:rsid w:val="37DD6436"/>
    <w:rsid w:val="3819180F"/>
    <w:rsid w:val="383876FC"/>
    <w:rsid w:val="38464F82"/>
    <w:rsid w:val="385376B2"/>
    <w:rsid w:val="38A67777"/>
    <w:rsid w:val="38B505BF"/>
    <w:rsid w:val="38BA021A"/>
    <w:rsid w:val="395D64FD"/>
    <w:rsid w:val="39C842CD"/>
    <w:rsid w:val="39D56FB2"/>
    <w:rsid w:val="3A211B28"/>
    <w:rsid w:val="3A400E87"/>
    <w:rsid w:val="3AB33586"/>
    <w:rsid w:val="3ACB4EAA"/>
    <w:rsid w:val="3AEB1C36"/>
    <w:rsid w:val="3B3945E2"/>
    <w:rsid w:val="3B3E31A9"/>
    <w:rsid w:val="3BA565C9"/>
    <w:rsid w:val="3C214DB9"/>
    <w:rsid w:val="3C286BF8"/>
    <w:rsid w:val="3C9E2B6C"/>
    <w:rsid w:val="3CB13235"/>
    <w:rsid w:val="3CCC5833"/>
    <w:rsid w:val="3CEE30A2"/>
    <w:rsid w:val="3CFB113C"/>
    <w:rsid w:val="3D0A54E4"/>
    <w:rsid w:val="3D12385B"/>
    <w:rsid w:val="3D3C61CF"/>
    <w:rsid w:val="3DA75234"/>
    <w:rsid w:val="3DCE4E55"/>
    <w:rsid w:val="3DF03891"/>
    <w:rsid w:val="3E2C5CAE"/>
    <w:rsid w:val="3E920BF6"/>
    <w:rsid w:val="3EB5793B"/>
    <w:rsid w:val="3ED424C0"/>
    <w:rsid w:val="3EE549D1"/>
    <w:rsid w:val="3EF24507"/>
    <w:rsid w:val="3EF26819"/>
    <w:rsid w:val="3F032219"/>
    <w:rsid w:val="3F6D7022"/>
    <w:rsid w:val="40181D19"/>
    <w:rsid w:val="40424744"/>
    <w:rsid w:val="405B1755"/>
    <w:rsid w:val="406A3A67"/>
    <w:rsid w:val="407C0499"/>
    <w:rsid w:val="407C54BA"/>
    <w:rsid w:val="40823610"/>
    <w:rsid w:val="40923879"/>
    <w:rsid w:val="40B0739C"/>
    <w:rsid w:val="40E66D48"/>
    <w:rsid w:val="40E70223"/>
    <w:rsid w:val="411B38EE"/>
    <w:rsid w:val="41234A35"/>
    <w:rsid w:val="41252C1F"/>
    <w:rsid w:val="414832E5"/>
    <w:rsid w:val="41560C26"/>
    <w:rsid w:val="416B6DBE"/>
    <w:rsid w:val="41E9306C"/>
    <w:rsid w:val="421E0B50"/>
    <w:rsid w:val="42A00BEF"/>
    <w:rsid w:val="42C01097"/>
    <w:rsid w:val="42CC0BAF"/>
    <w:rsid w:val="42E26C70"/>
    <w:rsid w:val="42FE0D52"/>
    <w:rsid w:val="432F3AC7"/>
    <w:rsid w:val="43314C51"/>
    <w:rsid w:val="43393571"/>
    <w:rsid w:val="4349799B"/>
    <w:rsid w:val="435D5911"/>
    <w:rsid w:val="43610ED9"/>
    <w:rsid w:val="43837429"/>
    <w:rsid w:val="43865894"/>
    <w:rsid w:val="43A94328"/>
    <w:rsid w:val="43F71F01"/>
    <w:rsid w:val="43FA3A9A"/>
    <w:rsid w:val="440700DA"/>
    <w:rsid w:val="44151381"/>
    <w:rsid w:val="447366E5"/>
    <w:rsid w:val="44AF7F36"/>
    <w:rsid w:val="44BB3AE9"/>
    <w:rsid w:val="44F25238"/>
    <w:rsid w:val="45173EBC"/>
    <w:rsid w:val="455652C2"/>
    <w:rsid w:val="45611A6C"/>
    <w:rsid w:val="45E35183"/>
    <w:rsid w:val="45E66B02"/>
    <w:rsid w:val="45EC5FA1"/>
    <w:rsid w:val="461D3B72"/>
    <w:rsid w:val="46256F3D"/>
    <w:rsid w:val="4687042A"/>
    <w:rsid w:val="46BA7686"/>
    <w:rsid w:val="46C15208"/>
    <w:rsid w:val="46C329DE"/>
    <w:rsid w:val="46D21DA6"/>
    <w:rsid w:val="46D43642"/>
    <w:rsid w:val="47024B89"/>
    <w:rsid w:val="47186D2D"/>
    <w:rsid w:val="475C0019"/>
    <w:rsid w:val="475F6FFF"/>
    <w:rsid w:val="476D72E1"/>
    <w:rsid w:val="47B42327"/>
    <w:rsid w:val="47F030E2"/>
    <w:rsid w:val="481132D5"/>
    <w:rsid w:val="48CC7477"/>
    <w:rsid w:val="490034B4"/>
    <w:rsid w:val="493C15D1"/>
    <w:rsid w:val="494A314E"/>
    <w:rsid w:val="495915E3"/>
    <w:rsid w:val="49B43E29"/>
    <w:rsid w:val="49CA00B7"/>
    <w:rsid w:val="49F23BE3"/>
    <w:rsid w:val="49FB47C4"/>
    <w:rsid w:val="4A4D002A"/>
    <w:rsid w:val="4A5634BA"/>
    <w:rsid w:val="4AF4189F"/>
    <w:rsid w:val="4B095673"/>
    <w:rsid w:val="4B3A4E12"/>
    <w:rsid w:val="4B673FD2"/>
    <w:rsid w:val="4BC35FB7"/>
    <w:rsid w:val="4BD85032"/>
    <w:rsid w:val="4C011FB4"/>
    <w:rsid w:val="4C3214F1"/>
    <w:rsid w:val="4C5778CF"/>
    <w:rsid w:val="4CC457D0"/>
    <w:rsid w:val="4CC615FD"/>
    <w:rsid w:val="4D094D75"/>
    <w:rsid w:val="4D4938D7"/>
    <w:rsid w:val="4D8B67F6"/>
    <w:rsid w:val="4DC311DF"/>
    <w:rsid w:val="4E033EBC"/>
    <w:rsid w:val="4E073C59"/>
    <w:rsid w:val="4E1150AB"/>
    <w:rsid w:val="4E844489"/>
    <w:rsid w:val="4E981050"/>
    <w:rsid w:val="4EBF2383"/>
    <w:rsid w:val="4F753207"/>
    <w:rsid w:val="4FFA401D"/>
    <w:rsid w:val="501E3772"/>
    <w:rsid w:val="50247144"/>
    <w:rsid w:val="502A2248"/>
    <w:rsid w:val="5090127E"/>
    <w:rsid w:val="509F1092"/>
    <w:rsid w:val="50D26870"/>
    <w:rsid w:val="50F87DA8"/>
    <w:rsid w:val="51061FA6"/>
    <w:rsid w:val="51580952"/>
    <w:rsid w:val="51F577C4"/>
    <w:rsid w:val="51FE2935"/>
    <w:rsid w:val="5207218C"/>
    <w:rsid w:val="522B2C66"/>
    <w:rsid w:val="523722E7"/>
    <w:rsid w:val="5308203E"/>
    <w:rsid w:val="534742A2"/>
    <w:rsid w:val="536729D5"/>
    <w:rsid w:val="53A73B70"/>
    <w:rsid w:val="53F51FF0"/>
    <w:rsid w:val="54314539"/>
    <w:rsid w:val="545216AE"/>
    <w:rsid w:val="54752E3E"/>
    <w:rsid w:val="54C77CA4"/>
    <w:rsid w:val="54E1485D"/>
    <w:rsid w:val="54F0443B"/>
    <w:rsid w:val="55105676"/>
    <w:rsid w:val="552A5DC5"/>
    <w:rsid w:val="554F180F"/>
    <w:rsid w:val="56260E7E"/>
    <w:rsid w:val="566864B5"/>
    <w:rsid w:val="56F249AC"/>
    <w:rsid w:val="57281034"/>
    <w:rsid w:val="575936FC"/>
    <w:rsid w:val="576645CF"/>
    <w:rsid w:val="57842062"/>
    <w:rsid w:val="57C42F3C"/>
    <w:rsid w:val="57DC5854"/>
    <w:rsid w:val="580D0F91"/>
    <w:rsid w:val="58281E20"/>
    <w:rsid w:val="58527F9B"/>
    <w:rsid w:val="58593DA3"/>
    <w:rsid w:val="58902D3C"/>
    <w:rsid w:val="589726FF"/>
    <w:rsid w:val="58E01645"/>
    <w:rsid w:val="590160ED"/>
    <w:rsid w:val="5978475D"/>
    <w:rsid w:val="599C096B"/>
    <w:rsid w:val="59AD2AEE"/>
    <w:rsid w:val="59AD507E"/>
    <w:rsid w:val="59B2794E"/>
    <w:rsid w:val="59E6075A"/>
    <w:rsid w:val="5A683267"/>
    <w:rsid w:val="5AD057D8"/>
    <w:rsid w:val="5AEB0435"/>
    <w:rsid w:val="5B12588A"/>
    <w:rsid w:val="5BB20DBA"/>
    <w:rsid w:val="5BC51B9B"/>
    <w:rsid w:val="5BD11200"/>
    <w:rsid w:val="5BD75588"/>
    <w:rsid w:val="5BE2711B"/>
    <w:rsid w:val="5C1B195E"/>
    <w:rsid w:val="5C1D29E3"/>
    <w:rsid w:val="5C416C19"/>
    <w:rsid w:val="5C4C4231"/>
    <w:rsid w:val="5C760D5D"/>
    <w:rsid w:val="5CAE582B"/>
    <w:rsid w:val="5CF07506"/>
    <w:rsid w:val="5CFE7C80"/>
    <w:rsid w:val="5E092631"/>
    <w:rsid w:val="5E54291C"/>
    <w:rsid w:val="5E6F680E"/>
    <w:rsid w:val="5EB4384C"/>
    <w:rsid w:val="5EC53236"/>
    <w:rsid w:val="5EE82429"/>
    <w:rsid w:val="5EF72C6B"/>
    <w:rsid w:val="5F1C2C02"/>
    <w:rsid w:val="5F28433E"/>
    <w:rsid w:val="5F2C01BD"/>
    <w:rsid w:val="5F434264"/>
    <w:rsid w:val="5F8529C6"/>
    <w:rsid w:val="5F98501F"/>
    <w:rsid w:val="5FB77E6B"/>
    <w:rsid w:val="5FBA14AF"/>
    <w:rsid w:val="5FF64C62"/>
    <w:rsid w:val="603040BD"/>
    <w:rsid w:val="60344C7B"/>
    <w:rsid w:val="60544CB9"/>
    <w:rsid w:val="606B08D9"/>
    <w:rsid w:val="60AE780D"/>
    <w:rsid w:val="61333583"/>
    <w:rsid w:val="61A55B6E"/>
    <w:rsid w:val="61CC5A65"/>
    <w:rsid w:val="61CF1286"/>
    <w:rsid w:val="61F63C4B"/>
    <w:rsid w:val="620A5184"/>
    <w:rsid w:val="621A74E5"/>
    <w:rsid w:val="6279080D"/>
    <w:rsid w:val="6283706E"/>
    <w:rsid w:val="631D363E"/>
    <w:rsid w:val="63207313"/>
    <w:rsid w:val="635A2D1A"/>
    <w:rsid w:val="636E5628"/>
    <w:rsid w:val="639F41EB"/>
    <w:rsid w:val="641F4B74"/>
    <w:rsid w:val="648A6C22"/>
    <w:rsid w:val="64A73D00"/>
    <w:rsid w:val="65062218"/>
    <w:rsid w:val="651950AB"/>
    <w:rsid w:val="653A07B7"/>
    <w:rsid w:val="655B67A0"/>
    <w:rsid w:val="659E36CB"/>
    <w:rsid w:val="66065FEC"/>
    <w:rsid w:val="664465A5"/>
    <w:rsid w:val="668E56BC"/>
    <w:rsid w:val="67180FA6"/>
    <w:rsid w:val="67427A3E"/>
    <w:rsid w:val="676C0D96"/>
    <w:rsid w:val="679E23D2"/>
    <w:rsid w:val="68084924"/>
    <w:rsid w:val="6841395C"/>
    <w:rsid w:val="689627D5"/>
    <w:rsid w:val="68C95513"/>
    <w:rsid w:val="68EF1B5A"/>
    <w:rsid w:val="68F06C38"/>
    <w:rsid w:val="692D1AE1"/>
    <w:rsid w:val="69460D57"/>
    <w:rsid w:val="69652E0C"/>
    <w:rsid w:val="69A118B1"/>
    <w:rsid w:val="69BB5C7C"/>
    <w:rsid w:val="69E1587D"/>
    <w:rsid w:val="69EE459B"/>
    <w:rsid w:val="6A0D3435"/>
    <w:rsid w:val="6A523336"/>
    <w:rsid w:val="6A771191"/>
    <w:rsid w:val="6A9B7231"/>
    <w:rsid w:val="6AD3146B"/>
    <w:rsid w:val="6B3A64D2"/>
    <w:rsid w:val="6B480E0D"/>
    <w:rsid w:val="6B52106A"/>
    <w:rsid w:val="6BD014A7"/>
    <w:rsid w:val="6BD91E7B"/>
    <w:rsid w:val="6C042E79"/>
    <w:rsid w:val="6C4E080C"/>
    <w:rsid w:val="6C7D68DC"/>
    <w:rsid w:val="6CAF0EC7"/>
    <w:rsid w:val="6CB27B7A"/>
    <w:rsid w:val="6D387105"/>
    <w:rsid w:val="6D425CFD"/>
    <w:rsid w:val="6D5B583A"/>
    <w:rsid w:val="6D850165"/>
    <w:rsid w:val="6DA12016"/>
    <w:rsid w:val="6DFC7123"/>
    <w:rsid w:val="6E300925"/>
    <w:rsid w:val="6E6B10E2"/>
    <w:rsid w:val="6E7643C5"/>
    <w:rsid w:val="6E9F563F"/>
    <w:rsid w:val="6EB56801"/>
    <w:rsid w:val="6ECF5745"/>
    <w:rsid w:val="6F65392A"/>
    <w:rsid w:val="6F657251"/>
    <w:rsid w:val="6F930E05"/>
    <w:rsid w:val="6F962BC7"/>
    <w:rsid w:val="6F971964"/>
    <w:rsid w:val="6FC40FE0"/>
    <w:rsid w:val="6FC771F3"/>
    <w:rsid w:val="702C48A1"/>
    <w:rsid w:val="703E6382"/>
    <w:rsid w:val="70E34B2E"/>
    <w:rsid w:val="70E7136B"/>
    <w:rsid w:val="712A2343"/>
    <w:rsid w:val="714056A1"/>
    <w:rsid w:val="717A7AAE"/>
    <w:rsid w:val="71934A3D"/>
    <w:rsid w:val="71B65F0C"/>
    <w:rsid w:val="722C37FD"/>
    <w:rsid w:val="725A6005"/>
    <w:rsid w:val="72763367"/>
    <w:rsid w:val="73136438"/>
    <w:rsid w:val="73360277"/>
    <w:rsid w:val="733B5276"/>
    <w:rsid w:val="738A19C7"/>
    <w:rsid w:val="738C1984"/>
    <w:rsid w:val="73F956C1"/>
    <w:rsid w:val="74180435"/>
    <w:rsid w:val="74321579"/>
    <w:rsid w:val="743C0E2B"/>
    <w:rsid w:val="74665B7D"/>
    <w:rsid w:val="7481636F"/>
    <w:rsid w:val="74A519C0"/>
    <w:rsid w:val="74B16DA1"/>
    <w:rsid w:val="74E15348"/>
    <w:rsid w:val="74F00593"/>
    <w:rsid w:val="752E1B6A"/>
    <w:rsid w:val="75435F27"/>
    <w:rsid w:val="7599180F"/>
    <w:rsid w:val="75C426E1"/>
    <w:rsid w:val="75CC66A8"/>
    <w:rsid w:val="75EF2CA2"/>
    <w:rsid w:val="75F52144"/>
    <w:rsid w:val="761D1F25"/>
    <w:rsid w:val="765C4E27"/>
    <w:rsid w:val="765F08AA"/>
    <w:rsid w:val="768844FD"/>
    <w:rsid w:val="76941EAC"/>
    <w:rsid w:val="76971C2A"/>
    <w:rsid w:val="76AA6C3C"/>
    <w:rsid w:val="76CB2972"/>
    <w:rsid w:val="77D901DF"/>
    <w:rsid w:val="7808174F"/>
    <w:rsid w:val="781858F3"/>
    <w:rsid w:val="78800B64"/>
    <w:rsid w:val="788413D0"/>
    <w:rsid w:val="78EE71BC"/>
    <w:rsid w:val="79624073"/>
    <w:rsid w:val="79635569"/>
    <w:rsid w:val="79737F17"/>
    <w:rsid w:val="79851FAD"/>
    <w:rsid w:val="79B3683E"/>
    <w:rsid w:val="7A6D5CF5"/>
    <w:rsid w:val="7A811C8D"/>
    <w:rsid w:val="7A8D5AF2"/>
    <w:rsid w:val="7AD720B3"/>
    <w:rsid w:val="7AF96814"/>
    <w:rsid w:val="7B2B4678"/>
    <w:rsid w:val="7B567CED"/>
    <w:rsid w:val="7B9A137C"/>
    <w:rsid w:val="7C286408"/>
    <w:rsid w:val="7C2D250B"/>
    <w:rsid w:val="7C6A65E7"/>
    <w:rsid w:val="7C6C4FCB"/>
    <w:rsid w:val="7C7A5350"/>
    <w:rsid w:val="7CD074D2"/>
    <w:rsid w:val="7D1A6177"/>
    <w:rsid w:val="7DA63EE4"/>
    <w:rsid w:val="7DC3749B"/>
    <w:rsid w:val="7DC91981"/>
    <w:rsid w:val="7DE73C26"/>
    <w:rsid w:val="7DF83751"/>
    <w:rsid w:val="7E636123"/>
    <w:rsid w:val="7E824719"/>
    <w:rsid w:val="7EBC1948"/>
    <w:rsid w:val="7ED71FB7"/>
    <w:rsid w:val="7F1F6D83"/>
    <w:rsid w:val="7F486B03"/>
    <w:rsid w:val="7F71566D"/>
    <w:rsid w:val="7F717642"/>
    <w:rsid w:val="7F87574A"/>
    <w:rsid w:val="7FBA5A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Lines/>
      <w:widowControl/>
      <w:spacing w:before="340" w:after="330" w:line="578" w:lineRule="auto"/>
      <w:jc w:val="center"/>
      <w:outlineLvl w:val="0"/>
    </w:pPr>
    <w:rPr>
      <w:rFonts w:eastAsia="黑体"/>
      <w:kern w:val="44"/>
      <w:sz w:val="32"/>
      <w:szCs w:val="44"/>
    </w:rPr>
  </w:style>
  <w:style w:type="paragraph" w:styleId="3">
    <w:name w:val="heading 2"/>
    <w:basedOn w:val="1"/>
    <w:next w:val="4"/>
    <w:autoRedefine/>
    <w:qFormat/>
    <w:uiPriority w:val="0"/>
    <w:pPr>
      <w:keepNext/>
      <w:keepLines/>
      <w:tabs>
        <w:tab w:val="left" w:pos="720"/>
      </w:tabs>
      <w:spacing w:before="260" w:after="260" w:line="360" w:lineRule="auto"/>
      <w:jc w:val="center"/>
      <w:outlineLvl w:val="1"/>
    </w:pPr>
    <w:rPr>
      <w:rFonts w:ascii="宋体" w:hAnsi="宋体"/>
      <w:b/>
      <w:bCs/>
      <w:kern w:val="0"/>
      <w:sz w:val="28"/>
      <w:szCs w:val="32"/>
    </w:rPr>
  </w:style>
  <w:style w:type="paragraph" w:styleId="5">
    <w:name w:val="heading 3"/>
    <w:basedOn w:val="1"/>
    <w:next w:val="1"/>
    <w:autoRedefine/>
    <w:qFormat/>
    <w:uiPriority w:val="0"/>
    <w:pPr>
      <w:keepLines/>
      <w:widowControl/>
      <w:tabs>
        <w:tab w:val="left" w:pos="720"/>
      </w:tabs>
      <w:adjustRightInd w:val="0"/>
      <w:snapToGrid w:val="0"/>
      <w:spacing w:before="260" w:after="260" w:line="440" w:lineRule="exact"/>
      <w:ind w:left="821" w:hanging="821" w:hangingChars="342"/>
      <w:jc w:val="center"/>
      <w:outlineLvl w:val="2"/>
    </w:pPr>
    <w:rPr>
      <w:rFonts w:ascii="黑体" w:hAnsi="宋体" w:eastAsia="黑体"/>
      <w:sz w:val="24"/>
      <w:szCs w:val="32"/>
    </w:rPr>
  </w:style>
  <w:style w:type="paragraph" w:styleId="6">
    <w:name w:val="heading 5"/>
    <w:basedOn w:val="1"/>
    <w:next w:val="1"/>
    <w:autoRedefine/>
    <w:qFormat/>
    <w:uiPriority w:val="0"/>
    <w:pPr>
      <w:widowControl/>
      <w:numPr>
        <w:ilvl w:val="4"/>
        <w:numId w:val="1"/>
      </w:numPr>
      <w:spacing w:before="240" w:after="60"/>
      <w:jc w:val="left"/>
      <w:outlineLvl w:val="4"/>
    </w:pPr>
    <w:rPr>
      <w:rFonts w:ascii="Arial" w:hAnsi="Arial"/>
      <w:b/>
      <w:i/>
      <w:kern w:val="0"/>
      <w:sz w:val="26"/>
    </w:rPr>
  </w:style>
  <w:style w:type="paragraph" w:styleId="7">
    <w:name w:val="heading 6"/>
    <w:basedOn w:val="1"/>
    <w:next w:val="1"/>
    <w:autoRedefine/>
    <w:qFormat/>
    <w:uiPriority w:val="0"/>
    <w:pPr>
      <w:widowControl/>
      <w:numPr>
        <w:ilvl w:val="5"/>
        <w:numId w:val="1"/>
      </w:numPr>
      <w:spacing w:before="240" w:after="60"/>
      <w:jc w:val="left"/>
      <w:outlineLvl w:val="5"/>
    </w:pPr>
    <w:rPr>
      <w:rFonts w:ascii="Arial" w:hAnsi="Arial"/>
      <w:b/>
      <w:kern w:val="0"/>
      <w:sz w:val="24"/>
    </w:rPr>
  </w:style>
  <w:style w:type="paragraph" w:styleId="8">
    <w:name w:val="heading 7"/>
    <w:basedOn w:val="1"/>
    <w:next w:val="1"/>
    <w:autoRedefine/>
    <w:qFormat/>
    <w:uiPriority w:val="0"/>
    <w:pPr>
      <w:keepNext/>
      <w:keepLines/>
      <w:widowControl/>
      <w:spacing w:before="240" w:after="64" w:line="320" w:lineRule="auto"/>
      <w:jc w:val="left"/>
      <w:outlineLvl w:val="6"/>
    </w:pPr>
    <w:rPr>
      <w:b/>
      <w:bCs/>
      <w:kern w:val="0"/>
      <w:sz w:val="24"/>
      <w:szCs w:val="24"/>
    </w:rPr>
  </w:style>
  <w:style w:type="paragraph" w:styleId="9">
    <w:name w:val="heading 8"/>
    <w:basedOn w:val="1"/>
    <w:next w:val="1"/>
    <w:autoRedefine/>
    <w:qFormat/>
    <w:uiPriority w:val="0"/>
    <w:pPr>
      <w:keepNext/>
      <w:keepLines/>
      <w:widowControl/>
      <w:spacing w:before="240" w:after="64" w:line="320" w:lineRule="auto"/>
      <w:jc w:val="left"/>
      <w:outlineLvl w:val="7"/>
    </w:pPr>
    <w:rPr>
      <w:rFonts w:ascii="Arial" w:hAnsi="Arial" w:eastAsia="黑体"/>
      <w:kern w:val="0"/>
      <w:sz w:val="24"/>
      <w:szCs w:val="24"/>
    </w:rPr>
  </w:style>
  <w:style w:type="paragraph" w:styleId="10">
    <w:name w:val="heading 9"/>
    <w:basedOn w:val="1"/>
    <w:next w:val="1"/>
    <w:autoRedefine/>
    <w:qFormat/>
    <w:uiPriority w:val="0"/>
    <w:pPr>
      <w:keepNext/>
      <w:keepLines/>
      <w:widowControl/>
      <w:spacing w:before="240" w:after="64" w:line="320" w:lineRule="auto"/>
      <w:jc w:val="left"/>
      <w:outlineLvl w:val="8"/>
    </w:pPr>
    <w:rPr>
      <w:rFonts w:ascii="Arial" w:hAnsi="Arial" w:eastAsia="黑体"/>
      <w:kern w:val="0"/>
      <w:szCs w:val="21"/>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4">
    <w:name w:val="toa heading"/>
    <w:basedOn w:val="1"/>
    <w:next w:val="1"/>
    <w:autoRedefine/>
    <w:semiHidden/>
    <w:qFormat/>
    <w:uiPriority w:val="0"/>
    <w:pPr>
      <w:spacing w:before="120"/>
    </w:pPr>
    <w:rPr>
      <w:rFonts w:ascii="Arial" w:hAnsi="Arial" w:cs="Arial"/>
      <w:sz w:val="24"/>
      <w:szCs w:val="24"/>
    </w:rPr>
  </w:style>
  <w:style w:type="paragraph" w:styleId="11">
    <w:name w:val="Normal Indent"/>
    <w:basedOn w:val="1"/>
    <w:autoRedefine/>
    <w:qFormat/>
    <w:uiPriority w:val="0"/>
    <w:pPr>
      <w:spacing w:line="360" w:lineRule="auto"/>
      <w:ind w:firstLine="420"/>
    </w:pPr>
    <w:rPr>
      <w:sz w:val="24"/>
      <w:szCs w:val="24"/>
    </w:rPr>
  </w:style>
  <w:style w:type="paragraph" w:styleId="12">
    <w:name w:val="annotation text"/>
    <w:basedOn w:val="1"/>
    <w:autoRedefine/>
    <w:qFormat/>
    <w:uiPriority w:val="0"/>
    <w:pPr>
      <w:adjustRightInd w:val="0"/>
      <w:spacing w:line="360" w:lineRule="atLeast"/>
      <w:jc w:val="left"/>
      <w:textAlignment w:val="baseline"/>
    </w:pPr>
    <w:rPr>
      <w:kern w:val="0"/>
      <w:sz w:val="24"/>
    </w:rPr>
  </w:style>
  <w:style w:type="paragraph" w:styleId="13">
    <w:name w:val="Body Text"/>
    <w:basedOn w:val="1"/>
    <w:next w:val="14"/>
    <w:autoRedefine/>
    <w:qFormat/>
    <w:uiPriority w:val="0"/>
    <w:rPr>
      <w:rFonts w:ascii="宋体" w:hAnsi="宋体"/>
      <w:sz w:val="24"/>
      <w:szCs w:val="24"/>
    </w:rPr>
  </w:style>
  <w:style w:type="paragraph" w:styleId="14">
    <w:name w:val="Body Text 2"/>
    <w:basedOn w:val="1"/>
    <w:autoRedefine/>
    <w:qFormat/>
    <w:uiPriority w:val="0"/>
    <w:rPr>
      <w:rFonts w:ascii="宋体" w:hAnsi="宋体"/>
      <w:sz w:val="28"/>
      <w:szCs w:val="24"/>
    </w:rPr>
  </w:style>
  <w:style w:type="paragraph" w:styleId="15">
    <w:name w:val="Body Text Indent"/>
    <w:basedOn w:val="1"/>
    <w:autoRedefine/>
    <w:qFormat/>
    <w:uiPriority w:val="0"/>
    <w:pPr>
      <w:ind w:firstLine="560" w:firstLineChars="200"/>
    </w:pPr>
    <w:rPr>
      <w:rFonts w:ascii="宋体" w:hAnsi="宋体"/>
      <w:sz w:val="28"/>
      <w:szCs w:val="24"/>
    </w:rPr>
  </w:style>
  <w:style w:type="paragraph" w:styleId="16">
    <w:name w:val="Plain Text"/>
    <w:basedOn w:val="1"/>
    <w:link w:val="91"/>
    <w:autoRedefine/>
    <w:qFormat/>
    <w:uiPriority w:val="0"/>
    <w:rPr>
      <w:rFonts w:ascii="宋体" w:hAnsi="Courier New"/>
      <w:szCs w:val="24"/>
    </w:rPr>
  </w:style>
  <w:style w:type="paragraph" w:styleId="17">
    <w:name w:val="Date"/>
    <w:basedOn w:val="1"/>
    <w:next w:val="1"/>
    <w:autoRedefine/>
    <w:qFormat/>
    <w:uiPriority w:val="0"/>
    <w:pPr>
      <w:ind w:left="100" w:leftChars="2500"/>
    </w:pPr>
    <w:rPr>
      <w:rFonts w:ascii="宋体" w:hAnsi="宋体"/>
      <w:sz w:val="28"/>
      <w:szCs w:val="24"/>
    </w:rPr>
  </w:style>
  <w:style w:type="paragraph" w:styleId="18">
    <w:name w:val="Body Text Indent 2"/>
    <w:basedOn w:val="1"/>
    <w:autoRedefine/>
    <w:qFormat/>
    <w:uiPriority w:val="0"/>
    <w:pPr>
      <w:ind w:left="360"/>
    </w:pPr>
    <w:rPr>
      <w:sz w:val="24"/>
      <w:szCs w:val="24"/>
    </w:rPr>
  </w:style>
  <w:style w:type="paragraph" w:styleId="19">
    <w:name w:val="Balloon Text"/>
    <w:basedOn w:val="1"/>
    <w:link w:val="90"/>
    <w:autoRedefine/>
    <w:semiHidden/>
    <w:qFormat/>
    <w:uiPriority w:val="0"/>
    <w:rPr>
      <w:sz w:val="18"/>
      <w:szCs w:val="18"/>
    </w:rPr>
  </w:style>
  <w:style w:type="paragraph" w:styleId="20">
    <w:name w:val="footer"/>
    <w:basedOn w:val="1"/>
    <w:autoRedefine/>
    <w:qFormat/>
    <w:uiPriority w:val="0"/>
    <w:pPr>
      <w:tabs>
        <w:tab w:val="center" w:pos="4153"/>
        <w:tab w:val="right" w:pos="8306"/>
      </w:tabs>
      <w:snapToGrid w:val="0"/>
      <w:jc w:val="left"/>
    </w:pPr>
    <w:rPr>
      <w:sz w:val="18"/>
    </w:rPr>
  </w:style>
  <w:style w:type="paragraph" w:styleId="2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2">
    <w:name w:val="toc 1"/>
    <w:basedOn w:val="1"/>
    <w:next w:val="1"/>
    <w:autoRedefine/>
    <w:qFormat/>
    <w:uiPriority w:val="0"/>
    <w:pPr>
      <w:tabs>
        <w:tab w:val="right" w:leader="dot" w:pos="8505"/>
      </w:tabs>
      <w:spacing w:line="500" w:lineRule="exact"/>
    </w:pPr>
    <w:rPr>
      <w:rFonts w:ascii="宋体" w:hAnsi="宋体" w:eastAsia="仿宋_GB2312"/>
      <w:b/>
      <w:sz w:val="24"/>
      <w:szCs w:val="24"/>
    </w:rPr>
  </w:style>
  <w:style w:type="paragraph" w:styleId="23">
    <w:name w:val="index heading"/>
    <w:basedOn w:val="1"/>
    <w:next w:val="24"/>
    <w:qFormat/>
    <w:uiPriority w:val="0"/>
    <w:pPr>
      <w:adjustRightInd/>
      <w:spacing w:line="240" w:lineRule="auto"/>
      <w:textAlignment w:val="auto"/>
    </w:pPr>
    <w:rPr>
      <w:kern w:val="2"/>
      <w:szCs w:val="21"/>
    </w:rPr>
  </w:style>
  <w:style w:type="paragraph" w:styleId="24">
    <w:name w:val="index 1"/>
    <w:basedOn w:val="1"/>
    <w:next w:val="1"/>
    <w:qFormat/>
    <w:uiPriority w:val="0"/>
  </w:style>
  <w:style w:type="paragraph" w:styleId="25">
    <w:name w:val="Body Text Indent 3"/>
    <w:basedOn w:val="1"/>
    <w:autoRedefine/>
    <w:qFormat/>
    <w:uiPriority w:val="0"/>
    <w:pPr>
      <w:keepLines/>
      <w:widowControl/>
      <w:tabs>
        <w:tab w:val="left" w:pos="1004"/>
      </w:tabs>
      <w:spacing w:line="360" w:lineRule="auto"/>
      <w:ind w:left="1079" w:leftChars="514"/>
    </w:pPr>
    <w:rPr>
      <w:rFonts w:ascii="宋体" w:hAnsi="宋体"/>
      <w:bCs/>
      <w:szCs w:val="24"/>
    </w:rPr>
  </w:style>
  <w:style w:type="paragraph" w:styleId="26">
    <w:name w:val="toc 2"/>
    <w:basedOn w:val="1"/>
    <w:next w:val="1"/>
    <w:autoRedefine/>
    <w:semiHidden/>
    <w:qFormat/>
    <w:uiPriority w:val="0"/>
    <w:pPr>
      <w:ind w:left="420" w:leftChars="200"/>
    </w:pPr>
  </w:style>
  <w:style w:type="paragraph" w:styleId="27">
    <w:name w:val="Normal (Web)"/>
    <w:basedOn w:val="1"/>
    <w:autoRedefine/>
    <w:qFormat/>
    <w:uiPriority w:val="0"/>
    <w:pPr>
      <w:widowControl/>
      <w:spacing w:before="100" w:beforeAutospacing="1" w:after="100" w:afterAutospacing="1"/>
      <w:jc w:val="left"/>
    </w:pPr>
    <w:rPr>
      <w:rFonts w:ascii="宋体" w:hAnsi="宋体"/>
      <w:color w:val="000000"/>
      <w:kern w:val="0"/>
      <w:sz w:val="24"/>
      <w:szCs w:val="24"/>
    </w:rPr>
  </w:style>
  <w:style w:type="paragraph" w:styleId="28">
    <w:name w:val="Title"/>
    <w:basedOn w:val="1"/>
    <w:link w:val="88"/>
    <w:autoRedefine/>
    <w:qFormat/>
    <w:uiPriority w:val="0"/>
    <w:pPr>
      <w:jc w:val="center"/>
    </w:pPr>
    <w:rPr>
      <w:rFonts w:ascii="Cambria" w:hAnsi="Cambria"/>
      <w:b/>
      <w:bCs/>
      <w:sz w:val="32"/>
      <w:szCs w:val="32"/>
    </w:rPr>
  </w:style>
  <w:style w:type="paragraph" w:styleId="29">
    <w:name w:val="Body Text First Indent 2"/>
    <w:basedOn w:val="15"/>
    <w:next w:val="30"/>
    <w:autoRedefine/>
    <w:qFormat/>
    <w:uiPriority w:val="0"/>
    <w:pPr>
      <w:spacing w:after="120"/>
      <w:ind w:left="420" w:leftChars="200" w:firstLine="420"/>
    </w:pPr>
    <w:rPr>
      <w:rFonts w:ascii="仿宋_GB2312" w:hAnsi="Times New Roman" w:eastAsia="仿宋_GB2312"/>
      <w:sz w:val="32"/>
      <w:szCs w:val="32"/>
    </w:rPr>
  </w:style>
  <w:style w:type="paragraph" w:customStyle="1" w:styleId="30">
    <w:name w:val="*正文"/>
    <w:basedOn w:val="1"/>
    <w:qFormat/>
    <w:uiPriority w:val="0"/>
    <w:pPr>
      <w:spacing w:line="360" w:lineRule="auto"/>
      <w:ind w:firstLine="480"/>
    </w:pPr>
    <w:rPr>
      <w:rFonts w:hAnsi="宋体" w:cs="仿宋_GB2312"/>
      <w:color w:val="000000"/>
      <w:sz w:val="24"/>
    </w:rPr>
  </w:style>
  <w:style w:type="table" w:styleId="32">
    <w:name w:val="Table Grid"/>
    <w:basedOn w:val="3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autoRedefine/>
    <w:qFormat/>
    <w:uiPriority w:val="0"/>
    <w:rPr>
      <w:b/>
      <w:bCs/>
    </w:rPr>
  </w:style>
  <w:style w:type="character" w:styleId="35">
    <w:name w:val="page number"/>
    <w:basedOn w:val="33"/>
    <w:autoRedefine/>
    <w:qFormat/>
    <w:uiPriority w:val="0"/>
  </w:style>
  <w:style w:type="character" w:styleId="36">
    <w:name w:val="Emphasis"/>
    <w:autoRedefine/>
    <w:qFormat/>
    <w:uiPriority w:val="0"/>
    <w:rPr>
      <w:i/>
      <w:iCs/>
    </w:rPr>
  </w:style>
  <w:style w:type="character" w:styleId="37">
    <w:name w:val="Hyperlink"/>
    <w:autoRedefine/>
    <w:qFormat/>
    <w:uiPriority w:val="0"/>
    <w:rPr>
      <w:color w:val="0000FF"/>
      <w:u w:val="single"/>
    </w:rPr>
  </w:style>
  <w:style w:type="paragraph" w:customStyle="1" w:styleId="38">
    <w:name w:val="正文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
    <w:name w:val="_Style 5"/>
    <w:basedOn w:val="1"/>
    <w:autoRedefine/>
    <w:qFormat/>
    <w:uiPriority w:val="0"/>
    <w:rPr>
      <w:szCs w:val="24"/>
    </w:rPr>
  </w:style>
  <w:style w:type="paragraph" w:customStyle="1" w:styleId="40">
    <w:name w:val="正文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页眉 New New"/>
    <w:basedOn w:val="42"/>
    <w:autoRedefine/>
    <w:qFormat/>
    <w:uiPriority w:val="0"/>
    <w:pPr>
      <w:pBdr>
        <w:bottom w:val="single" w:color="auto" w:sz="6" w:space="1"/>
      </w:pBdr>
      <w:adjustRightInd w:val="0"/>
      <w:spacing w:line="240" w:lineRule="atLeast"/>
      <w:ind w:left="559" w:hanging="559" w:hangingChars="233"/>
      <w:textAlignment w:val="baseline"/>
    </w:pPr>
    <w:rPr>
      <w:rFonts w:ascii="宋体"/>
      <w:kern w:val="0"/>
      <w:sz w:val="24"/>
    </w:rPr>
  </w:style>
  <w:style w:type="paragraph" w:customStyle="1" w:styleId="42">
    <w:name w:val="正文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
    <w:name w:val="页眉 New New New New New"/>
    <w:basedOn w:val="44"/>
    <w:autoRedefine/>
    <w:qFormat/>
    <w:uiPriority w:val="0"/>
    <w:pPr>
      <w:pBdr>
        <w:bottom w:val="single" w:color="auto" w:sz="6" w:space="1"/>
      </w:pBdr>
      <w:adjustRightInd w:val="0"/>
      <w:spacing w:line="240" w:lineRule="atLeast"/>
      <w:ind w:left="559" w:hanging="559" w:hangingChars="233"/>
      <w:textAlignment w:val="baseline"/>
    </w:pPr>
    <w:rPr>
      <w:rFonts w:ascii="宋体"/>
      <w:kern w:val="0"/>
      <w:sz w:val="24"/>
    </w:rPr>
  </w:style>
  <w:style w:type="paragraph" w:customStyle="1" w:styleId="44">
    <w:name w:val="正文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5">
    <w:name w:val="页眉 New New New New New New New"/>
    <w:basedOn w:val="46"/>
    <w:autoRedefine/>
    <w:qFormat/>
    <w:uiPriority w:val="0"/>
    <w:pPr>
      <w:pBdr>
        <w:bottom w:val="single" w:color="auto" w:sz="6" w:space="1"/>
      </w:pBdr>
      <w:adjustRightInd w:val="0"/>
      <w:spacing w:line="240" w:lineRule="atLeast"/>
      <w:ind w:left="559" w:hanging="559" w:hangingChars="233"/>
      <w:textAlignment w:val="baseline"/>
    </w:pPr>
    <w:rPr>
      <w:rFonts w:ascii="宋体"/>
      <w:kern w:val="0"/>
      <w:sz w:val="24"/>
    </w:rPr>
  </w:style>
  <w:style w:type="paragraph" w:customStyle="1" w:styleId="46">
    <w:name w:val="正文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7">
    <w:name w:val="页脚 New New New New New New New New New New"/>
    <w:basedOn w:val="48"/>
    <w:autoRedefine/>
    <w:qFormat/>
    <w:uiPriority w:val="0"/>
    <w:pPr>
      <w:tabs>
        <w:tab w:val="center" w:pos="4153"/>
        <w:tab w:val="right" w:pos="8306"/>
      </w:tabs>
      <w:snapToGrid w:val="0"/>
      <w:jc w:val="left"/>
    </w:pPr>
    <w:rPr>
      <w:sz w:val="18"/>
    </w:rPr>
  </w:style>
  <w:style w:type="paragraph" w:customStyle="1" w:styleId="48">
    <w:name w:val="正文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9">
    <w:name w:val="普通(网站) New"/>
    <w:basedOn w:val="50"/>
    <w:autoRedefine/>
    <w:qFormat/>
    <w:uiPriority w:val="0"/>
    <w:pPr>
      <w:widowControl/>
      <w:spacing w:before="100" w:beforeAutospacing="1" w:after="100" w:afterAutospacing="1"/>
      <w:jc w:val="left"/>
    </w:pPr>
    <w:rPr>
      <w:rFonts w:ascii="宋体" w:hAnsi="宋体"/>
      <w:color w:val="000000"/>
      <w:kern w:val="0"/>
      <w:sz w:val="24"/>
    </w:rPr>
  </w:style>
  <w:style w:type="paragraph" w:customStyle="1" w:styleId="50">
    <w:name w:val="正文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
    <w:name w:val="页脚 New New New New New New New"/>
    <w:basedOn w:val="46"/>
    <w:autoRedefine/>
    <w:qFormat/>
    <w:uiPriority w:val="0"/>
    <w:pPr>
      <w:tabs>
        <w:tab w:val="center" w:pos="4153"/>
        <w:tab w:val="right" w:pos="8306"/>
      </w:tabs>
      <w:snapToGrid w:val="0"/>
      <w:jc w:val="left"/>
    </w:pPr>
    <w:rPr>
      <w:sz w:val="18"/>
    </w:rPr>
  </w:style>
  <w:style w:type="paragraph" w:customStyle="1" w:styleId="52">
    <w:name w:val="页脚 New New New"/>
    <w:basedOn w:val="53"/>
    <w:autoRedefine/>
    <w:qFormat/>
    <w:uiPriority w:val="0"/>
    <w:pPr>
      <w:tabs>
        <w:tab w:val="center" w:pos="4153"/>
        <w:tab w:val="right" w:pos="8306"/>
      </w:tabs>
      <w:snapToGrid w:val="0"/>
      <w:jc w:val="left"/>
    </w:pPr>
    <w:rPr>
      <w:sz w:val="18"/>
    </w:rPr>
  </w:style>
  <w:style w:type="paragraph" w:customStyle="1" w:styleId="53">
    <w:name w:val="正文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4">
    <w:name w:val="正文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5">
    <w:name w:val="样式 标题 3 + (中文) 黑体 小四 非加粗 段前: 7.8 磅 段后: 0 磅 行距: 固定值 20 磅"/>
    <w:basedOn w:val="5"/>
    <w:autoRedefine/>
    <w:qFormat/>
    <w:uiPriority w:val="0"/>
    <w:pPr>
      <w:spacing w:before="0" w:after="0" w:line="400" w:lineRule="exact"/>
    </w:pPr>
    <w:rPr>
      <w:rFonts w:cs="宋体"/>
      <w:b/>
      <w:bCs/>
      <w:szCs w:val="20"/>
    </w:rPr>
  </w:style>
  <w:style w:type="paragraph" w:customStyle="1" w:styleId="56">
    <w:name w:val="_Style 8"/>
    <w:basedOn w:val="1"/>
    <w:next w:val="25"/>
    <w:autoRedefine/>
    <w:qFormat/>
    <w:uiPriority w:val="0"/>
    <w:pPr>
      <w:spacing w:line="360" w:lineRule="auto"/>
      <w:ind w:firstLine="632"/>
    </w:pPr>
    <w:rPr>
      <w:rFonts w:ascii="黑体" w:eastAsia="黑体"/>
      <w:sz w:val="28"/>
    </w:rPr>
  </w:style>
  <w:style w:type="paragraph" w:customStyle="1" w:styleId="57">
    <w:name w:val="正文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8">
    <w:name w:val="页脚 New New New New New New New New New"/>
    <w:basedOn w:val="59"/>
    <w:autoRedefine/>
    <w:qFormat/>
    <w:uiPriority w:val="0"/>
    <w:pPr>
      <w:tabs>
        <w:tab w:val="center" w:pos="4153"/>
        <w:tab w:val="right" w:pos="8306"/>
      </w:tabs>
      <w:snapToGrid w:val="0"/>
      <w:jc w:val="left"/>
    </w:pPr>
    <w:rPr>
      <w:sz w:val="18"/>
    </w:rPr>
  </w:style>
  <w:style w:type="paragraph" w:customStyle="1" w:styleId="59">
    <w:name w:val="正文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0">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1">
    <w:name w:val="页眉 New"/>
    <w:basedOn w:val="60"/>
    <w:autoRedefine/>
    <w:qFormat/>
    <w:uiPriority w:val="0"/>
    <w:pPr>
      <w:pBdr>
        <w:bottom w:val="single" w:color="auto" w:sz="6" w:space="1"/>
      </w:pBdr>
      <w:adjustRightInd w:val="0"/>
      <w:spacing w:line="240" w:lineRule="atLeast"/>
      <w:ind w:left="559" w:hanging="559" w:hangingChars="233"/>
      <w:textAlignment w:val="baseline"/>
    </w:pPr>
    <w:rPr>
      <w:rFonts w:ascii="宋体"/>
      <w:kern w:val="0"/>
      <w:sz w:val="24"/>
    </w:rPr>
  </w:style>
  <w:style w:type="paragraph" w:customStyle="1" w:styleId="62">
    <w:name w:val="普通(网站) New New"/>
    <w:basedOn w:val="40"/>
    <w:autoRedefine/>
    <w:qFormat/>
    <w:uiPriority w:val="0"/>
    <w:pPr>
      <w:widowControl/>
      <w:spacing w:before="100" w:beforeAutospacing="1" w:after="100" w:afterAutospacing="1"/>
      <w:jc w:val="left"/>
    </w:pPr>
    <w:rPr>
      <w:rFonts w:ascii="宋体" w:hAnsi="宋体"/>
      <w:color w:val="000000"/>
      <w:kern w:val="0"/>
      <w:sz w:val="24"/>
    </w:rPr>
  </w:style>
  <w:style w:type="paragraph" w:customStyle="1" w:styleId="63">
    <w:name w:val="页眉 New New New New New New New New"/>
    <w:basedOn w:val="57"/>
    <w:autoRedefine/>
    <w:qFormat/>
    <w:uiPriority w:val="0"/>
    <w:pPr>
      <w:pBdr>
        <w:bottom w:val="single" w:color="auto" w:sz="6" w:space="1"/>
      </w:pBdr>
      <w:adjustRightInd w:val="0"/>
      <w:spacing w:line="240" w:lineRule="atLeast"/>
      <w:ind w:left="559" w:hanging="559" w:hangingChars="233"/>
      <w:textAlignment w:val="baseline"/>
    </w:pPr>
    <w:rPr>
      <w:rFonts w:ascii="宋体"/>
      <w:kern w:val="0"/>
      <w:sz w:val="24"/>
    </w:rPr>
  </w:style>
  <w:style w:type="paragraph" w:customStyle="1" w:styleId="64">
    <w:name w:val="页脚 New New New New New New New New"/>
    <w:basedOn w:val="57"/>
    <w:autoRedefine/>
    <w:qFormat/>
    <w:uiPriority w:val="0"/>
    <w:pPr>
      <w:tabs>
        <w:tab w:val="center" w:pos="4153"/>
        <w:tab w:val="right" w:pos="8306"/>
      </w:tabs>
      <w:snapToGrid w:val="0"/>
      <w:jc w:val="left"/>
    </w:pPr>
    <w:rPr>
      <w:sz w:val="18"/>
    </w:rPr>
  </w:style>
  <w:style w:type="paragraph" w:customStyle="1" w:styleId="65">
    <w:name w:val="页眉 New New New New New New New New New New"/>
    <w:basedOn w:val="48"/>
    <w:autoRedefine/>
    <w:qFormat/>
    <w:uiPriority w:val="0"/>
    <w:pPr>
      <w:pBdr>
        <w:bottom w:val="single" w:color="auto" w:sz="6" w:space="1"/>
      </w:pBdr>
      <w:adjustRightInd w:val="0"/>
      <w:spacing w:line="240" w:lineRule="atLeast"/>
      <w:ind w:left="559" w:hanging="559" w:hangingChars="233"/>
      <w:textAlignment w:val="baseline"/>
    </w:pPr>
    <w:rPr>
      <w:rFonts w:ascii="宋体"/>
      <w:kern w:val="0"/>
      <w:sz w:val="24"/>
    </w:rPr>
  </w:style>
  <w:style w:type="paragraph" w:customStyle="1" w:styleId="66">
    <w:name w:val="页眉 New New New New New New New New New"/>
    <w:basedOn w:val="59"/>
    <w:autoRedefine/>
    <w:qFormat/>
    <w:uiPriority w:val="0"/>
    <w:pPr>
      <w:pBdr>
        <w:bottom w:val="single" w:color="auto" w:sz="6" w:space="1"/>
      </w:pBdr>
      <w:adjustRightInd w:val="0"/>
      <w:spacing w:line="240" w:lineRule="atLeast"/>
      <w:ind w:left="559" w:hanging="559" w:hangingChars="233"/>
      <w:textAlignment w:val="baseline"/>
    </w:pPr>
    <w:rPr>
      <w:rFonts w:ascii="宋体"/>
      <w:kern w:val="0"/>
      <w:sz w:val="24"/>
    </w:rPr>
  </w:style>
  <w:style w:type="paragraph" w:customStyle="1" w:styleId="67">
    <w:name w:val="reader-word-layer reader-word-s1-18"/>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68">
    <w:name w:val="正文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9">
    <w:name w:val="页脚 New New"/>
    <w:basedOn w:val="42"/>
    <w:autoRedefine/>
    <w:qFormat/>
    <w:uiPriority w:val="0"/>
    <w:pPr>
      <w:tabs>
        <w:tab w:val="center" w:pos="4153"/>
        <w:tab w:val="right" w:pos="8306"/>
      </w:tabs>
      <w:snapToGrid w:val="0"/>
      <w:jc w:val="left"/>
    </w:pPr>
    <w:rPr>
      <w:sz w:val="18"/>
    </w:rPr>
  </w:style>
  <w:style w:type="paragraph" w:customStyle="1" w:styleId="70">
    <w:name w:val="正文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1">
    <w:name w:val="Char"/>
    <w:basedOn w:val="1"/>
    <w:autoRedefine/>
    <w:qFormat/>
    <w:uiPriority w:val="0"/>
    <w:rPr>
      <w:rFonts w:ascii="宋体"/>
      <w:kern w:val="0"/>
      <w:sz w:val="24"/>
      <w:szCs w:val="24"/>
    </w:rPr>
  </w:style>
  <w:style w:type="paragraph" w:customStyle="1" w:styleId="72">
    <w:name w:val="标题 1 New"/>
    <w:basedOn w:val="60"/>
    <w:next w:val="60"/>
    <w:autoRedefine/>
    <w:qFormat/>
    <w:uiPriority w:val="0"/>
    <w:pPr>
      <w:keepNext/>
      <w:keepLines/>
      <w:spacing w:before="340" w:after="330" w:line="576" w:lineRule="auto"/>
      <w:outlineLvl w:val="0"/>
    </w:pPr>
    <w:rPr>
      <w:b/>
      <w:kern w:val="44"/>
      <w:sz w:val="44"/>
    </w:rPr>
  </w:style>
  <w:style w:type="paragraph" w:customStyle="1" w:styleId="73">
    <w:name w:val="页脚 New New New New New New"/>
    <w:basedOn w:val="74"/>
    <w:autoRedefine/>
    <w:qFormat/>
    <w:uiPriority w:val="0"/>
    <w:pPr>
      <w:tabs>
        <w:tab w:val="center" w:pos="4153"/>
        <w:tab w:val="right" w:pos="8306"/>
      </w:tabs>
      <w:snapToGrid w:val="0"/>
      <w:jc w:val="left"/>
    </w:pPr>
    <w:rPr>
      <w:sz w:val="18"/>
    </w:rPr>
  </w:style>
  <w:style w:type="paragraph" w:customStyle="1" w:styleId="74">
    <w:name w:val="正文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5">
    <w:name w:val="页脚 New New New New"/>
    <w:basedOn w:val="76"/>
    <w:autoRedefine/>
    <w:qFormat/>
    <w:uiPriority w:val="0"/>
    <w:pPr>
      <w:tabs>
        <w:tab w:val="center" w:pos="4153"/>
        <w:tab w:val="right" w:pos="8306"/>
      </w:tabs>
      <w:snapToGrid w:val="0"/>
      <w:jc w:val="left"/>
    </w:pPr>
    <w:rPr>
      <w:sz w:val="18"/>
    </w:rPr>
  </w:style>
  <w:style w:type="paragraph" w:customStyle="1" w:styleId="76">
    <w:name w:val="正文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8"/>
      <w:lang w:val="en-US" w:eastAsia="zh-CN" w:bidi="ar-SA"/>
    </w:rPr>
  </w:style>
  <w:style w:type="paragraph" w:customStyle="1" w:styleId="77">
    <w:name w:val="样式1"/>
    <w:basedOn w:val="2"/>
    <w:autoRedefine/>
    <w:qFormat/>
    <w:uiPriority w:val="0"/>
    <w:pPr>
      <w:tabs>
        <w:tab w:val="left" w:pos="816"/>
      </w:tabs>
      <w:spacing w:line="0" w:lineRule="atLeast"/>
      <w:ind w:left="816" w:hanging="816"/>
    </w:pPr>
  </w:style>
  <w:style w:type="paragraph" w:customStyle="1" w:styleId="78">
    <w:name w:val="页眉 New New New New"/>
    <w:basedOn w:val="70"/>
    <w:autoRedefine/>
    <w:qFormat/>
    <w:uiPriority w:val="0"/>
    <w:pPr>
      <w:pBdr>
        <w:bottom w:val="single" w:color="auto" w:sz="6" w:space="1"/>
      </w:pBdr>
      <w:adjustRightInd w:val="0"/>
      <w:spacing w:line="240" w:lineRule="atLeast"/>
      <w:ind w:left="559" w:hanging="559" w:hangingChars="233"/>
      <w:textAlignment w:val="baseline"/>
    </w:pPr>
    <w:rPr>
      <w:rFonts w:ascii="宋体"/>
      <w:kern w:val="0"/>
      <w:sz w:val="24"/>
    </w:rPr>
  </w:style>
  <w:style w:type="paragraph" w:customStyle="1" w:styleId="79">
    <w:name w:val="Char Char Char Char"/>
    <w:basedOn w:val="1"/>
    <w:autoRedefine/>
    <w:qFormat/>
    <w:uiPriority w:val="0"/>
    <w:rPr>
      <w:rFonts w:eastAsia="仿宋_GB2312"/>
      <w:sz w:val="32"/>
    </w:rPr>
  </w:style>
  <w:style w:type="paragraph" w:customStyle="1" w:styleId="80">
    <w:name w:val="标题 2 New New"/>
    <w:basedOn w:val="76"/>
    <w:next w:val="76"/>
    <w:autoRedefine/>
    <w:qFormat/>
    <w:uiPriority w:val="0"/>
    <w:pPr>
      <w:keepNext/>
      <w:keepLines/>
      <w:adjustRightInd w:val="0"/>
      <w:snapToGrid w:val="0"/>
      <w:spacing w:line="360" w:lineRule="auto"/>
      <w:outlineLvl w:val="1"/>
    </w:pPr>
    <w:rPr>
      <w:rFonts w:ascii="宋体" w:hAnsi="宋体"/>
    </w:rPr>
  </w:style>
  <w:style w:type="paragraph" w:customStyle="1" w:styleId="81">
    <w:name w:val="页脚 New New New New New"/>
    <w:basedOn w:val="44"/>
    <w:autoRedefine/>
    <w:qFormat/>
    <w:uiPriority w:val="0"/>
    <w:pPr>
      <w:tabs>
        <w:tab w:val="center" w:pos="4153"/>
        <w:tab w:val="right" w:pos="8306"/>
      </w:tabs>
      <w:snapToGrid w:val="0"/>
      <w:jc w:val="left"/>
    </w:pPr>
    <w:rPr>
      <w:sz w:val="18"/>
    </w:rPr>
  </w:style>
  <w:style w:type="paragraph" w:customStyle="1" w:styleId="82">
    <w:name w:val="reader-word-layer reader-word-s1-9"/>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83">
    <w:name w:val="页脚 New"/>
    <w:basedOn w:val="60"/>
    <w:autoRedefine/>
    <w:qFormat/>
    <w:uiPriority w:val="0"/>
    <w:pPr>
      <w:tabs>
        <w:tab w:val="center" w:pos="4153"/>
        <w:tab w:val="right" w:pos="8306"/>
      </w:tabs>
      <w:snapToGrid w:val="0"/>
      <w:jc w:val="left"/>
    </w:pPr>
    <w:rPr>
      <w:sz w:val="18"/>
    </w:rPr>
  </w:style>
  <w:style w:type="paragraph" w:customStyle="1" w:styleId="84">
    <w:name w:val="页眉 New New New"/>
    <w:basedOn w:val="53"/>
    <w:autoRedefine/>
    <w:qFormat/>
    <w:uiPriority w:val="0"/>
    <w:pPr>
      <w:pBdr>
        <w:bottom w:val="single" w:color="auto" w:sz="6" w:space="1"/>
      </w:pBdr>
      <w:adjustRightInd w:val="0"/>
      <w:spacing w:line="240" w:lineRule="atLeast"/>
      <w:ind w:left="559" w:hanging="559" w:hangingChars="233"/>
      <w:textAlignment w:val="baseline"/>
    </w:pPr>
    <w:rPr>
      <w:rFonts w:ascii="宋体"/>
      <w:kern w:val="0"/>
      <w:sz w:val="24"/>
    </w:rPr>
  </w:style>
  <w:style w:type="paragraph" w:customStyle="1" w:styleId="85">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bCs w:val="0"/>
      <w:szCs w:val="20"/>
    </w:rPr>
  </w:style>
  <w:style w:type="paragraph" w:customStyle="1" w:styleId="86">
    <w:name w:val="正文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页眉 New New New New New New"/>
    <w:basedOn w:val="74"/>
    <w:autoRedefine/>
    <w:qFormat/>
    <w:uiPriority w:val="0"/>
    <w:pPr>
      <w:pBdr>
        <w:bottom w:val="single" w:color="auto" w:sz="6" w:space="1"/>
      </w:pBdr>
      <w:adjustRightInd w:val="0"/>
      <w:spacing w:line="240" w:lineRule="atLeast"/>
      <w:ind w:left="559" w:hanging="559" w:hangingChars="233"/>
      <w:textAlignment w:val="baseline"/>
    </w:pPr>
    <w:rPr>
      <w:rFonts w:ascii="宋体"/>
      <w:kern w:val="0"/>
      <w:sz w:val="24"/>
    </w:rPr>
  </w:style>
  <w:style w:type="character" w:customStyle="1" w:styleId="88">
    <w:name w:val="标题 字符"/>
    <w:link w:val="28"/>
    <w:autoRedefine/>
    <w:qFormat/>
    <w:locked/>
    <w:uiPriority w:val="0"/>
    <w:rPr>
      <w:rFonts w:ascii="Cambria" w:hAnsi="Cambria"/>
      <w:b/>
      <w:bCs/>
      <w:kern w:val="2"/>
      <w:sz w:val="32"/>
      <w:szCs w:val="32"/>
      <w:lang w:bidi="ar-SA"/>
    </w:rPr>
  </w:style>
  <w:style w:type="character" w:customStyle="1" w:styleId="89">
    <w:name w:val="标题 Char"/>
    <w:autoRedefine/>
    <w:qFormat/>
    <w:uiPriority w:val="0"/>
    <w:rPr>
      <w:rFonts w:ascii="Cambria" w:hAnsi="Cambria" w:cs="Times New Roman"/>
      <w:b/>
      <w:bCs/>
      <w:kern w:val="2"/>
      <w:sz w:val="36"/>
      <w:szCs w:val="32"/>
    </w:rPr>
  </w:style>
  <w:style w:type="character" w:customStyle="1" w:styleId="90">
    <w:name w:val="批注框文本 字符"/>
    <w:link w:val="19"/>
    <w:autoRedefine/>
    <w:qFormat/>
    <w:uiPriority w:val="0"/>
    <w:rPr>
      <w:rFonts w:eastAsia="宋体"/>
      <w:kern w:val="2"/>
      <w:sz w:val="18"/>
      <w:szCs w:val="18"/>
      <w:lang w:val="en-US" w:eastAsia="zh-CN" w:bidi="ar-SA"/>
    </w:rPr>
  </w:style>
  <w:style w:type="character" w:customStyle="1" w:styleId="91">
    <w:name w:val="纯文本 字符"/>
    <w:link w:val="16"/>
    <w:autoRedefine/>
    <w:qFormat/>
    <w:uiPriority w:val="0"/>
    <w:rPr>
      <w:rFonts w:ascii="宋体" w:hAnsi="Courier New" w:eastAsia="宋体"/>
      <w:kern w:val="2"/>
      <w:sz w:val="21"/>
      <w:szCs w:val="24"/>
      <w:lang w:val="en-US" w:eastAsia="zh-CN" w:bidi="ar-SA"/>
    </w:rPr>
  </w:style>
  <w:style w:type="character" w:customStyle="1" w:styleId="92">
    <w:name w:val="标题 Char1"/>
    <w:autoRedefine/>
    <w:qFormat/>
    <w:uiPriority w:val="0"/>
    <w:rPr>
      <w:rFonts w:ascii="Cambria" w:hAnsi="Cambria" w:cs="Times New Roman"/>
      <w:b/>
      <w:bCs/>
      <w:kern w:val="2"/>
      <w:sz w:val="32"/>
      <w:szCs w:val="32"/>
    </w:rPr>
  </w:style>
  <w:style w:type="character" w:customStyle="1" w:styleId="93">
    <w:name w:val="font31"/>
    <w:basedOn w:val="33"/>
    <w:autoRedefine/>
    <w:qFormat/>
    <w:uiPriority w:val="0"/>
    <w:rPr>
      <w:rFonts w:hint="default" w:ascii="报宋" w:hAnsi="报宋" w:eastAsia="报宋" w:cs="报宋"/>
      <w:color w:val="0A0A0A"/>
      <w:sz w:val="22"/>
      <w:szCs w:val="22"/>
      <w:u w:val="none"/>
    </w:rPr>
  </w:style>
  <w:style w:type="character" w:customStyle="1" w:styleId="94">
    <w:name w:val="font21"/>
    <w:basedOn w:val="33"/>
    <w:autoRedefine/>
    <w:qFormat/>
    <w:uiPriority w:val="0"/>
    <w:rPr>
      <w:rFonts w:hint="eastAsia" w:ascii="宋体" w:hAnsi="宋体" w:eastAsia="宋体" w:cs="宋体"/>
      <w:b/>
      <w:bCs/>
      <w:color w:val="000000"/>
      <w:sz w:val="22"/>
      <w:szCs w:val="22"/>
      <w:u w:val="none"/>
    </w:rPr>
  </w:style>
  <w:style w:type="paragraph" w:customStyle="1" w:styleId="95">
    <w:name w:val="首行缩进"/>
    <w:basedOn w:val="1"/>
    <w:qFormat/>
    <w:uiPriority w:val="0"/>
    <w:pPr>
      <w:ind w:firstLine="480" w:firstLineChars="200"/>
    </w:pPr>
    <w:rPr>
      <w:lang w:val="zh-CN"/>
    </w:rPr>
  </w:style>
  <w:style w:type="paragraph" w:customStyle="1" w:styleId="96">
    <w:name w:val="WPSOffice手动目录 1"/>
    <w:qFormat/>
    <w:uiPriority w:val="0"/>
    <w:rPr>
      <w:rFonts w:ascii="Times New Roman" w:hAnsi="Times New Roman" w:eastAsia="宋体" w:cs="Times New Roman"/>
      <w:lang w:val="en-US" w:eastAsia="zh-CN" w:bidi="ar-SA"/>
    </w:rPr>
  </w:style>
  <w:style w:type="paragraph" w:customStyle="1" w:styleId="9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98">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99">
    <w:name w:val="Revision"/>
    <w:hidden/>
    <w:unhideWhenUsed/>
    <w:qFormat/>
    <w:uiPriority w:val="99"/>
    <w:rPr>
      <w:rFonts w:ascii="Times New Roman" w:hAnsi="Times New Roman" w:eastAsia="宋体" w:cs="Times New Roman"/>
      <w:kern w:val="2"/>
      <w:sz w:val="21"/>
      <w:lang w:val="en-US" w:eastAsia="zh-CN" w:bidi="ar-SA"/>
    </w:rPr>
  </w:style>
  <w:style w:type="paragraph" w:styleId="10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www.deepinghost.com</Company>
  <Pages>47</Pages>
  <Words>8271</Words>
  <Characters>8744</Characters>
  <Lines>85</Lines>
  <Paragraphs>24</Paragraphs>
  <TotalTime>15</TotalTime>
  <ScaleCrop>false</ScaleCrop>
  <LinksUpToDate>false</LinksUpToDate>
  <CharactersWithSpaces>8978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2020-05-12T09:16:00Z</dcterms:created>
  <dc:creator>User</dc:creator>
  <cp:lastModifiedBy>林吴珊</cp:lastModifiedBy>
  <cp:lastPrinted>2025-02-08T02:08:00Z</cp:lastPrinted>
  <dcterms:modified xsi:type="dcterms:W3CDTF">2025-05-16T07:09:07Z</dcterms:modified>
  <dc:title>福建省高速公路养护工程材料采购</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40F0824DA0AE44F59F992078891F209A_13</vt:lpwstr>
  </property>
  <property fmtid="{D5CDD505-2E9C-101B-9397-08002B2CF9AE}" pid="4" name="KSOTemplateDocerSaveRecord">
    <vt:lpwstr>eyJoZGlkIjoiYTYwYTlkODA1Y2E3MzE0YzQxNjUzZDVhZTQzZjlmZmYiLCJ1c2VySWQiOiI5ODY4NzAyMzAifQ==</vt:lpwstr>
  </property>
</Properties>
</file>